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8B30CC" w14:textId="77777777" w:rsidR="001B11F7" w:rsidRDefault="001B11F7">
      <w:pPr>
        <w:widowControl w:val="0"/>
        <w:rPr>
          <w:sz w:val="22"/>
          <w:szCs w:val="22"/>
          <w:lang w:val="lt-LT" w:eastAsia="lt-LT"/>
        </w:rPr>
      </w:pPr>
      <w:bookmarkStart w:id="0" w:name="Tab"/>
      <w:bookmarkStart w:id="1" w:name="_GoBack"/>
      <w:bookmarkEnd w:id="0"/>
      <w:bookmarkEnd w:id="1"/>
    </w:p>
    <w:p w14:paraId="2ADBE192" w14:textId="77777777" w:rsidR="001B11F7" w:rsidRDefault="001B11F7">
      <w:pPr>
        <w:widowControl w:val="0"/>
        <w:rPr>
          <w:sz w:val="22"/>
          <w:szCs w:val="22"/>
          <w:lang w:val="lt-LT" w:eastAsia="lt-LT"/>
        </w:rPr>
      </w:pPr>
    </w:p>
    <w:p w14:paraId="50696140" w14:textId="77777777" w:rsidR="001B11F7" w:rsidRDefault="001B11F7">
      <w:pPr>
        <w:widowControl w:val="0"/>
        <w:rPr>
          <w:sz w:val="22"/>
          <w:szCs w:val="22"/>
          <w:lang w:val="lt-LT" w:eastAsia="lt-LT"/>
        </w:rPr>
      </w:pPr>
    </w:p>
    <w:p w14:paraId="75C4AB77" w14:textId="77777777" w:rsidR="001B11F7" w:rsidRDefault="001B11F7">
      <w:pPr>
        <w:widowControl w:val="0"/>
        <w:rPr>
          <w:sz w:val="22"/>
          <w:szCs w:val="22"/>
          <w:lang w:val="lt-LT" w:eastAsia="lt-LT"/>
        </w:rPr>
      </w:pPr>
    </w:p>
    <w:p w14:paraId="14F2DE8F" w14:textId="77777777" w:rsidR="001B11F7" w:rsidRDefault="001B11F7">
      <w:pPr>
        <w:widowControl w:val="0"/>
        <w:rPr>
          <w:sz w:val="22"/>
          <w:szCs w:val="22"/>
          <w:lang w:val="lt-LT" w:eastAsia="lt-LT"/>
        </w:rPr>
      </w:pPr>
    </w:p>
    <w:p w14:paraId="4450BDD6" w14:textId="77777777" w:rsidR="001B11F7" w:rsidRDefault="001B11F7">
      <w:pPr>
        <w:widowControl w:val="0"/>
        <w:rPr>
          <w:sz w:val="22"/>
          <w:szCs w:val="22"/>
          <w:lang w:val="lt-LT" w:eastAsia="lt-LT"/>
        </w:rPr>
      </w:pPr>
    </w:p>
    <w:p w14:paraId="688F82D2" w14:textId="77777777" w:rsidR="001B11F7" w:rsidRDefault="001B11F7">
      <w:pPr>
        <w:widowControl w:val="0"/>
        <w:rPr>
          <w:sz w:val="22"/>
          <w:szCs w:val="22"/>
          <w:lang w:val="lt-LT" w:eastAsia="lt-LT"/>
        </w:rPr>
      </w:pPr>
    </w:p>
    <w:p w14:paraId="649AA873" w14:textId="77777777" w:rsidR="001B11F7" w:rsidRDefault="001B11F7">
      <w:pPr>
        <w:widowControl w:val="0"/>
        <w:rPr>
          <w:sz w:val="22"/>
          <w:szCs w:val="22"/>
          <w:lang w:val="lt-LT" w:eastAsia="lt-LT"/>
        </w:rPr>
      </w:pPr>
    </w:p>
    <w:p w14:paraId="1C3D2EC7" w14:textId="77777777" w:rsidR="001B11F7" w:rsidRDefault="001B11F7">
      <w:pPr>
        <w:widowControl w:val="0"/>
        <w:rPr>
          <w:sz w:val="22"/>
          <w:szCs w:val="22"/>
          <w:lang w:val="lt-LT" w:eastAsia="lt-LT"/>
        </w:rPr>
      </w:pPr>
    </w:p>
    <w:p w14:paraId="72384A74" w14:textId="77777777" w:rsidR="001B11F7" w:rsidRDefault="001B11F7">
      <w:pPr>
        <w:widowControl w:val="0"/>
        <w:rPr>
          <w:sz w:val="22"/>
          <w:szCs w:val="22"/>
          <w:lang w:val="lt-LT" w:eastAsia="lt-LT"/>
        </w:rPr>
      </w:pPr>
    </w:p>
    <w:p w14:paraId="748D2CE3" w14:textId="77777777" w:rsidR="001B11F7" w:rsidRDefault="001B11F7">
      <w:pPr>
        <w:widowControl w:val="0"/>
        <w:rPr>
          <w:sz w:val="22"/>
          <w:szCs w:val="22"/>
          <w:lang w:val="lt-LT" w:eastAsia="lt-LT"/>
        </w:rPr>
      </w:pPr>
    </w:p>
    <w:p w14:paraId="66FFFE44" w14:textId="77777777" w:rsidR="001B11F7" w:rsidRDefault="001B11F7">
      <w:pPr>
        <w:widowControl w:val="0"/>
        <w:rPr>
          <w:sz w:val="22"/>
          <w:szCs w:val="22"/>
          <w:lang w:val="lt-LT" w:eastAsia="lt-LT"/>
        </w:rPr>
      </w:pPr>
    </w:p>
    <w:p w14:paraId="05CA7603" w14:textId="77777777" w:rsidR="001B11F7" w:rsidRDefault="001B11F7">
      <w:pPr>
        <w:widowControl w:val="0"/>
        <w:rPr>
          <w:sz w:val="22"/>
          <w:szCs w:val="22"/>
          <w:lang w:val="lt-LT" w:eastAsia="lt-LT"/>
        </w:rPr>
      </w:pPr>
    </w:p>
    <w:p w14:paraId="431DF581" w14:textId="77777777" w:rsidR="001B11F7" w:rsidRDefault="001B11F7">
      <w:pPr>
        <w:widowControl w:val="0"/>
        <w:rPr>
          <w:sz w:val="22"/>
          <w:szCs w:val="22"/>
          <w:lang w:val="lt-LT" w:eastAsia="lt-LT"/>
        </w:rPr>
      </w:pPr>
    </w:p>
    <w:p w14:paraId="6F603A57" w14:textId="77777777" w:rsidR="001B11F7" w:rsidRDefault="001B11F7">
      <w:pPr>
        <w:widowControl w:val="0"/>
        <w:rPr>
          <w:sz w:val="22"/>
          <w:szCs w:val="22"/>
          <w:lang w:val="lt-LT" w:eastAsia="lt-LT"/>
        </w:rPr>
      </w:pPr>
    </w:p>
    <w:p w14:paraId="59AB0BB2" w14:textId="77777777" w:rsidR="001B11F7" w:rsidRDefault="001B11F7">
      <w:pPr>
        <w:widowControl w:val="0"/>
        <w:rPr>
          <w:sz w:val="22"/>
          <w:szCs w:val="22"/>
          <w:lang w:val="lt-LT" w:eastAsia="lt-LT"/>
        </w:rPr>
      </w:pPr>
    </w:p>
    <w:p w14:paraId="11ECA1AE" w14:textId="77777777" w:rsidR="001B11F7" w:rsidRDefault="001B11F7">
      <w:pPr>
        <w:widowControl w:val="0"/>
        <w:rPr>
          <w:sz w:val="22"/>
          <w:szCs w:val="22"/>
          <w:lang w:val="lt-LT" w:eastAsia="lt-LT"/>
        </w:rPr>
      </w:pPr>
    </w:p>
    <w:p w14:paraId="3E0346E9" w14:textId="77777777" w:rsidR="001B11F7" w:rsidRDefault="001B11F7">
      <w:pPr>
        <w:widowControl w:val="0"/>
        <w:rPr>
          <w:sz w:val="22"/>
          <w:szCs w:val="22"/>
          <w:lang w:val="lt-LT" w:eastAsia="lt-LT"/>
        </w:rPr>
      </w:pPr>
    </w:p>
    <w:p w14:paraId="1EC4230D" w14:textId="77777777" w:rsidR="001B11F7" w:rsidRDefault="001B11F7">
      <w:pPr>
        <w:widowControl w:val="0"/>
        <w:rPr>
          <w:sz w:val="22"/>
          <w:szCs w:val="22"/>
          <w:lang w:val="lt-LT" w:eastAsia="lt-LT"/>
        </w:rPr>
      </w:pPr>
    </w:p>
    <w:p w14:paraId="65816B5C" w14:textId="77777777" w:rsidR="001B11F7" w:rsidRDefault="001B11F7">
      <w:pPr>
        <w:widowControl w:val="0"/>
        <w:rPr>
          <w:sz w:val="22"/>
          <w:szCs w:val="22"/>
          <w:lang w:val="lt-LT" w:eastAsia="lt-LT"/>
        </w:rPr>
      </w:pPr>
    </w:p>
    <w:p w14:paraId="310086C2" w14:textId="77777777" w:rsidR="001B11F7" w:rsidRDefault="001B11F7">
      <w:pPr>
        <w:widowControl w:val="0"/>
        <w:rPr>
          <w:sz w:val="22"/>
          <w:szCs w:val="22"/>
          <w:lang w:val="lt-LT" w:eastAsia="lt-LT"/>
        </w:rPr>
      </w:pPr>
    </w:p>
    <w:p w14:paraId="7C3E8E40" w14:textId="77777777" w:rsidR="001B11F7" w:rsidRDefault="001B11F7">
      <w:pPr>
        <w:widowControl w:val="0"/>
        <w:rPr>
          <w:sz w:val="22"/>
          <w:szCs w:val="22"/>
          <w:lang w:val="lt-LT" w:eastAsia="lt-LT"/>
        </w:rPr>
      </w:pPr>
    </w:p>
    <w:p w14:paraId="06E41BEC" w14:textId="77777777" w:rsidR="001B11F7" w:rsidRDefault="001B11F7">
      <w:pPr>
        <w:widowControl w:val="0"/>
        <w:rPr>
          <w:sz w:val="22"/>
          <w:szCs w:val="22"/>
          <w:lang w:val="lt-LT" w:eastAsia="lt-LT"/>
        </w:rPr>
      </w:pPr>
    </w:p>
    <w:p w14:paraId="780FEB26"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I PRIEDAS</w:t>
      </w:r>
    </w:p>
    <w:p w14:paraId="15BCF669" w14:textId="77777777" w:rsidR="001B11F7" w:rsidRDefault="001B11F7">
      <w:pPr>
        <w:widowControl w:val="0"/>
        <w:rPr>
          <w:sz w:val="22"/>
          <w:szCs w:val="22"/>
          <w:lang w:val="lt-LT" w:eastAsia="lt-LT"/>
        </w:rPr>
      </w:pPr>
    </w:p>
    <w:p w14:paraId="0D45D950"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PREPARATO CHARAKTERISTIKŲ SANTRAUKA</w:t>
      </w:r>
    </w:p>
    <w:p w14:paraId="4BAE8A42" w14:textId="77777777" w:rsidR="001B11F7" w:rsidRDefault="001B11F7">
      <w:pPr>
        <w:widowControl w:val="0"/>
        <w:rPr>
          <w:sz w:val="22"/>
          <w:szCs w:val="22"/>
          <w:lang w:val="lt-LT" w:eastAsia="lt-LT"/>
        </w:rPr>
      </w:pPr>
    </w:p>
    <w:p w14:paraId="01FAE8A9" w14:textId="77777777" w:rsidR="001B11F7" w:rsidRDefault="00B83885">
      <w:pPr>
        <w:widowControl w:val="0"/>
        <w:ind w:left="567" w:hanging="567"/>
        <w:outlineLvl w:val="1"/>
        <w:rPr>
          <w:b/>
          <w:sz w:val="22"/>
          <w:szCs w:val="22"/>
          <w:lang w:val="lt-LT" w:eastAsia="lt-LT"/>
        </w:rPr>
      </w:pPr>
      <w:r>
        <w:rPr>
          <w:b/>
          <w:sz w:val="22"/>
          <w:szCs w:val="22"/>
          <w:lang w:val="lt-LT" w:eastAsia="lt-LT"/>
        </w:rPr>
        <w:br w:type="page"/>
      </w:r>
      <w:r>
        <w:rPr>
          <w:b/>
          <w:sz w:val="22"/>
          <w:szCs w:val="22"/>
          <w:lang w:val="lt-LT" w:eastAsia="lt-LT"/>
        </w:rPr>
        <w:lastRenderedPageBreak/>
        <w:t>1.</w:t>
      </w:r>
      <w:r>
        <w:rPr>
          <w:b/>
          <w:sz w:val="22"/>
          <w:szCs w:val="22"/>
          <w:lang w:val="lt-LT" w:eastAsia="lt-LT"/>
        </w:rPr>
        <w:tab/>
        <w:t>VAISTINIO PREPARATO PAVADINIMAS</w:t>
      </w:r>
    </w:p>
    <w:p w14:paraId="11BC5757" w14:textId="77777777" w:rsidR="001B11F7" w:rsidRDefault="001B11F7">
      <w:pPr>
        <w:widowControl w:val="0"/>
        <w:rPr>
          <w:sz w:val="22"/>
          <w:szCs w:val="22"/>
          <w:lang w:val="lt-LT" w:eastAsia="lt-LT"/>
        </w:rPr>
      </w:pPr>
    </w:p>
    <w:p w14:paraId="016F6414"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10 mg plėvele dengtos tabletės</w:t>
      </w:r>
    </w:p>
    <w:p w14:paraId="295EF19D"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20 mg plėvele dengtos tabletės</w:t>
      </w:r>
    </w:p>
    <w:p w14:paraId="3A67DD2B"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40 mg plėvele dengtos tabletės</w:t>
      </w:r>
    </w:p>
    <w:p w14:paraId="3D9C8463" w14:textId="77777777" w:rsidR="001B11F7" w:rsidRDefault="001B11F7">
      <w:pPr>
        <w:widowControl w:val="0"/>
        <w:rPr>
          <w:sz w:val="22"/>
          <w:szCs w:val="22"/>
          <w:lang w:val="lt-LT" w:eastAsia="lt-LT"/>
        </w:rPr>
      </w:pPr>
    </w:p>
    <w:p w14:paraId="388FB051" w14:textId="77777777" w:rsidR="001B11F7" w:rsidRDefault="001B11F7">
      <w:pPr>
        <w:widowControl w:val="0"/>
        <w:rPr>
          <w:sz w:val="22"/>
          <w:szCs w:val="22"/>
          <w:lang w:val="lt-LT" w:eastAsia="lt-LT"/>
        </w:rPr>
      </w:pPr>
    </w:p>
    <w:p w14:paraId="7B6BF1E8" w14:textId="77777777" w:rsidR="001B11F7" w:rsidRDefault="00B83885">
      <w:pPr>
        <w:widowControl w:val="0"/>
        <w:ind w:left="567" w:hanging="567"/>
        <w:outlineLvl w:val="1"/>
        <w:rPr>
          <w:b/>
          <w:sz w:val="22"/>
          <w:szCs w:val="22"/>
          <w:lang w:val="lt-LT" w:eastAsia="lt-LT"/>
        </w:rPr>
      </w:pPr>
      <w:r>
        <w:rPr>
          <w:b/>
          <w:sz w:val="22"/>
          <w:szCs w:val="22"/>
          <w:lang w:val="lt-LT" w:eastAsia="lt-LT"/>
        </w:rPr>
        <w:t>2.</w:t>
      </w:r>
      <w:r>
        <w:rPr>
          <w:b/>
          <w:sz w:val="22"/>
          <w:szCs w:val="22"/>
          <w:lang w:val="lt-LT" w:eastAsia="lt-LT"/>
        </w:rPr>
        <w:tab/>
        <w:t>KOKYBINĖ IR KIEKYBINĖ SUDĖTIS</w:t>
      </w:r>
    </w:p>
    <w:p w14:paraId="772C535B" w14:textId="77777777" w:rsidR="001B11F7" w:rsidRDefault="001B11F7">
      <w:pPr>
        <w:widowControl w:val="0"/>
        <w:rPr>
          <w:sz w:val="22"/>
          <w:szCs w:val="22"/>
          <w:lang w:val="lt-LT" w:eastAsia="lt-LT"/>
        </w:rPr>
      </w:pPr>
    </w:p>
    <w:p w14:paraId="7A86B07B" w14:textId="77777777" w:rsidR="001B11F7" w:rsidRDefault="00B83885">
      <w:pPr>
        <w:widowControl w:val="0"/>
        <w:rPr>
          <w:sz w:val="22"/>
          <w:szCs w:val="22"/>
          <w:lang w:val="lt-LT" w:eastAsia="lt-LT"/>
        </w:rPr>
      </w:pPr>
      <w:r>
        <w:rPr>
          <w:sz w:val="22"/>
          <w:szCs w:val="22"/>
          <w:lang w:val="lt-LT" w:eastAsia="lt-LT"/>
        </w:rPr>
        <w:t>Kiekvienoje plėvele dengtoje tabletėje yra 10 mg atorvastatino (</w:t>
      </w:r>
      <w:r>
        <w:rPr>
          <w:sz w:val="22"/>
          <w:szCs w:val="22"/>
          <w:lang w:val="lt-LT" w:eastAsia="en-US"/>
        </w:rPr>
        <w:t>10</w:t>
      </w:r>
      <w:r>
        <w:rPr>
          <w:iCs/>
          <w:color w:val="000000"/>
          <w:sz w:val="22"/>
          <w:szCs w:val="22"/>
          <w:lang w:val="lt-LT" w:eastAsia="en-US"/>
        </w:rPr>
        <w:t xml:space="preserve">,36 mg </w:t>
      </w:r>
      <w:r>
        <w:rPr>
          <w:sz w:val="22"/>
          <w:szCs w:val="22"/>
          <w:lang w:val="lt-LT" w:eastAsia="lt-LT"/>
        </w:rPr>
        <w:t>atorvastatino kalcio druskos pavidalu).</w:t>
      </w:r>
    </w:p>
    <w:p w14:paraId="1C2D6A94" w14:textId="77777777" w:rsidR="001B11F7" w:rsidRDefault="00B83885">
      <w:pPr>
        <w:widowControl w:val="0"/>
        <w:rPr>
          <w:sz w:val="22"/>
          <w:szCs w:val="22"/>
          <w:lang w:val="lt-LT" w:eastAsia="lt-LT"/>
        </w:rPr>
      </w:pPr>
      <w:r>
        <w:rPr>
          <w:sz w:val="22"/>
          <w:szCs w:val="22"/>
          <w:lang w:val="lt-LT" w:eastAsia="lt-LT"/>
        </w:rPr>
        <w:t>Kiekvienoje plėvele dengtoje tabletėje yra 20 mg atorvastatino (</w:t>
      </w:r>
      <w:r>
        <w:rPr>
          <w:iCs/>
          <w:color w:val="000000"/>
          <w:sz w:val="22"/>
          <w:szCs w:val="22"/>
          <w:lang w:val="lt-LT" w:eastAsia="en-US"/>
        </w:rPr>
        <w:t xml:space="preserve">20,72 mg </w:t>
      </w:r>
      <w:r>
        <w:rPr>
          <w:sz w:val="22"/>
          <w:szCs w:val="22"/>
          <w:lang w:val="lt-LT" w:eastAsia="lt-LT"/>
        </w:rPr>
        <w:t>atorvastatino kalcio druskos pavidalu).</w:t>
      </w:r>
    </w:p>
    <w:p w14:paraId="155E680A" w14:textId="77777777" w:rsidR="001B11F7" w:rsidRDefault="00B83885">
      <w:pPr>
        <w:widowControl w:val="0"/>
        <w:rPr>
          <w:sz w:val="22"/>
          <w:szCs w:val="22"/>
          <w:lang w:val="lt-LT" w:eastAsia="lt-LT"/>
        </w:rPr>
      </w:pPr>
      <w:r>
        <w:rPr>
          <w:sz w:val="22"/>
          <w:szCs w:val="22"/>
          <w:lang w:val="lt-LT" w:eastAsia="lt-LT"/>
        </w:rPr>
        <w:t>Kiekvienoje plėvele dengtoje tabletėje yra 40 mg atorvastatino (</w:t>
      </w:r>
      <w:r>
        <w:rPr>
          <w:sz w:val="22"/>
          <w:szCs w:val="22"/>
          <w:lang w:val="lt-LT" w:eastAsia="en-US"/>
        </w:rPr>
        <w:t>4</w:t>
      </w:r>
      <w:r>
        <w:rPr>
          <w:iCs/>
          <w:color w:val="000000"/>
          <w:sz w:val="22"/>
          <w:szCs w:val="22"/>
          <w:lang w:val="lt-LT" w:eastAsia="en-US"/>
        </w:rPr>
        <w:t xml:space="preserve">1,44 mg </w:t>
      </w:r>
      <w:r>
        <w:rPr>
          <w:sz w:val="22"/>
          <w:szCs w:val="22"/>
          <w:lang w:val="lt-LT" w:eastAsia="lt-LT"/>
        </w:rPr>
        <w:t>atorvastatino kalcio druskos pavidalu).</w:t>
      </w:r>
    </w:p>
    <w:p w14:paraId="61CA0AEB" w14:textId="77777777" w:rsidR="001B11F7" w:rsidRDefault="001B11F7">
      <w:pPr>
        <w:widowControl w:val="0"/>
        <w:rPr>
          <w:sz w:val="22"/>
          <w:szCs w:val="22"/>
          <w:lang w:val="lt-LT" w:eastAsia="lt-LT"/>
        </w:rPr>
      </w:pPr>
    </w:p>
    <w:p w14:paraId="1F11B78F" w14:textId="77777777" w:rsidR="001B11F7" w:rsidRDefault="00B83885">
      <w:pPr>
        <w:widowControl w:val="0"/>
        <w:rPr>
          <w:rFonts w:eastAsia="Calibri"/>
          <w:sz w:val="22"/>
          <w:szCs w:val="22"/>
          <w:lang w:val="lt-LT" w:eastAsia="lt-LT"/>
        </w:rPr>
      </w:pPr>
      <w:r>
        <w:rPr>
          <w:rFonts w:eastAsia="Calibri"/>
          <w:sz w:val="22"/>
          <w:szCs w:val="22"/>
          <w:u w:val="single"/>
          <w:lang w:val="lt-LT" w:eastAsia="lt-LT"/>
        </w:rPr>
        <w:t>Pagalbinės medžiagos, kurių poveikis žinomas</w:t>
      </w:r>
      <w:r>
        <w:rPr>
          <w:rFonts w:eastAsia="Calibri"/>
          <w:sz w:val="22"/>
          <w:szCs w:val="22"/>
          <w:lang w:val="lt-LT" w:eastAsia="lt-LT"/>
        </w:rPr>
        <w:t>:</w:t>
      </w:r>
    </w:p>
    <w:p w14:paraId="05BBA8CB" w14:textId="77777777" w:rsidR="001B11F7" w:rsidRDefault="00B83885">
      <w:pPr>
        <w:widowControl w:val="0"/>
        <w:rPr>
          <w:sz w:val="22"/>
          <w:szCs w:val="22"/>
          <w:lang w:val="lt-LT" w:eastAsia="lt-LT"/>
        </w:rPr>
      </w:pPr>
      <w:r>
        <w:rPr>
          <w:sz w:val="22"/>
          <w:szCs w:val="22"/>
          <w:lang w:val="lt-LT" w:eastAsia="lt-LT"/>
        </w:rPr>
        <w:t>Kiekvienoje Atoris</w:t>
      </w:r>
      <w:r>
        <w:rPr>
          <w:sz w:val="22"/>
          <w:szCs w:val="22"/>
          <w:vertAlign w:val="superscript"/>
          <w:lang w:val="lt-LT" w:eastAsia="lt-LT"/>
        </w:rPr>
        <w:t xml:space="preserve"> </w:t>
      </w:r>
      <w:r>
        <w:rPr>
          <w:sz w:val="22"/>
          <w:szCs w:val="22"/>
          <w:lang w:val="lt-LT" w:eastAsia="lt-LT"/>
        </w:rPr>
        <w:t xml:space="preserve">10 mg plėvele dengtoje tabletėje yra </w:t>
      </w:r>
      <w:r>
        <w:rPr>
          <w:sz w:val="22"/>
          <w:szCs w:val="22"/>
          <w:lang w:val="lt-LT" w:eastAsia="en-US"/>
        </w:rPr>
        <w:t>54,27 mg</w:t>
      </w:r>
      <w:r>
        <w:rPr>
          <w:sz w:val="22"/>
          <w:szCs w:val="22"/>
          <w:lang w:val="lt-LT" w:eastAsia="lt-LT"/>
        </w:rPr>
        <w:t xml:space="preserve"> laktozės monohidrato, kiekvienoje 20 mg plėvele dengtoje tabletėje - </w:t>
      </w:r>
      <w:r>
        <w:rPr>
          <w:sz w:val="22"/>
          <w:szCs w:val="22"/>
          <w:lang w:val="lt-LT" w:eastAsia="en-US"/>
        </w:rPr>
        <w:t xml:space="preserve">108,54 mg laktozės monohidrato, kiekvienoje 40 mg </w:t>
      </w:r>
      <w:r>
        <w:rPr>
          <w:sz w:val="22"/>
          <w:szCs w:val="22"/>
          <w:lang w:val="lt-LT" w:eastAsia="lt-LT"/>
        </w:rPr>
        <w:t>plėvele dengtoje</w:t>
      </w:r>
      <w:r>
        <w:rPr>
          <w:sz w:val="22"/>
          <w:szCs w:val="22"/>
          <w:lang w:val="lt-LT" w:eastAsia="en-US"/>
        </w:rPr>
        <w:t xml:space="preserve"> tabletėje - 189,53 mg laktozės monohidrato.</w:t>
      </w:r>
    </w:p>
    <w:p w14:paraId="0B471DEF" w14:textId="77777777" w:rsidR="001B11F7" w:rsidRDefault="001B11F7">
      <w:pPr>
        <w:widowControl w:val="0"/>
        <w:rPr>
          <w:sz w:val="22"/>
          <w:szCs w:val="22"/>
          <w:lang w:val="lt-LT" w:eastAsia="lt-LT"/>
        </w:rPr>
      </w:pPr>
    </w:p>
    <w:p w14:paraId="4254176A" w14:textId="77777777" w:rsidR="001B11F7" w:rsidRDefault="00B83885">
      <w:pPr>
        <w:widowControl w:val="0"/>
        <w:rPr>
          <w:sz w:val="22"/>
          <w:szCs w:val="22"/>
          <w:lang w:val="lt-LT" w:eastAsia="lt-LT"/>
        </w:rPr>
      </w:pPr>
      <w:r>
        <w:rPr>
          <w:sz w:val="22"/>
          <w:szCs w:val="22"/>
          <w:lang w:val="lt-LT" w:eastAsia="lt-LT"/>
        </w:rPr>
        <w:t>Visos pagalbinės medžiagos išvardytos 6.1 skyriuje.</w:t>
      </w:r>
    </w:p>
    <w:p w14:paraId="2F132330" w14:textId="77777777" w:rsidR="001B11F7" w:rsidRDefault="001B11F7">
      <w:pPr>
        <w:widowControl w:val="0"/>
        <w:rPr>
          <w:sz w:val="22"/>
          <w:szCs w:val="22"/>
          <w:lang w:val="lt-LT" w:eastAsia="lt-LT"/>
        </w:rPr>
      </w:pPr>
    </w:p>
    <w:p w14:paraId="0C39AE93" w14:textId="77777777" w:rsidR="001B11F7" w:rsidRDefault="001B11F7">
      <w:pPr>
        <w:widowControl w:val="0"/>
        <w:rPr>
          <w:sz w:val="22"/>
          <w:szCs w:val="22"/>
          <w:lang w:val="lt-LT" w:eastAsia="lt-LT"/>
        </w:rPr>
      </w:pPr>
    </w:p>
    <w:p w14:paraId="1BEAF17B" w14:textId="77777777" w:rsidR="001B11F7" w:rsidRDefault="00B83885">
      <w:pPr>
        <w:widowControl w:val="0"/>
        <w:ind w:left="567" w:hanging="567"/>
        <w:outlineLvl w:val="1"/>
        <w:rPr>
          <w:b/>
          <w:sz w:val="22"/>
          <w:szCs w:val="22"/>
          <w:lang w:val="lt-LT" w:eastAsia="lt-LT"/>
        </w:rPr>
      </w:pPr>
      <w:r>
        <w:rPr>
          <w:b/>
          <w:sz w:val="22"/>
          <w:szCs w:val="22"/>
          <w:lang w:val="lt-LT" w:eastAsia="lt-LT"/>
        </w:rPr>
        <w:t>3.</w:t>
      </w:r>
      <w:r>
        <w:rPr>
          <w:b/>
          <w:sz w:val="22"/>
          <w:szCs w:val="22"/>
          <w:lang w:val="lt-LT" w:eastAsia="lt-LT"/>
        </w:rPr>
        <w:tab/>
        <w:t>FARMACINĖ FORMA</w:t>
      </w:r>
    </w:p>
    <w:p w14:paraId="1F3EB861" w14:textId="77777777" w:rsidR="001B11F7" w:rsidRDefault="001B11F7">
      <w:pPr>
        <w:widowControl w:val="0"/>
        <w:rPr>
          <w:sz w:val="22"/>
          <w:szCs w:val="22"/>
          <w:lang w:val="lt-LT" w:eastAsia="lt-LT"/>
        </w:rPr>
      </w:pPr>
    </w:p>
    <w:p w14:paraId="443419A9" w14:textId="77777777" w:rsidR="001B11F7" w:rsidRDefault="00B83885">
      <w:pPr>
        <w:widowControl w:val="0"/>
        <w:rPr>
          <w:sz w:val="22"/>
          <w:szCs w:val="22"/>
          <w:lang w:val="lt-LT" w:eastAsia="lt-LT"/>
        </w:rPr>
      </w:pPr>
      <w:r>
        <w:rPr>
          <w:sz w:val="22"/>
          <w:szCs w:val="22"/>
          <w:lang w:val="lt-LT" w:eastAsia="lt-LT"/>
        </w:rPr>
        <w:t>Plėvele dengta tabletė</w:t>
      </w:r>
    </w:p>
    <w:p w14:paraId="1DC9399F" w14:textId="77777777" w:rsidR="001B11F7" w:rsidRDefault="001B11F7">
      <w:pPr>
        <w:widowControl w:val="0"/>
        <w:rPr>
          <w:sz w:val="22"/>
          <w:szCs w:val="22"/>
          <w:lang w:val="lt-LT" w:eastAsia="lt-LT"/>
        </w:rPr>
      </w:pPr>
    </w:p>
    <w:p w14:paraId="4BB43857"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10 mg plėvele dengtos tabletės yra baltos, apvalios, šiek tiek abipus išgaubtos.</w:t>
      </w:r>
    </w:p>
    <w:p w14:paraId="5BE2488E"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20 mg plėvele dengtos tabletės yra baltos, apvalios, šiek tiek abipus išgaubtos.</w:t>
      </w:r>
    </w:p>
    <w:p w14:paraId="13065F75"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40 mg plėvele dengtos tabletės yra baltos, apvalios, šiek tiek abipus išgaubtos.</w:t>
      </w:r>
    </w:p>
    <w:p w14:paraId="7688C63F" w14:textId="77777777" w:rsidR="001B11F7" w:rsidRDefault="001B11F7">
      <w:pPr>
        <w:widowControl w:val="0"/>
        <w:rPr>
          <w:sz w:val="22"/>
          <w:szCs w:val="22"/>
          <w:lang w:val="lt-LT" w:eastAsia="lt-LT"/>
        </w:rPr>
      </w:pPr>
    </w:p>
    <w:p w14:paraId="782A484F" w14:textId="77777777" w:rsidR="001B11F7" w:rsidRDefault="001B11F7">
      <w:pPr>
        <w:widowControl w:val="0"/>
        <w:rPr>
          <w:sz w:val="22"/>
          <w:szCs w:val="22"/>
          <w:lang w:val="lt-LT" w:eastAsia="lt-LT"/>
        </w:rPr>
      </w:pPr>
    </w:p>
    <w:p w14:paraId="0924EE6C" w14:textId="77777777" w:rsidR="001B11F7" w:rsidRDefault="00B83885">
      <w:pPr>
        <w:widowControl w:val="0"/>
        <w:ind w:left="567" w:hanging="567"/>
        <w:outlineLvl w:val="1"/>
        <w:rPr>
          <w:b/>
          <w:sz w:val="22"/>
          <w:szCs w:val="22"/>
          <w:lang w:val="lt-LT" w:eastAsia="lt-LT"/>
        </w:rPr>
      </w:pPr>
      <w:r>
        <w:rPr>
          <w:b/>
          <w:sz w:val="22"/>
          <w:szCs w:val="22"/>
          <w:lang w:val="lt-LT" w:eastAsia="lt-LT"/>
        </w:rPr>
        <w:t>4.</w:t>
      </w:r>
      <w:r>
        <w:rPr>
          <w:b/>
          <w:sz w:val="22"/>
          <w:szCs w:val="22"/>
          <w:lang w:val="lt-LT" w:eastAsia="lt-LT"/>
        </w:rPr>
        <w:tab/>
        <w:t>KLINIKINĖ INFORMACIJA</w:t>
      </w:r>
    </w:p>
    <w:p w14:paraId="68DB521D" w14:textId="77777777" w:rsidR="001B11F7" w:rsidRDefault="001B11F7">
      <w:pPr>
        <w:widowControl w:val="0"/>
        <w:ind w:left="567" w:hanging="567"/>
        <w:outlineLvl w:val="1"/>
        <w:rPr>
          <w:b/>
          <w:sz w:val="22"/>
          <w:szCs w:val="22"/>
          <w:lang w:val="lt-LT" w:eastAsia="lt-LT"/>
        </w:rPr>
      </w:pPr>
    </w:p>
    <w:p w14:paraId="40EA1B2C" w14:textId="77777777" w:rsidR="001B11F7" w:rsidRDefault="00B83885">
      <w:pPr>
        <w:widowControl w:val="0"/>
        <w:ind w:left="567" w:hanging="567"/>
        <w:outlineLvl w:val="1"/>
        <w:rPr>
          <w:b/>
          <w:sz w:val="22"/>
          <w:szCs w:val="22"/>
          <w:lang w:val="lt-LT" w:eastAsia="lt-LT"/>
        </w:rPr>
      </w:pPr>
      <w:r>
        <w:rPr>
          <w:b/>
          <w:sz w:val="22"/>
          <w:szCs w:val="22"/>
          <w:lang w:val="lt-LT" w:eastAsia="lt-LT"/>
        </w:rPr>
        <w:t>4.1</w:t>
      </w:r>
      <w:r>
        <w:rPr>
          <w:b/>
          <w:sz w:val="22"/>
          <w:szCs w:val="22"/>
          <w:lang w:val="lt-LT" w:eastAsia="lt-LT"/>
        </w:rPr>
        <w:tab/>
        <w:t>Terapinės indikacijos</w:t>
      </w:r>
    </w:p>
    <w:p w14:paraId="70212B64" w14:textId="77777777" w:rsidR="001B11F7" w:rsidRDefault="001B11F7">
      <w:pPr>
        <w:widowControl w:val="0"/>
        <w:rPr>
          <w:sz w:val="22"/>
          <w:szCs w:val="22"/>
          <w:lang w:val="lt-LT" w:eastAsia="lt-LT"/>
        </w:rPr>
      </w:pPr>
    </w:p>
    <w:p w14:paraId="438A9550" w14:textId="77777777" w:rsidR="001B11F7" w:rsidRDefault="00B83885">
      <w:pPr>
        <w:widowControl w:val="0"/>
        <w:rPr>
          <w:sz w:val="22"/>
          <w:szCs w:val="22"/>
          <w:u w:val="single"/>
          <w:lang w:val="lt-LT" w:eastAsia="lt-LT"/>
        </w:rPr>
      </w:pPr>
      <w:r>
        <w:rPr>
          <w:sz w:val="22"/>
          <w:szCs w:val="22"/>
          <w:u w:val="single"/>
          <w:lang w:val="lt-LT" w:eastAsia="lt-LT"/>
        </w:rPr>
        <w:t>Hipercholesterolemija</w:t>
      </w:r>
    </w:p>
    <w:p w14:paraId="368EECD0" w14:textId="77777777" w:rsidR="001B11F7" w:rsidRDefault="00B83885">
      <w:pPr>
        <w:widowControl w:val="0"/>
        <w:rPr>
          <w:bCs/>
          <w:sz w:val="22"/>
          <w:szCs w:val="22"/>
          <w:lang w:val="lt-LT" w:eastAsia="lt-LT"/>
        </w:rPr>
      </w:pPr>
      <w:r>
        <w:rPr>
          <w:bCs/>
          <w:sz w:val="22"/>
          <w:szCs w:val="22"/>
          <w:lang w:val="lt-LT" w:eastAsia="lt-LT"/>
        </w:rPr>
        <w:t>Padidėjusios</w:t>
      </w:r>
      <w:r>
        <w:rPr>
          <w:sz w:val="22"/>
          <w:szCs w:val="22"/>
          <w:lang w:val="lt-LT" w:eastAsia="lt-LT"/>
        </w:rPr>
        <w:t xml:space="preserve"> bendrojo cholesterolio</w:t>
      </w:r>
      <w:r>
        <w:rPr>
          <w:bCs/>
          <w:sz w:val="22"/>
          <w:szCs w:val="22"/>
          <w:lang w:val="lt-LT" w:eastAsia="lt-LT"/>
        </w:rPr>
        <w:t>, MTL cholesterolio (MTL), apolipoproteino B ir trigliceridų koncentracijos mažinimas kartu su dieta suaugusiems žmonėms, 10 metų ar vyresniems vaikams bei paaugliams, sergantiems pirmine hipercholesterolemija, įskaitant šeiminę (heterozigotinę) hipercholesterolemiją, arba mišriąją hiperlipidemiją (atitinkančią IIa arba IIb tipą pagal Fridricksono klasifikaciją) tuo atveju, jeigu gydymas dieta arba kitomis nefarmakologinėmis priemonėmis nėra pakankamai veiksmingas.</w:t>
      </w:r>
    </w:p>
    <w:p w14:paraId="241FBDBB" w14:textId="77777777" w:rsidR="001B11F7" w:rsidRDefault="001B11F7">
      <w:pPr>
        <w:widowControl w:val="0"/>
        <w:rPr>
          <w:bCs/>
          <w:sz w:val="22"/>
          <w:szCs w:val="22"/>
          <w:lang w:val="lt-LT" w:eastAsia="lt-LT"/>
        </w:rPr>
      </w:pPr>
    </w:p>
    <w:p w14:paraId="70BE846D" w14:textId="77777777" w:rsidR="001B11F7" w:rsidRDefault="00B83885">
      <w:pPr>
        <w:widowControl w:val="0"/>
        <w:rPr>
          <w:sz w:val="22"/>
          <w:szCs w:val="22"/>
          <w:lang w:val="lt-LT" w:eastAsia="lt-LT"/>
        </w:rPr>
      </w:pPr>
      <w:r>
        <w:rPr>
          <w:bCs/>
          <w:sz w:val="22"/>
          <w:szCs w:val="22"/>
          <w:lang w:val="lt-LT" w:eastAsia="lt-LT"/>
        </w:rPr>
        <w:t>Bendrojo cholesterolio ir MTL koncentracijos mažinimas homozigotine šeimine hipercholesterolemija sergantiems suaugusiems pacientams kartu su kitomis lipidų koncentraciją kraujyje mažinančiomis priemonėmis (pvz., MTL afereze) arba tuo atveju, jeigu minėtų priemonių taikyti negalima.</w:t>
      </w:r>
    </w:p>
    <w:p w14:paraId="57EB2D1A" w14:textId="77777777" w:rsidR="001B11F7" w:rsidRDefault="001B11F7">
      <w:pPr>
        <w:widowControl w:val="0"/>
        <w:rPr>
          <w:sz w:val="22"/>
          <w:szCs w:val="22"/>
          <w:lang w:val="lt-LT" w:eastAsia="lt-LT"/>
        </w:rPr>
      </w:pPr>
    </w:p>
    <w:p w14:paraId="742E20AC" w14:textId="77777777" w:rsidR="001B11F7" w:rsidRDefault="00B83885">
      <w:pPr>
        <w:widowControl w:val="0"/>
        <w:rPr>
          <w:bCs/>
          <w:sz w:val="22"/>
          <w:szCs w:val="22"/>
          <w:u w:val="single"/>
          <w:lang w:val="lt-LT" w:eastAsia="lt-LT"/>
        </w:rPr>
      </w:pPr>
      <w:r>
        <w:rPr>
          <w:bCs/>
          <w:sz w:val="22"/>
          <w:szCs w:val="22"/>
          <w:u w:val="single"/>
          <w:lang w:val="lt-LT" w:eastAsia="lt-LT"/>
        </w:rPr>
        <w:t>Kardiovaskulinės ligos profilaktika</w:t>
      </w:r>
    </w:p>
    <w:p w14:paraId="28A86BB5" w14:textId="77777777" w:rsidR="001B11F7" w:rsidRDefault="00B83885">
      <w:pPr>
        <w:widowControl w:val="0"/>
        <w:autoSpaceDE w:val="0"/>
        <w:autoSpaceDN w:val="0"/>
        <w:adjustRightInd w:val="0"/>
        <w:rPr>
          <w:sz w:val="22"/>
          <w:szCs w:val="22"/>
          <w:lang w:val="lt-LT" w:eastAsia="lt-LT"/>
        </w:rPr>
      </w:pPr>
      <w:r>
        <w:rPr>
          <w:sz w:val="22"/>
          <w:szCs w:val="22"/>
          <w:lang w:val="lt-LT" w:eastAsia="lt-LT"/>
        </w:rPr>
        <w:t>Papildoma kardiovaskulinių reiškinių profilaktika suaugusiems pacientams, kuriems yra patvirtinta didelė kardiovaskulinių reiškinių atsiradimo pirmą kartą rizika (žr. 5.1 skyrių), kartu koreguojant kitus rizikos veiksnius.</w:t>
      </w:r>
    </w:p>
    <w:p w14:paraId="6038D718" w14:textId="77777777" w:rsidR="001B11F7" w:rsidRDefault="001B11F7">
      <w:pPr>
        <w:widowControl w:val="0"/>
        <w:tabs>
          <w:tab w:val="left" w:pos="567"/>
        </w:tabs>
        <w:rPr>
          <w:sz w:val="22"/>
          <w:szCs w:val="22"/>
          <w:lang w:val="lt-LT" w:eastAsia="lt-LT"/>
        </w:rPr>
      </w:pPr>
    </w:p>
    <w:p w14:paraId="7FA09379" w14:textId="77777777" w:rsidR="001B11F7" w:rsidRDefault="00B83885">
      <w:pPr>
        <w:widowControl w:val="0"/>
        <w:ind w:left="567" w:hanging="567"/>
        <w:outlineLvl w:val="1"/>
        <w:rPr>
          <w:b/>
          <w:sz w:val="22"/>
          <w:szCs w:val="22"/>
          <w:lang w:val="lt-LT" w:eastAsia="lt-LT"/>
        </w:rPr>
      </w:pPr>
      <w:r>
        <w:rPr>
          <w:b/>
          <w:sz w:val="22"/>
          <w:szCs w:val="22"/>
          <w:lang w:val="lt-LT" w:eastAsia="lt-LT"/>
        </w:rPr>
        <w:t>4.2</w:t>
      </w:r>
      <w:r>
        <w:rPr>
          <w:b/>
          <w:sz w:val="22"/>
          <w:szCs w:val="22"/>
          <w:lang w:val="lt-LT" w:eastAsia="lt-LT"/>
        </w:rPr>
        <w:tab/>
        <w:t>Dozavimas ir vartojimo metodas</w:t>
      </w:r>
    </w:p>
    <w:p w14:paraId="4E468E67" w14:textId="77777777" w:rsidR="001B11F7" w:rsidRDefault="001B11F7">
      <w:pPr>
        <w:widowControl w:val="0"/>
        <w:rPr>
          <w:sz w:val="22"/>
          <w:szCs w:val="22"/>
          <w:lang w:val="lt-LT" w:eastAsia="lt-LT"/>
        </w:rPr>
      </w:pPr>
    </w:p>
    <w:p w14:paraId="03D1F298" w14:textId="77777777" w:rsidR="001B11F7" w:rsidRDefault="00B83885">
      <w:pPr>
        <w:widowControl w:val="0"/>
        <w:tabs>
          <w:tab w:val="left" w:pos="567"/>
        </w:tabs>
        <w:rPr>
          <w:sz w:val="22"/>
          <w:szCs w:val="22"/>
          <w:u w:val="single"/>
          <w:lang w:val="lt-LT" w:eastAsia="lt-LT"/>
        </w:rPr>
      </w:pPr>
      <w:r>
        <w:rPr>
          <w:sz w:val="22"/>
          <w:szCs w:val="22"/>
          <w:u w:val="single"/>
          <w:lang w:val="lt-LT" w:eastAsia="lt-LT"/>
        </w:rPr>
        <w:lastRenderedPageBreak/>
        <w:t>Dozavimas</w:t>
      </w:r>
    </w:p>
    <w:p w14:paraId="28545749" w14:textId="77777777" w:rsidR="001B11F7" w:rsidRDefault="001B11F7">
      <w:pPr>
        <w:widowControl w:val="0"/>
        <w:tabs>
          <w:tab w:val="left" w:pos="567"/>
        </w:tabs>
        <w:rPr>
          <w:sz w:val="22"/>
          <w:szCs w:val="22"/>
          <w:lang w:val="lt-LT" w:eastAsia="lt-LT"/>
        </w:rPr>
      </w:pPr>
    </w:p>
    <w:p w14:paraId="46A5497C" w14:textId="77777777" w:rsidR="001B11F7" w:rsidRDefault="00B83885">
      <w:pPr>
        <w:widowControl w:val="0"/>
        <w:tabs>
          <w:tab w:val="left" w:pos="567"/>
        </w:tabs>
        <w:rPr>
          <w:sz w:val="22"/>
          <w:szCs w:val="22"/>
          <w:lang w:val="lt-LT" w:eastAsia="lt-LT"/>
        </w:rPr>
      </w:pPr>
      <w:r>
        <w:rPr>
          <w:sz w:val="22"/>
          <w:szCs w:val="22"/>
          <w:lang w:val="lt-LT" w:eastAsia="lt-LT"/>
        </w:rPr>
        <w:t>Prieš gydymą Atoris ir viso gydymo kurso metu pacientas turi laikytis įprastinės cholesterolio koncentraciją mažinančios dietos.</w:t>
      </w:r>
    </w:p>
    <w:p w14:paraId="4E00FC34" w14:textId="77777777" w:rsidR="001B11F7" w:rsidRDefault="001B11F7">
      <w:pPr>
        <w:widowControl w:val="0"/>
        <w:tabs>
          <w:tab w:val="left" w:pos="567"/>
        </w:tabs>
        <w:rPr>
          <w:sz w:val="22"/>
          <w:szCs w:val="22"/>
          <w:lang w:val="lt-LT" w:eastAsia="lt-LT"/>
        </w:rPr>
      </w:pPr>
    </w:p>
    <w:p w14:paraId="16D82EC9" w14:textId="77777777" w:rsidR="001B11F7" w:rsidRDefault="00B83885">
      <w:pPr>
        <w:widowControl w:val="0"/>
        <w:rPr>
          <w:sz w:val="22"/>
          <w:szCs w:val="22"/>
          <w:lang w:val="lt-LT" w:eastAsia="lt-LT"/>
        </w:rPr>
      </w:pPr>
      <w:r>
        <w:rPr>
          <w:sz w:val="22"/>
          <w:szCs w:val="22"/>
          <w:lang w:val="lt-LT" w:eastAsia="lt-LT"/>
        </w:rPr>
        <w:t>Dozė nustatoma individualiai, atsižvelgiant</w:t>
      </w:r>
      <w:r>
        <w:rPr>
          <w:sz w:val="22"/>
          <w:szCs w:val="22"/>
          <w:lang w:val="lt-LT" w:eastAsia="lt-LT" w:bidi="ar-SY"/>
        </w:rPr>
        <w:t xml:space="preserve"> į</w:t>
      </w:r>
      <w:r>
        <w:rPr>
          <w:sz w:val="22"/>
          <w:szCs w:val="22"/>
          <w:lang w:val="lt-LT" w:eastAsia="lt-LT"/>
        </w:rPr>
        <w:t xml:space="preserve"> MTL cholesterolio koncentraciją kraujyje prieš gydymą, gydymo tikslą ir paciento reakciją į vaistinį preparatą.</w:t>
      </w:r>
    </w:p>
    <w:p w14:paraId="7E878AF7" w14:textId="77777777" w:rsidR="001B11F7" w:rsidRDefault="001B11F7">
      <w:pPr>
        <w:widowControl w:val="0"/>
        <w:rPr>
          <w:sz w:val="22"/>
          <w:szCs w:val="22"/>
          <w:lang w:val="lt-LT" w:eastAsia="lt-LT"/>
        </w:rPr>
      </w:pPr>
    </w:p>
    <w:p w14:paraId="30EB1D8B" w14:textId="77777777" w:rsidR="001B11F7" w:rsidRDefault="00B83885">
      <w:pPr>
        <w:widowControl w:val="0"/>
        <w:rPr>
          <w:sz w:val="22"/>
          <w:szCs w:val="22"/>
          <w:lang w:val="lt-LT" w:eastAsia="lt-LT"/>
        </w:rPr>
      </w:pPr>
      <w:r>
        <w:rPr>
          <w:sz w:val="22"/>
          <w:szCs w:val="22"/>
          <w:lang w:val="lt-LT" w:eastAsia="lt-LT"/>
        </w:rPr>
        <w:t>Įprasta pradinė dozė, geriama vieną kartą per parą, yra 10 mg. Ją galima didinti kas 4 savaites ar dar rečiau. Didžiausia dozė, geriama vieną kartą per parą, yra 80 mg.</w:t>
      </w:r>
    </w:p>
    <w:p w14:paraId="46D9220E" w14:textId="77777777" w:rsidR="001B11F7" w:rsidRDefault="001B11F7">
      <w:pPr>
        <w:widowControl w:val="0"/>
        <w:rPr>
          <w:sz w:val="22"/>
          <w:szCs w:val="22"/>
          <w:lang w:val="lt-LT" w:eastAsia="lt-LT"/>
        </w:rPr>
      </w:pPr>
    </w:p>
    <w:p w14:paraId="12FC54A5" w14:textId="77777777" w:rsidR="001B11F7" w:rsidRDefault="00B83885">
      <w:pPr>
        <w:widowControl w:val="0"/>
        <w:rPr>
          <w:i/>
          <w:sz w:val="22"/>
          <w:lang w:val="lt-LT"/>
        </w:rPr>
      </w:pPr>
      <w:r>
        <w:rPr>
          <w:i/>
          <w:sz w:val="22"/>
          <w:szCs w:val="22"/>
          <w:lang w:val="lt-LT" w:eastAsia="lt-LT"/>
        </w:rPr>
        <w:t>Pirminė hipercholesterolemija ir mišri hiperlipidemija</w:t>
      </w:r>
    </w:p>
    <w:p w14:paraId="75480472" w14:textId="77777777" w:rsidR="001B11F7" w:rsidRDefault="00B83885">
      <w:pPr>
        <w:widowControl w:val="0"/>
        <w:rPr>
          <w:sz w:val="22"/>
          <w:szCs w:val="22"/>
          <w:lang w:val="lt-LT" w:eastAsia="lt-LT"/>
        </w:rPr>
      </w:pPr>
      <w:r>
        <w:rPr>
          <w:sz w:val="22"/>
          <w:szCs w:val="22"/>
          <w:lang w:val="lt-LT" w:eastAsia="lt-LT"/>
        </w:rPr>
        <w:t>Daugumai pacientų pakanka vartoti po 10 mg Atoris vieną kartą per parą. Gydomasis poveikis pasireiškia po 2 savaičių, stipriausias poveikis paprastai būna po 4 savaičių. Vaistinio preparato vartojant ilgai, organizmo reakcija į jo poveikį išlieka.</w:t>
      </w:r>
    </w:p>
    <w:p w14:paraId="66DF86B1" w14:textId="77777777" w:rsidR="001B11F7" w:rsidRDefault="001B11F7">
      <w:pPr>
        <w:widowControl w:val="0"/>
        <w:rPr>
          <w:sz w:val="22"/>
          <w:szCs w:val="22"/>
          <w:lang w:val="lt-LT" w:eastAsia="lt-LT"/>
        </w:rPr>
      </w:pPr>
    </w:p>
    <w:p w14:paraId="283F291E" w14:textId="77777777" w:rsidR="001B11F7" w:rsidRDefault="00B83885">
      <w:pPr>
        <w:widowControl w:val="0"/>
        <w:rPr>
          <w:i/>
          <w:sz w:val="22"/>
          <w:szCs w:val="22"/>
          <w:lang w:val="lt-LT" w:eastAsia="lt-LT"/>
        </w:rPr>
      </w:pPr>
      <w:r>
        <w:rPr>
          <w:i/>
          <w:sz w:val="22"/>
          <w:szCs w:val="22"/>
          <w:lang w:val="lt-LT" w:eastAsia="lt-LT"/>
        </w:rPr>
        <w:t>Heterozigotinė šeiminė hipercholesterolemija</w:t>
      </w:r>
    </w:p>
    <w:p w14:paraId="1A191E32" w14:textId="77777777" w:rsidR="001B11F7" w:rsidRDefault="00B83885">
      <w:pPr>
        <w:widowControl w:val="0"/>
        <w:rPr>
          <w:sz w:val="22"/>
          <w:szCs w:val="22"/>
          <w:lang w:val="lt-LT" w:eastAsia="lt-LT"/>
        </w:rPr>
      </w:pPr>
      <w:r>
        <w:rPr>
          <w:sz w:val="22"/>
          <w:szCs w:val="22"/>
          <w:lang w:val="lt-LT" w:eastAsia="lt-LT"/>
        </w:rPr>
        <w:t>Iš pradžių vartojama 10 mg Atoris paros dozė. Dozė pacientui parenkama individualiai, ją didinant kas 4 savaites iki 40 mg paros dozės. Po to paros dozę galima arba didinti iki didžiausios, t. y. 80 mg dozės, arba kartu su kartą per parą vartojama 40 mg atorvastatino doze skirti vartoti tulžies rūgštis surišančių preparatų.</w:t>
      </w:r>
    </w:p>
    <w:p w14:paraId="50A823C7" w14:textId="77777777" w:rsidR="001B11F7" w:rsidRDefault="001B11F7">
      <w:pPr>
        <w:widowControl w:val="0"/>
        <w:rPr>
          <w:sz w:val="22"/>
          <w:szCs w:val="22"/>
          <w:lang w:val="lt-LT" w:eastAsia="lt-LT"/>
        </w:rPr>
      </w:pPr>
    </w:p>
    <w:p w14:paraId="5D716B4C" w14:textId="77777777" w:rsidR="001B11F7" w:rsidRDefault="00B83885">
      <w:pPr>
        <w:widowControl w:val="0"/>
        <w:rPr>
          <w:i/>
          <w:sz w:val="22"/>
          <w:szCs w:val="22"/>
          <w:lang w:val="lt-LT" w:eastAsia="lt-LT"/>
        </w:rPr>
      </w:pPr>
      <w:r>
        <w:rPr>
          <w:i/>
          <w:sz w:val="22"/>
          <w:szCs w:val="22"/>
          <w:lang w:val="lt-LT" w:eastAsia="lt-LT"/>
        </w:rPr>
        <w:t>Homozigotinė šeiminė hipercholesterolemija</w:t>
      </w:r>
    </w:p>
    <w:p w14:paraId="632E32ED" w14:textId="77777777" w:rsidR="001B11F7" w:rsidRDefault="00B83885">
      <w:pPr>
        <w:widowControl w:val="0"/>
        <w:rPr>
          <w:sz w:val="22"/>
          <w:szCs w:val="22"/>
          <w:lang w:val="lt-LT" w:eastAsia="lt-LT"/>
        </w:rPr>
      </w:pPr>
      <w:r>
        <w:rPr>
          <w:sz w:val="22"/>
          <w:szCs w:val="22"/>
          <w:lang w:val="lt-LT" w:eastAsia="lt-LT"/>
        </w:rPr>
        <w:t>Duomenų yra nedaug (žr. 5.1 skyrių).</w:t>
      </w:r>
    </w:p>
    <w:p w14:paraId="7E6492A6" w14:textId="77777777" w:rsidR="001B11F7" w:rsidRDefault="001B11F7">
      <w:pPr>
        <w:widowControl w:val="0"/>
        <w:rPr>
          <w:sz w:val="22"/>
          <w:szCs w:val="22"/>
          <w:lang w:val="lt-LT" w:eastAsia="lt-LT"/>
        </w:rPr>
      </w:pPr>
    </w:p>
    <w:p w14:paraId="735AE15D" w14:textId="77777777" w:rsidR="001B11F7" w:rsidRDefault="00B83885">
      <w:pPr>
        <w:widowControl w:val="0"/>
        <w:rPr>
          <w:sz w:val="22"/>
          <w:szCs w:val="22"/>
          <w:lang w:val="lt-LT" w:eastAsia="lt-LT"/>
        </w:rPr>
      </w:pPr>
      <w:r>
        <w:rPr>
          <w:sz w:val="22"/>
          <w:szCs w:val="22"/>
          <w:lang w:val="lt-LT" w:eastAsia="lt-LT"/>
        </w:rPr>
        <w:t>Homozigotine šeimine hipercholesterolemija sergantiems pacientams atorvastatino paros dozė yra 10</w:t>
      </w:r>
      <w:r>
        <w:rPr>
          <w:sz w:val="22"/>
          <w:szCs w:val="22"/>
          <w:lang w:val="lt-LT" w:eastAsia="lt-LT"/>
        </w:rPr>
        <w:noBreakHyphen/>
        <w:t>80 mg (žr. 5.1 skyrių). Šiems pacientams atorvastatiną reikia vartoti papildomai, kartu taikant kitokius lipidų koncentraciją mažinančius gydymo būdus (pvz., MTL aferezę), arba jeigu tokių gydymo būdų nėra.</w:t>
      </w:r>
    </w:p>
    <w:p w14:paraId="00849EC1" w14:textId="77777777" w:rsidR="001B11F7" w:rsidRDefault="001B11F7">
      <w:pPr>
        <w:widowControl w:val="0"/>
        <w:rPr>
          <w:sz w:val="22"/>
          <w:szCs w:val="22"/>
          <w:lang w:val="lt-LT" w:eastAsia="lt-LT"/>
        </w:rPr>
      </w:pPr>
    </w:p>
    <w:p w14:paraId="7ACB103A" w14:textId="77777777" w:rsidR="001B11F7" w:rsidRDefault="00B83885">
      <w:pPr>
        <w:widowControl w:val="0"/>
        <w:rPr>
          <w:bCs/>
          <w:i/>
          <w:iCs/>
          <w:sz w:val="22"/>
          <w:szCs w:val="22"/>
          <w:lang w:val="lt-LT" w:eastAsia="lt-LT"/>
        </w:rPr>
      </w:pPr>
      <w:r>
        <w:rPr>
          <w:bCs/>
          <w:i/>
          <w:iCs/>
          <w:sz w:val="22"/>
          <w:szCs w:val="22"/>
          <w:lang w:val="lt-LT" w:eastAsia="lt-LT"/>
        </w:rPr>
        <w:t>Kardiovaskulinės ligos profilaktika</w:t>
      </w:r>
    </w:p>
    <w:p w14:paraId="5B3A712A" w14:textId="77777777" w:rsidR="001B11F7" w:rsidRDefault="00B83885">
      <w:pPr>
        <w:widowControl w:val="0"/>
        <w:rPr>
          <w:bCs/>
          <w:sz w:val="22"/>
          <w:szCs w:val="22"/>
          <w:lang w:val="lt-LT" w:eastAsia="lt-LT"/>
        </w:rPr>
      </w:pPr>
      <w:r>
        <w:rPr>
          <w:bCs/>
          <w:sz w:val="22"/>
          <w:szCs w:val="22"/>
          <w:lang w:val="lt-LT" w:eastAsia="lt-LT"/>
        </w:rPr>
        <w:t xml:space="preserve">Klinikinių tyrimų metu pirminei profilaktikai buvo skiriama </w:t>
      </w:r>
      <w:r>
        <w:rPr>
          <w:sz w:val="22"/>
          <w:szCs w:val="22"/>
          <w:lang w:val="lt-LT" w:eastAsia="lt-LT"/>
        </w:rPr>
        <w:t>10 mg paros dozė</w:t>
      </w:r>
      <w:r>
        <w:rPr>
          <w:bCs/>
          <w:sz w:val="22"/>
          <w:szCs w:val="22"/>
          <w:lang w:val="lt-LT" w:eastAsia="lt-LT"/>
        </w:rPr>
        <w:t>. Siekiant, kad MLT cholesterolio koncentracija atitiktų galiojančias rekomendacijas, gali tekti vartoti didesnę dozę.</w:t>
      </w:r>
    </w:p>
    <w:p w14:paraId="6C143371" w14:textId="77777777" w:rsidR="001B11F7" w:rsidRDefault="001B11F7">
      <w:pPr>
        <w:widowControl w:val="0"/>
        <w:rPr>
          <w:sz w:val="22"/>
          <w:szCs w:val="22"/>
          <w:lang w:val="lt-LT" w:eastAsia="lt-LT"/>
        </w:rPr>
      </w:pPr>
    </w:p>
    <w:p w14:paraId="5E06786D" w14:textId="77777777" w:rsidR="001B11F7" w:rsidRDefault="00B83885">
      <w:pPr>
        <w:widowControl w:val="0"/>
        <w:rPr>
          <w:i/>
          <w:sz w:val="22"/>
          <w:lang w:val="lt-LT"/>
        </w:rPr>
      </w:pPr>
      <w:r>
        <w:rPr>
          <w:i/>
          <w:sz w:val="22"/>
          <w:lang w:val="lt-LT"/>
        </w:rPr>
        <w:t>Pacientams, kurių inkstų funkcija sutrikusi</w:t>
      </w:r>
    </w:p>
    <w:p w14:paraId="3946C989" w14:textId="77777777" w:rsidR="001B11F7" w:rsidRDefault="00B83885">
      <w:pPr>
        <w:widowControl w:val="0"/>
        <w:rPr>
          <w:sz w:val="22"/>
          <w:szCs w:val="22"/>
          <w:lang w:val="lt-LT" w:eastAsia="lt-LT"/>
        </w:rPr>
      </w:pPr>
      <w:r>
        <w:rPr>
          <w:sz w:val="22"/>
          <w:szCs w:val="22"/>
          <w:lang w:val="lt-LT" w:eastAsia="lt-LT"/>
        </w:rPr>
        <w:t>Dozės koreguoti nereikia (žr. 4.4 skyrių).</w:t>
      </w:r>
    </w:p>
    <w:p w14:paraId="6BAE61BC" w14:textId="77777777" w:rsidR="001B11F7" w:rsidRDefault="001B11F7">
      <w:pPr>
        <w:widowControl w:val="0"/>
        <w:rPr>
          <w:sz w:val="22"/>
          <w:szCs w:val="22"/>
          <w:lang w:val="lt-LT" w:eastAsia="lt-LT"/>
        </w:rPr>
      </w:pPr>
    </w:p>
    <w:p w14:paraId="1BE868C1" w14:textId="77777777" w:rsidR="001B11F7" w:rsidRDefault="00B83885">
      <w:pPr>
        <w:widowControl w:val="0"/>
        <w:rPr>
          <w:i/>
          <w:sz w:val="22"/>
          <w:lang w:val="lt-LT"/>
        </w:rPr>
      </w:pPr>
      <w:r>
        <w:rPr>
          <w:i/>
          <w:sz w:val="22"/>
          <w:lang w:val="lt-LT"/>
        </w:rPr>
        <w:t>Pacientams, kurių kepenų funkcija sutrikusi</w:t>
      </w:r>
    </w:p>
    <w:p w14:paraId="3E07668A" w14:textId="77777777" w:rsidR="001B11F7" w:rsidRDefault="00B83885">
      <w:pPr>
        <w:widowControl w:val="0"/>
        <w:rPr>
          <w:sz w:val="22"/>
          <w:szCs w:val="22"/>
          <w:lang w:val="lt-LT" w:eastAsia="lt-LT"/>
        </w:rPr>
      </w:pPr>
      <w:r>
        <w:rPr>
          <w:sz w:val="22"/>
          <w:szCs w:val="22"/>
          <w:lang w:val="lt-LT" w:eastAsia="lt-LT"/>
        </w:rPr>
        <w:t>Pacientams, kuriems yra kepenų funkcijos sutrikimas, Atoris būtina skirti atsargiai (žr. 4.4 ir 5.2 skyrius). Pacientams, kurie serga aktyvia kepenų liga, Atoris vartoti draudžiama (žr. 4.3 skyrių).</w:t>
      </w:r>
    </w:p>
    <w:p w14:paraId="3CF59F57" w14:textId="77777777" w:rsidR="001B11F7" w:rsidRDefault="001B11F7">
      <w:pPr>
        <w:widowControl w:val="0"/>
        <w:rPr>
          <w:sz w:val="22"/>
          <w:szCs w:val="22"/>
          <w:lang w:val="lt-LT" w:eastAsia="lt-LT"/>
        </w:rPr>
      </w:pPr>
    </w:p>
    <w:p w14:paraId="35EE92F7" w14:textId="77777777" w:rsidR="001B11F7" w:rsidRDefault="00B83885">
      <w:pPr>
        <w:widowControl w:val="0"/>
        <w:rPr>
          <w:i/>
          <w:iCs/>
          <w:sz w:val="22"/>
          <w:lang w:val="lt-LT"/>
        </w:rPr>
      </w:pPr>
      <w:r>
        <w:rPr>
          <w:i/>
          <w:iCs/>
          <w:sz w:val="22"/>
          <w:lang w:val="lt-LT"/>
        </w:rPr>
        <w:t>Senyviems pacientams</w:t>
      </w:r>
    </w:p>
    <w:p w14:paraId="1C88D6B7" w14:textId="77777777" w:rsidR="001B11F7" w:rsidRDefault="00B83885">
      <w:pPr>
        <w:widowControl w:val="0"/>
        <w:rPr>
          <w:sz w:val="22"/>
          <w:szCs w:val="22"/>
          <w:lang w:val="lt-LT" w:eastAsia="lt-LT"/>
        </w:rPr>
      </w:pPr>
      <w:r>
        <w:rPr>
          <w:sz w:val="22"/>
          <w:szCs w:val="22"/>
          <w:lang w:val="lt-LT" w:eastAsia="lt-LT"/>
        </w:rPr>
        <w:t>Vyresniems nei 70 metų žmonėms vartoti rekomenduojamas atorvastatino dozes yra tiek pat veiksminga ir saugu, kaip ir jaunesniems pacientams.</w:t>
      </w:r>
    </w:p>
    <w:p w14:paraId="48A1DACF" w14:textId="77777777" w:rsidR="001B11F7" w:rsidRDefault="001B11F7">
      <w:pPr>
        <w:widowControl w:val="0"/>
        <w:rPr>
          <w:sz w:val="22"/>
          <w:szCs w:val="22"/>
          <w:lang w:val="lt-LT" w:eastAsia="lt-LT"/>
        </w:rPr>
      </w:pPr>
    </w:p>
    <w:p w14:paraId="0454171D" w14:textId="77777777" w:rsidR="001B11F7" w:rsidRDefault="00B83885">
      <w:pPr>
        <w:widowControl w:val="0"/>
        <w:rPr>
          <w:i/>
          <w:sz w:val="22"/>
          <w:szCs w:val="22"/>
          <w:lang w:val="lt-LT"/>
        </w:rPr>
      </w:pPr>
      <w:r>
        <w:rPr>
          <w:i/>
          <w:sz w:val="22"/>
          <w:szCs w:val="22"/>
          <w:lang w:val="lt-LT"/>
        </w:rPr>
        <w:t>Vaikų populiacija</w:t>
      </w:r>
    </w:p>
    <w:p w14:paraId="290753D5" w14:textId="77777777" w:rsidR="001B11F7" w:rsidRDefault="001B11F7">
      <w:pPr>
        <w:widowControl w:val="0"/>
        <w:rPr>
          <w:bCs/>
          <w:sz w:val="22"/>
          <w:szCs w:val="22"/>
          <w:lang w:val="lt-LT" w:eastAsia="en-US"/>
        </w:rPr>
      </w:pPr>
    </w:p>
    <w:p w14:paraId="1927D0DF" w14:textId="77777777" w:rsidR="001B11F7" w:rsidRDefault="00B83885">
      <w:pPr>
        <w:widowControl w:val="0"/>
        <w:autoSpaceDE w:val="0"/>
        <w:autoSpaceDN w:val="0"/>
        <w:adjustRightInd w:val="0"/>
        <w:rPr>
          <w:bCs/>
          <w:i/>
          <w:iCs/>
          <w:sz w:val="22"/>
          <w:szCs w:val="22"/>
          <w:lang w:val="lt-LT" w:eastAsia="lt-LT"/>
        </w:rPr>
      </w:pPr>
      <w:r>
        <w:rPr>
          <w:bCs/>
          <w:i/>
          <w:iCs/>
          <w:sz w:val="22"/>
          <w:szCs w:val="22"/>
          <w:lang w:val="lt-LT" w:eastAsia="lt-LT"/>
        </w:rPr>
        <w:t>Hipercholesterolemija</w:t>
      </w:r>
    </w:p>
    <w:p w14:paraId="2784C139" w14:textId="77777777" w:rsidR="001B11F7" w:rsidRDefault="00B83885">
      <w:pPr>
        <w:widowControl w:val="0"/>
        <w:autoSpaceDE w:val="0"/>
        <w:autoSpaceDN w:val="0"/>
        <w:adjustRightInd w:val="0"/>
        <w:rPr>
          <w:bCs/>
          <w:sz w:val="22"/>
          <w:szCs w:val="22"/>
          <w:lang w:val="lt-LT" w:eastAsia="lt-LT"/>
        </w:rPr>
      </w:pPr>
      <w:r>
        <w:rPr>
          <w:bCs/>
          <w:sz w:val="22"/>
          <w:szCs w:val="22"/>
          <w:lang w:val="lt-LT" w:eastAsia="lt-LT"/>
        </w:rPr>
        <w:t>Vaikus ir paauglius gali gydyti tik gydytojas, turintis vaikų ir paauglių hiperlipidemijos gydymo patirties, be to, būtina reguliariai vertinti tokių pacientų ligos eigą.</w:t>
      </w:r>
    </w:p>
    <w:p w14:paraId="2AF562C1" w14:textId="77777777" w:rsidR="001B11F7" w:rsidRDefault="001B11F7">
      <w:pPr>
        <w:widowControl w:val="0"/>
        <w:autoSpaceDE w:val="0"/>
        <w:autoSpaceDN w:val="0"/>
        <w:adjustRightInd w:val="0"/>
        <w:rPr>
          <w:bCs/>
          <w:sz w:val="22"/>
          <w:szCs w:val="22"/>
          <w:lang w:val="lt-LT" w:eastAsia="lt-LT"/>
        </w:rPr>
      </w:pPr>
    </w:p>
    <w:p w14:paraId="22DA3EB0" w14:textId="77777777" w:rsidR="001B11F7" w:rsidRDefault="00B83885">
      <w:pPr>
        <w:widowControl w:val="0"/>
        <w:autoSpaceDE w:val="0"/>
        <w:autoSpaceDN w:val="0"/>
        <w:adjustRightInd w:val="0"/>
        <w:rPr>
          <w:rFonts w:eastAsia="SimSun"/>
          <w:sz w:val="22"/>
          <w:szCs w:val="22"/>
          <w:lang w:val="lt-LT" w:eastAsia="lt-LT"/>
        </w:rPr>
      </w:pPr>
      <w:r>
        <w:rPr>
          <w:rFonts w:eastAsia="SimSun"/>
          <w:sz w:val="22"/>
          <w:szCs w:val="22"/>
          <w:lang w:val="lt-LT" w:eastAsia="lt-LT"/>
        </w:rPr>
        <w:t xml:space="preserve">Rekomenduojama pradinė atorvastatino paros dozė 10 metų ir vyresniems pacientams, </w:t>
      </w:r>
      <w:r>
        <w:rPr>
          <w:rFonts w:eastAsia="SimSun"/>
          <w:sz w:val="22"/>
          <w:szCs w:val="22"/>
          <w:lang w:val="lt-LT" w:eastAsia="zh-CN"/>
        </w:rPr>
        <w:t>sergantiems heterozigotine šeimine hipercholesterolemija,</w:t>
      </w:r>
      <w:r>
        <w:rPr>
          <w:rFonts w:eastAsia="SimSun"/>
          <w:sz w:val="22"/>
          <w:szCs w:val="22"/>
          <w:lang w:val="lt-LT" w:eastAsia="lt-LT"/>
        </w:rPr>
        <w:t xml:space="preserve"> yra</w:t>
      </w:r>
      <w:r>
        <w:rPr>
          <w:rFonts w:eastAsia="SimSun"/>
          <w:bCs/>
          <w:sz w:val="22"/>
          <w:szCs w:val="22"/>
          <w:lang w:val="lt-LT" w:eastAsia="lt-LT"/>
        </w:rPr>
        <w:t xml:space="preserve"> 10 </w:t>
      </w:r>
      <w:r>
        <w:rPr>
          <w:rFonts w:eastAsia="SimSun"/>
          <w:sz w:val="22"/>
          <w:szCs w:val="22"/>
          <w:lang w:val="lt-LT" w:eastAsia="lt-LT"/>
        </w:rPr>
        <w:t xml:space="preserve">mg (žr. 5.1 skyrių). Dozę galima didinti iki 80 mg per parą, atsižvelgiant į atsaką ir toleravimą. </w:t>
      </w:r>
      <w:r>
        <w:rPr>
          <w:rFonts w:eastAsia="SimSun"/>
          <w:sz w:val="22"/>
          <w:szCs w:val="22"/>
          <w:lang w:val="lt-LT" w:eastAsia="zh-CN"/>
        </w:rPr>
        <w:t xml:space="preserve">Dozes reikia nustatyti individualiai, atsižvelgiant į rekomenduojamą gydymo tikslą. Dozė koreguojama 4 savaičių arba ilgesniais intervalais. Remiantis tyrimų rezultatais su suaugusiaisiais ir ribotais klinikinių tyrimų su vaikais, sergančiais heterozigotine </w:t>
      </w:r>
      <w:r>
        <w:rPr>
          <w:rFonts w:eastAsia="SimSun"/>
          <w:sz w:val="22"/>
          <w:szCs w:val="22"/>
          <w:lang w:val="lt-LT" w:eastAsia="zh-CN"/>
        </w:rPr>
        <w:lastRenderedPageBreak/>
        <w:t>šeimine hipercholesterolemija, duomenimis, dozė titruojama iki 80 mg per parą (žr. 4.8 ir 5.1 skyrių).</w:t>
      </w:r>
    </w:p>
    <w:p w14:paraId="29A39EBC" w14:textId="77777777" w:rsidR="001B11F7" w:rsidRDefault="001B11F7">
      <w:pPr>
        <w:widowControl w:val="0"/>
        <w:autoSpaceDE w:val="0"/>
        <w:autoSpaceDN w:val="0"/>
        <w:adjustRightInd w:val="0"/>
        <w:rPr>
          <w:rFonts w:eastAsia="SimSun"/>
          <w:sz w:val="22"/>
          <w:szCs w:val="22"/>
          <w:lang w:val="lt-LT" w:eastAsia="lt-LT"/>
        </w:rPr>
      </w:pPr>
    </w:p>
    <w:p w14:paraId="050D6000" w14:textId="77777777" w:rsidR="001B11F7" w:rsidRDefault="00B83885">
      <w:pPr>
        <w:widowControl w:val="0"/>
        <w:rPr>
          <w:rFonts w:eastAsia="SimSun"/>
          <w:sz w:val="22"/>
          <w:szCs w:val="22"/>
          <w:lang w:val="lt-LT" w:eastAsia="lt-LT"/>
        </w:rPr>
      </w:pPr>
      <w:r>
        <w:rPr>
          <w:rFonts w:eastAsia="SimSun"/>
          <w:sz w:val="22"/>
          <w:szCs w:val="22"/>
          <w:lang w:val="lt-LT" w:eastAsia="zh-CN"/>
        </w:rPr>
        <w:t>Iš atvirųjų tyrimų gauti riboti skyrimo 6–10 metų vaikams, sergantiems heterozigotine šeimine hipercholesterolemija, saugumo ir veiksmingumo duomenys. Atorvastatinas nėra skirtas gydyti jaunesnius kaip 10 metų vaikus. Šiuo metu turimi duomenys pateikiami 4.8, 5.1 ir 5.2 skyriuose, tačiau dozavimo rekomendacijų pateikti negalima.</w:t>
      </w:r>
    </w:p>
    <w:p w14:paraId="6D28A156" w14:textId="77777777" w:rsidR="001B11F7" w:rsidRDefault="001B11F7">
      <w:pPr>
        <w:widowControl w:val="0"/>
        <w:autoSpaceDE w:val="0"/>
        <w:autoSpaceDN w:val="0"/>
        <w:adjustRightInd w:val="0"/>
        <w:rPr>
          <w:bCs/>
          <w:sz w:val="22"/>
          <w:szCs w:val="22"/>
          <w:lang w:val="lt-LT" w:eastAsia="lt-LT"/>
        </w:rPr>
      </w:pPr>
    </w:p>
    <w:p w14:paraId="4AC24911" w14:textId="77777777" w:rsidR="001B11F7" w:rsidRDefault="00B83885">
      <w:pPr>
        <w:widowControl w:val="0"/>
        <w:autoSpaceDE w:val="0"/>
        <w:autoSpaceDN w:val="0"/>
        <w:adjustRightInd w:val="0"/>
        <w:rPr>
          <w:bCs/>
          <w:sz w:val="22"/>
          <w:szCs w:val="22"/>
          <w:lang w:val="lt-LT" w:eastAsia="lt-LT"/>
        </w:rPr>
      </w:pPr>
      <w:r>
        <w:rPr>
          <w:bCs/>
          <w:sz w:val="22"/>
          <w:szCs w:val="22"/>
          <w:lang w:val="lt-LT" w:eastAsia="lt-LT"/>
        </w:rPr>
        <w:t>Tokiems pacientams gali labiau tikti kitokios farmacinės formos ar kitokio stiprumo vaistiniai preparatai.</w:t>
      </w:r>
    </w:p>
    <w:p w14:paraId="1A79EF83" w14:textId="77777777" w:rsidR="001B11F7" w:rsidRDefault="001B11F7">
      <w:pPr>
        <w:widowControl w:val="0"/>
        <w:rPr>
          <w:sz w:val="22"/>
          <w:szCs w:val="22"/>
          <w:lang w:val="lt-LT" w:eastAsia="lt-LT"/>
        </w:rPr>
      </w:pPr>
    </w:p>
    <w:p w14:paraId="52E6425D" w14:textId="77777777" w:rsidR="001B11F7" w:rsidRDefault="00B83885">
      <w:pPr>
        <w:widowControl w:val="0"/>
        <w:rPr>
          <w:i/>
          <w:sz w:val="22"/>
          <w:lang w:val="lt-LT"/>
        </w:rPr>
      </w:pPr>
      <w:r>
        <w:rPr>
          <w:i/>
          <w:sz w:val="22"/>
          <w:lang w:val="lt-LT"/>
        </w:rPr>
        <w:t>Vartojimas kartu su kitais vaistiniais preparatais</w:t>
      </w:r>
    </w:p>
    <w:p w14:paraId="668CD874" w14:textId="77777777" w:rsidR="001B11F7" w:rsidRDefault="00B83885">
      <w:pPr>
        <w:widowControl w:val="0"/>
        <w:rPr>
          <w:sz w:val="22"/>
          <w:szCs w:val="22"/>
          <w:lang w:val="lt-LT" w:eastAsia="lt-LT"/>
        </w:rPr>
      </w:pPr>
      <w:r>
        <w:rPr>
          <w:sz w:val="22"/>
          <w:szCs w:val="22"/>
          <w:lang w:val="lt-LT" w:eastAsia="lt-LT"/>
        </w:rPr>
        <w:t>Pacientams, kartu su atorvastatinu vartojantiems antivirusinius vaistinius preparatus nuo hepatito C elbasvirą ir grazoprevirą arba letermovirą citomegalo viruso infekcijos profilaktikai, atorvastatino dozė neturi būti didesnė kaip 20 mg per parą (žr. 4.4 ir 4.5 skyrius).</w:t>
      </w:r>
    </w:p>
    <w:p w14:paraId="4458BED8" w14:textId="77777777" w:rsidR="001B11F7" w:rsidRDefault="001B11F7">
      <w:pPr>
        <w:widowControl w:val="0"/>
        <w:rPr>
          <w:sz w:val="22"/>
          <w:szCs w:val="22"/>
          <w:lang w:val="lt-LT" w:eastAsia="lt-LT"/>
        </w:rPr>
      </w:pPr>
    </w:p>
    <w:p w14:paraId="1B9E431B" w14:textId="77777777" w:rsidR="001B11F7" w:rsidRDefault="00B83885">
      <w:pPr>
        <w:widowControl w:val="0"/>
        <w:rPr>
          <w:sz w:val="22"/>
          <w:szCs w:val="22"/>
          <w:lang w:val="lt-LT" w:eastAsia="lt-LT"/>
        </w:rPr>
      </w:pPr>
      <w:r>
        <w:rPr>
          <w:sz w:val="22"/>
          <w:szCs w:val="22"/>
          <w:lang w:val="lt-LT" w:eastAsia="lt-LT"/>
        </w:rPr>
        <w:t>Pacientams, vartojantiems letermovirą kartu su ciklosporinu, nerekomenduojama vartoti atorvastatino (žr. 4.4 ir 4.5 skyrius).</w:t>
      </w:r>
    </w:p>
    <w:p w14:paraId="21812619" w14:textId="77777777" w:rsidR="001B11F7" w:rsidRDefault="001B11F7">
      <w:pPr>
        <w:widowControl w:val="0"/>
        <w:rPr>
          <w:sz w:val="22"/>
          <w:szCs w:val="22"/>
          <w:lang w:val="lt-LT" w:eastAsia="lt-LT"/>
        </w:rPr>
      </w:pPr>
    </w:p>
    <w:p w14:paraId="729F44E7" w14:textId="77777777" w:rsidR="001B11F7" w:rsidRDefault="00B83885">
      <w:pPr>
        <w:widowControl w:val="0"/>
        <w:rPr>
          <w:sz w:val="22"/>
          <w:szCs w:val="22"/>
          <w:u w:val="single"/>
          <w:lang w:val="lt-LT" w:eastAsia="lt-LT"/>
        </w:rPr>
      </w:pPr>
      <w:r>
        <w:rPr>
          <w:sz w:val="22"/>
          <w:szCs w:val="22"/>
          <w:u w:val="single"/>
          <w:lang w:val="lt-LT" w:eastAsia="lt-LT"/>
        </w:rPr>
        <w:t>Vartojimo metodas</w:t>
      </w:r>
    </w:p>
    <w:p w14:paraId="6323381E" w14:textId="77777777" w:rsidR="001B11F7" w:rsidRDefault="00B83885">
      <w:pPr>
        <w:widowControl w:val="0"/>
        <w:rPr>
          <w:sz w:val="22"/>
          <w:szCs w:val="22"/>
          <w:lang w:val="lt-LT" w:eastAsia="lt-LT"/>
        </w:rPr>
      </w:pPr>
      <w:r>
        <w:rPr>
          <w:sz w:val="22"/>
          <w:szCs w:val="22"/>
          <w:lang w:val="lt-LT" w:eastAsia="lt-LT"/>
        </w:rPr>
        <w:t>Atorvastatino vartojama per burną. Paros dozė išgeriama iš karto. Dozę galima gerti bet kuriuo paros metu, valgant arba nevalgius.</w:t>
      </w:r>
    </w:p>
    <w:p w14:paraId="592CCDCF" w14:textId="77777777" w:rsidR="001B11F7" w:rsidRDefault="001B11F7">
      <w:pPr>
        <w:widowControl w:val="0"/>
        <w:rPr>
          <w:sz w:val="22"/>
          <w:szCs w:val="22"/>
          <w:lang w:val="lt-LT" w:eastAsia="lt-LT"/>
        </w:rPr>
      </w:pPr>
    </w:p>
    <w:p w14:paraId="26E06228" w14:textId="77777777" w:rsidR="001B11F7" w:rsidRDefault="00B83885">
      <w:pPr>
        <w:widowControl w:val="0"/>
        <w:ind w:left="567" w:hanging="567"/>
        <w:outlineLvl w:val="1"/>
        <w:rPr>
          <w:b/>
          <w:sz w:val="22"/>
          <w:szCs w:val="22"/>
          <w:lang w:val="lt-LT" w:eastAsia="lt-LT"/>
        </w:rPr>
      </w:pPr>
      <w:r>
        <w:rPr>
          <w:b/>
          <w:sz w:val="22"/>
          <w:szCs w:val="22"/>
          <w:lang w:val="lt-LT" w:eastAsia="lt-LT"/>
        </w:rPr>
        <w:t>4.3</w:t>
      </w:r>
      <w:r>
        <w:rPr>
          <w:b/>
          <w:sz w:val="22"/>
          <w:szCs w:val="22"/>
          <w:lang w:val="lt-LT" w:eastAsia="lt-LT"/>
        </w:rPr>
        <w:tab/>
        <w:t>Kontraindikacijos</w:t>
      </w:r>
    </w:p>
    <w:p w14:paraId="092257D9" w14:textId="77777777" w:rsidR="001B11F7" w:rsidRDefault="001B11F7">
      <w:pPr>
        <w:widowControl w:val="0"/>
        <w:rPr>
          <w:sz w:val="22"/>
          <w:szCs w:val="22"/>
          <w:lang w:val="lt-LT" w:eastAsia="lt-LT"/>
        </w:rPr>
      </w:pPr>
    </w:p>
    <w:p w14:paraId="0590E5F8" w14:textId="77777777" w:rsidR="001B11F7" w:rsidRDefault="00B83885">
      <w:pPr>
        <w:widowControl w:val="0"/>
        <w:numPr>
          <w:ilvl w:val="0"/>
          <w:numId w:val="2"/>
        </w:numPr>
        <w:ind w:left="567" w:hanging="567"/>
        <w:rPr>
          <w:sz w:val="22"/>
          <w:szCs w:val="22"/>
          <w:lang w:val="lt-LT" w:eastAsia="lt-LT"/>
        </w:rPr>
      </w:pPr>
      <w:r>
        <w:rPr>
          <w:sz w:val="22"/>
          <w:szCs w:val="22"/>
          <w:lang w:val="lt-LT" w:eastAsia="lt-LT"/>
        </w:rPr>
        <w:t xml:space="preserve">Pacientams, kurių yra padidėjęs jautrumas </w:t>
      </w:r>
      <w:r>
        <w:rPr>
          <w:bCs/>
          <w:sz w:val="22"/>
          <w:szCs w:val="22"/>
          <w:lang w:val="lt-LT" w:eastAsia="lt-LT"/>
        </w:rPr>
        <w:t>veikliajai arba</w:t>
      </w:r>
      <w:r>
        <w:rPr>
          <w:sz w:val="22"/>
          <w:szCs w:val="22"/>
          <w:lang w:val="lt-LT" w:eastAsia="lt-LT"/>
        </w:rPr>
        <w:t xml:space="preserve"> bet kuriai </w:t>
      </w:r>
      <w:r>
        <w:rPr>
          <w:noProof/>
          <w:snapToGrid w:val="0"/>
          <w:sz w:val="22"/>
          <w:szCs w:val="22"/>
          <w:lang w:val="lt-LT" w:eastAsia="en-US"/>
        </w:rPr>
        <w:t xml:space="preserve">6.1 skyriuje nurodytai </w:t>
      </w:r>
      <w:r>
        <w:rPr>
          <w:bCs/>
          <w:sz w:val="22"/>
          <w:szCs w:val="22"/>
          <w:lang w:val="lt-LT" w:eastAsia="lt-LT"/>
        </w:rPr>
        <w:t>pagalbinei</w:t>
      </w:r>
      <w:r>
        <w:rPr>
          <w:sz w:val="22"/>
          <w:szCs w:val="22"/>
          <w:lang w:val="lt-LT" w:eastAsia="lt-LT"/>
        </w:rPr>
        <w:t xml:space="preserve"> </w:t>
      </w:r>
      <w:r>
        <w:rPr>
          <w:bCs/>
          <w:sz w:val="22"/>
          <w:szCs w:val="22"/>
          <w:lang w:val="lt-LT" w:eastAsia="lt-LT"/>
        </w:rPr>
        <w:t>medžiagai</w:t>
      </w:r>
      <w:r>
        <w:rPr>
          <w:sz w:val="22"/>
          <w:szCs w:val="22"/>
          <w:lang w:val="lt-LT" w:eastAsia="lt-LT"/>
        </w:rPr>
        <w:t>.</w:t>
      </w:r>
    </w:p>
    <w:p w14:paraId="22D30F2C" w14:textId="77777777" w:rsidR="001B11F7" w:rsidRDefault="00B83885">
      <w:pPr>
        <w:widowControl w:val="0"/>
        <w:numPr>
          <w:ilvl w:val="0"/>
          <w:numId w:val="2"/>
        </w:numPr>
        <w:ind w:left="567" w:hanging="567"/>
        <w:rPr>
          <w:sz w:val="22"/>
          <w:szCs w:val="22"/>
          <w:lang w:val="lt-LT" w:eastAsia="lt-LT"/>
        </w:rPr>
      </w:pPr>
      <w:r>
        <w:rPr>
          <w:sz w:val="22"/>
          <w:szCs w:val="22"/>
          <w:lang w:val="lt-LT" w:eastAsia="lt-LT"/>
        </w:rPr>
        <w:t>Pacientams, kurie serga aktyvia kepenų liga arba kurių serume yra dėl neaiškios priežasties daugiau kaip 3 kartus didesnis už didžiausią leistiną ribą transaminazių aktyvumas.</w:t>
      </w:r>
    </w:p>
    <w:p w14:paraId="15F9C7AE" w14:textId="77777777" w:rsidR="001B11F7" w:rsidRDefault="00B83885">
      <w:pPr>
        <w:widowControl w:val="0"/>
        <w:numPr>
          <w:ilvl w:val="0"/>
          <w:numId w:val="2"/>
        </w:numPr>
        <w:ind w:left="567" w:hanging="567"/>
        <w:rPr>
          <w:sz w:val="22"/>
          <w:szCs w:val="22"/>
          <w:lang w:val="lt-LT" w:eastAsia="lt-LT"/>
        </w:rPr>
      </w:pPr>
      <w:r>
        <w:rPr>
          <w:sz w:val="22"/>
          <w:szCs w:val="22"/>
          <w:lang w:val="lt-LT" w:eastAsia="lt-LT"/>
        </w:rPr>
        <w:t>Nėštumo ir žindymo laikotarpiu, vaisingoms moterims, nesinaudojančioms tinkamomis kontraceptinėmis priemonėmis (žr. 4.6 skyrių).</w:t>
      </w:r>
    </w:p>
    <w:p w14:paraId="2A6E16A2" w14:textId="77777777" w:rsidR="001B11F7" w:rsidRDefault="00B83885">
      <w:pPr>
        <w:pStyle w:val="Sraopastraipa"/>
        <w:widowControl w:val="0"/>
        <w:numPr>
          <w:ilvl w:val="0"/>
          <w:numId w:val="2"/>
        </w:numPr>
        <w:ind w:left="567" w:hanging="567"/>
        <w:rPr>
          <w:sz w:val="22"/>
          <w:szCs w:val="22"/>
          <w:lang w:eastAsia="lt-LT"/>
        </w:rPr>
      </w:pPr>
      <w:r>
        <w:rPr>
          <w:sz w:val="22"/>
          <w:szCs w:val="22"/>
          <w:lang w:eastAsia="lt-LT"/>
        </w:rPr>
        <w:t>Pacientams, gydomiems antivirusiniais vaistiniais preparatais nuo hepatito C glekapreviru ir pibrentasviru.</w:t>
      </w:r>
    </w:p>
    <w:p w14:paraId="5C671613" w14:textId="77777777" w:rsidR="001B11F7" w:rsidRDefault="001B11F7">
      <w:pPr>
        <w:widowControl w:val="0"/>
        <w:rPr>
          <w:sz w:val="22"/>
          <w:szCs w:val="22"/>
          <w:lang w:val="lt-LT" w:eastAsia="lt-LT"/>
        </w:rPr>
      </w:pPr>
    </w:p>
    <w:p w14:paraId="79C6ACD8" w14:textId="77777777" w:rsidR="001B11F7" w:rsidRDefault="00B83885">
      <w:pPr>
        <w:widowControl w:val="0"/>
        <w:ind w:left="567" w:hanging="567"/>
        <w:outlineLvl w:val="1"/>
        <w:rPr>
          <w:b/>
          <w:sz w:val="22"/>
          <w:szCs w:val="22"/>
          <w:lang w:val="lt-LT" w:eastAsia="lt-LT"/>
        </w:rPr>
      </w:pPr>
      <w:r>
        <w:rPr>
          <w:b/>
          <w:sz w:val="22"/>
          <w:szCs w:val="22"/>
          <w:lang w:val="lt-LT" w:eastAsia="lt-LT"/>
        </w:rPr>
        <w:t>4.4</w:t>
      </w:r>
      <w:r>
        <w:rPr>
          <w:b/>
          <w:sz w:val="22"/>
          <w:szCs w:val="22"/>
          <w:lang w:val="lt-LT" w:eastAsia="lt-LT"/>
        </w:rPr>
        <w:tab/>
        <w:t>Specialūs įspėjimai ir atsargumo priemonės</w:t>
      </w:r>
    </w:p>
    <w:p w14:paraId="55E1C16B" w14:textId="77777777" w:rsidR="001B11F7" w:rsidRDefault="001B11F7">
      <w:pPr>
        <w:widowControl w:val="0"/>
        <w:rPr>
          <w:sz w:val="22"/>
          <w:szCs w:val="22"/>
          <w:lang w:val="lt-LT" w:eastAsia="lt-LT"/>
        </w:rPr>
      </w:pPr>
    </w:p>
    <w:p w14:paraId="50C615E3" w14:textId="77777777" w:rsidR="001B11F7" w:rsidRDefault="00B83885">
      <w:pPr>
        <w:widowControl w:val="0"/>
        <w:rPr>
          <w:sz w:val="22"/>
          <w:szCs w:val="22"/>
          <w:u w:val="single"/>
          <w:lang w:val="lt-LT" w:eastAsia="lt-LT"/>
        </w:rPr>
      </w:pPr>
      <w:r>
        <w:rPr>
          <w:sz w:val="22"/>
          <w:szCs w:val="22"/>
          <w:u w:val="single"/>
          <w:lang w:val="lt-LT" w:eastAsia="lt-LT"/>
        </w:rPr>
        <w:t>Kepenų funkcijos sutrikimas</w:t>
      </w:r>
    </w:p>
    <w:p w14:paraId="5A429482" w14:textId="77777777" w:rsidR="001B11F7" w:rsidRDefault="00B83885">
      <w:pPr>
        <w:widowControl w:val="0"/>
        <w:rPr>
          <w:sz w:val="22"/>
          <w:szCs w:val="22"/>
          <w:lang w:val="lt-LT" w:eastAsia="lt-LT"/>
        </w:rPr>
      </w:pPr>
      <w:r>
        <w:rPr>
          <w:sz w:val="22"/>
          <w:szCs w:val="22"/>
          <w:lang w:val="lt-LT" w:eastAsia="lt-LT"/>
        </w:rPr>
        <w:t>Prieš gydymą atorvastatinu ir periodiškai jo metu reikia tirti kepenų funkciją. Jeigu atsiranda bet kokių kepenų pažeidimui būdingų požymių ar simptomų, reikia atlikti kepenų funkcijos tyrimus. Pacientus, kurių kraujyje transaminazių koncentracija padidėja, reikia stebėti tol, kol ji sunormalės. Jeigu transaminazių koncentracija serume tampa daugiau kaip 3 kartus didesnė nei viršutinė normos riba (VNR) ir tokia išlieka, rekomenduojama mažinti Atoris dozę arba nutraukti jo vartojimą (žr. 4.8 skyrių).</w:t>
      </w:r>
    </w:p>
    <w:p w14:paraId="47482069" w14:textId="77777777" w:rsidR="001B11F7" w:rsidRDefault="001B11F7">
      <w:pPr>
        <w:widowControl w:val="0"/>
        <w:rPr>
          <w:sz w:val="22"/>
          <w:szCs w:val="22"/>
          <w:lang w:val="lt-LT" w:eastAsia="lt-LT"/>
        </w:rPr>
      </w:pPr>
    </w:p>
    <w:p w14:paraId="3510262D" w14:textId="77777777" w:rsidR="001B11F7" w:rsidRDefault="00B83885">
      <w:pPr>
        <w:widowControl w:val="0"/>
        <w:rPr>
          <w:sz w:val="22"/>
          <w:szCs w:val="22"/>
          <w:lang w:val="lt-LT" w:eastAsia="lt-LT"/>
        </w:rPr>
      </w:pPr>
      <w:r>
        <w:rPr>
          <w:sz w:val="22"/>
          <w:szCs w:val="22"/>
          <w:lang w:val="lt-LT" w:eastAsia="lt-LT"/>
        </w:rPr>
        <w:t>Pacientai, piktnaudžiaujantys alkoholiu ir (arba) sirgę kepenų liga, Atoris turi vartoti atsargiai.</w:t>
      </w:r>
    </w:p>
    <w:p w14:paraId="47955182" w14:textId="77777777" w:rsidR="001B11F7" w:rsidRDefault="001B11F7">
      <w:pPr>
        <w:widowControl w:val="0"/>
        <w:rPr>
          <w:sz w:val="22"/>
          <w:szCs w:val="22"/>
          <w:lang w:val="lt-LT" w:eastAsia="lt-LT"/>
        </w:rPr>
      </w:pPr>
    </w:p>
    <w:p w14:paraId="4664B4CE" w14:textId="77777777" w:rsidR="001B11F7" w:rsidRDefault="00B83885">
      <w:pPr>
        <w:widowControl w:val="0"/>
        <w:rPr>
          <w:sz w:val="22"/>
          <w:szCs w:val="22"/>
          <w:u w:val="single"/>
          <w:lang w:val="lt-LT" w:eastAsia="lt-LT"/>
        </w:rPr>
      </w:pPr>
      <w:r>
        <w:rPr>
          <w:sz w:val="22"/>
          <w:szCs w:val="22"/>
          <w:u w:val="single"/>
          <w:lang w:val="lt-LT" w:eastAsia="lt-LT"/>
        </w:rPr>
        <w:t>Insulto profilaktika intensyviai mažinant cholesterolio koncentraciją (</w:t>
      </w:r>
      <w:r>
        <w:rPr>
          <w:i/>
          <w:sz w:val="22"/>
          <w:szCs w:val="22"/>
          <w:u w:val="single"/>
          <w:lang w:val="lt-LT" w:eastAsia="lt-LT"/>
        </w:rPr>
        <w:t>Stroke Prevention by Aggressive Reduction in Cholesterol Levels</w:t>
      </w:r>
      <w:r>
        <w:rPr>
          <w:sz w:val="22"/>
          <w:szCs w:val="22"/>
          <w:u w:val="single"/>
          <w:lang w:val="lt-LT" w:eastAsia="lt-LT"/>
        </w:rPr>
        <w:t>,</w:t>
      </w:r>
      <w:r>
        <w:rPr>
          <w:i/>
          <w:sz w:val="22"/>
          <w:szCs w:val="22"/>
          <w:u w:val="single"/>
          <w:lang w:val="lt-LT" w:eastAsia="lt-LT"/>
        </w:rPr>
        <w:t xml:space="preserve"> </w:t>
      </w:r>
      <w:r>
        <w:rPr>
          <w:sz w:val="22"/>
          <w:szCs w:val="22"/>
          <w:u w:val="single"/>
          <w:lang w:val="lt-LT" w:eastAsia="lt-LT"/>
        </w:rPr>
        <w:t>SPARCL)</w:t>
      </w:r>
    </w:p>
    <w:p w14:paraId="20790EBE" w14:textId="77777777" w:rsidR="001B11F7" w:rsidRDefault="00B83885">
      <w:pPr>
        <w:widowControl w:val="0"/>
        <w:rPr>
          <w:sz w:val="22"/>
          <w:szCs w:val="22"/>
          <w:lang w:val="lt-LT" w:eastAsia="lt-LT"/>
        </w:rPr>
      </w:pPr>
      <w:r>
        <w:rPr>
          <w:sz w:val="22"/>
          <w:szCs w:val="22"/>
          <w:lang w:val="lt-LT" w:eastAsia="lt-LT"/>
        </w:rPr>
        <w:t xml:space="preserve">Insulto potipių vėlesnės </w:t>
      </w:r>
      <w:r>
        <w:rPr>
          <w:i/>
          <w:sz w:val="22"/>
          <w:szCs w:val="22"/>
          <w:lang w:val="lt-LT" w:eastAsia="lt-LT"/>
        </w:rPr>
        <w:t xml:space="preserve">post-hoc </w:t>
      </w:r>
      <w:r>
        <w:rPr>
          <w:sz w:val="22"/>
          <w:szCs w:val="22"/>
          <w:lang w:val="lt-LT" w:eastAsia="lt-LT"/>
        </w:rPr>
        <w:t>analizės duomenimis, pacientams, kurie nesirgo išemine širdies liga ir neseniai buvo patyrę insultą ar praeinantį smegenų išemijos priepuolį (PSIP), pradėjus gydytis 80 mg atorvastatino doze, palyginti su placebo vartojusiais pacientais, dažniau pasireiškė hemoraginis insultas. Padidėjusi rizika nustatyta ypač tiems pacientams, kurie prieš tyrimą jau buvo patyrę hemoraginį insultą ar lakūninį infarktą. Pacientų, anksčiau patyrusių hemoraginį insultą ar lakūninį infarktą, gydymo 80 mg atorvastatino doze rizikos ir naudos santykis nėra žinomas, todėl prieš gydymą būtina atidžiai įvertinti galimą hemoraginio insulto riziką (žr. 5.1 skyrių).</w:t>
      </w:r>
    </w:p>
    <w:p w14:paraId="5F374293" w14:textId="77777777" w:rsidR="001B11F7" w:rsidRDefault="001B11F7">
      <w:pPr>
        <w:widowControl w:val="0"/>
        <w:rPr>
          <w:sz w:val="22"/>
          <w:szCs w:val="22"/>
          <w:lang w:val="lt-LT" w:eastAsia="lt-LT"/>
        </w:rPr>
      </w:pPr>
    </w:p>
    <w:p w14:paraId="6601DA0A" w14:textId="77777777" w:rsidR="001B11F7" w:rsidRDefault="00B83885">
      <w:pPr>
        <w:widowControl w:val="0"/>
        <w:rPr>
          <w:sz w:val="22"/>
          <w:szCs w:val="22"/>
          <w:u w:val="single"/>
          <w:lang w:val="lt-LT" w:eastAsia="lt-LT"/>
        </w:rPr>
      </w:pPr>
      <w:r>
        <w:rPr>
          <w:sz w:val="22"/>
          <w:szCs w:val="22"/>
          <w:u w:val="single"/>
          <w:lang w:val="lt-LT" w:eastAsia="lt-LT"/>
        </w:rPr>
        <w:t>Poveikis griaučių raumenims</w:t>
      </w:r>
    </w:p>
    <w:p w14:paraId="7016AD43" w14:textId="77777777" w:rsidR="001B11F7" w:rsidRDefault="00B83885">
      <w:pPr>
        <w:widowControl w:val="0"/>
        <w:rPr>
          <w:sz w:val="22"/>
          <w:szCs w:val="22"/>
          <w:lang w:val="lt-LT" w:eastAsia="lt-LT"/>
        </w:rPr>
      </w:pPr>
      <w:r>
        <w:rPr>
          <w:sz w:val="22"/>
          <w:szCs w:val="22"/>
          <w:lang w:val="lt-LT" w:eastAsia="lt-LT"/>
        </w:rPr>
        <w:lastRenderedPageBreak/>
        <w:t>Atorvastatinas, kaip ir kitokie HMG CoA reduktazės inhibitoriai, retais atvejais gali daryti poveikį griaučių raumenims ir sukelti mialgiją, miozitą ar miopatiją, kuri gali progresuoti į rabdomiolizę, t. y. gyvybei pavojingą būklę, pasireiškiančią kreatino kinazės (KK) koncentracijos padidėjimu (</w:t>
      </w:r>
      <w:r>
        <w:rPr>
          <w:sz w:val="22"/>
          <w:szCs w:val="22"/>
          <w:lang w:val="lt-LT" w:eastAsia="lt-LT"/>
        </w:rPr>
        <w:sym w:font="Symbol" w:char="F0B3"/>
      </w:r>
      <w:r>
        <w:rPr>
          <w:sz w:val="22"/>
          <w:szCs w:val="22"/>
          <w:lang w:val="lt-LT" w:eastAsia="lt-LT"/>
        </w:rPr>
        <w:t> 10 kartų viršijančiu didžiausią leistiną aktyvumą), mioglobinemija ir mioglobinurija bei galinčią sukelti inkstų nepakankamumą.</w:t>
      </w:r>
    </w:p>
    <w:p w14:paraId="3101D84E" w14:textId="77777777" w:rsidR="001B11F7" w:rsidRDefault="001B11F7">
      <w:pPr>
        <w:widowControl w:val="0"/>
      </w:pPr>
    </w:p>
    <w:p w14:paraId="2ED3F0A5" w14:textId="77777777" w:rsidR="001B11F7" w:rsidRDefault="00B83885">
      <w:pPr>
        <w:widowControl w:val="0"/>
        <w:rPr>
          <w:sz w:val="22"/>
          <w:szCs w:val="22"/>
          <w:lang w:val="lt-LT" w:eastAsia="lt-LT"/>
        </w:rPr>
      </w:pPr>
      <w:r>
        <w:rPr>
          <w:sz w:val="22"/>
          <w:szCs w:val="22"/>
        </w:rPr>
        <w:t xml:space="preserve">Keliais atvejais gauta pranešimų apie tai, kad statinai </w:t>
      </w:r>
      <w:r>
        <w:rPr>
          <w:i/>
          <w:iCs/>
          <w:sz w:val="22"/>
          <w:szCs w:val="22"/>
        </w:rPr>
        <w:t>de novo</w:t>
      </w:r>
      <w:r>
        <w:rPr>
          <w:sz w:val="22"/>
          <w:szCs w:val="22"/>
        </w:rPr>
        <w:t xml:space="preserve"> sukelia generalizuot</w:t>
      </w:r>
      <w:r>
        <w:rPr>
          <w:sz w:val="22"/>
          <w:szCs w:val="22"/>
          <w:lang w:val="lt-LT"/>
        </w:rPr>
        <w:t>ą</w:t>
      </w:r>
      <w:r>
        <w:rPr>
          <w:sz w:val="22"/>
          <w:szCs w:val="22"/>
        </w:rPr>
        <w:t xml:space="preserve"> miasteniją (</w:t>
      </w:r>
      <w:r>
        <w:rPr>
          <w:i/>
          <w:iCs/>
          <w:sz w:val="22"/>
          <w:szCs w:val="22"/>
        </w:rPr>
        <w:t>Myasthenia gravis</w:t>
      </w:r>
      <w:r>
        <w:rPr>
          <w:sz w:val="22"/>
          <w:szCs w:val="22"/>
        </w:rPr>
        <w:t>) ar akių miasteniją arba pasunkina šiomis ligomis jau sergančių pacientų būklę (žr. 4.8 skyrių). Jeigu ligos simptomai paūmėja, Atoris vartojimą reikia nutraukti. Gauta pranešimų apie atsinaujinusios ligos atvejus, kai buvo (pakartotinai) vartojamas tas pats arba kitas statinų grupės vaistinis preparatas.</w:t>
      </w:r>
    </w:p>
    <w:p w14:paraId="13C3A849" w14:textId="77777777" w:rsidR="001B11F7" w:rsidRDefault="001B11F7">
      <w:pPr>
        <w:widowControl w:val="0"/>
        <w:rPr>
          <w:i/>
          <w:iCs/>
          <w:sz w:val="22"/>
          <w:szCs w:val="22"/>
          <w:lang w:val="lt-LT" w:eastAsia="lt-LT"/>
        </w:rPr>
      </w:pPr>
    </w:p>
    <w:p w14:paraId="541BB0CA" w14:textId="77777777" w:rsidR="001B11F7" w:rsidRDefault="00B83885">
      <w:pPr>
        <w:widowControl w:val="0"/>
        <w:rPr>
          <w:sz w:val="22"/>
          <w:szCs w:val="22"/>
          <w:lang w:val="lt-LT" w:eastAsia="lt-LT"/>
        </w:rPr>
      </w:pPr>
      <w:r>
        <w:rPr>
          <w:i/>
          <w:iCs/>
          <w:sz w:val="22"/>
          <w:szCs w:val="22"/>
          <w:lang w:val="lt-LT" w:eastAsia="lt-LT"/>
        </w:rPr>
        <w:t>Prieš pradedant gydymą</w:t>
      </w:r>
    </w:p>
    <w:p w14:paraId="455A1F08" w14:textId="77777777" w:rsidR="001B11F7" w:rsidRDefault="00B83885">
      <w:pPr>
        <w:widowControl w:val="0"/>
        <w:rPr>
          <w:sz w:val="22"/>
          <w:szCs w:val="22"/>
          <w:lang w:val="lt-LT" w:eastAsia="lt-LT"/>
        </w:rPr>
      </w:pPr>
      <w:r>
        <w:rPr>
          <w:sz w:val="22"/>
          <w:szCs w:val="22"/>
          <w:lang w:val="lt-LT" w:eastAsia="lt-LT"/>
        </w:rPr>
        <w:t>Jeigu yra rabdomiolizės atsiradimo rizikos veiksnių, skirti vartoti atorvastatino reikia atsargiai. Prieš pradedant gydymą statinais būtina nustatyti KK koncentraciją, jei yra šių rizikos veiksnių:</w:t>
      </w:r>
    </w:p>
    <w:p w14:paraId="2D655418"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inkstų funkcijos sutrikimas;</w:t>
      </w:r>
    </w:p>
    <w:p w14:paraId="2357DC8F"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hipotirozė;</w:t>
      </w:r>
    </w:p>
    <w:p w14:paraId="7CB52A7E"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pacientui arba jo kraujo giminaičiams diagnozuota paveldima raumenų liga;</w:t>
      </w:r>
    </w:p>
    <w:p w14:paraId="4D2C2E17"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buvęs toksinis statinų ar fibratų poveikis raumenims;</w:t>
      </w:r>
    </w:p>
    <w:p w14:paraId="32F10E2F"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buvusi kepenų liga ir (arba) piktnaudžiaujama alkoholiu;</w:t>
      </w:r>
    </w:p>
    <w:p w14:paraId="64B9F524"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pacientas yra senyvas (&gt; 70 metų) (tokiu atveju tyrimo reikalingumas nustatomas atsižvelgiant į tai, ar yra kitų rabdomiolizės rizikos veiksnių);</w:t>
      </w:r>
    </w:p>
    <w:p w14:paraId="4CFE5EA3" w14:textId="77777777" w:rsidR="001B11F7" w:rsidRDefault="00B83885">
      <w:pPr>
        <w:widowControl w:val="0"/>
        <w:ind w:left="567" w:hanging="567"/>
        <w:rPr>
          <w:sz w:val="22"/>
          <w:szCs w:val="22"/>
          <w:lang w:val="lt-LT" w:eastAsia="lt-LT"/>
        </w:rPr>
      </w:pPr>
      <w:r>
        <w:rPr>
          <w:sz w:val="22"/>
          <w:szCs w:val="22"/>
          <w:lang w:val="lt-LT" w:eastAsia="lt-LT"/>
        </w:rPr>
        <w:t>-</w:t>
      </w:r>
      <w:r>
        <w:rPr>
          <w:sz w:val="22"/>
          <w:szCs w:val="22"/>
          <w:lang w:val="lt-LT" w:eastAsia="lt-LT"/>
        </w:rPr>
        <w:tab/>
        <w:t>yra atorvastatino koncentracijos plazmoje padidėjimo rizika, pvz., susijusi su sąveika (žr. 4.5 skyrių) ar tam tikromis pacientų grupėmis, įskaitant genetinius pacientų pogrupius (žr. 5.2 skyrių).</w:t>
      </w:r>
    </w:p>
    <w:p w14:paraId="55817705" w14:textId="77777777" w:rsidR="001B11F7" w:rsidRDefault="001B11F7">
      <w:pPr>
        <w:widowControl w:val="0"/>
        <w:tabs>
          <w:tab w:val="left" w:pos="1296"/>
        </w:tabs>
        <w:ind w:left="567" w:hanging="567"/>
        <w:rPr>
          <w:sz w:val="22"/>
          <w:szCs w:val="22"/>
          <w:lang w:val="lt-LT" w:eastAsia="lt-LT"/>
        </w:rPr>
      </w:pPr>
    </w:p>
    <w:p w14:paraId="62BFD28E" w14:textId="77777777" w:rsidR="001B11F7" w:rsidRDefault="00B83885">
      <w:pPr>
        <w:widowControl w:val="0"/>
        <w:tabs>
          <w:tab w:val="left" w:pos="1296"/>
        </w:tabs>
        <w:rPr>
          <w:sz w:val="22"/>
          <w:szCs w:val="22"/>
          <w:lang w:val="lt-LT" w:eastAsia="lt-LT"/>
        </w:rPr>
      </w:pPr>
      <w:r>
        <w:rPr>
          <w:sz w:val="22"/>
          <w:szCs w:val="22"/>
          <w:lang w:val="lt-LT" w:eastAsia="lt-LT"/>
        </w:rPr>
        <w:t>Jei yra minėta situacija, reikia įvertinti galimą gydymo naudą ir riziką, be to, rekomenduojama stebėti klinikinę paciento būklę.</w:t>
      </w:r>
    </w:p>
    <w:p w14:paraId="73FD8652" w14:textId="77777777" w:rsidR="001B11F7" w:rsidRDefault="001B11F7">
      <w:pPr>
        <w:widowControl w:val="0"/>
        <w:tabs>
          <w:tab w:val="left" w:pos="1296"/>
        </w:tabs>
        <w:rPr>
          <w:sz w:val="22"/>
          <w:szCs w:val="22"/>
          <w:lang w:val="lt-LT" w:eastAsia="lt-LT"/>
        </w:rPr>
      </w:pPr>
    </w:p>
    <w:p w14:paraId="6016F7D7" w14:textId="77777777" w:rsidR="001B11F7" w:rsidRDefault="00B83885">
      <w:pPr>
        <w:widowControl w:val="0"/>
        <w:tabs>
          <w:tab w:val="left" w:pos="1296"/>
        </w:tabs>
        <w:rPr>
          <w:sz w:val="22"/>
          <w:szCs w:val="22"/>
          <w:lang w:val="lt-LT" w:eastAsia="lt-LT"/>
        </w:rPr>
      </w:pPr>
      <w:r>
        <w:rPr>
          <w:sz w:val="22"/>
          <w:szCs w:val="22"/>
          <w:lang w:val="lt-LT" w:eastAsia="lt-LT"/>
        </w:rPr>
        <w:t>Jei KK koncentracija yra labai padidėjusi (daugiau kaip 5 kartus viršija VNR), gydymo pradėti negalima.</w:t>
      </w:r>
    </w:p>
    <w:p w14:paraId="6C2EDD47" w14:textId="77777777" w:rsidR="001B11F7" w:rsidRDefault="001B11F7">
      <w:pPr>
        <w:widowControl w:val="0"/>
        <w:rPr>
          <w:sz w:val="22"/>
          <w:szCs w:val="22"/>
          <w:lang w:val="lt-LT" w:eastAsia="lt-LT"/>
        </w:rPr>
      </w:pPr>
    </w:p>
    <w:p w14:paraId="5CEBD564" w14:textId="77777777" w:rsidR="001B11F7" w:rsidRDefault="00B83885">
      <w:pPr>
        <w:widowControl w:val="0"/>
        <w:jc w:val="both"/>
        <w:outlineLvl w:val="3"/>
        <w:rPr>
          <w:sz w:val="22"/>
          <w:szCs w:val="22"/>
          <w:lang w:val="lt-LT" w:eastAsia="lt-LT"/>
        </w:rPr>
      </w:pPr>
      <w:r>
        <w:rPr>
          <w:i/>
          <w:sz w:val="22"/>
          <w:szCs w:val="22"/>
          <w:lang w:val="lt-LT" w:eastAsia="lt-LT"/>
        </w:rPr>
        <w:t>Kreatino kinazės</w:t>
      </w:r>
      <w:r>
        <w:rPr>
          <w:rFonts w:eastAsia="Calibri"/>
          <w:i/>
          <w:sz w:val="22"/>
          <w:szCs w:val="22"/>
          <w:lang w:val="lt-LT" w:eastAsia="lt-LT"/>
        </w:rPr>
        <w:t xml:space="preserve"> koncentracijos matavimas</w:t>
      </w:r>
    </w:p>
    <w:p w14:paraId="5E664D0B" w14:textId="77777777" w:rsidR="001B11F7" w:rsidRDefault="00B83885">
      <w:pPr>
        <w:widowControl w:val="0"/>
        <w:tabs>
          <w:tab w:val="left" w:pos="1296"/>
        </w:tabs>
        <w:rPr>
          <w:sz w:val="22"/>
          <w:szCs w:val="22"/>
          <w:lang w:val="lt-LT" w:eastAsia="lt-LT"/>
        </w:rPr>
      </w:pPr>
      <w:r>
        <w:rPr>
          <w:sz w:val="22"/>
          <w:szCs w:val="22"/>
          <w:lang w:val="lt-LT" w:eastAsia="lt-LT"/>
        </w:rPr>
        <w:t xml:space="preserve">Kreatinkinazės (KK) koncentracijos negalima tirti po didelio fizinio krūvio arba esant kitai priežasčiai, dėl kurios ši koncentracija gali padidėti, nes tai apsunkina rodmenų vertinimą. </w:t>
      </w:r>
      <w:r>
        <w:rPr>
          <w:rFonts w:eastAsia="Calibri"/>
          <w:sz w:val="22"/>
          <w:szCs w:val="22"/>
          <w:lang w:val="lt-LT" w:eastAsia="lt-LT"/>
        </w:rPr>
        <w:t xml:space="preserve">Jeigu prieš pradedant gydymą KK </w:t>
      </w:r>
      <w:r>
        <w:rPr>
          <w:sz w:val="22"/>
          <w:szCs w:val="22"/>
          <w:lang w:val="lt-LT" w:eastAsia="lt-LT"/>
        </w:rPr>
        <w:t>koncentracija yra labai padidėjusi (daugiau kaip 5 kartus viršija VNR),</w:t>
      </w:r>
      <w:r>
        <w:rPr>
          <w:rFonts w:eastAsia="Calibri"/>
          <w:sz w:val="22"/>
          <w:szCs w:val="22"/>
          <w:lang w:val="lt-LT" w:eastAsia="lt-LT"/>
        </w:rPr>
        <w:t xml:space="preserve"> tyrimą reikia pakartoti po 5–7 parų, kad galima būtų patvirtinti tyrimo rezultatus.</w:t>
      </w:r>
    </w:p>
    <w:p w14:paraId="15A69888" w14:textId="77777777" w:rsidR="001B11F7" w:rsidRDefault="001B11F7">
      <w:pPr>
        <w:widowControl w:val="0"/>
        <w:jc w:val="both"/>
        <w:outlineLvl w:val="3"/>
        <w:rPr>
          <w:sz w:val="22"/>
          <w:szCs w:val="22"/>
          <w:u w:val="single"/>
          <w:lang w:val="lt-LT" w:eastAsia="lt-LT"/>
        </w:rPr>
      </w:pPr>
    </w:p>
    <w:p w14:paraId="333664B6" w14:textId="77777777" w:rsidR="001B11F7" w:rsidRDefault="00B83885">
      <w:pPr>
        <w:widowControl w:val="0"/>
        <w:rPr>
          <w:iCs/>
          <w:sz w:val="22"/>
          <w:szCs w:val="22"/>
          <w:lang w:val="lt-LT" w:eastAsia="lt-LT"/>
        </w:rPr>
      </w:pPr>
      <w:r>
        <w:rPr>
          <w:i/>
          <w:sz w:val="22"/>
          <w:szCs w:val="22"/>
          <w:lang w:val="lt-LT" w:eastAsia="lt-LT"/>
        </w:rPr>
        <w:t>Gydymo metu</w:t>
      </w:r>
    </w:p>
    <w:p w14:paraId="48C262A6" w14:textId="77777777" w:rsidR="001B11F7" w:rsidRDefault="00B83885">
      <w:pPr>
        <w:widowControl w:val="0"/>
        <w:numPr>
          <w:ilvl w:val="0"/>
          <w:numId w:val="3"/>
        </w:numPr>
        <w:ind w:left="567" w:hanging="567"/>
        <w:contextualSpacing/>
        <w:rPr>
          <w:sz w:val="22"/>
          <w:szCs w:val="22"/>
          <w:lang w:val="lt-LT" w:eastAsia="lt-LT"/>
        </w:rPr>
      </w:pPr>
      <w:r>
        <w:rPr>
          <w:rFonts w:eastAsia="Calibri"/>
          <w:sz w:val="22"/>
          <w:szCs w:val="22"/>
          <w:lang w:val="lt-LT" w:eastAsia="lt-LT"/>
        </w:rPr>
        <w:t>Pacientus būtina įspėti, kad tuoj pat kreiptųsi į gydytoją, jeigu atsiranda raumenų skausmas, mėšlungis ar silpnumas, ypač susijęs su bendrojo pobūdžio negalavimu ar karščiavimu.</w:t>
      </w:r>
    </w:p>
    <w:p w14:paraId="644F4D8C" w14:textId="77777777" w:rsidR="001B11F7" w:rsidRDefault="00B83885">
      <w:pPr>
        <w:widowControl w:val="0"/>
        <w:numPr>
          <w:ilvl w:val="0"/>
          <w:numId w:val="3"/>
        </w:numPr>
        <w:ind w:left="567" w:hanging="567"/>
        <w:contextualSpacing/>
        <w:rPr>
          <w:sz w:val="22"/>
          <w:szCs w:val="22"/>
          <w:lang w:val="lt-LT" w:eastAsia="lt-LT"/>
        </w:rPr>
      </w:pPr>
      <w:r>
        <w:rPr>
          <w:rFonts w:eastAsia="Calibri"/>
          <w:sz w:val="22"/>
          <w:szCs w:val="22"/>
          <w:lang w:val="lt-LT" w:eastAsia="lt-LT"/>
        </w:rPr>
        <w:t>Jeigu tokių simptomų atsiranda atorvastatino vartojimo metu, reikia ištirti KK koncentraciją.</w:t>
      </w:r>
      <w:r>
        <w:rPr>
          <w:sz w:val="22"/>
          <w:szCs w:val="22"/>
          <w:lang w:val="lt-LT" w:eastAsia="lt-LT"/>
        </w:rPr>
        <w:t xml:space="preserve"> </w:t>
      </w:r>
      <w:r>
        <w:rPr>
          <w:rFonts w:eastAsia="Calibri"/>
          <w:sz w:val="22"/>
          <w:szCs w:val="22"/>
          <w:lang w:val="lt-LT" w:eastAsia="lt-LT"/>
        </w:rPr>
        <w:t xml:space="preserve">Jeigu KK </w:t>
      </w:r>
      <w:r>
        <w:rPr>
          <w:sz w:val="22"/>
          <w:szCs w:val="22"/>
          <w:lang w:val="lt-LT" w:eastAsia="lt-LT"/>
        </w:rPr>
        <w:t>koncentracija yra labai padidėjusi (daugiau kaip 5 kartus viršija VNR),</w:t>
      </w:r>
      <w:r>
        <w:rPr>
          <w:rFonts w:eastAsia="Calibri"/>
          <w:sz w:val="22"/>
          <w:szCs w:val="22"/>
          <w:lang w:val="lt-LT" w:eastAsia="lt-LT"/>
        </w:rPr>
        <w:t xml:space="preserve"> gydymą reikia nutraukti.</w:t>
      </w:r>
    </w:p>
    <w:p w14:paraId="515EEC7E" w14:textId="77777777" w:rsidR="001B11F7" w:rsidRDefault="00B83885">
      <w:pPr>
        <w:widowControl w:val="0"/>
        <w:numPr>
          <w:ilvl w:val="0"/>
          <w:numId w:val="3"/>
        </w:numPr>
        <w:ind w:left="567" w:hanging="567"/>
        <w:contextualSpacing/>
        <w:rPr>
          <w:sz w:val="22"/>
          <w:szCs w:val="22"/>
          <w:lang w:val="lt-LT" w:eastAsia="lt-LT"/>
        </w:rPr>
      </w:pPr>
      <w:r>
        <w:rPr>
          <w:rFonts w:eastAsia="Calibri"/>
          <w:sz w:val="22"/>
          <w:szCs w:val="22"/>
          <w:lang w:val="lt-LT" w:eastAsia="lt-LT"/>
        </w:rPr>
        <w:t xml:space="preserve">Jeigu raumenų simptomai yra sunkūs arba kelia kasdienį diskomfortą, o KK koncentracija VNR viršija </w:t>
      </w:r>
      <w:r>
        <w:rPr>
          <w:color w:val="000000"/>
          <w:sz w:val="22"/>
          <w:szCs w:val="22"/>
          <w:lang w:val="lt-LT" w:eastAsia="lt-LT"/>
        </w:rPr>
        <w:t>≤</w:t>
      </w:r>
      <w:r>
        <w:rPr>
          <w:rFonts w:eastAsia="Calibri"/>
          <w:sz w:val="22"/>
          <w:szCs w:val="22"/>
          <w:lang w:val="lt-LT" w:eastAsia="lt-LT"/>
        </w:rPr>
        <w:t>5 kartus, reikia apsvarstyti gydymo nutraukimą.</w:t>
      </w:r>
    </w:p>
    <w:p w14:paraId="41A3888C" w14:textId="77777777" w:rsidR="001B11F7" w:rsidRDefault="00B83885">
      <w:pPr>
        <w:widowControl w:val="0"/>
        <w:numPr>
          <w:ilvl w:val="0"/>
          <w:numId w:val="3"/>
        </w:numPr>
        <w:ind w:left="567" w:hanging="567"/>
        <w:contextualSpacing/>
        <w:rPr>
          <w:sz w:val="22"/>
          <w:szCs w:val="22"/>
          <w:lang w:val="lt-LT" w:eastAsia="lt-LT"/>
        </w:rPr>
      </w:pPr>
      <w:r>
        <w:rPr>
          <w:rFonts w:eastAsia="Calibri"/>
          <w:sz w:val="22"/>
          <w:szCs w:val="22"/>
          <w:lang w:val="lt-LT" w:eastAsia="lt-LT"/>
        </w:rPr>
        <w:t>Jeigu simptomai išnyksta ir KK koncentracija tampa normali, galima pradėti gydyti mažiausia atorvastatino ar kito statino doze (pacientą būtina atidžiai stebėti).</w:t>
      </w:r>
    </w:p>
    <w:p w14:paraId="39BA367B" w14:textId="77777777" w:rsidR="001B11F7" w:rsidRDefault="00B83885">
      <w:pPr>
        <w:widowControl w:val="0"/>
        <w:numPr>
          <w:ilvl w:val="0"/>
          <w:numId w:val="3"/>
        </w:numPr>
        <w:ind w:left="567" w:hanging="567"/>
        <w:contextualSpacing/>
        <w:rPr>
          <w:rFonts w:eastAsia="Calibri"/>
          <w:sz w:val="22"/>
          <w:szCs w:val="22"/>
          <w:lang w:val="lt-LT" w:eastAsia="lt-LT"/>
        </w:rPr>
      </w:pPr>
      <w:r>
        <w:rPr>
          <w:rFonts w:eastAsia="Calibri"/>
          <w:sz w:val="22"/>
          <w:szCs w:val="22"/>
          <w:lang w:val="lt-LT" w:eastAsia="lt-LT"/>
        </w:rPr>
        <w:t>Jeigu kliniškai reikšmingai padidėja KK koncentracija (&gt; 10 kartų viršija VNR) ir nustatoma arba įtariama rabdomiolizė, atorvastatino vartojimą būtina nutraukti.</w:t>
      </w:r>
    </w:p>
    <w:p w14:paraId="37C8DB6F" w14:textId="77777777" w:rsidR="001B11F7" w:rsidRDefault="001B11F7">
      <w:pPr>
        <w:widowControl w:val="0"/>
        <w:autoSpaceDE w:val="0"/>
        <w:autoSpaceDN w:val="0"/>
        <w:adjustRightInd w:val="0"/>
        <w:rPr>
          <w:i/>
          <w:iCs/>
          <w:color w:val="000000"/>
          <w:sz w:val="22"/>
          <w:szCs w:val="22"/>
          <w:u w:val="single"/>
          <w:lang w:val="lt-LT"/>
        </w:rPr>
      </w:pPr>
    </w:p>
    <w:p w14:paraId="2F97077E" w14:textId="77777777" w:rsidR="001B11F7" w:rsidRDefault="00B83885">
      <w:pPr>
        <w:widowControl w:val="0"/>
        <w:tabs>
          <w:tab w:val="left" w:pos="1296"/>
        </w:tabs>
        <w:rPr>
          <w:i/>
          <w:sz w:val="22"/>
          <w:szCs w:val="22"/>
          <w:u w:val="single"/>
          <w:lang w:val="lt-LT" w:eastAsia="lt-LT"/>
        </w:rPr>
      </w:pPr>
      <w:r>
        <w:rPr>
          <w:iCs/>
          <w:sz w:val="22"/>
          <w:szCs w:val="22"/>
          <w:u w:val="single"/>
          <w:lang w:val="lt-LT" w:eastAsia="lt-LT"/>
        </w:rPr>
        <w:t>Vartojimas kartu su kitais vaistiniais preparatais</w:t>
      </w:r>
    </w:p>
    <w:p w14:paraId="50074244" w14:textId="77777777" w:rsidR="001B11F7" w:rsidRDefault="00B83885">
      <w:pPr>
        <w:widowControl w:val="0"/>
        <w:tabs>
          <w:tab w:val="left" w:pos="567"/>
        </w:tabs>
        <w:rPr>
          <w:color w:val="060606"/>
          <w:sz w:val="22"/>
          <w:szCs w:val="22"/>
          <w:lang w:val="lt-LT" w:eastAsia="en-GB"/>
        </w:rPr>
      </w:pPr>
      <w:r>
        <w:rPr>
          <w:sz w:val="22"/>
          <w:szCs w:val="22"/>
          <w:lang w:val="lt-LT"/>
        </w:rPr>
        <w:t xml:space="preserve">Rabdomiolizės rizika yra didesnė, </w:t>
      </w:r>
      <w:r>
        <w:rPr>
          <w:color w:val="060606"/>
          <w:sz w:val="22"/>
          <w:szCs w:val="22"/>
          <w:lang w:val="lt-LT" w:eastAsia="en-GB"/>
        </w:rPr>
        <w:t xml:space="preserve">atorvastatiną </w:t>
      </w:r>
      <w:r>
        <w:rPr>
          <w:sz w:val="22"/>
          <w:szCs w:val="22"/>
          <w:lang w:val="lt-LT"/>
        </w:rPr>
        <w:t xml:space="preserve">vartojant kartu su tam tikrais vaistiniais preparatais, kurie gali didinti atorvastatino koncentraciją plazmoje, pavyzdžiui, stipriais CYP3A4 ar baltymų nešiklių inhibitoriais (pvz., ciklosporinu, telitromicinu, klaritromicinu, delavirdinu, stiripentoliu, ketokonazolu, vorikonazolu, itrakonazolu, pozakonazolu ir ŽIV proteazių inhibitoriais, įskaitant </w:t>
      </w:r>
      <w:r>
        <w:rPr>
          <w:sz w:val="22"/>
          <w:szCs w:val="22"/>
          <w:lang w:val="lt-LT"/>
        </w:rPr>
        <w:lastRenderedPageBreak/>
        <w:t xml:space="preserve">ritonavirą, lopinavirą, atazanavirą, indinavirą, darunavirą, tipranavirą ir ritonavirą, ir kt.). Be to, miopatijos rizika gali padidėti, vartojant kartu su gemfibroziliu ir kitais fibro rūgšties dariniais, eritromicinu, nikotino rūgštimi ir ezetimibu, antivirusiniais vaistiniais preparatais hepatitui C gydyti: </w:t>
      </w:r>
      <w:r>
        <w:rPr>
          <w:sz w:val="22"/>
          <w:szCs w:val="22"/>
          <w:lang w:val="lt-LT" w:eastAsia="en-GB"/>
        </w:rPr>
        <w:t>bocepreviru,</w:t>
      </w:r>
      <w:r>
        <w:rPr>
          <w:sz w:val="22"/>
          <w:szCs w:val="22"/>
          <w:lang w:val="lt-LT"/>
        </w:rPr>
        <w:t xml:space="preserve"> telapreviru, elbasviro ir grazopreviro deriniu</w:t>
      </w:r>
      <w:r>
        <w:rPr>
          <w:sz w:val="22"/>
          <w:szCs w:val="22"/>
        </w:rPr>
        <w:t>, ledipasviro ir sofosbuviro deriniu</w:t>
      </w:r>
      <w:r>
        <w:rPr>
          <w:sz w:val="22"/>
          <w:szCs w:val="22"/>
          <w:lang w:val="lt-LT"/>
        </w:rPr>
        <w:t>. Jeigu įmanoma, vietoj šių vaistinių preparatų reikia apgalvotai skirti kitokį gydymą (nekeliantį rizikos dėl sąveikos).</w:t>
      </w:r>
    </w:p>
    <w:p w14:paraId="41860E35" w14:textId="77777777" w:rsidR="001B11F7" w:rsidRDefault="001B11F7">
      <w:pPr>
        <w:widowControl w:val="0"/>
        <w:tabs>
          <w:tab w:val="left" w:pos="1296"/>
        </w:tabs>
        <w:rPr>
          <w:sz w:val="22"/>
          <w:szCs w:val="22"/>
          <w:lang w:val="lt-LT" w:eastAsia="lt-LT"/>
        </w:rPr>
      </w:pPr>
    </w:p>
    <w:p w14:paraId="4EDBE97C" w14:textId="77777777" w:rsidR="001B11F7" w:rsidRDefault="00B83885">
      <w:pPr>
        <w:widowControl w:val="0"/>
        <w:contextualSpacing/>
        <w:rPr>
          <w:sz w:val="22"/>
          <w:szCs w:val="22"/>
          <w:lang w:val="lt-LT" w:eastAsia="lt-LT"/>
        </w:rPr>
      </w:pPr>
      <w:r>
        <w:rPr>
          <w:sz w:val="22"/>
          <w:szCs w:val="22"/>
          <w:lang w:val="lt-LT" w:eastAsia="en-US"/>
        </w:rPr>
        <w:t xml:space="preserve">Buvo labai retų pranešimų apie </w:t>
      </w:r>
      <w:r>
        <w:rPr>
          <w:kern w:val="32"/>
          <w:sz w:val="22"/>
          <w:szCs w:val="22"/>
          <w:lang w:val="lt-LT"/>
        </w:rPr>
        <w:t>su imuninėmis reakcijomis siejamą</w:t>
      </w:r>
      <w:r>
        <w:rPr>
          <w:sz w:val="22"/>
          <w:szCs w:val="22"/>
          <w:lang w:val="lt-LT" w:eastAsia="en-US"/>
        </w:rPr>
        <w:t xml:space="preserve"> nekrozuojančią miopatiją (</w:t>
      </w:r>
      <w:r>
        <w:rPr>
          <w:sz w:val="22"/>
          <w:szCs w:val="22"/>
          <w:lang w:val="lt-LT"/>
        </w:rPr>
        <w:t>SIRSNM</w:t>
      </w:r>
      <w:r>
        <w:rPr>
          <w:sz w:val="22"/>
          <w:szCs w:val="22"/>
          <w:lang w:val="lt-LT" w:eastAsia="en-US"/>
        </w:rPr>
        <w:t xml:space="preserve">) gydymo </w:t>
      </w:r>
      <w:r>
        <w:rPr>
          <w:sz w:val="22"/>
          <w:szCs w:val="22"/>
          <w:lang w:val="lt-LT"/>
        </w:rPr>
        <w:t xml:space="preserve">kai kuriais </w:t>
      </w:r>
      <w:r>
        <w:rPr>
          <w:sz w:val="22"/>
          <w:szCs w:val="22"/>
          <w:lang w:val="lt-LT" w:eastAsia="en-US"/>
        </w:rPr>
        <w:t xml:space="preserve">statinais metu arba jį pabaigus. </w:t>
      </w:r>
      <w:r>
        <w:rPr>
          <w:sz w:val="22"/>
          <w:szCs w:val="22"/>
          <w:lang w:val="lt-LT"/>
        </w:rPr>
        <w:t>SIRSNM</w:t>
      </w:r>
      <w:r>
        <w:rPr>
          <w:sz w:val="22"/>
          <w:szCs w:val="22"/>
          <w:lang w:val="lt-LT" w:eastAsia="en-US"/>
        </w:rPr>
        <w:t xml:space="preserve"> kliniškai apibūdinama proksimalinių raumenų silpnumu ir padidėjusiu </w:t>
      </w:r>
      <w:r>
        <w:rPr>
          <w:sz w:val="22"/>
          <w:szCs w:val="22"/>
          <w:lang w:val="lt-LT"/>
        </w:rPr>
        <w:t>kreatinkinazės aktyvumu</w:t>
      </w:r>
      <w:r>
        <w:rPr>
          <w:sz w:val="22"/>
          <w:szCs w:val="22"/>
          <w:lang w:val="lt-LT" w:eastAsia="en-US"/>
        </w:rPr>
        <w:t xml:space="preserve"> serume (kuris išlieka nepaisant gydymo statinais nutraukimo),</w:t>
      </w:r>
      <w:r>
        <w:t xml:space="preserve"> </w:t>
      </w:r>
      <w:r>
        <w:rPr>
          <w:sz w:val="22"/>
          <w:szCs w:val="22"/>
          <w:lang w:val="lt-LT" w:eastAsia="en-US"/>
        </w:rPr>
        <w:t>teigiamu anti-HMG-CoA reduktazės antikūnu ir pagerėjimu naudojant imunosupresantus.</w:t>
      </w:r>
    </w:p>
    <w:p w14:paraId="659918E7" w14:textId="77777777" w:rsidR="001B11F7" w:rsidRDefault="001B11F7">
      <w:pPr>
        <w:widowControl w:val="0"/>
        <w:autoSpaceDE w:val="0"/>
        <w:autoSpaceDN w:val="0"/>
        <w:adjustRightInd w:val="0"/>
        <w:ind w:left="567" w:hanging="567"/>
        <w:rPr>
          <w:i/>
          <w:iCs/>
          <w:color w:val="000000"/>
          <w:sz w:val="22"/>
          <w:szCs w:val="22"/>
          <w:u w:val="single"/>
          <w:lang w:val="lt-LT"/>
        </w:rPr>
      </w:pPr>
    </w:p>
    <w:p w14:paraId="3D5D5479" w14:textId="77777777" w:rsidR="001B11F7" w:rsidRDefault="00B83885">
      <w:pPr>
        <w:widowControl w:val="0"/>
        <w:tabs>
          <w:tab w:val="left" w:pos="1296"/>
        </w:tabs>
        <w:rPr>
          <w:sz w:val="22"/>
          <w:szCs w:val="22"/>
          <w:lang w:val="lt-LT" w:eastAsia="lt-LT"/>
        </w:rPr>
      </w:pPr>
      <w:r>
        <w:rPr>
          <w:sz w:val="22"/>
          <w:szCs w:val="22"/>
          <w:lang w:val="lt-LT" w:eastAsia="lt-LT"/>
        </w:rPr>
        <w:t>Tais atvejais, kai minėtų vaistinių preparatų kartu su atorvastatinu vartoti būtina, reikia tiksliai įvertinti tokio gydymo naudos ir rizikos santykį. Jei pacientas vartoja atorvastatino koncentraciją plazmoje didinti galinčių vaistinių preparatų, rekomenduojama vartoti mažesnę maksimalią atorvastatino dozę. Be to, jei vartojama stiprių CYP3A4 inhibitorių, reikia apsvarstyti mažesnės pradinės atorvastatino dozės vartojimą bei tinkamai stebėti klinikinę paciento būklę (žr. 4.5 skyrių).</w:t>
      </w:r>
    </w:p>
    <w:p w14:paraId="407E77C7" w14:textId="77777777" w:rsidR="001B11F7" w:rsidRDefault="001B11F7">
      <w:pPr>
        <w:widowControl w:val="0"/>
        <w:tabs>
          <w:tab w:val="left" w:pos="1296"/>
        </w:tabs>
        <w:rPr>
          <w:sz w:val="22"/>
          <w:szCs w:val="22"/>
          <w:lang w:val="lt-LT" w:eastAsia="lt-LT"/>
        </w:rPr>
      </w:pPr>
    </w:p>
    <w:p w14:paraId="4EC5F49E" w14:textId="77777777" w:rsidR="001B11F7" w:rsidRDefault="00B83885">
      <w:pPr>
        <w:widowControl w:val="0"/>
        <w:tabs>
          <w:tab w:val="left" w:pos="1296"/>
        </w:tabs>
        <w:rPr>
          <w:sz w:val="22"/>
          <w:szCs w:val="22"/>
          <w:lang w:val="lt-LT" w:eastAsia="lt-LT"/>
        </w:rPr>
      </w:pPr>
      <w:r>
        <w:rPr>
          <w:sz w:val="22"/>
          <w:szCs w:val="22"/>
          <w:lang w:val="lt-LT" w:eastAsia="lt-LT"/>
        </w:rPr>
        <w:t>Atoris negalima vartoti kartu su sisteminio poveikio fuzido rūgšties formomis bei 7 dienų laikotarpiu po gydymo fuzido rūgštimi nutraukimo. Pacientams, kuriems, manoma, kad sisteminio poveikio fuzido rūgšties vartoti būtina, gydymo fuzido rūgštimi laikotarpiu statino vartojimą reikia nutraukti. Gauta pranešimų apie fuzido rūgšties ir statinų kartu vartojusiems pacientams pasireiškusią rabdomiolizę (įskaitant kelis mirtinus atvejus) (žr. 4.5 skyrių). Pacientui būtina patarti nedelsiant kreiptis į gydytojus, jeigu atsiranda bet kokių raumenų silpnumo, skausmo arba jautrumo simptomų.</w:t>
      </w:r>
    </w:p>
    <w:p w14:paraId="1B463DBF" w14:textId="77777777" w:rsidR="001B11F7" w:rsidRDefault="001B11F7">
      <w:pPr>
        <w:widowControl w:val="0"/>
        <w:tabs>
          <w:tab w:val="left" w:pos="1296"/>
        </w:tabs>
        <w:rPr>
          <w:sz w:val="22"/>
          <w:szCs w:val="22"/>
          <w:lang w:val="lt-LT" w:eastAsia="lt-LT"/>
        </w:rPr>
      </w:pPr>
    </w:p>
    <w:p w14:paraId="70BB94E3" w14:textId="77777777" w:rsidR="001B11F7" w:rsidRDefault="00B83885">
      <w:pPr>
        <w:widowControl w:val="0"/>
        <w:tabs>
          <w:tab w:val="left" w:pos="1296"/>
        </w:tabs>
        <w:rPr>
          <w:sz w:val="22"/>
          <w:szCs w:val="22"/>
          <w:lang w:val="lt-LT" w:eastAsia="lt-LT"/>
        </w:rPr>
      </w:pPr>
      <w:r>
        <w:rPr>
          <w:sz w:val="22"/>
          <w:szCs w:val="22"/>
          <w:lang w:val="lt-LT" w:eastAsia="lt-LT"/>
        </w:rPr>
        <w:t>Gydymą statinu galima atnaujinti praėjus septynioms dienoms po paskutinės fuzido rūgšties dozės suvartojimo.</w:t>
      </w:r>
    </w:p>
    <w:p w14:paraId="674BB3C3" w14:textId="77777777" w:rsidR="001B11F7" w:rsidRDefault="001B11F7">
      <w:pPr>
        <w:widowControl w:val="0"/>
        <w:tabs>
          <w:tab w:val="left" w:pos="1296"/>
        </w:tabs>
        <w:rPr>
          <w:sz w:val="22"/>
          <w:szCs w:val="22"/>
          <w:lang w:val="lt-LT" w:eastAsia="lt-LT"/>
        </w:rPr>
      </w:pPr>
    </w:p>
    <w:p w14:paraId="5E3C1DE0" w14:textId="77777777" w:rsidR="001B11F7" w:rsidRDefault="00B83885">
      <w:pPr>
        <w:widowControl w:val="0"/>
        <w:tabs>
          <w:tab w:val="left" w:pos="1296"/>
        </w:tabs>
        <w:rPr>
          <w:sz w:val="22"/>
          <w:szCs w:val="22"/>
          <w:lang w:val="lt-LT" w:eastAsia="lt-LT"/>
        </w:rPr>
      </w:pPr>
      <w:r>
        <w:rPr>
          <w:sz w:val="22"/>
          <w:szCs w:val="22"/>
          <w:lang w:val="lt-LT" w:eastAsia="lt-LT"/>
        </w:rPr>
        <w:t>Išimtinėmis aplinkybėmis, kai būtinas ilgalaikis gydymas sisteminio poveikio fuzido rūgštimi, pvz., sunkioms infekcinėms ligoms gydyti, Atoris vartojimo kartu su fuzido rūgštimi galimybę būtina įvertinti kiekvienu atveju individualiai, taip pat gydomą pacientą turi atidžiai stebėti gydytojai.</w:t>
      </w:r>
    </w:p>
    <w:p w14:paraId="4352F2A4" w14:textId="77777777" w:rsidR="001B11F7" w:rsidRDefault="001B11F7">
      <w:pPr>
        <w:widowControl w:val="0"/>
        <w:rPr>
          <w:sz w:val="22"/>
          <w:szCs w:val="22"/>
        </w:rPr>
      </w:pPr>
      <w:bookmarkStart w:id="2" w:name="_Hlk177639079"/>
    </w:p>
    <w:p w14:paraId="6033565E" w14:textId="35C48021" w:rsidR="001B11F7" w:rsidRDefault="00B83885">
      <w:pPr>
        <w:widowControl w:val="0"/>
        <w:rPr>
          <w:sz w:val="22"/>
          <w:szCs w:val="22"/>
        </w:rPr>
      </w:pPr>
      <w:r>
        <w:rPr>
          <w:sz w:val="22"/>
          <w:szCs w:val="22"/>
        </w:rPr>
        <w:t>Miopatijos ir (arba) rabdomiolizės rizika gali padidėti skiriant HMG-KoA reduktazės inhibitorių (pvz., atorvastatino) kartu su daptomicinu (žr. 4.5 skyrių). Reikia apsvarstyti galimybę laikinai nutraukti atorvastatino vartojimą pacientams, kurie vartoja daptomicin</w:t>
      </w:r>
      <w:r w:rsidR="00C14D7C">
        <w:rPr>
          <w:sz w:val="22"/>
          <w:szCs w:val="22"/>
        </w:rPr>
        <w:t>o</w:t>
      </w:r>
      <w:r>
        <w:rPr>
          <w:sz w:val="22"/>
          <w:szCs w:val="22"/>
        </w:rPr>
        <w:t>, išskyrus atvejus, kai abiejų vaistinių preparatų vartojimo vienu metu nauda viršija riziką. Jei negalima išvengti abiejų vaistinių preparatų vartojimo vienu metu, 2-3 kartus per savaitę reikia tirti kreatinkinazės (KK) aktyvumą ir atidžiai stebėti, ar pacientams nepasireiškia galimų miopatijos požymių ar simptomų.</w:t>
      </w:r>
    </w:p>
    <w:bookmarkEnd w:id="2"/>
    <w:p w14:paraId="2C85375B" w14:textId="77777777" w:rsidR="001B11F7" w:rsidRDefault="001B11F7">
      <w:pPr>
        <w:widowControl w:val="0"/>
        <w:tabs>
          <w:tab w:val="left" w:pos="1296"/>
        </w:tabs>
        <w:rPr>
          <w:sz w:val="22"/>
          <w:szCs w:val="22"/>
          <w:lang w:val="lt-LT" w:eastAsia="lt-LT"/>
        </w:rPr>
      </w:pPr>
    </w:p>
    <w:p w14:paraId="0DA9646B" w14:textId="77777777" w:rsidR="001B11F7" w:rsidRDefault="00B83885">
      <w:pPr>
        <w:widowControl w:val="0"/>
        <w:rPr>
          <w:sz w:val="22"/>
          <w:szCs w:val="22"/>
          <w:u w:val="single"/>
          <w:lang w:val="lt-LT" w:eastAsia="lt-LT"/>
        </w:rPr>
      </w:pPr>
      <w:r>
        <w:rPr>
          <w:sz w:val="22"/>
          <w:szCs w:val="22"/>
          <w:u w:val="single"/>
          <w:lang w:val="lt-LT" w:eastAsia="lt-LT"/>
        </w:rPr>
        <w:t>Vaikų populiacija</w:t>
      </w:r>
    </w:p>
    <w:p w14:paraId="367E25DA" w14:textId="77777777" w:rsidR="001B11F7" w:rsidRDefault="00B83885">
      <w:pPr>
        <w:widowControl w:val="0"/>
        <w:rPr>
          <w:sz w:val="22"/>
          <w:szCs w:val="22"/>
          <w:lang w:val="lt-LT" w:eastAsia="lt-LT"/>
        </w:rPr>
      </w:pPr>
      <w:r>
        <w:rPr>
          <w:rFonts w:eastAsia="SimSun"/>
          <w:sz w:val="22"/>
          <w:szCs w:val="22"/>
          <w:lang w:val="lt-LT" w:eastAsia="zh-CN"/>
        </w:rPr>
        <w:t xml:space="preserve">3 metų trukmės tyrime kliniškai reikšmingo poveikio augimui ir lytiniam brendimui nepastebėta. Vertinimas atliktas remiantis bendruoju brendimu ir vystymusi, subrendimo laipsniu pagal </w:t>
      </w:r>
      <w:r>
        <w:rPr>
          <w:rFonts w:eastAsia="SimSun"/>
          <w:i/>
          <w:sz w:val="22"/>
          <w:szCs w:val="22"/>
          <w:lang w:val="lt-LT" w:eastAsia="zh-CN"/>
        </w:rPr>
        <w:t>Tanner</w:t>
      </w:r>
      <w:r>
        <w:rPr>
          <w:rFonts w:eastAsia="SimSun"/>
          <w:sz w:val="22"/>
          <w:szCs w:val="22"/>
          <w:lang w:val="lt-LT" w:eastAsia="zh-CN"/>
        </w:rPr>
        <w:t xml:space="preserve"> ir ūgio bei svorio matavimu</w:t>
      </w:r>
      <w:r>
        <w:rPr>
          <w:rFonts w:eastAsia="SimSun"/>
          <w:sz w:val="22"/>
          <w:szCs w:val="22"/>
          <w:lang w:val="lt-LT" w:eastAsia="lt-LT"/>
        </w:rPr>
        <w:t xml:space="preserve"> (žr.</w:t>
      </w:r>
      <w:r>
        <w:rPr>
          <w:sz w:val="22"/>
          <w:szCs w:val="22"/>
          <w:lang w:val="lt-LT" w:eastAsia="lt-LT"/>
        </w:rPr>
        <w:t xml:space="preserve"> 4.8 skyrių).</w:t>
      </w:r>
    </w:p>
    <w:p w14:paraId="207EF2E4" w14:textId="77777777" w:rsidR="001B11F7" w:rsidRDefault="001B11F7">
      <w:pPr>
        <w:widowControl w:val="0"/>
        <w:tabs>
          <w:tab w:val="left" w:pos="1296"/>
        </w:tabs>
        <w:rPr>
          <w:sz w:val="22"/>
          <w:szCs w:val="22"/>
          <w:lang w:val="lt-LT" w:eastAsia="lt-LT"/>
        </w:rPr>
      </w:pPr>
    </w:p>
    <w:p w14:paraId="4138CE60" w14:textId="77777777" w:rsidR="001B11F7" w:rsidRDefault="00B83885">
      <w:pPr>
        <w:widowControl w:val="0"/>
        <w:rPr>
          <w:sz w:val="22"/>
          <w:szCs w:val="22"/>
          <w:u w:val="single"/>
          <w:lang w:val="lt-LT" w:eastAsia="lt-LT"/>
        </w:rPr>
      </w:pPr>
      <w:r>
        <w:rPr>
          <w:sz w:val="22"/>
          <w:szCs w:val="22"/>
          <w:u w:val="single"/>
          <w:lang w:val="lt-LT" w:eastAsia="lt-LT"/>
        </w:rPr>
        <w:t>Intersticinė plaučių liga</w:t>
      </w:r>
    </w:p>
    <w:p w14:paraId="3B51FF88" w14:textId="77777777" w:rsidR="001B11F7" w:rsidRDefault="00B83885">
      <w:pPr>
        <w:widowControl w:val="0"/>
        <w:rPr>
          <w:sz w:val="22"/>
          <w:szCs w:val="22"/>
          <w:lang w:val="lt-LT" w:eastAsia="lt-LT"/>
        </w:rPr>
      </w:pPr>
      <w:r>
        <w:rPr>
          <w:sz w:val="22"/>
          <w:szCs w:val="22"/>
          <w:lang w:val="lt-LT" w:eastAsia="lt-LT"/>
        </w:rPr>
        <w:t>Vartojant kai kuriuos statinus, ypač ilgą laiką, išskirtiniais atvejais buvo pranešta apie intersticinę plaučių ligą (žr. 4.8 skyrių). Ji gali pasireikšti dusuliu, sausu kosuliu ir bendrais sveikatos sutrikimais (nuovargis, svorio kritimas ir karščiavimas). Jeigu įtariama, kad pacientui išsivystė intersticinė plaučių liga, gydymą statinais reikia nutraukti.</w:t>
      </w:r>
    </w:p>
    <w:p w14:paraId="53C4E942" w14:textId="77777777" w:rsidR="001B11F7" w:rsidRDefault="001B11F7">
      <w:pPr>
        <w:widowControl w:val="0"/>
        <w:rPr>
          <w:sz w:val="22"/>
          <w:szCs w:val="22"/>
          <w:lang w:val="lt-LT" w:eastAsia="lt-LT"/>
        </w:rPr>
      </w:pPr>
    </w:p>
    <w:p w14:paraId="4435758C" w14:textId="77777777" w:rsidR="001B11F7" w:rsidRDefault="00B83885">
      <w:pPr>
        <w:widowControl w:val="0"/>
        <w:rPr>
          <w:snapToGrid w:val="0"/>
          <w:sz w:val="22"/>
          <w:szCs w:val="22"/>
          <w:u w:val="single"/>
          <w:lang w:val="lt-LT" w:eastAsia="lt-LT"/>
        </w:rPr>
      </w:pPr>
      <w:r>
        <w:rPr>
          <w:snapToGrid w:val="0"/>
          <w:sz w:val="22"/>
          <w:szCs w:val="22"/>
          <w:u w:val="single"/>
          <w:lang w:val="lt-LT" w:eastAsia="lt-LT"/>
        </w:rPr>
        <w:t>Cukrinis diabetas</w:t>
      </w:r>
    </w:p>
    <w:p w14:paraId="51EB5D44" w14:textId="77777777" w:rsidR="001B11F7" w:rsidRDefault="00B83885">
      <w:pPr>
        <w:widowControl w:val="0"/>
        <w:rPr>
          <w:sz w:val="22"/>
          <w:szCs w:val="22"/>
          <w:lang w:val="lt-LT" w:eastAsia="lt-LT"/>
        </w:rPr>
      </w:pPr>
      <w:r>
        <w:rPr>
          <w:snapToGrid w:val="0"/>
          <w:sz w:val="22"/>
          <w:szCs w:val="22"/>
          <w:lang w:val="lt-LT" w:eastAsia="lt-LT"/>
        </w:rPr>
        <w:t xml:space="preserve">Yra įrodymų, kad statinai kaip klasė, didina gliukozės koncentraciją kraujyje ir kai kuriems pacientams, turintiems padidintą cukrinio diabeto susirgimo riziką, gali sukelti hiperglikemiją, kurios metu skiriama tinkama cukrinio diabeto priežiūra. Tačiau šią riziką persveria kraujagyslinės rizikos mažinimas gydant statinais. Pacientai, esantys rizikos grupėje (gliukozės kiekis nuo 5,6 iki 6,9 mmol/l, </w:t>
      </w:r>
      <w:r>
        <w:rPr>
          <w:snapToGrid w:val="0"/>
          <w:sz w:val="22"/>
          <w:szCs w:val="22"/>
          <w:lang w:val="lt-LT" w:eastAsia="lt-LT"/>
        </w:rPr>
        <w:lastRenderedPageBreak/>
        <w:t>KMI </w:t>
      </w:r>
      <w:r>
        <w:rPr>
          <w:sz w:val="22"/>
          <w:szCs w:val="22"/>
          <w:lang w:val="lt-LT" w:eastAsia="lt-LT"/>
        </w:rPr>
        <w:t>&gt; 30 kg/m</w:t>
      </w:r>
      <w:r>
        <w:rPr>
          <w:sz w:val="22"/>
          <w:szCs w:val="22"/>
          <w:vertAlign w:val="superscript"/>
          <w:lang w:val="lt-LT" w:eastAsia="lt-LT"/>
        </w:rPr>
        <w:t>2</w:t>
      </w:r>
      <w:r>
        <w:rPr>
          <w:sz w:val="22"/>
          <w:szCs w:val="22"/>
          <w:lang w:val="lt-LT" w:eastAsia="lt-LT"/>
        </w:rPr>
        <w:t xml:space="preserve">, </w:t>
      </w:r>
      <w:r>
        <w:rPr>
          <w:snapToGrid w:val="0"/>
          <w:sz w:val="22"/>
          <w:szCs w:val="22"/>
          <w:lang w:val="lt-LT" w:eastAsia="lt-LT"/>
        </w:rPr>
        <w:t>padidėjęs trigliceridų kiekis, arterinė hipertenzija), turi būti stebimi ir kliniškai, ir biochemiškai, remiantis nacionalinėmis rekomendacijomis.</w:t>
      </w:r>
    </w:p>
    <w:p w14:paraId="4D65D8A3" w14:textId="77777777" w:rsidR="001B11F7" w:rsidRDefault="001B11F7">
      <w:pPr>
        <w:widowControl w:val="0"/>
        <w:rPr>
          <w:sz w:val="22"/>
          <w:szCs w:val="22"/>
          <w:lang w:val="lt-LT" w:eastAsia="lt-LT"/>
        </w:rPr>
      </w:pPr>
    </w:p>
    <w:p w14:paraId="5734C45F" w14:textId="77777777" w:rsidR="001B11F7" w:rsidRDefault="00B83885">
      <w:pPr>
        <w:widowControl w:val="0"/>
        <w:rPr>
          <w:sz w:val="22"/>
          <w:szCs w:val="22"/>
          <w:u w:val="single"/>
          <w:lang w:val="lt-LT" w:eastAsia="lt-LT"/>
        </w:rPr>
      </w:pPr>
      <w:r>
        <w:rPr>
          <w:sz w:val="22"/>
          <w:szCs w:val="22"/>
          <w:u w:val="single"/>
          <w:lang w:val="lt-LT" w:eastAsia="lt-LT"/>
        </w:rPr>
        <w:t>Pagalbinės medžiagos</w:t>
      </w:r>
    </w:p>
    <w:p w14:paraId="1E5E6494" w14:textId="77777777" w:rsidR="001B11F7" w:rsidRDefault="00B83885">
      <w:pPr>
        <w:widowControl w:val="0"/>
        <w:tabs>
          <w:tab w:val="left" w:pos="1296"/>
        </w:tabs>
        <w:rPr>
          <w:sz w:val="22"/>
          <w:szCs w:val="22"/>
          <w:lang w:val="lt-LT" w:eastAsia="lt-LT"/>
        </w:rPr>
      </w:pPr>
      <w:r>
        <w:rPr>
          <w:sz w:val="22"/>
          <w:szCs w:val="22"/>
          <w:lang w:val="lt-LT" w:eastAsia="lt-LT"/>
        </w:rPr>
        <w:t>Atoris sudėtyje yra laktozės. Šio vaistinio preparato negalima vartoti pacientams, kuriems nustatytas retas paveldimas sutrikimas – galaktozės netoleravimas, visiškas laktazės stygius arba gliukozės ir galaktozės malabsorbcija.</w:t>
      </w:r>
    </w:p>
    <w:p w14:paraId="2645431B" w14:textId="77777777" w:rsidR="001B11F7" w:rsidRDefault="00B83885">
      <w:pPr>
        <w:widowControl w:val="0"/>
        <w:tabs>
          <w:tab w:val="left" w:pos="1296"/>
        </w:tabs>
        <w:rPr>
          <w:sz w:val="22"/>
          <w:szCs w:val="22"/>
          <w:lang w:val="lt-LT" w:eastAsia="lt-LT"/>
        </w:rPr>
      </w:pPr>
      <w:r>
        <w:rPr>
          <w:sz w:val="22"/>
          <w:szCs w:val="22"/>
          <w:lang w:val="lt-LT" w:eastAsia="lt-LT"/>
        </w:rPr>
        <w:t>Kiekvienoje šio vaistinio preparato tabletėje yra mažiau kaip 1 mmol (23 mg) natrio, t. y. jis beveik neturi reikšmės.</w:t>
      </w:r>
    </w:p>
    <w:p w14:paraId="4A2C2545" w14:textId="77777777" w:rsidR="001B11F7" w:rsidRDefault="001B11F7">
      <w:pPr>
        <w:widowControl w:val="0"/>
        <w:rPr>
          <w:sz w:val="22"/>
          <w:szCs w:val="22"/>
          <w:lang w:val="lt-LT" w:eastAsia="lt-LT"/>
        </w:rPr>
      </w:pPr>
    </w:p>
    <w:p w14:paraId="1A9EA654" w14:textId="77777777" w:rsidR="001B11F7" w:rsidRDefault="00B83885">
      <w:pPr>
        <w:widowControl w:val="0"/>
        <w:ind w:left="567" w:hanging="567"/>
        <w:outlineLvl w:val="1"/>
        <w:rPr>
          <w:b/>
          <w:sz w:val="22"/>
          <w:szCs w:val="22"/>
          <w:lang w:val="lt-LT" w:eastAsia="lt-LT"/>
        </w:rPr>
      </w:pPr>
      <w:r>
        <w:rPr>
          <w:b/>
          <w:sz w:val="22"/>
          <w:szCs w:val="22"/>
          <w:lang w:val="lt-LT" w:eastAsia="lt-LT"/>
        </w:rPr>
        <w:t>4.5</w:t>
      </w:r>
      <w:r>
        <w:rPr>
          <w:b/>
          <w:sz w:val="22"/>
          <w:szCs w:val="22"/>
          <w:lang w:val="lt-LT" w:eastAsia="lt-LT"/>
        </w:rPr>
        <w:tab/>
        <w:t>Sąveika su kitais vaistiniais preparatais ir kitokia sąveika</w:t>
      </w:r>
    </w:p>
    <w:p w14:paraId="535FAB52" w14:textId="77777777" w:rsidR="001B11F7" w:rsidRDefault="001B11F7">
      <w:pPr>
        <w:widowControl w:val="0"/>
        <w:rPr>
          <w:sz w:val="22"/>
          <w:szCs w:val="22"/>
          <w:lang w:val="lt-LT" w:eastAsia="lt-LT"/>
        </w:rPr>
      </w:pPr>
    </w:p>
    <w:p w14:paraId="183C5B95" w14:textId="77777777" w:rsidR="001B11F7" w:rsidRDefault="00B83885">
      <w:pPr>
        <w:widowControl w:val="0"/>
        <w:autoSpaceDE w:val="0"/>
        <w:autoSpaceDN w:val="0"/>
        <w:adjustRightInd w:val="0"/>
        <w:rPr>
          <w:sz w:val="22"/>
          <w:szCs w:val="22"/>
          <w:u w:val="single"/>
          <w:lang w:val="lt-LT"/>
        </w:rPr>
      </w:pPr>
      <w:r>
        <w:rPr>
          <w:sz w:val="22"/>
          <w:szCs w:val="22"/>
          <w:u w:val="single"/>
          <w:lang w:val="lt-LT"/>
        </w:rPr>
        <w:t>Kartu vartojamų vaistinių preparatų poveikis atorvastatinui</w:t>
      </w:r>
    </w:p>
    <w:p w14:paraId="5E922118" w14:textId="77777777" w:rsidR="001B11F7" w:rsidRDefault="001B11F7">
      <w:pPr>
        <w:widowControl w:val="0"/>
        <w:autoSpaceDE w:val="0"/>
        <w:autoSpaceDN w:val="0"/>
        <w:adjustRightInd w:val="0"/>
        <w:rPr>
          <w:sz w:val="22"/>
          <w:szCs w:val="22"/>
          <w:u w:val="single"/>
          <w:lang w:val="lt-LT"/>
        </w:rPr>
      </w:pPr>
    </w:p>
    <w:p w14:paraId="270C77E0" w14:textId="77777777" w:rsidR="001B11F7" w:rsidRDefault="00B83885">
      <w:pPr>
        <w:widowControl w:val="0"/>
        <w:autoSpaceDE w:val="0"/>
        <w:autoSpaceDN w:val="0"/>
        <w:adjustRightInd w:val="0"/>
        <w:rPr>
          <w:sz w:val="22"/>
          <w:szCs w:val="22"/>
          <w:lang w:val="lt-LT"/>
        </w:rPr>
      </w:pPr>
      <w:r>
        <w:rPr>
          <w:rFonts w:eastAsia="SimSun"/>
          <w:sz w:val="22"/>
          <w:szCs w:val="22"/>
          <w:lang w:val="lt-LT"/>
        </w:rPr>
        <w:t xml:space="preserve">Atorvastatinas metabolizuojamas citochromo P450 3A4 (CYP3A4) ir yra hepatinių nešiklių substratas, organinių anijonų pernašos polipeptidų 1B1 (OATP1B1) ir 1B3 (OATP1B3) nešiklis. Atorvastatino metabolitai yra OATP1B1 substratai. Taip pat nustatyta, kad atorvastatinas yra </w:t>
      </w:r>
      <w:r>
        <w:rPr>
          <w:rFonts w:eastAsia="SimSun" w:cs="Verdana"/>
          <w:sz w:val="22"/>
          <w:szCs w:val="18"/>
          <w:lang w:val="lt-LT" w:eastAsia="zh-CN"/>
        </w:rPr>
        <w:t>efliukso nešiklių P-glikoproteino (P-gp)</w:t>
      </w:r>
      <w:r>
        <w:rPr>
          <w:rFonts w:eastAsia="Verdana" w:cs="Verdana"/>
          <w:sz w:val="22"/>
          <w:szCs w:val="22"/>
          <w:lang w:val="lt-LT" w:eastAsia="x-none"/>
        </w:rPr>
        <w:t xml:space="preserve"> </w:t>
      </w:r>
      <w:r>
        <w:rPr>
          <w:rFonts w:eastAsia="SimSun"/>
          <w:sz w:val="22"/>
          <w:szCs w:val="22"/>
          <w:lang w:val="lt-LT"/>
        </w:rPr>
        <w:t>ir krūties vėžio atsparumo baltymo (BCRP) substratas, todėl gali sumažėti atorvastatino absorbcija žarnyne ir klirensas per tulžį (žr. 5.2 skyrių).</w:t>
      </w:r>
      <w:r>
        <w:rPr>
          <w:sz w:val="22"/>
          <w:szCs w:val="22"/>
          <w:lang w:val="lt-LT"/>
        </w:rPr>
        <w:t xml:space="preserve"> Jei atorvastatino vartojama kartu su vaistiniais preparatais, kurie slopina CYP3A4 ar pernašos baltymus, gali didėti atorvastatino koncentracija plazmoje ir miopatijos rizika. Be to, rizika gali padidėti atorvastatino vartojant kartu su kitais vaistiniais preparatais, kurie gali sukelti miopatiją, pavyzdžiui, fibro rūgšties dariniais ir ezetimibu (žr. 4.4 skyrių).</w:t>
      </w:r>
    </w:p>
    <w:p w14:paraId="245FA445" w14:textId="77777777" w:rsidR="001B11F7" w:rsidRDefault="001B11F7">
      <w:pPr>
        <w:widowControl w:val="0"/>
        <w:autoSpaceDE w:val="0"/>
        <w:autoSpaceDN w:val="0"/>
        <w:adjustRightInd w:val="0"/>
        <w:rPr>
          <w:i/>
          <w:iCs/>
          <w:sz w:val="22"/>
          <w:szCs w:val="22"/>
          <w:lang w:val="lt-LT"/>
        </w:rPr>
      </w:pPr>
    </w:p>
    <w:p w14:paraId="042DA105" w14:textId="77777777" w:rsidR="001B11F7" w:rsidRDefault="00B83885">
      <w:pPr>
        <w:widowControl w:val="0"/>
        <w:autoSpaceDE w:val="0"/>
        <w:autoSpaceDN w:val="0"/>
        <w:adjustRightInd w:val="0"/>
        <w:rPr>
          <w:sz w:val="22"/>
          <w:szCs w:val="22"/>
          <w:lang w:val="lt-LT"/>
        </w:rPr>
      </w:pPr>
      <w:r>
        <w:rPr>
          <w:i/>
          <w:iCs/>
          <w:sz w:val="22"/>
          <w:szCs w:val="22"/>
          <w:lang w:val="lt-LT"/>
        </w:rPr>
        <w:t>CYP3A4 inhibitoriai</w:t>
      </w:r>
    </w:p>
    <w:p w14:paraId="6586E7E6" w14:textId="77777777" w:rsidR="001B11F7" w:rsidRDefault="00B83885">
      <w:pPr>
        <w:widowControl w:val="0"/>
        <w:autoSpaceDE w:val="0"/>
        <w:autoSpaceDN w:val="0"/>
        <w:adjustRightInd w:val="0"/>
        <w:rPr>
          <w:sz w:val="22"/>
          <w:szCs w:val="22"/>
          <w:lang w:val="lt-LT"/>
        </w:rPr>
      </w:pPr>
      <w:r>
        <w:rPr>
          <w:sz w:val="22"/>
          <w:szCs w:val="22"/>
          <w:lang w:val="lt-LT"/>
        </w:rPr>
        <w:t xml:space="preserve">Nustatyta, kad stipraus poveikio CYP3A4 inhibitoriai labai didina atorvastatino koncentraciją (žr. lentelę Nr. 1 ir žemiau pateiktą specifinę informaciją). Jeigu įmanoma, atorvastatino kartu su stipraus poveikio CYP3A4 inhibitoriais (pvz., ciklosporinu, telitromicinu, klaritromicinu, delavirdinu, stiripentoliu, ketokonazolu, vorikonazolu, itrakonazolu, pozakonazolu, kai kuriais </w:t>
      </w:r>
      <w:r>
        <w:rPr>
          <w:rFonts w:eastAsia="SimSun"/>
          <w:sz w:val="22"/>
          <w:szCs w:val="22"/>
          <w:lang w:val="lt-LT"/>
        </w:rPr>
        <w:t>antivirusiniais vaistiniais preparatais hepatitui C (HCV) gydyti (pvz., elbasviru ir grazopreviru)</w:t>
      </w:r>
      <w:r>
        <w:rPr>
          <w:sz w:val="22"/>
          <w:szCs w:val="22"/>
          <w:lang w:val="lt-LT"/>
        </w:rPr>
        <w:t xml:space="preserve"> ir ŽIV proteazės inhibitoriais, įskaitant ritonavirą, lopinavirą, atazanavirą, indinavirą, darunavirą ir kt.) rekomenduojama nevartoti. Tais atvejais, kai minėtų vaistinių preparatų kartu su atorvastatinu vartoti būtina, reikia apsvarstyti mažesnės pradinės bei didžiausios atorvastatino dozės skyrimo galimybę ir atitinkamai stebėti klinikinę paciento būklę (žr. lentelę Nr. 1).</w:t>
      </w:r>
    </w:p>
    <w:p w14:paraId="037B4D68" w14:textId="77777777" w:rsidR="001B11F7" w:rsidRDefault="001B11F7">
      <w:pPr>
        <w:widowControl w:val="0"/>
        <w:autoSpaceDE w:val="0"/>
        <w:autoSpaceDN w:val="0"/>
        <w:adjustRightInd w:val="0"/>
        <w:rPr>
          <w:sz w:val="22"/>
          <w:szCs w:val="22"/>
          <w:lang w:val="lt-LT"/>
        </w:rPr>
      </w:pPr>
    </w:p>
    <w:p w14:paraId="2C554302" w14:textId="77777777" w:rsidR="001B11F7" w:rsidRDefault="00B83885">
      <w:pPr>
        <w:widowControl w:val="0"/>
        <w:autoSpaceDE w:val="0"/>
        <w:autoSpaceDN w:val="0"/>
        <w:adjustRightInd w:val="0"/>
        <w:rPr>
          <w:sz w:val="22"/>
          <w:szCs w:val="22"/>
          <w:lang w:val="lt-LT"/>
        </w:rPr>
      </w:pPr>
      <w:r>
        <w:rPr>
          <w:sz w:val="22"/>
          <w:szCs w:val="22"/>
          <w:lang w:val="lt-LT"/>
        </w:rPr>
        <w:t>Vidutinio stiprumo CYP3A4 inhibitoriai (pvz., eritromicinas, diltiazemas, verapamilis ir flukonazolas) gali padidinti atorvastatino koncentracijas plazmoje (žr. 1 lentelę). Buvo pastebėta, kad eritromicino vartojant kartu su statinais, didėja miopatijos rizika. Sąveikos tyrimų, kuriais būtų įvertintas amjodarono ar verapamilio poveikis atorvastatinui, neatlikta. Žinoma, kad ir amjodaronas, ir verapamilis slopina CYP3A4 aktyvumą ir gali didinti kartu vartojamo atorvastatino ekspoziciją. Dėl šios priežasties reikia apsvarstyti mažesnės didžiausios kartu su vidutinio stiprumo CYP3A4 inhibitoriais vartojamo atorvastatino dozės skyrimą, be to, rekomenduojama tinkamai stebėti klinikinę paciento būklę. Pradėjus vartoti inhibitoriaus arba pakeitus jo dozę, rekomenduojama tinkamai stebėti klinikinę paciento būklę.</w:t>
      </w:r>
    </w:p>
    <w:p w14:paraId="5DF86E5B" w14:textId="77777777" w:rsidR="001B11F7" w:rsidRDefault="001B11F7">
      <w:pPr>
        <w:widowControl w:val="0"/>
        <w:autoSpaceDE w:val="0"/>
        <w:autoSpaceDN w:val="0"/>
        <w:adjustRightInd w:val="0"/>
        <w:rPr>
          <w:i/>
          <w:iCs/>
          <w:sz w:val="22"/>
          <w:szCs w:val="22"/>
          <w:lang w:val="lt-LT"/>
        </w:rPr>
      </w:pPr>
    </w:p>
    <w:p w14:paraId="1EAE6F9A" w14:textId="77777777" w:rsidR="001B11F7" w:rsidRDefault="00B83885">
      <w:pPr>
        <w:widowControl w:val="0"/>
        <w:rPr>
          <w:i/>
          <w:iCs/>
          <w:sz w:val="22"/>
          <w:szCs w:val="22"/>
          <w:lang w:val="lt-LT" w:eastAsia="lt-LT"/>
        </w:rPr>
      </w:pPr>
      <w:r>
        <w:rPr>
          <w:i/>
          <w:iCs/>
          <w:sz w:val="22"/>
          <w:szCs w:val="22"/>
          <w:lang w:val="lt-LT" w:eastAsia="lt-LT"/>
        </w:rPr>
        <w:t>CYP3A4 izofermentus sužadinantys vaistiniai preparatai</w:t>
      </w:r>
    </w:p>
    <w:p w14:paraId="24FC38EB" w14:textId="77777777" w:rsidR="001B11F7" w:rsidRDefault="00B83885">
      <w:pPr>
        <w:widowControl w:val="0"/>
        <w:autoSpaceDE w:val="0"/>
        <w:autoSpaceDN w:val="0"/>
        <w:adjustRightInd w:val="0"/>
        <w:rPr>
          <w:sz w:val="22"/>
          <w:szCs w:val="22"/>
          <w:lang w:val="lt-LT"/>
        </w:rPr>
      </w:pPr>
      <w:r>
        <w:rPr>
          <w:sz w:val="22"/>
          <w:szCs w:val="22"/>
          <w:lang w:val="lt-LT"/>
        </w:rPr>
        <w:t>Atorvastatino vartojant kartu su citochromo P450 3A izofermentus sužadinančiais vaistiniais preparatais (pvz., efavirenzu, rifampinu, jonažolės preparatais), gali įvairiai sumažėti atorvastatino koncentracijos plazmoje. Dėl dvejopo sąveikos su rifampinu mechanizmo (citochromo P450 3A izofermentų sužadinimas ir hepaticitų apykaitos nešiklio OATP1B1 slopinimo) atorvastatiną kartu su rifampinu rekomenduojama vartoti vienu laiku, nes praėjus kiek laiko po rifampino pavartojimo ir pavartojus atorvastatino, smarkiai sumažėja atorvastatino koncentracija plazmoje. Vis dėlto rifampino poveikis atorvastatino koncentracijai hepatocituose nežinomas ir, jeigu minėtų preparatų kartu vartoti būtina, reikia atidžiai stebėti gydymo veiksmingumą.</w:t>
      </w:r>
    </w:p>
    <w:p w14:paraId="7B205E44" w14:textId="77777777" w:rsidR="001B11F7" w:rsidRDefault="001B11F7">
      <w:pPr>
        <w:widowControl w:val="0"/>
        <w:autoSpaceDE w:val="0"/>
        <w:autoSpaceDN w:val="0"/>
        <w:adjustRightInd w:val="0"/>
        <w:rPr>
          <w:i/>
          <w:iCs/>
          <w:sz w:val="22"/>
          <w:szCs w:val="22"/>
          <w:lang w:val="lt-LT"/>
        </w:rPr>
      </w:pPr>
    </w:p>
    <w:p w14:paraId="23CD612C" w14:textId="77777777" w:rsidR="001B11F7" w:rsidRDefault="00B83885">
      <w:pPr>
        <w:widowControl w:val="0"/>
        <w:autoSpaceDE w:val="0"/>
        <w:autoSpaceDN w:val="0"/>
        <w:adjustRightInd w:val="0"/>
        <w:rPr>
          <w:sz w:val="22"/>
          <w:szCs w:val="22"/>
          <w:lang w:val="lt-LT"/>
        </w:rPr>
      </w:pPr>
      <w:r>
        <w:rPr>
          <w:i/>
          <w:iCs/>
          <w:sz w:val="22"/>
          <w:szCs w:val="22"/>
          <w:lang w:val="lt-LT"/>
        </w:rPr>
        <w:t>Pernašos inhibitoriai</w:t>
      </w:r>
    </w:p>
    <w:p w14:paraId="1915A23D" w14:textId="77777777" w:rsidR="001B11F7" w:rsidRDefault="00B83885">
      <w:pPr>
        <w:widowControl w:val="0"/>
        <w:autoSpaceDE w:val="0"/>
        <w:autoSpaceDN w:val="0"/>
        <w:adjustRightInd w:val="0"/>
        <w:rPr>
          <w:sz w:val="22"/>
          <w:szCs w:val="22"/>
          <w:lang w:val="lt-LT"/>
        </w:rPr>
      </w:pPr>
      <w:r>
        <w:rPr>
          <w:sz w:val="22"/>
          <w:szCs w:val="22"/>
          <w:lang w:val="lt-LT"/>
        </w:rPr>
        <w:lastRenderedPageBreak/>
        <w:t>Pernašos baltymų inhibitoriai gali didinti sisteminę atorvastatino ekspoziciją</w:t>
      </w:r>
      <w:r>
        <w:rPr>
          <w:rFonts w:eastAsia="Calibri"/>
          <w:sz w:val="22"/>
          <w:szCs w:val="22"/>
          <w:lang w:val="lt-LT"/>
        </w:rPr>
        <w:t>. Ciklosporinas ir letermoviras yra nešiklių, dalyvaujančių atorvastatino paskirstyme (t.y. OATP1B1/1B3, P-gp ir BCRP), inhibitoriai, didinantys sisteminę atorvastatino ekspoziciją</w:t>
      </w:r>
      <w:r>
        <w:rPr>
          <w:sz w:val="22"/>
          <w:szCs w:val="22"/>
          <w:lang w:val="lt-LT"/>
        </w:rPr>
        <w:t xml:space="preserve"> (žr. lentelę Nr. 1). Kepenų apykaitos nešiklių slopinimo įtaka atorvastatino ekspozicijai hepatocituose nežinoma. Jeigu minėtų vaistinių preparatų kartu vartoti būtina, rekomenduojama mažinti dozę ir stebėti klinikinį veiksmingumą (žr. lentelę Nr. 1).</w:t>
      </w:r>
    </w:p>
    <w:p w14:paraId="6DFDBC0C" w14:textId="77777777" w:rsidR="001B11F7" w:rsidRDefault="001B11F7">
      <w:pPr>
        <w:widowControl w:val="0"/>
        <w:autoSpaceDE w:val="0"/>
        <w:autoSpaceDN w:val="0"/>
        <w:adjustRightInd w:val="0"/>
        <w:rPr>
          <w:i/>
          <w:iCs/>
          <w:sz w:val="22"/>
          <w:szCs w:val="22"/>
          <w:lang w:val="lt-LT"/>
        </w:rPr>
      </w:pPr>
    </w:p>
    <w:p w14:paraId="3A2419E9" w14:textId="77777777" w:rsidR="001B11F7" w:rsidRDefault="00B83885">
      <w:pPr>
        <w:widowControl w:val="0"/>
        <w:autoSpaceDE w:val="0"/>
        <w:autoSpaceDN w:val="0"/>
        <w:adjustRightInd w:val="0"/>
        <w:rPr>
          <w:iCs/>
          <w:sz w:val="22"/>
          <w:szCs w:val="22"/>
          <w:lang w:val="lt-LT"/>
        </w:rPr>
      </w:pPr>
      <w:r>
        <w:rPr>
          <w:iCs/>
          <w:sz w:val="22"/>
          <w:szCs w:val="22"/>
          <w:lang w:val="lt-LT"/>
        </w:rPr>
        <w:t>Pacientams, vartojantiems letermovirą kartu su ciklosporinu, nerekomenduojama vartoti atorvastatino (žr. 4.4 ir 4.5 skyrius).</w:t>
      </w:r>
    </w:p>
    <w:p w14:paraId="1602DBBC" w14:textId="77777777" w:rsidR="001B11F7" w:rsidRDefault="001B11F7">
      <w:pPr>
        <w:widowControl w:val="0"/>
        <w:autoSpaceDE w:val="0"/>
        <w:autoSpaceDN w:val="0"/>
        <w:adjustRightInd w:val="0"/>
        <w:rPr>
          <w:i/>
          <w:iCs/>
          <w:sz w:val="22"/>
          <w:szCs w:val="22"/>
          <w:lang w:val="lt-LT"/>
        </w:rPr>
      </w:pPr>
    </w:p>
    <w:p w14:paraId="06B477D8" w14:textId="77777777" w:rsidR="001B11F7" w:rsidRDefault="00B83885">
      <w:pPr>
        <w:widowControl w:val="0"/>
        <w:autoSpaceDE w:val="0"/>
        <w:autoSpaceDN w:val="0"/>
        <w:adjustRightInd w:val="0"/>
        <w:rPr>
          <w:sz w:val="22"/>
          <w:szCs w:val="22"/>
          <w:u w:val="single"/>
          <w:lang w:val="lt-LT"/>
        </w:rPr>
      </w:pPr>
      <w:r>
        <w:rPr>
          <w:i/>
          <w:iCs/>
          <w:sz w:val="22"/>
          <w:szCs w:val="22"/>
          <w:lang w:val="lt-LT"/>
        </w:rPr>
        <w:t>Gemfibrozilas, fibro rūgšties dariniai</w:t>
      </w:r>
    </w:p>
    <w:p w14:paraId="546643F4" w14:textId="77777777" w:rsidR="001B11F7" w:rsidRDefault="00B83885">
      <w:pPr>
        <w:widowControl w:val="0"/>
        <w:autoSpaceDE w:val="0"/>
        <w:autoSpaceDN w:val="0"/>
        <w:adjustRightInd w:val="0"/>
        <w:rPr>
          <w:sz w:val="22"/>
          <w:szCs w:val="22"/>
          <w:lang w:val="lt-LT"/>
        </w:rPr>
      </w:pPr>
      <w:r>
        <w:rPr>
          <w:sz w:val="22"/>
          <w:szCs w:val="22"/>
          <w:lang w:val="lt-LT"/>
        </w:rPr>
        <w:t>Vien fibratų vartojimas pavieniais atvejais buvo susijęs su raumenų sutrikimais, įskaitant rabdomiolizę. Šių reiškinių rizika gali padidėti fibro rūgšties darinių ir atorvastatino vartojant kartu. Jeigu minėtų preparatų kartu vartoti būtina, reikia vartoti mažiausią atorvastatino dozę, kuria galima pasiekti gydymo tikslus, ir tinkamai stebėti klinikinę paciento būklę (žr. 4.4 skyrių).</w:t>
      </w:r>
    </w:p>
    <w:p w14:paraId="7249C11A" w14:textId="77777777" w:rsidR="001B11F7" w:rsidRDefault="001B11F7">
      <w:pPr>
        <w:widowControl w:val="0"/>
        <w:autoSpaceDE w:val="0"/>
        <w:autoSpaceDN w:val="0"/>
        <w:adjustRightInd w:val="0"/>
        <w:rPr>
          <w:i/>
          <w:iCs/>
          <w:sz w:val="22"/>
          <w:szCs w:val="22"/>
          <w:lang w:val="lt-LT"/>
        </w:rPr>
      </w:pPr>
    </w:p>
    <w:p w14:paraId="1281FE01" w14:textId="77777777" w:rsidR="001B11F7" w:rsidRDefault="00B83885">
      <w:pPr>
        <w:widowControl w:val="0"/>
        <w:autoSpaceDE w:val="0"/>
        <w:autoSpaceDN w:val="0"/>
        <w:adjustRightInd w:val="0"/>
        <w:rPr>
          <w:i/>
          <w:sz w:val="22"/>
          <w:lang w:val="lt-LT"/>
        </w:rPr>
      </w:pPr>
      <w:r>
        <w:rPr>
          <w:i/>
          <w:iCs/>
          <w:sz w:val="22"/>
          <w:szCs w:val="22"/>
          <w:lang w:val="lt-LT"/>
        </w:rPr>
        <w:t>Ezetimibas</w:t>
      </w:r>
    </w:p>
    <w:p w14:paraId="1FFA3412" w14:textId="77777777" w:rsidR="001B11F7" w:rsidRDefault="001B11F7">
      <w:pPr>
        <w:widowControl w:val="0"/>
        <w:autoSpaceDE w:val="0"/>
        <w:autoSpaceDN w:val="0"/>
        <w:adjustRightInd w:val="0"/>
        <w:rPr>
          <w:sz w:val="22"/>
          <w:szCs w:val="22"/>
          <w:u w:val="single"/>
          <w:lang w:val="lt-LT"/>
        </w:rPr>
      </w:pPr>
    </w:p>
    <w:p w14:paraId="5CAC69DC" w14:textId="77777777" w:rsidR="001B11F7" w:rsidRDefault="00B83885">
      <w:pPr>
        <w:widowControl w:val="0"/>
        <w:autoSpaceDE w:val="0"/>
        <w:autoSpaceDN w:val="0"/>
        <w:adjustRightInd w:val="0"/>
        <w:rPr>
          <w:sz w:val="22"/>
          <w:szCs w:val="22"/>
          <w:lang w:val="lt-LT"/>
        </w:rPr>
      </w:pPr>
      <w:r>
        <w:rPr>
          <w:sz w:val="22"/>
          <w:szCs w:val="22"/>
          <w:lang w:val="lt-LT"/>
        </w:rPr>
        <w:t>Vien ezetimibo vartojimas yra susijęs su raumenų sutrikimais, įskaitant rabdomiolizę, todėl jų rizika gali padidėti, jei ezetimibo ir atorvastatino vartojama kartu. Rekomenduojama tinkamai stebėti klinikinę tokių pacientų būklę.</w:t>
      </w:r>
    </w:p>
    <w:p w14:paraId="5D65F629" w14:textId="77777777" w:rsidR="001B11F7" w:rsidRDefault="001B11F7">
      <w:pPr>
        <w:widowControl w:val="0"/>
        <w:autoSpaceDE w:val="0"/>
        <w:autoSpaceDN w:val="0"/>
        <w:adjustRightInd w:val="0"/>
        <w:rPr>
          <w:i/>
          <w:iCs/>
          <w:sz w:val="22"/>
          <w:szCs w:val="22"/>
          <w:lang w:val="lt-LT"/>
        </w:rPr>
      </w:pPr>
    </w:p>
    <w:p w14:paraId="2BA1698C" w14:textId="77777777" w:rsidR="001B11F7" w:rsidRDefault="00B83885">
      <w:pPr>
        <w:widowControl w:val="0"/>
        <w:autoSpaceDE w:val="0"/>
        <w:autoSpaceDN w:val="0"/>
        <w:adjustRightInd w:val="0"/>
        <w:rPr>
          <w:sz w:val="22"/>
          <w:szCs w:val="22"/>
          <w:lang w:val="lt-LT"/>
        </w:rPr>
      </w:pPr>
      <w:r>
        <w:rPr>
          <w:i/>
          <w:iCs/>
          <w:sz w:val="22"/>
          <w:szCs w:val="22"/>
          <w:lang w:val="lt-LT"/>
        </w:rPr>
        <w:t>Kolestipolis</w:t>
      </w:r>
    </w:p>
    <w:p w14:paraId="6A5AF3DA" w14:textId="77777777" w:rsidR="001B11F7" w:rsidRDefault="00B83885">
      <w:pPr>
        <w:widowControl w:val="0"/>
        <w:autoSpaceDE w:val="0"/>
        <w:autoSpaceDN w:val="0"/>
        <w:adjustRightInd w:val="0"/>
        <w:rPr>
          <w:sz w:val="22"/>
          <w:szCs w:val="22"/>
          <w:lang w:val="lt-LT"/>
        </w:rPr>
      </w:pPr>
      <w:r>
        <w:rPr>
          <w:sz w:val="22"/>
          <w:szCs w:val="22"/>
          <w:lang w:val="lt-LT"/>
        </w:rPr>
        <w:t>Kartu su kolestipoliu vartojamo atorvastatino ir jo veikliųjų metabolitų koncentracija plazmoje buvo mažesnė (</w:t>
      </w:r>
      <w:r>
        <w:rPr>
          <w:rFonts w:eastAsia="SimSun"/>
          <w:sz w:val="22"/>
          <w:szCs w:val="22"/>
          <w:lang w:val="lt-LT" w:eastAsia="zh-CN"/>
        </w:rPr>
        <w:t>atorvastatino koncentracijos rodiklis: 0,74)</w:t>
      </w:r>
      <w:r>
        <w:rPr>
          <w:sz w:val="22"/>
          <w:szCs w:val="22"/>
          <w:lang w:val="lt-LT"/>
        </w:rPr>
        <w:t>. Vis dėlto atorvastatino vartojant kartu su kolestipoliu, poveikis lipidams buvo stipresnis nei vartojant kiekvieną vaistinį preparatą atskirai.</w:t>
      </w:r>
    </w:p>
    <w:p w14:paraId="3E49E3C9" w14:textId="77777777" w:rsidR="001B11F7" w:rsidRDefault="001B11F7">
      <w:pPr>
        <w:widowControl w:val="0"/>
        <w:autoSpaceDE w:val="0"/>
        <w:autoSpaceDN w:val="0"/>
        <w:adjustRightInd w:val="0"/>
        <w:rPr>
          <w:i/>
          <w:iCs/>
          <w:sz w:val="22"/>
          <w:szCs w:val="22"/>
          <w:lang w:val="lt-LT"/>
        </w:rPr>
      </w:pPr>
    </w:p>
    <w:p w14:paraId="33B47DF2" w14:textId="77777777" w:rsidR="001B11F7" w:rsidRDefault="00B83885">
      <w:pPr>
        <w:widowControl w:val="0"/>
        <w:autoSpaceDE w:val="0"/>
        <w:autoSpaceDN w:val="0"/>
        <w:adjustRightInd w:val="0"/>
        <w:rPr>
          <w:sz w:val="22"/>
          <w:szCs w:val="22"/>
          <w:u w:val="single"/>
          <w:lang w:val="lt-LT"/>
        </w:rPr>
      </w:pPr>
      <w:r>
        <w:rPr>
          <w:i/>
          <w:iCs/>
          <w:sz w:val="22"/>
          <w:szCs w:val="22"/>
          <w:lang w:val="lt-LT"/>
        </w:rPr>
        <w:t>Fuzido rūgštis</w:t>
      </w:r>
    </w:p>
    <w:p w14:paraId="2E508448" w14:textId="77777777" w:rsidR="001B11F7" w:rsidRDefault="00B83885">
      <w:pPr>
        <w:widowControl w:val="0"/>
        <w:autoSpaceDE w:val="0"/>
        <w:autoSpaceDN w:val="0"/>
        <w:adjustRightInd w:val="0"/>
        <w:rPr>
          <w:sz w:val="22"/>
          <w:szCs w:val="22"/>
          <w:lang w:val="lt-LT"/>
        </w:rPr>
      </w:pPr>
      <w:r>
        <w:rPr>
          <w:sz w:val="22"/>
          <w:szCs w:val="22"/>
          <w:lang w:val="lt-LT"/>
        </w:rPr>
        <w:t>Kartu su statinais vartojant sisteminio poveikio fuzido rūgšties, gali padidėti miopatijos, įskaitant rabdomiolizę, pasireiškimo rizika. Tokios sąveikos mechanizmas (ar tai yra farmakodinaminė, farmakokinetinė, ar kombinuotoji sąveika) išlieka nežinomas. Gauta pranešimų apie minėtų vaistinių preparatų kartu vartojusiems pacientams pasireiškusią rabdomiolizę (įskaitant kelis mirtinus atvejus).</w:t>
      </w:r>
    </w:p>
    <w:p w14:paraId="61EF900D" w14:textId="77777777" w:rsidR="001B11F7" w:rsidRDefault="001B11F7">
      <w:pPr>
        <w:widowControl w:val="0"/>
        <w:autoSpaceDE w:val="0"/>
        <w:autoSpaceDN w:val="0"/>
        <w:adjustRightInd w:val="0"/>
        <w:rPr>
          <w:sz w:val="22"/>
          <w:szCs w:val="22"/>
          <w:lang w:val="lt-LT"/>
        </w:rPr>
      </w:pPr>
    </w:p>
    <w:p w14:paraId="3E763104" w14:textId="77777777" w:rsidR="001B11F7" w:rsidRDefault="00B83885">
      <w:pPr>
        <w:widowControl w:val="0"/>
        <w:autoSpaceDE w:val="0"/>
        <w:autoSpaceDN w:val="0"/>
        <w:adjustRightInd w:val="0"/>
        <w:rPr>
          <w:sz w:val="22"/>
          <w:szCs w:val="22"/>
          <w:lang w:val="lt-LT"/>
        </w:rPr>
      </w:pPr>
      <w:r>
        <w:rPr>
          <w:sz w:val="22"/>
          <w:szCs w:val="22"/>
          <w:lang w:val="lt-LT"/>
        </w:rPr>
        <w:t>Jeigu sisteminio poveikio fuzido rūgšties vartoti būtina, gydymo fuzido rūgštimi laikotarpiu rozuvastatino vartojimą reikia nutraukti. Taip pat žr. 4.4 skyrių.</w:t>
      </w:r>
    </w:p>
    <w:p w14:paraId="57434EAD" w14:textId="77777777" w:rsidR="001B11F7" w:rsidRDefault="001B11F7">
      <w:pPr>
        <w:widowControl w:val="0"/>
        <w:autoSpaceDE w:val="0"/>
        <w:autoSpaceDN w:val="0"/>
        <w:adjustRightInd w:val="0"/>
        <w:rPr>
          <w:sz w:val="22"/>
          <w:szCs w:val="22"/>
          <w:lang w:val="lt-LT" w:eastAsia="lt-LT" w:bidi="lt-LT"/>
        </w:rPr>
      </w:pPr>
    </w:p>
    <w:p w14:paraId="4C2E3616" w14:textId="77777777" w:rsidR="001B11F7" w:rsidRDefault="00B83885">
      <w:pPr>
        <w:widowControl w:val="0"/>
        <w:autoSpaceDE w:val="0"/>
        <w:autoSpaceDN w:val="0"/>
        <w:adjustRightInd w:val="0"/>
        <w:rPr>
          <w:rFonts w:eastAsia="Calibri"/>
          <w:sz w:val="22"/>
          <w:szCs w:val="22"/>
          <w:lang w:val="lt-LT" w:bidi="lt-LT"/>
        </w:rPr>
      </w:pPr>
      <w:r>
        <w:rPr>
          <w:rFonts w:eastAsia="Calibri"/>
          <w:i/>
          <w:iCs/>
          <w:sz w:val="22"/>
          <w:szCs w:val="22"/>
          <w:lang w:val="lt-LT" w:bidi="lt-LT"/>
        </w:rPr>
        <w:t>Kolchicinas</w:t>
      </w:r>
    </w:p>
    <w:p w14:paraId="23DDD1C5" w14:textId="77777777" w:rsidR="001B11F7" w:rsidRDefault="00B83885">
      <w:pPr>
        <w:widowControl w:val="0"/>
        <w:autoSpaceDE w:val="0"/>
        <w:autoSpaceDN w:val="0"/>
        <w:adjustRightInd w:val="0"/>
        <w:rPr>
          <w:rFonts w:eastAsia="Calibri"/>
          <w:sz w:val="22"/>
          <w:szCs w:val="22"/>
          <w:lang w:val="lt-LT" w:bidi="lt-LT"/>
        </w:rPr>
      </w:pPr>
      <w:r>
        <w:rPr>
          <w:rFonts w:eastAsia="Calibri"/>
          <w:sz w:val="22"/>
          <w:szCs w:val="22"/>
          <w:lang w:val="lt-LT" w:bidi="lt-LT"/>
        </w:rPr>
        <w:t>Atorvastatino ir kolchicino sąveikos tyrimų neatlikta, tačiau gauta pranešimų apie miopatijos atvejus minėtų vaistinių preparatų kartu vartojantiems pacientams, todėl atorvastatino kartu su kolchicinu būtina vartoti atsargiai.</w:t>
      </w:r>
    </w:p>
    <w:p w14:paraId="0FC53C00" w14:textId="77777777" w:rsidR="001B11F7" w:rsidRDefault="001B11F7">
      <w:pPr>
        <w:widowControl w:val="0"/>
        <w:autoSpaceDE w:val="0"/>
        <w:autoSpaceDN w:val="0"/>
        <w:adjustRightInd w:val="0"/>
        <w:rPr>
          <w:i/>
          <w:iCs/>
          <w:sz w:val="22"/>
          <w:szCs w:val="22"/>
          <w:u w:val="single"/>
        </w:rPr>
      </w:pPr>
      <w:bookmarkStart w:id="3" w:name="_Hlk177639131"/>
    </w:p>
    <w:p w14:paraId="1C9B7FC7" w14:textId="77777777" w:rsidR="001B11F7" w:rsidRDefault="00B83885">
      <w:pPr>
        <w:widowControl w:val="0"/>
        <w:autoSpaceDE w:val="0"/>
        <w:autoSpaceDN w:val="0"/>
        <w:adjustRightInd w:val="0"/>
        <w:rPr>
          <w:i/>
          <w:iCs/>
          <w:sz w:val="22"/>
          <w:szCs w:val="22"/>
          <w:u w:val="single"/>
        </w:rPr>
      </w:pPr>
      <w:r>
        <w:rPr>
          <w:i/>
          <w:iCs/>
          <w:sz w:val="22"/>
          <w:szCs w:val="22"/>
          <w:u w:val="single"/>
        </w:rPr>
        <w:t>Daptomicinas</w:t>
      </w:r>
    </w:p>
    <w:p w14:paraId="1481BC7A" w14:textId="77777777" w:rsidR="001B11F7" w:rsidRDefault="001B11F7">
      <w:pPr>
        <w:widowControl w:val="0"/>
        <w:autoSpaceDE w:val="0"/>
        <w:autoSpaceDN w:val="0"/>
        <w:adjustRightInd w:val="0"/>
        <w:rPr>
          <w:sz w:val="22"/>
          <w:szCs w:val="22"/>
        </w:rPr>
      </w:pPr>
    </w:p>
    <w:p w14:paraId="50285D3A" w14:textId="77777777" w:rsidR="001B11F7" w:rsidRDefault="00B83885">
      <w:pPr>
        <w:widowControl w:val="0"/>
        <w:autoSpaceDE w:val="0"/>
        <w:autoSpaceDN w:val="0"/>
        <w:adjustRightInd w:val="0"/>
        <w:rPr>
          <w:sz w:val="22"/>
          <w:szCs w:val="22"/>
        </w:rPr>
      </w:pPr>
      <w:r>
        <w:rPr>
          <w:sz w:val="22"/>
          <w:szCs w:val="22"/>
        </w:rPr>
        <w:t>Gauta pranešimų apie miopatijos ir (arba) rabdomiolizės atvejus HMG-KoA reduktazės inhibitorių (pvz., atorvastatino) vartojant kartu su daptociminu. Jei negalima išvengti abiejų vaistinių preparatų vartojimo vienu metu, rekomenduojama taikyti tinkamą klinikinį stebėjimą (žr. 4.4 skyrių).</w:t>
      </w:r>
    </w:p>
    <w:bookmarkEnd w:id="3"/>
    <w:p w14:paraId="378D49CB" w14:textId="77777777" w:rsidR="001B11F7" w:rsidRDefault="001B11F7">
      <w:pPr>
        <w:widowControl w:val="0"/>
        <w:autoSpaceDE w:val="0"/>
        <w:autoSpaceDN w:val="0"/>
        <w:adjustRightInd w:val="0"/>
        <w:rPr>
          <w:sz w:val="22"/>
          <w:szCs w:val="22"/>
          <w:lang w:val="lt-LT"/>
        </w:rPr>
      </w:pPr>
    </w:p>
    <w:p w14:paraId="4254D4C7" w14:textId="77777777" w:rsidR="001B11F7" w:rsidRDefault="00B83885">
      <w:pPr>
        <w:widowControl w:val="0"/>
        <w:tabs>
          <w:tab w:val="left" w:pos="567"/>
        </w:tabs>
        <w:rPr>
          <w:sz w:val="22"/>
          <w:szCs w:val="22"/>
          <w:u w:val="single"/>
          <w:lang w:val="lt-LT" w:eastAsia="lt-LT"/>
        </w:rPr>
      </w:pPr>
      <w:r>
        <w:rPr>
          <w:sz w:val="22"/>
          <w:szCs w:val="22"/>
          <w:u w:val="single"/>
          <w:lang w:val="lt-LT" w:eastAsia="lt-LT"/>
        </w:rPr>
        <w:t>Atorvastatino poveikis kartu vartojamiems vaistiniams preparatams</w:t>
      </w:r>
    </w:p>
    <w:p w14:paraId="4B739C93" w14:textId="77777777" w:rsidR="001B11F7" w:rsidRDefault="001B11F7">
      <w:pPr>
        <w:widowControl w:val="0"/>
        <w:tabs>
          <w:tab w:val="left" w:pos="567"/>
        </w:tabs>
        <w:rPr>
          <w:i/>
          <w:iCs/>
          <w:sz w:val="22"/>
          <w:szCs w:val="22"/>
          <w:lang w:val="lt-LT" w:eastAsia="lt-LT"/>
        </w:rPr>
      </w:pPr>
    </w:p>
    <w:p w14:paraId="2D4A9BC7" w14:textId="77777777" w:rsidR="001B11F7" w:rsidRDefault="00B83885">
      <w:pPr>
        <w:widowControl w:val="0"/>
        <w:tabs>
          <w:tab w:val="left" w:pos="567"/>
        </w:tabs>
        <w:rPr>
          <w:sz w:val="22"/>
          <w:szCs w:val="22"/>
          <w:u w:val="single"/>
          <w:lang w:val="lt-LT" w:eastAsia="lt-LT"/>
        </w:rPr>
      </w:pPr>
      <w:r>
        <w:rPr>
          <w:i/>
          <w:iCs/>
          <w:sz w:val="22"/>
          <w:szCs w:val="22"/>
          <w:lang w:val="lt-LT" w:eastAsia="lt-LT"/>
        </w:rPr>
        <w:t>Digoksinas</w:t>
      </w:r>
    </w:p>
    <w:p w14:paraId="2246FC1C" w14:textId="77777777" w:rsidR="001B11F7" w:rsidRDefault="00B83885">
      <w:pPr>
        <w:widowControl w:val="0"/>
        <w:autoSpaceDE w:val="0"/>
        <w:autoSpaceDN w:val="0"/>
        <w:adjustRightInd w:val="0"/>
        <w:rPr>
          <w:sz w:val="22"/>
          <w:szCs w:val="22"/>
          <w:lang w:val="lt-LT"/>
        </w:rPr>
      </w:pPr>
      <w:r>
        <w:rPr>
          <w:sz w:val="22"/>
          <w:szCs w:val="22"/>
          <w:lang w:val="lt-LT"/>
        </w:rPr>
        <w:t xml:space="preserve">Kartotines digoksino dozes vartojant kartu su 10 mg atorvastatino doze, digoksino </w:t>
      </w:r>
      <w:r>
        <w:rPr>
          <w:color w:val="000000"/>
          <w:sz w:val="22"/>
          <w:szCs w:val="22"/>
          <w:lang w:val="lt-LT"/>
        </w:rPr>
        <w:t xml:space="preserve">pusiausvyros apykaitos koncentracijos </w:t>
      </w:r>
      <w:r>
        <w:rPr>
          <w:sz w:val="22"/>
          <w:szCs w:val="22"/>
          <w:lang w:val="lt-LT"/>
        </w:rPr>
        <w:t>šiek tiek padidėjo. Digoksiną vartojančius pacientus reikia tinkamai stebėti.</w:t>
      </w:r>
    </w:p>
    <w:p w14:paraId="18427758" w14:textId="77777777" w:rsidR="001B11F7" w:rsidRDefault="001B11F7">
      <w:pPr>
        <w:widowControl w:val="0"/>
        <w:autoSpaceDE w:val="0"/>
        <w:autoSpaceDN w:val="0"/>
        <w:adjustRightInd w:val="0"/>
        <w:rPr>
          <w:i/>
          <w:iCs/>
          <w:sz w:val="22"/>
          <w:szCs w:val="22"/>
          <w:lang w:val="lt-LT"/>
        </w:rPr>
      </w:pPr>
    </w:p>
    <w:p w14:paraId="48E93526" w14:textId="77777777" w:rsidR="001B11F7" w:rsidRDefault="00B83885">
      <w:pPr>
        <w:widowControl w:val="0"/>
        <w:autoSpaceDE w:val="0"/>
        <w:autoSpaceDN w:val="0"/>
        <w:adjustRightInd w:val="0"/>
        <w:rPr>
          <w:sz w:val="22"/>
          <w:szCs w:val="22"/>
          <w:u w:val="single"/>
          <w:lang w:val="lt-LT"/>
        </w:rPr>
      </w:pPr>
      <w:r>
        <w:rPr>
          <w:i/>
          <w:iCs/>
          <w:sz w:val="22"/>
          <w:szCs w:val="22"/>
          <w:lang w:val="lt-LT"/>
        </w:rPr>
        <w:t>Geriamieji kontraceptikai</w:t>
      </w:r>
    </w:p>
    <w:p w14:paraId="35A8C5E7" w14:textId="77777777" w:rsidR="001B11F7" w:rsidRDefault="00B83885">
      <w:pPr>
        <w:widowControl w:val="0"/>
        <w:autoSpaceDE w:val="0"/>
        <w:autoSpaceDN w:val="0"/>
        <w:adjustRightInd w:val="0"/>
        <w:rPr>
          <w:sz w:val="22"/>
          <w:szCs w:val="22"/>
          <w:lang w:val="lt-LT"/>
        </w:rPr>
      </w:pPr>
      <w:r>
        <w:rPr>
          <w:sz w:val="22"/>
          <w:szCs w:val="22"/>
          <w:lang w:val="lt-LT"/>
        </w:rPr>
        <w:t>Atorvastatiną vartojant kartu su geriamaisiais kontraceptikais, noretindrono ir etinilestradiolio koncentracija plazmoje padidėjo.</w:t>
      </w:r>
    </w:p>
    <w:p w14:paraId="26BCF341" w14:textId="77777777" w:rsidR="001B11F7" w:rsidRDefault="001B11F7">
      <w:pPr>
        <w:widowControl w:val="0"/>
        <w:autoSpaceDE w:val="0"/>
        <w:autoSpaceDN w:val="0"/>
        <w:adjustRightInd w:val="0"/>
        <w:rPr>
          <w:i/>
          <w:iCs/>
          <w:sz w:val="22"/>
          <w:szCs w:val="22"/>
          <w:lang w:val="lt-LT"/>
        </w:rPr>
      </w:pPr>
    </w:p>
    <w:p w14:paraId="39CCD144" w14:textId="77777777" w:rsidR="001B11F7" w:rsidRDefault="00B83885">
      <w:pPr>
        <w:widowControl w:val="0"/>
        <w:autoSpaceDE w:val="0"/>
        <w:autoSpaceDN w:val="0"/>
        <w:adjustRightInd w:val="0"/>
        <w:rPr>
          <w:sz w:val="22"/>
          <w:szCs w:val="22"/>
          <w:lang w:val="lt-LT"/>
        </w:rPr>
      </w:pPr>
      <w:r>
        <w:rPr>
          <w:i/>
          <w:iCs/>
          <w:sz w:val="22"/>
          <w:szCs w:val="22"/>
          <w:lang w:val="lt-LT"/>
        </w:rPr>
        <w:t>Varfarinas</w:t>
      </w:r>
    </w:p>
    <w:p w14:paraId="0184F094" w14:textId="77777777" w:rsidR="001B11F7" w:rsidRDefault="00B83885">
      <w:pPr>
        <w:widowControl w:val="0"/>
        <w:autoSpaceDE w:val="0"/>
        <w:autoSpaceDN w:val="0"/>
        <w:adjustRightInd w:val="0"/>
        <w:rPr>
          <w:sz w:val="22"/>
          <w:szCs w:val="22"/>
          <w:lang w:val="lt-LT"/>
        </w:rPr>
      </w:pPr>
      <w:r>
        <w:rPr>
          <w:sz w:val="22"/>
          <w:szCs w:val="22"/>
          <w:lang w:val="lt-LT"/>
        </w:rPr>
        <w:t>Klinikinio tyrimo, kuriame dalyvavo ilgai varfarinu gydomi pacientai, metu 80 mg atorvastatino paros dozės vartojimas buvo susijęs su nedideliu (maždaug 1,7 sekundės) protrombino laiko pailgėjimu pirmosiomis 4 vartojimo paromis. Per 15 gydymo atorvastatinu parų protrombino laikas vėl tapdavo normalus. Nors gauta duomenų tik apie labai retus kliniškai reikšmingos sąveikos su antikoaguliantais atvejus, prieš pradedant pacientų, kurie vartoja kumarinų grupės antikoaguliantų, gydymą atorvastatinu, reikia išmatuoti protrombino laiką bei jį dažnai matuoti gydymo pradžioje, kad būtų įsitikinta, jog neatsiranda reikšmingų protrombino laiko pokyčių. Kai tik nustatoma, kad protrombino laikas nebekinta, jį galima matuoti intervalais, kurie paprastai rekomenduojami kumarinų grupės antikoaguliantais gydomiems pacientams. Pakeitus atorvastatino dozę arba nutraukus jo vartojimą, reikia pakartoti tą pačią procedūrą. Gydymas atorvastatinu nebuvo susijęs su kraujavimu arba protrombino laiko pokyčiais pacientams, kurie nevartoja antikoaguliantų.</w:t>
      </w:r>
    </w:p>
    <w:p w14:paraId="640E0D32" w14:textId="77777777" w:rsidR="001B11F7" w:rsidRDefault="001B11F7">
      <w:pPr>
        <w:widowControl w:val="0"/>
        <w:autoSpaceDE w:val="0"/>
        <w:autoSpaceDN w:val="0"/>
        <w:adjustRightInd w:val="0"/>
        <w:rPr>
          <w:sz w:val="22"/>
          <w:szCs w:val="22"/>
          <w:lang w:val="lt-LT"/>
        </w:rPr>
      </w:pPr>
    </w:p>
    <w:p w14:paraId="0A1D102F" w14:textId="77777777" w:rsidR="001B11F7" w:rsidRDefault="00B83885">
      <w:pPr>
        <w:widowControl w:val="0"/>
        <w:rPr>
          <w:rFonts w:eastAsia="MS Mincho"/>
          <w:sz w:val="22"/>
          <w:szCs w:val="22"/>
          <w:u w:val="single"/>
          <w:lang w:val="lt-LT" w:eastAsia="ja-JP" w:bidi="te-IN"/>
        </w:rPr>
      </w:pPr>
      <w:r>
        <w:rPr>
          <w:rFonts w:eastAsia="MS Mincho"/>
          <w:sz w:val="22"/>
          <w:szCs w:val="22"/>
          <w:u w:val="single"/>
          <w:lang w:val="lt-LT" w:eastAsia="ja-JP" w:bidi="te-IN"/>
        </w:rPr>
        <w:t>Lentelė Nr. 1. Kartu vartojamų vaistinių preparatų poveikis atorvastatino farmakokinetikai</w:t>
      </w:r>
    </w:p>
    <w:p w14:paraId="180291ED" w14:textId="77777777" w:rsidR="001B11F7" w:rsidRDefault="001B11F7">
      <w:pPr>
        <w:widowControl w:val="0"/>
        <w:rPr>
          <w:rFonts w:eastAsia="MS Mincho"/>
          <w:sz w:val="22"/>
          <w:szCs w:val="22"/>
          <w:u w:val="single"/>
          <w:lang w:val="lt-LT" w:eastAsia="ja-JP" w:bidi="te-IN"/>
        </w:rPr>
      </w:pPr>
    </w:p>
    <w:tbl>
      <w:tblPr>
        <w:tblpPr w:leftFromText="180" w:rightFromText="180" w:vertAnchor="text" w:tblpXSpec="center" w:tblpY="1"/>
        <w:tblOverlap w:val="never"/>
        <w:tblW w:w="8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3"/>
        <w:gridCol w:w="1729"/>
        <w:gridCol w:w="1537"/>
        <w:gridCol w:w="2739"/>
      </w:tblGrid>
      <w:tr w:rsidR="001B11F7" w14:paraId="63393C54" w14:textId="77777777">
        <w:tc>
          <w:tcPr>
            <w:tcW w:w="2863" w:type="dxa"/>
            <w:vMerge w:val="restart"/>
            <w:shd w:val="clear" w:color="auto" w:fill="auto"/>
          </w:tcPr>
          <w:p w14:paraId="35A4E313"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Kartu vartojamas vaistinis preparatas ir dozavimo planas</w:t>
            </w:r>
          </w:p>
        </w:tc>
        <w:tc>
          <w:tcPr>
            <w:tcW w:w="6005" w:type="dxa"/>
            <w:gridSpan w:val="3"/>
            <w:shd w:val="clear" w:color="auto" w:fill="auto"/>
          </w:tcPr>
          <w:p w14:paraId="11A82FAA" w14:textId="77777777" w:rsidR="001B11F7" w:rsidRDefault="00B83885">
            <w:pPr>
              <w:widowControl w:val="0"/>
              <w:jc w:val="center"/>
              <w:rPr>
                <w:rFonts w:eastAsia="MS Mincho"/>
                <w:color w:val="000000"/>
                <w:sz w:val="22"/>
                <w:szCs w:val="22"/>
                <w:lang w:val="lt-LT" w:eastAsia="ja-JP" w:bidi="te-IN"/>
              </w:rPr>
            </w:pPr>
            <w:r>
              <w:rPr>
                <w:rFonts w:eastAsia="MS Mincho"/>
                <w:color w:val="000000"/>
                <w:sz w:val="22"/>
                <w:szCs w:val="22"/>
                <w:lang w:val="lt-LT" w:eastAsia="ja-JP" w:bidi="te-IN"/>
              </w:rPr>
              <w:t>Atorvastatinas</w:t>
            </w:r>
          </w:p>
          <w:p w14:paraId="7C39457A" w14:textId="77777777" w:rsidR="001B11F7" w:rsidRDefault="001B11F7">
            <w:pPr>
              <w:widowControl w:val="0"/>
              <w:jc w:val="center"/>
              <w:rPr>
                <w:rFonts w:eastAsia="MS Mincho"/>
                <w:color w:val="000000"/>
                <w:sz w:val="22"/>
                <w:szCs w:val="22"/>
                <w:lang w:val="lt-LT" w:eastAsia="ja-JP" w:bidi="te-IN"/>
              </w:rPr>
            </w:pPr>
          </w:p>
          <w:p w14:paraId="3C2B466B" w14:textId="77777777" w:rsidR="001B11F7" w:rsidRDefault="001B11F7">
            <w:pPr>
              <w:widowControl w:val="0"/>
              <w:jc w:val="center"/>
              <w:rPr>
                <w:rFonts w:eastAsia="SimSun"/>
                <w:color w:val="000000"/>
                <w:sz w:val="22"/>
                <w:szCs w:val="22"/>
                <w:lang w:val="lt-LT" w:eastAsia="zh-CN"/>
              </w:rPr>
            </w:pPr>
          </w:p>
        </w:tc>
      </w:tr>
      <w:tr w:rsidR="001B11F7" w14:paraId="75BE3EF1" w14:textId="77777777">
        <w:tc>
          <w:tcPr>
            <w:tcW w:w="2863" w:type="dxa"/>
            <w:vMerge/>
            <w:shd w:val="clear" w:color="auto" w:fill="auto"/>
          </w:tcPr>
          <w:p w14:paraId="25CC4AF8" w14:textId="77777777" w:rsidR="001B11F7" w:rsidRDefault="001B11F7">
            <w:pPr>
              <w:widowControl w:val="0"/>
              <w:rPr>
                <w:rFonts w:eastAsia="SimSun"/>
                <w:color w:val="000000"/>
                <w:sz w:val="22"/>
                <w:szCs w:val="22"/>
                <w:lang w:val="lt-LT" w:eastAsia="zh-CN"/>
              </w:rPr>
            </w:pPr>
          </w:p>
        </w:tc>
        <w:tc>
          <w:tcPr>
            <w:tcW w:w="1729" w:type="dxa"/>
            <w:shd w:val="clear" w:color="auto" w:fill="auto"/>
          </w:tcPr>
          <w:p w14:paraId="2964C783"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Dozė (mg)</w:t>
            </w:r>
          </w:p>
        </w:tc>
        <w:tc>
          <w:tcPr>
            <w:tcW w:w="1537" w:type="dxa"/>
            <w:shd w:val="clear" w:color="auto" w:fill="auto"/>
          </w:tcPr>
          <w:p w14:paraId="1A46C801"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rPr>
              <w:t>AUC rodiklis</w:t>
            </w:r>
            <w:r>
              <w:rPr>
                <w:rFonts w:eastAsia="SimSun"/>
                <w:color w:val="000000"/>
                <w:sz w:val="22"/>
                <w:szCs w:val="22"/>
                <w:vertAlign w:val="superscript"/>
                <w:lang w:val="lt-LT" w:eastAsia="zh-CN"/>
              </w:rPr>
              <w:t>&amp;</w:t>
            </w:r>
          </w:p>
        </w:tc>
        <w:tc>
          <w:tcPr>
            <w:tcW w:w="2739" w:type="dxa"/>
            <w:shd w:val="clear" w:color="auto" w:fill="auto"/>
          </w:tcPr>
          <w:p w14:paraId="287398EB"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Klinikinės rekomendacijos</w:t>
            </w:r>
            <w:r>
              <w:rPr>
                <w:rFonts w:eastAsia="SimSun"/>
                <w:color w:val="000000"/>
                <w:sz w:val="22"/>
                <w:szCs w:val="22"/>
                <w:vertAlign w:val="superscript"/>
                <w:lang w:val="lt-LT" w:eastAsia="zh-CN"/>
              </w:rPr>
              <w:t>#</w:t>
            </w:r>
          </w:p>
        </w:tc>
      </w:tr>
      <w:tr w:rsidR="001B11F7" w14:paraId="598FE604" w14:textId="77777777">
        <w:trPr>
          <w:trHeight w:val="735"/>
        </w:trPr>
        <w:tc>
          <w:tcPr>
            <w:tcW w:w="2863" w:type="dxa"/>
            <w:shd w:val="clear" w:color="auto" w:fill="auto"/>
          </w:tcPr>
          <w:p w14:paraId="1E81A002" w14:textId="77777777" w:rsidR="001B11F7" w:rsidRDefault="00B83885">
            <w:pPr>
              <w:widowControl w:val="0"/>
              <w:rPr>
                <w:rFonts w:eastAsia="SimSun"/>
                <w:color w:val="000000"/>
                <w:sz w:val="22"/>
                <w:szCs w:val="22"/>
                <w:lang w:val="lt-LT" w:eastAsia="zh-CN"/>
              </w:rPr>
            </w:pPr>
            <w:r>
              <w:rPr>
                <w:rFonts w:eastAsia="Verdana"/>
                <w:sz w:val="22"/>
                <w:szCs w:val="22"/>
                <w:lang w:eastAsia="x-none"/>
              </w:rPr>
              <w:t>Glekapreviras 400 mg x 1 ir pibrentasviras 120 mg x 1, 7 paras</w:t>
            </w:r>
          </w:p>
        </w:tc>
        <w:tc>
          <w:tcPr>
            <w:tcW w:w="1729" w:type="dxa"/>
            <w:shd w:val="clear" w:color="auto" w:fill="auto"/>
          </w:tcPr>
          <w:p w14:paraId="6DE43B53" w14:textId="77777777" w:rsidR="001B11F7" w:rsidRDefault="00B83885">
            <w:pPr>
              <w:widowControl w:val="0"/>
              <w:rPr>
                <w:rFonts w:eastAsia="SimSun"/>
                <w:color w:val="000000"/>
                <w:sz w:val="22"/>
                <w:szCs w:val="22"/>
                <w:lang w:val="lt-LT" w:eastAsia="zh-CN"/>
              </w:rPr>
            </w:pPr>
            <w:r>
              <w:rPr>
                <w:rFonts w:eastAsia="Verdana"/>
                <w:sz w:val="22"/>
                <w:szCs w:val="22"/>
                <w:lang w:eastAsia="x-none"/>
              </w:rPr>
              <w:t>10 mg x 1, 7 paras</w:t>
            </w:r>
          </w:p>
        </w:tc>
        <w:tc>
          <w:tcPr>
            <w:tcW w:w="1537" w:type="dxa"/>
            <w:shd w:val="clear" w:color="auto" w:fill="auto"/>
          </w:tcPr>
          <w:p w14:paraId="67C4CDBF" w14:textId="77777777" w:rsidR="001B11F7" w:rsidRDefault="00B83885">
            <w:pPr>
              <w:widowControl w:val="0"/>
              <w:rPr>
                <w:rFonts w:eastAsia="SimSun"/>
                <w:color w:val="000000"/>
                <w:sz w:val="22"/>
                <w:szCs w:val="22"/>
                <w:lang w:val="lt-LT" w:eastAsia="zh-CN" w:bidi="te-IN"/>
              </w:rPr>
            </w:pPr>
            <w:r>
              <w:rPr>
                <w:rFonts w:eastAsia="Verdana"/>
                <w:sz w:val="22"/>
                <w:szCs w:val="22"/>
                <w:lang w:eastAsia="x-none"/>
              </w:rPr>
              <w:t>8,3</w:t>
            </w:r>
          </w:p>
        </w:tc>
        <w:tc>
          <w:tcPr>
            <w:tcW w:w="2739" w:type="dxa"/>
            <w:shd w:val="clear" w:color="auto" w:fill="auto"/>
          </w:tcPr>
          <w:p w14:paraId="0415F620" w14:textId="77777777" w:rsidR="001B11F7" w:rsidRDefault="00B83885">
            <w:pPr>
              <w:widowControl w:val="0"/>
              <w:rPr>
                <w:rFonts w:eastAsia="SimSun"/>
                <w:color w:val="000000"/>
                <w:sz w:val="22"/>
                <w:szCs w:val="22"/>
                <w:lang w:val="lt-LT" w:eastAsia="zh-CN"/>
              </w:rPr>
            </w:pPr>
            <w:r>
              <w:rPr>
                <w:sz w:val="22"/>
              </w:rPr>
              <w:t>Skirti su vaistiniais preparatais, kurių sudėtyje yra glekapreviro arba pibrentasviro, draudžiama (žr. 4.3 skyrių).</w:t>
            </w:r>
          </w:p>
        </w:tc>
      </w:tr>
      <w:tr w:rsidR="001B11F7" w14:paraId="78D91420" w14:textId="77777777">
        <w:trPr>
          <w:trHeight w:val="735"/>
        </w:trPr>
        <w:tc>
          <w:tcPr>
            <w:tcW w:w="2863" w:type="dxa"/>
            <w:shd w:val="clear" w:color="auto" w:fill="auto"/>
          </w:tcPr>
          <w:p w14:paraId="007810BB"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500 mg tipranaviro x 2/ 200 mg ritonaviro x 2, 8 paras (14</w:t>
            </w:r>
            <w:r>
              <w:rPr>
                <w:rFonts w:eastAsia="SimSun"/>
                <w:color w:val="000000"/>
                <w:sz w:val="22"/>
                <w:szCs w:val="22"/>
                <w:lang w:val="lt-LT" w:eastAsia="zh-CN"/>
              </w:rPr>
              <w:noBreakHyphen/>
              <w:t>21 paromis)</w:t>
            </w:r>
          </w:p>
        </w:tc>
        <w:tc>
          <w:tcPr>
            <w:tcW w:w="1729" w:type="dxa"/>
            <w:shd w:val="clear" w:color="auto" w:fill="auto"/>
          </w:tcPr>
          <w:p w14:paraId="19269148"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40 mg pirmą parą, 10 mg 20-tą parą</w:t>
            </w:r>
          </w:p>
        </w:tc>
        <w:tc>
          <w:tcPr>
            <w:tcW w:w="1537" w:type="dxa"/>
            <w:shd w:val="clear" w:color="auto" w:fill="auto"/>
          </w:tcPr>
          <w:p w14:paraId="77A0253C"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9,4</w:t>
            </w:r>
          </w:p>
        </w:tc>
        <w:tc>
          <w:tcPr>
            <w:tcW w:w="2739" w:type="dxa"/>
            <w:vMerge w:val="restart"/>
            <w:shd w:val="clear" w:color="auto" w:fill="auto"/>
          </w:tcPr>
          <w:p w14:paraId="55C16F56"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Tais atvejais, kai vartoti kartu su atorvastatinu būtina, negalima vartoti didesnės kaip 10 mg atorvastatino paros dozės. Rekomenduojama stebėti tokių pacientų klinikinę būklę.</w:t>
            </w:r>
          </w:p>
        </w:tc>
      </w:tr>
      <w:tr w:rsidR="001B11F7" w14:paraId="2EF76165" w14:textId="77777777">
        <w:trPr>
          <w:trHeight w:val="510"/>
        </w:trPr>
        <w:tc>
          <w:tcPr>
            <w:tcW w:w="2863" w:type="dxa"/>
            <w:shd w:val="clear" w:color="auto" w:fill="auto"/>
          </w:tcPr>
          <w:p w14:paraId="3AE60051"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750 mg telapreviro kas 8 val., 10 parų</w:t>
            </w:r>
          </w:p>
        </w:tc>
        <w:tc>
          <w:tcPr>
            <w:tcW w:w="1729" w:type="dxa"/>
            <w:shd w:val="clear" w:color="auto" w:fill="auto"/>
          </w:tcPr>
          <w:p w14:paraId="24A70476"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20 mg VD</w:t>
            </w:r>
          </w:p>
        </w:tc>
        <w:tc>
          <w:tcPr>
            <w:tcW w:w="1537" w:type="dxa"/>
            <w:shd w:val="clear" w:color="auto" w:fill="auto"/>
          </w:tcPr>
          <w:p w14:paraId="3662DEF6"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7,9</w:t>
            </w:r>
          </w:p>
        </w:tc>
        <w:tc>
          <w:tcPr>
            <w:tcW w:w="2739" w:type="dxa"/>
            <w:vMerge/>
            <w:shd w:val="clear" w:color="auto" w:fill="auto"/>
          </w:tcPr>
          <w:p w14:paraId="0A1050C6" w14:textId="77777777" w:rsidR="001B11F7" w:rsidRDefault="001B11F7">
            <w:pPr>
              <w:widowControl w:val="0"/>
              <w:rPr>
                <w:rFonts w:eastAsia="SimSun"/>
                <w:color w:val="000000"/>
                <w:sz w:val="22"/>
                <w:szCs w:val="22"/>
                <w:lang w:val="lt-LT" w:eastAsia="zh-CN"/>
              </w:rPr>
            </w:pPr>
          </w:p>
        </w:tc>
      </w:tr>
      <w:tr w:rsidR="001B11F7" w14:paraId="4C3E78A7" w14:textId="77777777">
        <w:tc>
          <w:tcPr>
            <w:tcW w:w="2863" w:type="dxa"/>
            <w:shd w:val="clear" w:color="auto" w:fill="auto"/>
          </w:tcPr>
          <w:p w14:paraId="636032A3"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5,2 mg ciklosporino kg kūno svorio per parą, pastovi dozė</w:t>
            </w:r>
          </w:p>
        </w:tc>
        <w:tc>
          <w:tcPr>
            <w:tcW w:w="1729" w:type="dxa"/>
            <w:shd w:val="clear" w:color="auto" w:fill="auto"/>
          </w:tcPr>
          <w:p w14:paraId="7C8373F9"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 mg x 1 28 paras</w:t>
            </w:r>
          </w:p>
        </w:tc>
        <w:tc>
          <w:tcPr>
            <w:tcW w:w="1537" w:type="dxa"/>
            <w:shd w:val="clear" w:color="auto" w:fill="auto"/>
          </w:tcPr>
          <w:p w14:paraId="5A0512B6"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8,7</w:t>
            </w:r>
          </w:p>
        </w:tc>
        <w:tc>
          <w:tcPr>
            <w:tcW w:w="2739" w:type="dxa"/>
            <w:vMerge/>
            <w:shd w:val="clear" w:color="auto" w:fill="auto"/>
          </w:tcPr>
          <w:p w14:paraId="0FABC8AE" w14:textId="77777777" w:rsidR="001B11F7" w:rsidRDefault="001B11F7">
            <w:pPr>
              <w:widowControl w:val="0"/>
              <w:rPr>
                <w:rFonts w:eastAsia="SimSun"/>
                <w:color w:val="000000"/>
                <w:sz w:val="22"/>
                <w:szCs w:val="22"/>
                <w:lang w:val="lt-LT" w:eastAsia="zh-CN"/>
              </w:rPr>
            </w:pPr>
          </w:p>
        </w:tc>
      </w:tr>
      <w:tr w:rsidR="001B11F7" w14:paraId="0B12ABFB" w14:textId="77777777">
        <w:tc>
          <w:tcPr>
            <w:tcW w:w="2863" w:type="dxa"/>
            <w:shd w:val="clear" w:color="auto" w:fill="auto"/>
          </w:tcPr>
          <w:p w14:paraId="13A77669"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400 mg lopinaviro x 2/</w:t>
            </w:r>
          </w:p>
          <w:p w14:paraId="1A766886"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100 mg ritonaviro x 2, 14 parų</w:t>
            </w:r>
          </w:p>
        </w:tc>
        <w:tc>
          <w:tcPr>
            <w:tcW w:w="1729" w:type="dxa"/>
            <w:shd w:val="clear" w:color="auto" w:fill="auto"/>
          </w:tcPr>
          <w:p w14:paraId="4B949001"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20 mg x 1 keturias paras</w:t>
            </w:r>
          </w:p>
        </w:tc>
        <w:tc>
          <w:tcPr>
            <w:tcW w:w="1537" w:type="dxa"/>
            <w:shd w:val="clear" w:color="auto" w:fill="auto"/>
          </w:tcPr>
          <w:p w14:paraId="1D656077"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5,9</w:t>
            </w:r>
          </w:p>
        </w:tc>
        <w:tc>
          <w:tcPr>
            <w:tcW w:w="2739" w:type="dxa"/>
            <w:vMerge w:val="restart"/>
            <w:shd w:val="clear" w:color="auto" w:fill="auto"/>
          </w:tcPr>
          <w:p w14:paraId="5532707F"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Tais atvejais, kai vartoti kartu su atorvastatinu būtina, rekomenduojama skirti mažesnę palaikomąją atorvastatino dozę. Vartojant didesnes kaip 20 mg atorvastatino dozes, rekomenduojama stebėti pacientų klinikinę būklę</w:t>
            </w:r>
            <w:r>
              <w:rPr>
                <w:rFonts w:eastAsia="SimSun"/>
                <w:i/>
                <w:color w:val="000000"/>
                <w:sz w:val="22"/>
                <w:szCs w:val="22"/>
                <w:lang w:val="lt-LT" w:eastAsia="zh-CN"/>
              </w:rPr>
              <w:t>.</w:t>
            </w:r>
          </w:p>
        </w:tc>
      </w:tr>
      <w:tr w:rsidR="001B11F7" w14:paraId="154978FE" w14:textId="77777777">
        <w:tc>
          <w:tcPr>
            <w:tcW w:w="2863" w:type="dxa"/>
            <w:shd w:val="clear" w:color="auto" w:fill="auto"/>
          </w:tcPr>
          <w:p w14:paraId="665C689D"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500 mg klaritromicino x 2, 9 paras</w:t>
            </w:r>
          </w:p>
        </w:tc>
        <w:tc>
          <w:tcPr>
            <w:tcW w:w="1729" w:type="dxa"/>
            <w:shd w:val="clear" w:color="auto" w:fill="auto"/>
          </w:tcPr>
          <w:p w14:paraId="0226443A"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80 mg x 1 aštuonias paras</w:t>
            </w:r>
          </w:p>
        </w:tc>
        <w:tc>
          <w:tcPr>
            <w:tcW w:w="1537" w:type="dxa"/>
            <w:shd w:val="clear" w:color="auto" w:fill="auto"/>
          </w:tcPr>
          <w:p w14:paraId="11141BD9"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4,5</w:t>
            </w:r>
          </w:p>
        </w:tc>
        <w:tc>
          <w:tcPr>
            <w:tcW w:w="2739" w:type="dxa"/>
            <w:vMerge/>
            <w:shd w:val="clear" w:color="auto" w:fill="auto"/>
          </w:tcPr>
          <w:p w14:paraId="4B7CFED8" w14:textId="77777777" w:rsidR="001B11F7" w:rsidRDefault="001B11F7">
            <w:pPr>
              <w:widowControl w:val="0"/>
              <w:rPr>
                <w:rFonts w:eastAsia="SimSun"/>
                <w:color w:val="000000"/>
                <w:sz w:val="22"/>
                <w:szCs w:val="22"/>
                <w:lang w:val="lt-LT" w:eastAsia="zh-CN"/>
              </w:rPr>
            </w:pPr>
          </w:p>
        </w:tc>
      </w:tr>
      <w:tr w:rsidR="001B11F7" w14:paraId="68A37F24" w14:textId="77777777">
        <w:tc>
          <w:tcPr>
            <w:tcW w:w="2863" w:type="dxa"/>
            <w:shd w:val="clear" w:color="auto" w:fill="auto"/>
          </w:tcPr>
          <w:p w14:paraId="3EB3578E" w14:textId="77777777" w:rsidR="001B11F7" w:rsidRDefault="00B83885">
            <w:pPr>
              <w:widowControl w:val="0"/>
              <w:rPr>
                <w:rFonts w:eastAsia="SimSun"/>
                <w:sz w:val="22"/>
                <w:szCs w:val="22"/>
                <w:lang w:val="lt-LT" w:eastAsia="zh-CN"/>
              </w:rPr>
            </w:pPr>
            <w:r>
              <w:rPr>
                <w:rFonts w:eastAsia="SimSun"/>
                <w:sz w:val="22"/>
                <w:szCs w:val="22"/>
                <w:lang w:val="lt-LT" w:eastAsia="zh-CN"/>
              </w:rPr>
              <w:t>400 mg sakvinaviro x 2/ 300 mg</w:t>
            </w:r>
            <w:r>
              <w:rPr>
                <w:rFonts w:eastAsia="SimSun"/>
                <w:color w:val="000000"/>
                <w:sz w:val="22"/>
                <w:szCs w:val="22"/>
                <w:lang w:val="lt-LT" w:eastAsia="zh-CN"/>
              </w:rPr>
              <w:t xml:space="preserve"> ritonaviro x 2</w:t>
            </w:r>
            <w:r>
              <w:rPr>
                <w:rFonts w:eastAsia="SimSun"/>
                <w:sz w:val="22"/>
                <w:szCs w:val="22"/>
                <w:lang w:val="lt-LT" w:eastAsia="zh-CN"/>
              </w:rPr>
              <w:t xml:space="preserve"> nuo 5</w:t>
            </w:r>
            <w:r>
              <w:rPr>
                <w:rFonts w:eastAsia="SimSun"/>
                <w:sz w:val="22"/>
                <w:szCs w:val="22"/>
                <w:lang w:val="lt-LT" w:eastAsia="zh-CN"/>
              </w:rPr>
              <w:noBreakHyphen/>
              <w:t xml:space="preserve">7-tos paros, padidinant iki 400 mg </w:t>
            </w:r>
            <w:r>
              <w:rPr>
                <w:rFonts w:eastAsia="SimSun"/>
                <w:color w:val="000000"/>
                <w:sz w:val="22"/>
                <w:szCs w:val="22"/>
                <w:lang w:val="lt-LT" w:eastAsia="zh-CN"/>
              </w:rPr>
              <w:t>x 2</w:t>
            </w:r>
            <w:r>
              <w:rPr>
                <w:rFonts w:eastAsia="SimSun"/>
                <w:sz w:val="22"/>
                <w:szCs w:val="22"/>
                <w:lang w:val="lt-LT" w:eastAsia="zh-CN"/>
              </w:rPr>
              <w:t xml:space="preserve"> 8-tą parą), 4</w:t>
            </w:r>
            <w:r>
              <w:rPr>
                <w:rFonts w:eastAsia="SimSun"/>
                <w:sz w:val="22"/>
                <w:szCs w:val="22"/>
                <w:lang w:val="lt-LT" w:eastAsia="zh-CN"/>
              </w:rPr>
              <w:noBreakHyphen/>
              <w:t>18-tą paromis, 30 min. po atorvastatino dozės pavartojimo</w:t>
            </w:r>
          </w:p>
        </w:tc>
        <w:tc>
          <w:tcPr>
            <w:tcW w:w="1729" w:type="dxa"/>
            <w:shd w:val="clear" w:color="auto" w:fill="auto"/>
          </w:tcPr>
          <w:p w14:paraId="0132ADAB"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40 mg x 1 keturias paras</w:t>
            </w:r>
          </w:p>
        </w:tc>
        <w:tc>
          <w:tcPr>
            <w:tcW w:w="1537" w:type="dxa"/>
            <w:shd w:val="clear" w:color="auto" w:fill="auto"/>
          </w:tcPr>
          <w:p w14:paraId="103D2CC0"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3,9</w:t>
            </w:r>
          </w:p>
        </w:tc>
        <w:tc>
          <w:tcPr>
            <w:tcW w:w="2739" w:type="dxa"/>
            <w:vMerge w:val="restart"/>
            <w:shd w:val="clear" w:color="auto" w:fill="auto"/>
          </w:tcPr>
          <w:p w14:paraId="15EA7B00"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Tais atvejais, kai vartoti kartu su atorvastatinu būtina, rekomenduojama skirti mažesnę palaikomąją atorvastatino dozę. Vartojant didesnes kaip 40 mg atorvastatino dozes, rekomenduojama stebėti pacientų klinikinę būklę</w:t>
            </w:r>
            <w:r>
              <w:rPr>
                <w:rFonts w:eastAsia="SimSun"/>
                <w:i/>
                <w:color w:val="000000"/>
                <w:sz w:val="22"/>
                <w:szCs w:val="22"/>
                <w:lang w:val="lt-LT" w:eastAsia="zh-CN"/>
              </w:rPr>
              <w:t>.</w:t>
            </w:r>
          </w:p>
          <w:p w14:paraId="5F7D6549" w14:textId="77777777" w:rsidR="001B11F7" w:rsidRDefault="001B11F7">
            <w:pPr>
              <w:widowControl w:val="0"/>
              <w:rPr>
                <w:rFonts w:eastAsia="SimSun"/>
                <w:color w:val="000000"/>
                <w:sz w:val="22"/>
                <w:szCs w:val="22"/>
                <w:lang w:val="lt-LT" w:eastAsia="zh-CN"/>
              </w:rPr>
            </w:pPr>
          </w:p>
        </w:tc>
      </w:tr>
      <w:tr w:rsidR="001B11F7" w14:paraId="42359A94" w14:textId="77777777">
        <w:tc>
          <w:tcPr>
            <w:tcW w:w="2863" w:type="dxa"/>
            <w:shd w:val="clear" w:color="auto" w:fill="auto"/>
          </w:tcPr>
          <w:p w14:paraId="63517386"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300 mg darunaviro x 2/</w:t>
            </w:r>
          </w:p>
          <w:p w14:paraId="46C9C7A7"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100 mg ritonaviro x 2, 9 paras</w:t>
            </w:r>
          </w:p>
        </w:tc>
        <w:tc>
          <w:tcPr>
            <w:tcW w:w="1729" w:type="dxa"/>
            <w:shd w:val="clear" w:color="auto" w:fill="auto"/>
          </w:tcPr>
          <w:p w14:paraId="45FD21B1"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 mg x 1 keturias paras</w:t>
            </w:r>
          </w:p>
        </w:tc>
        <w:tc>
          <w:tcPr>
            <w:tcW w:w="1537" w:type="dxa"/>
            <w:shd w:val="clear" w:color="auto" w:fill="auto"/>
          </w:tcPr>
          <w:p w14:paraId="1B025CD8"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3,4</w:t>
            </w:r>
          </w:p>
        </w:tc>
        <w:tc>
          <w:tcPr>
            <w:tcW w:w="2739" w:type="dxa"/>
            <w:vMerge/>
            <w:shd w:val="clear" w:color="auto" w:fill="auto"/>
          </w:tcPr>
          <w:p w14:paraId="44B08044" w14:textId="77777777" w:rsidR="001B11F7" w:rsidRDefault="001B11F7">
            <w:pPr>
              <w:widowControl w:val="0"/>
              <w:rPr>
                <w:rFonts w:eastAsia="SimSun"/>
                <w:color w:val="000000"/>
                <w:sz w:val="22"/>
                <w:szCs w:val="22"/>
                <w:lang w:val="lt-LT" w:eastAsia="zh-CN"/>
              </w:rPr>
            </w:pPr>
          </w:p>
        </w:tc>
      </w:tr>
      <w:tr w:rsidR="001B11F7" w14:paraId="75A139BD" w14:textId="77777777">
        <w:tc>
          <w:tcPr>
            <w:tcW w:w="2863" w:type="dxa"/>
            <w:shd w:val="clear" w:color="auto" w:fill="auto"/>
          </w:tcPr>
          <w:p w14:paraId="1D77EC7F"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200 mg itrakonazolo x 1, 4 paras</w:t>
            </w:r>
          </w:p>
        </w:tc>
        <w:tc>
          <w:tcPr>
            <w:tcW w:w="1729" w:type="dxa"/>
            <w:shd w:val="clear" w:color="auto" w:fill="auto"/>
          </w:tcPr>
          <w:p w14:paraId="1CB8779D"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40 mg VD</w:t>
            </w:r>
          </w:p>
        </w:tc>
        <w:tc>
          <w:tcPr>
            <w:tcW w:w="1537" w:type="dxa"/>
            <w:shd w:val="clear" w:color="auto" w:fill="auto"/>
          </w:tcPr>
          <w:p w14:paraId="6BD193B4"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3,3</w:t>
            </w:r>
          </w:p>
        </w:tc>
        <w:tc>
          <w:tcPr>
            <w:tcW w:w="2739" w:type="dxa"/>
            <w:vMerge/>
            <w:shd w:val="clear" w:color="auto" w:fill="auto"/>
          </w:tcPr>
          <w:p w14:paraId="621C6024" w14:textId="77777777" w:rsidR="001B11F7" w:rsidRDefault="001B11F7">
            <w:pPr>
              <w:widowControl w:val="0"/>
              <w:rPr>
                <w:rFonts w:eastAsia="SimSun"/>
                <w:color w:val="000000"/>
                <w:sz w:val="22"/>
                <w:szCs w:val="22"/>
                <w:lang w:val="lt-LT" w:eastAsia="zh-CN"/>
              </w:rPr>
            </w:pPr>
          </w:p>
        </w:tc>
      </w:tr>
      <w:tr w:rsidR="001B11F7" w14:paraId="03F5B913" w14:textId="77777777">
        <w:tc>
          <w:tcPr>
            <w:tcW w:w="2863" w:type="dxa"/>
            <w:shd w:val="clear" w:color="auto" w:fill="auto"/>
          </w:tcPr>
          <w:p w14:paraId="453100BF"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 xml:space="preserve">700 mg fosamprenaviro x 2/ 100 mg ritonaviro x 2, </w:t>
            </w:r>
            <w:r>
              <w:rPr>
                <w:rFonts w:eastAsia="SimSun"/>
                <w:color w:val="000000"/>
                <w:sz w:val="22"/>
                <w:szCs w:val="22"/>
                <w:lang w:val="lt-LT" w:eastAsia="zh-CN"/>
              </w:rPr>
              <w:lastRenderedPageBreak/>
              <w:t>14 parų</w:t>
            </w:r>
          </w:p>
        </w:tc>
        <w:tc>
          <w:tcPr>
            <w:tcW w:w="1729" w:type="dxa"/>
            <w:shd w:val="clear" w:color="auto" w:fill="auto"/>
          </w:tcPr>
          <w:p w14:paraId="03F6673F"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lastRenderedPageBreak/>
              <w:t>10 mg x 1 keturias paras</w:t>
            </w:r>
          </w:p>
        </w:tc>
        <w:tc>
          <w:tcPr>
            <w:tcW w:w="1537" w:type="dxa"/>
            <w:shd w:val="clear" w:color="auto" w:fill="auto"/>
          </w:tcPr>
          <w:p w14:paraId="1EE396C8"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2,5</w:t>
            </w:r>
          </w:p>
        </w:tc>
        <w:tc>
          <w:tcPr>
            <w:tcW w:w="2739" w:type="dxa"/>
            <w:vMerge/>
            <w:shd w:val="clear" w:color="auto" w:fill="auto"/>
          </w:tcPr>
          <w:p w14:paraId="1C1C47A8" w14:textId="77777777" w:rsidR="001B11F7" w:rsidRDefault="001B11F7">
            <w:pPr>
              <w:widowControl w:val="0"/>
              <w:rPr>
                <w:rFonts w:eastAsia="SimSun"/>
                <w:color w:val="000000"/>
                <w:sz w:val="22"/>
                <w:szCs w:val="22"/>
                <w:lang w:val="lt-LT" w:eastAsia="zh-CN"/>
              </w:rPr>
            </w:pPr>
          </w:p>
        </w:tc>
      </w:tr>
      <w:tr w:rsidR="001B11F7" w14:paraId="3668826C" w14:textId="77777777">
        <w:tc>
          <w:tcPr>
            <w:tcW w:w="2863" w:type="dxa"/>
            <w:shd w:val="clear" w:color="auto" w:fill="auto"/>
          </w:tcPr>
          <w:p w14:paraId="04C9B47F"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1400 mg fosamprenaviro x 2, 14 parų</w:t>
            </w:r>
          </w:p>
        </w:tc>
        <w:tc>
          <w:tcPr>
            <w:tcW w:w="1729" w:type="dxa"/>
            <w:shd w:val="clear" w:color="auto" w:fill="auto"/>
          </w:tcPr>
          <w:p w14:paraId="491E0E27"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 mg x 1 keturias paras</w:t>
            </w:r>
          </w:p>
        </w:tc>
        <w:tc>
          <w:tcPr>
            <w:tcW w:w="1537" w:type="dxa"/>
            <w:shd w:val="clear" w:color="auto" w:fill="auto"/>
          </w:tcPr>
          <w:p w14:paraId="2111D9D8"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2,3</w:t>
            </w:r>
          </w:p>
        </w:tc>
        <w:tc>
          <w:tcPr>
            <w:tcW w:w="2739" w:type="dxa"/>
            <w:vMerge/>
            <w:shd w:val="clear" w:color="auto" w:fill="auto"/>
          </w:tcPr>
          <w:p w14:paraId="44DEE79E" w14:textId="77777777" w:rsidR="001B11F7" w:rsidRDefault="001B11F7">
            <w:pPr>
              <w:widowControl w:val="0"/>
              <w:rPr>
                <w:rFonts w:eastAsia="SimSun"/>
                <w:color w:val="000000"/>
                <w:sz w:val="22"/>
                <w:szCs w:val="22"/>
                <w:lang w:val="lt-LT" w:eastAsia="zh-CN"/>
              </w:rPr>
            </w:pPr>
          </w:p>
        </w:tc>
      </w:tr>
      <w:tr w:rsidR="001B11F7" w14:paraId="447C46CD" w14:textId="77777777">
        <w:tc>
          <w:tcPr>
            <w:tcW w:w="2863" w:type="dxa"/>
            <w:shd w:val="clear" w:color="auto" w:fill="auto"/>
          </w:tcPr>
          <w:p w14:paraId="626043E5" w14:textId="77777777" w:rsidR="001B11F7" w:rsidRDefault="00B83885">
            <w:pPr>
              <w:spacing w:after="140"/>
              <w:rPr>
                <w:rFonts w:eastAsia="Verdana"/>
                <w:sz w:val="22"/>
                <w:szCs w:val="22"/>
                <w:lang w:eastAsia="x-none"/>
              </w:rPr>
            </w:pPr>
            <w:r>
              <w:rPr>
                <w:rFonts w:eastAsia="Verdana"/>
                <w:sz w:val="22"/>
                <w:szCs w:val="22"/>
                <w:lang w:eastAsia="x-none"/>
              </w:rPr>
              <w:t>Elbasviras 50 mg x 1 ir grazopreviras 200 mg x 1, 13 parų</w:t>
            </w:r>
          </w:p>
          <w:p w14:paraId="2219A027" w14:textId="77777777" w:rsidR="001B11F7" w:rsidRDefault="001B11F7">
            <w:pPr>
              <w:widowControl w:val="0"/>
              <w:rPr>
                <w:rFonts w:eastAsia="SimSun"/>
                <w:color w:val="000000"/>
                <w:sz w:val="22"/>
                <w:szCs w:val="22"/>
                <w:lang w:val="lt-LT" w:eastAsia="zh-CN"/>
              </w:rPr>
            </w:pPr>
          </w:p>
        </w:tc>
        <w:tc>
          <w:tcPr>
            <w:tcW w:w="1729" w:type="dxa"/>
            <w:shd w:val="clear" w:color="auto" w:fill="auto"/>
          </w:tcPr>
          <w:p w14:paraId="4C21CA97" w14:textId="77777777" w:rsidR="001B11F7" w:rsidRDefault="00B83885">
            <w:pPr>
              <w:spacing w:after="140"/>
              <w:rPr>
                <w:rFonts w:eastAsia="Verdana"/>
                <w:sz w:val="22"/>
                <w:szCs w:val="22"/>
                <w:lang w:eastAsia="x-none"/>
              </w:rPr>
            </w:pPr>
            <w:r>
              <w:rPr>
                <w:rFonts w:eastAsia="Verdana"/>
                <w:sz w:val="22"/>
                <w:szCs w:val="22"/>
                <w:lang w:eastAsia="x-none"/>
              </w:rPr>
              <w:t>10 mg VD</w:t>
            </w:r>
          </w:p>
          <w:p w14:paraId="4765D534" w14:textId="77777777" w:rsidR="001B11F7" w:rsidRDefault="001B11F7">
            <w:pPr>
              <w:widowControl w:val="0"/>
              <w:rPr>
                <w:rFonts w:eastAsia="SimSun"/>
                <w:color w:val="000000"/>
                <w:sz w:val="22"/>
                <w:szCs w:val="22"/>
                <w:lang w:val="lt-LT" w:eastAsia="zh-CN"/>
              </w:rPr>
            </w:pPr>
          </w:p>
        </w:tc>
        <w:tc>
          <w:tcPr>
            <w:tcW w:w="1537" w:type="dxa"/>
            <w:shd w:val="clear" w:color="auto" w:fill="auto"/>
          </w:tcPr>
          <w:p w14:paraId="28B0F745" w14:textId="77777777" w:rsidR="001B11F7" w:rsidRDefault="00B83885">
            <w:pPr>
              <w:widowControl w:val="0"/>
              <w:rPr>
                <w:rFonts w:eastAsia="SimSun"/>
                <w:color w:val="000000"/>
                <w:sz w:val="22"/>
                <w:szCs w:val="22"/>
                <w:lang w:val="lt-LT" w:eastAsia="zh-CN" w:bidi="te-IN"/>
              </w:rPr>
            </w:pPr>
            <w:r>
              <w:rPr>
                <w:rFonts w:eastAsia="Verdana"/>
                <w:sz w:val="22"/>
                <w:szCs w:val="22"/>
                <w:lang w:eastAsia="x-none"/>
              </w:rPr>
              <w:t>1,95</w:t>
            </w:r>
          </w:p>
        </w:tc>
        <w:tc>
          <w:tcPr>
            <w:tcW w:w="2739" w:type="dxa"/>
            <w:shd w:val="clear" w:color="auto" w:fill="auto"/>
          </w:tcPr>
          <w:p w14:paraId="280AE191" w14:textId="77777777" w:rsidR="001B11F7" w:rsidRDefault="00B83885">
            <w:pPr>
              <w:widowControl w:val="0"/>
              <w:rPr>
                <w:rFonts w:eastAsia="SimSun"/>
                <w:color w:val="000000"/>
                <w:sz w:val="22"/>
                <w:szCs w:val="22"/>
                <w:lang w:val="lt-LT" w:eastAsia="zh-CN"/>
              </w:rPr>
            </w:pPr>
            <w:r>
              <w:rPr>
                <w:sz w:val="22"/>
              </w:rPr>
              <w:t>Skiriant kartu su vaistiniais preparatais, kurių sudėtyje yra elbasviro arba grazopreviro, atorvastatino dozė neturi būti didesnė kaip 20 mg per parą.</w:t>
            </w:r>
          </w:p>
        </w:tc>
      </w:tr>
      <w:tr w:rsidR="001B11F7" w14:paraId="6775D05E" w14:textId="77777777">
        <w:tc>
          <w:tcPr>
            <w:tcW w:w="2863" w:type="dxa"/>
            <w:shd w:val="clear" w:color="auto" w:fill="auto"/>
          </w:tcPr>
          <w:p w14:paraId="6EB4F91E" w14:textId="77777777" w:rsidR="001B11F7" w:rsidRDefault="00B83885">
            <w:pPr>
              <w:widowControl w:val="0"/>
              <w:rPr>
                <w:rFonts w:eastAsia="SimSun"/>
                <w:color w:val="000000"/>
                <w:sz w:val="22"/>
                <w:szCs w:val="22"/>
                <w:lang w:val="lt-LT" w:eastAsia="zh-CN"/>
              </w:rPr>
            </w:pPr>
            <w:r>
              <w:rPr>
                <w:color w:val="000000"/>
                <w:sz w:val="22"/>
                <w:szCs w:val="22"/>
              </w:rPr>
              <w:t>Letermoviras 480 mg x 1, 10 parų</w:t>
            </w:r>
          </w:p>
        </w:tc>
        <w:tc>
          <w:tcPr>
            <w:tcW w:w="1729" w:type="dxa"/>
            <w:shd w:val="clear" w:color="auto" w:fill="auto"/>
          </w:tcPr>
          <w:p w14:paraId="2FC5DB27" w14:textId="77777777" w:rsidR="001B11F7" w:rsidRDefault="00B83885">
            <w:pPr>
              <w:widowControl w:val="0"/>
              <w:rPr>
                <w:rFonts w:eastAsia="SimSun"/>
                <w:color w:val="000000"/>
                <w:sz w:val="22"/>
                <w:szCs w:val="22"/>
                <w:lang w:val="lt-LT" w:eastAsia="zh-CN"/>
              </w:rPr>
            </w:pPr>
            <w:r>
              <w:rPr>
                <w:color w:val="000000"/>
                <w:sz w:val="22"/>
                <w:szCs w:val="22"/>
                <w:lang w:val="lt-LT"/>
              </w:rPr>
              <w:t>20 mg VD</w:t>
            </w:r>
          </w:p>
        </w:tc>
        <w:tc>
          <w:tcPr>
            <w:tcW w:w="1537" w:type="dxa"/>
            <w:shd w:val="clear" w:color="auto" w:fill="auto"/>
          </w:tcPr>
          <w:p w14:paraId="54752655" w14:textId="77777777" w:rsidR="001B11F7" w:rsidRDefault="00B83885">
            <w:pPr>
              <w:widowControl w:val="0"/>
              <w:rPr>
                <w:rFonts w:eastAsia="SimSun"/>
                <w:color w:val="000000"/>
                <w:sz w:val="22"/>
                <w:szCs w:val="22"/>
                <w:lang w:val="lt-LT" w:eastAsia="zh-CN" w:bidi="te-IN"/>
              </w:rPr>
            </w:pPr>
            <w:r>
              <w:rPr>
                <w:color w:val="000000"/>
                <w:sz w:val="22"/>
                <w:szCs w:val="22"/>
                <w:lang w:val="lt-LT" w:bidi="te-IN"/>
              </w:rPr>
              <w:t>3,29</w:t>
            </w:r>
          </w:p>
        </w:tc>
        <w:tc>
          <w:tcPr>
            <w:tcW w:w="2739" w:type="dxa"/>
            <w:shd w:val="clear" w:color="auto" w:fill="auto"/>
          </w:tcPr>
          <w:p w14:paraId="2D4C6971" w14:textId="77777777" w:rsidR="001B11F7" w:rsidRDefault="00B83885">
            <w:pPr>
              <w:widowControl w:val="0"/>
              <w:rPr>
                <w:rFonts w:eastAsia="SimSun"/>
                <w:color w:val="000000"/>
                <w:sz w:val="22"/>
                <w:szCs w:val="22"/>
                <w:lang w:val="lt-LT" w:eastAsia="zh-CN"/>
              </w:rPr>
            </w:pPr>
            <w:r>
              <w:rPr>
                <w:sz w:val="22"/>
              </w:rPr>
              <w:t>Skiriant kartu su vaistiniais preparatais, kurių sudėtyje yra letermoviro, atorvastatino dozė neturi būti didesnė kaip 20 mg per parą.</w:t>
            </w:r>
          </w:p>
        </w:tc>
      </w:tr>
      <w:tr w:rsidR="001B11F7" w14:paraId="67D1A7F1" w14:textId="77777777">
        <w:tc>
          <w:tcPr>
            <w:tcW w:w="2863" w:type="dxa"/>
            <w:shd w:val="clear" w:color="auto" w:fill="auto"/>
          </w:tcPr>
          <w:p w14:paraId="2DC78875"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1250 mg n</w:t>
            </w:r>
            <w:r>
              <w:rPr>
                <w:rFonts w:eastAsia="SimSun"/>
                <w:bCs/>
                <w:color w:val="000000"/>
                <w:sz w:val="22"/>
                <w:szCs w:val="22"/>
                <w:lang w:val="lt-LT" w:eastAsia="zh-CN"/>
              </w:rPr>
              <w:t xml:space="preserve">elfinaviro </w:t>
            </w:r>
            <w:r>
              <w:rPr>
                <w:rFonts w:eastAsia="SimSun"/>
                <w:color w:val="000000"/>
                <w:sz w:val="22"/>
                <w:szCs w:val="22"/>
                <w:lang w:val="lt-LT" w:eastAsia="zh-CN"/>
              </w:rPr>
              <w:t>x 2, 14 parų</w:t>
            </w:r>
          </w:p>
        </w:tc>
        <w:tc>
          <w:tcPr>
            <w:tcW w:w="1729" w:type="dxa"/>
            <w:shd w:val="clear" w:color="auto" w:fill="auto"/>
          </w:tcPr>
          <w:p w14:paraId="5ACAAFF8"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10 mg x 1 28 paras</w:t>
            </w:r>
          </w:p>
        </w:tc>
        <w:tc>
          <w:tcPr>
            <w:tcW w:w="1537" w:type="dxa"/>
            <w:shd w:val="clear" w:color="auto" w:fill="auto"/>
          </w:tcPr>
          <w:p w14:paraId="2CCD912A" w14:textId="77777777" w:rsidR="001B11F7" w:rsidRDefault="00B83885">
            <w:pPr>
              <w:widowControl w:val="0"/>
              <w:rPr>
                <w:rFonts w:eastAsia="SimSun"/>
                <w:color w:val="000000"/>
                <w:sz w:val="22"/>
                <w:szCs w:val="22"/>
                <w:lang w:val="lt-LT" w:eastAsia="zh-CN" w:bidi="te-IN"/>
              </w:rPr>
            </w:pPr>
            <w:r>
              <w:rPr>
                <w:rFonts w:eastAsia="SimSun"/>
                <w:color w:val="000000"/>
                <w:sz w:val="22"/>
                <w:szCs w:val="22"/>
                <w:lang w:val="lt-LT" w:eastAsia="zh-CN" w:bidi="te-IN"/>
              </w:rPr>
              <w:t>1,74</w:t>
            </w:r>
          </w:p>
        </w:tc>
        <w:tc>
          <w:tcPr>
            <w:tcW w:w="2739" w:type="dxa"/>
            <w:shd w:val="clear" w:color="auto" w:fill="auto"/>
          </w:tcPr>
          <w:p w14:paraId="6546CA74" w14:textId="77777777" w:rsidR="001B11F7" w:rsidRDefault="00B83885">
            <w:pPr>
              <w:widowControl w:val="0"/>
              <w:rPr>
                <w:rFonts w:eastAsia="SimSun"/>
                <w:color w:val="000000"/>
                <w:sz w:val="22"/>
                <w:szCs w:val="22"/>
                <w:lang w:val="lt-LT" w:eastAsia="zh-CN"/>
              </w:rPr>
            </w:pPr>
            <w:r>
              <w:rPr>
                <w:rFonts w:eastAsia="SimSun"/>
                <w:color w:val="000000"/>
                <w:sz w:val="22"/>
                <w:szCs w:val="22"/>
                <w:lang w:val="lt-LT" w:eastAsia="zh-CN"/>
              </w:rPr>
              <w:t>Specialių rekomendacijų nėra.</w:t>
            </w:r>
          </w:p>
        </w:tc>
      </w:tr>
      <w:tr w:rsidR="001B11F7" w14:paraId="7FB720B6" w14:textId="77777777">
        <w:tc>
          <w:tcPr>
            <w:tcW w:w="2863" w:type="dxa"/>
            <w:shd w:val="clear" w:color="auto" w:fill="auto"/>
          </w:tcPr>
          <w:p w14:paraId="7124C6A7" w14:textId="77777777" w:rsidR="001B11F7" w:rsidRDefault="00B83885">
            <w:pPr>
              <w:widowControl w:val="0"/>
              <w:rPr>
                <w:rFonts w:eastAsia="SimSun"/>
                <w:sz w:val="22"/>
                <w:szCs w:val="22"/>
                <w:lang w:val="lt-LT" w:eastAsia="zh-CN"/>
              </w:rPr>
            </w:pPr>
            <w:r>
              <w:rPr>
                <w:rFonts w:eastAsia="SimSun"/>
                <w:sz w:val="22"/>
                <w:szCs w:val="22"/>
                <w:lang w:val="lt-LT" w:eastAsia="zh-CN"/>
              </w:rPr>
              <w:t>Greipfrutų sultys, 240 ml</w:t>
            </w:r>
            <w:r>
              <w:rPr>
                <w:rFonts w:eastAsia="SimSun"/>
                <w:color w:val="000000"/>
                <w:sz w:val="22"/>
                <w:szCs w:val="22"/>
                <w:lang w:val="lt-LT" w:eastAsia="zh-CN"/>
              </w:rPr>
              <w:t xml:space="preserve"> x 1</w:t>
            </w:r>
            <w:r>
              <w:rPr>
                <w:rFonts w:eastAsia="SimSun"/>
                <w:sz w:val="22"/>
                <w:szCs w:val="22"/>
                <w:lang w:val="lt-LT" w:eastAsia="zh-CN"/>
              </w:rPr>
              <w:t>*</w:t>
            </w:r>
          </w:p>
        </w:tc>
        <w:tc>
          <w:tcPr>
            <w:tcW w:w="1729" w:type="dxa"/>
            <w:shd w:val="clear" w:color="auto" w:fill="auto"/>
          </w:tcPr>
          <w:p w14:paraId="2AE5E968"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5138149F"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1,37</w:t>
            </w:r>
          </w:p>
        </w:tc>
        <w:tc>
          <w:tcPr>
            <w:tcW w:w="2739" w:type="dxa"/>
            <w:shd w:val="clear" w:color="auto" w:fill="auto"/>
          </w:tcPr>
          <w:p w14:paraId="6F7BE96E" w14:textId="77777777" w:rsidR="001B11F7" w:rsidRDefault="00B83885">
            <w:pPr>
              <w:widowControl w:val="0"/>
              <w:rPr>
                <w:rFonts w:eastAsia="SimSun"/>
                <w:sz w:val="22"/>
                <w:szCs w:val="22"/>
                <w:lang w:val="lt-LT" w:eastAsia="zh-CN"/>
              </w:rPr>
            </w:pPr>
            <w:r>
              <w:rPr>
                <w:rFonts w:eastAsia="SimSun"/>
                <w:sz w:val="22"/>
                <w:szCs w:val="22"/>
                <w:lang w:val="lt-LT" w:eastAsia="zh-CN"/>
              </w:rPr>
              <w:t>Vartojant atorvastatiną, nerekomenduojama kartu gerti daug greipfrutų sulčių.</w:t>
            </w:r>
          </w:p>
        </w:tc>
      </w:tr>
      <w:tr w:rsidR="001B11F7" w14:paraId="22541706" w14:textId="77777777">
        <w:tc>
          <w:tcPr>
            <w:tcW w:w="2863" w:type="dxa"/>
            <w:shd w:val="clear" w:color="auto" w:fill="auto"/>
          </w:tcPr>
          <w:p w14:paraId="2F6EDAC8" w14:textId="77777777" w:rsidR="001B11F7" w:rsidRDefault="00B83885">
            <w:pPr>
              <w:widowControl w:val="0"/>
              <w:rPr>
                <w:rFonts w:eastAsia="SimSun"/>
                <w:sz w:val="22"/>
                <w:szCs w:val="22"/>
                <w:lang w:val="lt-LT" w:eastAsia="zh-CN"/>
              </w:rPr>
            </w:pPr>
            <w:r>
              <w:rPr>
                <w:rFonts w:eastAsia="SimSun"/>
                <w:sz w:val="22"/>
                <w:szCs w:val="22"/>
                <w:lang w:val="lt-LT" w:eastAsia="zh-CN"/>
              </w:rPr>
              <w:t>240 mg diltiazemo</w:t>
            </w:r>
            <w:r>
              <w:rPr>
                <w:rFonts w:eastAsia="SimSun"/>
                <w:color w:val="000000"/>
                <w:sz w:val="22"/>
                <w:szCs w:val="22"/>
                <w:lang w:val="lt-LT" w:eastAsia="zh-CN"/>
              </w:rPr>
              <w:t xml:space="preserve"> x 1</w:t>
            </w:r>
            <w:r>
              <w:rPr>
                <w:rFonts w:eastAsia="SimSun"/>
                <w:sz w:val="22"/>
                <w:szCs w:val="22"/>
                <w:lang w:val="lt-LT" w:eastAsia="zh-CN"/>
              </w:rPr>
              <w:t>, 28 paras</w:t>
            </w:r>
          </w:p>
        </w:tc>
        <w:tc>
          <w:tcPr>
            <w:tcW w:w="1729" w:type="dxa"/>
            <w:shd w:val="clear" w:color="auto" w:fill="auto"/>
          </w:tcPr>
          <w:p w14:paraId="4ACBFD74"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0EC719F8"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1,51</w:t>
            </w:r>
          </w:p>
        </w:tc>
        <w:tc>
          <w:tcPr>
            <w:tcW w:w="2739" w:type="dxa"/>
            <w:shd w:val="clear" w:color="auto" w:fill="auto"/>
          </w:tcPr>
          <w:p w14:paraId="073BF5DF"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Pradėjus vartoti arba pakeitus diltiazemo dozę, </w:t>
            </w:r>
            <w:r>
              <w:rPr>
                <w:rFonts w:eastAsia="SimSun"/>
                <w:color w:val="000000"/>
                <w:sz w:val="22"/>
                <w:szCs w:val="22"/>
                <w:lang w:val="lt-LT" w:eastAsia="zh-CN"/>
              </w:rPr>
              <w:t>rekomenduojama tinkamai stebėti pacientų klinikinę būklę</w:t>
            </w:r>
            <w:r>
              <w:rPr>
                <w:rFonts w:eastAsia="SimSun"/>
                <w:sz w:val="22"/>
                <w:szCs w:val="22"/>
                <w:lang w:val="lt-LT" w:eastAsia="zh-CN"/>
              </w:rPr>
              <w:t>.</w:t>
            </w:r>
          </w:p>
        </w:tc>
      </w:tr>
      <w:tr w:rsidR="001B11F7" w14:paraId="1B2F5F4D" w14:textId="77777777">
        <w:tc>
          <w:tcPr>
            <w:tcW w:w="2863" w:type="dxa"/>
            <w:shd w:val="clear" w:color="auto" w:fill="auto"/>
          </w:tcPr>
          <w:p w14:paraId="0F03FEB3" w14:textId="77777777" w:rsidR="001B11F7" w:rsidRDefault="00B83885">
            <w:pPr>
              <w:widowControl w:val="0"/>
              <w:rPr>
                <w:rFonts w:eastAsia="SimSun"/>
                <w:sz w:val="22"/>
                <w:szCs w:val="22"/>
                <w:lang w:val="lt-LT" w:eastAsia="zh-CN"/>
              </w:rPr>
            </w:pPr>
            <w:r>
              <w:rPr>
                <w:rFonts w:eastAsia="SimSun"/>
                <w:sz w:val="22"/>
                <w:szCs w:val="22"/>
                <w:lang w:val="lt-LT" w:eastAsia="zh-CN"/>
              </w:rPr>
              <w:t>Eritromicino 500 mg eritromicino x 4, 7 paras</w:t>
            </w:r>
          </w:p>
        </w:tc>
        <w:tc>
          <w:tcPr>
            <w:tcW w:w="1729" w:type="dxa"/>
            <w:shd w:val="clear" w:color="auto" w:fill="auto"/>
          </w:tcPr>
          <w:p w14:paraId="274ED160" w14:textId="77777777" w:rsidR="001B11F7" w:rsidRDefault="00B83885">
            <w:pPr>
              <w:widowControl w:val="0"/>
              <w:rPr>
                <w:rFonts w:eastAsia="SimSun"/>
                <w:sz w:val="22"/>
                <w:szCs w:val="22"/>
                <w:lang w:val="lt-LT" w:eastAsia="zh-CN"/>
              </w:rPr>
            </w:pPr>
            <w:r>
              <w:rPr>
                <w:rFonts w:eastAsia="SimSun"/>
                <w:sz w:val="22"/>
                <w:szCs w:val="22"/>
                <w:lang w:val="lt-LT" w:eastAsia="zh-CN"/>
              </w:rPr>
              <w:t>10 mg, VD</w:t>
            </w:r>
          </w:p>
        </w:tc>
        <w:tc>
          <w:tcPr>
            <w:tcW w:w="1537" w:type="dxa"/>
            <w:shd w:val="clear" w:color="auto" w:fill="auto"/>
          </w:tcPr>
          <w:p w14:paraId="15C31A22"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1,33</w:t>
            </w:r>
          </w:p>
        </w:tc>
        <w:tc>
          <w:tcPr>
            <w:tcW w:w="2739" w:type="dxa"/>
            <w:shd w:val="clear" w:color="auto" w:fill="auto"/>
          </w:tcPr>
          <w:p w14:paraId="78CE3E0D"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Rekomenduojama skirti mažesnę didžiausią dozę ir </w:t>
            </w:r>
            <w:r>
              <w:rPr>
                <w:rFonts w:eastAsia="SimSun"/>
                <w:color w:val="000000"/>
                <w:sz w:val="22"/>
                <w:szCs w:val="22"/>
                <w:lang w:val="lt-LT" w:eastAsia="zh-CN"/>
              </w:rPr>
              <w:t>stebėti pacientų klinikinę būklę</w:t>
            </w:r>
            <w:r>
              <w:rPr>
                <w:rFonts w:eastAsia="SimSun"/>
                <w:sz w:val="22"/>
                <w:szCs w:val="22"/>
                <w:lang w:val="lt-LT" w:eastAsia="zh-CN"/>
              </w:rPr>
              <w:t>.</w:t>
            </w:r>
          </w:p>
        </w:tc>
      </w:tr>
      <w:tr w:rsidR="001B11F7" w14:paraId="113669C9" w14:textId="77777777">
        <w:trPr>
          <w:trHeight w:val="218"/>
        </w:trPr>
        <w:tc>
          <w:tcPr>
            <w:tcW w:w="2863" w:type="dxa"/>
            <w:shd w:val="clear" w:color="auto" w:fill="auto"/>
          </w:tcPr>
          <w:p w14:paraId="0367DA14"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10 mg amlodipino, vienkartinė dozė </w:t>
            </w:r>
          </w:p>
        </w:tc>
        <w:tc>
          <w:tcPr>
            <w:tcW w:w="1729" w:type="dxa"/>
            <w:shd w:val="clear" w:color="auto" w:fill="auto"/>
          </w:tcPr>
          <w:p w14:paraId="4225E138" w14:textId="77777777" w:rsidR="001B11F7" w:rsidRDefault="00B83885">
            <w:pPr>
              <w:widowControl w:val="0"/>
              <w:rPr>
                <w:rFonts w:eastAsia="SimSun"/>
                <w:sz w:val="22"/>
                <w:szCs w:val="22"/>
                <w:lang w:val="lt-LT" w:eastAsia="zh-CN"/>
              </w:rPr>
            </w:pPr>
            <w:r>
              <w:rPr>
                <w:rFonts w:eastAsia="SimSun"/>
                <w:sz w:val="22"/>
                <w:szCs w:val="22"/>
                <w:lang w:val="lt-LT" w:eastAsia="zh-CN"/>
              </w:rPr>
              <w:t>80 mg, VD</w:t>
            </w:r>
          </w:p>
        </w:tc>
        <w:tc>
          <w:tcPr>
            <w:tcW w:w="1537" w:type="dxa"/>
            <w:shd w:val="clear" w:color="auto" w:fill="auto"/>
          </w:tcPr>
          <w:p w14:paraId="423E04C6"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1,18</w:t>
            </w:r>
          </w:p>
        </w:tc>
        <w:tc>
          <w:tcPr>
            <w:tcW w:w="2739" w:type="dxa"/>
            <w:shd w:val="clear" w:color="auto" w:fill="auto"/>
          </w:tcPr>
          <w:p w14:paraId="6049FB31" w14:textId="77777777" w:rsidR="001B11F7" w:rsidRDefault="00B83885">
            <w:pPr>
              <w:widowControl w:val="0"/>
              <w:rPr>
                <w:rFonts w:eastAsia="SimSun"/>
                <w:sz w:val="22"/>
                <w:szCs w:val="22"/>
                <w:lang w:val="lt-LT" w:eastAsia="zh-CN"/>
              </w:rPr>
            </w:pPr>
            <w:r>
              <w:rPr>
                <w:rFonts w:eastAsia="SimSun"/>
                <w:color w:val="000000"/>
                <w:sz w:val="22"/>
                <w:szCs w:val="22"/>
                <w:lang w:val="lt-LT" w:eastAsia="zh-CN"/>
              </w:rPr>
              <w:t>Specialių rekomendacijų nėra</w:t>
            </w:r>
            <w:r>
              <w:rPr>
                <w:rFonts w:eastAsia="SimSun"/>
                <w:sz w:val="22"/>
                <w:szCs w:val="22"/>
                <w:lang w:val="lt-LT" w:eastAsia="zh-CN"/>
              </w:rPr>
              <w:t>.</w:t>
            </w:r>
          </w:p>
        </w:tc>
      </w:tr>
      <w:tr w:rsidR="001B11F7" w14:paraId="7E26294E" w14:textId="77777777">
        <w:tc>
          <w:tcPr>
            <w:tcW w:w="2863" w:type="dxa"/>
            <w:shd w:val="clear" w:color="auto" w:fill="auto"/>
          </w:tcPr>
          <w:p w14:paraId="6F84F578" w14:textId="77777777" w:rsidR="001B11F7" w:rsidRDefault="00B83885">
            <w:pPr>
              <w:widowControl w:val="0"/>
              <w:rPr>
                <w:rFonts w:eastAsia="SimSun"/>
                <w:sz w:val="22"/>
                <w:szCs w:val="22"/>
                <w:lang w:val="lt-LT" w:eastAsia="zh-CN"/>
              </w:rPr>
            </w:pPr>
            <w:r>
              <w:rPr>
                <w:rFonts w:eastAsia="SimSun"/>
                <w:sz w:val="22"/>
                <w:szCs w:val="22"/>
                <w:lang w:val="lt-LT" w:eastAsia="zh-CN"/>
              </w:rPr>
              <w:t>300 mg cimetidino x 4, 2 savaites</w:t>
            </w:r>
          </w:p>
        </w:tc>
        <w:tc>
          <w:tcPr>
            <w:tcW w:w="1729" w:type="dxa"/>
            <w:shd w:val="clear" w:color="auto" w:fill="auto"/>
          </w:tcPr>
          <w:p w14:paraId="5AC9F84D" w14:textId="77777777" w:rsidR="001B11F7" w:rsidRDefault="00B83885">
            <w:pPr>
              <w:widowControl w:val="0"/>
              <w:rPr>
                <w:rFonts w:eastAsia="SimSun"/>
                <w:sz w:val="22"/>
                <w:szCs w:val="22"/>
                <w:lang w:val="lt-LT" w:eastAsia="zh-CN"/>
              </w:rPr>
            </w:pPr>
            <w:r>
              <w:rPr>
                <w:rFonts w:eastAsia="SimSun"/>
                <w:sz w:val="22"/>
                <w:szCs w:val="22"/>
                <w:lang w:val="lt-LT" w:eastAsia="zh-CN"/>
              </w:rPr>
              <w:t>10 mg</w:t>
            </w:r>
            <w:r>
              <w:rPr>
                <w:rFonts w:eastAsia="SimSun"/>
                <w:color w:val="000000"/>
                <w:sz w:val="22"/>
                <w:szCs w:val="22"/>
                <w:lang w:val="lt-LT" w:eastAsia="zh-CN"/>
              </w:rPr>
              <w:t xml:space="preserve"> x 1 </w:t>
            </w:r>
            <w:r>
              <w:rPr>
                <w:rFonts w:eastAsia="SimSun"/>
                <w:sz w:val="22"/>
                <w:szCs w:val="22"/>
                <w:lang w:val="lt-LT" w:eastAsia="zh-CN"/>
              </w:rPr>
              <w:t>2 savaites</w:t>
            </w:r>
          </w:p>
        </w:tc>
        <w:tc>
          <w:tcPr>
            <w:tcW w:w="1537" w:type="dxa"/>
            <w:shd w:val="clear" w:color="auto" w:fill="auto"/>
          </w:tcPr>
          <w:p w14:paraId="1147779E"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1,00</w:t>
            </w:r>
          </w:p>
        </w:tc>
        <w:tc>
          <w:tcPr>
            <w:tcW w:w="2739" w:type="dxa"/>
            <w:shd w:val="clear" w:color="auto" w:fill="auto"/>
          </w:tcPr>
          <w:p w14:paraId="7DC4B379" w14:textId="77777777" w:rsidR="001B11F7" w:rsidRDefault="00B83885">
            <w:pPr>
              <w:widowControl w:val="0"/>
              <w:rPr>
                <w:rFonts w:eastAsia="SimSun"/>
                <w:sz w:val="22"/>
                <w:szCs w:val="22"/>
                <w:lang w:val="lt-LT" w:eastAsia="zh-CN"/>
              </w:rPr>
            </w:pPr>
            <w:r>
              <w:rPr>
                <w:rFonts w:eastAsia="SimSun"/>
                <w:color w:val="000000"/>
                <w:sz w:val="22"/>
                <w:szCs w:val="22"/>
                <w:lang w:val="lt-LT" w:eastAsia="zh-CN"/>
              </w:rPr>
              <w:t>Specialių rekomendacijų nėra.</w:t>
            </w:r>
          </w:p>
        </w:tc>
      </w:tr>
      <w:tr w:rsidR="001B11F7" w14:paraId="2A81D959" w14:textId="77777777">
        <w:tc>
          <w:tcPr>
            <w:tcW w:w="2863" w:type="dxa"/>
            <w:shd w:val="clear" w:color="auto" w:fill="auto"/>
            <w:vAlign w:val="center"/>
          </w:tcPr>
          <w:p w14:paraId="190B9B63"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10 g kolestipolio x 2, 24 savaites </w:t>
            </w:r>
          </w:p>
        </w:tc>
        <w:tc>
          <w:tcPr>
            <w:tcW w:w="1729" w:type="dxa"/>
            <w:shd w:val="clear" w:color="auto" w:fill="auto"/>
            <w:vAlign w:val="center"/>
          </w:tcPr>
          <w:p w14:paraId="6D54D6CA" w14:textId="77777777" w:rsidR="001B11F7" w:rsidRDefault="00B83885">
            <w:pPr>
              <w:widowControl w:val="0"/>
              <w:rPr>
                <w:rFonts w:eastAsia="SimSun"/>
                <w:sz w:val="22"/>
                <w:szCs w:val="22"/>
                <w:lang w:val="lt-LT" w:eastAsia="zh-CN"/>
              </w:rPr>
            </w:pPr>
            <w:r>
              <w:rPr>
                <w:rFonts w:eastAsia="SimSun"/>
                <w:sz w:val="22"/>
                <w:szCs w:val="22"/>
                <w:lang w:val="lt-LT" w:eastAsia="zh-CN"/>
              </w:rPr>
              <w:t>40 mg x 1, 8 savaites</w:t>
            </w:r>
          </w:p>
        </w:tc>
        <w:tc>
          <w:tcPr>
            <w:tcW w:w="1537" w:type="dxa"/>
            <w:shd w:val="clear" w:color="auto" w:fill="auto"/>
            <w:vAlign w:val="center"/>
          </w:tcPr>
          <w:p w14:paraId="6AC0FB91" w14:textId="77777777" w:rsidR="001B11F7" w:rsidRDefault="00B83885">
            <w:pPr>
              <w:widowControl w:val="0"/>
              <w:rPr>
                <w:rFonts w:eastAsia="SimSun"/>
                <w:sz w:val="22"/>
                <w:szCs w:val="22"/>
                <w:lang w:val="lt-LT" w:eastAsia="zh-CN" w:bidi="te-IN"/>
              </w:rPr>
            </w:pPr>
            <w:r>
              <w:rPr>
                <w:rFonts w:eastAsia="SimSun"/>
                <w:sz w:val="22"/>
                <w:szCs w:val="22"/>
                <w:lang w:val="lt-LT" w:eastAsia="zh-CN"/>
              </w:rPr>
              <w:t>0,74**</w:t>
            </w:r>
          </w:p>
        </w:tc>
        <w:tc>
          <w:tcPr>
            <w:tcW w:w="2739" w:type="dxa"/>
            <w:shd w:val="clear" w:color="auto" w:fill="auto"/>
            <w:vAlign w:val="center"/>
          </w:tcPr>
          <w:p w14:paraId="087FD101" w14:textId="77777777" w:rsidR="001B11F7" w:rsidRDefault="00B83885">
            <w:pPr>
              <w:widowControl w:val="0"/>
              <w:rPr>
                <w:rFonts w:eastAsia="SimSun"/>
                <w:color w:val="000000"/>
                <w:sz w:val="22"/>
                <w:szCs w:val="22"/>
                <w:lang w:val="lt-LT" w:eastAsia="zh-CN"/>
              </w:rPr>
            </w:pPr>
            <w:r>
              <w:rPr>
                <w:rFonts w:eastAsia="SimSun"/>
                <w:sz w:val="22"/>
                <w:szCs w:val="22"/>
                <w:lang w:val="lt-LT" w:eastAsia="zh-CN"/>
              </w:rPr>
              <w:t>Specialių rekomendacijų nėra.</w:t>
            </w:r>
          </w:p>
        </w:tc>
      </w:tr>
      <w:tr w:rsidR="001B11F7" w14:paraId="1D565BD0" w14:textId="77777777">
        <w:tc>
          <w:tcPr>
            <w:tcW w:w="2863" w:type="dxa"/>
            <w:shd w:val="clear" w:color="auto" w:fill="auto"/>
          </w:tcPr>
          <w:p w14:paraId="527BF7D5" w14:textId="77777777" w:rsidR="001B11F7" w:rsidRDefault="00B83885">
            <w:pPr>
              <w:widowControl w:val="0"/>
              <w:rPr>
                <w:rFonts w:eastAsia="SimSun"/>
                <w:sz w:val="22"/>
                <w:szCs w:val="22"/>
                <w:lang w:val="lt-LT" w:eastAsia="zh-CN"/>
              </w:rPr>
            </w:pPr>
            <w:r>
              <w:rPr>
                <w:rFonts w:eastAsia="SimSun"/>
                <w:sz w:val="22"/>
                <w:szCs w:val="22"/>
                <w:lang w:val="lt-LT" w:eastAsia="zh-CN"/>
              </w:rPr>
              <w:t>Antacidinė magnio ir aliuminio hidroksidų suspensija, 30 ml x 4, 17 parų</w:t>
            </w:r>
          </w:p>
        </w:tc>
        <w:tc>
          <w:tcPr>
            <w:tcW w:w="1729" w:type="dxa"/>
            <w:shd w:val="clear" w:color="auto" w:fill="auto"/>
          </w:tcPr>
          <w:p w14:paraId="78DF91AC" w14:textId="77777777" w:rsidR="001B11F7" w:rsidRDefault="00B83885">
            <w:pPr>
              <w:widowControl w:val="0"/>
              <w:rPr>
                <w:rFonts w:eastAsia="SimSun"/>
                <w:sz w:val="22"/>
                <w:szCs w:val="22"/>
                <w:lang w:val="lt-LT" w:eastAsia="zh-CN"/>
              </w:rPr>
            </w:pPr>
            <w:r>
              <w:rPr>
                <w:rFonts w:eastAsia="SimSun"/>
                <w:sz w:val="22"/>
                <w:szCs w:val="22"/>
                <w:lang w:val="lt-LT" w:eastAsia="zh-CN"/>
              </w:rPr>
              <w:t>10 mg x 1, 15 parų</w:t>
            </w:r>
          </w:p>
        </w:tc>
        <w:tc>
          <w:tcPr>
            <w:tcW w:w="1537" w:type="dxa"/>
            <w:shd w:val="clear" w:color="auto" w:fill="auto"/>
          </w:tcPr>
          <w:p w14:paraId="33E477E2"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0,66</w:t>
            </w:r>
          </w:p>
        </w:tc>
        <w:tc>
          <w:tcPr>
            <w:tcW w:w="2739" w:type="dxa"/>
            <w:shd w:val="clear" w:color="auto" w:fill="auto"/>
          </w:tcPr>
          <w:p w14:paraId="5ED7F171" w14:textId="77777777" w:rsidR="001B11F7" w:rsidRDefault="00B83885">
            <w:pPr>
              <w:widowControl w:val="0"/>
              <w:rPr>
                <w:rFonts w:eastAsia="SimSun"/>
                <w:sz w:val="22"/>
                <w:szCs w:val="22"/>
                <w:lang w:val="lt-LT" w:eastAsia="zh-CN"/>
              </w:rPr>
            </w:pPr>
            <w:r>
              <w:rPr>
                <w:rFonts w:eastAsia="SimSun"/>
                <w:color w:val="000000"/>
                <w:sz w:val="22"/>
                <w:szCs w:val="22"/>
                <w:lang w:val="lt-LT" w:eastAsia="zh-CN"/>
              </w:rPr>
              <w:t>Specialių rekomendacijų nėra.</w:t>
            </w:r>
          </w:p>
        </w:tc>
      </w:tr>
      <w:tr w:rsidR="001B11F7" w14:paraId="09E38EB2" w14:textId="77777777">
        <w:tc>
          <w:tcPr>
            <w:tcW w:w="2863" w:type="dxa"/>
            <w:shd w:val="clear" w:color="auto" w:fill="auto"/>
          </w:tcPr>
          <w:p w14:paraId="150CF349" w14:textId="77777777" w:rsidR="001B11F7" w:rsidRDefault="00B83885">
            <w:pPr>
              <w:widowControl w:val="0"/>
              <w:rPr>
                <w:rFonts w:eastAsia="SimSun"/>
                <w:sz w:val="22"/>
                <w:szCs w:val="22"/>
                <w:lang w:val="lt-LT" w:eastAsia="zh-CN"/>
              </w:rPr>
            </w:pPr>
            <w:r>
              <w:rPr>
                <w:rFonts w:eastAsia="SimSun"/>
                <w:sz w:val="22"/>
                <w:szCs w:val="22"/>
                <w:lang w:val="lt-LT" w:eastAsia="zh-CN"/>
              </w:rPr>
              <w:t>600 mg efavirenzo</w:t>
            </w:r>
            <w:r>
              <w:rPr>
                <w:rFonts w:eastAsia="SimSun"/>
                <w:color w:val="000000"/>
                <w:sz w:val="22"/>
                <w:szCs w:val="22"/>
                <w:lang w:val="lt-LT" w:eastAsia="zh-CN"/>
              </w:rPr>
              <w:t xml:space="preserve"> x 1</w:t>
            </w:r>
            <w:r>
              <w:rPr>
                <w:rFonts w:eastAsia="SimSun"/>
                <w:sz w:val="22"/>
                <w:szCs w:val="22"/>
                <w:lang w:val="lt-LT" w:eastAsia="zh-CN"/>
              </w:rPr>
              <w:t>, 14 parų</w:t>
            </w:r>
          </w:p>
        </w:tc>
        <w:tc>
          <w:tcPr>
            <w:tcW w:w="1729" w:type="dxa"/>
            <w:shd w:val="clear" w:color="auto" w:fill="auto"/>
          </w:tcPr>
          <w:p w14:paraId="2CDDFE41" w14:textId="77777777" w:rsidR="001B11F7" w:rsidRDefault="00B83885">
            <w:pPr>
              <w:widowControl w:val="0"/>
              <w:rPr>
                <w:rFonts w:eastAsia="SimSun"/>
                <w:sz w:val="22"/>
                <w:szCs w:val="22"/>
                <w:lang w:val="lt-LT" w:eastAsia="zh-CN"/>
              </w:rPr>
            </w:pPr>
            <w:r>
              <w:rPr>
                <w:rFonts w:eastAsia="SimSun"/>
                <w:sz w:val="22"/>
                <w:szCs w:val="22"/>
                <w:lang w:val="lt-LT" w:eastAsia="zh-CN"/>
              </w:rPr>
              <w:t>10 mg 3 paras</w:t>
            </w:r>
          </w:p>
        </w:tc>
        <w:tc>
          <w:tcPr>
            <w:tcW w:w="1537" w:type="dxa"/>
            <w:shd w:val="clear" w:color="auto" w:fill="auto"/>
          </w:tcPr>
          <w:p w14:paraId="5B6FC912"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0,59</w:t>
            </w:r>
          </w:p>
        </w:tc>
        <w:tc>
          <w:tcPr>
            <w:tcW w:w="2739" w:type="dxa"/>
            <w:shd w:val="clear" w:color="auto" w:fill="auto"/>
          </w:tcPr>
          <w:p w14:paraId="6A819FFD" w14:textId="77777777" w:rsidR="001B11F7" w:rsidRDefault="00B83885">
            <w:pPr>
              <w:widowControl w:val="0"/>
              <w:rPr>
                <w:rFonts w:eastAsia="SimSun"/>
                <w:sz w:val="22"/>
                <w:szCs w:val="22"/>
                <w:lang w:val="lt-LT" w:eastAsia="zh-CN"/>
              </w:rPr>
            </w:pPr>
            <w:r>
              <w:rPr>
                <w:rFonts w:eastAsia="SimSun"/>
                <w:color w:val="000000"/>
                <w:sz w:val="22"/>
                <w:szCs w:val="22"/>
                <w:lang w:val="lt-LT" w:eastAsia="zh-CN"/>
              </w:rPr>
              <w:t>Specialių rekomendacijų nėra.</w:t>
            </w:r>
          </w:p>
        </w:tc>
      </w:tr>
      <w:tr w:rsidR="001B11F7" w14:paraId="5B12D2BA" w14:textId="77777777">
        <w:trPr>
          <w:trHeight w:val="254"/>
        </w:trPr>
        <w:tc>
          <w:tcPr>
            <w:tcW w:w="2863" w:type="dxa"/>
            <w:shd w:val="clear" w:color="auto" w:fill="auto"/>
          </w:tcPr>
          <w:p w14:paraId="79E5F7B6" w14:textId="77777777" w:rsidR="001B11F7" w:rsidRDefault="00B83885">
            <w:pPr>
              <w:widowControl w:val="0"/>
              <w:rPr>
                <w:rFonts w:eastAsia="SimSun"/>
                <w:sz w:val="22"/>
                <w:szCs w:val="22"/>
                <w:lang w:val="lt-LT" w:eastAsia="zh-CN"/>
              </w:rPr>
            </w:pPr>
            <w:r>
              <w:rPr>
                <w:rFonts w:eastAsia="SimSun"/>
                <w:sz w:val="22"/>
                <w:szCs w:val="22"/>
                <w:lang w:val="lt-LT" w:eastAsia="zh-CN"/>
              </w:rPr>
              <w:t>600 mg rifampino</w:t>
            </w:r>
            <w:r>
              <w:rPr>
                <w:rFonts w:eastAsia="SimSun"/>
                <w:color w:val="000000"/>
                <w:sz w:val="22"/>
                <w:szCs w:val="22"/>
                <w:lang w:val="lt-LT" w:eastAsia="zh-CN"/>
              </w:rPr>
              <w:t xml:space="preserve"> x 1</w:t>
            </w:r>
            <w:r>
              <w:rPr>
                <w:rFonts w:eastAsia="SimSun"/>
                <w:sz w:val="22"/>
                <w:szCs w:val="22"/>
                <w:lang w:val="lt-LT" w:eastAsia="zh-CN"/>
              </w:rPr>
              <w:t xml:space="preserve">, 7 paras (vartojant kartu) </w:t>
            </w:r>
          </w:p>
        </w:tc>
        <w:tc>
          <w:tcPr>
            <w:tcW w:w="1729" w:type="dxa"/>
            <w:shd w:val="clear" w:color="auto" w:fill="auto"/>
          </w:tcPr>
          <w:p w14:paraId="065CF20A"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36BE12EB"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1,12</w:t>
            </w:r>
          </w:p>
        </w:tc>
        <w:tc>
          <w:tcPr>
            <w:tcW w:w="2739" w:type="dxa"/>
            <w:vMerge w:val="restart"/>
            <w:shd w:val="clear" w:color="auto" w:fill="auto"/>
          </w:tcPr>
          <w:p w14:paraId="34E89E6F"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Jeigu vartojimo kartu išvengti neįmanoma, </w:t>
            </w:r>
            <w:r>
              <w:rPr>
                <w:rFonts w:eastAsia="SimSun"/>
                <w:bCs/>
                <w:sz w:val="22"/>
                <w:szCs w:val="22"/>
                <w:lang w:val="lt-LT" w:eastAsia="zh-CN"/>
              </w:rPr>
              <w:t>atorvastatiną rekomenduojama išgerti tuo pačiu laiku su rifampinu ir stebėti paciento klinikinę būklę.</w:t>
            </w:r>
          </w:p>
        </w:tc>
      </w:tr>
      <w:tr w:rsidR="001B11F7" w14:paraId="1A76C10E" w14:textId="77777777">
        <w:tc>
          <w:tcPr>
            <w:tcW w:w="2863" w:type="dxa"/>
            <w:shd w:val="clear" w:color="auto" w:fill="auto"/>
          </w:tcPr>
          <w:p w14:paraId="7C2B1191" w14:textId="77777777" w:rsidR="001B11F7" w:rsidRDefault="00B83885">
            <w:pPr>
              <w:widowControl w:val="0"/>
              <w:rPr>
                <w:rFonts w:eastAsia="SimSun"/>
                <w:sz w:val="22"/>
                <w:szCs w:val="22"/>
                <w:lang w:val="lt-LT" w:eastAsia="zh-CN"/>
              </w:rPr>
            </w:pPr>
            <w:r>
              <w:rPr>
                <w:rFonts w:eastAsia="SimSun"/>
                <w:sz w:val="22"/>
                <w:szCs w:val="22"/>
                <w:lang w:val="lt-LT" w:eastAsia="zh-CN"/>
              </w:rPr>
              <w:t>600 mg rifampino</w:t>
            </w:r>
            <w:r>
              <w:rPr>
                <w:rFonts w:eastAsia="SimSun"/>
                <w:color w:val="000000"/>
                <w:sz w:val="22"/>
                <w:szCs w:val="22"/>
                <w:lang w:val="lt-LT" w:eastAsia="zh-CN"/>
              </w:rPr>
              <w:t xml:space="preserve"> x 1</w:t>
            </w:r>
            <w:r>
              <w:rPr>
                <w:rFonts w:eastAsia="SimSun"/>
                <w:sz w:val="22"/>
                <w:szCs w:val="22"/>
                <w:lang w:val="lt-LT" w:eastAsia="zh-CN"/>
              </w:rPr>
              <w:t>, 5 paras (dozes vartojant ne vienu laiku)</w:t>
            </w:r>
          </w:p>
        </w:tc>
        <w:tc>
          <w:tcPr>
            <w:tcW w:w="1729" w:type="dxa"/>
            <w:shd w:val="clear" w:color="auto" w:fill="auto"/>
          </w:tcPr>
          <w:p w14:paraId="1B4DEC60"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1771ECBA"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0,20</w:t>
            </w:r>
          </w:p>
        </w:tc>
        <w:tc>
          <w:tcPr>
            <w:tcW w:w="2739" w:type="dxa"/>
            <w:vMerge/>
            <w:shd w:val="clear" w:color="auto" w:fill="auto"/>
          </w:tcPr>
          <w:p w14:paraId="08936AD9" w14:textId="77777777" w:rsidR="001B11F7" w:rsidRDefault="001B11F7">
            <w:pPr>
              <w:widowControl w:val="0"/>
              <w:rPr>
                <w:rFonts w:eastAsia="SimSun"/>
                <w:sz w:val="22"/>
                <w:szCs w:val="22"/>
                <w:lang w:val="lt-LT" w:eastAsia="zh-CN"/>
              </w:rPr>
            </w:pPr>
          </w:p>
        </w:tc>
      </w:tr>
      <w:tr w:rsidR="001B11F7" w14:paraId="32BDF9B9" w14:textId="77777777">
        <w:tc>
          <w:tcPr>
            <w:tcW w:w="2863" w:type="dxa"/>
            <w:shd w:val="clear" w:color="auto" w:fill="auto"/>
          </w:tcPr>
          <w:p w14:paraId="58D8EEBB" w14:textId="77777777" w:rsidR="001B11F7" w:rsidRDefault="00B83885">
            <w:pPr>
              <w:widowControl w:val="0"/>
              <w:rPr>
                <w:rFonts w:eastAsia="SimSun"/>
                <w:sz w:val="22"/>
                <w:szCs w:val="22"/>
                <w:lang w:val="lt-LT" w:eastAsia="zh-CN"/>
              </w:rPr>
            </w:pPr>
            <w:r>
              <w:rPr>
                <w:rFonts w:eastAsia="SimSun"/>
                <w:sz w:val="22"/>
                <w:szCs w:val="22"/>
                <w:lang w:val="lt-LT" w:eastAsia="zh-CN"/>
              </w:rPr>
              <w:t>600 mg gemfibrozilio</w:t>
            </w:r>
            <w:r>
              <w:rPr>
                <w:rFonts w:eastAsia="SimSun"/>
                <w:color w:val="000000"/>
                <w:sz w:val="22"/>
                <w:szCs w:val="22"/>
                <w:lang w:val="lt-LT" w:eastAsia="zh-CN"/>
              </w:rPr>
              <w:t xml:space="preserve"> x 2</w:t>
            </w:r>
            <w:r>
              <w:rPr>
                <w:rFonts w:eastAsia="SimSun"/>
                <w:sz w:val="22"/>
                <w:szCs w:val="22"/>
                <w:lang w:val="lt-LT" w:eastAsia="zh-CN"/>
              </w:rPr>
              <w:t xml:space="preserve">, 7 paras </w:t>
            </w:r>
          </w:p>
        </w:tc>
        <w:tc>
          <w:tcPr>
            <w:tcW w:w="1729" w:type="dxa"/>
            <w:shd w:val="clear" w:color="auto" w:fill="auto"/>
          </w:tcPr>
          <w:p w14:paraId="154B6210"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07FDC965" w14:textId="77777777" w:rsidR="001B11F7" w:rsidRDefault="00B83885">
            <w:pPr>
              <w:widowControl w:val="0"/>
              <w:rPr>
                <w:rFonts w:eastAsia="SimSun"/>
                <w:sz w:val="22"/>
                <w:szCs w:val="22"/>
                <w:lang w:val="lt-LT" w:eastAsia="zh-CN" w:bidi="te-IN"/>
              </w:rPr>
            </w:pPr>
            <w:r>
              <w:rPr>
                <w:rFonts w:eastAsia="SimSun"/>
                <w:sz w:val="22"/>
                <w:szCs w:val="22"/>
                <w:lang w:val="lt-LT" w:eastAsia="zh-CN"/>
              </w:rPr>
              <w:t>1,35</w:t>
            </w:r>
          </w:p>
        </w:tc>
        <w:tc>
          <w:tcPr>
            <w:tcW w:w="2739" w:type="dxa"/>
            <w:shd w:val="clear" w:color="auto" w:fill="auto"/>
          </w:tcPr>
          <w:p w14:paraId="2E23E968"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Rekomenduojama skirti mažesnę pradinę dozę ir </w:t>
            </w:r>
            <w:r>
              <w:rPr>
                <w:rFonts w:eastAsia="SimSun"/>
                <w:color w:val="000000"/>
                <w:sz w:val="22"/>
                <w:szCs w:val="22"/>
                <w:lang w:val="lt-LT" w:eastAsia="zh-CN"/>
              </w:rPr>
              <w:t>stebėti pacientų klinikinę būklę</w:t>
            </w:r>
            <w:r>
              <w:rPr>
                <w:rFonts w:eastAsia="SimSun"/>
                <w:sz w:val="22"/>
                <w:szCs w:val="22"/>
                <w:lang w:val="lt-LT" w:eastAsia="zh-CN"/>
              </w:rPr>
              <w:t>.</w:t>
            </w:r>
          </w:p>
        </w:tc>
      </w:tr>
      <w:tr w:rsidR="001B11F7" w14:paraId="4A23FCCB" w14:textId="77777777">
        <w:tc>
          <w:tcPr>
            <w:tcW w:w="2863" w:type="dxa"/>
            <w:shd w:val="clear" w:color="auto" w:fill="auto"/>
          </w:tcPr>
          <w:p w14:paraId="3D21F7DD" w14:textId="77777777" w:rsidR="001B11F7" w:rsidRDefault="00B83885">
            <w:pPr>
              <w:widowControl w:val="0"/>
              <w:rPr>
                <w:rFonts w:eastAsia="SimSun"/>
                <w:sz w:val="22"/>
                <w:szCs w:val="22"/>
                <w:lang w:val="lt-LT" w:eastAsia="zh-CN"/>
              </w:rPr>
            </w:pPr>
            <w:r>
              <w:rPr>
                <w:rFonts w:eastAsia="SimSun"/>
                <w:sz w:val="22"/>
                <w:szCs w:val="22"/>
                <w:lang w:val="lt-LT" w:eastAsia="zh-CN"/>
              </w:rPr>
              <w:t>160 mg</w:t>
            </w:r>
            <w:r>
              <w:rPr>
                <w:rFonts w:eastAsia="SimSun"/>
                <w:color w:val="000000"/>
                <w:sz w:val="22"/>
                <w:szCs w:val="22"/>
                <w:lang w:val="lt-LT" w:eastAsia="zh-CN"/>
              </w:rPr>
              <w:t xml:space="preserve"> f</w:t>
            </w:r>
            <w:r>
              <w:rPr>
                <w:rFonts w:eastAsia="SimSun"/>
                <w:sz w:val="22"/>
                <w:szCs w:val="22"/>
                <w:lang w:val="lt-LT" w:eastAsia="zh-CN"/>
              </w:rPr>
              <w:t>enofibrato</w:t>
            </w:r>
            <w:r>
              <w:rPr>
                <w:rFonts w:eastAsia="SimSun"/>
                <w:color w:val="000000"/>
                <w:sz w:val="22"/>
                <w:szCs w:val="22"/>
                <w:lang w:val="lt-LT" w:eastAsia="zh-CN"/>
              </w:rPr>
              <w:t xml:space="preserve"> x 1</w:t>
            </w:r>
            <w:r>
              <w:rPr>
                <w:rFonts w:eastAsia="SimSun"/>
                <w:sz w:val="22"/>
                <w:szCs w:val="22"/>
                <w:lang w:val="lt-LT" w:eastAsia="zh-CN"/>
              </w:rPr>
              <w:t>, 7 paras</w:t>
            </w:r>
          </w:p>
        </w:tc>
        <w:tc>
          <w:tcPr>
            <w:tcW w:w="1729" w:type="dxa"/>
            <w:shd w:val="clear" w:color="auto" w:fill="auto"/>
          </w:tcPr>
          <w:p w14:paraId="5B2EA1F7" w14:textId="77777777" w:rsidR="001B11F7" w:rsidRDefault="00B83885">
            <w:pPr>
              <w:widowControl w:val="0"/>
              <w:rPr>
                <w:rFonts w:eastAsia="SimSun"/>
                <w:sz w:val="22"/>
                <w:szCs w:val="22"/>
                <w:lang w:val="lt-LT" w:eastAsia="zh-CN"/>
              </w:rPr>
            </w:pPr>
            <w:r>
              <w:rPr>
                <w:rFonts w:eastAsia="SimSun"/>
                <w:sz w:val="22"/>
                <w:szCs w:val="22"/>
                <w:lang w:val="lt-LT" w:eastAsia="zh-CN"/>
              </w:rPr>
              <w:t>40 mg VD</w:t>
            </w:r>
          </w:p>
        </w:tc>
        <w:tc>
          <w:tcPr>
            <w:tcW w:w="1537" w:type="dxa"/>
            <w:shd w:val="clear" w:color="auto" w:fill="auto"/>
          </w:tcPr>
          <w:p w14:paraId="270861EA" w14:textId="77777777" w:rsidR="001B11F7" w:rsidRDefault="00B83885">
            <w:pPr>
              <w:widowControl w:val="0"/>
              <w:rPr>
                <w:rFonts w:eastAsia="SimSun"/>
                <w:sz w:val="22"/>
                <w:szCs w:val="22"/>
                <w:lang w:val="lt-LT" w:eastAsia="zh-CN" w:bidi="te-IN"/>
              </w:rPr>
            </w:pPr>
            <w:r>
              <w:rPr>
                <w:rFonts w:eastAsia="SimSun"/>
                <w:sz w:val="22"/>
                <w:szCs w:val="22"/>
                <w:lang w:val="lt-LT" w:eastAsia="zh-CN"/>
              </w:rPr>
              <w:t>1,03</w:t>
            </w:r>
          </w:p>
        </w:tc>
        <w:tc>
          <w:tcPr>
            <w:tcW w:w="2739" w:type="dxa"/>
            <w:shd w:val="clear" w:color="auto" w:fill="auto"/>
          </w:tcPr>
          <w:p w14:paraId="07A1180A"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Rekomenduojama skirti mažesnę pradinę dozę ir </w:t>
            </w:r>
            <w:r>
              <w:rPr>
                <w:rFonts w:eastAsia="SimSun"/>
                <w:color w:val="000000"/>
                <w:sz w:val="22"/>
                <w:szCs w:val="22"/>
                <w:lang w:val="lt-LT" w:eastAsia="zh-CN"/>
              </w:rPr>
              <w:t>stebėti pacientų klinikinę būklę</w:t>
            </w:r>
            <w:r>
              <w:rPr>
                <w:rFonts w:eastAsia="SimSun"/>
                <w:sz w:val="22"/>
                <w:szCs w:val="22"/>
                <w:lang w:val="lt-LT" w:eastAsia="zh-CN"/>
              </w:rPr>
              <w:t>.</w:t>
            </w:r>
          </w:p>
        </w:tc>
      </w:tr>
      <w:tr w:rsidR="001B11F7" w14:paraId="0892DBED" w14:textId="77777777">
        <w:tc>
          <w:tcPr>
            <w:tcW w:w="2863" w:type="dxa"/>
            <w:shd w:val="clear" w:color="auto" w:fill="auto"/>
          </w:tcPr>
          <w:p w14:paraId="61A5C452" w14:textId="77777777" w:rsidR="001B11F7" w:rsidRDefault="00B83885">
            <w:pPr>
              <w:widowControl w:val="0"/>
              <w:rPr>
                <w:rFonts w:eastAsia="SimSun"/>
                <w:sz w:val="22"/>
                <w:szCs w:val="22"/>
                <w:lang w:val="lt-LT" w:eastAsia="zh-CN"/>
              </w:rPr>
            </w:pPr>
            <w:r>
              <w:rPr>
                <w:rFonts w:eastAsia="SimSun"/>
                <w:sz w:val="22"/>
                <w:szCs w:val="22"/>
                <w:lang w:val="lt-LT" w:eastAsia="zh-CN"/>
              </w:rPr>
              <w:t>800 mg</w:t>
            </w:r>
            <w:r>
              <w:rPr>
                <w:rFonts w:eastAsia="SimSun"/>
                <w:color w:val="000000"/>
                <w:sz w:val="22"/>
                <w:szCs w:val="22"/>
                <w:lang w:val="lt-LT" w:eastAsia="zh-CN"/>
              </w:rPr>
              <w:t xml:space="preserve"> bocepreviro x 3</w:t>
            </w:r>
            <w:r>
              <w:rPr>
                <w:rFonts w:eastAsia="SimSun"/>
                <w:sz w:val="22"/>
                <w:szCs w:val="22"/>
                <w:lang w:val="lt-LT" w:eastAsia="zh-CN"/>
              </w:rPr>
              <w:t xml:space="preserve">, </w:t>
            </w:r>
            <w:r>
              <w:rPr>
                <w:rFonts w:eastAsia="SimSun"/>
                <w:sz w:val="22"/>
                <w:szCs w:val="22"/>
                <w:lang w:val="lt-LT" w:eastAsia="zh-CN"/>
              </w:rPr>
              <w:lastRenderedPageBreak/>
              <w:t>7 paras</w:t>
            </w:r>
          </w:p>
        </w:tc>
        <w:tc>
          <w:tcPr>
            <w:tcW w:w="1729" w:type="dxa"/>
            <w:shd w:val="clear" w:color="auto" w:fill="auto"/>
          </w:tcPr>
          <w:p w14:paraId="2F69700E" w14:textId="77777777" w:rsidR="001B11F7" w:rsidRDefault="00B83885">
            <w:pPr>
              <w:widowControl w:val="0"/>
              <w:rPr>
                <w:rFonts w:eastAsia="SimSun"/>
                <w:sz w:val="22"/>
                <w:szCs w:val="22"/>
                <w:lang w:val="lt-LT" w:eastAsia="zh-CN"/>
              </w:rPr>
            </w:pPr>
            <w:r>
              <w:rPr>
                <w:rFonts w:eastAsia="SimSun"/>
                <w:sz w:val="22"/>
                <w:szCs w:val="22"/>
                <w:lang w:val="lt-LT" w:eastAsia="zh-CN"/>
              </w:rPr>
              <w:lastRenderedPageBreak/>
              <w:t>40 mg VD</w:t>
            </w:r>
          </w:p>
        </w:tc>
        <w:tc>
          <w:tcPr>
            <w:tcW w:w="1537" w:type="dxa"/>
            <w:shd w:val="clear" w:color="auto" w:fill="auto"/>
          </w:tcPr>
          <w:p w14:paraId="7AFCA2FF" w14:textId="77777777" w:rsidR="001B11F7" w:rsidRDefault="00B83885">
            <w:pPr>
              <w:widowControl w:val="0"/>
              <w:rPr>
                <w:rFonts w:eastAsia="SimSun"/>
                <w:sz w:val="22"/>
                <w:szCs w:val="22"/>
                <w:lang w:val="lt-LT" w:eastAsia="zh-CN"/>
              </w:rPr>
            </w:pPr>
            <w:r>
              <w:rPr>
                <w:rFonts w:eastAsia="SimSun"/>
                <w:sz w:val="22"/>
                <w:szCs w:val="22"/>
                <w:lang w:val="lt-LT" w:eastAsia="zh-CN"/>
              </w:rPr>
              <w:t>2,3</w:t>
            </w:r>
          </w:p>
        </w:tc>
        <w:tc>
          <w:tcPr>
            <w:tcW w:w="2739" w:type="dxa"/>
            <w:shd w:val="clear" w:color="auto" w:fill="auto"/>
          </w:tcPr>
          <w:p w14:paraId="49060FA4"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Rekomenduojama skirti </w:t>
            </w:r>
            <w:r>
              <w:rPr>
                <w:rFonts w:eastAsia="SimSun"/>
                <w:sz w:val="22"/>
                <w:szCs w:val="22"/>
                <w:lang w:val="lt-LT" w:eastAsia="zh-CN"/>
              </w:rPr>
              <w:lastRenderedPageBreak/>
              <w:t xml:space="preserve">mažesnę pradinę dozę ir </w:t>
            </w:r>
            <w:r>
              <w:rPr>
                <w:rFonts w:eastAsia="SimSun"/>
                <w:color w:val="000000"/>
                <w:sz w:val="22"/>
                <w:szCs w:val="22"/>
                <w:lang w:val="lt-LT" w:eastAsia="zh-CN"/>
              </w:rPr>
              <w:t>stebėti pacientų klinikinę būklę</w:t>
            </w:r>
            <w:r>
              <w:rPr>
                <w:rFonts w:eastAsia="SimSun"/>
                <w:sz w:val="22"/>
                <w:szCs w:val="22"/>
                <w:lang w:val="lt-LT" w:eastAsia="zh-CN"/>
              </w:rPr>
              <w:t>. Vartojant kartu su bocepreviru, atorvastatino dozė neturėtų būti didesnė nei 20 mg per parą.</w:t>
            </w:r>
          </w:p>
        </w:tc>
      </w:tr>
    </w:tbl>
    <w:p w14:paraId="050BC24E" w14:textId="77777777" w:rsidR="001B11F7" w:rsidRDefault="001B11F7">
      <w:pPr>
        <w:widowControl w:val="0"/>
        <w:autoSpaceDE w:val="0"/>
        <w:autoSpaceDN w:val="0"/>
        <w:adjustRightInd w:val="0"/>
        <w:ind w:left="360" w:hanging="360"/>
        <w:rPr>
          <w:rFonts w:eastAsia="SimSun"/>
          <w:sz w:val="22"/>
          <w:szCs w:val="22"/>
          <w:vertAlign w:val="superscript"/>
          <w:lang w:val="lt-LT" w:eastAsia="zh-CN" w:bidi="te-IN"/>
        </w:rPr>
      </w:pPr>
    </w:p>
    <w:p w14:paraId="2F29EE72" w14:textId="77777777" w:rsidR="001B11F7" w:rsidRDefault="00B83885">
      <w:pPr>
        <w:widowControl w:val="0"/>
        <w:autoSpaceDE w:val="0"/>
        <w:autoSpaceDN w:val="0"/>
        <w:adjustRightInd w:val="0"/>
        <w:ind w:left="142" w:hanging="142"/>
        <w:rPr>
          <w:rFonts w:eastAsia="SimSun"/>
          <w:sz w:val="22"/>
          <w:szCs w:val="22"/>
          <w:lang w:val="lt-LT" w:eastAsia="zh-CN" w:bidi="te-IN"/>
        </w:rPr>
      </w:pPr>
      <w:r>
        <w:rPr>
          <w:rFonts w:eastAsia="SimSun"/>
          <w:sz w:val="22"/>
          <w:szCs w:val="22"/>
          <w:vertAlign w:val="superscript"/>
          <w:lang w:val="lt-LT" w:eastAsia="zh-CN" w:bidi="te-IN"/>
        </w:rPr>
        <w:t>&amp;</w:t>
      </w:r>
      <w:r>
        <w:rPr>
          <w:rFonts w:eastAsia="SimSun"/>
          <w:sz w:val="22"/>
          <w:szCs w:val="22"/>
          <w:lang w:val="lt-LT" w:eastAsia="zh-CN" w:bidi="te-IN"/>
        </w:rPr>
        <w:t xml:space="preserve"> </w:t>
      </w:r>
      <w:r>
        <w:rPr>
          <w:rFonts w:eastAsia="SimSun"/>
          <w:sz w:val="22"/>
          <w:szCs w:val="22"/>
          <w:lang w:val="lt-LT" w:eastAsia="zh-CN"/>
        </w:rPr>
        <w:t>Rodo terapijų rodiklį (kartu skiriamas vaistinis preparatas ir atorvastatinas, palyginti su tik atorvastatino terapija).</w:t>
      </w:r>
    </w:p>
    <w:p w14:paraId="76AD6985" w14:textId="77777777" w:rsidR="001B11F7" w:rsidRDefault="00B83885">
      <w:pPr>
        <w:widowControl w:val="0"/>
        <w:ind w:left="360" w:right="966" w:hanging="360"/>
        <w:rPr>
          <w:rFonts w:eastAsia="SimSun"/>
          <w:sz w:val="22"/>
          <w:szCs w:val="22"/>
          <w:lang w:val="lt-LT" w:eastAsia="zh-CN" w:bidi="te-IN"/>
        </w:rPr>
      </w:pPr>
      <w:r>
        <w:rPr>
          <w:rFonts w:eastAsia="SimSun"/>
          <w:sz w:val="22"/>
          <w:szCs w:val="22"/>
          <w:vertAlign w:val="superscript"/>
          <w:lang w:val="lt-LT" w:eastAsia="zh-CN"/>
        </w:rPr>
        <w:t>#</w:t>
      </w:r>
      <w:r>
        <w:rPr>
          <w:rFonts w:eastAsia="SimSun"/>
          <w:sz w:val="22"/>
          <w:szCs w:val="22"/>
          <w:lang w:val="lt-LT" w:eastAsia="zh-CN" w:bidi="te-IN"/>
        </w:rPr>
        <w:t xml:space="preserve"> Klinikinę reikšmę žr. 4.4 ir 4.5 skyriuose.</w:t>
      </w:r>
    </w:p>
    <w:p w14:paraId="75B618E9" w14:textId="77777777" w:rsidR="001B11F7" w:rsidRDefault="00B83885">
      <w:pPr>
        <w:widowControl w:val="0"/>
        <w:ind w:left="142" w:right="966" w:hanging="142"/>
        <w:rPr>
          <w:rFonts w:eastAsia="SimSun"/>
          <w:sz w:val="22"/>
          <w:szCs w:val="22"/>
          <w:lang w:val="lt-LT" w:eastAsia="zh-CN" w:bidi="te-IN"/>
        </w:rPr>
      </w:pPr>
      <w:r>
        <w:rPr>
          <w:rFonts w:eastAsia="SimSun"/>
          <w:sz w:val="22"/>
          <w:szCs w:val="22"/>
          <w:lang w:val="lt-LT" w:eastAsia="zh-CN" w:bidi="te-IN"/>
        </w:rPr>
        <w:t>* Yra viena ar daugiau medžiagų, kurios slopina</w:t>
      </w:r>
      <w:r>
        <w:rPr>
          <w:rFonts w:eastAsia="SimSun"/>
          <w:sz w:val="22"/>
          <w:szCs w:val="22"/>
          <w:lang w:val="lt-LT" w:eastAsia="zh-CN"/>
        </w:rPr>
        <w:t xml:space="preserve"> CYP3A4 ir didina vaistinių preparatų, kurių metabolizmą veikia CYP3A4, koncentracijas plazmoje. Be to, išgėrus vieną 240 ml stiklinę greipfrutų sulčių, 20,4 % sumažėjo aktyvaus ortohidroksimetabolito AUC. Dideli greipfrutų sulčių kiekiai (daugiau kaip 1,2 l per parą 5 paras) atorvastatino AUC padidino 2,5 karto ir taip pat aktyvios frakcijos (atorvastatino ir metabolitų) HMG-CoA reduktazės inhibitorių AUC padidino 1,3 karto.</w:t>
      </w:r>
    </w:p>
    <w:p w14:paraId="65E69DC0" w14:textId="77777777" w:rsidR="001B11F7" w:rsidRDefault="00B83885">
      <w:pPr>
        <w:widowControl w:val="0"/>
        <w:ind w:left="360" w:right="966" w:hanging="360"/>
        <w:rPr>
          <w:rFonts w:eastAsia="SimSun"/>
          <w:sz w:val="22"/>
          <w:szCs w:val="22"/>
          <w:lang w:val="lt-LT" w:eastAsia="zh-CN" w:bidi="te-IN"/>
        </w:rPr>
      </w:pPr>
      <w:r>
        <w:rPr>
          <w:rFonts w:eastAsia="SimSun"/>
          <w:sz w:val="22"/>
          <w:szCs w:val="22"/>
          <w:lang w:val="lt-LT" w:eastAsia="zh-CN"/>
        </w:rPr>
        <w:t>** Rodiklis pagal vieną mėginį, paimtą 8–16 val. po dozės.</w:t>
      </w:r>
    </w:p>
    <w:p w14:paraId="5B3EB95F" w14:textId="77777777" w:rsidR="001B11F7" w:rsidRDefault="00B83885">
      <w:pPr>
        <w:widowControl w:val="0"/>
        <w:rPr>
          <w:rFonts w:eastAsia="SimSun"/>
          <w:sz w:val="22"/>
          <w:szCs w:val="22"/>
          <w:lang w:val="lt-LT" w:eastAsia="zh-CN"/>
        </w:rPr>
      </w:pPr>
      <w:r>
        <w:rPr>
          <w:rFonts w:eastAsia="SimSun"/>
          <w:sz w:val="22"/>
          <w:szCs w:val="22"/>
          <w:lang w:val="lt-LT" w:eastAsia="zh-CN"/>
        </w:rPr>
        <w:t>x 1 = vieną kartą per parą; VD = vienkartinė dozė; x 2 = du kartus per parą; x 3 = tris kartus per parą, x 4 = keturis kartus per parą.</w:t>
      </w:r>
    </w:p>
    <w:p w14:paraId="105A5D90" w14:textId="77777777" w:rsidR="001B11F7" w:rsidRDefault="001B11F7">
      <w:pPr>
        <w:widowControl w:val="0"/>
        <w:rPr>
          <w:rFonts w:eastAsia="MS Mincho"/>
          <w:sz w:val="22"/>
          <w:szCs w:val="22"/>
          <w:lang w:val="lt-LT"/>
        </w:rPr>
      </w:pPr>
    </w:p>
    <w:p w14:paraId="75C40DF0" w14:textId="77777777" w:rsidR="001B11F7" w:rsidRDefault="00B83885">
      <w:pPr>
        <w:widowControl w:val="0"/>
        <w:rPr>
          <w:rFonts w:eastAsia="MS Mincho"/>
          <w:sz w:val="22"/>
          <w:szCs w:val="22"/>
          <w:u w:val="single"/>
          <w:lang w:val="lt-LT" w:eastAsia="ja-JP" w:bidi="te-IN"/>
        </w:rPr>
      </w:pPr>
      <w:r>
        <w:rPr>
          <w:rFonts w:eastAsia="MS Mincho"/>
          <w:sz w:val="22"/>
          <w:szCs w:val="22"/>
          <w:u w:val="single"/>
          <w:lang w:val="lt-LT" w:eastAsia="ja-JP" w:bidi="te-IN"/>
        </w:rPr>
        <w:t>Lentelė Nr. 2. Atorvastatino poveikis kartu vartojamų vaistinių preparatų farmakokinetikai</w:t>
      </w:r>
    </w:p>
    <w:p w14:paraId="7D57ABF7" w14:textId="77777777" w:rsidR="001B11F7" w:rsidRDefault="001B11F7">
      <w:pPr>
        <w:widowControl w:val="0"/>
        <w:rPr>
          <w:rFonts w:eastAsia="MS Mincho"/>
          <w:sz w:val="22"/>
          <w:szCs w:val="22"/>
          <w:u w:val="single"/>
          <w:lang w:val="lt-LT" w:eastAsia="ja-JP" w:bidi="te-I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1"/>
        <w:gridCol w:w="3202"/>
        <w:gridCol w:w="1087"/>
        <w:gridCol w:w="3081"/>
      </w:tblGrid>
      <w:tr w:rsidR="001B11F7" w14:paraId="1A8A3177" w14:textId="77777777">
        <w:tc>
          <w:tcPr>
            <w:tcW w:w="933" w:type="pct"/>
            <w:vMerge w:val="restart"/>
            <w:shd w:val="clear" w:color="auto" w:fill="auto"/>
          </w:tcPr>
          <w:p w14:paraId="276D25A2" w14:textId="77777777" w:rsidR="001B11F7" w:rsidRDefault="00B83885">
            <w:pPr>
              <w:widowControl w:val="0"/>
              <w:rPr>
                <w:rFonts w:eastAsia="SimSun"/>
                <w:sz w:val="22"/>
                <w:szCs w:val="22"/>
                <w:lang w:val="lt-LT" w:eastAsia="zh-CN" w:bidi="te-IN"/>
              </w:rPr>
            </w:pPr>
            <w:r>
              <w:rPr>
                <w:rFonts w:eastAsia="SimSun"/>
                <w:bCs/>
                <w:sz w:val="22"/>
                <w:szCs w:val="22"/>
                <w:lang w:val="lt-LT" w:eastAsia="zh-CN" w:bidi="te-IN"/>
              </w:rPr>
              <w:t>Atorvastatinas ir jo dozavimo planas</w:t>
            </w:r>
          </w:p>
        </w:tc>
        <w:tc>
          <w:tcPr>
            <w:tcW w:w="4067" w:type="pct"/>
            <w:gridSpan w:val="3"/>
            <w:shd w:val="clear" w:color="auto" w:fill="auto"/>
          </w:tcPr>
          <w:p w14:paraId="214977EB" w14:textId="77777777" w:rsidR="001B11F7" w:rsidRDefault="00B83885">
            <w:pPr>
              <w:widowControl w:val="0"/>
              <w:jc w:val="center"/>
              <w:rPr>
                <w:rFonts w:eastAsia="SimSun"/>
                <w:bCs/>
                <w:sz w:val="22"/>
                <w:szCs w:val="22"/>
                <w:lang w:val="lt-LT" w:eastAsia="zh-CN" w:bidi="te-IN"/>
              </w:rPr>
            </w:pPr>
            <w:r>
              <w:rPr>
                <w:rFonts w:eastAsia="SimSun"/>
                <w:bCs/>
                <w:sz w:val="22"/>
                <w:szCs w:val="22"/>
                <w:lang w:val="lt-LT" w:eastAsia="zh-CN" w:bidi="te-IN"/>
              </w:rPr>
              <w:t>Kartu vartojamas vaistinis preparatas</w:t>
            </w:r>
          </w:p>
        </w:tc>
      </w:tr>
      <w:tr w:rsidR="001B11F7" w14:paraId="0B74DD67" w14:textId="77777777">
        <w:tc>
          <w:tcPr>
            <w:tcW w:w="933" w:type="pct"/>
            <w:vMerge/>
            <w:shd w:val="clear" w:color="auto" w:fill="auto"/>
          </w:tcPr>
          <w:p w14:paraId="42985375" w14:textId="77777777" w:rsidR="001B11F7" w:rsidRDefault="001B11F7">
            <w:pPr>
              <w:widowControl w:val="0"/>
              <w:rPr>
                <w:rFonts w:eastAsia="SimSun"/>
                <w:sz w:val="22"/>
                <w:szCs w:val="22"/>
                <w:lang w:val="lt-LT" w:eastAsia="zh-CN" w:bidi="te-IN"/>
              </w:rPr>
            </w:pPr>
          </w:p>
        </w:tc>
        <w:tc>
          <w:tcPr>
            <w:tcW w:w="1767" w:type="pct"/>
            <w:shd w:val="clear" w:color="auto" w:fill="auto"/>
          </w:tcPr>
          <w:p w14:paraId="68C6964E" w14:textId="77777777" w:rsidR="001B11F7" w:rsidRDefault="00B83885">
            <w:pPr>
              <w:widowControl w:val="0"/>
              <w:rPr>
                <w:rFonts w:eastAsia="SimSun"/>
                <w:bCs/>
                <w:sz w:val="22"/>
                <w:szCs w:val="22"/>
                <w:lang w:val="lt-LT" w:eastAsia="zh-CN" w:bidi="te-IN"/>
              </w:rPr>
            </w:pPr>
            <w:r>
              <w:rPr>
                <w:rFonts w:eastAsia="SimSun"/>
                <w:bCs/>
                <w:sz w:val="22"/>
                <w:szCs w:val="22"/>
                <w:lang w:val="lt-LT" w:eastAsia="zh-CN" w:bidi="te-IN"/>
              </w:rPr>
              <w:t>Vaistinis preparatas/dozė (mg)</w:t>
            </w:r>
          </w:p>
        </w:tc>
        <w:tc>
          <w:tcPr>
            <w:tcW w:w="600" w:type="pct"/>
            <w:shd w:val="clear" w:color="auto" w:fill="auto"/>
          </w:tcPr>
          <w:p w14:paraId="25811045" w14:textId="77777777" w:rsidR="001B11F7" w:rsidRDefault="00B83885">
            <w:pPr>
              <w:widowControl w:val="0"/>
              <w:rPr>
                <w:rFonts w:eastAsia="SimSun"/>
                <w:bCs/>
                <w:sz w:val="22"/>
                <w:szCs w:val="22"/>
                <w:vertAlign w:val="superscript"/>
                <w:lang w:val="lt-LT" w:eastAsia="zh-CN" w:bidi="te-IN"/>
              </w:rPr>
            </w:pPr>
            <w:r>
              <w:rPr>
                <w:rFonts w:eastAsia="SimSun"/>
                <w:bCs/>
                <w:sz w:val="22"/>
                <w:szCs w:val="22"/>
                <w:lang w:val="lt-LT" w:eastAsia="zh-CN" w:bidi="te-IN"/>
              </w:rPr>
              <w:t>AUC rodiklis</w:t>
            </w:r>
            <w:r>
              <w:rPr>
                <w:rFonts w:eastAsia="SimSun"/>
                <w:bCs/>
                <w:sz w:val="22"/>
                <w:szCs w:val="22"/>
                <w:vertAlign w:val="superscript"/>
                <w:lang w:val="lt-LT" w:eastAsia="zh-CN" w:bidi="te-IN"/>
              </w:rPr>
              <w:t>&amp;</w:t>
            </w:r>
          </w:p>
        </w:tc>
        <w:tc>
          <w:tcPr>
            <w:tcW w:w="1700" w:type="pct"/>
            <w:shd w:val="clear" w:color="auto" w:fill="auto"/>
          </w:tcPr>
          <w:p w14:paraId="6359EA0D" w14:textId="77777777" w:rsidR="001B11F7" w:rsidRDefault="00B83885">
            <w:pPr>
              <w:widowControl w:val="0"/>
              <w:rPr>
                <w:rFonts w:eastAsia="SimSun"/>
                <w:bCs/>
                <w:sz w:val="22"/>
                <w:szCs w:val="22"/>
                <w:lang w:val="lt-LT" w:eastAsia="zh-CN" w:bidi="te-IN"/>
              </w:rPr>
            </w:pPr>
            <w:r>
              <w:rPr>
                <w:rFonts w:eastAsia="SimSun"/>
                <w:bCs/>
                <w:sz w:val="22"/>
                <w:szCs w:val="22"/>
                <w:lang w:val="lt-LT" w:eastAsia="zh-CN" w:bidi="te-IN"/>
              </w:rPr>
              <w:t>Klinikinės rekomendacijos</w:t>
            </w:r>
          </w:p>
        </w:tc>
      </w:tr>
      <w:tr w:rsidR="001B11F7" w14:paraId="3528AFCB" w14:textId="77777777">
        <w:tc>
          <w:tcPr>
            <w:tcW w:w="933" w:type="pct"/>
            <w:shd w:val="clear" w:color="auto" w:fill="auto"/>
          </w:tcPr>
          <w:p w14:paraId="1D5E6261"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80 mg x 1 10 parų</w:t>
            </w:r>
          </w:p>
        </w:tc>
        <w:tc>
          <w:tcPr>
            <w:tcW w:w="1767" w:type="pct"/>
            <w:shd w:val="clear" w:color="auto" w:fill="auto"/>
          </w:tcPr>
          <w:p w14:paraId="48F0F24A"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0,25 mg digoksino x 1, 20 parų</w:t>
            </w:r>
          </w:p>
        </w:tc>
        <w:tc>
          <w:tcPr>
            <w:tcW w:w="600" w:type="pct"/>
            <w:shd w:val="clear" w:color="auto" w:fill="auto"/>
          </w:tcPr>
          <w:p w14:paraId="5E8BCC8F"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1,15</w:t>
            </w:r>
          </w:p>
        </w:tc>
        <w:tc>
          <w:tcPr>
            <w:tcW w:w="1700" w:type="pct"/>
            <w:shd w:val="clear" w:color="auto" w:fill="auto"/>
          </w:tcPr>
          <w:p w14:paraId="34337553" w14:textId="77777777" w:rsidR="001B11F7" w:rsidRDefault="00B83885">
            <w:pPr>
              <w:widowControl w:val="0"/>
              <w:rPr>
                <w:rFonts w:eastAsia="SimSun"/>
                <w:sz w:val="22"/>
                <w:szCs w:val="22"/>
                <w:lang w:val="lt-LT" w:eastAsia="zh-CN"/>
              </w:rPr>
            </w:pPr>
            <w:r>
              <w:rPr>
                <w:rFonts w:eastAsia="SimSun"/>
                <w:sz w:val="22"/>
                <w:szCs w:val="22"/>
                <w:lang w:val="lt-LT" w:eastAsia="zh-CN"/>
              </w:rPr>
              <w:t>Pacientus, vartojančius digoksiną, reikia tinkamai stebėti.</w:t>
            </w:r>
          </w:p>
        </w:tc>
      </w:tr>
      <w:tr w:rsidR="001B11F7" w14:paraId="7C2DCBA1" w14:textId="77777777">
        <w:tc>
          <w:tcPr>
            <w:tcW w:w="933" w:type="pct"/>
            <w:shd w:val="clear" w:color="auto" w:fill="auto"/>
          </w:tcPr>
          <w:p w14:paraId="74ECD2E3"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40 mg x 1 22 paras</w:t>
            </w:r>
          </w:p>
        </w:tc>
        <w:tc>
          <w:tcPr>
            <w:tcW w:w="1767" w:type="pct"/>
            <w:shd w:val="clear" w:color="auto" w:fill="auto"/>
          </w:tcPr>
          <w:p w14:paraId="3C634DFE" w14:textId="77777777" w:rsidR="001B11F7" w:rsidRDefault="00B83885">
            <w:pPr>
              <w:widowControl w:val="0"/>
              <w:rPr>
                <w:rFonts w:eastAsia="SimSun"/>
                <w:sz w:val="22"/>
                <w:szCs w:val="22"/>
                <w:vertAlign w:val="superscript"/>
                <w:lang w:val="lt-LT" w:eastAsia="zh-CN" w:bidi="te-IN"/>
              </w:rPr>
            </w:pPr>
            <w:r>
              <w:rPr>
                <w:rFonts w:eastAsia="SimSun"/>
                <w:sz w:val="22"/>
                <w:szCs w:val="22"/>
                <w:lang w:val="lt-LT" w:eastAsia="zh-CN" w:bidi="te-IN"/>
              </w:rPr>
              <w:t>Geriamieji kontraceptikai x 1, 2 mėnesius</w:t>
            </w:r>
          </w:p>
          <w:p w14:paraId="48B3E91B"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- 1 mg noretindrono</w:t>
            </w:r>
          </w:p>
          <w:p w14:paraId="390296DD"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- 35</w:t>
            </w:r>
            <w:r>
              <w:rPr>
                <w:rFonts w:eastAsia="SimSun"/>
                <w:sz w:val="22"/>
                <w:szCs w:val="22"/>
                <w:lang w:val="lt-LT" w:eastAsia="zh-CN"/>
              </w:rPr>
              <w:t> </w:t>
            </w:r>
            <w:r>
              <w:rPr>
                <w:rFonts w:eastAsia="SimSun"/>
                <w:sz w:val="22"/>
                <w:szCs w:val="22"/>
                <w:lang w:val="lt-LT" w:eastAsia="zh-CN" w:bidi="te-IN"/>
              </w:rPr>
              <w:t>µg etinilestradiolio</w:t>
            </w:r>
          </w:p>
        </w:tc>
        <w:tc>
          <w:tcPr>
            <w:tcW w:w="600" w:type="pct"/>
            <w:shd w:val="clear" w:color="auto" w:fill="auto"/>
          </w:tcPr>
          <w:p w14:paraId="33625EE6" w14:textId="77777777" w:rsidR="001B11F7" w:rsidRDefault="001B11F7">
            <w:pPr>
              <w:widowControl w:val="0"/>
              <w:rPr>
                <w:rFonts w:eastAsia="SimSun"/>
                <w:sz w:val="22"/>
                <w:szCs w:val="22"/>
                <w:lang w:val="lt-LT" w:eastAsia="zh-CN" w:bidi="te-IN"/>
              </w:rPr>
            </w:pPr>
          </w:p>
          <w:p w14:paraId="5FDF6363" w14:textId="77777777" w:rsidR="001B11F7" w:rsidRDefault="001B11F7">
            <w:pPr>
              <w:widowControl w:val="0"/>
              <w:rPr>
                <w:rFonts w:eastAsia="SimSun"/>
                <w:sz w:val="22"/>
                <w:szCs w:val="22"/>
                <w:lang w:val="lt-LT" w:eastAsia="zh-CN" w:bidi="te-IN"/>
              </w:rPr>
            </w:pPr>
          </w:p>
          <w:p w14:paraId="17F4B1E5"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1,28</w:t>
            </w:r>
          </w:p>
          <w:p w14:paraId="21596B5F"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1,19</w:t>
            </w:r>
          </w:p>
        </w:tc>
        <w:tc>
          <w:tcPr>
            <w:tcW w:w="1700" w:type="pct"/>
            <w:shd w:val="clear" w:color="auto" w:fill="auto"/>
          </w:tcPr>
          <w:p w14:paraId="7E78D26E" w14:textId="77777777" w:rsidR="001B11F7" w:rsidRDefault="00B83885">
            <w:pPr>
              <w:widowControl w:val="0"/>
              <w:rPr>
                <w:rFonts w:eastAsia="SimSun"/>
                <w:sz w:val="22"/>
                <w:szCs w:val="22"/>
                <w:lang w:val="lt-LT" w:eastAsia="zh-CN" w:bidi="te-IN"/>
              </w:rPr>
            </w:pPr>
            <w:r>
              <w:rPr>
                <w:rFonts w:eastAsia="SimSun"/>
                <w:color w:val="000000"/>
                <w:sz w:val="22"/>
                <w:szCs w:val="22"/>
                <w:lang w:val="lt-LT" w:eastAsia="zh-CN"/>
              </w:rPr>
              <w:t>Specialių rekomendacijų nėra.</w:t>
            </w:r>
          </w:p>
        </w:tc>
      </w:tr>
      <w:tr w:rsidR="001B11F7" w14:paraId="7444A642" w14:textId="77777777">
        <w:tc>
          <w:tcPr>
            <w:tcW w:w="933" w:type="pct"/>
            <w:shd w:val="clear" w:color="auto" w:fill="auto"/>
          </w:tcPr>
          <w:p w14:paraId="03E9E17E"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80 mg x 1 15 parų</w:t>
            </w:r>
          </w:p>
        </w:tc>
        <w:tc>
          <w:tcPr>
            <w:tcW w:w="1767" w:type="pct"/>
            <w:shd w:val="clear" w:color="auto" w:fill="auto"/>
          </w:tcPr>
          <w:p w14:paraId="3E7C57F2"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 600 mg fenazono VD</w:t>
            </w:r>
          </w:p>
        </w:tc>
        <w:tc>
          <w:tcPr>
            <w:tcW w:w="600" w:type="pct"/>
            <w:shd w:val="clear" w:color="auto" w:fill="auto"/>
          </w:tcPr>
          <w:p w14:paraId="4346A918"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1,03</w:t>
            </w:r>
          </w:p>
        </w:tc>
        <w:tc>
          <w:tcPr>
            <w:tcW w:w="1700" w:type="pct"/>
            <w:shd w:val="clear" w:color="auto" w:fill="auto"/>
          </w:tcPr>
          <w:p w14:paraId="08D1D0D1" w14:textId="77777777" w:rsidR="001B11F7" w:rsidRDefault="00B83885">
            <w:pPr>
              <w:widowControl w:val="0"/>
              <w:rPr>
                <w:rFonts w:eastAsia="SimSun"/>
                <w:sz w:val="22"/>
                <w:szCs w:val="22"/>
                <w:lang w:val="lt-LT" w:eastAsia="zh-CN" w:bidi="te-IN"/>
              </w:rPr>
            </w:pPr>
            <w:r>
              <w:rPr>
                <w:rFonts w:eastAsia="SimSun"/>
                <w:color w:val="000000"/>
                <w:sz w:val="22"/>
                <w:szCs w:val="22"/>
                <w:lang w:val="lt-LT" w:eastAsia="zh-CN"/>
              </w:rPr>
              <w:t>Specialių rekomendacijų nėra.</w:t>
            </w:r>
          </w:p>
        </w:tc>
      </w:tr>
      <w:tr w:rsidR="001B11F7" w14:paraId="36C10783" w14:textId="77777777">
        <w:trPr>
          <w:trHeight w:val="611"/>
        </w:trPr>
        <w:tc>
          <w:tcPr>
            <w:tcW w:w="933" w:type="pct"/>
            <w:tcBorders>
              <w:top w:val="single" w:sz="4" w:space="0" w:color="auto"/>
              <w:left w:val="single" w:sz="4" w:space="0" w:color="auto"/>
              <w:bottom w:val="single" w:sz="4" w:space="0" w:color="auto"/>
              <w:right w:val="single" w:sz="4" w:space="0" w:color="auto"/>
            </w:tcBorders>
            <w:shd w:val="clear" w:color="auto" w:fill="auto"/>
          </w:tcPr>
          <w:p w14:paraId="08AB24FF"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 mg VD</w:t>
            </w:r>
          </w:p>
        </w:tc>
        <w:tc>
          <w:tcPr>
            <w:tcW w:w="1767" w:type="pct"/>
            <w:tcBorders>
              <w:top w:val="single" w:sz="4" w:space="0" w:color="auto"/>
              <w:left w:val="single" w:sz="4" w:space="0" w:color="auto"/>
              <w:bottom w:val="single" w:sz="4" w:space="0" w:color="auto"/>
              <w:right w:val="single" w:sz="4" w:space="0" w:color="auto"/>
            </w:tcBorders>
            <w:shd w:val="clear" w:color="auto" w:fill="auto"/>
          </w:tcPr>
          <w:p w14:paraId="28B6F739"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Tipranaviro 500 mg x 2 / ritonaviro 200 mg x 2, 7 paras</w:t>
            </w:r>
          </w:p>
        </w:tc>
        <w:tc>
          <w:tcPr>
            <w:tcW w:w="600" w:type="pct"/>
            <w:tcBorders>
              <w:top w:val="single" w:sz="4" w:space="0" w:color="auto"/>
              <w:left w:val="single" w:sz="4" w:space="0" w:color="auto"/>
              <w:bottom w:val="single" w:sz="4" w:space="0" w:color="auto"/>
              <w:right w:val="single" w:sz="4" w:space="0" w:color="auto"/>
            </w:tcBorders>
            <w:shd w:val="clear" w:color="auto" w:fill="auto"/>
          </w:tcPr>
          <w:p w14:paraId="0E36FC1C"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1,08</w:t>
            </w:r>
          </w:p>
        </w:tc>
        <w:tc>
          <w:tcPr>
            <w:tcW w:w="1700" w:type="pct"/>
            <w:tcBorders>
              <w:top w:val="single" w:sz="4" w:space="0" w:color="auto"/>
              <w:left w:val="single" w:sz="4" w:space="0" w:color="auto"/>
              <w:bottom w:val="single" w:sz="4" w:space="0" w:color="auto"/>
              <w:right w:val="single" w:sz="4" w:space="0" w:color="auto"/>
            </w:tcBorders>
            <w:shd w:val="clear" w:color="auto" w:fill="auto"/>
          </w:tcPr>
          <w:p w14:paraId="6E726CB3" w14:textId="77777777" w:rsidR="001B11F7" w:rsidRDefault="00B83885">
            <w:pPr>
              <w:widowControl w:val="0"/>
              <w:rPr>
                <w:rFonts w:eastAsia="SimSun"/>
                <w:sz w:val="22"/>
                <w:szCs w:val="22"/>
                <w:lang w:val="lt-LT" w:eastAsia="zh-CN" w:bidi="te-IN"/>
              </w:rPr>
            </w:pPr>
            <w:r>
              <w:rPr>
                <w:rFonts w:eastAsia="SimSun"/>
                <w:color w:val="000000"/>
                <w:sz w:val="22"/>
                <w:szCs w:val="22"/>
                <w:lang w:val="lt-LT" w:eastAsia="zh-CN"/>
              </w:rPr>
              <w:t>Specialių rekomendacijų nėra.</w:t>
            </w:r>
          </w:p>
        </w:tc>
      </w:tr>
      <w:tr w:rsidR="001B11F7" w14:paraId="093B82BB" w14:textId="77777777">
        <w:trPr>
          <w:trHeight w:val="539"/>
        </w:trPr>
        <w:tc>
          <w:tcPr>
            <w:tcW w:w="933" w:type="pct"/>
            <w:tcBorders>
              <w:top w:val="single" w:sz="4" w:space="0" w:color="auto"/>
              <w:left w:val="single" w:sz="4" w:space="0" w:color="auto"/>
              <w:bottom w:val="single" w:sz="4" w:space="0" w:color="auto"/>
              <w:right w:val="single" w:sz="4" w:space="0" w:color="auto"/>
            </w:tcBorders>
            <w:shd w:val="clear" w:color="auto" w:fill="auto"/>
          </w:tcPr>
          <w:p w14:paraId="264A096E"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 mg x 1 4 paras</w:t>
            </w:r>
          </w:p>
        </w:tc>
        <w:tc>
          <w:tcPr>
            <w:tcW w:w="1767" w:type="pct"/>
            <w:tcBorders>
              <w:top w:val="single" w:sz="4" w:space="0" w:color="auto"/>
              <w:left w:val="single" w:sz="4" w:space="0" w:color="auto"/>
              <w:bottom w:val="single" w:sz="4" w:space="0" w:color="auto"/>
              <w:right w:val="single" w:sz="4" w:space="0" w:color="auto"/>
            </w:tcBorders>
            <w:shd w:val="clear" w:color="auto" w:fill="auto"/>
          </w:tcPr>
          <w:p w14:paraId="01587677"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Fosamprenaviro 1400 mg x 2, 14 parų</w:t>
            </w:r>
          </w:p>
        </w:tc>
        <w:tc>
          <w:tcPr>
            <w:tcW w:w="600" w:type="pct"/>
            <w:tcBorders>
              <w:top w:val="single" w:sz="4" w:space="0" w:color="auto"/>
              <w:left w:val="single" w:sz="4" w:space="0" w:color="auto"/>
              <w:bottom w:val="single" w:sz="4" w:space="0" w:color="auto"/>
              <w:right w:val="single" w:sz="4" w:space="0" w:color="auto"/>
            </w:tcBorders>
            <w:shd w:val="clear" w:color="auto" w:fill="auto"/>
          </w:tcPr>
          <w:p w14:paraId="39C55ADE"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0,73</w:t>
            </w:r>
          </w:p>
        </w:tc>
        <w:tc>
          <w:tcPr>
            <w:tcW w:w="1700" w:type="pct"/>
            <w:tcBorders>
              <w:top w:val="single" w:sz="4" w:space="0" w:color="auto"/>
              <w:left w:val="single" w:sz="4" w:space="0" w:color="auto"/>
              <w:bottom w:val="single" w:sz="4" w:space="0" w:color="auto"/>
              <w:right w:val="single" w:sz="4" w:space="0" w:color="auto"/>
            </w:tcBorders>
            <w:shd w:val="clear" w:color="auto" w:fill="auto"/>
          </w:tcPr>
          <w:p w14:paraId="633BD3DC" w14:textId="77777777" w:rsidR="001B11F7" w:rsidRDefault="00B83885">
            <w:pPr>
              <w:widowControl w:val="0"/>
              <w:rPr>
                <w:rFonts w:eastAsia="SimSun"/>
                <w:sz w:val="22"/>
                <w:szCs w:val="22"/>
                <w:lang w:val="lt-LT" w:eastAsia="zh-CN" w:bidi="te-IN"/>
              </w:rPr>
            </w:pPr>
            <w:r>
              <w:rPr>
                <w:rFonts w:eastAsia="SimSun"/>
                <w:color w:val="000000"/>
                <w:sz w:val="22"/>
                <w:szCs w:val="22"/>
                <w:lang w:val="lt-LT" w:eastAsia="zh-CN"/>
              </w:rPr>
              <w:t>Specialių rekomendacijų nėra.</w:t>
            </w:r>
          </w:p>
        </w:tc>
      </w:tr>
      <w:tr w:rsidR="001B11F7" w14:paraId="77D717D4" w14:textId="77777777">
        <w:tc>
          <w:tcPr>
            <w:tcW w:w="933" w:type="pct"/>
            <w:tcBorders>
              <w:top w:val="single" w:sz="4" w:space="0" w:color="auto"/>
              <w:left w:val="single" w:sz="4" w:space="0" w:color="auto"/>
              <w:bottom w:val="single" w:sz="4" w:space="0" w:color="auto"/>
              <w:right w:val="single" w:sz="4" w:space="0" w:color="auto"/>
            </w:tcBorders>
            <w:shd w:val="clear" w:color="auto" w:fill="auto"/>
          </w:tcPr>
          <w:p w14:paraId="4B12F150"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10 mg x 1</w:t>
            </w:r>
          </w:p>
          <w:p w14:paraId="30C05870"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4 paras</w:t>
            </w:r>
          </w:p>
        </w:tc>
        <w:tc>
          <w:tcPr>
            <w:tcW w:w="1767" w:type="pct"/>
            <w:tcBorders>
              <w:top w:val="single" w:sz="4" w:space="0" w:color="auto"/>
              <w:left w:val="single" w:sz="4" w:space="0" w:color="auto"/>
              <w:bottom w:val="single" w:sz="4" w:space="0" w:color="auto"/>
              <w:right w:val="single" w:sz="4" w:space="0" w:color="auto"/>
            </w:tcBorders>
            <w:shd w:val="clear" w:color="auto" w:fill="auto"/>
          </w:tcPr>
          <w:p w14:paraId="5E0D9A60"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Fosamprenaviro 700 mg x 2/ritonaviro 100 mg x 2, 14 parų</w:t>
            </w:r>
          </w:p>
        </w:tc>
        <w:tc>
          <w:tcPr>
            <w:tcW w:w="600" w:type="pct"/>
            <w:tcBorders>
              <w:top w:val="single" w:sz="4" w:space="0" w:color="auto"/>
              <w:left w:val="single" w:sz="4" w:space="0" w:color="auto"/>
              <w:bottom w:val="single" w:sz="4" w:space="0" w:color="auto"/>
              <w:right w:val="single" w:sz="4" w:space="0" w:color="auto"/>
            </w:tcBorders>
            <w:shd w:val="clear" w:color="auto" w:fill="auto"/>
          </w:tcPr>
          <w:p w14:paraId="4AE83EF9" w14:textId="77777777" w:rsidR="001B11F7" w:rsidRDefault="00B83885">
            <w:pPr>
              <w:widowControl w:val="0"/>
              <w:rPr>
                <w:rFonts w:eastAsia="SimSun"/>
                <w:sz w:val="22"/>
                <w:szCs w:val="22"/>
                <w:lang w:val="lt-LT" w:eastAsia="zh-CN" w:bidi="te-IN"/>
              </w:rPr>
            </w:pPr>
            <w:r>
              <w:rPr>
                <w:rFonts w:eastAsia="SimSun"/>
                <w:sz w:val="22"/>
                <w:szCs w:val="22"/>
                <w:lang w:val="lt-LT" w:eastAsia="zh-CN" w:bidi="te-IN"/>
              </w:rPr>
              <w:t>0,99</w:t>
            </w:r>
          </w:p>
        </w:tc>
        <w:tc>
          <w:tcPr>
            <w:tcW w:w="1700" w:type="pct"/>
            <w:tcBorders>
              <w:top w:val="single" w:sz="4" w:space="0" w:color="auto"/>
              <w:left w:val="single" w:sz="4" w:space="0" w:color="auto"/>
              <w:bottom w:val="single" w:sz="4" w:space="0" w:color="auto"/>
              <w:right w:val="single" w:sz="4" w:space="0" w:color="auto"/>
            </w:tcBorders>
            <w:shd w:val="clear" w:color="auto" w:fill="auto"/>
          </w:tcPr>
          <w:p w14:paraId="4AC4B817" w14:textId="77777777" w:rsidR="001B11F7" w:rsidRDefault="00B83885">
            <w:pPr>
              <w:widowControl w:val="0"/>
              <w:rPr>
                <w:rFonts w:eastAsia="SimSun"/>
                <w:sz w:val="22"/>
                <w:szCs w:val="22"/>
                <w:lang w:val="lt-LT" w:eastAsia="zh-CN" w:bidi="te-IN"/>
              </w:rPr>
            </w:pPr>
            <w:r>
              <w:rPr>
                <w:rFonts w:eastAsia="SimSun"/>
                <w:color w:val="000000"/>
                <w:sz w:val="22"/>
                <w:szCs w:val="22"/>
                <w:lang w:val="lt-LT" w:eastAsia="zh-CN"/>
              </w:rPr>
              <w:t>Specialių rekomendacijų nėra.</w:t>
            </w:r>
          </w:p>
        </w:tc>
      </w:tr>
    </w:tbl>
    <w:p w14:paraId="11BA192E" w14:textId="77777777" w:rsidR="001B11F7" w:rsidRDefault="001B11F7">
      <w:pPr>
        <w:widowControl w:val="0"/>
        <w:ind w:left="240" w:hanging="240"/>
        <w:rPr>
          <w:rFonts w:eastAsia="SimSun"/>
          <w:sz w:val="22"/>
          <w:szCs w:val="22"/>
          <w:vertAlign w:val="superscript"/>
          <w:lang w:val="lt-LT" w:eastAsia="zh-CN" w:bidi="te-IN"/>
        </w:rPr>
      </w:pPr>
    </w:p>
    <w:p w14:paraId="2B64A240" w14:textId="77777777" w:rsidR="001B11F7" w:rsidRDefault="00B83885">
      <w:pPr>
        <w:widowControl w:val="0"/>
        <w:ind w:left="360" w:right="966" w:hanging="360"/>
        <w:rPr>
          <w:rFonts w:eastAsia="SimSun"/>
          <w:sz w:val="22"/>
          <w:szCs w:val="22"/>
          <w:lang w:val="lt-LT" w:eastAsia="zh-CN" w:bidi="te-IN"/>
        </w:rPr>
      </w:pPr>
      <w:r>
        <w:rPr>
          <w:rFonts w:eastAsia="SimSun"/>
          <w:sz w:val="22"/>
          <w:szCs w:val="22"/>
          <w:vertAlign w:val="superscript"/>
          <w:lang w:val="lt-LT" w:eastAsia="zh-CN" w:bidi="te-IN"/>
        </w:rPr>
        <w:t xml:space="preserve">&amp; </w:t>
      </w:r>
      <w:r>
        <w:rPr>
          <w:rFonts w:eastAsia="SimSun"/>
          <w:sz w:val="22"/>
          <w:szCs w:val="22"/>
          <w:lang w:val="lt-LT" w:eastAsia="zh-CN"/>
        </w:rPr>
        <w:t>Rodo terapijų rodiklį (kartu skiriamas vaistinis preparatas ir atorvastatinas, palyginti su tik atorvastatino terapija).</w:t>
      </w:r>
    </w:p>
    <w:p w14:paraId="4EB12EFE" w14:textId="77777777" w:rsidR="001B11F7" w:rsidRDefault="00B83885">
      <w:pPr>
        <w:widowControl w:val="0"/>
        <w:ind w:left="360" w:right="966" w:hanging="360"/>
        <w:rPr>
          <w:rFonts w:eastAsia="SimSun"/>
          <w:sz w:val="22"/>
          <w:szCs w:val="22"/>
          <w:lang w:val="lt-LT" w:eastAsia="zh-CN" w:bidi="te-IN"/>
        </w:rPr>
      </w:pPr>
      <w:r>
        <w:rPr>
          <w:rFonts w:eastAsia="SimSun"/>
          <w:sz w:val="22"/>
          <w:szCs w:val="22"/>
          <w:lang w:val="lt-LT" w:eastAsia="zh-CN" w:bidi="te-IN"/>
        </w:rPr>
        <w:t>* Kartotines atorvastatino dozes vartojant kartu su fenazonu, fenazono klirensui poveikio nebuvo arba jis buvo nenustatomas.</w:t>
      </w:r>
    </w:p>
    <w:p w14:paraId="7E649385" w14:textId="77777777" w:rsidR="001B11F7" w:rsidRDefault="00B83885">
      <w:pPr>
        <w:widowControl w:val="0"/>
        <w:rPr>
          <w:rFonts w:eastAsia="SimSun"/>
          <w:sz w:val="22"/>
          <w:szCs w:val="22"/>
          <w:lang w:val="lt-LT" w:eastAsia="zh-CN"/>
        </w:rPr>
      </w:pPr>
      <w:r>
        <w:rPr>
          <w:rFonts w:eastAsia="SimSun"/>
          <w:sz w:val="22"/>
          <w:szCs w:val="22"/>
          <w:lang w:val="lt-LT" w:eastAsia="zh-CN"/>
        </w:rPr>
        <w:t>x 1 = vieną kartą per parą; VD = vienkartinė dozė; x 2 = du kartus per parą.</w:t>
      </w:r>
    </w:p>
    <w:p w14:paraId="737C5FEE" w14:textId="77777777" w:rsidR="001B11F7" w:rsidRDefault="001B11F7">
      <w:pPr>
        <w:widowControl w:val="0"/>
        <w:rPr>
          <w:sz w:val="22"/>
          <w:szCs w:val="22"/>
          <w:lang w:val="lt-LT" w:eastAsia="lt-LT"/>
        </w:rPr>
      </w:pPr>
    </w:p>
    <w:p w14:paraId="05792F2A" w14:textId="77777777" w:rsidR="001B11F7" w:rsidRDefault="00B83885">
      <w:pPr>
        <w:widowControl w:val="0"/>
        <w:rPr>
          <w:sz w:val="22"/>
          <w:szCs w:val="22"/>
          <w:u w:val="single"/>
          <w:lang w:val="lt-LT" w:eastAsia="lt-LT"/>
        </w:rPr>
      </w:pPr>
      <w:r>
        <w:rPr>
          <w:sz w:val="22"/>
          <w:szCs w:val="22"/>
          <w:u w:val="single"/>
          <w:lang w:val="lt-LT" w:eastAsia="lt-LT"/>
        </w:rPr>
        <w:t>Vaikų populiacija</w:t>
      </w:r>
    </w:p>
    <w:p w14:paraId="151321EC" w14:textId="77777777" w:rsidR="001B11F7" w:rsidRDefault="00B83885">
      <w:pPr>
        <w:widowControl w:val="0"/>
        <w:rPr>
          <w:sz w:val="22"/>
          <w:szCs w:val="22"/>
          <w:lang w:val="lt-LT" w:eastAsia="lt-LT"/>
        </w:rPr>
      </w:pPr>
      <w:r>
        <w:rPr>
          <w:sz w:val="22"/>
          <w:szCs w:val="22"/>
          <w:lang w:val="lt-LT" w:eastAsia="lt-LT"/>
        </w:rPr>
        <w:t>Sąveikos tyrimai atlikti tik suaugusiesiems. Sąveikos apimtis vaikų ir paauglių populiacijoje nežinoma. Skiriant vaistinių preparatų vaikams, reikia atsižvelgti į anksčiau nurodytą sąveiką suaugusiesiems ir įspėjimus 4.4 skyriuje.</w:t>
      </w:r>
    </w:p>
    <w:p w14:paraId="1A090F09" w14:textId="77777777" w:rsidR="001B11F7" w:rsidRDefault="001B11F7">
      <w:pPr>
        <w:widowControl w:val="0"/>
        <w:rPr>
          <w:sz w:val="22"/>
          <w:szCs w:val="22"/>
          <w:lang w:val="lt-LT" w:eastAsia="lt-LT"/>
        </w:rPr>
      </w:pPr>
    </w:p>
    <w:p w14:paraId="68929DDD" w14:textId="77777777" w:rsidR="001B11F7" w:rsidRDefault="00B83885">
      <w:pPr>
        <w:widowControl w:val="0"/>
        <w:ind w:left="567" w:hanging="567"/>
        <w:outlineLvl w:val="1"/>
        <w:rPr>
          <w:b/>
          <w:sz w:val="22"/>
          <w:szCs w:val="22"/>
          <w:lang w:val="lt-LT" w:eastAsia="lt-LT"/>
        </w:rPr>
      </w:pPr>
      <w:r>
        <w:rPr>
          <w:b/>
          <w:sz w:val="22"/>
          <w:szCs w:val="22"/>
          <w:lang w:val="lt-LT" w:eastAsia="lt-LT"/>
        </w:rPr>
        <w:t>4.6</w:t>
      </w:r>
      <w:r>
        <w:rPr>
          <w:b/>
          <w:sz w:val="22"/>
          <w:szCs w:val="22"/>
          <w:lang w:val="lt-LT" w:eastAsia="lt-LT"/>
        </w:rPr>
        <w:tab/>
        <w:t>Vaisingumas, nėštumo ir žindymo laikotarpis</w:t>
      </w:r>
    </w:p>
    <w:p w14:paraId="5BBF2011" w14:textId="77777777" w:rsidR="001B11F7" w:rsidRDefault="001B11F7">
      <w:pPr>
        <w:widowControl w:val="0"/>
        <w:rPr>
          <w:sz w:val="22"/>
          <w:szCs w:val="22"/>
          <w:lang w:val="lt-LT" w:eastAsia="lt-LT"/>
        </w:rPr>
      </w:pPr>
    </w:p>
    <w:p w14:paraId="4E3E24E2" w14:textId="77777777" w:rsidR="001B11F7" w:rsidRDefault="00B83885">
      <w:pPr>
        <w:widowControl w:val="0"/>
        <w:rPr>
          <w:sz w:val="22"/>
          <w:szCs w:val="22"/>
          <w:lang w:val="lt-LT" w:eastAsia="lt-LT"/>
        </w:rPr>
      </w:pPr>
      <w:r>
        <w:rPr>
          <w:sz w:val="22"/>
          <w:szCs w:val="22"/>
          <w:u w:val="single"/>
          <w:lang w:val="lt-LT" w:eastAsia="lt-LT"/>
        </w:rPr>
        <w:lastRenderedPageBreak/>
        <w:t>Vaisingos moterys</w:t>
      </w:r>
    </w:p>
    <w:p w14:paraId="4119E3D8" w14:textId="77777777" w:rsidR="001B11F7" w:rsidRDefault="00B83885">
      <w:pPr>
        <w:widowControl w:val="0"/>
        <w:rPr>
          <w:sz w:val="22"/>
          <w:szCs w:val="22"/>
          <w:lang w:val="lt-LT" w:eastAsia="lt-LT"/>
        </w:rPr>
      </w:pPr>
      <w:r>
        <w:rPr>
          <w:sz w:val="22"/>
          <w:szCs w:val="22"/>
          <w:lang w:val="lt-LT" w:eastAsia="lt-LT"/>
        </w:rPr>
        <w:t>Vaisingos moterys gydymo metu turi naudoti veiksmingas kontracepcijos priemones (žr. 4.3 skyrių).</w:t>
      </w:r>
    </w:p>
    <w:p w14:paraId="1946A4F8" w14:textId="77777777" w:rsidR="001B11F7" w:rsidRDefault="001B11F7">
      <w:pPr>
        <w:widowControl w:val="0"/>
        <w:rPr>
          <w:sz w:val="22"/>
          <w:szCs w:val="22"/>
          <w:lang w:val="lt-LT" w:eastAsia="lt-LT"/>
        </w:rPr>
      </w:pPr>
    </w:p>
    <w:p w14:paraId="46338D38" w14:textId="77777777" w:rsidR="001B11F7" w:rsidRDefault="00B83885">
      <w:pPr>
        <w:widowControl w:val="0"/>
        <w:rPr>
          <w:sz w:val="22"/>
          <w:szCs w:val="22"/>
          <w:u w:val="single"/>
          <w:lang w:val="lt-LT" w:eastAsia="lt-LT"/>
        </w:rPr>
      </w:pPr>
      <w:r>
        <w:rPr>
          <w:sz w:val="22"/>
          <w:szCs w:val="22"/>
          <w:u w:val="single"/>
          <w:lang w:val="lt-LT" w:eastAsia="lt-LT"/>
        </w:rPr>
        <w:t>Nėštumas</w:t>
      </w:r>
    </w:p>
    <w:p w14:paraId="42BD6FFD" w14:textId="77777777" w:rsidR="001B11F7" w:rsidRDefault="00B83885">
      <w:pPr>
        <w:widowControl w:val="0"/>
        <w:rPr>
          <w:sz w:val="22"/>
          <w:szCs w:val="22"/>
          <w:lang w:val="lt-LT" w:eastAsia="lt-LT"/>
        </w:rPr>
      </w:pPr>
      <w:r>
        <w:rPr>
          <w:sz w:val="22"/>
          <w:szCs w:val="22"/>
          <w:lang w:val="lt-LT" w:eastAsia="lt-LT"/>
        </w:rPr>
        <w:t>Atoris draudžiama vartoti nėštumo metu (žr. 4.3 skyrių). Nėščių moterų gydymo atorvastatinu saugumas nenustatytas. Kontroliuojamųjų atorvastatino klinikinių tyrimų su nėščiomis moterimis neatlikta. Gauta retų pranešimų apie apsigimimus po HMG-KoA retuktazės inhibitorių ekspozicijos intrauterininiu laikotarpiu. Su gyvūnais atlikti tyrimai parodė toksinį poveikį reprodukcijai (žr. 5.3 skyrių).</w:t>
      </w:r>
    </w:p>
    <w:p w14:paraId="787E2429" w14:textId="77777777" w:rsidR="001B11F7" w:rsidRDefault="001B11F7">
      <w:pPr>
        <w:widowControl w:val="0"/>
        <w:rPr>
          <w:sz w:val="22"/>
          <w:szCs w:val="22"/>
          <w:lang w:val="lt-LT" w:eastAsia="lt-LT"/>
        </w:rPr>
      </w:pPr>
    </w:p>
    <w:p w14:paraId="1A3E1E46" w14:textId="77777777" w:rsidR="001B11F7" w:rsidRDefault="00B83885">
      <w:pPr>
        <w:widowControl w:val="0"/>
        <w:rPr>
          <w:sz w:val="22"/>
          <w:szCs w:val="22"/>
          <w:lang w:val="lt-LT" w:eastAsia="lt-LT"/>
        </w:rPr>
      </w:pPr>
      <w:r>
        <w:rPr>
          <w:sz w:val="22"/>
          <w:szCs w:val="22"/>
          <w:lang w:val="lt-LT" w:eastAsia="lt-LT"/>
        </w:rPr>
        <w:t>Moterį gydant atorvastatinu, gali sumažėti mevalonato, t. y. cholesterolio biosintezės pirmtako, kiekis vaisiaus organizme. Aterosklerozė yra lėtinis procesas, todėl laikinas lipidų koncentraciją kraujyje mažinančių vaistinių preparatų vartojimo pertraukimas nėštumo metu daro nedidelę įtaką ilgalaikei rizikai, susijusiai su pirmine hipercholesterolemija.</w:t>
      </w:r>
    </w:p>
    <w:p w14:paraId="5C1C3420" w14:textId="77777777" w:rsidR="001B11F7" w:rsidRDefault="001B11F7">
      <w:pPr>
        <w:widowControl w:val="0"/>
        <w:rPr>
          <w:sz w:val="22"/>
          <w:szCs w:val="22"/>
          <w:lang w:val="lt-LT" w:eastAsia="lt-LT"/>
        </w:rPr>
      </w:pPr>
    </w:p>
    <w:p w14:paraId="4108A184" w14:textId="77777777" w:rsidR="001B11F7" w:rsidRDefault="00B83885">
      <w:pPr>
        <w:widowControl w:val="0"/>
        <w:rPr>
          <w:sz w:val="22"/>
          <w:szCs w:val="22"/>
          <w:lang w:val="lt-LT" w:eastAsia="lt-LT"/>
        </w:rPr>
      </w:pPr>
      <w:r>
        <w:rPr>
          <w:sz w:val="22"/>
          <w:szCs w:val="22"/>
          <w:lang w:val="lt-LT" w:eastAsia="lt-LT"/>
        </w:rPr>
        <w:t>Dėl šios priežasties Atoris draudžiama vartoti nėščioms, planuojančioms pastoti ar manančioms, kad galėjo pastoti, moterims. Atoris draudžiama vartoti nėštumo metu arba tol, kol bus nustatyta, kad moteris nėra nėščia (žr. 4.3 skyrių).</w:t>
      </w:r>
    </w:p>
    <w:p w14:paraId="03292265" w14:textId="77777777" w:rsidR="001B11F7" w:rsidRDefault="001B11F7">
      <w:pPr>
        <w:widowControl w:val="0"/>
        <w:rPr>
          <w:sz w:val="22"/>
          <w:szCs w:val="22"/>
          <w:lang w:val="lt-LT" w:eastAsia="lt-LT"/>
        </w:rPr>
      </w:pPr>
    </w:p>
    <w:p w14:paraId="5C191D35" w14:textId="77777777" w:rsidR="001B11F7" w:rsidRDefault="00B83885">
      <w:pPr>
        <w:widowControl w:val="0"/>
        <w:rPr>
          <w:sz w:val="22"/>
          <w:szCs w:val="22"/>
          <w:u w:val="single"/>
          <w:lang w:val="lt-LT" w:eastAsia="lt-LT"/>
        </w:rPr>
      </w:pPr>
      <w:r>
        <w:rPr>
          <w:sz w:val="22"/>
          <w:szCs w:val="22"/>
          <w:u w:val="single"/>
          <w:lang w:val="lt-LT" w:eastAsia="lt-LT"/>
        </w:rPr>
        <w:t>Žindymas</w:t>
      </w:r>
    </w:p>
    <w:p w14:paraId="4A827404" w14:textId="77777777" w:rsidR="001B11F7" w:rsidRDefault="00B83885">
      <w:pPr>
        <w:widowControl w:val="0"/>
        <w:rPr>
          <w:sz w:val="22"/>
          <w:szCs w:val="22"/>
          <w:lang w:val="lt-LT" w:eastAsia="lt-LT"/>
        </w:rPr>
      </w:pPr>
      <w:r>
        <w:rPr>
          <w:sz w:val="22"/>
          <w:szCs w:val="22"/>
          <w:lang w:val="lt-LT" w:eastAsia="lt-LT"/>
        </w:rPr>
        <w:t xml:space="preserve">Ar atorvastatino arba jo metabolitų </w:t>
      </w:r>
      <w:r>
        <w:rPr>
          <w:rFonts w:eastAsia="SimSun"/>
          <w:color w:val="000000"/>
          <w:sz w:val="22"/>
          <w:szCs w:val="22"/>
          <w:lang w:val="lt-LT" w:eastAsia="zh-CN"/>
        </w:rPr>
        <w:t xml:space="preserve">išsiskiria į motinos pieną, nežinoma. Atorvastatino ir jo veikliojo metabolito koncentracija žiurkių plazmoje būna panaši į koncentraciją piene </w:t>
      </w:r>
      <w:r>
        <w:rPr>
          <w:sz w:val="22"/>
          <w:szCs w:val="22"/>
          <w:lang w:val="lt-LT" w:eastAsia="lt-LT"/>
        </w:rPr>
        <w:t xml:space="preserve">(žr. 5.3 skyrių). Dėl sunkių nepageidaujamų reakcijų tikimybės Atoris vartojančioms moterims krūtimi maitinti draudžiama (žr. 4.3 skyrių). </w:t>
      </w:r>
      <w:r>
        <w:rPr>
          <w:rFonts w:eastAsia="SimSun"/>
          <w:color w:val="000000"/>
          <w:sz w:val="22"/>
          <w:szCs w:val="22"/>
          <w:lang w:val="lt-LT" w:eastAsia="zh-CN"/>
        </w:rPr>
        <w:t>Atorvastatino</w:t>
      </w:r>
      <w:r>
        <w:rPr>
          <w:sz w:val="22"/>
          <w:szCs w:val="22"/>
          <w:lang w:val="lt-LT" w:eastAsia="lt-LT"/>
        </w:rPr>
        <w:t xml:space="preserve"> draudžiama vartoti žindymo </w:t>
      </w:r>
      <w:r>
        <w:rPr>
          <w:rFonts w:eastAsia="SimSun"/>
          <w:color w:val="000000"/>
          <w:sz w:val="22"/>
          <w:szCs w:val="22"/>
          <w:lang w:val="lt-LT" w:eastAsia="zh-CN"/>
        </w:rPr>
        <w:t xml:space="preserve">metu </w:t>
      </w:r>
      <w:r>
        <w:rPr>
          <w:sz w:val="22"/>
          <w:szCs w:val="22"/>
          <w:lang w:val="lt-LT" w:eastAsia="lt-LT"/>
        </w:rPr>
        <w:t>(žr. 4.3 skyrių).</w:t>
      </w:r>
    </w:p>
    <w:p w14:paraId="09A98E4E" w14:textId="77777777" w:rsidR="001B11F7" w:rsidRDefault="001B11F7">
      <w:pPr>
        <w:widowControl w:val="0"/>
        <w:rPr>
          <w:sz w:val="22"/>
          <w:szCs w:val="22"/>
          <w:lang w:val="lt-LT" w:eastAsia="lt-LT"/>
        </w:rPr>
      </w:pPr>
    </w:p>
    <w:p w14:paraId="48C4F970" w14:textId="77777777" w:rsidR="001B11F7" w:rsidRDefault="00B83885">
      <w:pPr>
        <w:widowControl w:val="0"/>
        <w:rPr>
          <w:sz w:val="22"/>
          <w:szCs w:val="22"/>
          <w:lang w:val="lt-LT" w:eastAsia="lt-LT"/>
        </w:rPr>
      </w:pPr>
      <w:r>
        <w:rPr>
          <w:sz w:val="22"/>
          <w:szCs w:val="22"/>
          <w:u w:val="single"/>
          <w:lang w:val="lt-LT" w:eastAsia="lt-LT"/>
        </w:rPr>
        <w:t>Vaisingumas</w:t>
      </w:r>
    </w:p>
    <w:p w14:paraId="47A212E1" w14:textId="77777777" w:rsidR="001B11F7" w:rsidRDefault="00B83885">
      <w:pPr>
        <w:widowControl w:val="0"/>
        <w:rPr>
          <w:sz w:val="22"/>
          <w:szCs w:val="22"/>
          <w:lang w:val="lt-LT" w:eastAsia="lt-LT"/>
        </w:rPr>
      </w:pPr>
      <w:r>
        <w:rPr>
          <w:sz w:val="22"/>
          <w:szCs w:val="22"/>
          <w:lang w:val="lt-LT" w:eastAsia="lt-LT"/>
        </w:rPr>
        <w:t>Su gyvūnais atliktų tyrimų metu atorvastatinas patinų ar patelių vaisingumo neveikė (žr. 5.3 skyrių).</w:t>
      </w:r>
    </w:p>
    <w:p w14:paraId="2FBB2FBC" w14:textId="77777777" w:rsidR="001B11F7" w:rsidRDefault="001B11F7">
      <w:pPr>
        <w:widowControl w:val="0"/>
        <w:rPr>
          <w:sz w:val="22"/>
          <w:szCs w:val="22"/>
          <w:lang w:val="lt-LT" w:eastAsia="lt-LT"/>
        </w:rPr>
      </w:pPr>
    </w:p>
    <w:p w14:paraId="3B230BA6" w14:textId="77777777" w:rsidR="001B11F7" w:rsidRDefault="00B83885">
      <w:pPr>
        <w:widowControl w:val="0"/>
        <w:ind w:left="567" w:hanging="567"/>
        <w:outlineLvl w:val="1"/>
        <w:rPr>
          <w:b/>
          <w:sz w:val="22"/>
          <w:szCs w:val="22"/>
          <w:lang w:val="lt-LT" w:eastAsia="lt-LT"/>
        </w:rPr>
      </w:pPr>
      <w:r>
        <w:rPr>
          <w:b/>
          <w:sz w:val="22"/>
          <w:szCs w:val="22"/>
          <w:lang w:val="lt-LT" w:eastAsia="lt-LT"/>
        </w:rPr>
        <w:t>4.7</w:t>
      </w:r>
      <w:r>
        <w:rPr>
          <w:b/>
          <w:sz w:val="22"/>
          <w:szCs w:val="22"/>
          <w:lang w:val="lt-LT" w:eastAsia="lt-LT"/>
        </w:rPr>
        <w:tab/>
        <w:t>Poveikis gebėjimui vairuoti ir valdyti mechanizmus</w:t>
      </w:r>
    </w:p>
    <w:p w14:paraId="4A82BCAA" w14:textId="77777777" w:rsidR="001B11F7" w:rsidRDefault="001B11F7">
      <w:pPr>
        <w:widowControl w:val="0"/>
        <w:rPr>
          <w:sz w:val="22"/>
          <w:szCs w:val="22"/>
          <w:lang w:val="lt-LT" w:eastAsia="lt-LT"/>
        </w:rPr>
      </w:pPr>
    </w:p>
    <w:p w14:paraId="148CAC0A" w14:textId="77777777" w:rsidR="001B11F7" w:rsidRDefault="00B83885">
      <w:pPr>
        <w:widowControl w:val="0"/>
        <w:rPr>
          <w:sz w:val="22"/>
          <w:szCs w:val="22"/>
          <w:lang w:val="lt-LT" w:eastAsia="lt-LT"/>
        </w:rPr>
      </w:pPr>
      <w:r>
        <w:rPr>
          <w:sz w:val="22"/>
          <w:szCs w:val="22"/>
          <w:lang w:val="lt-LT" w:eastAsia="lt-LT"/>
        </w:rPr>
        <w:t>Atoris gebėjimą vairuoti ir valdyti mechanizmus veikia silpnai.</w:t>
      </w:r>
    </w:p>
    <w:p w14:paraId="73B0ACC8" w14:textId="77777777" w:rsidR="001B11F7" w:rsidRDefault="001B11F7">
      <w:pPr>
        <w:widowControl w:val="0"/>
        <w:rPr>
          <w:sz w:val="22"/>
          <w:szCs w:val="22"/>
          <w:lang w:val="lt-LT" w:eastAsia="lt-LT"/>
        </w:rPr>
      </w:pPr>
    </w:p>
    <w:p w14:paraId="5BE17ADA" w14:textId="77777777" w:rsidR="001B11F7" w:rsidRDefault="00B83885">
      <w:pPr>
        <w:widowControl w:val="0"/>
        <w:ind w:left="567" w:hanging="567"/>
        <w:outlineLvl w:val="1"/>
        <w:rPr>
          <w:b/>
          <w:sz w:val="22"/>
          <w:szCs w:val="22"/>
          <w:lang w:val="lt-LT" w:eastAsia="lt-LT"/>
        </w:rPr>
      </w:pPr>
      <w:r>
        <w:rPr>
          <w:b/>
          <w:sz w:val="22"/>
          <w:szCs w:val="22"/>
          <w:lang w:val="lt-LT" w:eastAsia="lt-LT"/>
        </w:rPr>
        <w:t>4.8</w:t>
      </w:r>
      <w:r>
        <w:rPr>
          <w:b/>
          <w:sz w:val="22"/>
          <w:szCs w:val="22"/>
          <w:lang w:val="lt-LT" w:eastAsia="lt-LT"/>
        </w:rPr>
        <w:tab/>
        <w:t>Nepageidaujamas poveikis</w:t>
      </w:r>
    </w:p>
    <w:p w14:paraId="7432E352" w14:textId="77777777" w:rsidR="001B11F7" w:rsidRDefault="001B11F7">
      <w:pPr>
        <w:widowControl w:val="0"/>
        <w:rPr>
          <w:sz w:val="22"/>
          <w:szCs w:val="22"/>
          <w:lang w:val="lt-LT" w:eastAsia="lt-LT"/>
        </w:rPr>
      </w:pPr>
    </w:p>
    <w:p w14:paraId="5F47B0BB" w14:textId="77777777" w:rsidR="001B11F7" w:rsidRDefault="00B83885">
      <w:pPr>
        <w:widowControl w:val="0"/>
        <w:rPr>
          <w:sz w:val="22"/>
          <w:szCs w:val="22"/>
          <w:lang w:val="lt-LT" w:eastAsia="lt-LT"/>
        </w:rPr>
      </w:pPr>
      <w:r>
        <w:rPr>
          <w:sz w:val="22"/>
          <w:szCs w:val="22"/>
          <w:lang w:val="lt-LT" w:eastAsia="en-US"/>
        </w:rPr>
        <w:t>Nepageidaujamo poveikio dažnis apibūdinamas taip: labai dažnas (≥ 1/10), dažnas (nuo ≥ 1/100 iki &lt; 1/10), nedažnas (nuo ≥ 1/1 000 iki &lt; 1/100), retas (nuo ≥ 1/10 000 iki &lt; 1/1 000), labai retas (&lt; 1/10 000) ir nežinomas (negali būti apskaičiuotas pagal turimus duomenis</w:t>
      </w:r>
      <w:r>
        <w:rPr>
          <w:sz w:val="22"/>
          <w:szCs w:val="22"/>
          <w:lang w:val="lt-LT"/>
        </w:rPr>
        <w:t>).</w:t>
      </w:r>
    </w:p>
    <w:p w14:paraId="5C53DE28" w14:textId="77777777" w:rsidR="001B11F7" w:rsidRDefault="001B11F7">
      <w:pPr>
        <w:widowControl w:val="0"/>
        <w:rPr>
          <w:sz w:val="22"/>
          <w:szCs w:val="22"/>
          <w:lang w:val="lt-LT" w:eastAsia="lt-LT"/>
        </w:rPr>
      </w:pPr>
    </w:p>
    <w:p w14:paraId="187E97C6" w14:textId="77777777" w:rsidR="001B11F7" w:rsidRDefault="00B83885">
      <w:pPr>
        <w:widowControl w:val="0"/>
        <w:rPr>
          <w:sz w:val="22"/>
          <w:szCs w:val="22"/>
          <w:lang w:val="lt-LT" w:eastAsia="lt-LT"/>
        </w:rPr>
      </w:pPr>
      <w:r>
        <w:rPr>
          <w:sz w:val="22"/>
          <w:szCs w:val="22"/>
          <w:lang w:val="lt-LT" w:eastAsia="lt-LT"/>
        </w:rPr>
        <w:t>Remiantis 16066 pacientų (8 55 vartojo atorvastatino, 7311 - placebo), dalyvavusių placebu kontroliuotuose atorvastatino klinikiniuose tyrimuose, duomenų baze, ligoniai gydyti vidutiniškai 53 savaites, 5,2 % pacientų nutraukė atorvastatino vartojimą dėl nepageidaujamų reakcijų (palyginti su 4,0 % pacientų placebo grupėje).</w:t>
      </w:r>
    </w:p>
    <w:p w14:paraId="4B914857" w14:textId="77777777" w:rsidR="001B11F7" w:rsidRDefault="001B11F7">
      <w:pPr>
        <w:widowControl w:val="0"/>
        <w:rPr>
          <w:sz w:val="22"/>
          <w:szCs w:val="22"/>
          <w:lang w:val="lt-LT" w:eastAsia="lt-LT"/>
        </w:rPr>
      </w:pPr>
    </w:p>
    <w:p w14:paraId="1F912167" w14:textId="77777777" w:rsidR="001B11F7" w:rsidRDefault="00B83885">
      <w:pPr>
        <w:widowControl w:val="0"/>
        <w:rPr>
          <w:sz w:val="22"/>
          <w:szCs w:val="22"/>
          <w:lang w:val="lt-LT" w:eastAsia="lt-LT"/>
        </w:rPr>
      </w:pPr>
      <w:r>
        <w:rPr>
          <w:sz w:val="22"/>
          <w:szCs w:val="22"/>
          <w:lang w:val="lt-LT" w:eastAsia="lt-LT"/>
        </w:rPr>
        <w:t>Toliau esančioje lentelėje nepageidaujamos atorvastatino reakcijos pateiktos remiantis klinikinių tyrimų duomenimis ir didele klinikinio preparato vartojimo po pasirodymo rinkoje patirtimi.</w:t>
      </w:r>
    </w:p>
    <w:p w14:paraId="1DBB2032" w14:textId="77777777" w:rsidR="001B11F7" w:rsidRDefault="001B11F7">
      <w:pPr>
        <w:widowControl w:val="0"/>
        <w:rPr>
          <w:sz w:val="22"/>
          <w:szCs w:val="22"/>
          <w:lang w:val="lt-LT" w:eastAsia="lt-LT"/>
        </w:rPr>
      </w:pPr>
    </w:p>
    <w:p w14:paraId="2ECEE559" w14:textId="77777777" w:rsidR="001B11F7" w:rsidRDefault="00B83885">
      <w:pPr>
        <w:widowControl w:val="0"/>
        <w:rPr>
          <w:sz w:val="22"/>
          <w:szCs w:val="22"/>
          <w:u w:val="single"/>
          <w:lang w:val="lt-LT" w:eastAsia="lt-LT"/>
        </w:rPr>
      </w:pPr>
      <w:r>
        <w:rPr>
          <w:sz w:val="22"/>
          <w:szCs w:val="22"/>
          <w:u w:val="single"/>
          <w:lang w:val="lt-LT" w:eastAsia="lt-LT"/>
        </w:rPr>
        <w:t>Infekcijos ir infestacijos</w:t>
      </w:r>
    </w:p>
    <w:p w14:paraId="5241503D" w14:textId="77777777" w:rsidR="001B11F7" w:rsidRDefault="00B83885">
      <w:pPr>
        <w:widowControl w:val="0"/>
        <w:rPr>
          <w:sz w:val="22"/>
          <w:szCs w:val="22"/>
          <w:lang w:val="lt-LT" w:eastAsia="lt-LT"/>
        </w:rPr>
      </w:pPr>
      <w:r>
        <w:rPr>
          <w:sz w:val="22"/>
          <w:szCs w:val="22"/>
          <w:lang w:val="lt-LT" w:eastAsia="lt-LT"/>
        </w:rPr>
        <w:t>Dažnas: nazofaringitas.</w:t>
      </w:r>
    </w:p>
    <w:p w14:paraId="2EB003E3" w14:textId="77777777" w:rsidR="001B11F7" w:rsidRDefault="001B11F7">
      <w:pPr>
        <w:widowControl w:val="0"/>
        <w:rPr>
          <w:sz w:val="22"/>
          <w:szCs w:val="22"/>
          <w:lang w:val="lt-LT" w:eastAsia="lt-LT"/>
        </w:rPr>
      </w:pPr>
    </w:p>
    <w:p w14:paraId="3191D922" w14:textId="77777777" w:rsidR="001B11F7" w:rsidRDefault="00B83885">
      <w:pPr>
        <w:widowControl w:val="0"/>
        <w:rPr>
          <w:sz w:val="22"/>
          <w:szCs w:val="22"/>
          <w:u w:val="single"/>
          <w:lang w:val="lt-LT" w:eastAsia="lt-LT"/>
        </w:rPr>
      </w:pPr>
      <w:r>
        <w:rPr>
          <w:sz w:val="22"/>
          <w:szCs w:val="22"/>
          <w:u w:val="single"/>
          <w:lang w:val="lt-LT" w:eastAsia="lt-LT"/>
        </w:rPr>
        <w:t>Kraujo ir limfinės sistemos sutrikimai</w:t>
      </w:r>
    </w:p>
    <w:p w14:paraId="4343B3A2" w14:textId="77777777" w:rsidR="001B11F7" w:rsidRDefault="00B83885">
      <w:pPr>
        <w:widowControl w:val="0"/>
        <w:rPr>
          <w:sz w:val="22"/>
          <w:szCs w:val="22"/>
          <w:lang w:val="lt-LT" w:eastAsia="lt-LT"/>
        </w:rPr>
      </w:pPr>
      <w:r>
        <w:rPr>
          <w:sz w:val="22"/>
          <w:szCs w:val="22"/>
          <w:lang w:val="lt-LT" w:eastAsia="lt-LT"/>
        </w:rPr>
        <w:t>Retas: trombocitopenija.</w:t>
      </w:r>
    </w:p>
    <w:p w14:paraId="174F363B" w14:textId="77777777" w:rsidR="001B11F7" w:rsidRDefault="001B11F7">
      <w:pPr>
        <w:widowControl w:val="0"/>
        <w:rPr>
          <w:sz w:val="22"/>
          <w:szCs w:val="22"/>
          <w:lang w:val="lt-LT" w:eastAsia="lt-LT"/>
        </w:rPr>
      </w:pPr>
    </w:p>
    <w:p w14:paraId="54E029E2" w14:textId="77777777" w:rsidR="001B11F7" w:rsidRDefault="00B83885">
      <w:pPr>
        <w:widowControl w:val="0"/>
        <w:rPr>
          <w:sz w:val="22"/>
          <w:szCs w:val="22"/>
          <w:u w:val="single"/>
          <w:lang w:val="lt-LT" w:eastAsia="lt-LT"/>
        </w:rPr>
      </w:pPr>
      <w:r>
        <w:rPr>
          <w:sz w:val="22"/>
          <w:szCs w:val="22"/>
          <w:u w:val="single"/>
          <w:lang w:val="lt-LT" w:eastAsia="lt-LT"/>
        </w:rPr>
        <w:t>Imuninės sistemos sutrikimai</w:t>
      </w:r>
    </w:p>
    <w:p w14:paraId="36B3A2A3" w14:textId="77777777" w:rsidR="001B11F7" w:rsidRDefault="00B83885">
      <w:pPr>
        <w:widowControl w:val="0"/>
        <w:rPr>
          <w:sz w:val="22"/>
          <w:szCs w:val="22"/>
          <w:lang w:val="lt-LT" w:eastAsia="lt-LT"/>
        </w:rPr>
      </w:pPr>
      <w:r>
        <w:rPr>
          <w:sz w:val="22"/>
          <w:szCs w:val="22"/>
          <w:lang w:val="lt-LT" w:eastAsia="lt-LT"/>
        </w:rPr>
        <w:t>Dažnas: alerginės reakcijos.</w:t>
      </w:r>
    </w:p>
    <w:p w14:paraId="24731165" w14:textId="77777777" w:rsidR="001B11F7" w:rsidRDefault="00B83885">
      <w:pPr>
        <w:widowControl w:val="0"/>
        <w:rPr>
          <w:sz w:val="22"/>
          <w:szCs w:val="22"/>
          <w:lang w:val="lt-LT" w:eastAsia="lt-LT"/>
        </w:rPr>
      </w:pPr>
      <w:r>
        <w:rPr>
          <w:sz w:val="22"/>
          <w:szCs w:val="22"/>
          <w:lang w:val="lt-LT" w:eastAsia="lt-LT"/>
        </w:rPr>
        <w:t>Labai retas: anafilaksija.</w:t>
      </w:r>
    </w:p>
    <w:p w14:paraId="6D6F22C9" w14:textId="77777777" w:rsidR="001B11F7" w:rsidRDefault="001B11F7">
      <w:pPr>
        <w:widowControl w:val="0"/>
        <w:rPr>
          <w:sz w:val="22"/>
          <w:szCs w:val="22"/>
          <w:lang w:val="lt-LT" w:eastAsia="lt-LT"/>
        </w:rPr>
      </w:pPr>
    </w:p>
    <w:p w14:paraId="5B9663B7" w14:textId="77777777" w:rsidR="001B11F7" w:rsidRDefault="00B83885">
      <w:pPr>
        <w:widowControl w:val="0"/>
        <w:rPr>
          <w:sz w:val="22"/>
          <w:szCs w:val="22"/>
          <w:u w:val="single"/>
          <w:lang w:val="lt-LT" w:eastAsia="lt-LT"/>
        </w:rPr>
      </w:pPr>
      <w:r>
        <w:rPr>
          <w:sz w:val="22"/>
          <w:szCs w:val="22"/>
          <w:u w:val="single"/>
          <w:lang w:val="lt-LT" w:eastAsia="lt-LT"/>
        </w:rPr>
        <w:lastRenderedPageBreak/>
        <w:t>Metabolizmo ir mitybos sutrikimai</w:t>
      </w:r>
    </w:p>
    <w:p w14:paraId="337C567F" w14:textId="77777777" w:rsidR="001B11F7" w:rsidRDefault="00B83885">
      <w:pPr>
        <w:widowControl w:val="0"/>
        <w:rPr>
          <w:sz w:val="22"/>
          <w:szCs w:val="22"/>
          <w:lang w:val="lt-LT" w:eastAsia="lt-LT"/>
        </w:rPr>
      </w:pPr>
      <w:r>
        <w:rPr>
          <w:sz w:val="22"/>
          <w:szCs w:val="22"/>
          <w:lang w:val="lt-LT" w:eastAsia="lt-LT"/>
        </w:rPr>
        <w:t>Dažnas: hiperglikemija.</w:t>
      </w:r>
    </w:p>
    <w:p w14:paraId="440F1902" w14:textId="77777777" w:rsidR="001B11F7" w:rsidRDefault="00B83885">
      <w:pPr>
        <w:widowControl w:val="0"/>
        <w:rPr>
          <w:sz w:val="22"/>
          <w:szCs w:val="22"/>
          <w:lang w:val="lt-LT" w:eastAsia="lt-LT"/>
        </w:rPr>
      </w:pPr>
      <w:r>
        <w:rPr>
          <w:sz w:val="22"/>
          <w:szCs w:val="22"/>
          <w:lang w:val="lt-LT" w:eastAsia="lt-LT"/>
        </w:rPr>
        <w:t>Nedažnas: hipoglikemija, kūno svorio didėjimas, anoreksija.</w:t>
      </w:r>
    </w:p>
    <w:p w14:paraId="123F3786" w14:textId="77777777" w:rsidR="001B11F7" w:rsidRDefault="001B11F7">
      <w:pPr>
        <w:widowControl w:val="0"/>
        <w:rPr>
          <w:sz w:val="22"/>
          <w:szCs w:val="22"/>
          <w:lang w:val="lt-LT" w:eastAsia="lt-LT"/>
        </w:rPr>
      </w:pPr>
    </w:p>
    <w:p w14:paraId="1E41C255" w14:textId="77777777" w:rsidR="001B11F7" w:rsidRDefault="00B83885">
      <w:pPr>
        <w:widowControl w:val="0"/>
        <w:rPr>
          <w:sz w:val="22"/>
          <w:szCs w:val="22"/>
          <w:u w:val="single"/>
          <w:lang w:val="lt-LT" w:eastAsia="lt-LT"/>
        </w:rPr>
      </w:pPr>
      <w:r>
        <w:rPr>
          <w:sz w:val="22"/>
          <w:szCs w:val="22"/>
          <w:u w:val="single"/>
          <w:lang w:val="lt-LT" w:eastAsia="lt-LT"/>
        </w:rPr>
        <w:t>Psichikos sutrikimai</w:t>
      </w:r>
    </w:p>
    <w:p w14:paraId="5BC908A0" w14:textId="77777777" w:rsidR="001B11F7" w:rsidRDefault="00B83885">
      <w:pPr>
        <w:widowControl w:val="0"/>
        <w:rPr>
          <w:sz w:val="22"/>
          <w:szCs w:val="22"/>
          <w:lang w:val="lt-LT" w:eastAsia="lt-LT"/>
        </w:rPr>
      </w:pPr>
      <w:r>
        <w:rPr>
          <w:sz w:val="22"/>
          <w:szCs w:val="22"/>
          <w:lang w:val="lt-LT" w:eastAsia="lt-LT"/>
        </w:rPr>
        <w:t>Nedažnas: košmarai, nemiga.</w:t>
      </w:r>
    </w:p>
    <w:p w14:paraId="4A5CC27C" w14:textId="77777777" w:rsidR="001B11F7" w:rsidRDefault="001B11F7">
      <w:pPr>
        <w:widowControl w:val="0"/>
        <w:rPr>
          <w:sz w:val="22"/>
          <w:szCs w:val="22"/>
          <w:u w:val="single"/>
          <w:lang w:val="lt-LT" w:eastAsia="lt-LT"/>
        </w:rPr>
      </w:pPr>
    </w:p>
    <w:p w14:paraId="639DD926" w14:textId="77777777" w:rsidR="001B11F7" w:rsidRDefault="00B83885">
      <w:pPr>
        <w:widowControl w:val="0"/>
        <w:rPr>
          <w:sz w:val="22"/>
          <w:szCs w:val="22"/>
          <w:u w:val="single"/>
          <w:lang w:val="lt-LT" w:eastAsia="lt-LT"/>
        </w:rPr>
      </w:pPr>
      <w:r>
        <w:rPr>
          <w:sz w:val="22"/>
          <w:szCs w:val="22"/>
          <w:u w:val="single"/>
          <w:lang w:val="lt-LT" w:eastAsia="lt-LT"/>
        </w:rPr>
        <w:t>Nervų sistemos sutrikimai</w:t>
      </w:r>
    </w:p>
    <w:p w14:paraId="39A0794C" w14:textId="77777777" w:rsidR="001B11F7" w:rsidRDefault="00B83885">
      <w:pPr>
        <w:widowControl w:val="0"/>
        <w:rPr>
          <w:sz w:val="22"/>
          <w:szCs w:val="22"/>
          <w:lang w:val="lt-LT" w:eastAsia="lt-LT"/>
        </w:rPr>
      </w:pPr>
      <w:r>
        <w:rPr>
          <w:sz w:val="22"/>
          <w:szCs w:val="22"/>
          <w:lang w:val="lt-LT" w:eastAsia="lt-LT"/>
        </w:rPr>
        <w:t>Dažnas: galvos skausmas.</w:t>
      </w:r>
    </w:p>
    <w:p w14:paraId="5C5A2110" w14:textId="77777777" w:rsidR="001B11F7" w:rsidRDefault="00B83885">
      <w:pPr>
        <w:widowControl w:val="0"/>
        <w:rPr>
          <w:sz w:val="22"/>
          <w:szCs w:val="22"/>
          <w:lang w:val="lt-LT" w:eastAsia="lt-LT"/>
        </w:rPr>
      </w:pPr>
      <w:r>
        <w:rPr>
          <w:sz w:val="22"/>
          <w:szCs w:val="22"/>
          <w:lang w:val="lt-LT" w:eastAsia="lt-LT"/>
        </w:rPr>
        <w:t>Nedažnas: galvos svaigimas, parestezija, hipoestezija, skonio pojūčio sutrikimas, amnezija.</w:t>
      </w:r>
    </w:p>
    <w:p w14:paraId="08B35575" w14:textId="77777777" w:rsidR="001B11F7" w:rsidRDefault="00B83885">
      <w:pPr>
        <w:widowControl w:val="0"/>
        <w:rPr>
          <w:sz w:val="22"/>
          <w:szCs w:val="22"/>
          <w:lang w:val="lt-LT" w:eastAsia="lt-LT"/>
        </w:rPr>
      </w:pPr>
      <w:r>
        <w:rPr>
          <w:sz w:val="22"/>
          <w:szCs w:val="22"/>
          <w:lang w:val="lt-LT" w:eastAsia="lt-LT"/>
        </w:rPr>
        <w:t>Retas: periferinė neuropatija.</w:t>
      </w:r>
    </w:p>
    <w:p w14:paraId="62E21988" w14:textId="77777777" w:rsidR="001B11F7" w:rsidRDefault="00B83885">
      <w:pPr>
        <w:widowControl w:val="0"/>
        <w:rPr>
          <w:sz w:val="22"/>
          <w:szCs w:val="22"/>
          <w:lang w:val="lt-LT" w:eastAsia="lt-LT"/>
        </w:rPr>
      </w:pPr>
      <w:r>
        <w:rPr>
          <w:sz w:val="22"/>
          <w:szCs w:val="22"/>
          <w:lang w:val="lt-LT" w:eastAsia="lt-LT"/>
        </w:rPr>
        <w:t>Dažnis nežinomas: generalizuota miastenija.</w:t>
      </w:r>
    </w:p>
    <w:p w14:paraId="16FA60CF" w14:textId="77777777" w:rsidR="001B11F7" w:rsidRDefault="001B11F7">
      <w:pPr>
        <w:widowControl w:val="0"/>
        <w:rPr>
          <w:sz w:val="22"/>
          <w:szCs w:val="22"/>
          <w:lang w:val="lt-LT" w:eastAsia="lt-LT"/>
        </w:rPr>
      </w:pPr>
    </w:p>
    <w:p w14:paraId="1E6095FB" w14:textId="77777777" w:rsidR="001B11F7" w:rsidRDefault="00B83885">
      <w:pPr>
        <w:widowControl w:val="0"/>
        <w:rPr>
          <w:sz w:val="22"/>
          <w:szCs w:val="22"/>
          <w:lang w:val="lt-LT" w:eastAsia="lt-LT"/>
        </w:rPr>
      </w:pPr>
      <w:r>
        <w:rPr>
          <w:sz w:val="22"/>
          <w:szCs w:val="22"/>
          <w:u w:val="single"/>
          <w:lang w:val="lt-LT" w:eastAsia="lt-LT"/>
        </w:rPr>
        <w:t>Akių sutrikimai</w:t>
      </w:r>
    </w:p>
    <w:p w14:paraId="7A667B2C" w14:textId="77777777" w:rsidR="001B11F7" w:rsidRDefault="00B83885">
      <w:pPr>
        <w:widowControl w:val="0"/>
        <w:rPr>
          <w:sz w:val="22"/>
          <w:szCs w:val="22"/>
          <w:lang w:val="lt-LT" w:eastAsia="lt-LT"/>
        </w:rPr>
      </w:pPr>
      <w:r>
        <w:rPr>
          <w:sz w:val="22"/>
          <w:szCs w:val="22"/>
          <w:lang w:val="lt-LT" w:eastAsia="lt-LT"/>
        </w:rPr>
        <w:t>Nedažnas: miglotas matymas.</w:t>
      </w:r>
    </w:p>
    <w:p w14:paraId="489041A4" w14:textId="77777777" w:rsidR="001B11F7" w:rsidRDefault="00B83885">
      <w:pPr>
        <w:widowControl w:val="0"/>
        <w:rPr>
          <w:sz w:val="22"/>
          <w:szCs w:val="22"/>
          <w:lang w:val="lt-LT" w:eastAsia="lt-LT"/>
        </w:rPr>
      </w:pPr>
      <w:r>
        <w:rPr>
          <w:sz w:val="22"/>
          <w:szCs w:val="22"/>
          <w:lang w:val="lt-LT" w:eastAsia="lt-LT"/>
        </w:rPr>
        <w:t>Retas: regos sutrikimas.</w:t>
      </w:r>
    </w:p>
    <w:p w14:paraId="613317C1" w14:textId="77777777" w:rsidR="001B11F7" w:rsidRDefault="00B83885">
      <w:pPr>
        <w:widowControl w:val="0"/>
        <w:rPr>
          <w:sz w:val="22"/>
          <w:szCs w:val="22"/>
          <w:lang w:val="lt-LT" w:eastAsia="lt-LT"/>
        </w:rPr>
      </w:pPr>
      <w:r>
        <w:rPr>
          <w:sz w:val="22"/>
          <w:szCs w:val="22"/>
          <w:lang w:val="lt-LT" w:eastAsia="lt-LT"/>
        </w:rPr>
        <w:t>Dažnis nežinomas: akių miastenija.</w:t>
      </w:r>
    </w:p>
    <w:p w14:paraId="00232587" w14:textId="77777777" w:rsidR="001B11F7" w:rsidRDefault="001B11F7">
      <w:pPr>
        <w:widowControl w:val="0"/>
        <w:rPr>
          <w:sz w:val="22"/>
          <w:szCs w:val="22"/>
          <w:lang w:val="lt-LT" w:eastAsia="lt-LT"/>
        </w:rPr>
      </w:pPr>
    </w:p>
    <w:p w14:paraId="5F635A6C" w14:textId="77777777" w:rsidR="001B11F7" w:rsidRDefault="00B83885">
      <w:pPr>
        <w:widowControl w:val="0"/>
        <w:rPr>
          <w:sz w:val="22"/>
          <w:szCs w:val="22"/>
          <w:u w:val="single"/>
          <w:lang w:val="lt-LT" w:eastAsia="lt-LT"/>
        </w:rPr>
      </w:pPr>
      <w:r>
        <w:rPr>
          <w:sz w:val="22"/>
          <w:szCs w:val="22"/>
          <w:u w:val="single"/>
          <w:lang w:val="lt-LT" w:eastAsia="lt-LT"/>
        </w:rPr>
        <w:t>Ausų ir labirintų sutrikimai</w:t>
      </w:r>
    </w:p>
    <w:p w14:paraId="0190CBCA" w14:textId="77777777" w:rsidR="001B11F7" w:rsidRDefault="00B83885">
      <w:pPr>
        <w:widowControl w:val="0"/>
        <w:rPr>
          <w:sz w:val="22"/>
          <w:szCs w:val="22"/>
          <w:lang w:val="lt-LT" w:eastAsia="lt-LT"/>
        </w:rPr>
      </w:pPr>
      <w:r>
        <w:rPr>
          <w:sz w:val="22"/>
          <w:szCs w:val="22"/>
          <w:lang w:val="lt-LT" w:eastAsia="lt-LT"/>
        </w:rPr>
        <w:t>Nedažnas: spengimas ausyse.</w:t>
      </w:r>
    </w:p>
    <w:p w14:paraId="2AE6AB1F" w14:textId="77777777" w:rsidR="001B11F7" w:rsidRDefault="00B83885">
      <w:pPr>
        <w:widowControl w:val="0"/>
        <w:rPr>
          <w:sz w:val="22"/>
          <w:szCs w:val="22"/>
          <w:lang w:val="lt-LT" w:eastAsia="lt-LT"/>
        </w:rPr>
      </w:pPr>
      <w:r>
        <w:rPr>
          <w:sz w:val="22"/>
          <w:szCs w:val="22"/>
          <w:lang w:val="lt-LT" w:eastAsia="lt-LT"/>
        </w:rPr>
        <w:t>Labai retas: apkurtimas.</w:t>
      </w:r>
    </w:p>
    <w:p w14:paraId="6E3F9A94" w14:textId="77777777" w:rsidR="001B11F7" w:rsidRDefault="001B11F7">
      <w:pPr>
        <w:widowControl w:val="0"/>
        <w:rPr>
          <w:sz w:val="22"/>
          <w:szCs w:val="22"/>
          <w:u w:val="single"/>
        </w:rPr>
      </w:pPr>
      <w:bookmarkStart w:id="4" w:name="_Hlk177639169"/>
    </w:p>
    <w:p w14:paraId="191A0EB3" w14:textId="77777777" w:rsidR="001B11F7" w:rsidRDefault="00B83885">
      <w:pPr>
        <w:widowControl w:val="0"/>
        <w:rPr>
          <w:sz w:val="22"/>
          <w:szCs w:val="22"/>
          <w:u w:val="single"/>
        </w:rPr>
      </w:pPr>
      <w:r>
        <w:rPr>
          <w:sz w:val="22"/>
          <w:szCs w:val="22"/>
          <w:u w:val="single"/>
        </w:rPr>
        <w:t>Kraujagyslių sutrikimai</w:t>
      </w:r>
    </w:p>
    <w:p w14:paraId="17B2ACB1" w14:textId="77777777" w:rsidR="001B11F7" w:rsidRDefault="00B83885">
      <w:pPr>
        <w:widowControl w:val="0"/>
        <w:rPr>
          <w:sz w:val="22"/>
          <w:szCs w:val="22"/>
        </w:rPr>
      </w:pPr>
      <w:r>
        <w:rPr>
          <w:sz w:val="22"/>
          <w:szCs w:val="22"/>
        </w:rPr>
        <w:t>Reti: vaskulitas</w:t>
      </w:r>
    </w:p>
    <w:bookmarkEnd w:id="4"/>
    <w:p w14:paraId="3C97B69A" w14:textId="77777777" w:rsidR="001B11F7" w:rsidRDefault="001B11F7">
      <w:pPr>
        <w:widowControl w:val="0"/>
        <w:rPr>
          <w:sz w:val="22"/>
          <w:szCs w:val="22"/>
          <w:lang w:val="lt-LT" w:eastAsia="lt-LT"/>
        </w:rPr>
      </w:pPr>
    </w:p>
    <w:p w14:paraId="2345038B" w14:textId="77777777" w:rsidR="001B11F7" w:rsidRDefault="00B83885">
      <w:pPr>
        <w:widowControl w:val="0"/>
        <w:rPr>
          <w:sz w:val="22"/>
          <w:szCs w:val="22"/>
          <w:u w:val="single"/>
          <w:lang w:val="lt-LT" w:eastAsia="lt-LT"/>
        </w:rPr>
      </w:pPr>
      <w:r>
        <w:rPr>
          <w:sz w:val="22"/>
          <w:szCs w:val="22"/>
          <w:u w:val="single"/>
          <w:lang w:val="lt-LT" w:eastAsia="lt-LT"/>
        </w:rPr>
        <w:t>Kvėpavimo sistemos, krūtinės ląstos ir tarpuplaučio sutrikimai</w:t>
      </w:r>
    </w:p>
    <w:p w14:paraId="29A5BDEB" w14:textId="77777777" w:rsidR="001B11F7" w:rsidRDefault="00B83885">
      <w:pPr>
        <w:widowControl w:val="0"/>
        <w:rPr>
          <w:sz w:val="22"/>
          <w:szCs w:val="22"/>
          <w:lang w:val="lt-LT" w:eastAsia="lt-LT"/>
        </w:rPr>
      </w:pPr>
      <w:r>
        <w:rPr>
          <w:sz w:val="22"/>
          <w:szCs w:val="22"/>
          <w:lang w:val="lt-LT" w:eastAsia="lt-LT"/>
        </w:rPr>
        <w:t>Dažnas: ryklės ir gerklės skausmas, kraujavimas iš nosies.</w:t>
      </w:r>
    </w:p>
    <w:p w14:paraId="5673B2B7" w14:textId="77777777" w:rsidR="001B11F7" w:rsidRDefault="001B11F7">
      <w:pPr>
        <w:widowControl w:val="0"/>
        <w:rPr>
          <w:sz w:val="22"/>
          <w:szCs w:val="22"/>
          <w:lang w:val="lt-LT" w:eastAsia="lt-LT"/>
        </w:rPr>
      </w:pPr>
    </w:p>
    <w:p w14:paraId="2F9C0839" w14:textId="77777777" w:rsidR="001B11F7" w:rsidRDefault="00B83885">
      <w:pPr>
        <w:widowControl w:val="0"/>
        <w:rPr>
          <w:sz w:val="22"/>
          <w:szCs w:val="22"/>
          <w:u w:val="single"/>
          <w:lang w:val="lt-LT" w:eastAsia="lt-LT"/>
        </w:rPr>
      </w:pPr>
      <w:r>
        <w:rPr>
          <w:sz w:val="22"/>
          <w:szCs w:val="22"/>
          <w:u w:val="single"/>
          <w:lang w:val="lt-LT" w:eastAsia="lt-LT"/>
        </w:rPr>
        <w:t>Virškinimo trakto sutrikimai</w:t>
      </w:r>
    </w:p>
    <w:p w14:paraId="0FF44236" w14:textId="77777777" w:rsidR="001B11F7" w:rsidRDefault="00B83885">
      <w:pPr>
        <w:widowControl w:val="0"/>
        <w:rPr>
          <w:sz w:val="22"/>
          <w:szCs w:val="22"/>
          <w:lang w:val="lt-LT" w:eastAsia="lt-LT"/>
        </w:rPr>
      </w:pPr>
      <w:r>
        <w:rPr>
          <w:sz w:val="22"/>
          <w:szCs w:val="22"/>
          <w:lang w:val="lt-LT" w:eastAsia="lt-LT"/>
        </w:rPr>
        <w:t>Dažnas: vidurių užkietėjimas, pilvo pūtimas, dispepsija, pykinimas, viduriavimas.</w:t>
      </w:r>
    </w:p>
    <w:p w14:paraId="289CBA61" w14:textId="77777777" w:rsidR="001B11F7" w:rsidRDefault="00B83885">
      <w:pPr>
        <w:widowControl w:val="0"/>
        <w:rPr>
          <w:sz w:val="22"/>
          <w:szCs w:val="22"/>
          <w:lang w:val="lt-LT" w:eastAsia="lt-LT"/>
        </w:rPr>
      </w:pPr>
      <w:r>
        <w:rPr>
          <w:sz w:val="22"/>
          <w:szCs w:val="22"/>
          <w:lang w:val="lt-LT" w:eastAsia="lt-LT"/>
        </w:rPr>
        <w:t>Nedažnas: vėmimas, viršutinės ar apatinės pilvo dalies skausmas, raugulys, pankreatitas.</w:t>
      </w:r>
    </w:p>
    <w:p w14:paraId="1FA6EDE3" w14:textId="77777777" w:rsidR="001B11F7" w:rsidRDefault="001B11F7">
      <w:pPr>
        <w:widowControl w:val="0"/>
        <w:rPr>
          <w:sz w:val="22"/>
          <w:szCs w:val="22"/>
          <w:lang w:val="lt-LT" w:eastAsia="lt-LT"/>
        </w:rPr>
      </w:pPr>
    </w:p>
    <w:p w14:paraId="6200DE5A" w14:textId="77777777" w:rsidR="001B11F7" w:rsidRDefault="00B83885">
      <w:pPr>
        <w:widowControl w:val="0"/>
        <w:rPr>
          <w:sz w:val="22"/>
          <w:szCs w:val="22"/>
          <w:u w:val="single"/>
          <w:lang w:val="lt-LT" w:eastAsia="lt-LT"/>
        </w:rPr>
      </w:pPr>
      <w:r>
        <w:rPr>
          <w:sz w:val="22"/>
          <w:szCs w:val="22"/>
          <w:u w:val="single"/>
          <w:lang w:val="lt-LT" w:eastAsia="lt-LT"/>
        </w:rPr>
        <w:t>Kepenų, tulžies pūslės ir latakų sutrikimai</w:t>
      </w:r>
    </w:p>
    <w:p w14:paraId="565F0812" w14:textId="77777777" w:rsidR="001B11F7" w:rsidRDefault="00B83885">
      <w:pPr>
        <w:widowControl w:val="0"/>
        <w:rPr>
          <w:sz w:val="22"/>
          <w:szCs w:val="22"/>
          <w:lang w:val="lt-LT" w:eastAsia="lt-LT"/>
        </w:rPr>
      </w:pPr>
      <w:r>
        <w:rPr>
          <w:sz w:val="22"/>
          <w:szCs w:val="22"/>
          <w:lang w:val="lt-LT" w:eastAsia="lt-LT"/>
        </w:rPr>
        <w:t>Nedažnas: hepatitas.</w:t>
      </w:r>
    </w:p>
    <w:p w14:paraId="16C59187" w14:textId="77777777" w:rsidR="001B11F7" w:rsidRDefault="00B83885">
      <w:pPr>
        <w:widowControl w:val="0"/>
        <w:rPr>
          <w:sz w:val="22"/>
          <w:szCs w:val="22"/>
          <w:lang w:val="lt-LT" w:eastAsia="lt-LT"/>
        </w:rPr>
      </w:pPr>
      <w:r>
        <w:rPr>
          <w:sz w:val="22"/>
          <w:szCs w:val="22"/>
          <w:lang w:val="lt-LT" w:eastAsia="lt-LT"/>
        </w:rPr>
        <w:t>Retas: cholestazė.</w:t>
      </w:r>
    </w:p>
    <w:p w14:paraId="346CAC9A" w14:textId="77777777" w:rsidR="001B11F7" w:rsidRDefault="00B83885">
      <w:pPr>
        <w:widowControl w:val="0"/>
        <w:rPr>
          <w:sz w:val="22"/>
          <w:szCs w:val="22"/>
          <w:lang w:val="lt-LT" w:eastAsia="lt-LT"/>
        </w:rPr>
      </w:pPr>
      <w:r>
        <w:rPr>
          <w:sz w:val="22"/>
          <w:szCs w:val="22"/>
          <w:lang w:val="lt-LT" w:eastAsia="lt-LT"/>
        </w:rPr>
        <w:t>Labai retas: kepenų nepakankamumas.</w:t>
      </w:r>
    </w:p>
    <w:p w14:paraId="48267180" w14:textId="77777777" w:rsidR="001B11F7" w:rsidRDefault="001B11F7">
      <w:pPr>
        <w:widowControl w:val="0"/>
        <w:rPr>
          <w:sz w:val="22"/>
          <w:szCs w:val="22"/>
          <w:u w:val="single"/>
          <w:lang w:val="lt-LT" w:eastAsia="lt-LT"/>
        </w:rPr>
      </w:pPr>
    </w:p>
    <w:p w14:paraId="05DD2860" w14:textId="77777777" w:rsidR="001B11F7" w:rsidRDefault="00B83885">
      <w:pPr>
        <w:widowControl w:val="0"/>
        <w:rPr>
          <w:sz w:val="22"/>
          <w:szCs w:val="22"/>
          <w:u w:val="single"/>
          <w:lang w:val="lt-LT" w:eastAsia="lt-LT"/>
        </w:rPr>
      </w:pPr>
      <w:r>
        <w:rPr>
          <w:sz w:val="22"/>
          <w:szCs w:val="22"/>
          <w:u w:val="single"/>
          <w:lang w:val="lt-LT" w:eastAsia="lt-LT"/>
        </w:rPr>
        <w:t>Odos ir poodinio audinio sutrikimai</w:t>
      </w:r>
    </w:p>
    <w:p w14:paraId="10629B6F" w14:textId="77777777" w:rsidR="001B11F7" w:rsidRDefault="00B83885">
      <w:pPr>
        <w:widowControl w:val="0"/>
        <w:rPr>
          <w:sz w:val="22"/>
          <w:szCs w:val="22"/>
          <w:lang w:val="lt-LT" w:eastAsia="lt-LT"/>
        </w:rPr>
      </w:pPr>
      <w:r>
        <w:rPr>
          <w:sz w:val="22"/>
          <w:szCs w:val="22"/>
          <w:lang w:val="lt-LT" w:eastAsia="lt-LT"/>
        </w:rPr>
        <w:t>Nedažnas: dilgėlinė, odos išbėrimas, niežulys, alopecija.</w:t>
      </w:r>
    </w:p>
    <w:p w14:paraId="31F19969" w14:textId="77777777" w:rsidR="001B11F7" w:rsidRDefault="00B83885">
      <w:pPr>
        <w:widowControl w:val="0"/>
        <w:rPr>
          <w:sz w:val="22"/>
          <w:szCs w:val="22"/>
          <w:lang w:val="lt-LT" w:eastAsia="lt-LT"/>
        </w:rPr>
      </w:pPr>
      <w:r>
        <w:rPr>
          <w:sz w:val="22"/>
          <w:szCs w:val="22"/>
          <w:lang w:val="lt-LT" w:eastAsia="lt-LT"/>
        </w:rPr>
        <w:t>Retas: angioneurozinė edema, pūslinis dermatitas, įskaitant daugiaformę eritemą, Stivenso ir Džonsono sindromą ir toksinę epidermio nekrolizę</w:t>
      </w:r>
      <w:bookmarkStart w:id="5" w:name="_Hlk177637712"/>
      <w:r>
        <w:rPr>
          <w:rFonts w:eastAsia="Calibri"/>
          <w:sz w:val="22"/>
          <w:szCs w:val="22"/>
          <w:lang w:val="lt-LT" w:eastAsia="en-US"/>
        </w:rPr>
        <w:t xml:space="preserve">, </w:t>
      </w:r>
      <w:r>
        <w:rPr>
          <w:sz w:val="22"/>
          <w:szCs w:val="22"/>
        </w:rPr>
        <w:t>lichenoidinė (kerpligiška) reakcija į vaistinį preparatą</w:t>
      </w:r>
      <w:bookmarkEnd w:id="5"/>
      <w:r>
        <w:rPr>
          <w:sz w:val="22"/>
          <w:szCs w:val="22"/>
          <w:lang w:val="lt-LT" w:eastAsia="lt-LT"/>
        </w:rPr>
        <w:t>.</w:t>
      </w:r>
    </w:p>
    <w:p w14:paraId="1C9731CE" w14:textId="77777777" w:rsidR="001B11F7" w:rsidRDefault="001B11F7">
      <w:pPr>
        <w:widowControl w:val="0"/>
        <w:rPr>
          <w:sz w:val="22"/>
          <w:szCs w:val="22"/>
          <w:lang w:val="lt-LT" w:eastAsia="lt-LT"/>
        </w:rPr>
      </w:pPr>
    </w:p>
    <w:p w14:paraId="6F5E6B73" w14:textId="77777777" w:rsidR="001B11F7" w:rsidRDefault="00B83885">
      <w:pPr>
        <w:widowControl w:val="0"/>
        <w:rPr>
          <w:sz w:val="22"/>
          <w:szCs w:val="22"/>
          <w:u w:val="single"/>
          <w:lang w:val="lt-LT" w:eastAsia="lt-LT"/>
        </w:rPr>
      </w:pPr>
      <w:r>
        <w:rPr>
          <w:sz w:val="22"/>
          <w:szCs w:val="22"/>
          <w:u w:val="single"/>
          <w:lang w:val="lt-LT" w:eastAsia="lt-LT"/>
        </w:rPr>
        <w:t>Skeleto, raumenų ir jungiamojo audinio sutrikimai</w:t>
      </w:r>
    </w:p>
    <w:p w14:paraId="144CFCC9" w14:textId="77777777" w:rsidR="001B11F7" w:rsidRDefault="00B83885">
      <w:pPr>
        <w:widowControl w:val="0"/>
        <w:rPr>
          <w:sz w:val="22"/>
          <w:szCs w:val="22"/>
          <w:lang w:val="lt-LT" w:eastAsia="lt-LT"/>
        </w:rPr>
      </w:pPr>
      <w:r>
        <w:rPr>
          <w:sz w:val="22"/>
          <w:szCs w:val="22"/>
          <w:lang w:val="lt-LT" w:eastAsia="lt-LT"/>
        </w:rPr>
        <w:t>Dažnas: mialgija, artralgija, galūnės skausmas, raumenų spazmai, sąnarių patinimas, nugaros skausmas.</w:t>
      </w:r>
    </w:p>
    <w:p w14:paraId="688A74F9" w14:textId="77777777" w:rsidR="001B11F7" w:rsidRDefault="00B83885">
      <w:pPr>
        <w:widowControl w:val="0"/>
        <w:rPr>
          <w:sz w:val="22"/>
          <w:szCs w:val="22"/>
          <w:lang w:val="lt-LT" w:eastAsia="lt-LT"/>
        </w:rPr>
      </w:pPr>
      <w:r>
        <w:rPr>
          <w:sz w:val="22"/>
          <w:szCs w:val="22"/>
          <w:lang w:val="lt-LT" w:eastAsia="lt-LT"/>
        </w:rPr>
        <w:t>Nedažnas: kaklo skausmas, raumenų nuovargis.</w:t>
      </w:r>
    </w:p>
    <w:p w14:paraId="22B65903" w14:textId="77777777" w:rsidR="001B11F7" w:rsidRDefault="00B83885">
      <w:pPr>
        <w:widowControl w:val="0"/>
        <w:rPr>
          <w:sz w:val="22"/>
          <w:szCs w:val="22"/>
          <w:lang w:val="lt-LT"/>
        </w:rPr>
      </w:pPr>
      <w:r>
        <w:rPr>
          <w:sz w:val="22"/>
          <w:szCs w:val="22"/>
          <w:lang w:val="lt-LT" w:eastAsia="lt-LT"/>
        </w:rPr>
        <w:t>Retas: miopatija, miozitas, rabdomiolizė</w:t>
      </w:r>
      <w:r>
        <w:rPr>
          <w:sz w:val="22"/>
          <w:szCs w:val="22"/>
          <w:lang w:eastAsia="lt-LT"/>
        </w:rPr>
        <w:t>, raumenų plyšimas</w:t>
      </w:r>
      <w:r>
        <w:rPr>
          <w:sz w:val="22"/>
          <w:szCs w:val="22"/>
          <w:lang w:val="lt-LT" w:eastAsia="lt-LT"/>
        </w:rPr>
        <w:t>, tendopatija, kartais besikomplikuojanti plyšimu</w:t>
      </w:r>
      <w:r>
        <w:rPr>
          <w:bCs/>
          <w:sz w:val="22"/>
          <w:szCs w:val="22"/>
          <w:lang w:val="lt-LT"/>
        </w:rPr>
        <w:t>.</w:t>
      </w:r>
    </w:p>
    <w:p w14:paraId="488198CA" w14:textId="77777777" w:rsidR="001B11F7" w:rsidRDefault="00B83885">
      <w:pPr>
        <w:widowControl w:val="0"/>
        <w:rPr>
          <w:sz w:val="22"/>
          <w:szCs w:val="22"/>
          <w:lang w:val="lt-LT"/>
        </w:rPr>
      </w:pPr>
      <w:r>
        <w:rPr>
          <w:sz w:val="22"/>
          <w:szCs w:val="22"/>
          <w:lang w:val="lt-LT"/>
        </w:rPr>
        <w:t>Labai retas: į vilkligę panašus sindromas.</w:t>
      </w:r>
    </w:p>
    <w:p w14:paraId="2ECF48E9" w14:textId="77777777" w:rsidR="001B11F7" w:rsidRDefault="00B83885">
      <w:pPr>
        <w:widowControl w:val="0"/>
        <w:rPr>
          <w:sz w:val="22"/>
          <w:szCs w:val="22"/>
          <w:lang w:val="lt-LT" w:eastAsia="lt-LT"/>
        </w:rPr>
      </w:pPr>
      <w:r>
        <w:rPr>
          <w:sz w:val="22"/>
          <w:szCs w:val="22"/>
          <w:lang w:val="lt-LT"/>
        </w:rPr>
        <w:t xml:space="preserve">Dažnis nežinomas: </w:t>
      </w:r>
      <w:r>
        <w:rPr>
          <w:kern w:val="32"/>
          <w:sz w:val="22"/>
          <w:szCs w:val="22"/>
          <w:lang w:val="lt-LT"/>
        </w:rPr>
        <w:t>su imuninėmis reakcijomis siejama</w:t>
      </w:r>
      <w:r>
        <w:rPr>
          <w:sz w:val="22"/>
          <w:szCs w:val="22"/>
          <w:lang w:val="lt-LT"/>
        </w:rPr>
        <w:t xml:space="preserve"> nekrozuojanti miopatija (žr. 4.4 skyrių)</w:t>
      </w:r>
      <w:r>
        <w:rPr>
          <w:sz w:val="22"/>
          <w:szCs w:val="22"/>
          <w:lang w:val="lt-LT" w:eastAsia="lt-LT"/>
        </w:rPr>
        <w:t>.</w:t>
      </w:r>
    </w:p>
    <w:p w14:paraId="612CF014" w14:textId="77777777" w:rsidR="001B11F7" w:rsidRDefault="001B11F7">
      <w:pPr>
        <w:widowControl w:val="0"/>
        <w:rPr>
          <w:sz w:val="22"/>
          <w:szCs w:val="22"/>
          <w:lang w:val="lt-LT" w:eastAsia="lt-LT"/>
        </w:rPr>
      </w:pPr>
    </w:p>
    <w:p w14:paraId="14031C84" w14:textId="77777777" w:rsidR="001B11F7" w:rsidRDefault="00B83885">
      <w:pPr>
        <w:widowControl w:val="0"/>
        <w:rPr>
          <w:sz w:val="22"/>
          <w:szCs w:val="22"/>
          <w:u w:val="single"/>
          <w:lang w:val="lt-LT" w:eastAsia="lt-LT"/>
        </w:rPr>
      </w:pPr>
      <w:r>
        <w:rPr>
          <w:sz w:val="22"/>
          <w:szCs w:val="22"/>
          <w:u w:val="single"/>
          <w:lang w:val="lt-LT" w:eastAsia="lt-LT"/>
        </w:rPr>
        <w:t>Lytinės sistemos ir krūties sutrikimai</w:t>
      </w:r>
    </w:p>
    <w:p w14:paraId="5669A0FC" w14:textId="77777777" w:rsidR="001B11F7" w:rsidRDefault="00B83885">
      <w:pPr>
        <w:widowControl w:val="0"/>
        <w:rPr>
          <w:sz w:val="22"/>
          <w:szCs w:val="22"/>
          <w:lang w:val="lt-LT" w:eastAsia="lt-LT"/>
        </w:rPr>
      </w:pPr>
      <w:r>
        <w:rPr>
          <w:sz w:val="22"/>
          <w:szCs w:val="22"/>
          <w:lang w:val="lt-LT" w:eastAsia="lt-LT"/>
        </w:rPr>
        <w:t>Labai retas: ginekomastija.</w:t>
      </w:r>
    </w:p>
    <w:p w14:paraId="2D51C3C2" w14:textId="77777777" w:rsidR="001B11F7" w:rsidRDefault="001B11F7">
      <w:pPr>
        <w:widowControl w:val="0"/>
        <w:rPr>
          <w:sz w:val="22"/>
          <w:szCs w:val="22"/>
          <w:lang w:val="lt-LT" w:eastAsia="lt-LT"/>
        </w:rPr>
      </w:pPr>
    </w:p>
    <w:p w14:paraId="34CFA5A5" w14:textId="77777777" w:rsidR="001B11F7" w:rsidRDefault="00B83885">
      <w:pPr>
        <w:widowControl w:val="0"/>
        <w:rPr>
          <w:sz w:val="22"/>
          <w:szCs w:val="22"/>
          <w:u w:val="single"/>
          <w:lang w:val="lt-LT" w:eastAsia="lt-LT"/>
        </w:rPr>
      </w:pPr>
      <w:r>
        <w:rPr>
          <w:sz w:val="22"/>
          <w:szCs w:val="22"/>
          <w:u w:val="single"/>
          <w:lang w:val="lt-LT" w:eastAsia="lt-LT"/>
        </w:rPr>
        <w:t>Bendrieji sutrikimai ir vartojimo vietos pažeidimai</w:t>
      </w:r>
    </w:p>
    <w:p w14:paraId="1D127F50" w14:textId="77777777" w:rsidR="001B11F7" w:rsidRDefault="00B83885">
      <w:pPr>
        <w:widowControl w:val="0"/>
        <w:rPr>
          <w:sz w:val="22"/>
          <w:szCs w:val="22"/>
          <w:lang w:val="lt-LT" w:eastAsia="lt-LT"/>
        </w:rPr>
      </w:pPr>
      <w:r>
        <w:rPr>
          <w:sz w:val="22"/>
          <w:szCs w:val="22"/>
          <w:lang w:val="lt-LT" w:eastAsia="lt-LT"/>
        </w:rPr>
        <w:lastRenderedPageBreak/>
        <w:t>Nedažnas: negalavimas, astenija, krūtinės skausmas, periferinė edema, nuovargis, karščiavimas.</w:t>
      </w:r>
    </w:p>
    <w:p w14:paraId="69AAE7C4" w14:textId="77777777" w:rsidR="001B11F7" w:rsidRDefault="001B11F7">
      <w:pPr>
        <w:widowControl w:val="0"/>
        <w:rPr>
          <w:sz w:val="22"/>
          <w:szCs w:val="22"/>
          <w:lang w:val="lt-LT" w:eastAsia="lt-LT"/>
        </w:rPr>
      </w:pPr>
    </w:p>
    <w:p w14:paraId="5C8A43E3" w14:textId="77777777" w:rsidR="001B11F7" w:rsidRDefault="00B83885">
      <w:pPr>
        <w:widowControl w:val="0"/>
        <w:rPr>
          <w:sz w:val="22"/>
          <w:szCs w:val="22"/>
          <w:u w:val="single"/>
          <w:lang w:val="lt-LT" w:eastAsia="lt-LT"/>
        </w:rPr>
      </w:pPr>
      <w:r>
        <w:rPr>
          <w:sz w:val="22"/>
          <w:szCs w:val="22"/>
          <w:u w:val="single"/>
          <w:lang w:val="lt-LT" w:eastAsia="lt-LT"/>
        </w:rPr>
        <w:t>Tyrimai</w:t>
      </w:r>
    </w:p>
    <w:p w14:paraId="3F5B34B4" w14:textId="77777777" w:rsidR="001B11F7" w:rsidRDefault="00B83885">
      <w:pPr>
        <w:widowControl w:val="0"/>
        <w:rPr>
          <w:sz w:val="22"/>
          <w:szCs w:val="22"/>
          <w:lang w:val="lt-LT" w:eastAsia="lt-LT"/>
        </w:rPr>
      </w:pPr>
      <w:r>
        <w:rPr>
          <w:sz w:val="22"/>
          <w:szCs w:val="22"/>
          <w:lang w:val="lt-LT" w:eastAsia="lt-LT"/>
        </w:rPr>
        <w:t>Dažnas: nenormalūs kepenų funkcijos tyrimų rodmenys, kreatino kinazės koncentracijos kraujyje padidėjimas.</w:t>
      </w:r>
    </w:p>
    <w:p w14:paraId="2901C40B" w14:textId="77777777" w:rsidR="001B11F7" w:rsidRDefault="00B83885">
      <w:pPr>
        <w:widowControl w:val="0"/>
        <w:rPr>
          <w:sz w:val="22"/>
          <w:szCs w:val="22"/>
          <w:lang w:val="lt-LT" w:eastAsia="lt-LT"/>
        </w:rPr>
      </w:pPr>
      <w:r>
        <w:rPr>
          <w:sz w:val="22"/>
          <w:szCs w:val="22"/>
          <w:lang w:val="lt-LT" w:eastAsia="lt-LT"/>
        </w:rPr>
        <w:t>Nedažnas: leukocitai šlapime.</w:t>
      </w:r>
    </w:p>
    <w:p w14:paraId="43CAADFE" w14:textId="77777777" w:rsidR="001B11F7" w:rsidRDefault="001B11F7">
      <w:pPr>
        <w:widowControl w:val="0"/>
        <w:rPr>
          <w:sz w:val="22"/>
          <w:szCs w:val="22"/>
          <w:lang w:val="lt-LT" w:eastAsia="lt-LT"/>
        </w:rPr>
      </w:pPr>
    </w:p>
    <w:p w14:paraId="5181B480" w14:textId="77777777" w:rsidR="001B11F7" w:rsidRDefault="00B83885">
      <w:pPr>
        <w:widowControl w:val="0"/>
        <w:rPr>
          <w:sz w:val="22"/>
          <w:szCs w:val="22"/>
          <w:lang w:val="lt-LT" w:eastAsia="lt-LT"/>
        </w:rPr>
      </w:pPr>
      <w:r>
        <w:rPr>
          <w:sz w:val="22"/>
          <w:szCs w:val="22"/>
          <w:lang w:val="lt-LT" w:eastAsia="lt-LT"/>
        </w:rPr>
        <w:t>Atorvastatiną, kaip ir kitokių HMG-KoA reduktazės inhibitorius, vartojantiems pacientams buvo transaminazių koncentracijos serume padidėjimo atvejų. Tokie pokyčiai dažniausiai buvo lengvi, laikini, gydymo dėl jų nutraukti neprireikė. Kliniškai reikšmingas (&gt; 3 kartus viršijantis VNR) transaminazių koncentracijos serume padidėjimas atsirado tik 0,8 % atorvastatiną vartojusių pacientų. Toks padidėjimas priklausė nuo dozės ir visiems pacientams buvo laikinas.</w:t>
      </w:r>
    </w:p>
    <w:p w14:paraId="77F67A6C" w14:textId="77777777" w:rsidR="001B11F7" w:rsidRDefault="001B11F7">
      <w:pPr>
        <w:widowControl w:val="0"/>
        <w:rPr>
          <w:sz w:val="22"/>
          <w:szCs w:val="22"/>
          <w:lang w:val="lt-LT" w:eastAsia="lt-LT"/>
        </w:rPr>
      </w:pPr>
    </w:p>
    <w:p w14:paraId="45C37EF7" w14:textId="77777777" w:rsidR="001B11F7" w:rsidRDefault="00B83885">
      <w:pPr>
        <w:widowControl w:val="0"/>
        <w:rPr>
          <w:sz w:val="22"/>
          <w:szCs w:val="22"/>
          <w:lang w:val="lt-LT" w:eastAsia="lt-LT"/>
        </w:rPr>
      </w:pPr>
      <w:r>
        <w:rPr>
          <w:sz w:val="22"/>
          <w:szCs w:val="22"/>
          <w:lang w:val="lt-LT" w:eastAsia="lt-LT"/>
        </w:rPr>
        <w:t>Klinikinių tyrimų duomenimis, 2,5 % atorvastatiną vartojančių pacientų serume kreatino kinazės (KK) koncentracija daugiau kaip 3 kartus viršijo viršutinę normos ribą (panašūs duomenys gauti ir vartojant kitokius HMG-KoA reduktazės inhibitorius). Koncentracijos padidėjimas, daugiau kaip 10 kartų viršijantis viršutinę normos ribą, nustatytas 0,4 % atorvastatinu gydytų pacientų (žr. 4.4 skyrių).</w:t>
      </w:r>
    </w:p>
    <w:p w14:paraId="77EA9BC6" w14:textId="77777777" w:rsidR="001B11F7" w:rsidRDefault="001B11F7">
      <w:pPr>
        <w:widowControl w:val="0"/>
        <w:jc w:val="both"/>
        <w:rPr>
          <w:sz w:val="22"/>
          <w:szCs w:val="22"/>
          <w:lang w:val="lt-LT" w:eastAsia="lt-LT"/>
        </w:rPr>
      </w:pPr>
    </w:p>
    <w:p w14:paraId="7E66F728" w14:textId="77777777" w:rsidR="001B11F7" w:rsidRDefault="00B83885">
      <w:pPr>
        <w:widowControl w:val="0"/>
        <w:autoSpaceDE w:val="0"/>
        <w:autoSpaceDN w:val="0"/>
        <w:adjustRightInd w:val="0"/>
        <w:rPr>
          <w:sz w:val="22"/>
          <w:szCs w:val="22"/>
          <w:u w:val="single"/>
          <w:lang w:val="lt-LT" w:eastAsia="lt-LT"/>
        </w:rPr>
      </w:pPr>
      <w:r>
        <w:rPr>
          <w:sz w:val="22"/>
          <w:szCs w:val="22"/>
          <w:u w:val="single"/>
          <w:lang w:val="lt-LT" w:eastAsia="lt-LT"/>
        </w:rPr>
        <w:t>Vaikų populiacija</w:t>
      </w:r>
    </w:p>
    <w:p w14:paraId="4F24C007" w14:textId="77777777" w:rsidR="001B11F7" w:rsidRDefault="00B83885">
      <w:pPr>
        <w:widowControl w:val="0"/>
        <w:autoSpaceDE w:val="0"/>
        <w:autoSpaceDN w:val="0"/>
        <w:adjustRightInd w:val="0"/>
        <w:rPr>
          <w:sz w:val="22"/>
          <w:szCs w:val="22"/>
          <w:u w:val="single"/>
          <w:lang w:val="lt-LT" w:eastAsia="lt-LT"/>
        </w:rPr>
      </w:pPr>
      <w:r>
        <w:rPr>
          <w:sz w:val="22"/>
          <w:szCs w:val="22"/>
          <w:u w:val="single"/>
          <w:lang w:val="lt-LT" w:eastAsia="lt-LT"/>
        </w:rPr>
        <w:t xml:space="preserve"> </w:t>
      </w:r>
    </w:p>
    <w:p w14:paraId="4FE7A82E"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Atorvastatinu gydytiems 10–17 metų amžiaus pacientams vaikams pasireiškusių nepageidaujamų reakcijų profilis iš esmės buvo panašus į placebu gydytų pacientų – dažniausiai pasireiškusios nepageidaujamos reakcijos, stebėtos abiejose grupėse, neatsižvelgiant į priežastį, buvo infekcijos. 3 metų trukmės tyrime kliniškai reikšmingo poveikio augimui ir lytiniam brendimui nepastebėta. Vertinimas atliktas remiantis bendruoju brendimu ir vystymusi, subrendimo laipsniu pagal </w:t>
      </w:r>
      <w:r>
        <w:rPr>
          <w:rFonts w:eastAsia="SimSun"/>
          <w:i/>
          <w:sz w:val="22"/>
          <w:szCs w:val="22"/>
          <w:lang w:val="lt-LT" w:eastAsia="zh-CN"/>
        </w:rPr>
        <w:t>Tanner</w:t>
      </w:r>
      <w:r>
        <w:rPr>
          <w:rFonts w:eastAsia="SimSun"/>
          <w:sz w:val="22"/>
          <w:szCs w:val="22"/>
          <w:lang w:val="lt-LT" w:eastAsia="zh-CN"/>
        </w:rPr>
        <w:t xml:space="preserve"> ir ūgio bei svorio matavimu. Saugumo ir toleravimo profilis, nustatytas pacientams vaikams, buvo panašus į žinomą atorvastatino saugumo profilį, nustatytą suaugusiems pacientams.</w:t>
      </w:r>
    </w:p>
    <w:p w14:paraId="052BCC2C" w14:textId="77777777" w:rsidR="001B11F7" w:rsidRDefault="001B11F7">
      <w:pPr>
        <w:widowControl w:val="0"/>
        <w:autoSpaceDE w:val="0"/>
        <w:autoSpaceDN w:val="0"/>
        <w:adjustRightInd w:val="0"/>
        <w:rPr>
          <w:rFonts w:eastAsia="SimSun"/>
          <w:sz w:val="22"/>
          <w:szCs w:val="22"/>
          <w:lang w:val="lt-LT" w:eastAsia="lt-LT"/>
        </w:rPr>
      </w:pPr>
    </w:p>
    <w:p w14:paraId="7C447731" w14:textId="77777777" w:rsidR="001B11F7" w:rsidRDefault="00B83885">
      <w:pPr>
        <w:widowControl w:val="0"/>
        <w:autoSpaceDE w:val="0"/>
        <w:autoSpaceDN w:val="0"/>
        <w:adjustRightInd w:val="0"/>
        <w:rPr>
          <w:rFonts w:eastAsia="SimSun"/>
          <w:sz w:val="22"/>
          <w:szCs w:val="22"/>
          <w:lang w:val="lt-LT" w:eastAsia="lt-LT"/>
        </w:rPr>
      </w:pPr>
      <w:r>
        <w:rPr>
          <w:rFonts w:eastAsia="SimSun"/>
          <w:sz w:val="22"/>
          <w:szCs w:val="22"/>
          <w:lang w:val="lt-LT" w:eastAsia="lt-LT"/>
        </w:rPr>
        <w:t>Klinikinių tyrimų saugumo duomenų bazėje yra saugumo duomenys apie 520 vaikų ir</w:t>
      </w:r>
      <w:r>
        <w:rPr>
          <w:rFonts w:eastAsia="SimSun"/>
          <w:bCs/>
          <w:sz w:val="22"/>
          <w:szCs w:val="22"/>
          <w:lang w:val="lt-LT" w:eastAsia="zh-CN"/>
        </w:rPr>
        <w:t xml:space="preserve"> </w:t>
      </w:r>
      <w:r>
        <w:rPr>
          <w:rFonts w:eastAsia="SimSun"/>
          <w:sz w:val="22"/>
          <w:szCs w:val="22"/>
          <w:lang w:val="lt-LT" w:eastAsia="lt-LT"/>
        </w:rPr>
        <w:t>paauglių, kurie vartojo atorvastatiną, iš jų 7 pacientai buvo jaunesni kaip 6 metų, 121 paciento</w:t>
      </w:r>
      <w:r>
        <w:rPr>
          <w:rFonts w:eastAsia="SimSun"/>
          <w:bCs/>
          <w:sz w:val="22"/>
          <w:szCs w:val="22"/>
          <w:lang w:val="lt-LT" w:eastAsia="zh-CN"/>
        </w:rPr>
        <w:t xml:space="preserve"> </w:t>
      </w:r>
      <w:r>
        <w:rPr>
          <w:rFonts w:eastAsia="SimSun"/>
          <w:sz w:val="22"/>
          <w:szCs w:val="22"/>
          <w:lang w:val="lt-LT" w:eastAsia="lt-LT"/>
        </w:rPr>
        <w:t>amžius buvo nuo 6 iki 9 metų, o 392 pacientų amžius buvo nuo 10 iki 17 metų.</w:t>
      </w:r>
      <w:r>
        <w:rPr>
          <w:rFonts w:eastAsia="SimSun"/>
          <w:sz w:val="22"/>
          <w:szCs w:val="22"/>
          <w:lang w:val="lt-LT" w:eastAsia="zh-CN"/>
        </w:rPr>
        <w:t xml:space="preserve"> Remiantis turimais duomenimis, vaikams pasireiškiančių nepageidaujamų reakcijų dažnis, pobūdis ir sunkumas panašus kaip suaugusiųjų.</w:t>
      </w:r>
    </w:p>
    <w:p w14:paraId="699D9061" w14:textId="77777777" w:rsidR="001B11F7" w:rsidRDefault="001B11F7">
      <w:pPr>
        <w:widowControl w:val="0"/>
        <w:rPr>
          <w:sz w:val="22"/>
          <w:szCs w:val="22"/>
          <w:lang w:val="lt-LT" w:eastAsia="lt-LT"/>
        </w:rPr>
      </w:pPr>
    </w:p>
    <w:p w14:paraId="5CB8C38F" w14:textId="77777777" w:rsidR="001B11F7" w:rsidRDefault="00B83885">
      <w:pPr>
        <w:widowControl w:val="0"/>
        <w:rPr>
          <w:sz w:val="22"/>
          <w:szCs w:val="22"/>
          <w:lang w:val="lt-LT" w:eastAsia="lt-LT"/>
        </w:rPr>
      </w:pPr>
      <w:r>
        <w:rPr>
          <w:sz w:val="22"/>
          <w:szCs w:val="22"/>
          <w:lang w:val="lt-LT" w:eastAsia="lt-LT"/>
        </w:rPr>
        <w:t>Vartojant kai kuriuos statinus, pranešta apie toliau išvardytus nepageidaujamus reiškinius.</w:t>
      </w:r>
    </w:p>
    <w:p w14:paraId="37333B7D" w14:textId="77777777" w:rsidR="001B11F7" w:rsidRDefault="00B83885">
      <w:pPr>
        <w:widowControl w:val="0"/>
        <w:autoSpaceDE w:val="0"/>
        <w:autoSpaceDN w:val="0"/>
        <w:adjustRightInd w:val="0"/>
        <w:ind w:left="540" w:hanging="540"/>
        <w:rPr>
          <w:sz w:val="22"/>
          <w:szCs w:val="22"/>
          <w:lang w:val="lt-LT"/>
        </w:rPr>
      </w:pPr>
      <w:r>
        <w:rPr>
          <w:sz w:val="22"/>
          <w:szCs w:val="22"/>
          <w:lang w:val="lt-LT"/>
        </w:rPr>
        <w:t>-</w:t>
      </w:r>
      <w:r>
        <w:rPr>
          <w:sz w:val="22"/>
          <w:szCs w:val="22"/>
          <w:lang w:val="lt-LT"/>
        </w:rPr>
        <w:tab/>
        <w:t>Lytinės funkcijos sutrikimas.</w:t>
      </w:r>
    </w:p>
    <w:p w14:paraId="437DEB86" w14:textId="77777777" w:rsidR="001B11F7" w:rsidRDefault="00B83885">
      <w:pPr>
        <w:widowControl w:val="0"/>
        <w:autoSpaceDE w:val="0"/>
        <w:autoSpaceDN w:val="0"/>
        <w:adjustRightInd w:val="0"/>
        <w:ind w:left="540" w:hanging="540"/>
        <w:rPr>
          <w:sz w:val="22"/>
          <w:szCs w:val="22"/>
          <w:lang w:val="lt-LT"/>
        </w:rPr>
      </w:pPr>
      <w:r>
        <w:rPr>
          <w:sz w:val="22"/>
          <w:szCs w:val="22"/>
          <w:lang w:val="lt-LT"/>
        </w:rPr>
        <w:t>-</w:t>
      </w:r>
      <w:r>
        <w:rPr>
          <w:sz w:val="22"/>
          <w:szCs w:val="22"/>
          <w:lang w:val="lt-LT"/>
        </w:rPr>
        <w:tab/>
        <w:t>Depresija.</w:t>
      </w:r>
    </w:p>
    <w:p w14:paraId="50C14799" w14:textId="77777777" w:rsidR="001B11F7" w:rsidRDefault="00B83885">
      <w:pPr>
        <w:widowControl w:val="0"/>
        <w:autoSpaceDE w:val="0"/>
        <w:autoSpaceDN w:val="0"/>
        <w:adjustRightInd w:val="0"/>
        <w:ind w:left="540" w:hanging="540"/>
        <w:rPr>
          <w:bCs/>
          <w:color w:val="000000"/>
          <w:kern w:val="28"/>
          <w:sz w:val="22"/>
          <w:szCs w:val="22"/>
          <w:lang w:val="lt-LT"/>
        </w:rPr>
      </w:pPr>
      <w:r>
        <w:rPr>
          <w:sz w:val="22"/>
          <w:szCs w:val="22"/>
          <w:lang w:val="lt-LT"/>
        </w:rPr>
        <w:t>-</w:t>
      </w:r>
      <w:r>
        <w:rPr>
          <w:sz w:val="22"/>
          <w:szCs w:val="22"/>
          <w:lang w:val="lt-LT"/>
        </w:rPr>
        <w:tab/>
        <w:t xml:space="preserve">Pavieniai intersticinės plaučių ligos atvejai, ypač taikant ilgalaikį gydymą (žr. 4.4 skyrių). </w:t>
      </w:r>
      <w:r>
        <w:rPr>
          <w:bCs/>
          <w:color w:val="000000"/>
          <w:kern w:val="28"/>
          <w:sz w:val="22"/>
          <w:szCs w:val="22"/>
          <w:lang w:val="lt-LT"/>
        </w:rPr>
        <w:t xml:space="preserve">Cukrinis diabetas: dažnis priklauso nuo rizikos veiksnių buvimo ir nebuvimo (gliukozės kiekis kraujyje nevalgius </w:t>
      </w:r>
      <w:r>
        <w:rPr>
          <w:color w:val="000000"/>
          <w:sz w:val="22"/>
          <w:szCs w:val="22"/>
          <w:lang w:val="lt-LT"/>
        </w:rPr>
        <w:t>≥ 5,6 mmol/l, KMI &gt; 30 kg/m</w:t>
      </w:r>
      <w:r>
        <w:rPr>
          <w:color w:val="000000"/>
          <w:sz w:val="22"/>
          <w:szCs w:val="22"/>
          <w:vertAlign w:val="superscript"/>
          <w:lang w:val="lt-LT"/>
        </w:rPr>
        <w:t>2</w:t>
      </w:r>
      <w:r>
        <w:rPr>
          <w:color w:val="000000"/>
          <w:sz w:val="22"/>
          <w:szCs w:val="22"/>
          <w:lang w:val="lt-LT"/>
        </w:rPr>
        <w:t>, padidėjęs trigliceridų kiekis, prieš tai buvusi arterinė hipertenzija).</w:t>
      </w:r>
    </w:p>
    <w:p w14:paraId="21E4A335" w14:textId="77777777" w:rsidR="001B11F7" w:rsidRDefault="001B11F7">
      <w:pPr>
        <w:widowControl w:val="0"/>
        <w:rPr>
          <w:sz w:val="22"/>
          <w:szCs w:val="22"/>
          <w:lang w:val="lt-LT" w:eastAsia="lt-LT"/>
        </w:rPr>
      </w:pPr>
    </w:p>
    <w:p w14:paraId="5B55EDF0" w14:textId="77777777" w:rsidR="001B11F7" w:rsidRDefault="00B83885">
      <w:pPr>
        <w:widowControl w:val="0"/>
        <w:tabs>
          <w:tab w:val="left" w:pos="567"/>
        </w:tabs>
        <w:autoSpaceDE w:val="0"/>
        <w:autoSpaceDN w:val="0"/>
        <w:adjustRightInd w:val="0"/>
        <w:rPr>
          <w:snapToGrid w:val="0"/>
          <w:sz w:val="22"/>
          <w:szCs w:val="22"/>
          <w:u w:val="single"/>
          <w:lang w:val="lt-LT"/>
        </w:rPr>
      </w:pPr>
      <w:r>
        <w:rPr>
          <w:noProof/>
          <w:snapToGrid w:val="0"/>
          <w:sz w:val="22"/>
          <w:szCs w:val="22"/>
          <w:u w:val="single"/>
          <w:lang w:val="lt-LT"/>
        </w:rPr>
        <w:t>Pranešimas apie įtariamas nepageidaujamas reakcijas</w:t>
      </w:r>
    </w:p>
    <w:p w14:paraId="0A95E72F" w14:textId="5A649CEC" w:rsidR="001B11F7" w:rsidRDefault="00B83885" w:rsidP="00B90ECF">
      <w:pPr>
        <w:tabs>
          <w:tab w:val="left" w:pos="567"/>
        </w:tabs>
        <w:spacing w:line="260" w:lineRule="exact"/>
        <w:rPr>
          <w:sz w:val="22"/>
          <w:szCs w:val="24"/>
          <w:lang w:val="lt-LT" w:eastAsia="en-US"/>
        </w:rPr>
      </w:pPr>
      <w:bookmarkStart w:id="6" w:name="_Hlk177639203"/>
      <w:r>
        <w:rPr>
          <w:sz w:val="22"/>
          <w:szCs w:val="22"/>
          <w:lang w:val="lt-LT"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B90ECF">
        <w:rPr>
          <w:color w:val="0000EE"/>
          <w:sz w:val="22"/>
          <w:szCs w:val="22"/>
          <w:u w:val="single"/>
          <w:lang w:eastAsia="lt-LT"/>
        </w:rPr>
        <w:t>https://vvkt.lrv.lt/lt/</w:t>
      </w:r>
      <w:r w:rsidR="00B90ECF">
        <w:rPr>
          <w:sz w:val="22"/>
          <w:szCs w:val="22"/>
          <w:lang w:eastAsia="lt-LT"/>
        </w:rPr>
        <w:t xml:space="preserve"> </w:t>
      </w:r>
      <w:r>
        <w:rPr>
          <w:sz w:val="22"/>
          <w:szCs w:val="22"/>
          <w:lang w:val="lt-LT" w:eastAsia="en-US"/>
        </w:rPr>
        <w:t>nurodytais būdais.</w:t>
      </w:r>
      <w:bookmarkEnd w:id="6"/>
    </w:p>
    <w:p w14:paraId="33D2A521" w14:textId="77777777" w:rsidR="001B11F7" w:rsidRDefault="001B11F7">
      <w:pPr>
        <w:widowControl w:val="0"/>
        <w:rPr>
          <w:noProof/>
          <w:snapToGrid w:val="0"/>
          <w:sz w:val="22"/>
          <w:szCs w:val="22"/>
          <w:lang w:val="lt-LT"/>
        </w:rPr>
      </w:pPr>
    </w:p>
    <w:p w14:paraId="64615E08" w14:textId="77777777" w:rsidR="001B11F7" w:rsidRDefault="00B83885">
      <w:pPr>
        <w:widowControl w:val="0"/>
        <w:ind w:left="567" w:hanging="567"/>
        <w:outlineLvl w:val="1"/>
        <w:rPr>
          <w:b/>
          <w:sz w:val="22"/>
          <w:szCs w:val="22"/>
          <w:lang w:val="lt-LT" w:eastAsia="lt-LT"/>
        </w:rPr>
      </w:pPr>
      <w:r>
        <w:rPr>
          <w:b/>
          <w:sz w:val="22"/>
          <w:szCs w:val="22"/>
          <w:lang w:val="lt-LT" w:eastAsia="lt-LT"/>
        </w:rPr>
        <w:t>4.9</w:t>
      </w:r>
      <w:r>
        <w:rPr>
          <w:b/>
          <w:sz w:val="22"/>
          <w:szCs w:val="22"/>
          <w:lang w:val="lt-LT" w:eastAsia="lt-LT"/>
        </w:rPr>
        <w:tab/>
        <w:t>Perdozavimas</w:t>
      </w:r>
    </w:p>
    <w:p w14:paraId="06613765" w14:textId="77777777" w:rsidR="001B11F7" w:rsidRDefault="001B11F7">
      <w:pPr>
        <w:widowControl w:val="0"/>
        <w:rPr>
          <w:sz w:val="22"/>
          <w:szCs w:val="22"/>
          <w:lang w:val="lt-LT" w:eastAsia="lt-LT"/>
        </w:rPr>
      </w:pPr>
    </w:p>
    <w:p w14:paraId="5A96D30A" w14:textId="77777777" w:rsidR="001B11F7" w:rsidRDefault="00B83885">
      <w:pPr>
        <w:widowControl w:val="0"/>
        <w:rPr>
          <w:sz w:val="22"/>
          <w:szCs w:val="22"/>
          <w:lang w:val="lt-LT" w:eastAsia="lt-LT"/>
        </w:rPr>
      </w:pPr>
      <w:r>
        <w:rPr>
          <w:sz w:val="22"/>
          <w:szCs w:val="22"/>
          <w:lang w:val="lt-LT" w:eastAsia="lt-LT"/>
        </w:rPr>
        <w:t>Specifinio atorvastatino perdozavimo gydymo nėra. Perdozavimo atveju pacientui reikia pradėti skirti reikiamą simptominį ir palaikomąjį gydymą. Būtina atlikti kepenų funkcijos tyrimus ir ištirti KK koncentraciją serume. Didelė dalis atorvastatino prisijungia prie plazmos baltymų, todėl hemodializė jo klirensui didesnės įtakos neturėtų daryti.</w:t>
      </w:r>
    </w:p>
    <w:p w14:paraId="672B0D0F" w14:textId="77777777" w:rsidR="001B11F7" w:rsidRDefault="001B11F7">
      <w:pPr>
        <w:widowControl w:val="0"/>
        <w:rPr>
          <w:sz w:val="22"/>
          <w:szCs w:val="22"/>
          <w:lang w:val="lt-LT" w:eastAsia="lt-LT"/>
        </w:rPr>
      </w:pPr>
    </w:p>
    <w:p w14:paraId="79A0DDE6" w14:textId="77777777" w:rsidR="001B11F7" w:rsidRDefault="001B11F7">
      <w:pPr>
        <w:widowControl w:val="0"/>
        <w:rPr>
          <w:sz w:val="22"/>
          <w:szCs w:val="22"/>
          <w:lang w:val="lt-LT" w:eastAsia="lt-LT"/>
        </w:rPr>
      </w:pPr>
    </w:p>
    <w:p w14:paraId="2B6DBE83" w14:textId="77777777" w:rsidR="001B11F7" w:rsidRDefault="00B83885">
      <w:pPr>
        <w:widowControl w:val="0"/>
        <w:ind w:left="567" w:hanging="567"/>
        <w:outlineLvl w:val="1"/>
        <w:rPr>
          <w:b/>
          <w:sz w:val="22"/>
          <w:szCs w:val="22"/>
          <w:lang w:val="lt-LT" w:eastAsia="lt-LT"/>
        </w:rPr>
      </w:pPr>
      <w:r>
        <w:rPr>
          <w:b/>
          <w:sz w:val="22"/>
          <w:szCs w:val="22"/>
          <w:lang w:val="lt-LT" w:eastAsia="lt-LT"/>
        </w:rPr>
        <w:lastRenderedPageBreak/>
        <w:t>5.</w:t>
      </w:r>
      <w:r>
        <w:rPr>
          <w:b/>
          <w:sz w:val="22"/>
          <w:szCs w:val="22"/>
          <w:lang w:val="lt-LT" w:eastAsia="lt-LT"/>
        </w:rPr>
        <w:tab/>
        <w:t>FARMAKOLOGINĖS SAVYBĖS</w:t>
      </w:r>
    </w:p>
    <w:p w14:paraId="2C32681B" w14:textId="77777777" w:rsidR="001B11F7" w:rsidRDefault="001B11F7">
      <w:pPr>
        <w:widowControl w:val="0"/>
        <w:ind w:left="567" w:hanging="567"/>
        <w:outlineLvl w:val="1"/>
        <w:rPr>
          <w:b/>
          <w:sz w:val="22"/>
          <w:szCs w:val="22"/>
          <w:lang w:val="lt-LT" w:eastAsia="lt-LT"/>
        </w:rPr>
      </w:pPr>
    </w:p>
    <w:p w14:paraId="24D09659" w14:textId="77777777" w:rsidR="001B11F7" w:rsidRDefault="00B83885">
      <w:pPr>
        <w:widowControl w:val="0"/>
        <w:ind w:left="567" w:hanging="567"/>
        <w:outlineLvl w:val="1"/>
        <w:rPr>
          <w:b/>
          <w:sz w:val="22"/>
          <w:szCs w:val="22"/>
          <w:lang w:val="lt-LT" w:eastAsia="lt-LT"/>
        </w:rPr>
      </w:pPr>
      <w:r>
        <w:rPr>
          <w:b/>
          <w:sz w:val="22"/>
          <w:szCs w:val="22"/>
          <w:lang w:val="lt-LT" w:eastAsia="lt-LT"/>
        </w:rPr>
        <w:t>5.1</w:t>
      </w:r>
      <w:r>
        <w:rPr>
          <w:b/>
          <w:sz w:val="22"/>
          <w:szCs w:val="22"/>
          <w:lang w:val="lt-LT" w:eastAsia="lt-LT"/>
        </w:rPr>
        <w:tab/>
        <w:t>Farmakodinaminės savybės</w:t>
      </w:r>
    </w:p>
    <w:p w14:paraId="71249332" w14:textId="77777777" w:rsidR="001B11F7" w:rsidRDefault="001B11F7">
      <w:pPr>
        <w:widowControl w:val="0"/>
        <w:rPr>
          <w:sz w:val="22"/>
          <w:szCs w:val="22"/>
          <w:lang w:val="lt-LT" w:eastAsia="lt-LT"/>
        </w:rPr>
      </w:pPr>
    </w:p>
    <w:p w14:paraId="232FCE37" w14:textId="77777777" w:rsidR="001B11F7" w:rsidRDefault="00B83885">
      <w:pPr>
        <w:widowControl w:val="0"/>
        <w:rPr>
          <w:sz w:val="22"/>
          <w:szCs w:val="22"/>
          <w:lang w:val="lt-LT" w:eastAsia="lt-LT"/>
        </w:rPr>
      </w:pPr>
      <w:r>
        <w:rPr>
          <w:sz w:val="22"/>
          <w:szCs w:val="22"/>
          <w:lang w:val="lt-LT" w:eastAsia="lt-LT"/>
        </w:rPr>
        <w:t>Farmakoterapinė grupė – lipidų koncentraciją kraujyje reguliuojantys vaistiniai preparatai, HMG-KoA reduktazės inhibitoriai, ATC kodas – C10AA05.</w:t>
      </w:r>
    </w:p>
    <w:p w14:paraId="7C06E0EE" w14:textId="77777777" w:rsidR="001B11F7" w:rsidRDefault="001B11F7">
      <w:pPr>
        <w:widowControl w:val="0"/>
        <w:rPr>
          <w:sz w:val="22"/>
          <w:szCs w:val="22"/>
          <w:lang w:val="lt-LT" w:eastAsia="lt-LT"/>
        </w:rPr>
      </w:pPr>
    </w:p>
    <w:p w14:paraId="2EEFF935" w14:textId="77777777" w:rsidR="001B11F7" w:rsidRDefault="00B83885">
      <w:pPr>
        <w:widowControl w:val="0"/>
        <w:rPr>
          <w:sz w:val="22"/>
          <w:szCs w:val="22"/>
          <w:lang w:val="lt-LT" w:eastAsia="lt-LT"/>
        </w:rPr>
      </w:pPr>
      <w:r>
        <w:rPr>
          <w:sz w:val="22"/>
          <w:szCs w:val="22"/>
          <w:u w:val="single"/>
          <w:lang w:val="lt-LT" w:eastAsia="lt-LT"/>
        </w:rPr>
        <w:t>Veikimo mechanizmas</w:t>
      </w:r>
    </w:p>
    <w:p w14:paraId="47382BB6" w14:textId="77777777" w:rsidR="001B11F7" w:rsidRDefault="00B83885">
      <w:pPr>
        <w:widowControl w:val="0"/>
        <w:rPr>
          <w:sz w:val="22"/>
          <w:szCs w:val="22"/>
          <w:lang w:val="lt-LT" w:eastAsia="lt-LT"/>
        </w:rPr>
      </w:pPr>
      <w:r>
        <w:rPr>
          <w:sz w:val="22"/>
          <w:szCs w:val="22"/>
          <w:lang w:val="lt-LT" w:eastAsia="lt-LT"/>
        </w:rPr>
        <w:t>Atorvastatinas selektyviai konkurenciniu būdu slopina sintezės greitį ribojančio fermento HMG-KoA reduktazės, kuri 3-hidroksi-3-metilgliutarilkofermentą A verčia į mevalonatą, t. y. sterolių, įskaitant cholesterolį, sintezės pirmtaką, aktyvumą. Kepenyse trigliceridai ir cholesterolis įtraukiami į labai mažo tankio lipoproteinų (LMTL) sudėtį, patenka į plazmą ir su ja į periferinius audinius. Mažo tankio lipoproteinai (MTL) susidaro iš LMTL, o jų katabolizmui svarbiausi yra receptoriai, kuriems MTL afinitetas yra didelis (MTL receptoriai).</w:t>
      </w:r>
    </w:p>
    <w:p w14:paraId="50F1CD91" w14:textId="77777777" w:rsidR="001B11F7" w:rsidRDefault="001B11F7">
      <w:pPr>
        <w:widowControl w:val="0"/>
        <w:rPr>
          <w:sz w:val="22"/>
          <w:szCs w:val="22"/>
          <w:lang w:val="lt-LT" w:eastAsia="lt-LT"/>
        </w:rPr>
      </w:pPr>
    </w:p>
    <w:p w14:paraId="67681575" w14:textId="77777777" w:rsidR="001B11F7" w:rsidRDefault="00B83885">
      <w:pPr>
        <w:widowControl w:val="0"/>
        <w:rPr>
          <w:sz w:val="22"/>
          <w:szCs w:val="22"/>
          <w:lang w:val="lt-LT" w:eastAsia="lt-LT"/>
        </w:rPr>
      </w:pPr>
      <w:r>
        <w:rPr>
          <w:sz w:val="22"/>
          <w:szCs w:val="22"/>
          <w:u w:val="single"/>
          <w:lang w:val="lt-LT" w:eastAsia="lt-LT"/>
        </w:rPr>
        <w:t>Farmakodinaminis poveikis</w:t>
      </w:r>
    </w:p>
    <w:p w14:paraId="1F0C04EB" w14:textId="77777777" w:rsidR="001B11F7" w:rsidRDefault="00B83885">
      <w:pPr>
        <w:widowControl w:val="0"/>
        <w:rPr>
          <w:sz w:val="22"/>
          <w:szCs w:val="22"/>
          <w:lang w:val="lt-LT" w:eastAsia="lt-LT"/>
        </w:rPr>
      </w:pPr>
      <w:r>
        <w:rPr>
          <w:sz w:val="22"/>
          <w:szCs w:val="22"/>
          <w:lang w:val="lt-LT" w:eastAsia="lt-LT"/>
        </w:rPr>
        <w:t>Slopindamas HMG-KoA reduktazės aktyvumą ir dėl to mažindamas cholesterolio biosintezę kepenyse bei didindamas kepenų MTL receptorių kiekį ir todėl didindamas MTL prisijungimą ir katabolizmą, atorvastatinas mažina cholesterolio ir lipoproteinų koncentraciją serume.</w:t>
      </w:r>
    </w:p>
    <w:p w14:paraId="2B2575ED" w14:textId="77777777" w:rsidR="001B11F7" w:rsidRDefault="001B11F7">
      <w:pPr>
        <w:widowControl w:val="0"/>
        <w:rPr>
          <w:sz w:val="22"/>
          <w:szCs w:val="22"/>
          <w:lang w:val="lt-LT" w:eastAsia="lt-LT"/>
        </w:rPr>
      </w:pPr>
    </w:p>
    <w:p w14:paraId="5729D4AC" w14:textId="77777777" w:rsidR="001B11F7" w:rsidRDefault="00B83885">
      <w:pPr>
        <w:widowControl w:val="0"/>
        <w:rPr>
          <w:sz w:val="22"/>
          <w:szCs w:val="22"/>
          <w:lang w:val="lt-LT" w:eastAsia="lt-LT"/>
        </w:rPr>
      </w:pPr>
      <w:r>
        <w:rPr>
          <w:sz w:val="22"/>
          <w:szCs w:val="22"/>
          <w:lang w:val="lt-LT" w:eastAsia="lt-LT"/>
        </w:rPr>
        <w:t>Atorvastatinas mažina MTL susidarymą ir MTL dalelių kiekį. Atorvastatinas gerokai ir ilgam didina MTL receptorių aktyvumą, nuo kurio priklauso naudingas kokybinis kraujyje esančių MTL dalelių pokytis. Atorvastatinas veiksmingai mažina MTL cholesterolio koncentraciją kraujyje pacientams, kuriems yra homozigotinė šeiminė hipercholesterinemija, t. y. pacientams, kuriems lipidų koncentraciją kraujyje mažinantys vaistiniai preparatai paprastai būna neveiksmingi.</w:t>
      </w:r>
    </w:p>
    <w:p w14:paraId="7AD0A093" w14:textId="77777777" w:rsidR="001B11F7" w:rsidRDefault="001B11F7">
      <w:pPr>
        <w:widowControl w:val="0"/>
        <w:rPr>
          <w:sz w:val="22"/>
          <w:szCs w:val="22"/>
          <w:lang w:val="lt-LT" w:eastAsia="lt-LT"/>
        </w:rPr>
      </w:pPr>
    </w:p>
    <w:p w14:paraId="30AD1C4B" w14:textId="77777777" w:rsidR="001B11F7" w:rsidRDefault="00B83885">
      <w:pPr>
        <w:widowControl w:val="0"/>
        <w:rPr>
          <w:sz w:val="22"/>
          <w:szCs w:val="22"/>
          <w:lang w:val="lt-LT" w:eastAsia="lt-LT"/>
        </w:rPr>
      </w:pPr>
      <w:r>
        <w:rPr>
          <w:sz w:val="22"/>
          <w:szCs w:val="22"/>
          <w:lang w:val="lt-LT" w:eastAsia="lt-LT"/>
        </w:rPr>
        <w:t>Dozės ir reakcijos ryšio tyrimo metu atorvastatinas mažino bendrojo cholesterolio (30</w:t>
      </w:r>
      <w:r>
        <w:rPr>
          <w:sz w:val="22"/>
          <w:szCs w:val="22"/>
          <w:lang w:val="lt-LT" w:eastAsia="lt-LT"/>
        </w:rPr>
        <w:noBreakHyphen/>
        <w:t>46 %), MTL cholesterolio (41</w:t>
      </w:r>
      <w:r>
        <w:rPr>
          <w:sz w:val="22"/>
          <w:szCs w:val="22"/>
          <w:lang w:val="lt-LT" w:eastAsia="lt-LT"/>
        </w:rPr>
        <w:noBreakHyphen/>
        <w:t>61 %), apolipoproteino B (34</w:t>
      </w:r>
      <w:r>
        <w:rPr>
          <w:sz w:val="22"/>
          <w:szCs w:val="22"/>
          <w:lang w:val="lt-LT" w:eastAsia="lt-LT"/>
        </w:rPr>
        <w:noBreakHyphen/>
        <w:t>50 %) ir trigliceridų (14</w:t>
      </w:r>
      <w:r>
        <w:rPr>
          <w:sz w:val="22"/>
          <w:szCs w:val="22"/>
          <w:lang w:val="lt-LT" w:eastAsia="lt-LT"/>
        </w:rPr>
        <w:noBreakHyphen/>
        <w:t>33 %) koncentraciją bei kintamai didino DTL cholesterolio ir apolipoproteino A1 koncentraciją. Tokie duomenys gauti ir tiriant pacientus, kuriems buvo heterozigotinė šeiminė hipercholesterinemija, nešeiminė hipercholesterinemija ar mišri hiperlipidemija, įskaitant ligonius, sergančius nuo insulino nepriklausomu cukriniu diabetu.</w:t>
      </w:r>
    </w:p>
    <w:p w14:paraId="7C232A81" w14:textId="77777777" w:rsidR="001B11F7" w:rsidRDefault="001B11F7">
      <w:pPr>
        <w:widowControl w:val="0"/>
        <w:rPr>
          <w:sz w:val="22"/>
          <w:szCs w:val="22"/>
          <w:lang w:val="lt-LT" w:eastAsia="lt-LT"/>
        </w:rPr>
      </w:pPr>
    </w:p>
    <w:p w14:paraId="6C229F15" w14:textId="77777777" w:rsidR="001B11F7" w:rsidRDefault="00B83885">
      <w:pPr>
        <w:widowControl w:val="0"/>
        <w:rPr>
          <w:sz w:val="22"/>
          <w:szCs w:val="22"/>
          <w:lang w:val="lt-LT" w:eastAsia="lt-LT"/>
        </w:rPr>
      </w:pPr>
      <w:r>
        <w:rPr>
          <w:sz w:val="22"/>
          <w:szCs w:val="22"/>
          <w:lang w:val="lt-LT" w:eastAsia="lt-LT"/>
        </w:rPr>
        <w:t>Įrodyta, kad bendrojo cholesterolio, MTL cholesterolio ir apolipoproteino B koncentracijos sumažėjimas mažina kardiovaskulinių reiškinių riziką ir kardiovaskulinį mirštamumą.</w:t>
      </w:r>
    </w:p>
    <w:p w14:paraId="073DCB2A" w14:textId="77777777" w:rsidR="001B11F7" w:rsidRDefault="001B11F7">
      <w:pPr>
        <w:widowControl w:val="0"/>
        <w:rPr>
          <w:sz w:val="22"/>
          <w:szCs w:val="22"/>
          <w:u w:val="single"/>
          <w:lang w:val="lt-LT" w:eastAsia="lt-LT"/>
        </w:rPr>
      </w:pPr>
    </w:p>
    <w:p w14:paraId="68A7B856" w14:textId="77777777" w:rsidR="001B11F7" w:rsidRDefault="00B83885">
      <w:pPr>
        <w:widowControl w:val="0"/>
        <w:rPr>
          <w:sz w:val="22"/>
          <w:szCs w:val="22"/>
          <w:u w:val="single"/>
          <w:lang w:val="lt-LT" w:eastAsia="lt-LT"/>
        </w:rPr>
      </w:pPr>
      <w:r>
        <w:rPr>
          <w:sz w:val="22"/>
          <w:szCs w:val="22"/>
          <w:u w:val="single"/>
          <w:lang w:val="lt-LT" w:eastAsia="lt-LT"/>
        </w:rPr>
        <w:t>Klinikinis veiksmingumas ir saugumas</w:t>
      </w:r>
    </w:p>
    <w:p w14:paraId="0557B049" w14:textId="77777777" w:rsidR="001B11F7" w:rsidRDefault="001B11F7">
      <w:pPr>
        <w:widowControl w:val="0"/>
        <w:rPr>
          <w:sz w:val="22"/>
          <w:szCs w:val="22"/>
          <w:u w:val="single"/>
          <w:lang w:val="lt-LT" w:eastAsia="lt-LT"/>
        </w:rPr>
      </w:pPr>
    </w:p>
    <w:p w14:paraId="1012895C" w14:textId="77777777" w:rsidR="001B11F7" w:rsidRDefault="00B83885">
      <w:pPr>
        <w:widowControl w:val="0"/>
        <w:rPr>
          <w:i/>
          <w:sz w:val="22"/>
          <w:szCs w:val="22"/>
          <w:u w:val="single"/>
          <w:lang w:val="lt-LT" w:eastAsia="lt-LT"/>
        </w:rPr>
      </w:pPr>
      <w:r>
        <w:rPr>
          <w:i/>
          <w:sz w:val="22"/>
          <w:u w:val="single"/>
          <w:lang w:val="lt-LT"/>
        </w:rPr>
        <w:t>Homozigotinė šeiminė hipercholesterinemija</w:t>
      </w:r>
    </w:p>
    <w:p w14:paraId="322C41AD" w14:textId="77777777" w:rsidR="001B11F7" w:rsidRDefault="001B11F7">
      <w:pPr>
        <w:widowControl w:val="0"/>
        <w:rPr>
          <w:i/>
          <w:sz w:val="22"/>
          <w:u w:val="single"/>
          <w:lang w:val="lt-LT"/>
        </w:rPr>
      </w:pPr>
    </w:p>
    <w:p w14:paraId="66E0469D" w14:textId="77777777" w:rsidR="001B11F7" w:rsidRDefault="00B83885">
      <w:pPr>
        <w:widowControl w:val="0"/>
        <w:rPr>
          <w:sz w:val="22"/>
          <w:szCs w:val="22"/>
          <w:lang w:val="lt-LT" w:eastAsia="lt-LT"/>
        </w:rPr>
      </w:pPr>
      <w:r>
        <w:rPr>
          <w:sz w:val="22"/>
          <w:szCs w:val="22"/>
          <w:lang w:val="lt-LT" w:eastAsia="lt-LT"/>
        </w:rPr>
        <w:t>Daugiacentriame 8 savaičių atvirame labdaringo vartojimo tyrime su neprivaloma įvairios trukmės pratęsimo faze dalyvavo 335 pacientai, iš jų 89 buvo diagnozuota homozigotinė šeiminė hipercholesterinemija. Šių 89 pacientų MTL cholesterolio koncentracija sumažėjo vidutiniškai 20 %. Didžiausia vartota atorvastatino paros dozė buvo 80 mg.</w:t>
      </w:r>
    </w:p>
    <w:p w14:paraId="4501DACA" w14:textId="77777777" w:rsidR="001B11F7" w:rsidRDefault="001B11F7">
      <w:pPr>
        <w:widowControl w:val="0"/>
        <w:rPr>
          <w:sz w:val="22"/>
          <w:szCs w:val="22"/>
          <w:lang w:val="lt-LT" w:eastAsia="lt-LT"/>
        </w:rPr>
      </w:pPr>
    </w:p>
    <w:p w14:paraId="7333447B" w14:textId="77777777" w:rsidR="001B11F7" w:rsidRDefault="00B83885">
      <w:pPr>
        <w:widowControl w:val="0"/>
        <w:rPr>
          <w:i/>
          <w:sz w:val="22"/>
          <w:u w:val="single"/>
          <w:lang w:val="lt-LT"/>
        </w:rPr>
      </w:pPr>
      <w:r>
        <w:rPr>
          <w:i/>
          <w:sz w:val="22"/>
          <w:u w:val="single"/>
          <w:lang w:val="lt-LT"/>
        </w:rPr>
        <w:t>Aterosklerozė</w:t>
      </w:r>
    </w:p>
    <w:p w14:paraId="10D71F5E" w14:textId="77777777" w:rsidR="001B11F7" w:rsidRDefault="001B11F7">
      <w:pPr>
        <w:widowControl w:val="0"/>
        <w:rPr>
          <w:i/>
          <w:sz w:val="22"/>
          <w:szCs w:val="22"/>
          <w:u w:val="single"/>
          <w:lang w:val="lt-LT" w:eastAsia="lt-LT"/>
        </w:rPr>
      </w:pPr>
    </w:p>
    <w:p w14:paraId="27DB1638" w14:textId="77777777" w:rsidR="001B11F7" w:rsidRDefault="00B83885">
      <w:pPr>
        <w:widowControl w:val="0"/>
        <w:rPr>
          <w:sz w:val="22"/>
          <w:szCs w:val="22"/>
          <w:lang w:val="lt-LT" w:eastAsia="lt-LT"/>
        </w:rPr>
      </w:pPr>
      <w:r>
        <w:rPr>
          <w:sz w:val="22"/>
          <w:szCs w:val="22"/>
          <w:lang w:val="lt-LT" w:eastAsia="lt-LT"/>
        </w:rPr>
        <w:t xml:space="preserve">Aterosklerozės mažinimo, taikant intensyvų lipidų mažinimą, tyrimo (angl. </w:t>
      </w:r>
      <w:r>
        <w:rPr>
          <w:i/>
          <w:iCs/>
          <w:sz w:val="22"/>
          <w:szCs w:val="22"/>
          <w:lang w:val="lt-LT" w:eastAsia="lt-LT"/>
        </w:rPr>
        <w:t>Reversing Atherosclerosis with Aggressive Lipid- Lowering Study</w:t>
      </w:r>
      <w:r>
        <w:rPr>
          <w:iCs/>
          <w:sz w:val="22"/>
          <w:szCs w:val="22"/>
          <w:lang w:val="lt-LT" w:eastAsia="lt-LT"/>
        </w:rPr>
        <w:t xml:space="preserve"> [REVERSAL]</w:t>
      </w:r>
      <w:r>
        <w:rPr>
          <w:sz w:val="22"/>
          <w:szCs w:val="22"/>
          <w:lang w:val="lt-LT" w:eastAsia="lt-LT"/>
        </w:rPr>
        <w:t>) duomenimis, intensyvaus lipidų koncentracijos mažinimo 80 mg atorvastatino doze ir įprasto intensyvumo lipidų koncentracijos mažinimo 40 mg pravastatino doze įtaka vainikinių arterijų aterosklerozei išemine širdies liga sergantiems pacientams buvo įvertinta intravaskuliniu ultragarsu (IVUG) angiografijos metu. Šio atsitiktinių imčių dvigubai koduoto daugiacentrio kontroliuoto klinikinio tyrimo metu 502 pacientams IVUG tyrimas buvo atliktas prieš gydymą ir 18-tą mėnesį. Atorvastatiną vartojusių ligonių grupėje (n=253) aterosklerozė neprogresavo.</w:t>
      </w:r>
    </w:p>
    <w:p w14:paraId="1AF0173F" w14:textId="77777777" w:rsidR="001B11F7" w:rsidRDefault="001B11F7">
      <w:pPr>
        <w:widowControl w:val="0"/>
        <w:rPr>
          <w:sz w:val="22"/>
          <w:szCs w:val="22"/>
          <w:lang w:val="lt-LT" w:eastAsia="lt-LT"/>
        </w:rPr>
      </w:pPr>
    </w:p>
    <w:p w14:paraId="07B88882" w14:textId="77777777" w:rsidR="001B11F7" w:rsidRDefault="00B83885">
      <w:pPr>
        <w:widowControl w:val="0"/>
        <w:rPr>
          <w:sz w:val="22"/>
          <w:szCs w:val="22"/>
          <w:lang w:val="lt-LT" w:eastAsia="lt-LT"/>
        </w:rPr>
      </w:pPr>
      <w:r>
        <w:rPr>
          <w:sz w:val="22"/>
          <w:szCs w:val="22"/>
          <w:lang w:val="lt-LT" w:eastAsia="lt-LT"/>
        </w:rPr>
        <w:lastRenderedPageBreak/>
        <w:t>Bendrojo ateromos tūrio (pagrindinis tyrimo kriterijus) procentinio pokyčio (palyginti su pradiniu rodmeniu) mediana atorvastatino vartojusių ligonių grupėje buvo -0,4 % (p=0,98), o pravastatino vartojusių pacientų grupėje +2,7 % (p=0,001) (n=249). Atorvastatino poveikis, palyginti su pravastatinu, buvo statistiškai reikšmingas (p=0,02). Intensyvaus lipidų koncentracijos mažinimo įtaka kardiovaskulinėms vertinamosioms baigtims (pvz., revaskuliarizacijos būtinybei, nemirtinam miokardo infarktui, mirčiai dėl vainikinių arterijų ligos) šio tyrimo metu netirta.</w:t>
      </w:r>
    </w:p>
    <w:p w14:paraId="4D5994AE" w14:textId="77777777" w:rsidR="001B11F7" w:rsidRDefault="001B11F7">
      <w:pPr>
        <w:widowControl w:val="0"/>
        <w:rPr>
          <w:sz w:val="22"/>
          <w:szCs w:val="22"/>
          <w:lang w:val="lt-LT" w:eastAsia="lt-LT"/>
        </w:rPr>
      </w:pPr>
    </w:p>
    <w:p w14:paraId="00A9AC8F" w14:textId="77777777" w:rsidR="001B11F7" w:rsidRDefault="00B83885">
      <w:pPr>
        <w:widowControl w:val="0"/>
        <w:rPr>
          <w:sz w:val="22"/>
          <w:szCs w:val="22"/>
          <w:lang w:val="lt-LT" w:eastAsia="lt-LT"/>
        </w:rPr>
      </w:pPr>
      <w:r>
        <w:rPr>
          <w:sz w:val="22"/>
          <w:szCs w:val="22"/>
          <w:lang w:val="lt-LT" w:eastAsia="lt-LT"/>
        </w:rPr>
        <w:t>Vidutinė MTL cholesterolio koncentracija atorvastatiną vartojusių pacientų grupėje sumažėjo vidutiniškai iki 2,04 mmol/l ± 0,8 (78,9 mg/dl ± 30) nuo pradinės 3,89 mmol/l ± 0,7 (150 mg/dl ± 28), o pravastatino vartojusių pacientų grupėje vidutinė MTL cholesterolio koncentracija sumažėjo iki 2,85 mmol/l ± 0,7 (110 mmol/l ± 26), nuo pradinės 3,89 mmol/l ± 0,7 (150 mmol/l ±) (p&lt;0,0001). Be to, atorvastatinas reikšmingai sumažino vidutinę bendrojo cholesterolio koncentraciją 34,1 % (pravastatinas: -18,4 %, p&lt;0,0001), vidutinę trigliceridų (TG) koncentraciją 20 % (pravastatinas: -6,8 %, p&lt;0,0009) ir vidutinę apolipoproteino B koncentraciją 39,1 % (pravastatinas: -22,0 %, p&lt;0,0001). Atorvastatinas padidino vidutinę DTL cholesterolio koncentraciją 2,9 % (pravastatinas: +5,6 %, p=NR). Vidutinis CRB sumažėjimas atorvastatino vartojusių pacientų grupėje buvo 36,4 %, palyginti su 5,2 % sumažėjimu pravastatino vartojusių ligonių grupėje (p&lt;0,0001).</w:t>
      </w:r>
    </w:p>
    <w:p w14:paraId="084D9928" w14:textId="77777777" w:rsidR="001B11F7" w:rsidRDefault="001B11F7">
      <w:pPr>
        <w:widowControl w:val="0"/>
        <w:rPr>
          <w:sz w:val="22"/>
          <w:szCs w:val="22"/>
          <w:lang w:val="lt-LT" w:eastAsia="lt-LT"/>
        </w:rPr>
      </w:pPr>
    </w:p>
    <w:p w14:paraId="23F957A5" w14:textId="77777777" w:rsidR="001B11F7" w:rsidRDefault="00B83885">
      <w:pPr>
        <w:widowControl w:val="0"/>
        <w:rPr>
          <w:sz w:val="22"/>
          <w:szCs w:val="22"/>
          <w:lang w:val="lt-LT" w:eastAsia="lt-LT"/>
        </w:rPr>
      </w:pPr>
      <w:r>
        <w:rPr>
          <w:sz w:val="22"/>
          <w:szCs w:val="22"/>
          <w:lang w:val="lt-LT" w:eastAsia="lt-LT"/>
        </w:rPr>
        <w:t>Tyrimo duomenys gauti vartojant 80 mg dozę, todėl jų negalima ekstrapoliuoti mažesnėms dozėms.</w:t>
      </w:r>
    </w:p>
    <w:p w14:paraId="2FA41831" w14:textId="77777777" w:rsidR="001B11F7" w:rsidRDefault="001B11F7">
      <w:pPr>
        <w:widowControl w:val="0"/>
        <w:rPr>
          <w:sz w:val="22"/>
          <w:szCs w:val="22"/>
          <w:lang w:val="lt-LT" w:eastAsia="lt-LT"/>
        </w:rPr>
      </w:pPr>
    </w:p>
    <w:p w14:paraId="4540D752" w14:textId="77777777" w:rsidR="001B11F7" w:rsidRDefault="00B83885">
      <w:pPr>
        <w:widowControl w:val="0"/>
        <w:rPr>
          <w:sz w:val="22"/>
          <w:szCs w:val="22"/>
          <w:lang w:val="lt-LT" w:eastAsia="lt-LT"/>
        </w:rPr>
      </w:pPr>
      <w:r>
        <w:rPr>
          <w:sz w:val="22"/>
          <w:szCs w:val="22"/>
          <w:lang w:val="lt-LT" w:eastAsia="lt-LT"/>
        </w:rPr>
        <w:t>Vaistinio preparato saugumas ir toleravimas dviejose gydymo grupėse buvo panašūs.</w:t>
      </w:r>
    </w:p>
    <w:p w14:paraId="639139DE" w14:textId="77777777" w:rsidR="001B11F7" w:rsidRDefault="001B11F7">
      <w:pPr>
        <w:widowControl w:val="0"/>
        <w:rPr>
          <w:sz w:val="22"/>
          <w:szCs w:val="22"/>
          <w:lang w:val="lt-LT" w:eastAsia="lt-LT"/>
        </w:rPr>
      </w:pPr>
    </w:p>
    <w:p w14:paraId="5565F055" w14:textId="77777777" w:rsidR="001B11F7" w:rsidRDefault="00B83885">
      <w:pPr>
        <w:widowControl w:val="0"/>
        <w:rPr>
          <w:sz w:val="22"/>
          <w:szCs w:val="22"/>
          <w:lang w:val="lt-LT" w:eastAsia="lt-LT"/>
        </w:rPr>
      </w:pPr>
      <w:r>
        <w:rPr>
          <w:sz w:val="22"/>
          <w:szCs w:val="22"/>
          <w:lang w:val="lt-LT" w:eastAsia="lt-LT"/>
        </w:rPr>
        <w:t>Intensyvaus lipidų koncentracijos mažinimo įtaka kardiovaskulinėms vertinamosioms baigtims šio tyrimo metu netirta, todėl klinikinė šių vaizdinių tyrimų rezultatų reikšmė pirminei ir antrinei kardiovaskulinių reiškinių profilaktikai nežinoma.</w:t>
      </w:r>
    </w:p>
    <w:p w14:paraId="42C1E24B" w14:textId="77777777" w:rsidR="001B11F7" w:rsidRDefault="001B11F7">
      <w:pPr>
        <w:widowControl w:val="0"/>
        <w:rPr>
          <w:sz w:val="22"/>
          <w:szCs w:val="22"/>
          <w:lang w:val="lt-LT" w:eastAsia="lt-LT"/>
        </w:rPr>
      </w:pPr>
    </w:p>
    <w:p w14:paraId="231322ED" w14:textId="77777777" w:rsidR="001B11F7" w:rsidRDefault="00B83885">
      <w:pPr>
        <w:widowControl w:val="0"/>
        <w:rPr>
          <w:i/>
          <w:sz w:val="22"/>
          <w:u w:val="single"/>
          <w:lang w:val="lt-LT"/>
        </w:rPr>
      </w:pPr>
      <w:r>
        <w:rPr>
          <w:i/>
          <w:sz w:val="22"/>
          <w:u w:val="single"/>
          <w:lang w:val="lt-LT"/>
        </w:rPr>
        <w:t>Ūminis vainikinis sindromas</w:t>
      </w:r>
    </w:p>
    <w:p w14:paraId="302FA31C" w14:textId="77777777" w:rsidR="001B11F7" w:rsidRDefault="001B11F7">
      <w:pPr>
        <w:widowControl w:val="0"/>
        <w:rPr>
          <w:i/>
          <w:sz w:val="22"/>
          <w:szCs w:val="22"/>
          <w:u w:val="single"/>
          <w:lang w:val="lt-LT" w:eastAsia="lt-LT"/>
        </w:rPr>
      </w:pPr>
    </w:p>
    <w:p w14:paraId="2E9127D0" w14:textId="77777777" w:rsidR="001B11F7" w:rsidRDefault="00B83885">
      <w:pPr>
        <w:widowControl w:val="0"/>
        <w:rPr>
          <w:sz w:val="22"/>
          <w:szCs w:val="22"/>
          <w:lang w:val="lt-LT" w:eastAsia="lt-LT"/>
        </w:rPr>
      </w:pPr>
      <w:r>
        <w:rPr>
          <w:iCs/>
          <w:sz w:val="22"/>
          <w:szCs w:val="22"/>
          <w:lang w:val="lt-LT" w:eastAsia="lt-LT"/>
        </w:rPr>
        <w:t>MIRACL</w:t>
      </w:r>
      <w:r>
        <w:rPr>
          <w:sz w:val="22"/>
          <w:szCs w:val="22"/>
          <w:lang w:val="lt-LT" w:eastAsia="lt-LT"/>
        </w:rPr>
        <w:t xml:space="preserve"> tyrimo metu vertintas 80 mg atorvastatino dozės poveikis. Tyrime dalyvavo 3 086 pacientai (atorvastatino grupėje n=1538, placebo – n=1548), kuriems diagnozuotas ūminis vainikinis sindromas (ne Q bangos MI ar nestabilioji krūtinės angina). Gydymas buvo pradėtas ūminės fazės metu pacientui patekus į ligoninę ir truko 16 savaičių. Gydymas 80 mg atorvastatino paros doze ilgino laiką iki pirminės kombinuotosios vertinamosios baigties, kurią sudarė mirtis nuo bet kokios priežasties, nemirtinas MI, atgaivinimas po širdies sustojimo ar krūtinės angina su miokardo išemijos požymiais, dėl kurių teko gydyti ligoninėje, ir sumažino jos riziką 16 % (p=0,048). Tai pasiekta daugiausia dėl 26 % retesnio kartotinio gydymo ligoninėje dėl krūtinės anginos su miokardo išemijos požymiais (p=0,018). Kitos antrinės vertinamosios baigtys statistinio reikšmingumo nepasiekė (bendrieji rodmenys: placebas - 22,2 %, atorvastatinas - 22,4 %).</w:t>
      </w:r>
    </w:p>
    <w:p w14:paraId="11B12AB6" w14:textId="77777777" w:rsidR="001B11F7" w:rsidRDefault="001B11F7">
      <w:pPr>
        <w:widowControl w:val="0"/>
        <w:rPr>
          <w:sz w:val="22"/>
          <w:szCs w:val="22"/>
          <w:lang w:val="lt-LT" w:eastAsia="lt-LT"/>
        </w:rPr>
      </w:pPr>
    </w:p>
    <w:p w14:paraId="54C03AEB" w14:textId="77777777" w:rsidR="001B11F7" w:rsidRDefault="00B83885">
      <w:pPr>
        <w:widowControl w:val="0"/>
        <w:rPr>
          <w:sz w:val="22"/>
          <w:szCs w:val="22"/>
          <w:lang w:val="lt-LT" w:eastAsia="lt-LT"/>
        </w:rPr>
      </w:pPr>
      <w:r>
        <w:rPr>
          <w:sz w:val="22"/>
          <w:szCs w:val="22"/>
          <w:lang w:val="lt-LT" w:eastAsia="lt-LT"/>
        </w:rPr>
        <w:t xml:space="preserve">Atorvastatino saugumo savybės </w:t>
      </w:r>
      <w:r>
        <w:rPr>
          <w:iCs/>
          <w:sz w:val="22"/>
          <w:szCs w:val="22"/>
          <w:lang w:val="lt-LT" w:eastAsia="lt-LT"/>
        </w:rPr>
        <w:t>MIRACL</w:t>
      </w:r>
      <w:r>
        <w:rPr>
          <w:sz w:val="22"/>
          <w:szCs w:val="22"/>
          <w:lang w:val="lt-LT" w:eastAsia="lt-LT"/>
        </w:rPr>
        <w:t xml:space="preserve"> tyrimo metu atitiko 4.8 skyriuje pateiktus duomenis.</w:t>
      </w:r>
    </w:p>
    <w:p w14:paraId="6DA1290D" w14:textId="77777777" w:rsidR="001B11F7" w:rsidRDefault="001B11F7">
      <w:pPr>
        <w:widowControl w:val="0"/>
        <w:rPr>
          <w:sz w:val="22"/>
          <w:szCs w:val="22"/>
          <w:lang w:val="lt-LT" w:eastAsia="lt-LT"/>
        </w:rPr>
      </w:pPr>
    </w:p>
    <w:p w14:paraId="5AB0D633" w14:textId="77777777" w:rsidR="001B11F7" w:rsidRDefault="00B83885">
      <w:pPr>
        <w:widowControl w:val="0"/>
        <w:rPr>
          <w:i/>
          <w:sz w:val="22"/>
          <w:u w:val="single"/>
          <w:lang w:val="lt-LT"/>
        </w:rPr>
      </w:pPr>
      <w:r>
        <w:rPr>
          <w:i/>
          <w:sz w:val="22"/>
          <w:u w:val="single"/>
          <w:lang w:val="lt-LT"/>
        </w:rPr>
        <w:t>Kardiovaskulinės ligos profilaktika</w:t>
      </w:r>
    </w:p>
    <w:p w14:paraId="4D1653BE" w14:textId="77777777" w:rsidR="001B11F7" w:rsidRDefault="001B11F7">
      <w:pPr>
        <w:widowControl w:val="0"/>
        <w:rPr>
          <w:i/>
          <w:sz w:val="22"/>
          <w:szCs w:val="22"/>
          <w:u w:val="single"/>
          <w:lang w:val="lt-LT" w:eastAsia="lt-LT"/>
        </w:rPr>
      </w:pPr>
    </w:p>
    <w:p w14:paraId="6C978B78" w14:textId="77777777" w:rsidR="001B11F7" w:rsidRDefault="00B83885">
      <w:pPr>
        <w:widowControl w:val="0"/>
        <w:rPr>
          <w:sz w:val="22"/>
          <w:szCs w:val="22"/>
          <w:lang w:val="lt-LT" w:eastAsia="lt-LT"/>
        </w:rPr>
      </w:pPr>
      <w:r>
        <w:rPr>
          <w:sz w:val="22"/>
          <w:szCs w:val="22"/>
          <w:lang w:val="lt-LT" w:eastAsia="lt-LT"/>
        </w:rPr>
        <w:t xml:space="preserve">Atorvastatino įtaka mirtinai ir nemirtinai išeminei širdies ligai buvo įvertinta atsitiktinių imčių dvigubai koduoto placebu kontroliuoto Anglijos ir Skandinavijos širdies vertinamųjų baigčių tyrimo lipidų koncentracijos mažinimo grupės (angl. </w:t>
      </w:r>
      <w:r>
        <w:rPr>
          <w:i/>
          <w:iCs/>
          <w:sz w:val="22"/>
          <w:szCs w:val="22"/>
          <w:lang w:val="lt-LT" w:eastAsia="lt-LT"/>
        </w:rPr>
        <w:t xml:space="preserve">Anglo-Scandinavian Cardiac Outcomes Trial Lipid Lowering Arm, </w:t>
      </w:r>
      <w:r>
        <w:rPr>
          <w:iCs/>
          <w:sz w:val="22"/>
          <w:szCs w:val="22"/>
          <w:lang w:val="lt-LT" w:eastAsia="lt-LT"/>
        </w:rPr>
        <w:t>[ASCOT-LLA]</w:t>
      </w:r>
      <w:r>
        <w:rPr>
          <w:sz w:val="22"/>
          <w:szCs w:val="22"/>
          <w:lang w:val="lt-LT" w:eastAsia="lt-LT"/>
        </w:rPr>
        <w:t>) tyrimo metu. Jame dalyvavę 40</w:t>
      </w:r>
      <w:r>
        <w:rPr>
          <w:sz w:val="22"/>
          <w:szCs w:val="22"/>
          <w:lang w:val="lt-LT" w:eastAsia="lt-LT"/>
        </w:rPr>
        <w:noBreakHyphen/>
        <w:t>79 metų pacientai sirgo hipertenzija, anksčiau nebuvo patyrę miokardo infarkto ar nebuvo gydyti nuo krūtinės anginos, jų bendrojo cholesterolio koncentracija buvo ≤ 6,5 mmol/l (251 mg/dl). Visi pacientai turėjo bent po 3 prieš tyrimą nustatytus kardiovaskulinės rizikos veiksnius (vyriška lytis, amžius ≥ 55 metų, rūkymas, diabetas, diagnozuota IŠL pirmos kartos kraujo giminaičiams, bendrojo cholesterolio ir DTL cholesterolio santykis &gt; 6, periferinių kraujagyslių liga, kairiojo skilvelio hipertrofija, anksčiau patirtas cerebrovaskulinis reiškinys, specifiniai EKG spokyčiai, proteinurija ar albuminurija). Ne visiems į tyrimą įtrauktiems pacientams buvo nustatyta didelė pirmųjų kardiovaskulinių reiškinių rizika.</w:t>
      </w:r>
    </w:p>
    <w:p w14:paraId="0CCE6692" w14:textId="77777777" w:rsidR="001B11F7" w:rsidRDefault="001B11F7">
      <w:pPr>
        <w:widowControl w:val="0"/>
        <w:rPr>
          <w:sz w:val="22"/>
          <w:szCs w:val="22"/>
          <w:lang w:val="lt-LT" w:eastAsia="lt-LT"/>
        </w:rPr>
      </w:pPr>
    </w:p>
    <w:p w14:paraId="654198C6" w14:textId="77777777" w:rsidR="001B11F7" w:rsidRDefault="00B83885">
      <w:pPr>
        <w:widowControl w:val="0"/>
        <w:rPr>
          <w:sz w:val="22"/>
          <w:szCs w:val="22"/>
          <w:lang w:val="lt-LT" w:eastAsia="lt-LT"/>
        </w:rPr>
      </w:pPr>
      <w:r>
        <w:rPr>
          <w:sz w:val="22"/>
          <w:szCs w:val="22"/>
          <w:lang w:val="lt-LT" w:eastAsia="lt-LT"/>
        </w:rPr>
        <w:t xml:space="preserve">Pacientams buvo taikomas antihipertenzinis gydymas (pagal amlodipinu arba atenololiu paremtą </w:t>
      </w:r>
      <w:r>
        <w:rPr>
          <w:sz w:val="22"/>
          <w:szCs w:val="22"/>
          <w:lang w:val="lt-LT" w:eastAsia="lt-LT"/>
        </w:rPr>
        <w:lastRenderedPageBreak/>
        <w:t>schemą) ir skirta vartoti arba 10 mg atorvastatino paros dozė (n=5 168), arba placebas (n=5 137).</w:t>
      </w:r>
    </w:p>
    <w:p w14:paraId="208EC471" w14:textId="77777777" w:rsidR="001B11F7" w:rsidRDefault="001B11F7">
      <w:pPr>
        <w:widowControl w:val="0"/>
        <w:rPr>
          <w:sz w:val="22"/>
          <w:szCs w:val="22"/>
          <w:lang w:val="lt-LT" w:eastAsia="lt-LT"/>
        </w:rPr>
      </w:pPr>
    </w:p>
    <w:p w14:paraId="2012D4BB" w14:textId="77777777" w:rsidR="001B11F7" w:rsidRDefault="00B83885">
      <w:pPr>
        <w:widowControl w:val="0"/>
        <w:rPr>
          <w:sz w:val="22"/>
          <w:szCs w:val="22"/>
          <w:lang w:val="lt-LT" w:eastAsia="lt-LT"/>
        </w:rPr>
      </w:pPr>
      <w:r>
        <w:rPr>
          <w:sz w:val="22"/>
          <w:szCs w:val="22"/>
          <w:lang w:val="lt-LT" w:eastAsia="lt-LT"/>
        </w:rPr>
        <w:t>Žemiau esančioje lentelėje pateikiama atorvastatino įtaka absoliučios ir santykinės rizikos sumažėjimui.</w:t>
      </w:r>
    </w:p>
    <w:p w14:paraId="0D77CDD2" w14:textId="77777777" w:rsidR="001B11F7" w:rsidRDefault="001B11F7">
      <w:pPr>
        <w:widowControl w:val="0"/>
        <w:rPr>
          <w:sz w:val="22"/>
          <w:szCs w:val="22"/>
          <w:lang w:val="lt-LT" w:eastAsia="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3"/>
        <w:gridCol w:w="1353"/>
        <w:gridCol w:w="1576"/>
        <w:gridCol w:w="1438"/>
        <w:gridCol w:w="1214"/>
      </w:tblGrid>
      <w:tr w:rsidR="001B11F7" w14:paraId="24B744D4" w14:textId="77777777">
        <w:trPr>
          <w:jc w:val="center"/>
        </w:trPr>
        <w:tc>
          <w:tcPr>
            <w:tcW w:w="3273" w:type="dxa"/>
          </w:tcPr>
          <w:p w14:paraId="481FBA7E" w14:textId="77777777" w:rsidR="001B11F7" w:rsidRDefault="00B83885">
            <w:pPr>
              <w:widowControl w:val="0"/>
              <w:rPr>
                <w:sz w:val="22"/>
                <w:szCs w:val="22"/>
                <w:lang w:val="lt-LT" w:eastAsia="en-US"/>
              </w:rPr>
            </w:pPr>
            <w:r>
              <w:rPr>
                <w:sz w:val="22"/>
                <w:szCs w:val="22"/>
                <w:lang w:val="lt-LT" w:eastAsia="lt-LT"/>
              </w:rPr>
              <w:t>Reiškinys</w:t>
            </w:r>
          </w:p>
        </w:tc>
        <w:tc>
          <w:tcPr>
            <w:tcW w:w="1353" w:type="dxa"/>
          </w:tcPr>
          <w:p w14:paraId="04425F60" w14:textId="77777777" w:rsidR="001B11F7" w:rsidRDefault="00B83885">
            <w:pPr>
              <w:widowControl w:val="0"/>
              <w:rPr>
                <w:sz w:val="22"/>
                <w:szCs w:val="22"/>
                <w:lang w:val="lt-LT" w:eastAsia="en-US"/>
              </w:rPr>
            </w:pPr>
            <w:r>
              <w:rPr>
                <w:sz w:val="22"/>
                <w:szCs w:val="22"/>
                <w:lang w:val="lt-LT" w:eastAsia="lt-LT"/>
              </w:rPr>
              <w:t>Santykinės rizikos sumažėjimas (%)</w:t>
            </w:r>
          </w:p>
        </w:tc>
        <w:tc>
          <w:tcPr>
            <w:tcW w:w="1576" w:type="dxa"/>
          </w:tcPr>
          <w:p w14:paraId="01519310" w14:textId="77777777" w:rsidR="001B11F7" w:rsidRDefault="00B83885">
            <w:pPr>
              <w:widowControl w:val="0"/>
              <w:rPr>
                <w:sz w:val="22"/>
                <w:szCs w:val="22"/>
                <w:lang w:val="lt-LT" w:eastAsia="en-US"/>
              </w:rPr>
            </w:pPr>
            <w:r>
              <w:rPr>
                <w:sz w:val="22"/>
                <w:szCs w:val="22"/>
                <w:lang w:val="lt-LT" w:eastAsia="lt-LT"/>
              </w:rPr>
              <w:t>Reiškinių skaičius (vartojant atorvastatiną ir placebą)</w:t>
            </w:r>
          </w:p>
        </w:tc>
        <w:tc>
          <w:tcPr>
            <w:tcW w:w="1438" w:type="dxa"/>
          </w:tcPr>
          <w:p w14:paraId="31836E3B" w14:textId="77777777" w:rsidR="001B11F7" w:rsidRDefault="00B83885">
            <w:pPr>
              <w:widowControl w:val="0"/>
              <w:rPr>
                <w:sz w:val="22"/>
                <w:szCs w:val="22"/>
                <w:lang w:val="lt-LT" w:eastAsia="en-US"/>
              </w:rPr>
            </w:pPr>
            <w:r>
              <w:rPr>
                <w:sz w:val="22"/>
                <w:szCs w:val="22"/>
                <w:lang w:val="lt-LT" w:eastAsia="lt-LT"/>
              </w:rPr>
              <w:t>Absoliučios rizikos sumažėjimas</w:t>
            </w:r>
            <w:r>
              <w:rPr>
                <w:sz w:val="22"/>
                <w:szCs w:val="22"/>
                <w:vertAlign w:val="superscript"/>
                <w:lang w:val="lt-LT" w:eastAsia="lt-LT"/>
              </w:rPr>
              <w:t>1</w:t>
            </w:r>
            <w:r>
              <w:rPr>
                <w:sz w:val="22"/>
                <w:szCs w:val="22"/>
                <w:lang w:val="lt-LT" w:eastAsia="lt-LT"/>
              </w:rPr>
              <w:t xml:space="preserve"> (%)</w:t>
            </w:r>
          </w:p>
        </w:tc>
        <w:tc>
          <w:tcPr>
            <w:tcW w:w="1214" w:type="dxa"/>
          </w:tcPr>
          <w:p w14:paraId="1A28A7BA" w14:textId="77777777" w:rsidR="001B11F7" w:rsidRDefault="00B83885">
            <w:pPr>
              <w:widowControl w:val="0"/>
              <w:rPr>
                <w:sz w:val="22"/>
                <w:szCs w:val="22"/>
                <w:lang w:val="lt-LT" w:eastAsia="en-US"/>
              </w:rPr>
            </w:pPr>
            <w:r>
              <w:rPr>
                <w:sz w:val="22"/>
                <w:szCs w:val="22"/>
                <w:lang w:val="lt-LT" w:eastAsia="lt-LT"/>
              </w:rPr>
              <w:t>p reikšmė</w:t>
            </w:r>
          </w:p>
        </w:tc>
      </w:tr>
      <w:tr w:rsidR="001B11F7" w14:paraId="41BB79CF" w14:textId="77777777">
        <w:trPr>
          <w:jc w:val="center"/>
        </w:trPr>
        <w:tc>
          <w:tcPr>
            <w:tcW w:w="3273" w:type="dxa"/>
          </w:tcPr>
          <w:p w14:paraId="25D84854" w14:textId="77777777" w:rsidR="001B11F7" w:rsidRDefault="00B83885">
            <w:pPr>
              <w:widowControl w:val="0"/>
              <w:rPr>
                <w:sz w:val="22"/>
                <w:szCs w:val="22"/>
                <w:lang w:val="lt-LT" w:eastAsia="en-US"/>
              </w:rPr>
            </w:pPr>
            <w:r>
              <w:rPr>
                <w:sz w:val="22"/>
                <w:szCs w:val="22"/>
                <w:lang w:val="lt-LT" w:eastAsia="lt-LT"/>
              </w:rPr>
              <w:t>Mirtina IŠL ir nemirtinas MI</w:t>
            </w:r>
          </w:p>
          <w:p w14:paraId="755B8F66" w14:textId="77777777" w:rsidR="001B11F7" w:rsidRDefault="001B11F7">
            <w:pPr>
              <w:widowControl w:val="0"/>
              <w:rPr>
                <w:sz w:val="22"/>
                <w:szCs w:val="22"/>
                <w:lang w:val="lt-LT" w:eastAsia="lt-LT"/>
              </w:rPr>
            </w:pPr>
          </w:p>
          <w:p w14:paraId="54992C2F" w14:textId="77777777" w:rsidR="001B11F7" w:rsidRDefault="00B83885">
            <w:pPr>
              <w:widowControl w:val="0"/>
              <w:rPr>
                <w:sz w:val="22"/>
                <w:szCs w:val="22"/>
                <w:lang w:val="lt-LT" w:eastAsia="lt-LT"/>
              </w:rPr>
            </w:pPr>
            <w:r>
              <w:rPr>
                <w:sz w:val="22"/>
                <w:szCs w:val="22"/>
                <w:lang w:val="lt-LT" w:eastAsia="lt-LT"/>
              </w:rPr>
              <w:t>Bendrieji kardiovaskuliniai reiškiniai ir revaskuliarizacijos procedūros</w:t>
            </w:r>
          </w:p>
          <w:p w14:paraId="1340ED81" w14:textId="77777777" w:rsidR="001B11F7" w:rsidRDefault="001B11F7">
            <w:pPr>
              <w:widowControl w:val="0"/>
              <w:rPr>
                <w:sz w:val="22"/>
                <w:szCs w:val="22"/>
                <w:lang w:val="lt-LT" w:eastAsia="lt-LT"/>
              </w:rPr>
            </w:pPr>
          </w:p>
          <w:p w14:paraId="3CE42CF4" w14:textId="77777777" w:rsidR="001B11F7" w:rsidRDefault="00B83885">
            <w:pPr>
              <w:widowControl w:val="0"/>
              <w:rPr>
                <w:sz w:val="22"/>
                <w:szCs w:val="22"/>
                <w:lang w:val="lt-LT" w:eastAsia="en-US"/>
              </w:rPr>
            </w:pPr>
            <w:r>
              <w:rPr>
                <w:sz w:val="22"/>
                <w:szCs w:val="22"/>
                <w:lang w:val="lt-LT" w:eastAsia="lt-LT"/>
              </w:rPr>
              <w:t>Visi vainikinių kraujagyslių reiškiniai</w:t>
            </w:r>
          </w:p>
        </w:tc>
        <w:tc>
          <w:tcPr>
            <w:tcW w:w="1353" w:type="dxa"/>
          </w:tcPr>
          <w:p w14:paraId="189D643C" w14:textId="77777777" w:rsidR="001B11F7" w:rsidRDefault="00B83885">
            <w:pPr>
              <w:widowControl w:val="0"/>
              <w:jc w:val="center"/>
              <w:rPr>
                <w:sz w:val="22"/>
                <w:szCs w:val="22"/>
                <w:lang w:val="lt-LT" w:eastAsia="en-US"/>
              </w:rPr>
            </w:pPr>
            <w:r>
              <w:rPr>
                <w:sz w:val="22"/>
                <w:szCs w:val="22"/>
                <w:lang w:val="lt-LT" w:eastAsia="lt-LT"/>
              </w:rPr>
              <w:t>36 %</w:t>
            </w:r>
          </w:p>
          <w:p w14:paraId="691B123C" w14:textId="77777777" w:rsidR="001B11F7" w:rsidRDefault="001B11F7">
            <w:pPr>
              <w:widowControl w:val="0"/>
              <w:jc w:val="center"/>
              <w:rPr>
                <w:sz w:val="22"/>
                <w:szCs w:val="22"/>
                <w:lang w:val="lt-LT" w:eastAsia="lt-LT"/>
              </w:rPr>
            </w:pPr>
          </w:p>
          <w:p w14:paraId="4E9769BA" w14:textId="77777777" w:rsidR="001B11F7" w:rsidRDefault="00B83885">
            <w:pPr>
              <w:widowControl w:val="0"/>
              <w:jc w:val="center"/>
              <w:rPr>
                <w:sz w:val="22"/>
                <w:szCs w:val="22"/>
                <w:lang w:val="lt-LT" w:eastAsia="lt-LT"/>
              </w:rPr>
            </w:pPr>
            <w:r>
              <w:rPr>
                <w:sz w:val="22"/>
                <w:szCs w:val="22"/>
                <w:lang w:val="lt-LT" w:eastAsia="lt-LT"/>
              </w:rPr>
              <w:t>20 %</w:t>
            </w:r>
          </w:p>
          <w:p w14:paraId="21BFEDEC" w14:textId="77777777" w:rsidR="001B11F7" w:rsidRDefault="001B11F7">
            <w:pPr>
              <w:widowControl w:val="0"/>
              <w:jc w:val="center"/>
              <w:rPr>
                <w:sz w:val="22"/>
                <w:szCs w:val="22"/>
                <w:lang w:val="lt-LT" w:eastAsia="lt-LT"/>
              </w:rPr>
            </w:pPr>
          </w:p>
          <w:p w14:paraId="5B17390B" w14:textId="77777777" w:rsidR="001B11F7" w:rsidRDefault="001B11F7">
            <w:pPr>
              <w:widowControl w:val="0"/>
              <w:jc w:val="center"/>
              <w:rPr>
                <w:sz w:val="22"/>
                <w:szCs w:val="22"/>
                <w:lang w:val="lt-LT" w:eastAsia="lt-LT"/>
              </w:rPr>
            </w:pPr>
          </w:p>
          <w:p w14:paraId="24F451AF" w14:textId="77777777" w:rsidR="001B11F7" w:rsidRDefault="001B11F7">
            <w:pPr>
              <w:widowControl w:val="0"/>
              <w:jc w:val="center"/>
              <w:rPr>
                <w:sz w:val="22"/>
                <w:szCs w:val="22"/>
                <w:lang w:val="lt-LT" w:eastAsia="lt-LT"/>
              </w:rPr>
            </w:pPr>
          </w:p>
          <w:p w14:paraId="4BEE75A0" w14:textId="77777777" w:rsidR="001B11F7" w:rsidRDefault="00B83885">
            <w:pPr>
              <w:widowControl w:val="0"/>
              <w:jc w:val="center"/>
              <w:rPr>
                <w:sz w:val="22"/>
                <w:szCs w:val="22"/>
                <w:lang w:val="lt-LT" w:eastAsia="en-US"/>
              </w:rPr>
            </w:pPr>
            <w:r>
              <w:rPr>
                <w:sz w:val="22"/>
                <w:szCs w:val="22"/>
                <w:lang w:val="lt-LT" w:eastAsia="lt-LT"/>
              </w:rPr>
              <w:t>29 %</w:t>
            </w:r>
          </w:p>
        </w:tc>
        <w:tc>
          <w:tcPr>
            <w:tcW w:w="1576" w:type="dxa"/>
          </w:tcPr>
          <w:p w14:paraId="162346CE" w14:textId="77777777" w:rsidR="001B11F7" w:rsidRDefault="00B83885">
            <w:pPr>
              <w:widowControl w:val="0"/>
              <w:rPr>
                <w:sz w:val="22"/>
                <w:szCs w:val="22"/>
                <w:lang w:val="lt-LT" w:eastAsia="en-US"/>
              </w:rPr>
            </w:pPr>
            <w:r>
              <w:rPr>
                <w:sz w:val="22"/>
                <w:szCs w:val="22"/>
                <w:lang w:val="lt-LT" w:eastAsia="lt-LT"/>
              </w:rPr>
              <w:t>100 ir 154</w:t>
            </w:r>
          </w:p>
          <w:p w14:paraId="626011D8" w14:textId="77777777" w:rsidR="001B11F7" w:rsidRDefault="001B11F7">
            <w:pPr>
              <w:widowControl w:val="0"/>
              <w:rPr>
                <w:sz w:val="22"/>
                <w:szCs w:val="22"/>
                <w:lang w:val="lt-LT" w:eastAsia="lt-LT"/>
              </w:rPr>
            </w:pPr>
          </w:p>
          <w:p w14:paraId="1A99707A" w14:textId="77777777" w:rsidR="001B11F7" w:rsidRDefault="00B83885">
            <w:pPr>
              <w:widowControl w:val="0"/>
              <w:rPr>
                <w:sz w:val="22"/>
                <w:szCs w:val="22"/>
                <w:lang w:val="lt-LT" w:eastAsia="lt-LT"/>
              </w:rPr>
            </w:pPr>
            <w:r>
              <w:rPr>
                <w:sz w:val="22"/>
                <w:szCs w:val="22"/>
                <w:lang w:val="lt-LT" w:eastAsia="lt-LT"/>
              </w:rPr>
              <w:t>389 ir 483</w:t>
            </w:r>
          </w:p>
          <w:p w14:paraId="0B7CA61B" w14:textId="77777777" w:rsidR="001B11F7" w:rsidRDefault="001B11F7">
            <w:pPr>
              <w:widowControl w:val="0"/>
              <w:rPr>
                <w:sz w:val="22"/>
                <w:szCs w:val="22"/>
                <w:lang w:val="lt-LT" w:eastAsia="lt-LT"/>
              </w:rPr>
            </w:pPr>
          </w:p>
          <w:p w14:paraId="47FD0C9C" w14:textId="77777777" w:rsidR="001B11F7" w:rsidRDefault="001B11F7">
            <w:pPr>
              <w:widowControl w:val="0"/>
              <w:rPr>
                <w:sz w:val="22"/>
                <w:szCs w:val="22"/>
                <w:lang w:val="lt-LT" w:eastAsia="lt-LT"/>
              </w:rPr>
            </w:pPr>
          </w:p>
          <w:p w14:paraId="51D99C5B" w14:textId="77777777" w:rsidR="001B11F7" w:rsidRDefault="001B11F7">
            <w:pPr>
              <w:widowControl w:val="0"/>
              <w:rPr>
                <w:sz w:val="22"/>
                <w:szCs w:val="22"/>
                <w:lang w:val="lt-LT" w:eastAsia="lt-LT"/>
              </w:rPr>
            </w:pPr>
          </w:p>
          <w:p w14:paraId="2450272D" w14:textId="77777777" w:rsidR="001B11F7" w:rsidRDefault="00B83885">
            <w:pPr>
              <w:widowControl w:val="0"/>
              <w:rPr>
                <w:sz w:val="22"/>
                <w:szCs w:val="22"/>
                <w:lang w:val="lt-LT" w:eastAsia="en-US"/>
              </w:rPr>
            </w:pPr>
            <w:r>
              <w:rPr>
                <w:sz w:val="22"/>
                <w:szCs w:val="22"/>
                <w:lang w:val="lt-LT" w:eastAsia="lt-LT"/>
              </w:rPr>
              <w:t>178 ir 247</w:t>
            </w:r>
          </w:p>
        </w:tc>
        <w:tc>
          <w:tcPr>
            <w:tcW w:w="1438" w:type="dxa"/>
          </w:tcPr>
          <w:p w14:paraId="31FBB434" w14:textId="77777777" w:rsidR="001B11F7" w:rsidRDefault="00B83885">
            <w:pPr>
              <w:widowControl w:val="0"/>
              <w:jc w:val="center"/>
              <w:rPr>
                <w:sz w:val="22"/>
                <w:szCs w:val="22"/>
                <w:lang w:val="lt-LT" w:eastAsia="en-US"/>
              </w:rPr>
            </w:pPr>
            <w:r>
              <w:rPr>
                <w:sz w:val="22"/>
                <w:szCs w:val="22"/>
                <w:lang w:val="lt-LT" w:eastAsia="lt-LT"/>
              </w:rPr>
              <w:t>1,1 %</w:t>
            </w:r>
          </w:p>
          <w:p w14:paraId="203CF3FA" w14:textId="77777777" w:rsidR="001B11F7" w:rsidRDefault="001B11F7">
            <w:pPr>
              <w:widowControl w:val="0"/>
              <w:jc w:val="center"/>
              <w:rPr>
                <w:sz w:val="22"/>
                <w:szCs w:val="22"/>
                <w:lang w:val="lt-LT" w:eastAsia="lt-LT"/>
              </w:rPr>
            </w:pPr>
          </w:p>
          <w:p w14:paraId="5D68836D" w14:textId="77777777" w:rsidR="001B11F7" w:rsidRDefault="00B83885">
            <w:pPr>
              <w:widowControl w:val="0"/>
              <w:jc w:val="center"/>
              <w:rPr>
                <w:sz w:val="22"/>
                <w:szCs w:val="22"/>
                <w:lang w:val="lt-LT" w:eastAsia="lt-LT"/>
              </w:rPr>
            </w:pPr>
            <w:r>
              <w:rPr>
                <w:sz w:val="22"/>
                <w:szCs w:val="22"/>
                <w:lang w:val="lt-LT" w:eastAsia="lt-LT"/>
              </w:rPr>
              <w:t>1,9 %</w:t>
            </w:r>
          </w:p>
          <w:p w14:paraId="0D86E2FD" w14:textId="77777777" w:rsidR="001B11F7" w:rsidRDefault="001B11F7">
            <w:pPr>
              <w:widowControl w:val="0"/>
              <w:jc w:val="center"/>
              <w:rPr>
                <w:sz w:val="22"/>
                <w:szCs w:val="22"/>
                <w:lang w:val="lt-LT" w:eastAsia="lt-LT"/>
              </w:rPr>
            </w:pPr>
          </w:p>
          <w:p w14:paraId="0ABEB717" w14:textId="77777777" w:rsidR="001B11F7" w:rsidRDefault="001B11F7">
            <w:pPr>
              <w:widowControl w:val="0"/>
              <w:jc w:val="center"/>
              <w:rPr>
                <w:sz w:val="22"/>
                <w:szCs w:val="22"/>
                <w:lang w:val="lt-LT" w:eastAsia="lt-LT"/>
              </w:rPr>
            </w:pPr>
          </w:p>
          <w:p w14:paraId="5182A327" w14:textId="77777777" w:rsidR="001B11F7" w:rsidRDefault="001B11F7">
            <w:pPr>
              <w:widowControl w:val="0"/>
              <w:jc w:val="center"/>
              <w:rPr>
                <w:sz w:val="22"/>
                <w:szCs w:val="22"/>
                <w:lang w:val="lt-LT" w:eastAsia="lt-LT"/>
              </w:rPr>
            </w:pPr>
          </w:p>
          <w:p w14:paraId="1BB9F90B" w14:textId="77777777" w:rsidR="001B11F7" w:rsidRDefault="00B83885">
            <w:pPr>
              <w:widowControl w:val="0"/>
              <w:jc w:val="center"/>
              <w:rPr>
                <w:sz w:val="22"/>
                <w:szCs w:val="22"/>
                <w:lang w:val="lt-LT" w:eastAsia="en-US"/>
              </w:rPr>
            </w:pPr>
            <w:r>
              <w:rPr>
                <w:sz w:val="22"/>
                <w:szCs w:val="22"/>
                <w:lang w:val="lt-LT" w:eastAsia="lt-LT"/>
              </w:rPr>
              <w:t>1,4 %</w:t>
            </w:r>
          </w:p>
        </w:tc>
        <w:tc>
          <w:tcPr>
            <w:tcW w:w="1214" w:type="dxa"/>
          </w:tcPr>
          <w:p w14:paraId="4893E7B9" w14:textId="77777777" w:rsidR="001B11F7" w:rsidRDefault="00B83885">
            <w:pPr>
              <w:widowControl w:val="0"/>
              <w:rPr>
                <w:sz w:val="22"/>
                <w:szCs w:val="22"/>
                <w:lang w:val="lt-LT" w:eastAsia="en-US"/>
              </w:rPr>
            </w:pPr>
            <w:r>
              <w:rPr>
                <w:sz w:val="22"/>
                <w:szCs w:val="22"/>
                <w:lang w:val="lt-LT" w:eastAsia="lt-LT"/>
              </w:rPr>
              <w:t>0,0005</w:t>
            </w:r>
          </w:p>
          <w:p w14:paraId="6D2D7E0B" w14:textId="77777777" w:rsidR="001B11F7" w:rsidRDefault="001B11F7">
            <w:pPr>
              <w:widowControl w:val="0"/>
              <w:rPr>
                <w:sz w:val="22"/>
                <w:szCs w:val="22"/>
                <w:lang w:val="lt-LT" w:eastAsia="lt-LT"/>
              </w:rPr>
            </w:pPr>
          </w:p>
          <w:p w14:paraId="05496409" w14:textId="77777777" w:rsidR="001B11F7" w:rsidRDefault="00B83885">
            <w:pPr>
              <w:widowControl w:val="0"/>
              <w:rPr>
                <w:sz w:val="22"/>
                <w:szCs w:val="22"/>
                <w:lang w:val="lt-LT" w:eastAsia="lt-LT"/>
              </w:rPr>
            </w:pPr>
            <w:r>
              <w:rPr>
                <w:sz w:val="22"/>
                <w:szCs w:val="22"/>
                <w:lang w:val="lt-LT" w:eastAsia="lt-LT"/>
              </w:rPr>
              <w:t>0,0008</w:t>
            </w:r>
          </w:p>
          <w:p w14:paraId="6B8F6071" w14:textId="77777777" w:rsidR="001B11F7" w:rsidRDefault="001B11F7">
            <w:pPr>
              <w:widowControl w:val="0"/>
              <w:rPr>
                <w:sz w:val="22"/>
                <w:szCs w:val="22"/>
                <w:lang w:val="lt-LT" w:eastAsia="lt-LT"/>
              </w:rPr>
            </w:pPr>
          </w:p>
          <w:p w14:paraId="7673D193" w14:textId="77777777" w:rsidR="001B11F7" w:rsidRDefault="001B11F7">
            <w:pPr>
              <w:widowControl w:val="0"/>
              <w:rPr>
                <w:sz w:val="22"/>
                <w:szCs w:val="22"/>
                <w:lang w:val="lt-LT" w:eastAsia="lt-LT"/>
              </w:rPr>
            </w:pPr>
          </w:p>
          <w:p w14:paraId="543BDE6D" w14:textId="77777777" w:rsidR="001B11F7" w:rsidRDefault="001B11F7">
            <w:pPr>
              <w:widowControl w:val="0"/>
              <w:rPr>
                <w:sz w:val="22"/>
                <w:szCs w:val="22"/>
                <w:lang w:val="lt-LT" w:eastAsia="lt-LT"/>
              </w:rPr>
            </w:pPr>
          </w:p>
          <w:p w14:paraId="17D0D657" w14:textId="77777777" w:rsidR="001B11F7" w:rsidRDefault="00B83885">
            <w:pPr>
              <w:widowControl w:val="0"/>
              <w:rPr>
                <w:sz w:val="22"/>
                <w:szCs w:val="22"/>
                <w:lang w:val="lt-LT" w:eastAsia="en-US"/>
              </w:rPr>
            </w:pPr>
            <w:r>
              <w:rPr>
                <w:sz w:val="22"/>
                <w:szCs w:val="22"/>
                <w:lang w:val="lt-LT" w:eastAsia="lt-LT"/>
              </w:rPr>
              <w:t>0,0006</w:t>
            </w:r>
          </w:p>
        </w:tc>
      </w:tr>
    </w:tbl>
    <w:p w14:paraId="503CC880" w14:textId="77777777" w:rsidR="001B11F7" w:rsidRDefault="00B83885">
      <w:pPr>
        <w:widowControl w:val="0"/>
        <w:rPr>
          <w:sz w:val="22"/>
          <w:szCs w:val="22"/>
          <w:lang w:val="lt-LT" w:eastAsia="en-US"/>
        </w:rPr>
      </w:pPr>
      <w:r>
        <w:rPr>
          <w:sz w:val="22"/>
          <w:szCs w:val="22"/>
          <w:vertAlign w:val="superscript"/>
          <w:lang w:val="lt-LT" w:eastAsia="lt-LT"/>
        </w:rPr>
        <w:t>1</w:t>
      </w:r>
      <w:r>
        <w:rPr>
          <w:sz w:val="22"/>
          <w:szCs w:val="22"/>
          <w:lang w:val="lt-LT" w:eastAsia="lt-LT"/>
        </w:rPr>
        <w:t xml:space="preserve"> Remiantis labai sunkių reiškinių, kurie pasireiškė stebėjimo laikotarpiu (mediana 3,3 metų), dažnio skirtumu.</w:t>
      </w:r>
    </w:p>
    <w:p w14:paraId="46E4A939" w14:textId="77777777" w:rsidR="001B11F7" w:rsidRDefault="00B83885">
      <w:pPr>
        <w:widowControl w:val="0"/>
        <w:rPr>
          <w:sz w:val="22"/>
          <w:szCs w:val="22"/>
          <w:lang w:val="lt-LT" w:eastAsia="lt-LT"/>
        </w:rPr>
      </w:pPr>
      <w:r>
        <w:rPr>
          <w:sz w:val="22"/>
          <w:szCs w:val="22"/>
          <w:lang w:val="lt-LT" w:eastAsia="lt-LT"/>
        </w:rPr>
        <w:t>IŠL = išeminė širdies liga, MI = miokardo infarktas.</w:t>
      </w:r>
    </w:p>
    <w:p w14:paraId="4D3CB790" w14:textId="77777777" w:rsidR="001B11F7" w:rsidRDefault="001B11F7">
      <w:pPr>
        <w:widowControl w:val="0"/>
        <w:rPr>
          <w:sz w:val="22"/>
          <w:szCs w:val="22"/>
          <w:lang w:val="lt-LT" w:eastAsia="lt-LT"/>
        </w:rPr>
      </w:pPr>
    </w:p>
    <w:p w14:paraId="2D5AF092" w14:textId="77777777" w:rsidR="001B11F7" w:rsidRDefault="00B83885">
      <w:pPr>
        <w:widowControl w:val="0"/>
        <w:autoSpaceDE w:val="0"/>
        <w:autoSpaceDN w:val="0"/>
        <w:adjustRightInd w:val="0"/>
        <w:rPr>
          <w:sz w:val="22"/>
          <w:szCs w:val="22"/>
          <w:lang w:val="lt-LT"/>
        </w:rPr>
      </w:pPr>
      <w:r>
        <w:rPr>
          <w:sz w:val="22"/>
          <w:szCs w:val="22"/>
          <w:lang w:val="lt-LT"/>
        </w:rPr>
        <w:t>Bendrasis mirtingumas ir kardiovaskulinis mirštamumas sumažėjo nereikšmingai (185, palyginti su 212 atvejų, p=0,17, ir 74, palyginti su 82 atvejais, p=0,51). Analizuojant pogrupius pagal lytį (81 % vyrų, 19 % moterų), gauta duomenų, kad palankus atorvastatino poveikis pasireiškė vyrams, bet negalėjo būti nustatytas moterims dėl mažo reiškinių dažnio moterų pogrupyje. Bendrasis ir kardiovaskulinis moterų mirtingumas buvo daug didesni (38, palyginti su 30, ir 17, palyginti su 12), bet skirtumas buvo statistiškai nereikšmingas. Pasireiškė reikšminga sąveika su pradiniu antihipertenziniu gydymu. Pagrindinė vertinamoji baigtis (mirtina IŠL ir nemirtinas MI) reikšmingai sumažėjo amlodipinu gydytiems pacientams, (RS 0,47 [0,32</w:t>
      </w:r>
      <w:r>
        <w:rPr>
          <w:sz w:val="22"/>
          <w:szCs w:val="22"/>
          <w:lang w:val="lt-LT"/>
        </w:rPr>
        <w:noBreakHyphen/>
        <w:t>0,69], p=0,00008), bet ne atenololiu gydytiems ligoniams (RS 0,83 [0,59</w:t>
      </w:r>
      <w:r>
        <w:rPr>
          <w:sz w:val="22"/>
          <w:szCs w:val="22"/>
          <w:lang w:val="lt-LT"/>
        </w:rPr>
        <w:noBreakHyphen/>
        <w:t>1,17], p=0,287).</w:t>
      </w:r>
    </w:p>
    <w:p w14:paraId="14CBE20A" w14:textId="77777777" w:rsidR="001B11F7" w:rsidRDefault="001B11F7">
      <w:pPr>
        <w:widowControl w:val="0"/>
        <w:autoSpaceDE w:val="0"/>
        <w:autoSpaceDN w:val="0"/>
        <w:adjustRightInd w:val="0"/>
        <w:rPr>
          <w:sz w:val="22"/>
          <w:szCs w:val="22"/>
          <w:lang w:val="lt-LT"/>
        </w:rPr>
      </w:pPr>
    </w:p>
    <w:p w14:paraId="6CAB5AAB" w14:textId="77777777" w:rsidR="001B11F7" w:rsidRDefault="00B83885">
      <w:pPr>
        <w:widowControl w:val="0"/>
        <w:autoSpaceDE w:val="0"/>
        <w:autoSpaceDN w:val="0"/>
        <w:adjustRightInd w:val="0"/>
        <w:rPr>
          <w:sz w:val="22"/>
          <w:szCs w:val="22"/>
          <w:lang w:val="lt-LT"/>
        </w:rPr>
      </w:pPr>
      <w:r>
        <w:rPr>
          <w:sz w:val="22"/>
          <w:szCs w:val="22"/>
          <w:lang w:val="lt-LT"/>
        </w:rPr>
        <w:t xml:space="preserve">Atorvastatino įtaka mirtinai ir nemirtinai kardiovaskulinei ligai buvo įvertinta dvigubai koduoto atsitiktinių imčių daugiacentrio placebu kontroliuoto cukriniu diabetu sergančių ligonių gydymo atorvastatinu bendradarbiavimo tyrimo (angl. </w:t>
      </w:r>
      <w:r>
        <w:rPr>
          <w:i/>
          <w:sz w:val="22"/>
          <w:szCs w:val="22"/>
          <w:lang w:val="lt-LT"/>
        </w:rPr>
        <w:t>Collaborative Atorvastatin Diabetes Study</w:t>
      </w:r>
      <w:r>
        <w:rPr>
          <w:sz w:val="22"/>
          <w:szCs w:val="22"/>
          <w:lang w:val="lt-LT"/>
        </w:rPr>
        <w:t xml:space="preserve"> </w:t>
      </w:r>
      <w:r>
        <w:rPr>
          <w:iCs/>
          <w:color w:val="000000"/>
          <w:sz w:val="22"/>
          <w:szCs w:val="22"/>
          <w:lang w:val="lt-LT"/>
        </w:rPr>
        <w:t>[</w:t>
      </w:r>
      <w:r>
        <w:rPr>
          <w:sz w:val="22"/>
          <w:szCs w:val="22"/>
          <w:lang w:val="lt-LT"/>
        </w:rPr>
        <w:t>CARDS</w:t>
      </w:r>
      <w:r>
        <w:rPr>
          <w:iCs/>
          <w:color w:val="000000"/>
          <w:sz w:val="22"/>
          <w:szCs w:val="22"/>
          <w:lang w:val="lt-LT"/>
        </w:rPr>
        <w:t>]</w:t>
      </w:r>
      <w:r>
        <w:rPr>
          <w:sz w:val="22"/>
          <w:szCs w:val="22"/>
          <w:lang w:val="lt-LT"/>
        </w:rPr>
        <w:t>) metu. Šiame tyrime dalyvavo 2 tipo cukriniu diabetu sergantys 40</w:t>
      </w:r>
      <w:r>
        <w:rPr>
          <w:sz w:val="22"/>
          <w:szCs w:val="22"/>
          <w:lang w:val="lt-LT"/>
        </w:rPr>
        <w:noBreakHyphen/>
        <w:t>75 metų pacientai, kuriems anksčiau nebuvo diagnozuota kardiovaskulinė liga ir kurių MTL cholesterolio koncentracija kraujyje buvo ≤ 4,14 mmol/l (160 mg/dl), o trigliceridų koncentracija kraujyje ≤ 6,78 mmol/l (600 mg/dl). Visiems pacientams buvo nustatytas bent vienas iš išvardytų rizikos veiksnių: hipertenzija, rūkymas šiuo metu, retinopatija, mikroalbuminurija ar makroalbuminurija.</w:t>
      </w:r>
    </w:p>
    <w:p w14:paraId="04C24571" w14:textId="77777777" w:rsidR="001B11F7" w:rsidRDefault="001B11F7">
      <w:pPr>
        <w:widowControl w:val="0"/>
        <w:autoSpaceDE w:val="0"/>
        <w:autoSpaceDN w:val="0"/>
        <w:adjustRightInd w:val="0"/>
        <w:rPr>
          <w:sz w:val="22"/>
          <w:szCs w:val="22"/>
          <w:lang w:val="lt-LT"/>
        </w:rPr>
      </w:pPr>
    </w:p>
    <w:p w14:paraId="2BEEA225" w14:textId="77777777" w:rsidR="001B11F7" w:rsidRDefault="00B83885">
      <w:pPr>
        <w:widowControl w:val="0"/>
        <w:autoSpaceDE w:val="0"/>
        <w:autoSpaceDN w:val="0"/>
        <w:adjustRightInd w:val="0"/>
        <w:rPr>
          <w:sz w:val="22"/>
          <w:szCs w:val="22"/>
          <w:lang w:val="lt-LT"/>
        </w:rPr>
      </w:pPr>
      <w:r>
        <w:rPr>
          <w:sz w:val="22"/>
          <w:szCs w:val="22"/>
          <w:lang w:val="lt-LT"/>
        </w:rPr>
        <w:t>Pacientai vartojo arba 10 mg atorvastatino paros dozę (n=1428), arba placebo (n=1410), stebėjimo mediana buvo 3,9 metų.</w:t>
      </w:r>
    </w:p>
    <w:p w14:paraId="7CCF31B7" w14:textId="77777777" w:rsidR="001B11F7" w:rsidRDefault="001B11F7">
      <w:pPr>
        <w:widowControl w:val="0"/>
        <w:autoSpaceDE w:val="0"/>
        <w:autoSpaceDN w:val="0"/>
        <w:adjustRightInd w:val="0"/>
        <w:rPr>
          <w:sz w:val="22"/>
          <w:szCs w:val="22"/>
          <w:lang w:val="lt-LT"/>
        </w:rPr>
      </w:pPr>
    </w:p>
    <w:p w14:paraId="33B3363D" w14:textId="77777777" w:rsidR="001B11F7" w:rsidRDefault="00B83885">
      <w:pPr>
        <w:widowControl w:val="0"/>
        <w:rPr>
          <w:sz w:val="22"/>
          <w:szCs w:val="22"/>
          <w:lang w:val="lt-LT" w:eastAsia="lt-LT"/>
        </w:rPr>
      </w:pPr>
      <w:r>
        <w:rPr>
          <w:sz w:val="22"/>
          <w:szCs w:val="22"/>
          <w:lang w:val="lt-LT" w:eastAsia="lt-LT"/>
        </w:rPr>
        <w:t>Žemiau esančioje lentelėje pateikiama atorvastatino įtaka absoliučios ir santykinės rizikos sumažėjimui.</w:t>
      </w:r>
    </w:p>
    <w:p w14:paraId="7D348644" w14:textId="77777777" w:rsidR="001B11F7" w:rsidRDefault="001B11F7">
      <w:pPr>
        <w:widowControl w:val="0"/>
        <w:autoSpaceDE w:val="0"/>
        <w:autoSpaceDN w:val="0"/>
        <w:adjustRightInd w:val="0"/>
        <w:rPr>
          <w:sz w:val="22"/>
          <w:szCs w:val="22"/>
          <w:lang w:val="lt-LT"/>
        </w:rPr>
      </w:pPr>
    </w:p>
    <w:tbl>
      <w:tblPr>
        <w:tblW w:w="9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1620"/>
        <w:gridCol w:w="1856"/>
        <w:gridCol w:w="1620"/>
        <w:gridCol w:w="1261"/>
      </w:tblGrid>
      <w:tr w:rsidR="001B11F7" w14:paraId="5A3BC1B9" w14:textId="77777777">
        <w:tc>
          <w:tcPr>
            <w:tcW w:w="3060" w:type="dxa"/>
            <w:tcBorders>
              <w:top w:val="single" w:sz="4" w:space="0" w:color="auto"/>
              <w:left w:val="single" w:sz="4" w:space="0" w:color="auto"/>
              <w:bottom w:val="single" w:sz="4" w:space="0" w:color="auto"/>
              <w:right w:val="single" w:sz="4" w:space="0" w:color="auto"/>
            </w:tcBorders>
          </w:tcPr>
          <w:p w14:paraId="630FE32D" w14:textId="77777777" w:rsidR="001B11F7" w:rsidRDefault="00B83885">
            <w:pPr>
              <w:widowControl w:val="0"/>
              <w:autoSpaceDE w:val="0"/>
              <w:autoSpaceDN w:val="0"/>
              <w:adjustRightInd w:val="0"/>
              <w:rPr>
                <w:iCs/>
                <w:sz w:val="22"/>
                <w:szCs w:val="22"/>
                <w:lang w:val="lt-LT"/>
              </w:rPr>
            </w:pPr>
            <w:r>
              <w:rPr>
                <w:iCs/>
                <w:sz w:val="22"/>
                <w:szCs w:val="22"/>
                <w:lang w:val="lt-LT"/>
              </w:rPr>
              <w:t>Reiškinys</w:t>
            </w:r>
          </w:p>
        </w:tc>
        <w:tc>
          <w:tcPr>
            <w:tcW w:w="1620" w:type="dxa"/>
            <w:tcBorders>
              <w:top w:val="single" w:sz="4" w:space="0" w:color="auto"/>
              <w:left w:val="single" w:sz="4" w:space="0" w:color="auto"/>
              <w:bottom w:val="single" w:sz="4" w:space="0" w:color="auto"/>
              <w:right w:val="single" w:sz="4" w:space="0" w:color="auto"/>
            </w:tcBorders>
          </w:tcPr>
          <w:p w14:paraId="738B1494" w14:textId="77777777" w:rsidR="001B11F7" w:rsidRDefault="00B83885">
            <w:pPr>
              <w:widowControl w:val="0"/>
              <w:autoSpaceDE w:val="0"/>
              <w:autoSpaceDN w:val="0"/>
              <w:adjustRightInd w:val="0"/>
              <w:jc w:val="center"/>
              <w:rPr>
                <w:iCs/>
                <w:sz w:val="22"/>
                <w:szCs w:val="22"/>
                <w:lang w:val="lt-LT"/>
              </w:rPr>
            </w:pPr>
            <w:r>
              <w:rPr>
                <w:iCs/>
                <w:sz w:val="22"/>
                <w:szCs w:val="22"/>
                <w:lang w:val="lt-LT"/>
              </w:rPr>
              <w:t>Santykinės rizikos sumažėjimas (%)</w:t>
            </w:r>
          </w:p>
        </w:tc>
        <w:tc>
          <w:tcPr>
            <w:tcW w:w="1856" w:type="dxa"/>
            <w:tcBorders>
              <w:top w:val="single" w:sz="4" w:space="0" w:color="auto"/>
              <w:left w:val="single" w:sz="4" w:space="0" w:color="auto"/>
              <w:bottom w:val="single" w:sz="4" w:space="0" w:color="auto"/>
              <w:right w:val="single" w:sz="4" w:space="0" w:color="auto"/>
            </w:tcBorders>
          </w:tcPr>
          <w:p w14:paraId="39A16CCC" w14:textId="77777777" w:rsidR="001B11F7" w:rsidRDefault="00B83885">
            <w:pPr>
              <w:widowControl w:val="0"/>
              <w:autoSpaceDE w:val="0"/>
              <w:autoSpaceDN w:val="0"/>
              <w:adjustRightInd w:val="0"/>
              <w:jc w:val="center"/>
              <w:rPr>
                <w:iCs/>
                <w:sz w:val="22"/>
                <w:szCs w:val="22"/>
                <w:lang w:val="lt-LT"/>
              </w:rPr>
            </w:pPr>
            <w:r>
              <w:rPr>
                <w:iCs/>
                <w:sz w:val="22"/>
                <w:szCs w:val="22"/>
                <w:lang w:val="lt-LT"/>
              </w:rPr>
              <w:t>Reiškinių skaičius (atorvastatinas palyginti su placebu)</w:t>
            </w:r>
          </w:p>
        </w:tc>
        <w:tc>
          <w:tcPr>
            <w:tcW w:w="1620" w:type="dxa"/>
            <w:tcBorders>
              <w:top w:val="single" w:sz="4" w:space="0" w:color="auto"/>
              <w:left w:val="single" w:sz="4" w:space="0" w:color="auto"/>
              <w:bottom w:val="single" w:sz="4" w:space="0" w:color="auto"/>
              <w:right w:val="single" w:sz="4" w:space="0" w:color="auto"/>
            </w:tcBorders>
          </w:tcPr>
          <w:p w14:paraId="00D7B1D8" w14:textId="77777777" w:rsidR="001B11F7" w:rsidRDefault="00B83885">
            <w:pPr>
              <w:widowControl w:val="0"/>
              <w:autoSpaceDE w:val="0"/>
              <w:autoSpaceDN w:val="0"/>
              <w:adjustRightInd w:val="0"/>
              <w:jc w:val="center"/>
              <w:rPr>
                <w:iCs/>
                <w:sz w:val="22"/>
                <w:szCs w:val="22"/>
                <w:vertAlign w:val="superscript"/>
                <w:lang w:val="lt-LT"/>
              </w:rPr>
            </w:pPr>
            <w:r>
              <w:rPr>
                <w:iCs/>
                <w:sz w:val="22"/>
                <w:szCs w:val="22"/>
                <w:lang w:val="lt-LT"/>
              </w:rPr>
              <w:t>Absoliučios rizikos sumažėjimas</w:t>
            </w:r>
            <w:r>
              <w:rPr>
                <w:iCs/>
                <w:sz w:val="22"/>
                <w:szCs w:val="22"/>
                <w:vertAlign w:val="superscript"/>
                <w:lang w:val="lt-LT"/>
              </w:rPr>
              <w:t>1</w:t>
            </w:r>
          </w:p>
          <w:p w14:paraId="6DCE55E0" w14:textId="77777777" w:rsidR="001B11F7" w:rsidRDefault="00B83885">
            <w:pPr>
              <w:widowControl w:val="0"/>
              <w:autoSpaceDE w:val="0"/>
              <w:autoSpaceDN w:val="0"/>
              <w:adjustRightInd w:val="0"/>
              <w:jc w:val="center"/>
              <w:rPr>
                <w:iCs/>
                <w:sz w:val="22"/>
                <w:szCs w:val="22"/>
                <w:lang w:val="lt-LT"/>
              </w:rPr>
            </w:pPr>
            <w:r>
              <w:rPr>
                <w:iCs/>
                <w:sz w:val="22"/>
                <w:szCs w:val="22"/>
                <w:lang w:val="lt-LT"/>
              </w:rPr>
              <w:t>(%)</w:t>
            </w:r>
          </w:p>
        </w:tc>
        <w:tc>
          <w:tcPr>
            <w:tcW w:w="1261" w:type="dxa"/>
            <w:tcBorders>
              <w:top w:val="single" w:sz="4" w:space="0" w:color="auto"/>
              <w:left w:val="single" w:sz="4" w:space="0" w:color="auto"/>
              <w:bottom w:val="single" w:sz="4" w:space="0" w:color="auto"/>
              <w:right w:val="single" w:sz="4" w:space="0" w:color="auto"/>
            </w:tcBorders>
          </w:tcPr>
          <w:p w14:paraId="1FC16B3D" w14:textId="77777777" w:rsidR="001B11F7" w:rsidRDefault="00B83885">
            <w:pPr>
              <w:widowControl w:val="0"/>
              <w:autoSpaceDE w:val="0"/>
              <w:autoSpaceDN w:val="0"/>
              <w:adjustRightInd w:val="0"/>
              <w:jc w:val="center"/>
              <w:rPr>
                <w:iCs/>
                <w:sz w:val="22"/>
                <w:szCs w:val="22"/>
                <w:lang w:val="lt-LT"/>
              </w:rPr>
            </w:pPr>
            <w:r>
              <w:rPr>
                <w:iCs/>
                <w:sz w:val="22"/>
                <w:szCs w:val="22"/>
                <w:lang w:val="lt-LT"/>
              </w:rPr>
              <w:t>p reikšmė</w:t>
            </w:r>
          </w:p>
        </w:tc>
      </w:tr>
      <w:tr w:rsidR="001B11F7" w14:paraId="6EBA6505" w14:textId="77777777">
        <w:tc>
          <w:tcPr>
            <w:tcW w:w="3060" w:type="dxa"/>
            <w:tcBorders>
              <w:top w:val="single" w:sz="4" w:space="0" w:color="auto"/>
              <w:left w:val="single" w:sz="4" w:space="0" w:color="auto"/>
              <w:bottom w:val="single" w:sz="4" w:space="0" w:color="auto"/>
              <w:right w:val="single" w:sz="4" w:space="0" w:color="auto"/>
            </w:tcBorders>
          </w:tcPr>
          <w:p w14:paraId="4183C9BF" w14:textId="77777777" w:rsidR="001B11F7" w:rsidRDefault="00B83885">
            <w:pPr>
              <w:widowControl w:val="0"/>
              <w:autoSpaceDE w:val="0"/>
              <w:autoSpaceDN w:val="0"/>
              <w:adjustRightInd w:val="0"/>
              <w:rPr>
                <w:sz w:val="22"/>
                <w:szCs w:val="22"/>
                <w:lang w:val="lt-LT"/>
              </w:rPr>
            </w:pPr>
            <w:r>
              <w:rPr>
                <w:sz w:val="22"/>
                <w:szCs w:val="22"/>
                <w:lang w:val="lt-LT"/>
              </w:rPr>
              <w:t xml:space="preserve">Didieji kardiovaskuliniai reiškiniai (mirtinas ir nemirtinas ŪMI, besimptomis MI, ūminė mirtis dėl IŠL, nestabilioji krūtinės angina, KŠO, PTKA, </w:t>
            </w:r>
            <w:r>
              <w:rPr>
                <w:sz w:val="22"/>
                <w:szCs w:val="22"/>
                <w:lang w:val="lt-LT"/>
              </w:rPr>
              <w:lastRenderedPageBreak/>
              <w:t>revaskuliarizacijos procedūra, insultas)</w:t>
            </w:r>
          </w:p>
        </w:tc>
        <w:tc>
          <w:tcPr>
            <w:tcW w:w="1620" w:type="dxa"/>
            <w:tcBorders>
              <w:top w:val="single" w:sz="4" w:space="0" w:color="auto"/>
              <w:left w:val="single" w:sz="4" w:space="0" w:color="auto"/>
              <w:bottom w:val="single" w:sz="4" w:space="0" w:color="auto"/>
              <w:right w:val="single" w:sz="4" w:space="0" w:color="auto"/>
            </w:tcBorders>
          </w:tcPr>
          <w:p w14:paraId="77DF81AB" w14:textId="77777777" w:rsidR="001B11F7" w:rsidRDefault="00B83885">
            <w:pPr>
              <w:widowControl w:val="0"/>
              <w:autoSpaceDE w:val="0"/>
              <w:autoSpaceDN w:val="0"/>
              <w:adjustRightInd w:val="0"/>
              <w:jc w:val="center"/>
              <w:rPr>
                <w:sz w:val="22"/>
                <w:szCs w:val="22"/>
                <w:lang w:val="lt-LT"/>
              </w:rPr>
            </w:pPr>
            <w:r>
              <w:rPr>
                <w:sz w:val="22"/>
                <w:szCs w:val="22"/>
                <w:lang w:val="lt-LT"/>
              </w:rPr>
              <w:lastRenderedPageBreak/>
              <w:t>37 %</w:t>
            </w:r>
          </w:p>
        </w:tc>
        <w:tc>
          <w:tcPr>
            <w:tcW w:w="1856" w:type="dxa"/>
            <w:tcBorders>
              <w:top w:val="single" w:sz="4" w:space="0" w:color="auto"/>
              <w:left w:val="single" w:sz="4" w:space="0" w:color="auto"/>
              <w:bottom w:val="single" w:sz="4" w:space="0" w:color="auto"/>
              <w:right w:val="single" w:sz="4" w:space="0" w:color="auto"/>
            </w:tcBorders>
          </w:tcPr>
          <w:p w14:paraId="547E82CB" w14:textId="77777777" w:rsidR="001B11F7" w:rsidRDefault="00B83885">
            <w:pPr>
              <w:widowControl w:val="0"/>
              <w:autoSpaceDE w:val="0"/>
              <w:autoSpaceDN w:val="0"/>
              <w:adjustRightInd w:val="0"/>
              <w:jc w:val="center"/>
              <w:rPr>
                <w:sz w:val="22"/>
                <w:szCs w:val="22"/>
                <w:lang w:val="lt-LT"/>
              </w:rPr>
            </w:pPr>
            <w:r>
              <w:rPr>
                <w:sz w:val="22"/>
                <w:szCs w:val="22"/>
                <w:lang w:val="lt-LT"/>
              </w:rPr>
              <w:t>83 ir 127</w:t>
            </w:r>
          </w:p>
        </w:tc>
        <w:tc>
          <w:tcPr>
            <w:tcW w:w="1620" w:type="dxa"/>
            <w:tcBorders>
              <w:top w:val="single" w:sz="4" w:space="0" w:color="auto"/>
              <w:left w:val="single" w:sz="4" w:space="0" w:color="auto"/>
              <w:bottom w:val="single" w:sz="4" w:space="0" w:color="auto"/>
              <w:right w:val="single" w:sz="4" w:space="0" w:color="auto"/>
            </w:tcBorders>
          </w:tcPr>
          <w:p w14:paraId="146C8163" w14:textId="77777777" w:rsidR="001B11F7" w:rsidRDefault="00B83885">
            <w:pPr>
              <w:widowControl w:val="0"/>
              <w:autoSpaceDE w:val="0"/>
              <w:autoSpaceDN w:val="0"/>
              <w:adjustRightInd w:val="0"/>
              <w:jc w:val="center"/>
              <w:rPr>
                <w:sz w:val="22"/>
                <w:szCs w:val="22"/>
                <w:lang w:val="lt-LT"/>
              </w:rPr>
            </w:pPr>
            <w:r>
              <w:rPr>
                <w:sz w:val="22"/>
                <w:szCs w:val="22"/>
                <w:lang w:val="lt-LT"/>
              </w:rPr>
              <w:t>3,2 %</w:t>
            </w:r>
          </w:p>
        </w:tc>
        <w:tc>
          <w:tcPr>
            <w:tcW w:w="1261" w:type="dxa"/>
            <w:tcBorders>
              <w:top w:val="single" w:sz="4" w:space="0" w:color="auto"/>
              <w:left w:val="single" w:sz="4" w:space="0" w:color="auto"/>
              <w:bottom w:val="single" w:sz="4" w:space="0" w:color="auto"/>
              <w:right w:val="single" w:sz="4" w:space="0" w:color="auto"/>
            </w:tcBorders>
          </w:tcPr>
          <w:p w14:paraId="21AC6C10" w14:textId="77777777" w:rsidR="001B11F7" w:rsidRDefault="00B83885">
            <w:pPr>
              <w:widowControl w:val="0"/>
              <w:autoSpaceDE w:val="0"/>
              <w:autoSpaceDN w:val="0"/>
              <w:adjustRightInd w:val="0"/>
              <w:jc w:val="center"/>
              <w:rPr>
                <w:sz w:val="22"/>
                <w:szCs w:val="22"/>
                <w:lang w:val="lt-LT"/>
              </w:rPr>
            </w:pPr>
            <w:r>
              <w:rPr>
                <w:sz w:val="22"/>
                <w:szCs w:val="22"/>
                <w:lang w:val="lt-LT"/>
              </w:rPr>
              <w:t>0,0010</w:t>
            </w:r>
          </w:p>
        </w:tc>
      </w:tr>
      <w:tr w:rsidR="001B11F7" w14:paraId="23156D1D" w14:textId="77777777">
        <w:tc>
          <w:tcPr>
            <w:tcW w:w="3060" w:type="dxa"/>
            <w:tcBorders>
              <w:top w:val="single" w:sz="4" w:space="0" w:color="auto"/>
              <w:left w:val="single" w:sz="4" w:space="0" w:color="auto"/>
              <w:bottom w:val="single" w:sz="4" w:space="0" w:color="auto"/>
              <w:right w:val="single" w:sz="4" w:space="0" w:color="auto"/>
            </w:tcBorders>
          </w:tcPr>
          <w:p w14:paraId="7FC26E65" w14:textId="77777777" w:rsidR="001B11F7" w:rsidRDefault="00B83885">
            <w:pPr>
              <w:widowControl w:val="0"/>
              <w:autoSpaceDE w:val="0"/>
              <w:autoSpaceDN w:val="0"/>
              <w:adjustRightInd w:val="0"/>
              <w:rPr>
                <w:sz w:val="22"/>
                <w:szCs w:val="22"/>
                <w:lang w:val="lt-LT"/>
              </w:rPr>
            </w:pPr>
            <w:r>
              <w:rPr>
                <w:sz w:val="22"/>
                <w:szCs w:val="22"/>
                <w:lang w:val="lt-LT"/>
              </w:rPr>
              <w:t>MI (mirtinas ir nemirtinas ŪMI, besimptominis MI)</w:t>
            </w:r>
          </w:p>
        </w:tc>
        <w:tc>
          <w:tcPr>
            <w:tcW w:w="1620" w:type="dxa"/>
            <w:tcBorders>
              <w:top w:val="single" w:sz="4" w:space="0" w:color="auto"/>
              <w:left w:val="single" w:sz="4" w:space="0" w:color="auto"/>
              <w:bottom w:val="single" w:sz="4" w:space="0" w:color="auto"/>
              <w:right w:val="single" w:sz="4" w:space="0" w:color="auto"/>
            </w:tcBorders>
          </w:tcPr>
          <w:p w14:paraId="61120303" w14:textId="77777777" w:rsidR="001B11F7" w:rsidRDefault="00B83885">
            <w:pPr>
              <w:widowControl w:val="0"/>
              <w:autoSpaceDE w:val="0"/>
              <w:autoSpaceDN w:val="0"/>
              <w:adjustRightInd w:val="0"/>
              <w:jc w:val="center"/>
              <w:rPr>
                <w:sz w:val="22"/>
                <w:szCs w:val="22"/>
                <w:lang w:val="lt-LT"/>
              </w:rPr>
            </w:pPr>
            <w:r>
              <w:rPr>
                <w:sz w:val="22"/>
                <w:szCs w:val="22"/>
                <w:lang w:val="lt-LT"/>
              </w:rPr>
              <w:t>42 %</w:t>
            </w:r>
          </w:p>
        </w:tc>
        <w:tc>
          <w:tcPr>
            <w:tcW w:w="1856" w:type="dxa"/>
            <w:tcBorders>
              <w:top w:val="single" w:sz="4" w:space="0" w:color="auto"/>
              <w:left w:val="single" w:sz="4" w:space="0" w:color="auto"/>
              <w:bottom w:val="single" w:sz="4" w:space="0" w:color="auto"/>
              <w:right w:val="single" w:sz="4" w:space="0" w:color="auto"/>
            </w:tcBorders>
          </w:tcPr>
          <w:p w14:paraId="0B0A80B4" w14:textId="77777777" w:rsidR="001B11F7" w:rsidRDefault="00B83885">
            <w:pPr>
              <w:widowControl w:val="0"/>
              <w:autoSpaceDE w:val="0"/>
              <w:autoSpaceDN w:val="0"/>
              <w:adjustRightInd w:val="0"/>
              <w:jc w:val="center"/>
              <w:rPr>
                <w:sz w:val="22"/>
                <w:szCs w:val="22"/>
                <w:lang w:val="lt-LT"/>
              </w:rPr>
            </w:pPr>
            <w:r>
              <w:rPr>
                <w:sz w:val="22"/>
                <w:szCs w:val="22"/>
                <w:lang w:val="lt-LT"/>
              </w:rPr>
              <w:t>38 ir 64</w:t>
            </w:r>
          </w:p>
        </w:tc>
        <w:tc>
          <w:tcPr>
            <w:tcW w:w="1620" w:type="dxa"/>
            <w:tcBorders>
              <w:top w:val="single" w:sz="4" w:space="0" w:color="auto"/>
              <w:left w:val="single" w:sz="4" w:space="0" w:color="auto"/>
              <w:bottom w:val="single" w:sz="4" w:space="0" w:color="auto"/>
              <w:right w:val="single" w:sz="4" w:space="0" w:color="auto"/>
            </w:tcBorders>
          </w:tcPr>
          <w:p w14:paraId="2CF84179" w14:textId="77777777" w:rsidR="001B11F7" w:rsidRDefault="00B83885">
            <w:pPr>
              <w:widowControl w:val="0"/>
              <w:autoSpaceDE w:val="0"/>
              <w:autoSpaceDN w:val="0"/>
              <w:adjustRightInd w:val="0"/>
              <w:jc w:val="center"/>
              <w:rPr>
                <w:sz w:val="22"/>
                <w:szCs w:val="22"/>
                <w:lang w:val="lt-LT"/>
              </w:rPr>
            </w:pPr>
            <w:r>
              <w:rPr>
                <w:sz w:val="22"/>
                <w:szCs w:val="22"/>
                <w:lang w:val="lt-LT"/>
              </w:rPr>
              <w:t>1,9 %</w:t>
            </w:r>
          </w:p>
        </w:tc>
        <w:tc>
          <w:tcPr>
            <w:tcW w:w="1261" w:type="dxa"/>
            <w:tcBorders>
              <w:top w:val="single" w:sz="4" w:space="0" w:color="auto"/>
              <w:left w:val="single" w:sz="4" w:space="0" w:color="auto"/>
              <w:bottom w:val="single" w:sz="4" w:space="0" w:color="auto"/>
              <w:right w:val="single" w:sz="4" w:space="0" w:color="auto"/>
            </w:tcBorders>
          </w:tcPr>
          <w:p w14:paraId="4AF48EC1" w14:textId="77777777" w:rsidR="001B11F7" w:rsidRDefault="00B83885">
            <w:pPr>
              <w:widowControl w:val="0"/>
              <w:autoSpaceDE w:val="0"/>
              <w:autoSpaceDN w:val="0"/>
              <w:adjustRightInd w:val="0"/>
              <w:jc w:val="center"/>
              <w:rPr>
                <w:sz w:val="22"/>
                <w:szCs w:val="22"/>
                <w:lang w:val="lt-LT"/>
              </w:rPr>
            </w:pPr>
            <w:r>
              <w:rPr>
                <w:sz w:val="22"/>
                <w:szCs w:val="22"/>
                <w:lang w:val="lt-LT"/>
              </w:rPr>
              <w:t>0,0070</w:t>
            </w:r>
          </w:p>
        </w:tc>
      </w:tr>
      <w:tr w:rsidR="001B11F7" w14:paraId="42F32672" w14:textId="77777777">
        <w:tc>
          <w:tcPr>
            <w:tcW w:w="3060" w:type="dxa"/>
            <w:tcBorders>
              <w:top w:val="single" w:sz="4" w:space="0" w:color="auto"/>
              <w:left w:val="single" w:sz="4" w:space="0" w:color="auto"/>
              <w:bottom w:val="single" w:sz="4" w:space="0" w:color="auto"/>
              <w:right w:val="single" w:sz="4" w:space="0" w:color="auto"/>
            </w:tcBorders>
          </w:tcPr>
          <w:p w14:paraId="0807B3B3" w14:textId="77777777" w:rsidR="001B11F7" w:rsidRDefault="00B83885">
            <w:pPr>
              <w:widowControl w:val="0"/>
              <w:autoSpaceDE w:val="0"/>
              <w:autoSpaceDN w:val="0"/>
              <w:adjustRightInd w:val="0"/>
              <w:rPr>
                <w:sz w:val="22"/>
                <w:szCs w:val="22"/>
                <w:lang w:val="lt-LT"/>
              </w:rPr>
            </w:pPr>
            <w:r>
              <w:rPr>
                <w:sz w:val="22"/>
                <w:szCs w:val="22"/>
                <w:lang w:val="lt-LT"/>
              </w:rPr>
              <w:t>Insultas (mirtinas ir nemirtinas)</w:t>
            </w:r>
          </w:p>
        </w:tc>
        <w:tc>
          <w:tcPr>
            <w:tcW w:w="1620" w:type="dxa"/>
            <w:tcBorders>
              <w:top w:val="single" w:sz="4" w:space="0" w:color="auto"/>
              <w:left w:val="single" w:sz="4" w:space="0" w:color="auto"/>
              <w:bottom w:val="single" w:sz="4" w:space="0" w:color="auto"/>
              <w:right w:val="single" w:sz="4" w:space="0" w:color="auto"/>
            </w:tcBorders>
          </w:tcPr>
          <w:p w14:paraId="2A859C6A" w14:textId="77777777" w:rsidR="001B11F7" w:rsidRDefault="00B83885">
            <w:pPr>
              <w:widowControl w:val="0"/>
              <w:autoSpaceDE w:val="0"/>
              <w:autoSpaceDN w:val="0"/>
              <w:adjustRightInd w:val="0"/>
              <w:jc w:val="center"/>
              <w:rPr>
                <w:sz w:val="22"/>
                <w:szCs w:val="22"/>
                <w:lang w:val="lt-LT"/>
              </w:rPr>
            </w:pPr>
            <w:r>
              <w:rPr>
                <w:sz w:val="22"/>
                <w:szCs w:val="22"/>
                <w:lang w:val="lt-LT"/>
              </w:rPr>
              <w:t>48 %</w:t>
            </w:r>
          </w:p>
        </w:tc>
        <w:tc>
          <w:tcPr>
            <w:tcW w:w="1856" w:type="dxa"/>
            <w:tcBorders>
              <w:top w:val="single" w:sz="4" w:space="0" w:color="auto"/>
              <w:left w:val="single" w:sz="4" w:space="0" w:color="auto"/>
              <w:bottom w:val="single" w:sz="4" w:space="0" w:color="auto"/>
              <w:right w:val="single" w:sz="4" w:space="0" w:color="auto"/>
            </w:tcBorders>
          </w:tcPr>
          <w:p w14:paraId="62CE65CC" w14:textId="77777777" w:rsidR="001B11F7" w:rsidRDefault="00B83885">
            <w:pPr>
              <w:widowControl w:val="0"/>
              <w:autoSpaceDE w:val="0"/>
              <w:autoSpaceDN w:val="0"/>
              <w:adjustRightInd w:val="0"/>
              <w:jc w:val="center"/>
              <w:rPr>
                <w:sz w:val="22"/>
                <w:szCs w:val="22"/>
                <w:lang w:val="lt-LT"/>
              </w:rPr>
            </w:pPr>
            <w:r>
              <w:rPr>
                <w:sz w:val="22"/>
                <w:szCs w:val="22"/>
                <w:lang w:val="lt-LT"/>
              </w:rPr>
              <w:t>21 ir 39</w:t>
            </w:r>
          </w:p>
        </w:tc>
        <w:tc>
          <w:tcPr>
            <w:tcW w:w="1620" w:type="dxa"/>
            <w:tcBorders>
              <w:top w:val="single" w:sz="4" w:space="0" w:color="auto"/>
              <w:left w:val="single" w:sz="4" w:space="0" w:color="auto"/>
              <w:bottom w:val="single" w:sz="4" w:space="0" w:color="auto"/>
              <w:right w:val="single" w:sz="4" w:space="0" w:color="auto"/>
            </w:tcBorders>
          </w:tcPr>
          <w:p w14:paraId="23243467" w14:textId="77777777" w:rsidR="001B11F7" w:rsidRDefault="00B83885">
            <w:pPr>
              <w:widowControl w:val="0"/>
              <w:autoSpaceDE w:val="0"/>
              <w:autoSpaceDN w:val="0"/>
              <w:adjustRightInd w:val="0"/>
              <w:jc w:val="center"/>
              <w:rPr>
                <w:sz w:val="22"/>
                <w:szCs w:val="22"/>
                <w:lang w:val="lt-LT"/>
              </w:rPr>
            </w:pPr>
            <w:r>
              <w:rPr>
                <w:sz w:val="22"/>
                <w:szCs w:val="22"/>
                <w:lang w:val="lt-LT"/>
              </w:rPr>
              <w:t>1,3 %</w:t>
            </w:r>
          </w:p>
        </w:tc>
        <w:tc>
          <w:tcPr>
            <w:tcW w:w="1261" w:type="dxa"/>
            <w:tcBorders>
              <w:top w:val="single" w:sz="4" w:space="0" w:color="auto"/>
              <w:left w:val="single" w:sz="4" w:space="0" w:color="auto"/>
              <w:bottom w:val="single" w:sz="4" w:space="0" w:color="auto"/>
              <w:right w:val="single" w:sz="4" w:space="0" w:color="auto"/>
            </w:tcBorders>
          </w:tcPr>
          <w:p w14:paraId="3EFB1F78" w14:textId="77777777" w:rsidR="001B11F7" w:rsidRDefault="00B83885">
            <w:pPr>
              <w:widowControl w:val="0"/>
              <w:autoSpaceDE w:val="0"/>
              <w:autoSpaceDN w:val="0"/>
              <w:adjustRightInd w:val="0"/>
              <w:jc w:val="center"/>
              <w:rPr>
                <w:sz w:val="22"/>
                <w:szCs w:val="22"/>
                <w:lang w:val="lt-LT"/>
              </w:rPr>
            </w:pPr>
            <w:r>
              <w:rPr>
                <w:sz w:val="22"/>
                <w:szCs w:val="22"/>
                <w:lang w:val="lt-LT"/>
              </w:rPr>
              <w:t>0,0163</w:t>
            </w:r>
          </w:p>
        </w:tc>
      </w:tr>
      <w:tr w:rsidR="001B11F7" w14:paraId="52FD0894" w14:textId="77777777">
        <w:tc>
          <w:tcPr>
            <w:tcW w:w="9417" w:type="dxa"/>
            <w:gridSpan w:val="5"/>
            <w:tcBorders>
              <w:top w:val="single" w:sz="4" w:space="0" w:color="auto"/>
              <w:left w:val="nil"/>
              <w:bottom w:val="nil"/>
              <w:right w:val="nil"/>
            </w:tcBorders>
          </w:tcPr>
          <w:p w14:paraId="0516B3D1" w14:textId="77777777" w:rsidR="001B11F7" w:rsidRDefault="00B83885">
            <w:pPr>
              <w:widowControl w:val="0"/>
              <w:autoSpaceDE w:val="0"/>
              <w:autoSpaceDN w:val="0"/>
              <w:adjustRightInd w:val="0"/>
              <w:rPr>
                <w:sz w:val="22"/>
                <w:szCs w:val="22"/>
                <w:lang w:val="lt-LT"/>
              </w:rPr>
            </w:pPr>
            <w:r>
              <w:rPr>
                <w:sz w:val="22"/>
                <w:szCs w:val="22"/>
                <w:vertAlign w:val="superscript"/>
                <w:lang w:val="lt-LT"/>
              </w:rPr>
              <w:t xml:space="preserve">1 </w:t>
            </w:r>
            <w:r>
              <w:rPr>
                <w:sz w:val="22"/>
                <w:szCs w:val="22"/>
                <w:lang w:val="lt-LT"/>
              </w:rPr>
              <w:t>Remiantis reiškinių, kurie pasireiškė per stebėjimo laikotarpį (mediana - 3,9 metų), dažnio skirtumu.</w:t>
            </w:r>
          </w:p>
        </w:tc>
      </w:tr>
      <w:tr w:rsidR="001B11F7" w14:paraId="1C7D3C53" w14:textId="77777777">
        <w:tc>
          <w:tcPr>
            <w:tcW w:w="9417" w:type="dxa"/>
            <w:gridSpan w:val="5"/>
            <w:tcBorders>
              <w:top w:val="nil"/>
              <w:left w:val="nil"/>
              <w:bottom w:val="nil"/>
              <w:right w:val="nil"/>
            </w:tcBorders>
          </w:tcPr>
          <w:p w14:paraId="503F03AF" w14:textId="77777777" w:rsidR="001B11F7" w:rsidRDefault="00B83885">
            <w:pPr>
              <w:widowControl w:val="0"/>
              <w:autoSpaceDE w:val="0"/>
              <w:autoSpaceDN w:val="0"/>
              <w:adjustRightInd w:val="0"/>
              <w:rPr>
                <w:sz w:val="22"/>
                <w:szCs w:val="22"/>
                <w:lang w:val="lt-LT"/>
              </w:rPr>
            </w:pPr>
            <w:r>
              <w:rPr>
                <w:sz w:val="22"/>
                <w:szCs w:val="22"/>
                <w:lang w:val="lt-LT"/>
              </w:rPr>
              <w:t>ŪMI = ūminis miokardo infarktas. KŠO = koronarų šuntavimo operacija. IŠL = išeminė širdies liga. MI = miokardo infarktas. PTKA = perkutaninė transliuminalinė koronarinė angioplastika.</w:t>
            </w:r>
          </w:p>
        </w:tc>
      </w:tr>
    </w:tbl>
    <w:p w14:paraId="0B7FF746" w14:textId="77777777" w:rsidR="001B11F7" w:rsidRDefault="001B11F7">
      <w:pPr>
        <w:widowControl w:val="0"/>
        <w:autoSpaceDE w:val="0"/>
        <w:autoSpaceDN w:val="0"/>
        <w:adjustRightInd w:val="0"/>
        <w:jc w:val="both"/>
        <w:rPr>
          <w:sz w:val="22"/>
          <w:szCs w:val="22"/>
          <w:lang w:val="lt-LT"/>
        </w:rPr>
      </w:pPr>
    </w:p>
    <w:p w14:paraId="473DF7F8" w14:textId="77777777" w:rsidR="001B11F7" w:rsidRDefault="00B83885">
      <w:pPr>
        <w:widowControl w:val="0"/>
        <w:autoSpaceDE w:val="0"/>
        <w:autoSpaceDN w:val="0"/>
        <w:adjustRightInd w:val="0"/>
        <w:rPr>
          <w:sz w:val="22"/>
          <w:szCs w:val="22"/>
          <w:lang w:val="lt-LT"/>
        </w:rPr>
      </w:pPr>
      <w:r>
        <w:rPr>
          <w:sz w:val="22"/>
          <w:szCs w:val="22"/>
          <w:lang w:val="lt-LT"/>
        </w:rPr>
        <w:t>Gydymo poveikio skirtumų, susijusių su pacientų lytimi, amžiumi ar pradine MTL cholesterolio koncentracija kraujyje, nepastebėta. Stebėtos palankios poveikio mirtingumo tendencijos (82 mirties atvejai placebo grupėje, palyginti su 61 mirties atveju atorvastatino grupėje, p=0,0592).</w:t>
      </w:r>
    </w:p>
    <w:p w14:paraId="2F5EC022" w14:textId="77777777" w:rsidR="001B11F7" w:rsidRDefault="001B11F7">
      <w:pPr>
        <w:widowControl w:val="0"/>
        <w:rPr>
          <w:b/>
          <w:sz w:val="22"/>
          <w:szCs w:val="22"/>
          <w:lang w:val="lt-LT" w:eastAsia="lt-LT"/>
        </w:rPr>
      </w:pPr>
    </w:p>
    <w:p w14:paraId="60FDA66D" w14:textId="77777777" w:rsidR="001B11F7" w:rsidRDefault="00B83885">
      <w:pPr>
        <w:widowControl w:val="0"/>
        <w:autoSpaceDE w:val="0"/>
        <w:autoSpaceDN w:val="0"/>
        <w:adjustRightInd w:val="0"/>
        <w:rPr>
          <w:i/>
          <w:sz w:val="22"/>
          <w:u w:val="single"/>
          <w:lang w:val="lt-LT"/>
        </w:rPr>
      </w:pPr>
      <w:r>
        <w:rPr>
          <w:i/>
          <w:sz w:val="22"/>
          <w:u w:val="single"/>
          <w:lang w:val="lt-LT"/>
        </w:rPr>
        <w:t>Pasikartojantis insultas</w:t>
      </w:r>
    </w:p>
    <w:p w14:paraId="7DE687C6" w14:textId="77777777" w:rsidR="001B11F7" w:rsidRDefault="001B11F7">
      <w:pPr>
        <w:widowControl w:val="0"/>
        <w:autoSpaceDE w:val="0"/>
        <w:autoSpaceDN w:val="0"/>
        <w:adjustRightInd w:val="0"/>
        <w:rPr>
          <w:sz w:val="22"/>
          <w:szCs w:val="22"/>
          <w:lang w:val="lt-LT"/>
        </w:rPr>
      </w:pPr>
    </w:p>
    <w:p w14:paraId="0FF3B184" w14:textId="77777777" w:rsidR="001B11F7" w:rsidRDefault="00B83885">
      <w:pPr>
        <w:widowControl w:val="0"/>
        <w:autoSpaceDE w:val="0"/>
        <w:autoSpaceDN w:val="0"/>
        <w:adjustRightInd w:val="0"/>
        <w:rPr>
          <w:sz w:val="22"/>
          <w:szCs w:val="22"/>
          <w:lang w:val="lt-LT"/>
        </w:rPr>
      </w:pPr>
      <w:r>
        <w:rPr>
          <w:sz w:val="22"/>
          <w:szCs w:val="22"/>
          <w:lang w:val="lt-LT"/>
        </w:rPr>
        <w:t xml:space="preserve">Insulto profilaktikos, intensyviai mažinant cholesterolio koncentraciją, tyrimo (angl. </w:t>
      </w:r>
      <w:r>
        <w:rPr>
          <w:i/>
          <w:sz w:val="22"/>
          <w:szCs w:val="22"/>
          <w:lang w:val="lt-LT"/>
        </w:rPr>
        <w:t>Stroke Prevention by Aggressive Reduction in Cholesterol Levels</w:t>
      </w:r>
      <w:r>
        <w:rPr>
          <w:sz w:val="22"/>
          <w:szCs w:val="22"/>
          <w:lang w:val="lt-LT"/>
        </w:rPr>
        <w:t xml:space="preserve"> [SPARCL]) metu buvo įvertinta 80 mg atorvastatino paros dozės ir placebo įtaka insulto dažniui. Tyrime dalyvavo 4731 pacientas, kuris per paskutinius 6 mėnesius patyrė insultą arba praeinantį smegenų išemijos priepuolį (PSIP) ir nesirgo išemine širdies liga (IŠL). 60 % pacientų buvo vyrai, kurių amžius buvo 21</w:t>
      </w:r>
      <w:r>
        <w:rPr>
          <w:sz w:val="22"/>
          <w:szCs w:val="22"/>
          <w:lang w:val="lt-LT"/>
        </w:rPr>
        <w:noBreakHyphen/>
        <w:t>92 metai (vidurkis 63 metai), pradinė MTL koncentracija kraujyje prieš gydymą buvo vidutiniškai 133 mg/dl (3,4 mmol/l). Vidutinė MTL cholesterolio koncentracija kraujyje vartojant atorvastatiną buvo 73 mg/dl (1,9 mmol/l), vartojant placebą – 129 mg/dl (3,3 mmol/l). Stebėjimo trukmės mediana buvo 4,9 metų.</w:t>
      </w:r>
    </w:p>
    <w:p w14:paraId="12EDCEBA" w14:textId="77777777" w:rsidR="001B11F7" w:rsidRDefault="001B11F7">
      <w:pPr>
        <w:widowControl w:val="0"/>
        <w:autoSpaceDE w:val="0"/>
        <w:autoSpaceDN w:val="0"/>
        <w:adjustRightInd w:val="0"/>
        <w:rPr>
          <w:sz w:val="22"/>
          <w:szCs w:val="22"/>
          <w:lang w:val="lt-LT"/>
        </w:rPr>
      </w:pPr>
    </w:p>
    <w:p w14:paraId="48206AC5" w14:textId="77777777" w:rsidR="001B11F7" w:rsidRDefault="00B83885">
      <w:pPr>
        <w:widowControl w:val="0"/>
        <w:autoSpaceDE w:val="0"/>
        <w:autoSpaceDN w:val="0"/>
        <w:adjustRightInd w:val="0"/>
        <w:rPr>
          <w:sz w:val="22"/>
          <w:szCs w:val="22"/>
          <w:lang w:val="lt-LT"/>
        </w:rPr>
      </w:pPr>
      <w:r>
        <w:rPr>
          <w:sz w:val="22"/>
          <w:szCs w:val="22"/>
          <w:lang w:val="lt-LT"/>
        </w:rPr>
        <w:t>80 mg atorvastatino dozė, palyginti su placebu, sumažino pagrindinės vertinamosios baigties mirtino ar nemirtino insulto riziką 15 % (RS 0,85, 95 % PI, 0,72</w:t>
      </w:r>
      <w:r>
        <w:rPr>
          <w:sz w:val="22"/>
          <w:szCs w:val="22"/>
          <w:lang w:val="lt-LT"/>
        </w:rPr>
        <w:noBreakHyphen/>
        <w:t>1,00, p=0,05 arba 0,84, 95 % PI, 0,71</w:t>
      </w:r>
      <w:r>
        <w:rPr>
          <w:sz w:val="22"/>
          <w:szCs w:val="22"/>
          <w:lang w:val="lt-LT"/>
        </w:rPr>
        <w:noBreakHyphen/>
        <w:t>0,99, p=0,03, koregavus pagal pradinius veiksnius). Mirtingumas dėl visų priežasčių vartojant atorvastatino buvo 9,1 % (216 iš 2 365), palyginti su 8,9 % (211 iš 2 366), vartojant placebo.</w:t>
      </w:r>
    </w:p>
    <w:p w14:paraId="1EACE00F" w14:textId="77777777" w:rsidR="001B11F7" w:rsidRDefault="001B11F7">
      <w:pPr>
        <w:widowControl w:val="0"/>
        <w:autoSpaceDE w:val="0"/>
        <w:autoSpaceDN w:val="0"/>
        <w:adjustRightInd w:val="0"/>
        <w:rPr>
          <w:sz w:val="22"/>
          <w:szCs w:val="22"/>
          <w:lang w:val="lt-LT"/>
        </w:rPr>
      </w:pPr>
    </w:p>
    <w:p w14:paraId="691C66C7" w14:textId="77777777" w:rsidR="001B11F7" w:rsidRDefault="00B83885">
      <w:pPr>
        <w:widowControl w:val="0"/>
        <w:autoSpaceDE w:val="0"/>
        <w:autoSpaceDN w:val="0"/>
        <w:adjustRightInd w:val="0"/>
        <w:rPr>
          <w:sz w:val="22"/>
          <w:szCs w:val="22"/>
          <w:lang w:val="lt-LT"/>
        </w:rPr>
      </w:pPr>
      <w:r>
        <w:rPr>
          <w:i/>
          <w:sz w:val="22"/>
          <w:szCs w:val="22"/>
          <w:lang w:val="lt-LT"/>
        </w:rPr>
        <w:t>Post-hoc</w:t>
      </w:r>
      <w:r>
        <w:rPr>
          <w:sz w:val="22"/>
          <w:szCs w:val="22"/>
          <w:lang w:val="lt-LT"/>
        </w:rPr>
        <w:t xml:space="preserve"> analizė parodė, kad vartojant 80 mg atorvastatino dozę, išeminis insultas, palyginti su placebo poveikiu, pasireiškė rečiau (218 iš 2365, 9,2 %, palyginti su 274 iš 2366, 11,6 %, p=0,01), o hemoraginis insultas – dažniau (55 iš 2365, 2,3 %, palyginti 33 iš 2366, 1,4 %, p=0,02).</w:t>
      </w:r>
    </w:p>
    <w:p w14:paraId="019FDD81" w14:textId="77777777" w:rsidR="001B11F7" w:rsidRDefault="001B11F7">
      <w:pPr>
        <w:widowControl w:val="0"/>
        <w:autoSpaceDE w:val="0"/>
        <w:autoSpaceDN w:val="0"/>
        <w:adjustRightInd w:val="0"/>
        <w:rPr>
          <w:sz w:val="22"/>
          <w:szCs w:val="22"/>
          <w:lang w:val="lt-LT"/>
        </w:rPr>
      </w:pPr>
    </w:p>
    <w:p w14:paraId="6D013EFB" w14:textId="77777777" w:rsidR="001B11F7" w:rsidRDefault="00B83885">
      <w:pPr>
        <w:widowControl w:val="0"/>
        <w:autoSpaceDE w:val="0"/>
        <w:autoSpaceDN w:val="0"/>
        <w:adjustRightInd w:val="0"/>
        <w:ind w:left="540" w:hanging="567"/>
        <w:rPr>
          <w:sz w:val="22"/>
          <w:szCs w:val="22"/>
          <w:lang w:val="lt-LT"/>
        </w:rPr>
      </w:pPr>
      <w:r>
        <w:rPr>
          <w:sz w:val="22"/>
          <w:szCs w:val="22"/>
          <w:lang w:val="lt-LT"/>
        </w:rPr>
        <w:t>-</w:t>
      </w:r>
      <w:r>
        <w:rPr>
          <w:sz w:val="22"/>
          <w:szCs w:val="22"/>
          <w:lang w:val="lt-LT"/>
        </w:rPr>
        <w:tab/>
        <w:t>Hemoraginio insulto rizika pacientams, kurie prieš tyrimą jau buvo patyrę hemoraginį insultą, padidėjo (7 iš 45, vartojant atorvastatiną, palyginti su 2 iš 48, vartojant placebą; RS 4,06, 95 % PI, 0,84</w:t>
      </w:r>
      <w:r>
        <w:rPr>
          <w:sz w:val="22"/>
          <w:szCs w:val="22"/>
          <w:lang w:val="lt-LT"/>
        </w:rPr>
        <w:noBreakHyphen/>
        <w:t>19,57), išeminio insulto rizika abiejose grupėse buvo panaši (3 iš 45, vartojant atorvastatiną, palyginti su 2 iš 48, vartojant placebą; RS 1,64; 95 % PI, 0,27</w:t>
      </w:r>
      <w:r>
        <w:rPr>
          <w:sz w:val="22"/>
          <w:szCs w:val="22"/>
          <w:lang w:val="lt-LT"/>
        </w:rPr>
        <w:noBreakHyphen/>
        <w:t>9,82).</w:t>
      </w:r>
    </w:p>
    <w:p w14:paraId="63DA07F6" w14:textId="77777777" w:rsidR="001B11F7" w:rsidRDefault="00B83885">
      <w:pPr>
        <w:widowControl w:val="0"/>
        <w:autoSpaceDE w:val="0"/>
        <w:autoSpaceDN w:val="0"/>
        <w:adjustRightInd w:val="0"/>
        <w:ind w:left="540" w:hanging="567"/>
        <w:rPr>
          <w:sz w:val="22"/>
          <w:szCs w:val="22"/>
          <w:lang w:val="lt-LT"/>
        </w:rPr>
      </w:pPr>
      <w:r>
        <w:rPr>
          <w:sz w:val="22"/>
          <w:szCs w:val="22"/>
          <w:lang w:val="lt-LT"/>
        </w:rPr>
        <w:t>-</w:t>
      </w:r>
      <w:r>
        <w:rPr>
          <w:sz w:val="22"/>
          <w:szCs w:val="22"/>
          <w:lang w:val="lt-LT"/>
        </w:rPr>
        <w:tab/>
        <w:t>Hemoraginio insulto rizika pacientams, kurie prieš pradedant tyrimą buvo patyrę lakūninį infarktą, padidėjo (20 iš 708, vartojant atorvastatiną, palyginti su 4 iš 701, vartojant placebą; RS 4,99; 95 % PI, 1,71</w:t>
      </w:r>
      <w:r>
        <w:rPr>
          <w:sz w:val="22"/>
          <w:szCs w:val="22"/>
          <w:lang w:val="lt-LT"/>
        </w:rPr>
        <w:noBreakHyphen/>
        <w:t>14,61), bet šiems ligoniams sumažėjo išeminio insulto rizika (79 iš 708, vartojant atorvastatiną, palyginti su 102 iš 701, vartojant placebą; RS 0,76; 95 % PI, 0,57</w:t>
      </w:r>
      <w:r>
        <w:rPr>
          <w:sz w:val="22"/>
          <w:szCs w:val="22"/>
          <w:lang w:val="lt-LT"/>
        </w:rPr>
        <w:noBreakHyphen/>
        <w:t>1,02). Yra tikimybė, kad bendroji insulto rizika 80 mg atorvastatino paros dozę vartojantiems pacientams, kurie anksčiau patyrė lakūninį infarktą, gali padidėti.</w:t>
      </w:r>
    </w:p>
    <w:p w14:paraId="3E705996" w14:textId="77777777" w:rsidR="001B11F7" w:rsidRDefault="001B11F7">
      <w:pPr>
        <w:widowControl w:val="0"/>
        <w:autoSpaceDE w:val="0"/>
        <w:autoSpaceDN w:val="0"/>
        <w:adjustRightInd w:val="0"/>
        <w:rPr>
          <w:sz w:val="22"/>
          <w:szCs w:val="22"/>
          <w:lang w:val="lt-LT"/>
        </w:rPr>
      </w:pPr>
    </w:p>
    <w:p w14:paraId="77299493" w14:textId="77777777" w:rsidR="001B11F7" w:rsidRDefault="00B83885">
      <w:pPr>
        <w:widowControl w:val="0"/>
        <w:autoSpaceDE w:val="0"/>
        <w:autoSpaceDN w:val="0"/>
        <w:adjustRightInd w:val="0"/>
        <w:rPr>
          <w:sz w:val="22"/>
          <w:szCs w:val="22"/>
          <w:lang w:val="lt-LT"/>
        </w:rPr>
      </w:pPr>
      <w:r>
        <w:rPr>
          <w:sz w:val="22"/>
          <w:szCs w:val="22"/>
          <w:lang w:val="lt-LT"/>
        </w:rPr>
        <w:t>Mirtingumas dėl visų priežasčių pacientų, kurie anksčiau patyrė hemoraginį insultą, pogrupyje vartojant atorvastatiną buvo 15,6 % (7 iš 45), palyginti su 10,4 % (5 iš 48), vartojant placebą. Mirtingumas dėl visų priežasčių ligonių, kurie anksčiau patyrė lakūninį infarktą, pogrupyje vartojant atorvastatiną buvo 10,9 % (77 iš 708), palyginti su 9,1 % (64 iš 701), vartojant placebą.</w:t>
      </w:r>
    </w:p>
    <w:p w14:paraId="1135B761" w14:textId="77777777" w:rsidR="001B11F7" w:rsidRDefault="001B11F7">
      <w:pPr>
        <w:widowControl w:val="0"/>
        <w:ind w:left="567" w:hanging="567"/>
        <w:rPr>
          <w:sz w:val="22"/>
          <w:szCs w:val="22"/>
          <w:lang w:val="lt-LT" w:eastAsia="lt-LT"/>
        </w:rPr>
      </w:pPr>
    </w:p>
    <w:p w14:paraId="54C8ADF9" w14:textId="77777777" w:rsidR="001B11F7" w:rsidRDefault="00B83885">
      <w:pPr>
        <w:widowControl w:val="0"/>
        <w:rPr>
          <w:sz w:val="22"/>
          <w:szCs w:val="22"/>
          <w:u w:val="single"/>
          <w:lang w:val="lt-LT" w:eastAsia="lt-LT"/>
        </w:rPr>
      </w:pPr>
      <w:r>
        <w:rPr>
          <w:sz w:val="22"/>
          <w:szCs w:val="22"/>
          <w:u w:val="single"/>
          <w:lang w:val="lt-LT" w:eastAsia="lt-LT"/>
        </w:rPr>
        <w:t>Vaikų populiacija</w:t>
      </w:r>
    </w:p>
    <w:p w14:paraId="31C709F7" w14:textId="77777777" w:rsidR="001B11F7" w:rsidRDefault="001B11F7">
      <w:pPr>
        <w:widowControl w:val="0"/>
        <w:rPr>
          <w:i/>
          <w:sz w:val="22"/>
          <w:szCs w:val="22"/>
          <w:u w:val="single"/>
          <w:lang w:val="lt-LT" w:eastAsia="lt-LT"/>
        </w:rPr>
      </w:pPr>
    </w:p>
    <w:p w14:paraId="3BD620C6" w14:textId="77777777" w:rsidR="001B11F7" w:rsidRDefault="00B83885">
      <w:pPr>
        <w:widowControl w:val="0"/>
        <w:autoSpaceDE w:val="0"/>
        <w:autoSpaceDN w:val="0"/>
        <w:adjustRightInd w:val="0"/>
        <w:rPr>
          <w:i/>
          <w:sz w:val="22"/>
          <w:szCs w:val="22"/>
          <w:u w:val="single"/>
          <w:lang w:val="lt-LT" w:eastAsia="lt-LT"/>
        </w:rPr>
      </w:pPr>
      <w:r>
        <w:rPr>
          <w:i/>
          <w:sz w:val="22"/>
          <w:szCs w:val="22"/>
          <w:u w:val="single"/>
          <w:lang w:val="lt-LT" w:eastAsia="lt-LT"/>
        </w:rPr>
        <w:t>6-17 metų vaikai ir paaugliai, sergantys heterozigotine šeimine hipercholesterolemija</w:t>
      </w:r>
    </w:p>
    <w:p w14:paraId="20B40FD1" w14:textId="77777777" w:rsidR="001B11F7" w:rsidRDefault="001B11F7">
      <w:pPr>
        <w:widowControl w:val="0"/>
        <w:autoSpaceDE w:val="0"/>
        <w:autoSpaceDN w:val="0"/>
        <w:adjustRightInd w:val="0"/>
        <w:rPr>
          <w:i/>
          <w:sz w:val="22"/>
          <w:szCs w:val="22"/>
          <w:u w:val="single"/>
          <w:lang w:val="lt-LT" w:eastAsia="lt-LT"/>
        </w:rPr>
      </w:pPr>
    </w:p>
    <w:p w14:paraId="36CF8E22" w14:textId="77777777" w:rsidR="001B11F7" w:rsidRDefault="00B83885">
      <w:pPr>
        <w:widowControl w:val="0"/>
        <w:rPr>
          <w:sz w:val="22"/>
          <w:szCs w:val="22"/>
          <w:lang w:val="lt-LT" w:eastAsia="lt-LT"/>
        </w:rPr>
      </w:pPr>
      <w:r>
        <w:rPr>
          <w:sz w:val="22"/>
          <w:szCs w:val="22"/>
          <w:lang w:val="lt-LT" w:eastAsia="lt-LT"/>
        </w:rPr>
        <w:t xml:space="preserve">Atliktas 8 savaičių atviras atorvastatino farmakokinetikos, farmakodinamikos, saugumo ir toleravimo įvertinimo tyrimas su vaikais ir paaugliais, kuriems buvo genetiškai patvirtinta heterozigotinė šeiminė hipercholesterinemija ir išmatuota pradinė MTL cholesterolio koncentracija buvo ≥ 4 mmol/l. Į tyrimą </w:t>
      </w:r>
      <w:r>
        <w:rPr>
          <w:sz w:val="22"/>
          <w:szCs w:val="22"/>
          <w:lang w:val="lt-LT" w:eastAsia="lt-LT"/>
        </w:rPr>
        <w:lastRenderedPageBreak/>
        <w:t>buvo įtraukti iš viso 39 vaikai ir paaugliai (6</w:t>
      </w:r>
      <w:r>
        <w:rPr>
          <w:sz w:val="22"/>
          <w:szCs w:val="22"/>
          <w:lang w:val="lt-LT" w:eastAsia="lt-LT"/>
        </w:rPr>
        <w:noBreakHyphen/>
        <w:t>17 metų). A kohortoje buvo 15 vaikų (6</w:t>
      </w:r>
      <w:r>
        <w:rPr>
          <w:sz w:val="22"/>
          <w:szCs w:val="22"/>
          <w:lang w:val="lt-LT" w:eastAsia="lt-LT"/>
        </w:rPr>
        <w:noBreakHyphen/>
        <w:t>12 metų, I stadija pagal Tanner skalę), B kohortoje – 24 vaikai ir paaugliai (10</w:t>
      </w:r>
      <w:r>
        <w:rPr>
          <w:sz w:val="22"/>
          <w:szCs w:val="22"/>
          <w:lang w:val="lt-LT" w:eastAsia="lt-LT"/>
        </w:rPr>
        <w:noBreakHyphen/>
        <w:t>17 metų, ≥ 2 arba didesnė stadija pagal Tanner skalę).</w:t>
      </w:r>
    </w:p>
    <w:p w14:paraId="538C7396" w14:textId="77777777" w:rsidR="001B11F7" w:rsidRDefault="001B11F7">
      <w:pPr>
        <w:widowControl w:val="0"/>
        <w:rPr>
          <w:sz w:val="22"/>
          <w:szCs w:val="22"/>
          <w:lang w:val="lt-LT" w:eastAsia="lt-LT"/>
        </w:rPr>
      </w:pPr>
    </w:p>
    <w:p w14:paraId="4E3B1509" w14:textId="77777777" w:rsidR="001B11F7" w:rsidRDefault="00B83885">
      <w:pPr>
        <w:widowControl w:val="0"/>
        <w:rPr>
          <w:sz w:val="22"/>
          <w:szCs w:val="22"/>
          <w:lang w:val="lt-LT" w:eastAsia="lt-LT"/>
        </w:rPr>
      </w:pPr>
      <w:r>
        <w:rPr>
          <w:sz w:val="22"/>
          <w:szCs w:val="22"/>
          <w:lang w:val="lt-LT" w:eastAsia="lt-LT"/>
        </w:rPr>
        <w:t>Pradinė atorvastatino paros dozė A kohortoje buvo 5 mg kramtomoji tabletė, o B kohortoje – viena 10 mg tabletė. Jeigu 4-tą savaitę MTL cholesterolio koncentracija tiriamojo kraujyje nesumažėjo žemiau nustatyto &lt; 3,35 mmol/l lygmens ir atorvastatinas buvo gerai toleruojamas, jo dozė buvo dvigubinama.</w:t>
      </w:r>
    </w:p>
    <w:p w14:paraId="4BA2E86A" w14:textId="77777777" w:rsidR="001B11F7" w:rsidRDefault="001B11F7">
      <w:pPr>
        <w:widowControl w:val="0"/>
        <w:rPr>
          <w:sz w:val="22"/>
          <w:szCs w:val="22"/>
          <w:lang w:val="lt-LT" w:eastAsia="lt-LT"/>
        </w:rPr>
      </w:pPr>
    </w:p>
    <w:p w14:paraId="43BB04CC" w14:textId="77777777" w:rsidR="001B11F7" w:rsidRDefault="00B83885">
      <w:pPr>
        <w:widowControl w:val="0"/>
        <w:rPr>
          <w:sz w:val="22"/>
          <w:szCs w:val="22"/>
          <w:lang w:val="lt-LT" w:eastAsia="lt-LT"/>
        </w:rPr>
      </w:pPr>
      <w:r>
        <w:rPr>
          <w:sz w:val="22"/>
          <w:szCs w:val="22"/>
          <w:lang w:val="lt-LT" w:eastAsia="lt-LT"/>
        </w:rPr>
        <w:t>Visų tiriamųjų vidutiniai MTL cholesterolio, bendrojo cholesterolio, LMTL cholesterolio ir apolipoproteino B koncentracijos rodmenys 2-ąją savaitę sumažėjo. Tiriamųjų, kuriems dozė buvo padvigubinta, rodmenys sumažėjo papildomai ne anksčiau kaip po 2 savaičių (pirmojo vertinimo po dozės didinimo metu). Vidutinis procentinis lipidų koncentracijos rodmenų sumažėjimas abiejose kohortose buvo panašus ir nepriklausė nuo to, ar tiriamieji ir toliau vartojo pradinę, ar padvigubintą dozę. Aštuntą savaitę vidutinis procentinis MTL cholesterolio ir bendrojo cholesterolio koncentracijos rodmenų, palyginti su pradiniais, pokytis esant įvairiai ekspozicijai buvo atitinkamai maždaug 40 % ir 30 %.</w:t>
      </w:r>
    </w:p>
    <w:p w14:paraId="78B3DB3A" w14:textId="77777777" w:rsidR="001B11F7" w:rsidRDefault="001B11F7">
      <w:pPr>
        <w:widowControl w:val="0"/>
        <w:rPr>
          <w:sz w:val="22"/>
          <w:szCs w:val="22"/>
          <w:lang w:val="lt-LT" w:eastAsia="lt-LT"/>
        </w:rPr>
      </w:pPr>
    </w:p>
    <w:p w14:paraId="26EE2719"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Antrajame atvirajame vienos grupės tyrime dalyvavo ir iki trejų metų atorvastatiną vartojo 271 heterozigotine šeimine hipercholesterolemija (HeŠH) sergantis 6–15 metų amžiaus vaikas (berniukai ir mergaitės). Į tyrimą įtraukti vaikai su patvirtinta HeŠH, kurių MTL cholesterolio koncentracija prieš gydymą buvo </w:t>
      </w:r>
      <w:r>
        <w:rPr>
          <w:rFonts w:eastAsia="SimSun"/>
          <w:sz w:val="22"/>
          <w:szCs w:val="22"/>
          <w:lang w:val="lt-LT" w:eastAsia="zh-CN"/>
        </w:rPr>
        <w:sym w:font="Symbol" w:char="F0B3"/>
      </w:r>
      <w:r>
        <w:rPr>
          <w:rFonts w:eastAsia="SimSun"/>
          <w:sz w:val="22"/>
          <w:szCs w:val="22"/>
          <w:lang w:val="lt-LT" w:eastAsia="zh-CN"/>
        </w:rPr>
        <w:t xml:space="preserve"> 4 mmol/l (apie 152 mg/dl). Tyrime dalyvavo 139 vaikai, kurių subrendimas įvertintas 1 laipsniu pagal </w:t>
      </w:r>
      <w:r>
        <w:rPr>
          <w:rFonts w:eastAsia="SimSun"/>
          <w:i/>
          <w:sz w:val="22"/>
          <w:szCs w:val="22"/>
          <w:lang w:val="lt-LT" w:eastAsia="zh-CN"/>
        </w:rPr>
        <w:t>Tanner</w:t>
      </w:r>
      <w:r>
        <w:rPr>
          <w:rFonts w:eastAsia="SimSun"/>
          <w:sz w:val="22"/>
          <w:szCs w:val="22"/>
          <w:lang w:val="lt-LT" w:eastAsia="zh-CN"/>
        </w:rPr>
        <w:t xml:space="preserve"> (vaikai buvo iš esmės 6–10 metų amžiaus). Jaunesniems kaip 10 metų vaikams atorvastatino terapija (vieną kartą per parą) pradėta 5 mg dozėmis (vartojant kramtomąsias tabletes). 10 metų ir vyresni vaikai pradėjo gydymą 10 mg atorvastatino (vieną kartą per parą). Visiems vaikams galima buvo atlikti didinamąjį dozių titravimą, kad pasiektų tikslinę &lt; 3,35 mmol/l MTL cholesterolio vertę. Vidutinė svertinė dozė 6–9 metų vaikams siekė 19,6 mg, o vidutinė svertinė dozė 10 metų ir vyresniems vaikams – 23,9 mg.</w:t>
      </w:r>
    </w:p>
    <w:p w14:paraId="195EBAA2" w14:textId="77777777" w:rsidR="001B11F7" w:rsidRDefault="001B11F7">
      <w:pPr>
        <w:widowControl w:val="0"/>
        <w:rPr>
          <w:rFonts w:eastAsia="SimSun"/>
          <w:sz w:val="22"/>
          <w:szCs w:val="22"/>
          <w:lang w:val="lt-LT" w:eastAsia="zh-CN"/>
        </w:rPr>
      </w:pPr>
    </w:p>
    <w:p w14:paraId="622A9671" w14:textId="77777777" w:rsidR="001B11F7" w:rsidRDefault="00B83885">
      <w:pPr>
        <w:widowControl w:val="0"/>
        <w:rPr>
          <w:rFonts w:eastAsia="SimSun"/>
          <w:sz w:val="22"/>
          <w:szCs w:val="22"/>
          <w:lang w:val="lt-LT" w:eastAsia="zh-CN"/>
        </w:rPr>
      </w:pPr>
      <w:r>
        <w:rPr>
          <w:rFonts w:eastAsia="SimSun"/>
          <w:sz w:val="22"/>
          <w:szCs w:val="22"/>
          <w:lang w:val="lt-LT" w:eastAsia="zh-CN"/>
        </w:rPr>
        <w:t>Vidutinė (+/– SN) MTL cholesterolio vertė prieš gydymą buvo 6,12 (1,26) mmol/l, kuri maždaug atitiko 233 (48) mg/dl. Galutiniai rezultatai pateikiami 3 lentelėje toliau.</w:t>
      </w:r>
    </w:p>
    <w:p w14:paraId="16DA52BB" w14:textId="77777777" w:rsidR="001B11F7" w:rsidRDefault="001B11F7">
      <w:pPr>
        <w:widowControl w:val="0"/>
        <w:rPr>
          <w:rFonts w:eastAsia="SimSun"/>
          <w:sz w:val="22"/>
          <w:szCs w:val="22"/>
          <w:lang w:val="lt-LT" w:eastAsia="zh-CN"/>
        </w:rPr>
      </w:pPr>
    </w:p>
    <w:p w14:paraId="50A49611" w14:textId="77777777" w:rsidR="001B11F7" w:rsidRDefault="00B83885">
      <w:pPr>
        <w:widowControl w:val="0"/>
        <w:rPr>
          <w:rFonts w:eastAsia="SimSun"/>
          <w:sz w:val="22"/>
          <w:szCs w:val="22"/>
          <w:lang w:val="lt-LT" w:eastAsia="zh-CN"/>
        </w:rPr>
      </w:pPr>
      <w:r>
        <w:rPr>
          <w:rFonts w:eastAsia="SimSun"/>
          <w:sz w:val="22"/>
          <w:szCs w:val="22"/>
          <w:lang w:val="lt-LT" w:eastAsia="zh-CN"/>
        </w:rPr>
        <w:t xml:space="preserve">Vaikų ir paauglių, sergančių HeŠH ir vartojusių atorvastatiną per 3 metų tyrimą, duomenys atitiko poveikį kiekvienam augimo ir vystymosi parametrui (t. y. ūgiui, kūno svoriui, KMI, laipsniui pagal </w:t>
      </w:r>
      <w:r>
        <w:rPr>
          <w:rFonts w:eastAsia="SimSun"/>
          <w:i/>
          <w:sz w:val="22"/>
          <w:szCs w:val="22"/>
          <w:lang w:val="lt-LT" w:eastAsia="zh-CN"/>
        </w:rPr>
        <w:t>Tanner</w:t>
      </w:r>
      <w:r>
        <w:rPr>
          <w:rFonts w:eastAsia="SimSun"/>
          <w:sz w:val="22"/>
          <w:szCs w:val="22"/>
          <w:lang w:val="lt-LT" w:eastAsia="zh-CN"/>
        </w:rPr>
        <w:t>, tyrėjo bendrajam brendimo ir vystymosi vertinimui) vaistinio preparato nevartojant. Vizitų metu tyrėjai nenustatė vaistinio preparato poveikio ūgiui, kūno svoriui ir KMI pagal amžių ar pagal lytį.</w:t>
      </w:r>
    </w:p>
    <w:p w14:paraId="551DE49D" w14:textId="77777777" w:rsidR="001B11F7" w:rsidRDefault="001B11F7">
      <w:pPr>
        <w:widowControl w:val="0"/>
        <w:rPr>
          <w:rFonts w:eastAsia="SimSun"/>
          <w:sz w:val="22"/>
          <w:szCs w:val="22"/>
          <w:lang w:val="lt-LT" w:eastAsia="zh-C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3"/>
        <w:gridCol w:w="685"/>
        <w:gridCol w:w="1350"/>
        <w:gridCol w:w="1620"/>
        <w:gridCol w:w="1675"/>
        <w:gridCol w:w="1385"/>
        <w:gridCol w:w="1620"/>
      </w:tblGrid>
      <w:tr w:rsidR="001B11F7" w14:paraId="60D2D723" w14:textId="77777777">
        <w:tc>
          <w:tcPr>
            <w:tcW w:w="9648" w:type="dxa"/>
            <w:gridSpan w:val="7"/>
          </w:tcPr>
          <w:p w14:paraId="76D83E16" w14:textId="77777777" w:rsidR="001B11F7" w:rsidRDefault="00B83885">
            <w:pPr>
              <w:widowControl w:val="0"/>
              <w:jc w:val="center"/>
              <w:rPr>
                <w:rFonts w:eastAsia="SimSun"/>
                <w:b/>
                <w:sz w:val="22"/>
                <w:szCs w:val="22"/>
                <w:lang w:val="lt-LT" w:eastAsia="zh-CN"/>
              </w:rPr>
            </w:pPr>
            <w:r>
              <w:rPr>
                <w:rFonts w:eastAsia="SimSun"/>
                <w:b/>
                <w:sz w:val="22"/>
                <w:szCs w:val="22"/>
                <w:lang w:val="lt-LT" w:eastAsia="zh-CN"/>
              </w:rPr>
              <w:t>3 LENTELĖ.</w:t>
            </w:r>
            <w:r>
              <w:rPr>
                <w:rFonts w:eastAsia="SimSun"/>
                <w:b/>
                <w:sz w:val="22"/>
                <w:szCs w:val="22"/>
                <w:vertAlign w:val="superscript"/>
                <w:lang w:val="lt-LT" w:eastAsia="zh-CN"/>
              </w:rPr>
              <w:t xml:space="preserve"> </w:t>
            </w:r>
            <w:r>
              <w:rPr>
                <w:rFonts w:eastAsia="SimSun"/>
                <w:b/>
                <w:sz w:val="22"/>
                <w:szCs w:val="22"/>
                <w:u w:val="single"/>
                <w:lang w:val="lt-LT" w:eastAsia="zh-CN"/>
              </w:rPr>
              <w:t>Atorvastatino lipidų mažinamasis poveikis paaugliams ir paauglėms, sergantiems heterozigotine šeimine hipercholesterolemija (mmol/l)</w:t>
            </w:r>
          </w:p>
        </w:tc>
      </w:tr>
      <w:tr w:rsidR="001B11F7" w14:paraId="68601186" w14:textId="77777777">
        <w:tc>
          <w:tcPr>
            <w:tcW w:w="1313" w:type="dxa"/>
          </w:tcPr>
          <w:p w14:paraId="13945161" w14:textId="77777777" w:rsidR="001B11F7" w:rsidRDefault="00B83885">
            <w:pPr>
              <w:widowControl w:val="0"/>
              <w:rPr>
                <w:rFonts w:eastAsia="SimSun"/>
                <w:b/>
                <w:sz w:val="22"/>
                <w:szCs w:val="22"/>
                <w:lang w:val="lt-LT" w:eastAsia="zh-CN"/>
              </w:rPr>
            </w:pPr>
            <w:r>
              <w:rPr>
                <w:rFonts w:eastAsia="SimSun"/>
                <w:sz w:val="22"/>
                <w:szCs w:val="22"/>
                <w:lang w:val="lt-LT" w:eastAsia="zh-CN"/>
              </w:rPr>
              <w:t>Laikas</w:t>
            </w:r>
          </w:p>
        </w:tc>
        <w:tc>
          <w:tcPr>
            <w:tcW w:w="685" w:type="dxa"/>
          </w:tcPr>
          <w:p w14:paraId="3C02ACC9" w14:textId="77777777" w:rsidR="001B11F7" w:rsidRDefault="00B83885">
            <w:pPr>
              <w:widowControl w:val="0"/>
              <w:rPr>
                <w:rFonts w:eastAsia="SimSun"/>
                <w:b/>
                <w:sz w:val="22"/>
                <w:szCs w:val="22"/>
                <w:lang w:val="lt-LT" w:eastAsia="zh-CN"/>
              </w:rPr>
            </w:pPr>
            <w:r>
              <w:rPr>
                <w:rFonts w:eastAsia="SimSun"/>
                <w:sz w:val="22"/>
                <w:szCs w:val="22"/>
                <w:lang w:val="lt-LT" w:eastAsia="zh-CN"/>
              </w:rPr>
              <w:t>N</w:t>
            </w:r>
          </w:p>
        </w:tc>
        <w:tc>
          <w:tcPr>
            <w:tcW w:w="1350" w:type="dxa"/>
          </w:tcPr>
          <w:p w14:paraId="4DAB7DD9" w14:textId="77777777" w:rsidR="001B11F7" w:rsidRDefault="00B83885">
            <w:pPr>
              <w:widowControl w:val="0"/>
              <w:rPr>
                <w:rFonts w:eastAsia="SimSun"/>
                <w:b/>
                <w:sz w:val="22"/>
                <w:szCs w:val="22"/>
                <w:lang w:val="lt-LT" w:eastAsia="zh-CN"/>
              </w:rPr>
            </w:pPr>
            <w:r>
              <w:rPr>
                <w:rFonts w:eastAsia="SimSun"/>
                <w:sz w:val="22"/>
                <w:szCs w:val="22"/>
                <w:lang w:val="lt-LT" w:eastAsia="zh-CN"/>
              </w:rPr>
              <w:t>BCh (SN)</w:t>
            </w:r>
          </w:p>
        </w:tc>
        <w:tc>
          <w:tcPr>
            <w:tcW w:w="1620" w:type="dxa"/>
          </w:tcPr>
          <w:p w14:paraId="4707DE13" w14:textId="77777777" w:rsidR="001B11F7" w:rsidRDefault="00B83885">
            <w:pPr>
              <w:widowControl w:val="0"/>
              <w:rPr>
                <w:rFonts w:eastAsia="SimSun"/>
                <w:b/>
                <w:sz w:val="22"/>
                <w:szCs w:val="22"/>
                <w:lang w:val="lt-LT" w:eastAsia="zh-CN"/>
              </w:rPr>
            </w:pPr>
            <w:r>
              <w:rPr>
                <w:rFonts w:eastAsia="SimSun"/>
                <w:sz w:val="22"/>
                <w:szCs w:val="22"/>
                <w:lang w:val="lt-LT" w:eastAsia="zh-CN"/>
              </w:rPr>
              <w:t>MTL Ch (SN)</w:t>
            </w:r>
          </w:p>
        </w:tc>
        <w:tc>
          <w:tcPr>
            <w:tcW w:w="1675" w:type="dxa"/>
          </w:tcPr>
          <w:p w14:paraId="13DF5C7E" w14:textId="77777777" w:rsidR="001B11F7" w:rsidRDefault="00B83885">
            <w:pPr>
              <w:widowControl w:val="0"/>
              <w:rPr>
                <w:rFonts w:eastAsia="SimSun"/>
                <w:b/>
                <w:sz w:val="22"/>
                <w:szCs w:val="22"/>
                <w:lang w:val="lt-LT" w:eastAsia="zh-CN"/>
              </w:rPr>
            </w:pPr>
            <w:r>
              <w:rPr>
                <w:rFonts w:eastAsia="SimSun"/>
                <w:sz w:val="22"/>
                <w:szCs w:val="22"/>
                <w:lang w:val="lt-LT" w:eastAsia="zh-CN"/>
              </w:rPr>
              <w:t>DTL Ch (SN)</w:t>
            </w:r>
          </w:p>
        </w:tc>
        <w:tc>
          <w:tcPr>
            <w:tcW w:w="1385" w:type="dxa"/>
          </w:tcPr>
          <w:p w14:paraId="7AEBFC3A" w14:textId="77777777" w:rsidR="001B11F7" w:rsidRDefault="00B83885">
            <w:pPr>
              <w:widowControl w:val="0"/>
              <w:rPr>
                <w:rFonts w:eastAsia="SimSun"/>
                <w:b/>
                <w:sz w:val="22"/>
                <w:szCs w:val="22"/>
                <w:lang w:val="lt-LT" w:eastAsia="zh-CN"/>
              </w:rPr>
            </w:pPr>
            <w:r>
              <w:rPr>
                <w:rFonts w:eastAsia="SimSun"/>
                <w:sz w:val="22"/>
                <w:szCs w:val="22"/>
                <w:lang w:val="lt-LT" w:eastAsia="zh-CN"/>
              </w:rPr>
              <w:t>TG (SN)</w:t>
            </w:r>
          </w:p>
        </w:tc>
        <w:tc>
          <w:tcPr>
            <w:tcW w:w="1620" w:type="dxa"/>
          </w:tcPr>
          <w:p w14:paraId="4A382E96" w14:textId="77777777" w:rsidR="001B11F7" w:rsidRDefault="00B83885">
            <w:pPr>
              <w:widowControl w:val="0"/>
              <w:rPr>
                <w:rFonts w:eastAsia="SimSun"/>
                <w:b/>
                <w:sz w:val="22"/>
                <w:szCs w:val="22"/>
                <w:lang w:val="lt-LT" w:eastAsia="zh-CN"/>
              </w:rPr>
            </w:pPr>
            <w:r>
              <w:rPr>
                <w:rFonts w:eastAsia="SimSun"/>
                <w:sz w:val="22"/>
                <w:szCs w:val="22"/>
                <w:lang w:val="lt-LT" w:eastAsia="zh-CN"/>
              </w:rPr>
              <w:t>Apo B (SN) #</w:t>
            </w:r>
          </w:p>
        </w:tc>
      </w:tr>
      <w:tr w:rsidR="001B11F7" w14:paraId="208C287A" w14:textId="77777777">
        <w:tc>
          <w:tcPr>
            <w:tcW w:w="1313" w:type="dxa"/>
          </w:tcPr>
          <w:p w14:paraId="488D2423" w14:textId="77777777" w:rsidR="001B11F7" w:rsidRDefault="00B83885">
            <w:pPr>
              <w:widowControl w:val="0"/>
              <w:rPr>
                <w:rFonts w:eastAsia="SimSun"/>
                <w:b/>
                <w:sz w:val="22"/>
                <w:szCs w:val="22"/>
                <w:lang w:val="lt-LT" w:eastAsia="zh-CN"/>
              </w:rPr>
            </w:pPr>
            <w:r>
              <w:rPr>
                <w:rFonts w:eastAsia="SimSun"/>
                <w:sz w:val="22"/>
                <w:szCs w:val="22"/>
                <w:lang w:val="lt-LT" w:eastAsia="zh-CN"/>
              </w:rPr>
              <w:t>Prieš gydymą</w:t>
            </w:r>
          </w:p>
        </w:tc>
        <w:tc>
          <w:tcPr>
            <w:tcW w:w="685" w:type="dxa"/>
          </w:tcPr>
          <w:p w14:paraId="69B0201D" w14:textId="77777777" w:rsidR="001B11F7" w:rsidRDefault="00B83885">
            <w:pPr>
              <w:widowControl w:val="0"/>
              <w:rPr>
                <w:rFonts w:eastAsia="SimSun"/>
                <w:b/>
                <w:sz w:val="22"/>
                <w:szCs w:val="22"/>
                <w:lang w:val="lt-LT" w:eastAsia="zh-CN"/>
              </w:rPr>
            </w:pPr>
            <w:r>
              <w:rPr>
                <w:rFonts w:eastAsia="SimSun"/>
                <w:sz w:val="22"/>
                <w:szCs w:val="22"/>
                <w:lang w:val="lt-LT" w:eastAsia="zh-CN"/>
              </w:rPr>
              <w:t>271</w:t>
            </w:r>
          </w:p>
        </w:tc>
        <w:tc>
          <w:tcPr>
            <w:tcW w:w="1350" w:type="dxa"/>
          </w:tcPr>
          <w:p w14:paraId="24CCEABA" w14:textId="77777777" w:rsidR="001B11F7" w:rsidRDefault="00B83885">
            <w:pPr>
              <w:widowControl w:val="0"/>
              <w:rPr>
                <w:rFonts w:eastAsia="SimSun"/>
                <w:b/>
                <w:sz w:val="22"/>
                <w:szCs w:val="22"/>
                <w:lang w:val="lt-LT" w:eastAsia="zh-CN"/>
              </w:rPr>
            </w:pPr>
            <w:r>
              <w:rPr>
                <w:rFonts w:eastAsia="SimSun"/>
                <w:sz w:val="22"/>
                <w:szCs w:val="22"/>
                <w:lang w:val="lt-LT" w:eastAsia="zh-CN"/>
              </w:rPr>
              <w:t>7,86 (1,30)</w:t>
            </w:r>
          </w:p>
        </w:tc>
        <w:tc>
          <w:tcPr>
            <w:tcW w:w="1620" w:type="dxa"/>
          </w:tcPr>
          <w:p w14:paraId="6455B484" w14:textId="77777777" w:rsidR="001B11F7" w:rsidRDefault="00B83885">
            <w:pPr>
              <w:widowControl w:val="0"/>
              <w:rPr>
                <w:rFonts w:eastAsia="SimSun"/>
                <w:b/>
                <w:sz w:val="22"/>
                <w:szCs w:val="22"/>
                <w:lang w:val="lt-LT" w:eastAsia="zh-CN"/>
              </w:rPr>
            </w:pPr>
            <w:r>
              <w:rPr>
                <w:rFonts w:eastAsia="SimSun"/>
                <w:sz w:val="22"/>
                <w:szCs w:val="22"/>
                <w:lang w:val="lt-LT" w:eastAsia="zh-CN"/>
              </w:rPr>
              <w:t>6,12 (1,26)</w:t>
            </w:r>
          </w:p>
        </w:tc>
        <w:tc>
          <w:tcPr>
            <w:tcW w:w="1675" w:type="dxa"/>
          </w:tcPr>
          <w:p w14:paraId="46FB08B7" w14:textId="77777777" w:rsidR="001B11F7" w:rsidRDefault="00B83885">
            <w:pPr>
              <w:widowControl w:val="0"/>
              <w:rPr>
                <w:rFonts w:eastAsia="SimSun"/>
                <w:b/>
                <w:sz w:val="22"/>
                <w:szCs w:val="22"/>
                <w:lang w:val="lt-LT" w:eastAsia="zh-CN"/>
              </w:rPr>
            </w:pPr>
            <w:r>
              <w:rPr>
                <w:rFonts w:eastAsia="SimSun"/>
                <w:sz w:val="22"/>
                <w:szCs w:val="22"/>
                <w:lang w:val="lt-LT" w:eastAsia="zh-CN"/>
              </w:rPr>
              <w:t>1,314 (0,2663)</w:t>
            </w:r>
          </w:p>
        </w:tc>
        <w:tc>
          <w:tcPr>
            <w:tcW w:w="1385" w:type="dxa"/>
          </w:tcPr>
          <w:p w14:paraId="278A2960" w14:textId="77777777" w:rsidR="001B11F7" w:rsidRDefault="00B83885">
            <w:pPr>
              <w:widowControl w:val="0"/>
              <w:rPr>
                <w:rFonts w:eastAsia="SimSun"/>
                <w:b/>
                <w:sz w:val="22"/>
                <w:szCs w:val="22"/>
                <w:lang w:val="lt-LT" w:eastAsia="zh-CN"/>
              </w:rPr>
            </w:pPr>
            <w:r>
              <w:rPr>
                <w:rFonts w:eastAsia="SimSun"/>
                <w:sz w:val="22"/>
                <w:szCs w:val="22"/>
                <w:lang w:val="lt-LT" w:eastAsia="zh-CN"/>
              </w:rPr>
              <w:t>0,93 (0,47)</w:t>
            </w:r>
          </w:p>
        </w:tc>
        <w:tc>
          <w:tcPr>
            <w:tcW w:w="1620" w:type="dxa"/>
          </w:tcPr>
          <w:p w14:paraId="7A6219FE" w14:textId="77777777" w:rsidR="001B11F7" w:rsidRDefault="00B83885">
            <w:pPr>
              <w:widowControl w:val="0"/>
              <w:rPr>
                <w:rFonts w:eastAsia="SimSun"/>
                <w:b/>
                <w:sz w:val="22"/>
                <w:szCs w:val="22"/>
                <w:lang w:val="lt-LT" w:eastAsia="zh-CN"/>
              </w:rPr>
            </w:pPr>
            <w:r>
              <w:rPr>
                <w:rFonts w:eastAsia="SimSun"/>
                <w:sz w:val="22"/>
                <w:szCs w:val="22"/>
                <w:lang w:val="lt-LT" w:eastAsia="zh-CN"/>
              </w:rPr>
              <w:t>1,42 (0,28)**</w:t>
            </w:r>
          </w:p>
        </w:tc>
      </w:tr>
      <w:tr w:rsidR="001B11F7" w14:paraId="136BB25C" w14:textId="77777777">
        <w:tc>
          <w:tcPr>
            <w:tcW w:w="1313" w:type="dxa"/>
          </w:tcPr>
          <w:p w14:paraId="3BF985E5" w14:textId="77777777" w:rsidR="001B11F7" w:rsidRDefault="00B83885">
            <w:pPr>
              <w:widowControl w:val="0"/>
              <w:rPr>
                <w:rFonts w:eastAsia="SimSun"/>
                <w:b/>
                <w:sz w:val="22"/>
                <w:szCs w:val="22"/>
                <w:lang w:val="lt-LT" w:eastAsia="zh-CN"/>
              </w:rPr>
            </w:pPr>
            <w:r>
              <w:rPr>
                <w:rFonts w:eastAsia="SimSun"/>
                <w:sz w:val="22"/>
                <w:szCs w:val="22"/>
                <w:lang w:val="lt-LT" w:eastAsia="zh-CN"/>
              </w:rPr>
              <w:t>30 mėnuo</w:t>
            </w:r>
          </w:p>
        </w:tc>
        <w:tc>
          <w:tcPr>
            <w:tcW w:w="685" w:type="dxa"/>
          </w:tcPr>
          <w:p w14:paraId="6E927728" w14:textId="77777777" w:rsidR="001B11F7" w:rsidRDefault="00B83885">
            <w:pPr>
              <w:widowControl w:val="0"/>
              <w:rPr>
                <w:rFonts w:eastAsia="SimSun"/>
                <w:b/>
                <w:sz w:val="22"/>
                <w:szCs w:val="22"/>
                <w:lang w:val="lt-LT" w:eastAsia="zh-CN"/>
              </w:rPr>
            </w:pPr>
            <w:r>
              <w:rPr>
                <w:rFonts w:eastAsia="SimSun"/>
                <w:sz w:val="22"/>
                <w:szCs w:val="22"/>
                <w:lang w:val="lt-LT" w:eastAsia="zh-CN"/>
              </w:rPr>
              <w:t>206</w:t>
            </w:r>
          </w:p>
        </w:tc>
        <w:tc>
          <w:tcPr>
            <w:tcW w:w="1350" w:type="dxa"/>
          </w:tcPr>
          <w:p w14:paraId="03F238FD" w14:textId="77777777" w:rsidR="001B11F7" w:rsidRDefault="00B83885">
            <w:pPr>
              <w:widowControl w:val="0"/>
              <w:rPr>
                <w:rFonts w:eastAsia="SimSun"/>
                <w:b/>
                <w:sz w:val="22"/>
                <w:szCs w:val="22"/>
                <w:lang w:val="lt-LT" w:eastAsia="zh-CN"/>
              </w:rPr>
            </w:pPr>
            <w:r>
              <w:rPr>
                <w:rFonts w:eastAsia="SimSun"/>
                <w:sz w:val="22"/>
                <w:szCs w:val="22"/>
                <w:lang w:val="lt-LT" w:eastAsia="zh-CN"/>
              </w:rPr>
              <w:t>4,95 (0,77)*</w:t>
            </w:r>
          </w:p>
        </w:tc>
        <w:tc>
          <w:tcPr>
            <w:tcW w:w="1620" w:type="dxa"/>
          </w:tcPr>
          <w:p w14:paraId="7E80F455" w14:textId="77777777" w:rsidR="001B11F7" w:rsidRDefault="00B83885">
            <w:pPr>
              <w:widowControl w:val="0"/>
              <w:rPr>
                <w:rFonts w:eastAsia="SimSun"/>
                <w:b/>
                <w:sz w:val="22"/>
                <w:szCs w:val="22"/>
                <w:lang w:val="lt-LT" w:eastAsia="zh-CN"/>
              </w:rPr>
            </w:pPr>
            <w:r>
              <w:rPr>
                <w:rFonts w:eastAsia="SimSun"/>
                <w:sz w:val="22"/>
                <w:szCs w:val="22"/>
                <w:lang w:val="lt-LT" w:eastAsia="zh-CN"/>
              </w:rPr>
              <w:t>3,25 (0,67)</w:t>
            </w:r>
          </w:p>
        </w:tc>
        <w:tc>
          <w:tcPr>
            <w:tcW w:w="1675" w:type="dxa"/>
          </w:tcPr>
          <w:p w14:paraId="342A6A73" w14:textId="77777777" w:rsidR="001B11F7" w:rsidRDefault="00B83885">
            <w:pPr>
              <w:widowControl w:val="0"/>
              <w:rPr>
                <w:rFonts w:eastAsia="SimSun"/>
                <w:b/>
                <w:sz w:val="22"/>
                <w:szCs w:val="22"/>
                <w:lang w:val="lt-LT" w:eastAsia="zh-CN"/>
              </w:rPr>
            </w:pPr>
            <w:r>
              <w:rPr>
                <w:rFonts w:eastAsia="SimSun"/>
                <w:sz w:val="22"/>
                <w:szCs w:val="22"/>
                <w:lang w:val="lt-LT" w:eastAsia="zh-CN"/>
              </w:rPr>
              <w:t>1,327 (0,2796)</w:t>
            </w:r>
          </w:p>
        </w:tc>
        <w:tc>
          <w:tcPr>
            <w:tcW w:w="1385" w:type="dxa"/>
          </w:tcPr>
          <w:p w14:paraId="5A428422" w14:textId="77777777" w:rsidR="001B11F7" w:rsidRDefault="00B83885">
            <w:pPr>
              <w:widowControl w:val="0"/>
              <w:rPr>
                <w:rFonts w:eastAsia="SimSun"/>
                <w:b/>
                <w:sz w:val="22"/>
                <w:szCs w:val="22"/>
                <w:lang w:val="lt-LT" w:eastAsia="zh-CN"/>
              </w:rPr>
            </w:pPr>
            <w:r>
              <w:rPr>
                <w:rFonts w:eastAsia="SimSun"/>
                <w:sz w:val="22"/>
                <w:szCs w:val="22"/>
                <w:lang w:val="lt-LT" w:eastAsia="zh-CN"/>
              </w:rPr>
              <w:t>0,79 (0,38)*</w:t>
            </w:r>
          </w:p>
        </w:tc>
        <w:tc>
          <w:tcPr>
            <w:tcW w:w="1620" w:type="dxa"/>
          </w:tcPr>
          <w:p w14:paraId="44D3FBB2" w14:textId="77777777" w:rsidR="001B11F7" w:rsidRDefault="00B83885">
            <w:pPr>
              <w:widowControl w:val="0"/>
              <w:rPr>
                <w:rFonts w:eastAsia="SimSun"/>
                <w:b/>
                <w:sz w:val="22"/>
                <w:szCs w:val="22"/>
                <w:lang w:val="lt-LT" w:eastAsia="zh-CN"/>
              </w:rPr>
            </w:pPr>
            <w:r>
              <w:rPr>
                <w:rFonts w:eastAsia="SimSun"/>
                <w:sz w:val="22"/>
                <w:szCs w:val="22"/>
                <w:lang w:val="lt-LT" w:eastAsia="zh-CN"/>
              </w:rPr>
              <w:t>0,90 (0,17)*</w:t>
            </w:r>
          </w:p>
        </w:tc>
      </w:tr>
      <w:tr w:rsidR="001B11F7" w14:paraId="50160DFC" w14:textId="77777777">
        <w:tc>
          <w:tcPr>
            <w:tcW w:w="1313" w:type="dxa"/>
          </w:tcPr>
          <w:p w14:paraId="25A62CF8" w14:textId="77777777" w:rsidR="001B11F7" w:rsidRDefault="00B83885">
            <w:pPr>
              <w:widowControl w:val="0"/>
              <w:rPr>
                <w:rFonts w:eastAsia="SimSun"/>
                <w:b/>
                <w:sz w:val="22"/>
                <w:szCs w:val="22"/>
                <w:lang w:val="lt-LT" w:eastAsia="zh-CN"/>
              </w:rPr>
            </w:pPr>
            <w:r>
              <w:rPr>
                <w:rFonts w:eastAsia="SimSun"/>
                <w:sz w:val="22"/>
                <w:szCs w:val="22"/>
                <w:lang w:val="lt-LT" w:eastAsia="zh-CN"/>
              </w:rPr>
              <w:t>36 mėnuo / pabaiga</w:t>
            </w:r>
          </w:p>
        </w:tc>
        <w:tc>
          <w:tcPr>
            <w:tcW w:w="685" w:type="dxa"/>
          </w:tcPr>
          <w:p w14:paraId="7317ECC0" w14:textId="77777777" w:rsidR="001B11F7" w:rsidRDefault="00B83885">
            <w:pPr>
              <w:widowControl w:val="0"/>
              <w:rPr>
                <w:rFonts w:eastAsia="SimSun"/>
                <w:b/>
                <w:sz w:val="22"/>
                <w:szCs w:val="22"/>
                <w:lang w:val="lt-LT" w:eastAsia="zh-CN"/>
              </w:rPr>
            </w:pPr>
            <w:r>
              <w:rPr>
                <w:rFonts w:eastAsia="SimSun"/>
                <w:sz w:val="22"/>
                <w:szCs w:val="22"/>
                <w:lang w:val="lt-LT" w:eastAsia="zh-CN"/>
              </w:rPr>
              <w:t>240</w:t>
            </w:r>
          </w:p>
        </w:tc>
        <w:tc>
          <w:tcPr>
            <w:tcW w:w="1350" w:type="dxa"/>
          </w:tcPr>
          <w:p w14:paraId="77E2669A" w14:textId="77777777" w:rsidR="001B11F7" w:rsidRDefault="00B83885">
            <w:pPr>
              <w:widowControl w:val="0"/>
              <w:rPr>
                <w:rFonts w:eastAsia="SimSun"/>
                <w:b/>
                <w:sz w:val="22"/>
                <w:szCs w:val="22"/>
                <w:lang w:val="lt-LT" w:eastAsia="zh-CN"/>
              </w:rPr>
            </w:pPr>
            <w:r>
              <w:rPr>
                <w:rFonts w:eastAsia="SimSun"/>
                <w:sz w:val="22"/>
                <w:szCs w:val="22"/>
                <w:lang w:val="lt-LT" w:eastAsia="zh-CN"/>
              </w:rPr>
              <w:t>5,12 (0,86)</w:t>
            </w:r>
          </w:p>
        </w:tc>
        <w:tc>
          <w:tcPr>
            <w:tcW w:w="1620" w:type="dxa"/>
          </w:tcPr>
          <w:p w14:paraId="43870EAB" w14:textId="77777777" w:rsidR="001B11F7" w:rsidRDefault="00B83885">
            <w:pPr>
              <w:widowControl w:val="0"/>
              <w:rPr>
                <w:rFonts w:eastAsia="SimSun"/>
                <w:b/>
                <w:sz w:val="22"/>
                <w:szCs w:val="22"/>
                <w:lang w:val="lt-LT" w:eastAsia="zh-CN"/>
              </w:rPr>
            </w:pPr>
            <w:r>
              <w:rPr>
                <w:rFonts w:eastAsia="SimSun"/>
                <w:sz w:val="22"/>
                <w:szCs w:val="22"/>
                <w:lang w:val="lt-LT" w:eastAsia="zh-CN"/>
              </w:rPr>
              <w:t>3,45 (0,81)</w:t>
            </w:r>
          </w:p>
        </w:tc>
        <w:tc>
          <w:tcPr>
            <w:tcW w:w="1675" w:type="dxa"/>
          </w:tcPr>
          <w:p w14:paraId="2F4A7F2D" w14:textId="77777777" w:rsidR="001B11F7" w:rsidRDefault="00B83885">
            <w:pPr>
              <w:widowControl w:val="0"/>
              <w:rPr>
                <w:rFonts w:eastAsia="SimSun"/>
                <w:b/>
                <w:sz w:val="22"/>
                <w:szCs w:val="22"/>
                <w:lang w:val="lt-LT" w:eastAsia="zh-CN"/>
              </w:rPr>
            </w:pPr>
            <w:r>
              <w:rPr>
                <w:rFonts w:eastAsia="SimSun"/>
                <w:sz w:val="22"/>
                <w:szCs w:val="22"/>
                <w:lang w:val="lt-LT" w:eastAsia="zh-CN"/>
              </w:rPr>
              <w:t>1,308 (0,2739)</w:t>
            </w:r>
          </w:p>
        </w:tc>
        <w:tc>
          <w:tcPr>
            <w:tcW w:w="1385" w:type="dxa"/>
          </w:tcPr>
          <w:p w14:paraId="57FDBF02" w14:textId="77777777" w:rsidR="001B11F7" w:rsidRDefault="00B83885">
            <w:pPr>
              <w:widowControl w:val="0"/>
              <w:rPr>
                <w:rFonts w:eastAsia="SimSun"/>
                <w:b/>
                <w:sz w:val="22"/>
                <w:szCs w:val="22"/>
                <w:lang w:val="lt-LT" w:eastAsia="zh-CN"/>
              </w:rPr>
            </w:pPr>
            <w:r>
              <w:rPr>
                <w:rFonts w:eastAsia="SimSun"/>
                <w:sz w:val="22"/>
                <w:szCs w:val="22"/>
                <w:lang w:val="lt-LT" w:eastAsia="zh-CN"/>
              </w:rPr>
              <w:t>0,78 (0,41)</w:t>
            </w:r>
          </w:p>
        </w:tc>
        <w:tc>
          <w:tcPr>
            <w:tcW w:w="1620" w:type="dxa"/>
          </w:tcPr>
          <w:p w14:paraId="3C958B84" w14:textId="77777777" w:rsidR="001B11F7" w:rsidRDefault="00B83885">
            <w:pPr>
              <w:widowControl w:val="0"/>
              <w:rPr>
                <w:rFonts w:eastAsia="SimSun"/>
                <w:b/>
                <w:sz w:val="22"/>
                <w:szCs w:val="22"/>
                <w:lang w:val="lt-LT" w:eastAsia="zh-CN"/>
              </w:rPr>
            </w:pPr>
            <w:r>
              <w:rPr>
                <w:rFonts w:eastAsia="SimSun"/>
                <w:sz w:val="22"/>
                <w:szCs w:val="22"/>
                <w:lang w:val="lt-LT" w:eastAsia="zh-CN"/>
              </w:rPr>
              <w:t>0,93 (0,20)***</w:t>
            </w:r>
          </w:p>
        </w:tc>
      </w:tr>
      <w:tr w:rsidR="001B11F7" w14:paraId="5CD558B4" w14:textId="77777777">
        <w:tc>
          <w:tcPr>
            <w:tcW w:w="9648" w:type="dxa"/>
            <w:gridSpan w:val="7"/>
          </w:tcPr>
          <w:p w14:paraId="79235DE0" w14:textId="77777777" w:rsidR="001B11F7" w:rsidRDefault="00B83885">
            <w:pPr>
              <w:widowControl w:val="0"/>
              <w:rPr>
                <w:rFonts w:eastAsia="SimSun"/>
                <w:b/>
                <w:sz w:val="22"/>
                <w:szCs w:val="22"/>
                <w:lang w:val="lt-LT" w:eastAsia="zh-CN"/>
              </w:rPr>
            </w:pPr>
            <w:r>
              <w:rPr>
                <w:rFonts w:eastAsia="SimSun"/>
                <w:sz w:val="22"/>
                <w:szCs w:val="22"/>
                <w:lang w:val="lt-LT" w:eastAsia="zh-CN"/>
              </w:rPr>
              <w:t>BCh = bendrasis cholesterolis; MTL Ch = mažo tankio lipoproteinų cholesterolis; DTL Ch = didelio tankio lipoproteinų cholesterolis; TG = trigliceridai; Apo B = apolipoproteinas B; į laikotarpį „36 mėnuo / pabaiga“ įtraukti asmenų, nutraukusių dalyvavimą tyrime prieš 36-ąjį mėnesį, galutinio vizito duomenys bei visi 36 mėnesių duomenys, gauti iš asmenų, baigusių 36 mėnesių tyrimą; „*“ = 30-ąjį mėnesį šio parametro N buvo 207; „**“ = šio parametro N prieš gydymą buvo 270; „***“ = 36-ąjį mėnesį / pabaigoje šio parametro N buvo 243; „#“ = Apo B vertė g/l.</w:t>
            </w:r>
          </w:p>
        </w:tc>
      </w:tr>
    </w:tbl>
    <w:p w14:paraId="7FB8D4D1" w14:textId="77777777" w:rsidR="001B11F7" w:rsidRDefault="001B11F7">
      <w:pPr>
        <w:widowControl w:val="0"/>
        <w:rPr>
          <w:rFonts w:eastAsia="SimSun"/>
          <w:sz w:val="22"/>
          <w:szCs w:val="22"/>
          <w:lang w:val="lt-LT" w:eastAsia="lt-LT"/>
        </w:rPr>
      </w:pPr>
    </w:p>
    <w:p w14:paraId="70C9578D" w14:textId="77777777" w:rsidR="001B11F7" w:rsidRDefault="00B83885">
      <w:pPr>
        <w:widowControl w:val="0"/>
        <w:rPr>
          <w:i/>
          <w:sz w:val="22"/>
          <w:u w:val="single"/>
          <w:lang w:val="lt-LT"/>
        </w:rPr>
      </w:pPr>
      <w:r>
        <w:rPr>
          <w:i/>
          <w:sz w:val="22"/>
          <w:szCs w:val="22"/>
          <w:u w:val="single"/>
          <w:lang w:val="lt-LT" w:eastAsia="lt-LT"/>
        </w:rPr>
        <w:t>10-17 metų vaikai ir paaugliai, sergantys heterozigotine šeimine hipercholesterolemija</w:t>
      </w:r>
    </w:p>
    <w:p w14:paraId="77309F5A" w14:textId="77777777" w:rsidR="001B11F7" w:rsidRDefault="001B11F7">
      <w:pPr>
        <w:widowControl w:val="0"/>
        <w:rPr>
          <w:sz w:val="22"/>
          <w:szCs w:val="22"/>
          <w:lang w:val="lt-LT" w:eastAsia="lt-LT"/>
        </w:rPr>
      </w:pPr>
    </w:p>
    <w:p w14:paraId="1F5E2586" w14:textId="77777777" w:rsidR="001B11F7" w:rsidRDefault="00B83885">
      <w:pPr>
        <w:widowControl w:val="0"/>
        <w:rPr>
          <w:sz w:val="22"/>
          <w:szCs w:val="22"/>
          <w:lang w:val="lt-LT" w:eastAsia="lt-LT"/>
        </w:rPr>
      </w:pPr>
      <w:r>
        <w:rPr>
          <w:sz w:val="22"/>
          <w:szCs w:val="22"/>
          <w:lang w:val="lt-LT" w:eastAsia="lt-LT"/>
        </w:rPr>
        <w:t xml:space="preserve">Dvigubai koduoto placebu kontroliuoto tyrimo su atviro pratęsimo faze metu 187 10-17 metų </w:t>
      </w:r>
      <w:r>
        <w:rPr>
          <w:sz w:val="22"/>
          <w:szCs w:val="22"/>
          <w:lang w:val="lt-LT" w:eastAsia="lt-LT"/>
        </w:rPr>
        <w:lastRenderedPageBreak/>
        <w:t>berniukais ir mergaitės, kurioms jau buvo pirmosios menstruacijos(vidutinis tiriamųjų amžius buvo 14,1 metų), kuriems buvo diagnozuota heterozigotinė šeiminė hipercholesterolemija (ŠH) arba sunki hipercholesterolemija, atsitiktiniu būdu buvo suskirstyti į grupes ir 26 savaites vartojo atorvastatiną (n=140) arba placebą (n=47), o kitas 26 savaites visi vartojo atorvastatiną. Pirmas 4 savaites buvo vartota 10 mg atorvastatino dozė (kartą per parą), kuri, jeigu MTL cholesterolio koncentracija buvo &gt; 3,36 mmol/l, didinta iki 20 mg. Atorvastatinas 26 savaičių dvigubai koduotos fazės metu reikšmingai sumažino bendrojo cholesterolio, MTL cholesterolio, trigliceridų ir apolipoproteino B koncentraciją. Atorvastatino vartojusių ligonių grupėje vidutinė MTL cholesterolio koncentracija, kuri buvo pasiekta 26 savaičių dvigubai koduotos fazės metu, buvo 3,38 mmol/l (1,81</w:t>
      </w:r>
      <w:r>
        <w:rPr>
          <w:sz w:val="22"/>
          <w:szCs w:val="22"/>
          <w:lang w:val="lt-LT" w:eastAsia="lt-LT"/>
        </w:rPr>
        <w:noBreakHyphen/>
        <w:t>6,26 mmol/l), palyginti su 5,91 mmol/l (3,93</w:t>
      </w:r>
      <w:r>
        <w:rPr>
          <w:sz w:val="22"/>
          <w:szCs w:val="22"/>
          <w:lang w:val="lt-LT" w:eastAsia="lt-LT"/>
        </w:rPr>
        <w:noBreakHyphen/>
        <w:t>9,96 mmol/l) placebo grupėje.</w:t>
      </w:r>
    </w:p>
    <w:p w14:paraId="79D259D2" w14:textId="77777777" w:rsidR="001B11F7" w:rsidRDefault="001B11F7">
      <w:pPr>
        <w:widowControl w:val="0"/>
        <w:rPr>
          <w:sz w:val="22"/>
          <w:szCs w:val="22"/>
          <w:lang w:val="lt-LT" w:eastAsia="lt-LT"/>
        </w:rPr>
      </w:pPr>
    </w:p>
    <w:p w14:paraId="15CCCCD2" w14:textId="77777777" w:rsidR="001B11F7" w:rsidRDefault="00B83885">
      <w:pPr>
        <w:widowControl w:val="0"/>
        <w:rPr>
          <w:sz w:val="22"/>
          <w:szCs w:val="22"/>
          <w:lang w:val="lt-LT" w:eastAsia="lt-LT"/>
        </w:rPr>
      </w:pPr>
      <w:r>
        <w:rPr>
          <w:sz w:val="22"/>
          <w:szCs w:val="22"/>
          <w:lang w:val="lt-LT" w:eastAsia="lt-LT"/>
        </w:rPr>
        <w:t>Papildomas vaikų ir paauglių tyrimas, kurio metu buvo palygintas atorvastatino ir kolestipolio poveikis 10</w:t>
      </w:r>
      <w:r>
        <w:rPr>
          <w:sz w:val="22"/>
          <w:szCs w:val="22"/>
          <w:lang w:val="lt-LT" w:eastAsia="lt-LT"/>
        </w:rPr>
        <w:noBreakHyphen/>
        <w:t>18 metų pacientams, kuriems diagnozuota hipercholesterolemija, parodė, kad atorvastatinas (n=25), palyginti su kolestipoliu (n=31), reikšmingai sumažino MTL cholesterolio koncentraciją 26 savaitę (p&lt;0,05).</w:t>
      </w:r>
    </w:p>
    <w:p w14:paraId="6CDA4DC2" w14:textId="77777777" w:rsidR="001B11F7" w:rsidRDefault="001B11F7">
      <w:pPr>
        <w:widowControl w:val="0"/>
        <w:rPr>
          <w:sz w:val="22"/>
          <w:szCs w:val="22"/>
          <w:lang w:val="lt-LT" w:eastAsia="lt-LT"/>
        </w:rPr>
      </w:pPr>
    </w:p>
    <w:p w14:paraId="0DE5F188" w14:textId="77777777" w:rsidR="001B11F7" w:rsidRDefault="00B83885">
      <w:pPr>
        <w:widowControl w:val="0"/>
        <w:rPr>
          <w:sz w:val="22"/>
          <w:szCs w:val="22"/>
          <w:lang w:val="lt-LT" w:eastAsia="lt-LT"/>
        </w:rPr>
      </w:pPr>
      <w:r>
        <w:rPr>
          <w:sz w:val="22"/>
          <w:szCs w:val="22"/>
          <w:lang w:val="lt-LT" w:eastAsia="lt-LT"/>
        </w:rPr>
        <w:t>,,Paskutinės vilties“ vartojimo pacientų, kuriems buvo diagnozuota sunki hipercholesterolemija (įskaitant homozigotinę hipercholesterolemiją), tyrime dalyvavo 46 vaikai ir paaugliai, gydyti atorvastatinu, kurio dozė buvo laipsniškai didinama atsižvelgiant į reakciją (kai kurie tiriamieji vartojo 80 mg atorvastatino paros dozę). Tyrimas truko 3 metus, MTL cholesterolio koncentracija sumažėjo 36 %.</w:t>
      </w:r>
    </w:p>
    <w:p w14:paraId="496FB12B" w14:textId="77777777" w:rsidR="001B11F7" w:rsidRDefault="001B11F7">
      <w:pPr>
        <w:widowControl w:val="0"/>
        <w:rPr>
          <w:sz w:val="22"/>
          <w:szCs w:val="22"/>
          <w:lang w:val="lt-LT" w:eastAsia="lt-LT"/>
        </w:rPr>
      </w:pPr>
    </w:p>
    <w:p w14:paraId="5CEC9264" w14:textId="77777777" w:rsidR="001B11F7" w:rsidRDefault="00B83885">
      <w:pPr>
        <w:widowControl w:val="0"/>
        <w:rPr>
          <w:sz w:val="22"/>
          <w:szCs w:val="22"/>
          <w:lang w:val="lt-LT" w:eastAsia="lt-LT"/>
        </w:rPr>
      </w:pPr>
      <w:r>
        <w:rPr>
          <w:sz w:val="22"/>
          <w:szCs w:val="22"/>
          <w:lang w:val="lt-LT" w:eastAsia="lt-LT"/>
        </w:rPr>
        <w:t>Ilgalaikis gydymo atorvastatinu vaikystėje veiksmingumas mažinant suaugusiųjų sergamumą ir mirtingumą nenustatytas.</w:t>
      </w:r>
    </w:p>
    <w:p w14:paraId="7AB8E303" w14:textId="77777777" w:rsidR="001B11F7" w:rsidRDefault="001B11F7">
      <w:pPr>
        <w:widowControl w:val="0"/>
        <w:rPr>
          <w:sz w:val="22"/>
          <w:szCs w:val="22"/>
          <w:lang w:val="lt-LT" w:eastAsia="lt-LT"/>
        </w:rPr>
      </w:pPr>
    </w:p>
    <w:p w14:paraId="21E9DE61" w14:textId="77777777" w:rsidR="001B11F7" w:rsidRDefault="00B83885">
      <w:pPr>
        <w:widowControl w:val="0"/>
        <w:rPr>
          <w:sz w:val="22"/>
          <w:szCs w:val="22"/>
          <w:lang w:val="lt-LT" w:eastAsia="lt-LT"/>
        </w:rPr>
      </w:pPr>
      <w:r>
        <w:rPr>
          <w:sz w:val="22"/>
          <w:szCs w:val="22"/>
          <w:lang w:val="lt-LT" w:eastAsia="lt-LT"/>
        </w:rPr>
        <w:t>Europos vaistų agentūra nereikalauja įsipareigoti pateikti rezultatų tyrimų, atliktų su atorvastatinu naujagimiams, kūdikiams ir vaikams nuo 0 iki 6 metų amžiaus, gydant heterozigotinę hipercholesterolemiją, ir naujagimiams, kūdikiams, vaikams ir paaugliams nuo 0 iki 18 metų amžiaus, gydant homozigotinę šeiminę hipercholesterolemiją, kombinuotąją (mišrią) hipercholesterolemiją, pirminę hipercholesterolemiją bei atorvastatiną vartojant kardiovaskulinių reiškinių profilaktikai (žr. 4.2 skyriuje informaciją apie vartojimą vaikams ir paaugliams).</w:t>
      </w:r>
    </w:p>
    <w:p w14:paraId="2405057C" w14:textId="77777777" w:rsidR="001B11F7" w:rsidRDefault="001B11F7">
      <w:pPr>
        <w:widowControl w:val="0"/>
        <w:rPr>
          <w:sz w:val="22"/>
          <w:szCs w:val="22"/>
          <w:lang w:val="lt-LT" w:eastAsia="lt-LT"/>
        </w:rPr>
      </w:pPr>
    </w:p>
    <w:p w14:paraId="6FB01C24" w14:textId="77777777" w:rsidR="001B11F7" w:rsidRDefault="00B83885">
      <w:pPr>
        <w:widowControl w:val="0"/>
        <w:ind w:left="567" w:hanging="567"/>
        <w:outlineLvl w:val="1"/>
        <w:rPr>
          <w:b/>
          <w:sz w:val="22"/>
          <w:szCs w:val="22"/>
          <w:lang w:val="lt-LT" w:eastAsia="lt-LT"/>
        </w:rPr>
      </w:pPr>
      <w:r>
        <w:rPr>
          <w:b/>
          <w:sz w:val="22"/>
          <w:szCs w:val="22"/>
          <w:lang w:val="lt-LT" w:eastAsia="lt-LT"/>
        </w:rPr>
        <w:t>5.2</w:t>
      </w:r>
      <w:r>
        <w:rPr>
          <w:b/>
          <w:sz w:val="22"/>
          <w:szCs w:val="22"/>
          <w:lang w:val="lt-LT" w:eastAsia="lt-LT"/>
        </w:rPr>
        <w:tab/>
        <w:t>Farmakokinetinės savybės</w:t>
      </w:r>
    </w:p>
    <w:p w14:paraId="523496D3" w14:textId="77777777" w:rsidR="001B11F7" w:rsidRDefault="001B11F7">
      <w:pPr>
        <w:widowControl w:val="0"/>
        <w:rPr>
          <w:sz w:val="22"/>
          <w:szCs w:val="22"/>
          <w:lang w:val="lt-LT" w:eastAsia="lt-LT"/>
        </w:rPr>
      </w:pPr>
    </w:p>
    <w:p w14:paraId="468AFF55" w14:textId="77777777" w:rsidR="001B11F7" w:rsidRDefault="00B83885">
      <w:pPr>
        <w:widowControl w:val="0"/>
        <w:rPr>
          <w:sz w:val="22"/>
          <w:szCs w:val="22"/>
          <w:lang w:val="lt-LT" w:eastAsia="lt-LT"/>
        </w:rPr>
      </w:pPr>
      <w:r>
        <w:rPr>
          <w:sz w:val="22"/>
          <w:szCs w:val="22"/>
          <w:u w:val="single"/>
          <w:lang w:val="lt-LT" w:eastAsia="lt-LT"/>
        </w:rPr>
        <w:t>Absorbcija</w:t>
      </w:r>
    </w:p>
    <w:p w14:paraId="5D72422F" w14:textId="77777777" w:rsidR="001B11F7" w:rsidRDefault="00B83885">
      <w:pPr>
        <w:widowControl w:val="0"/>
        <w:rPr>
          <w:sz w:val="22"/>
          <w:szCs w:val="22"/>
          <w:lang w:val="lt-LT" w:eastAsia="lt-LT"/>
        </w:rPr>
      </w:pPr>
      <w:r>
        <w:rPr>
          <w:sz w:val="22"/>
          <w:szCs w:val="22"/>
          <w:lang w:val="lt-LT" w:eastAsia="lt-LT"/>
        </w:rPr>
        <w:t>Išgertas atorvastatinas greitai absorbuojamas, didžiausia koncentracija plazmoje (C</w:t>
      </w:r>
      <w:r>
        <w:rPr>
          <w:sz w:val="22"/>
          <w:szCs w:val="22"/>
          <w:vertAlign w:val="subscript"/>
          <w:lang w:val="lt-LT" w:eastAsia="lt-LT"/>
        </w:rPr>
        <w:t>max</w:t>
      </w:r>
      <w:r>
        <w:rPr>
          <w:sz w:val="22"/>
          <w:szCs w:val="22"/>
          <w:lang w:val="lt-LT" w:eastAsia="lt-LT"/>
        </w:rPr>
        <w:t>) atsiranda per 1</w:t>
      </w:r>
      <w:r>
        <w:rPr>
          <w:sz w:val="22"/>
          <w:szCs w:val="22"/>
          <w:lang w:val="lt-LT" w:eastAsia="lt-LT"/>
        </w:rPr>
        <w:noBreakHyphen/>
        <w:t>2 valandas. Absorbcijos dydis didėja proporcingai atorvastatino dozei. Išgertų atorvastatino plėvele dengtų tablečių biologinis prieinamumas yra 95</w:t>
      </w:r>
      <w:r>
        <w:rPr>
          <w:sz w:val="22"/>
          <w:szCs w:val="22"/>
          <w:lang w:val="lt-LT" w:eastAsia="lt-LT"/>
        </w:rPr>
        <w:noBreakHyphen/>
        <w:t>99 %, palyginti su geriamuoju tirpalu. Absoliutus biologinis atorvastatino prieinamumas yra maždaug 12 %, o HMG-KoA reduktazės slopinamosios frakcijos sisteminis prieinamumas – maždaug 30 %. Mažą sisteminį prieinamumą lemia priešsisteminis klirensas virškinimo trakto gleivinėje ir (arba) kepenyse (metabolizmas pirmojo prasiskverbimo per kepenis metu).</w:t>
      </w:r>
    </w:p>
    <w:p w14:paraId="0361EAE8" w14:textId="77777777" w:rsidR="001B11F7" w:rsidRDefault="001B11F7">
      <w:pPr>
        <w:widowControl w:val="0"/>
        <w:rPr>
          <w:b/>
          <w:sz w:val="22"/>
          <w:szCs w:val="22"/>
          <w:lang w:val="lt-LT" w:eastAsia="lt-LT"/>
        </w:rPr>
      </w:pPr>
    </w:p>
    <w:p w14:paraId="5E7D73FC" w14:textId="77777777" w:rsidR="001B11F7" w:rsidRDefault="00B83885">
      <w:pPr>
        <w:widowControl w:val="0"/>
        <w:rPr>
          <w:sz w:val="22"/>
          <w:szCs w:val="22"/>
          <w:lang w:val="lt-LT" w:eastAsia="lt-LT"/>
        </w:rPr>
      </w:pPr>
      <w:r>
        <w:rPr>
          <w:sz w:val="22"/>
          <w:szCs w:val="22"/>
          <w:u w:val="single"/>
          <w:lang w:val="lt-LT" w:eastAsia="lt-LT"/>
        </w:rPr>
        <w:t>Pasiskirstymas</w:t>
      </w:r>
    </w:p>
    <w:p w14:paraId="0DD7831C" w14:textId="77777777" w:rsidR="001B11F7" w:rsidRDefault="00B83885">
      <w:pPr>
        <w:widowControl w:val="0"/>
        <w:rPr>
          <w:sz w:val="22"/>
          <w:szCs w:val="22"/>
          <w:lang w:val="lt-LT" w:eastAsia="lt-LT"/>
        </w:rPr>
      </w:pPr>
      <w:r>
        <w:rPr>
          <w:sz w:val="22"/>
          <w:szCs w:val="22"/>
          <w:lang w:val="lt-LT" w:eastAsia="lt-LT"/>
        </w:rPr>
        <w:t xml:space="preserve">Vidutinis atorvastatino pasiskirstymo tūris yra maždaug 381 l, prie kraujo plazmos baltymų prisijungia </w:t>
      </w:r>
      <w:r>
        <w:rPr>
          <w:sz w:val="22"/>
          <w:szCs w:val="22"/>
          <w:lang w:val="lt-LT" w:eastAsia="lt-LT"/>
        </w:rPr>
        <w:sym w:font="Symbol" w:char="F0B3"/>
      </w:r>
      <w:r>
        <w:rPr>
          <w:sz w:val="22"/>
          <w:szCs w:val="22"/>
          <w:lang w:val="lt-LT" w:eastAsia="lt-LT"/>
        </w:rPr>
        <w:t> 98 % atorvastatino.</w:t>
      </w:r>
    </w:p>
    <w:p w14:paraId="1FCD869E" w14:textId="77777777" w:rsidR="001B11F7" w:rsidRDefault="001B11F7">
      <w:pPr>
        <w:widowControl w:val="0"/>
        <w:rPr>
          <w:sz w:val="22"/>
          <w:szCs w:val="22"/>
          <w:lang w:val="lt-LT" w:eastAsia="lt-LT"/>
        </w:rPr>
      </w:pPr>
    </w:p>
    <w:p w14:paraId="2AB20CC7" w14:textId="77777777" w:rsidR="001B11F7" w:rsidRDefault="00B83885">
      <w:pPr>
        <w:widowControl w:val="0"/>
        <w:rPr>
          <w:sz w:val="22"/>
          <w:szCs w:val="22"/>
          <w:lang w:val="lt-LT" w:eastAsia="lt-LT"/>
        </w:rPr>
      </w:pPr>
      <w:r>
        <w:rPr>
          <w:sz w:val="22"/>
          <w:szCs w:val="22"/>
          <w:u w:val="single"/>
          <w:lang w:val="lt-LT" w:eastAsia="lt-LT"/>
        </w:rPr>
        <w:t>Biotransformacija</w:t>
      </w:r>
    </w:p>
    <w:p w14:paraId="0BA0FCAC" w14:textId="77777777" w:rsidR="001B11F7" w:rsidRDefault="00B83885">
      <w:pPr>
        <w:widowControl w:val="0"/>
        <w:rPr>
          <w:sz w:val="22"/>
          <w:szCs w:val="22"/>
          <w:lang w:val="lt-LT" w:eastAsia="lt-LT"/>
        </w:rPr>
      </w:pPr>
      <w:r>
        <w:rPr>
          <w:sz w:val="22"/>
          <w:szCs w:val="22"/>
          <w:lang w:val="lt-LT" w:eastAsia="lt-LT"/>
        </w:rPr>
        <w:t xml:space="preserve">Atorvastatino metabolizme dayvauja citochromas P 450 3A4, susidaro ortohidroksilinti ir parahidroksilinti dariniai bei įvairūs beta oksidacijos produktai. Be kitų metabolizmo būdų, šie produktai toliau metabolizuojami gliukuronizacijos būdu. Ortohidroksilinti ir parahidroksilinti metabolitai HMG-KoA reduktazės aktyvumą </w:t>
      </w:r>
      <w:r>
        <w:rPr>
          <w:i/>
          <w:sz w:val="22"/>
          <w:szCs w:val="22"/>
          <w:lang w:val="lt-LT" w:eastAsia="lt-LT"/>
        </w:rPr>
        <w:t>in vitro</w:t>
      </w:r>
      <w:r>
        <w:rPr>
          <w:sz w:val="22"/>
          <w:szCs w:val="22"/>
          <w:lang w:val="lt-LT" w:eastAsia="lt-LT"/>
        </w:rPr>
        <w:t xml:space="preserve"> slopina panašiai kaip atorvastatinas. Maždaug 70 % HMG-KoA reduktazės slopinamojo aktyvumo priklauso nuo veikliųjų metabolitų.</w:t>
      </w:r>
    </w:p>
    <w:p w14:paraId="3A0A05D0" w14:textId="77777777" w:rsidR="001B11F7" w:rsidRDefault="001B11F7">
      <w:pPr>
        <w:widowControl w:val="0"/>
        <w:rPr>
          <w:sz w:val="22"/>
          <w:szCs w:val="22"/>
          <w:lang w:val="lt-LT" w:eastAsia="lt-LT"/>
        </w:rPr>
      </w:pPr>
    </w:p>
    <w:p w14:paraId="2D8DC04D" w14:textId="77777777" w:rsidR="001B11F7" w:rsidRDefault="00B83885">
      <w:pPr>
        <w:widowControl w:val="0"/>
        <w:rPr>
          <w:sz w:val="22"/>
          <w:szCs w:val="22"/>
          <w:lang w:val="lt-LT" w:eastAsia="lt-LT"/>
        </w:rPr>
      </w:pPr>
      <w:r>
        <w:rPr>
          <w:sz w:val="22"/>
          <w:szCs w:val="22"/>
          <w:u w:val="single"/>
          <w:lang w:val="lt-LT" w:eastAsia="lt-LT"/>
        </w:rPr>
        <w:t>Eliminacija</w:t>
      </w:r>
    </w:p>
    <w:p w14:paraId="3217053E" w14:textId="77777777" w:rsidR="001B11F7" w:rsidRDefault="00B83885">
      <w:pPr>
        <w:widowControl w:val="0"/>
        <w:rPr>
          <w:sz w:val="22"/>
          <w:szCs w:val="22"/>
          <w:lang w:val="lt-LT" w:eastAsia="lt-LT"/>
        </w:rPr>
      </w:pPr>
      <w:r>
        <w:rPr>
          <w:sz w:val="22"/>
          <w:szCs w:val="22"/>
          <w:lang w:val="lt-LT" w:eastAsia="lt-LT"/>
        </w:rPr>
        <w:t xml:space="preserve">Atorvastatinas daugiausia eliminuojamas su tulžimi po metabolizmo kepenyse ir (arba) ne kepenyse, </w:t>
      </w:r>
      <w:r>
        <w:rPr>
          <w:sz w:val="22"/>
          <w:szCs w:val="22"/>
          <w:lang w:val="lt-LT" w:eastAsia="lt-LT"/>
        </w:rPr>
        <w:lastRenderedPageBreak/>
        <w:t>vis dėlto reikšmingos enterohepatinės recirkuliacijos nebūna. Vidutinis atorvastatino pusinės eliminacijos iš plazmos laikas trunka maždaug 14 val. Pusinis HMG-KoA reduktazę slopinančio aktyvumo laikas trunka maždaug 20</w:t>
      </w:r>
      <w:r>
        <w:rPr>
          <w:sz w:val="22"/>
          <w:szCs w:val="22"/>
          <w:lang w:val="lt-LT" w:eastAsia="lt-LT"/>
        </w:rPr>
        <w:noBreakHyphen/>
        <w:t>30 val., nes jis priklauso ir nuo veikliųjų metabolitų.</w:t>
      </w:r>
    </w:p>
    <w:p w14:paraId="3830E900" w14:textId="77777777" w:rsidR="001B11F7" w:rsidRDefault="001B11F7">
      <w:pPr>
        <w:widowControl w:val="0"/>
        <w:rPr>
          <w:sz w:val="22"/>
          <w:szCs w:val="22"/>
          <w:lang w:val="lt-LT" w:eastAsia="lt-LT"/>
        </w:rPr>
      </w:pPr>
    </w:p>
    <w:p w14:paraId="476777CC" w14:textId="77777777" w:rsidR="001B11F7" w:rsidRDefault="00B83885">
      <w:pPr>
        <w:widowControl w:val="0"/>
        <w:rPr>
          <w:rFonts w:eastAsia="SimSun"/>
          <w:sz w:val="22"/>
          <w:szCs w:val="22"/>
          <w:lang w:val="lt-LT"/>
        </w:rPr>
      </w:pPr>
      <w:r>
        <w:rPr>
          <w:rFonts w:eastAsia="SimSun"/>
          <w:sz w:val="22"/>
          <w:szCs w:val="22"/>
          <w:lang w:val="lt-LT"/>
        </w:rPr>
        <w:t xml:space="preserve">Atorvastatinas yra hepatinių nešiklių substratas, organinių anijonų pernašos polipeptidų 1B1 (OATP1B1) ir 1B3 (OATP1B3) nešiklis. Atorvastatino metabolitai yra OATP1B1 substratai. Taip pat nustatyta, kad atorvastatinas yra efliukso nešiklių </w:t>
      </w:r>
      <w:r>
        <w:rPr>
          <w:rFonts w:eastAsia="SimSun" w:cs="Verdana"/>
          <w:sz w:val="22"/>
          <w:szCs w:val="18"/>
          <w:lang w:val="lt-LT" w:eastAsia="zh-CN"/>
        </w:rPr>
        <w:t>P-glikoproteino (P-gp)</w:t>
      </w:r>
      <w:r>
        <w:rPr>
          <w:rFonts w:eastAsia="SimSun"/>
          <w:sz w:val="22"/>
          <w:szCs w:val="22"/>
          <w:lang w:val="lt-LT"/>
        </w:rPr>
        <w:t xml:space="preserve"> ir krūties vėžio atsparumo baltymo (BCRP) substratas, todėl gali sumažėti atorvastatino absorbcija žarnyne ir klirensas per tulžį.</w:t>
      </w:r>
    </w:p>
    <w:p w14:paraId="676B9BEF" w14:textId="77777777" w:rsidR="001B11F7" w:rsidRDefault="001B11F7">
      <w:pPr>
        <w:widowControl w:val="0"/>
        <w:rPr>
          <w:sz w:val="22"/>
          <w:szCs w:val="22"/>
          <w:lang w:val="lt-LT" w:eastAsia="lt-LT"/>
        </w:rPr>
      </w:pPr>
    </w:p>
    <w:p w14:paraId="2649FCF6" w14:textId="77777777" w:rsidR="001B11F7" w:rsidRDefault="00B83885">
      <w:pPr>
        <w:widowControl w:val="0"/>
        <w:rPr>
          <w:bCs/>
          <w:sz w:val="22"/>
          <w:szCs w:val="22"/>
          <w:u w:val="single"/>
          <w:lang w:val="lt-LT" w:eastAsia="lt-LT"/>
        </w:rPr>
      </w:pPr>
      <w:r>
        <w:rPr>
          <w:bCs/>
          <w:sz w:val="22"/>
          <w:szCs w:val="22"/>
          <w:u w:val="single"/>
          <w:lang w:val="lt-LT" w:eastAsia="lt-LT"/>
        </w:rPr>
        <w:t>Ypatingos populiacijos</w:t>
      </w:r>
    </w:p>
    <w:p w14:paraId="7F7A3ABC" w14:textId="77777777" w:rsidR="001B11F7" w:rsidRDefault="001B11F7">
      <w:pPr>
        <w:widowControl w:val="0"/>
        <w:rPr>
          <w:b/>
          <w:sz w:val="22"/>
          <w:szCs w:val="22"/>
          <w:lang w:val="lt-LT" w:eastAsia="lt-LT"/>
        </w:rPr>
      </w:pPr>
    </w:p>
    <w:p w14:paraId="0F2C488B" w14:textId="77777777" w:rsidR="001B11F7" w:rsidRDefault="00B83885">
      <w:pPr>
        <w:widowControl w:val="0"/>
        <w:rPr>
          <w:sz w:val="22"/>
          <w:szCs w:val="22"/>
          <w:lang w:val="lt-LT" w:eastAsia="lt-LT"/>
        </w:rPr>
      </w:pPr>
      <w:r>
        <w:rPr>
          <w:sz w:val="22"/>
          <w:u w:val="single"/>
          <w:lang w:val="lt-LT"/>
        </w:rPr>
        <w:t>Senyvi pacientai</w:t>
      </w:r>
    </w:p>
    <w:p w14:paraId="30E7B4EB" w14:textId="77777777" w:rsidR="001B11F7" w:rsidRDefault="00B83885">
      <w:pPr>
        <w:widowControl w:val="0"/>
        <w:rPr>
          <w:sz w:val="22"/>
          <w:szCs w:val="22"/>
          <w:lang w:val="lt-LT" w:eastAsia="lt-LT"/>
        </w:rPr>
      </w:pPr>
      <w:r>
        <w:rPr>
          <w:sz w:val="22"/>
          <w:szCs w:val="22"/>
          <w:lang w:val="lt-LT" w:eastAsia="lt-LT"/>
        </w:rPr>
        <w:t>Atorvastatino ir jo veikliųjų metabolitų koncentracija sveikų senyvų tiriamųjų plazmoje būna didesnė nei jaunų suaugusiųjų, bet poveikis lipidams būna panašus kaip jaunesniems pacientams.</w:t>
      </w:r>
    </w:p>
    <w:p w14:paraId="44146C98" w14:textId="77777777" w:rsidR="001B11F7" w:rsidRDefault="001B11F7">
      <w:pPr>
        <w:widowControl w:val="0"/>
        <w:rPr>
          <w:b/>
          <w:sz w:val="22"/>
          <w:szCs w:val="22"/>
          <w:lang w:val="lt-LT" w:eastAsia="lt-LT"/>
        </w:rPr>
      </w:pPr>
    </w:p>
    <w:p w14:paraId="5E96D929" w14:textId="77777777" w:rsidR="001B11F7" w:rsidRDefault="00B83885">
      <w:pPr>
        <w:widowControl w:val="0"/>
        <w:rPr>
          <w:sz w:val="22"/>
          <w:szCs w:val="22"/>
          <w:lang w:val="lt-LT" w:eastAsia="lt-LT"/>
        </w:rPr>
      </w:pPr>
      <w:r>
        <w:rPr>
          <w:sz w:val="22"/>
          <w:u w:val="single"/>
          <w:lang w:val="lt-LT"/>
        </w:rPr>
        <w:t>Vaikų populiacija</w:t>
      </w:r>
    </w:p>
    <w:p w14:paraId="5C15E0D8" w14:textId="77777777" w:rsidR="001B11F7" w:rsidRDefault="00B83885">
      <w:pPr>
        <w:widowControl w:val="0"/>
        <w:rPr>
          <w:sz w:val="22"/>
          <w:szCs w:val="22"/>
          <w:lang w:val="lt-LT" w:eastAsia="lt-LT"/>
        </w:rPr>
      </w:pPr>
      <w:r>
        <w:rPr>
          <w:sz w:val="22"/>
          <w:szCs w:val="22"/>
          <w:lang w:val="lt-LT" w:eastAsia="lt-LT"/>
        </w:rPr>
        <w:t>Atviro 8 savaičių tyrimo metu vaikai ir paaugliai (6</w:t>
      </w:r>
      <w:r>
        <w:rPr>
          <w:sz w:val="22"/>
          <w:szCs w:val="22"/>
          <w:lang w:val="lt-LT" w:eastAsia="lt-LT"/>
        </w:rPr>
        <w:noBreakHyphen/>
        <w:t xml:space="preserve">17 metų), kuriems buvo nustatyta I stadija pagal Tanner skalę (n=15) arba didesnė (≥ 2) stadija pagal Tanner skalę (n=24) ir diagnozuota heterozigotinė šeiminė hipercholesterolemija bei kurių pradinė MTL cholesterolio koncentracija buvo </w:t>
      </w:r>
      <w:r>
        <w:rPr>
          <w:color w:val="000000"/>
          <w:sz w:val="22"/>
          <w:szCs w:val="22"/>
          <w:lang w:val="lt-LT" w:eastAsia="lt-LT"/>
        </w:rPr>
        <w:t>≥ 4 mmol/l</w:t>
      </w:r>
      <w:r>
        <w:rPr>
          <w:sz w:val="22"/>
          <w:szCs w:val="22"/>
          <w:lang w:val="lt-LT" w:eastAsia="lt-LT"/>
        </w:rPr>
        <w:t>, kartą per parą vartojo atitinkamai 5 mg ar 10 mg kramtomųjų tablečių arba 10 mg ar 20 mg plėvele dengtų tablečių. Vienintelis rodmuo, kurio kintamumas atorvastatino populiacijos FK modelyje buvo reikšmingas, buvo kūno svoris. Atlikus alometrinį perskaičiavimą pagal kūno svorį, nustatyta, kad tariamasis išgerto atorvastatino klirensas vaikų ir paauglių organizme yra panašus į rodmenį suaugusių žmonių organizme. Esant įvairiai atorvastatino ir o-hidroksiatorvastatino ekspozicijai, nustatytas pastovus MTL cholesterolio ir bendrojo cholesterolio koncentracijos sumažėjimas.</w:t>
      </w:r>
    </w:p>
    <w:p w14:paraId="4E5FAE56" w14:textId="77777777" w:rsidR="001B11F7" w:rsidRDefault="001B11F7">
      <w:pPr>
        <w:widowControl w:val="0"/>
        <w:rPr>
          <w:b/>
          <w:sz w:val="22"/>
          <w:szCs w:val="22"/>
          <w:lang w:val="lt-LT" w:eastAsia="lt-LT"/>
        </w:rPr>
      </w:pPr>
    </w:p>
    <w:p w14:paraId="47AFFA59" w14:textId="77777777" w:rsidR="001B11F7" w:rsidRDefault="00B83885">
      <w:pPr>
        <w:widowControl w:val="0"/>
        <w:rPr>
          <w:sz w:val="22"/>
          <w:szCs w:val="22"/>
          <w:lang w:val="lt-LT" w:eastAsia="lt-LT"/>
        </w:rPr>
      </w:pPr>
      <w:r>
        <w:rPr>
          <w:sz w:val="22"/>
          <w:u w:val="single"/>
          <w:lang w:val="lt-LT"/>
        </w:rPr>
        <w:t>Lytis</w:t>
      </w:r>
    </w:p>
    <w:p w14:paraId="452411C2" w14:textId="77777777" w:rsidR="001B11F7" w:rsidRDefault="00B83885">
      <w:pPr>
        <w:widowControl w:val="0"/>
        <w:rPr>
          <w:sz w:val="22"/>
          <w:szCs w:val="22"/>
          <w:lang w:val="lt-LT" w:eastAsia="lt-LT"/>
        </w:rPr>
      </w:pPr>
      <w:r>
        <w:rPr>
          <w:sz w:val="22"/>
          <w:szCs w:val="22"/>
          <w:lang w:val="lt-LT" w:eastAsia="lt-LT"/>
        </w:rPr>
        <w:t>Moterų kraujo plazmoje atorvastatino ir jo veikliųjų metabolitų koncentracija būna kitokia negu vyrų (moterų C</w:t>
      </w:r>
      <w:r>
        <w:rPr>
          <w:sz w:val="22"/>
          <w:szCs w:val="22"/>
          <w:vertAlign w:val="subscript"/>
          <w:lang w:val="lt-LT" w:eastAsia="lt-LT"/>
        </w:rPr>
        <w:t>max</w:t>
      </w:r>
      <w:r>
        <w:rPr>
          <w:sz w:val="22"/>
          <w:szCs w:val="22"/>
          <w:lang w:val="lt-LT" w:eastAsia="lt-LT"/>
        </w:rPr>
        <w:t xml:space="preserve"> būna maždaug 20 % didesnė, AUC maždaug 10 % mažesnis). Šie skirtumai yra kliniškai nereikšmingi, todėl poveikis lipidų koncentracijai moterų ir vyrų kraujyje reikšmingai nesiskiria.</w:t>
      </w:r>
    </w:p>
    <w:p w14:paraId="13CA08C2" w14:textId="77777777" w:rsidR="001B11F7" w:rsidRDefault="001B11F7">
      <w:pPr>
        <w:widowControl w:val="0"/>
        <w:rPr>
          <w:sz w:val="22"/>
          <w:szCs w:val="22"/>
          <w:lang w:val="lt-LT" w:eastAsia="lt-LT"/>
        </w:rPr>
      </w:pPr>
    </w:p>
    <w:p w14:paraId="48BEC6AE" w14:textId="77777777" w:rsidR="001B11F7" w:rsidRDefault="00B83885">
      <w:pPr>
        <w:widowControl w:val="0"/>
        <w:rPr>
          <w:sz w:val="22"/>
          <w:szCs w:val="22"/>
          <w:lang w:val="lt-LT" w:eastAsia="lt-LT"/>
        </w:rPr>
      </w:pPr>
      <w:r>
        <w:rPr>
          <w:sz w:val="22"/>
          <w:szCs w:val="22"/>
          <w:u w:val="single"/>
          <w:lang w:val="lt-LT"/>
        </w:rPr>
        <w:t>Sutrikusi inkstų funkcija</w:t>
      </w:r>
    </w:p>
    <w:p w14:paraId="59D8D0A2" w14:textId="77777777" w:rsidR="001B11F7" w:rsidRDefault="00B83885">
      <w:pPr>
        <w:widowControl w:val="0"/>
        <w:rPr>
          <w:sz w:val="22"/>
          <w:szCs w:val="22"/>
          <w:lang w:val="lt-LT" w:eastAsia="lt-LT"/>
        </w:rPr>
      </w:pPr>
      <w:r>
        <w:rPr>
          <w:sz w:val="22"/>
          <w:szCs w:val="22"/>
          <w:lang w:val="lt-LT" w:eastAsia="lt-LT"/>
        </w:rPr>
        <w:t>Inkstų ligos neturi įtakos atorvastatino koncentracijai plazmoje ar atorvastatino ir jo veikliųjų metabolitų poveikiui lipidams.</w:t>
      </w:r>
    </w:p>
    <w:p w14:paraId="6DC8C55E" w14:textId="77777777" w:rsidR="001B11F7" w:rsidRDefault="001B11F7">
      <w:pPr>
        <w:widowControl w:val="0"/>
        <w:rPr>
          <w:sz w:val="22"/>
          <w:szCs w:val="22"/>
          <w:lang w:val="lt-LT" w:eastAsia="lt-LT"/>
        </w:rPr>
      </w:pPr>
    </w:p>
    <w:p w14:paraId="4A48A447" w14:textId="77777777" w:rsidR="001B11F7" w:rsidRDefault="00B83885">
      <w:pPr>
        <w:widowControl w:val="0"/>
        <w:rPr>
          <w:sz w:val="22"/>
          <w:szCs w:val="22"/>
          <w:lang w:val="lt-LT" w:eastAsia="lt-LT"/>
        </w:rPr>
      </w:pPr>
      <w:r>
        <w:rPr>
          <w:sz w:val="22"/>
          <w:szCs w:val="22"/>
          <w:u w:val="single"/>
          <w:lang w:val="lt-LT"/>
        </w:rPr>
        <w:t>Sutrikusi kepenų funkcija</w:t>
      </w:r>
    </w:p>
    <w:p w14:paraId="5FD31ED1" w14:textId="77777777" w:rsidR="001B11F7" w:rsidRDefault="00B83885">
      <w:pPr>
        <w:widowControl w:val="0"/>
        <w:rPr>
          <w:sz w:val="22"/>
          <w:szCs w:val="22"/>
          <w:lang w:val="lt-LT" w:eastAsia="lt-LT"/>
        </w:rPr>
      </w:pPr>
      <w:r>
        <w:rPr>
          <w:sz w:val="22"/>
          <w:szCs w:val="22"/>
          <w:lang w:val="lt-LT" w:eastAsia="lt-LT"/>
        </w:rPr>
        <w:t>Atorvastatino ir jo veikliųjų metabolitų koncentracija lėtine alkoholine kepenų liga (B klasės pagal</w:t>
      </w:r>
      <w:r>
        <w:rPr>
          <w:i/>
          <w:iCs/>
          <w:sz w:val="22"/>
          <w:szCs w:val="22"/>
          <w:lang w:val="lt-LT" w:eastAsia="lt-LT"/>
        </w:rPr>
        <w:t xml:space="preserve"> Child-Pugh</w:t>
      </w:r>
      <w:r>
        <w:rPr>
          <w:sz w:val="22"/>
          <w:szCs w:val="22"/>
          <w:lang w:val="lt-LT" w:eastAsia="lt-LT"/>
        </w:rPr>
        <w:t>) sergančių pacientų plazmoje būna reikšmingai didesnė (C</w:t>
      </w:r>
      <w:r>
        <w:rPr>
          <w:sz w:val="22"/>
          <w:szCs w:val="22"/>
          <w:vertAlign w:val="subscript"/>
          <w:lang w:val="lt-LT" w:eastAsia="lt-LT"/>
        </w:rPr>
        <w:t>max</w:t>
      </w:r>
      <w:r>
        <w:rPr>
          <w:sz w:val="22"/>
          <w:szCs w:val="22"/>
          <w:lang w:val="lt-LT" w:eastAsia="lt-LT"/>
        </w:rPr>
        <w:t xml:space="preserve"> maždaug 16 kartų, AUC maždaug 11 kartų).</w:t>
      </w:r>
    </w:p>
    <w:p w14:paraId="41522EC3" w14:textId="77777777" w:rsidR="001B11F7" w:rsidRDefault="001B11F7">
      <w:pPr>
        <w:widowControl w:val="0"/>
        <w:rPr>
          <w:sz w:val="22"/>
          <w:szCs w:val="22"/>
          <w:lang w:val="lt-LT" w:eastAsia="lt-LT"/>
        </w:rPr>
      </w:pPr>
    </w:p>
    <w:p w14:paraId="08D8CBD4" w14:textId="77777777" w:rsidR="001B11F7" w:rsidRDefault="00B83885">
      <w:pPr>
        <w:widowControl w:val="0"/>
        <w:rPr>
          <w:sz w:val="22"/>
          <w:szCs w:val="22"/>
          <w:lang w:val="lt-LT" w:eastAsia="lt-LT"/>
        </w:rPr>
      </w:pPr>
      <w:r>
        <w:rPr>
          <w:sz w:val="22"/>
          <w:u w:val="single"/>
          <w:lang w:val="lt-LT"/>
        </w:rPr>
        <w:t>SLOC1B1 polimorfizmas</w:t>
      </w:r>
    </w:p>
    <w:p w14:paraId="00104775" w14:textId="77777777" w:rsidR="001B11F7" w:rsidRDefault="00B83885">
      <w:pPr>
        <w:widowControl w:val="0"/>
        <w:rPr>
          <w:sz w:val="22"/>
          <w:szCs w:val="22"/>
          <w:lang w:val="lt-LT" w:eastAsia="lt-LT"/>
        </w:rPr>
      </w:pPr>
      <w:r>
        <w:rPr>
          <w:bCs/>
          <w:sz w:val="22"/>
          <w:szCs w:val="22"/>
          <w:lang w:val="lt-LT" w:eastAsia="lt-LT"/>
        </w:rPr>
        <w:t xml:space="preserve">HMG-KoA reduktazės inhibitorių, įskaitant ir atorvastatiną, apykaita kepenyse yra susijusi su </w:t>
      </w:r>
      <w:r>
        <w:rPr>
          <w:sz w:val="22"/>
          <w:szCs w:val="22"/>
          <w:lang w:val="lt-LT" w:eastAsia="lt-LT"/>
        </w:rPr>
        <w:t>OATP1B1 nešikliu. Pacientams, kuriems yra SLCO1B1 polimorfizmas, yra atorvastatino ekspozicijos padidėjimo rizika, tai gali padidinti rabdomiolizės riziką (žr. 4.4 skyrių). Geno, koduojančio OATP1B1, polimorfizmas (SLCO1B1 c.521CC) yra susijęs su atorvastatino ekspozicijos (AUC) padidėjimu 2,4 karto, palyginti su asmenų, neturinčių šio genotipo (c.521TT), rodmeniu. Gali būti, kad genetiškai šiems pacientams sutrinka atorvastatino patekimas į kepenis. Galimos tokio pokyčio pasekmės veiksmingumui nėra žinomos.</w:t>
      </w:r>
    </w:p>
    <w:p w14:paraId="0B91F2E7" w14:textId="77777777" w:rsidR="001B11F7" w:rsidRDefault="001B11F7">
      <w:pPr>
        <w:widowControl w:val="0"/>
        <w:rPr>
          <w:sz w:val="22"/>
          <w:szCs w:val="22"/>
          <w:lang w:val="lt-LT" w:eastAsia="lt-LT"/>
        </w:rPr>
      </w:pPr>
    </w:p>
    <w:p w14:paraId="79203F83" w14:textId="77777777" w:rsidR="001B11F7" w:rsidRDefault="00B83885">
      <w:pPr>
        <w:widowControl w:val="0"/>
        <w:ind w:left="567" w:hanging="567"/>
        <w:outlineLvl w:val="1"/>
        <w:rPr>
          <w:b/>
          <w:sz w:val="22"/>
          <w:szCs w:val="22"/>
          <w:lang w:val="lt-LT" w:eastAsia="lt-LT"/>
        </w:rPr>
      </w:pPr>
      <w:r>
        <w:rPr>
          <w:b/>
          <w:sz w:val="22"/>
          <w:szCs w:val="22"/>
          <w:lang w:val="lt-LT" w:eastAsia="lt-LT"/>
        </w:rPr>
        <w:t>5.3</w:t>
      </w:r>
      <w:r>
        <w:rPr>
          <w:b/>
          <w:sz w:val="22"/>
          <w:szCs w:val="22"/>
          <w:lang w:val="lt-LT" w:eastAsia="lt-LT"/>
        </w:rPr>
        <w:tab/>
        <w:t>Ikiklinikinių saugumo tyrimų duomenys</w:t>
      </w:r>
    </w:p>
    <w:p w14:paraId="653189E7" w14:textId="77777777" w:rsidR="001B11F7" w:rsidRDefault="001B11F7">
      <w:pPr>
        <w:widowControl w:val="0"/>
        <w:rPr>
          <w:sz w:val="22"/>
          <w:szCs w:val="22"/>
          <w:lang w:val="lt-LT" w:eastAsia="lt-LT"/>
        </w:rPr>
      </w:pPr>
    </w:p>
    <w:p w14:paraId="388460B9" w14:textId="77777777" w:rsidR="001B11F7" w:rsidRDefault="00B83885">
      <w:pPr>
        <w:widowControl w:val="0"/>
        <w:rPr>
          <w:sz w:val="22"/>
          <w:szCs w:val="22"/>
          <w:lang w:val="lt-LT" w:eastAsia="lt-LT"/>
        </w:rPr>
      </w:pPr>
      <w:r>
        <w:rPr>
          <w:sz w:val="22"/>
          <w:szCs w:val="22"/>
          <w:lang w:val="lt-LT" w:eastAsia="lt-LT"/>
        </w:rPr>
        <w:t xml:space="preserve">Atorvastatinas nesukėlė mutageninio ir klastogeninio poveikio 4 tyrimuose </w:t>
      </w:r>
      <w:r>
        <w:rPr>
          <w:i/>
          <w:sz w:val="22"/>
          <w:szCs w:val="22"/>
          <w:lang w:val="lt-LT" w:eastAsia="lt-LT"/>
        </w:rPr>
        <w:t>in vitro</w:t>
      </w:r>
      <w:r>
        <w:rPr>
          <w:sz w:val="22"/>
          <w:szCs w:val="22"/>
          <w:lang w:val="lt-LT" w:eastAsia="lt-LT"/>
        </w:rPr>
        <w:t xml:space="preserve"> ir viename tyrime </w:t>
      </w:r>
      <w:r>
        <w:rPr>
          <w:i/>
          <w:sz w:val="22"/>
          <w:szCs w:val="22"/>
          <w:lang w:val="lt-LT" w:eastAsia="lt-LT"/>
        </w:rPr>
        <w:t>in vivo</w:t>
      </w:r>
      <w:r>
        <w:rPr>
          <w:sz w:val="22"/>
          <w:szCs w:val="22"/>
          <w:lang w:val="lt-LT" w:eastAsia="lt-LT"/>
        </w:rPr>
        <w:t>. Atorvastatinas nesukėlė kancerogeninio poveikio žiurkėms, bet didelės dozės pelių patinams padažnino hepatoceliulinės adenomos, o patelėms – hepatoceliulinės karcinomos atsiradimą (preparato kiekis, atsižvelgiant į AUC</w:t>
      </w:r>
      <w:r>
        <w:rPr>
          <w:sz w:val="22"/>
          <w:szCs w:val="22"/>
          <w:vertAlign w:val="subscript"/>
          <w:lang w:val="lt-LT" w:eastAsia="lt-LT"/>
        </w:rPr>
        <w:t>(0-24)</w:t>
      </w:r>
      <w:r>
        <w:rPr>
          <w:sz w:val="22"/>
          <w:szCs w:val="22"/>
          <w:lang w:val="lt-LT" w:eastAsia="lt-LT"/>
        </w:rPr>
        <w:t xml:space="preserve"> buvo 6</w:t>
      </w:r>
      <w:r>
        <w:rPr>
          <w:sz w:val="22"/>
          <w:szCs w:val="22"/>
          <w:lang w:val="lt-LT" w:eastAsia="lt-LT"/>
        </w:rPr>
        <w:noBreakHyphen/>
        <w:t>11 kartų didesnis, nei būna didžiausią rekomenduojamą dozę vartojančio žmogaus organizme).</w:t>
      </w:r>
    </w:p>
    <w:p w14:paraId="497F7212" w14:textId="77777777" w:rsidR="001B11F7" w:rsidRDefault="001B11F7">
      <w:pPr>
        <w:widowControl w:val="0"/>
        <w:rPr>
          <w:sz w:val="22"/>
          <w:szCs w:val="22"/>
          <w:lang w:val="lt-LT" w:eastAsia="lt-LT"/>
        </w:rPr>
      </w:pPr>
    </w:p>
    <w:p w14:paraId="394806B7" w14:textId="77777777" w:rsidR="001B11F7" w:rsidRDefault="00B83885">
      <w:pPr>
        <w:widowControl w:val="0"/>
        <w:rPr>
          <w:sz w:val="22"/>
          <w:szCs w:val="22"/>
          <w:lang w:val="lt-LT" w:eastAsia="lt-LT"/>
        </w:rPr>
      </w:pPr>
      <w:r>
        <w:rPr>
          <w:sz w:val="22"/>
          <w:szCs w:val="22"/>
          <w:lang w:val="lt-LT" w:eastAsia="lt-LT"/>
        </w:rPr>
        <w:t>Tyrimų su gyvūnais metu nustatyta, kad HMG-KoA reduktazės inhibitoriai gali sutrikdyti embriono ar vaisiaus vystymąsi. Atorvastatinas neveikė žiurkių, triušių ir šunų vaisingumo ir nesukėlė teratogeninio poveikio, tačiau skiriant žiurkių ir triušių patelėms toksines dozes, pasireiškė toksinis poveikis vaisiui. Besiveisiančioms patelėms skiriant dideles atorvastatino dozes, sulėtėjo žiurkių jauniklių vystymasis, buvo sumažėjęs ir jų išgyvenimas po atsivedimo. Yra įrodymų, kad preparatas prasiskverbia per žiurkių placentą. Atorvastatino koncentracija žiurkių plazmoje buvo panaši į koncentraciją piene. Ar atorvastatino ir jo metabolitų išsiskiria į motinos pieną, nežinoma.</w:t>
      </w:r>
    </w:p>
    <w:p w14:paraId="1B365CB8" w14:textId="77777777" w:rsidR="001B11F7" w:rsidRDefault="001B11F7">
      <w:pPr>
        <w:widowControl w:val="0"/>
        <w:tabs>
          <w:tab w:val="left" w:pos="567"/>
        </w:tabs>
        <w:rPr>
          <w:sz w:val="22"/>
          <w:szCs w:val="22"/>
          <w:lang w:val="lt-LT" w:eastAsia="lt-LT"/>
        </w:rPr>
      </w:pPr>
    </w:p>
    <w:p w14:paraId="0F8FC834" w14:textId="77777777" w:rsidR="001B11F7" w:rsidRDefault="001B11F7">
      <w:pPr>
        <w:widowControl w:val="0"/>
        <w:tabs>
          <w:tab w:val="left" w:pos="567"/>
        </w:tabs>
        <w:rPr>
          <w:sz w:val="22"/>
          <w:szCs w:val="22"/>
          <w:lang w:val="lt-LT" w:eastAsia="lt-LT"/>
        </w:rPr>
      </w:pPr>
    </w:p>
    <w:p w14:paraId="1A001FB3" w14:textId="77777777" w:rsidR="001B11F7" w:rsidRDefault="00B83885">
      <w:pPr>
        <w:widowControl w:val="0"/>
        <w:ind w:left="567" w:hanging="567"/>
        <w:outlineLvl w:val="1"/>
        <w:rPr>
          <w:b/>
          <w:sz w:val="22"/>
          <w:szCs w:val="22"/>
          <w:lang w:val="lt-LT" w:eastAsia="lt-LT"/>
        </w:rPr>
      </w:pPr>
      <w:r>
        <w:rPr>
          <w:b/>
          <w:sz w:val="22"/>
          <w:szCs w:val="22"/>
          <w:lang w:val="lt-LT" w:eastAsia="lt-LT"/>
        </w:rPr>
        <w:t>6.</w:t>
      </w:r>
      <w:r>
        <w:rPr>
          <w:b/>
          <w:sz w:val="22"/>
          <w:szCs w:val="22"/>
          <w:lang w:val="lt-LT" w:eastAsia="lt-LT"/>
        </w:rPr>
        <w:tab/>
        <w:t>FARMACINĖ INFORMACIJA</w:t>
      </w:r>
    </w:p>
    <w:p w14:paraId="11CCE155" w14:textId="77777777" w:rsidR="001B11F7" w:rsidRDefault="001B11F7">
      <w:pPr>
        <w:widowControl w:val="0"/>
        <w:ind w:left="567" w:hanging="567"/>
        <w:outlineLvl w:val="1"/>
        <w:rPr>
          <w:b/>
          <w:sz w:val="22"/>
          <w:szCs w:val="22"/>
          <w:lang w:val="lt-LT" w:eastAsia="lt-LT"/>
        </w:rPr>
      </w:pPr>
    </w:p>
    <w:p w14:paraId="7BED4268" w14:textId="77777777" w:rsidR="001B11F7" w:rsidRDefault="00B83885">
      <w:pPr>
        <w:widowControl w:val="0"/>
        <w:ind w:left="567" w:hanging="567"/>
        <w:outlineLvl w:val="1"/>
        <w:rPr>
          <w:b/>
          <w:sz w:val="22"/>
          <w:szCs w:val="22"/>
          <w:lang w:val="lt-LT" w:eastAsia="lt-LT"/>
        </w:rPr>
      </w:pPr>
      <w:r>
        <w:rPr>
          <w:b/>
          <w:sz w:val="22"/>
          <w:szCs w:val="22"/>
          <w:lang w:val="lt-LT" w:eastAsia="lt-LT"/>
        </w:rPr>
        <w:t>6.1</w:t>
      </w:r>
      <w:r>
        <w:rPr>
          <w:b/>
          <w:sz w:val="22"/>
          <w:szCs w:val="22"/>
          <w:lang w:val="lt-LT" w:eastAsia="lt-LT"/>
        </w:rPr>
        <w:tab/>
        <w:t>Pagalbinių medžiagų sąrašas</w:t>
      </w:r>
    </w:p>
    <w:p w14:paraId="58198964" w14:textId="77777777" w:rsidR="001B11F7" w:rsidRDefault="001B11F7">
      <w:pPr>
        <w:widowControl w:val="0"/>
        <w:rPr>
          <w:sz w:val="22"/>
          <w:szCs w:val="22"/>
          <w:lang w:val="lt-LT" w:eastAsia="lt-LT"/>
        </w:rPr>
      </w:pPr>
    </w:p>
    <w:p w14:paraId="66B893AC" w14:textId="77777777" w:rsidR="001B11F7" w:rsidRDefault="00B83885">
      <w:pPr>
        <w:widowControl w:val="0"/>
        <w:rPr>
          <w:i/>
          <w:sz w:val="22"/>
          <w:lang w:val="lt-LT"/>
        </w:rPr>
      </w:pPr>
      <w:r>
        <w:rPr>
          <w:i/>
          <w:sz w:val="22"/>
          <w:lang w:val="lt-LT"/>
        </w:rPr>
        <w:t>10 mg ir 20 mg plėvele dengtos tabletės</w:t>
      </w:r>
    </w:p>
    <w:p w14:paraId="52061F3A" w14:textId="77777777" w:rsidR="001B11F7" w:rsidRDefault="00B83885">
      <w:pPr>
        <w:widowControl w:val="0"/>
        <w:rPr>
          <w:sz w:val="22"/>
          <w:lang w:val="lt-LT"/>
        </w:rPr>
      </w:pPr>
      <w:r>
        <w:rPr>
          <w:sz w:val="22"/>
          <w:lang w:val="lt-LT"/>
        </w:rPr>
        <w:t>Tabletės branduolys</w:t>
      </w:r>
    </w:p>
    <w:p w14:paraId="4FE8C392" w14:textId="77777777" w:rsidR="001B11F7" w:rsidRDefault="00B83885">
      <w:pPr>
        <w:widowControl w:val="0"/>
        <w:rPr>
          <w:sz w:val="22"/>
          <w:szCs w:val="22"/>
          <w:lang w:val="lt-LT" w:eastAsia="lt-LT"/>
        </w:rPr>
      </w:pPr>
      <w:r>
        <w:rPr>
          <w:sz w:val="22"/>
          <w:szCs w:val="22"/>
          <w:lang w:val="lt-LT" w:eastAsia="lt-LT"/>
        </w:rPr>
        <w:t>Povidonas</w:t>
      </w:r>
    </w:p>
    <w:p w14:paraId="2FA3872A" w14:textId="77777777" w:rsidR="001B11F7" w:rsidRDefault="00B83885">
      <w:pPr>
        <w:widowControl w:val="0"/>
        <w:rPr>
          <w:sz w:val="22"/>
          <w:szCs w:val="22"/>
          <w:lang w:val="lt-LT" w:eastAsia="lt-LT"/>
        </w:rPr>
      </w:pPr>
      <w:r>
        <w:rPr>
          <w:sz w:val="22"/>
          <w:szCs w:val="22"/>
          <w:lang w:val="lt-LT" w:eastAsia="lt-LT"/>
        </w:rPr>
        <w:t>Natrio laurilsulfatas</w:t>
      </w:r>
    </w:p>
    <w:p w14:paraId="2F8528E8" w14:textId="77777777" w:rsidR="001B11F7" w:rsidRDefault="00B83885">
      <w:pPr>
        <w:widowControl w:val="0"/>
        <w:rPr>
          <w:sz w:val="22"/>
          <w:szCs w:val="22"/>
          <w:lang w:val="lt-LT" w:eastAsia="lt-LT"/>
        </w:rPr>
      </w:pPr>
      <w:r>
        <w:rPr>
          <w:sz w:val="22"/>
          <w:szCs w:val="22"/>
          <w:lang w:val="lt-LT" w:eastAsia="lt-LT"/>
        </w:rPr>
        <w:t>Kalcio karbonatas</w:t>
      </w:r>
    </w:p>
    <w:p w14:paraId="227F0D2C" w14:textId="77777777" w:rsidR="001B11F7" w:rsidRDefault="00B83885">
      <w:pPr>
        <w:widowControl w:val="0"/>
        <w:rPr>
          <w:sz w:val="22"/>
          <w:szCs w:val="22"/>
          <w:lang w:val="lt-LT" w:eastAsia="lt-LT"/>
        </w:rPr>
      </w:pPr>
      <w:r>
        <w:rPr>
          <w:sz w:val="22"/>
          <w:szCs w:val="22"/>
          <w:lang w:val="lt-LT" w:eastAsia="lt-LT"/>
        </w:rPr>
        <w:t>Mikrokristalinė celiuliozė</w:t>
      </w:r>
    </w:p>
    <w:p w14:paraId="7F290FFF" w14:textId="77777777" w:rsidR="001B11F7" w:rsidRDefault="00B83885">
      <w:pPr>
        <w:widowControl w:val="0"/>
        <w:rPr>
          <w:sz w:val="22"/>
          <w:szCs w:val="22"/>
          <w:lang w:val="lt-LT" w:eastAsia="lt-LT"/>
        </w:rPr>
      </w:pPr>
      <w:r>
        <w:rPr>
          <w:sz w:val="22"/>
          <w:szCs w:val="22"/>
          <w:lang w:val="lt-LT" w:eastAsia="lt-LT"/>
        </w:rPr>
        <w:t>Laktozė monohidratas</w:t>
      </w:r>
    </w:p>
    <w:p w14:paraId="6557A09F" w14:textId="77777777" w:rsidR="001B11F7" w:rsidRDefault="00B83885">
      <w:pPr>
        <w:widowControl w:val="0"/>
        <w:rPr>
          <w:sz w:val="22"/>
          <w:szCs w:val="22"/>
          <w:lang w:val="lt-LT" w:eastAsia="lt-LT"/>
        </w:rPr>
      </w:pPr>
      <w:r>
        <w:rPr>
          <w:sz w:val="22"/>
          <w:szCs w:val="22"/>
          <w:lang w:val="lt-LT" w:eastAsia="lt-LT"/>
        </w:rPr>
        <w:t>Kroskarmeliozės natrio druska</w:t>
      </w:r>
    </w:p>
    <w:p w14:paraId="6DB9DEAF" w14:textId="77777777" w:rsidR="001B11F7" w:rsidRDefault="00B83885">
      <w:pPr>
        <w:widowControl w:val="0"/>
        <w:rPr>
          <w:sz w:val="22"/>
          <w:szCs w:val="22"/>
          <w:lang w:val="lt-LT" w:eastAsia="lt-LT"/>
        </w:rPr>
      </w:pPr>
      <w:r>
        <w:rPr>
          <w:sz w:val="22"/>
          <w:szCs w:val="22"/>
          <w:lang w:val="lt-LT" w:eastAsia="lt-LT"/>
        </w:rPr>
        <w:t>Magnio stearatas</w:t>
      </w:r>
    </w:p>
    <w:p w14:paraId="0EA0C122" w14:textId="77777777" w:rsidR="001B11F7" w:rsidRDefault="00B83885">
      <w:pPr>
        <w:widowControl w:val="0"/>
        <w:rPr>
          <w:sz w:val="22"/>
          <w:lang w:val="lt-LT"/>
        </w:rPr>
      </w:pPr>
      <w:r>
        <w:rPr>
          <w:sz w:val="22"/>
          <w:lang w:val="lt-LT"/>
        </w:rPr>
        <w:t>Tabletės plėvelė</w:t>
      </w:r>
    </w:p>
    <w:p w14:paraId="481DFC02" w14:textId="77777777" w:rsidR="001B11F7" w:rsidRDefault="00B83885">
      <w:pPr>
        <w:widowControl w:val="0"/>
        <w:rPr>
          <w:i/>
          <w:sz w:val="22"/>
          <w:szCs w:val="22"/>
          <w:lang w:val="lt-LT" w:eastAsia="lt-LT"/>
        </w:rPr>
      </w:pPr>
      <w:r>
        <w:rPr>
          <w:i/>
          <w:sz w:val="22"/>
          <w:szCs w:val="22"/>
          <w:lang w:val="lt-LT" w:eastAsia="en-GB"/>
        </w:rPr>
        <w:t>Opadry II HP 85F28751 White</w:t>
      </w:r>
      <w:r>
        <w:rPr>
          <w:sz w:val="22"/>
          <w:szCs w:val="22"/>
          <w:lang w:val="lt-LT" w:eastAsia="en-GB"/>
        </w:rPr>
        <w:t>, kurio sudėtyje yra:</w:t>
      </w:r>
    </w:p>
    <w:p w14:paraId="4159BD95" w14:textId="77777777" w:rsidR="001B11F7" w:rsidRDefault="00B83885">
      <w:pPr>
        <w:widowControl w:val="0"/>
        <w:rPr>
          <w:sz w:val="22"/>
          <w:szCs w:val="22"/>
          <w:lang w:val="lt-LT" w:eastAsia="lt-LT"/>
        </w:rPr>
      </w:pPr>
      <w:r>
        <w:rPr>
          <w:sz w:val="22"/>
          <w:szCs w:val="22"/>
          <w:lang w:val="lt-LT" w:eastAsia="lt-LT"/>
        </w:rPr>
        <w:t>Polivinilo alkoholis</w:t>
      </w:r>
    </w:p>
    <w:p w14:paraId="2ACAC357" w14:textId="77777777" w:rsidR="001B11F7" w:rsidRDefault="00B83885">
      <w:pPr>
        <w:widowControl w:val="0"/>
        <w:rPr>
          <w:sz w:val="22"/>
          <w:szCs w:val="22"/>
          <w:lang w:val="lt-LT" w:eastAsia="lt-LT"/>
        </w:rPr>
      </w:pPr>
      <w:r>
        <w:rPr>
          <w:sz w:val="22"/>
          <w:szCs w:val="22"/>
          <w:lang w:val="lt-LT" w:eastAsia="lt-LT"/>
        </w:rPr>
        <w:t>Titano dioksidas (E171)</w:t>
      </w:r>
    </w:p>
    <w:p w14:paraId="3FB49BA6" w14:textId="77777777" w:rsidR="001B11F7" w:rsidRDefault="00B83885">
      <w:pPr>
        <w:widowControl w:val="0"/>
        <w:rPr>
          <w:sz w:val="22"/>
          <w:szCs w:val="22"/>
          <w:lang w:val="lt-LT" w:eastAsia="lt-LT"/>
        </w:rPr>
      </w:pPr>
      <w:r>
        <w:rPr>
          <w:sz w:val="22"/>
          <w:szCs w:val="22"/>
          <w:lang w:val="lt-LT" w:eastAsia="lt-LT"/>
        </w:rPr>
        <w:t>Makrogolis 3000</w:t>
      </w:r>
    </w:p>
    <w:p w14:paraId="0EC40E3E" w14:textId="77777777" w:rsidR="001B11F7" w:rsidRDefault="00B83885">
      <w:pPr>
        <w:widowControl w:val="0"/>
        <w:rPr>
          <w:sz w:val="22"/>
          <w:szCs w:val="22"/>
          <w:lang w:val="lt-LT" w:eastAsia="lt-LT"/>
        </w:rPr>
      </w:pPr>
      <w:r>
        <w:rPr>
          <w:sz w:val="22"/>
          <w:szCs w:val="22"/>
          <w:lang w:val="lt-LT" w:eastAsia="lt-LT"/>
        </w:rPr>
        <w:t>Talkas.</w:t>
      </w:r>
    </w:p>
    <w:p w14:paraId="12631952" w14:textId="77777777" w:rsidR="001B11F7" w:rsidRDefault="001B11F7">
      <w:pPr>
        <w:widowControl w:val="0"/>
        <w:rPr>
          <w:sz w:val="22"/>
          <w:szCs w:val="22"/>
          <w:lang w:val="lt-LT"/>
        </w:rPr>
      </w:pPr>
    </w:p>
    <w:p w14:paraId="7ECF2C7C" w14:textId="77777777" w:rsidR="001B11F7" w:rsidRDefault="00B83885">
      <w:pPr>
        <w:widowControl w:val="0"/>
        <w:rPr>
          <w:i/>
          <w:sz w:val="22"/>
          <w:lang w:val="lt-LT"/>
        </w:rPr>
      </w:pPr>
      <w:r>
        <w:rPr>
          <w:i/>
          <w:sz w:val="22"/>
          <w:lang w:val="lt-LT"/>
        </w:rPr>
        <w:t>40 mg plėvele dengtos tabletės</w:t>
      </w:r>
    </w:p>
    <w:p w14:paraId="6CEA9F1C" w14:textId="77777777" w:rsidR="001B11F7" w:rsidRDefault="00B83885">
      <w:pPr>
        <w:widowControl w:val="0"/>
        <w:rPr>
          <w:sz w:val="22"/>
          <w:lang w:val="lt-LT"/>
        </w:rPr>
      </w:pPr>
      <w:r>
        <w:rPr>
          <w:sz w:val="22"/>
          <w:lang w:val="lt-LT"/>
        </w:rPr>
        <w:t>Tabletės branduolys</w:t>
      </w:r>
    </w:p>
    <w:p w14:paraId="7FE6DDFE" w14:textId="77777777" w:rsidR="001B11F7" w:rsidRDefault="00B83885">
      <w:pPr>
        <w:widowControl w:val="0"/>
        <w:rPr>
          <w:sz w:val="22"/>
          <w:szCs w:val="22"/>
          <w:lang w:val="lt-LT"/>
        </w:rPr>
      </w:pPr>
      <w:r>
        <w:rPr>
          <w:sz w:val="22"/>
          <w:szCs w:val="22"/>
          <w:lang w:val="lt-LT"/>
        </w:rPr>
        <w:t>Povidonas</w:t>
      </w:r>
    </w:p>
    <w:p w14:paraId="56DF5DF8" w14:textId="77777777" w:rsidR="001B11F7" w:rsidRDefault="00B83885">
      <w:pPr>
        <w:widowControl w:val="0"/>
        <w:rPr>
          <w:sz w:val="22"/>
          <w:szCs w:val="22"/>
          <w:lang w:val="lt-LT"/>
        </w:rPr>
      </w:pPr>
      <w:r>
        <w:rPr>
          <w:sz w:val="22"/>
          <w:szCs w:val="22"/>
          <w:lang w:val="lt-LT"/>
        </w:rPr>
        <w:t>Natrio laurilsulfatas</w:t>
      </w:r>
    </w:p>
    <w:p w14:paraId="5224E74F" w14:textId="77777777" w:rsidR="001B11F7" w:rsidRDefault="00B83885">
      <w:pPr>
        <w:widowControl w:val="0"/>
        <w:rPr>
          <w:sz w:val="22"/>
          <w:szCs w:val="22"/>
          <w:lang w:val="lt-LT"/>
        </w:rPr>
      </w:pPr>
      <w:r>
        <w:rPr>
          <w:sz w:val="22"/>
          <w:szCs w:val="22"/>
          <w:lang w:val="lt-LT"/>
        </w:rPr>
        <w:t>Kalcio karbonatas</w:t>
      </w:r>
    </w:p>
    <w:p w14:paraId="6CCA90F9" w14:textId="77777777" w:rsidR="001B11F7" w:rsidRDefault="00B83885">
      <w:pPr>
        <w:widowControl w:val="0"/>
        <w:rPr>
          <w:sz w:val="22"/>
          <w:szCs w:val="22"/>
          <w:lang w:val="lt-LT"/>
        </w:rPr>
      </w:pPr>
      <w:r>
        <w:rPr>
          <w:sz w:val="22"/>
          <w:szCs w:val="22"/>
          <w:lang w:val="lt-LT"/>
        </w:rPr>
        <w:t>Mikrokristalinė celiuliozė</w:t>
      </w:r>
    </w:p>
    <w:p w14:paraId="3228810A" w14:textId="77777777" w:rsidR="001B11F7" w:rsidRDefault="00B83885">
      <w:pPr>
        <w:widowControl w:val="0"/>
        <w:rPr>
          <w:sz w:val="22"/>
          <w:szCs w:val="22"/>
          <w:lang w:val="lt-LT"/>
        </w:rPr>
      </w:pPr>
      <w:r>
        <w:rPr>
          <w:sz w:val="22"/>
          <w:szCs w:val="22"/>
          <w:lang w:val="lt-LT"/>
        </w:rPr>
        <w:t>Laktozė monohidratas</w:t>
      </w:r>
    </w:p>
    <w:p w14:paraId="56EB3BB7" w14:textId="77777777" w:rsidR="001B11F7" w:rsidRDefault="00B83885">
      <w:pPr>
        <w:widowControl w:val="0"/>
        <w:rPr>
          <w:sz w:val="22"/>
          <w:szCs w:val="22"/>
          <w:lang w:val="lt-LT"/>
        </w:rPr>
      </w:pPr>
      <w:r>
        <w:rPr>
          <w:sz w:val="22"/>
          <w:szCs w:val="22"/>
          <w:lang w:val="lt-LT"/>
        </w:rPr>
        <w:t>Kroskarmeliozės natrio druska</w:t>
      </w:r>
    </w:p>
    <w:p w14:paraId="195EC894" w14:textId="77777777" w:rsidR="001B11F7" w:rsidRDefault="00B83885">
      <w:pPr>
        <w:widowControl w:val="0"/>
        <w:rPr>
          <w:sz w:val="22"/>
          <w:szCs w:val="22"/>
          <w:lang w:val="lt-LT"/>
        </w:rPr>
      </w:pPr>
      <w:r>
        <w:rPr>
          <w:sz w:val="22"/>
          <w:szCs w:val="22"/>
          <w:lang w:val="lt-LT"/>
        </w:rPr>
        <w:t>Krospovidonas</w:t>
      </w:r>
    </w:p>
    <w:p w14:paraId="64419B39" w14:textId="77777777" w:rsidR="001B11F7" w:rsidRDefault="00B83885">
      <w:pPr>
        <w:widowControl w:val="0"/>
        <w:rPr>
          <w:sz w:val="22"/>
          <w:szCs w:val="22"/>
          <w:lang w:val="lt-LT"/>
        </w:rPr>
      </w:pPr>
      <w:r>
        <w:rPr>
          <w:sz w:val="22"/>
          <w:szCs w:val="22"/>
          <w:lang w:val="lt-LT"/>
        </w:rPr>
        <w:t>Magnio stearatas</w:t>
      </w:r>
    </w:p>
    <w:p w14:paraId="43ECC228" w14:textId="77777777" w:rsidR="001B11F7" w:rsidRDefault="00B83885">
      <w:pPr>
        <w:widowControl w:val="0"/>
        <w:rPr>
          <w:sz w:val="22"/>
          <w:lang w:val="lt-LT"/>
        </w:rPr>
      </w:pPr>
      <w:r>
        <w:rPr>
          <w:sz w:val="22"/>
          <w:lang w:val="lt-LT"/>
        </w:rPr>
        <w:t>Tabletės plėvelė</w:t>
      </w:r>
    </w:p>
    <w:p w14:paraId="6CE15A4F" w14:textId="77777777" w:rsidR="001B11F7" w:rsidRDefault="00B83885">
      <w:pPr>
        <w:widowControl w:val="0"/>
        <w:rPr>
          <w:i/>
          <w:iCs/>
          <w:sz w:val="22"/>
          <w:szCs w:val="22"/>
          <w:lang w:val="lt-LT"/>
        </w:rPr>
      </w:pPr>
      <w:r>
        <w:rPr>
          <w:i/>
          <w:sz w:val="22"/>
          <w:szCs w:val="22"/>
          <w:lang w:val="lt-LT"/>
        </w:rPr>
        <w:t>Opadry White Y-1-7000</w:t>
      </w:r>
      <w:r>
        <w:rPr>
          <w:sz w:val="22"/>
          <w:szCs w:val="22"/>
          <w:lang w:val="lt-LT"/>
        </w:rPr>
        <w:t>, kurio sudėtyje yra:</w:t>
      </w:r>
    </w:p>
    <w:p w14:paraId="1C528A7A" w14:textId="77777777" w:rsidR="001B11F7" w:rsidRDefault="00B83885">
      <w:pPr>
        <w:widowControl w:val="0"/>
        <w:rPr>
          <w:sz w:val="22"/>
          <w:szCs w:val="22"/>
          <w:lang w:val="lt-LT"/>
        </w:rPr>
      </w:pPr>
      <w:r>
        <w:rPr>
          <w:sz w:val="22"/>
          <w:szCs w:val="22"/>
          <w:lang w:val="lt-LT"/>
        </w:rPr>
        <w:t>Hipromeliozė</w:t>
      </w:r>
    </w:p>
    <w:p w14:paraId="259734E0" w14:textId="77777777" w:rsidR="001B11F7" w:rsidRDefault="00B83885">
      <w:pPr>
        <w:widowControl w:val="0"/>
        <w:rPr>
          <w:sz w:val="22"/>
          <w:szCs w:val="22"/>
          <w:lang w:val="lt-LT"/>
        </w:rPr>
      </w:pPr>
      <w:r>
        <w:rPr>
          <w:sz w:val="22"/>
          <w:szCs w:val="22"/>
          <w:lang w:val="lt-LT"/>
        </w:rPr>
        <w:t>Titano dioksidas (E171)</w:t>
      </w:r>
    </w:p>
    <w:p w14:paraId="34D444F3" w14:textId="77777777" w:rsidR="001B11F7" w:rsidRDefault="00B83885">
      <w:pPr>
        <w:widowControl w:val="0"/>
        <w:rPr>
          <w:sz w:val="22"/>
          <w:szCs w:val="22"/>
          <w:lang w:val="lt-LT"/>
        </w:rPr>
      </w:pPr>
      <w:r>
        <w:rPr>
          <w:sz w:val="22"/>
          <w:szCs w:val="22"/>
          <w:lang w:val="lt-LT"/>
        </w:rPr>
        <w:t>Makrogolis 400.</w:t>
      </w:r>
    </w:p>
    <w:p w14:paraId="4E65F45F" w14:textId="77777777" w:rsidR="001B11F7" w:rsidRDefault="001B11F7">
      <w:pPr>
        <w:widowControl w:val="0"/>
        <w:rPr>
          <w:sz w:val="22"/>
          <w:szCs w:val="22"/>
          <w:lang w:val="lt-LT" w:eastAsia="lt-LT"/>
        </w:rPr>
      </w:pPr>
    </w:p>
    <w:p w14:paraId="385CAF0A" w14:textId="77777777" w:rsidR="001B11F7" w:rsidRDefault="00B83885">
      <w:pPr>
        <w:widowControl w:val="0"/>
        <w:ind w:left="567" w:hanging="567"/>
        <w:outlineLvl w:val="1"/>
        <w:rPr>
          <w:b/>
          <w:sz w:val="22"/>
          <w:szCs w:val="22"/>
          <w:lang w:val="lt-LT" w:eastAsia="lt-LT"/>
        </w:rPr>
      </w:pPr>
      <w:r>
        <w:rPr>
          <w:b/>
          <w:sz w:val="22"/>
          <w:szCs w:val="22"/>
          <w:lang w:val="lt-LT" w:eastAsia="lt-LT"/>
        </w:rPr>
        <w:t>6.2</w:t>
      </w:r>
      <w:r>
        <w:rPr>
          <w:b/>
          <w:sz w:val="22"/>
          <w:szCs w:val="22"/>
          <w:lang w:val="lt-LT" w:eastAsia="lt-LT"/>
        </w:rPr>
        <w:tab/>
        <w:t>Nesuderinamumas</w:t>
      </w:r>
    </w:p>
    <w:p w14:paraId="56B3D3E5" w14:textId="77777777" w:rsidR="001B11F7" w:rsidRDefault="001B11F7">
      <w:pPr>
        <w:widowControl w:val="0"/>
        <w:rPr>
          <w:sz w:val="22"/>
          <w:szCs w:val="22"/>
          <w:lang w:val="lt-LT" w:eastAsia="lt-LT"/>
        </w:rPr>
      </w:pPr>
    </w:p>
    <w:p w14:paraId="4BD4DA0C" w14:textId="77777777" w:rsidR="001B11F7" w:rsidRDefault="00B83885">
      <w:pPr>
        <w:widowControl w:val="0"/>
        <w:rPr>
          <w:sz w:val="22"/>
          <w:szCs w:val="22"/>
          <w:lang w:val="lt-LT" w:eastAsia="lt-LT"/>
        </w:rPr>
      </w:pPr>
      <w:r>
        <w:rPr>
          <w:sz w:val="22"/>
          <w:szCs w:val="22"/>
          <w:lang w:val="lt-LT" w:eastAsia="lt-LT"/>
        </w:rPr>
        <w:t>Duomenys nebūtini.</w:t>
      </w:r>
    </w:p>
    <w:p w14:paraId="3FBDE0BE" w14:textId="77777777" w:rsidR="001B11F7" w:rsidRDefault="001B11F7">
      <w:pPr>
        <w:widowControl w:val="0"/>
        <w:rPr>
          <w:sz w:val="22"/>
          <w:szCs w:val="22"/>
          <w:lang w:val="lt-LT" w:eastAsia="lt-LT"/>
        </w:rPr>
      </w:pPr>
    </w:p>
    <w:p w14:paraId="72639F74" w14:textId="77777777" w:rsidR="001B11F7" w:rsidRDefault="00B83885">
      <w:pPr>
        <w:widowControl w:val="0"/>
        <w:ind w:left="567" w:hanging="567"/>
        <w:outlineLvl w:val="1"/>
        <w:rPr>
          <w:b/>
          <w:sz w:val="22"/>
          <w:szCs w:val="22"/>
          <w:lang w:val="lt-LT" w:eastAsia="lt-LT"/>
        </w:rPr>
      </w:pPr>
      <w:r>
        <w:rPr>
          <w:b/>
          <w:sz w:val="22"/>
          <w:szCs w:val="22"/>
          <w:lang w:val="lt-LT" w:eastAsia="lt-LT"/>
        </w:rPr>
        <w:t>6.3</w:t>
      </w:r>
      <w:r>
        <w:rPr>
          <w:b/>
          <w:sz w:val="22"/>
          <w:szCs w:val="22"/>
          <w:lang w:val="lt-LT" w:eastAsia="lt-LT"/>
        </w:rPr>
        <w:tab/>
        <w:t>Tinkamumo laikas</w:t>
      </w:r>
    </w:p>
    <w:p w14:paraId="72E91B73" w14:textId="77777777" w:rsidR="001B11F7" w:rsidRDefault="001B11F7">
      <w:pPr>
        <w:widowControl w:val="0"/>
        <w:rPr>
          <w:sz w:val="22"/>
          <w:szCs w:val="22"/>
          <w:lang w:val="lt-LT" w:eastAsia="lt-LT"/>
        </w:rPr>
      </w:pPr>
    </w:p>
    <w:p w14:paraId="73CF03C9" w14:textId="77777777" w:rsidR="001B11F7" w:rsidRDefault="00B83885">
      <w:pPr>
        <w:widowControl w:val="0"/>
        <w:rPr>
          <w:sz w:val="22"/>
          <w:szCs w:val="22"/>
          <w:lang w:val="lt-LT" w:eastAsia="lt-LT"/>
        </w:rPr>
      </w:pPr>
      <w:r>
        <w:rPr>
          <w:sz w:val="22"/>
          <w:szCs w:val="22"/>
          <w:lang w:val="lt-LT" w:eastAsia="lt-LT"/>
        </w:rPr>
        <w:t>2 metai.</w:t>
      </w:r>
    </w:p>
    <w:p w14:paraId="67D11D58" w14:textId="77777777" w:rsidR="001B11F7" w:rsidRDefault="001B11F7">
      <w:pPr>
        <w:widowControl w:val="0"/>
        <w:rPr>
          <w:sz w:val="22"/>
          <w:szCs w:val="22"/>
          <w:lang w:val="lt-LT" w:eastAsia="lt-LT"/>
        </w:rPr>
      </w:pPr>
    </w:p>
    <w:p w14:paraId="5C5FA563" w14:textId="77777777" w:rsidR="001B11F7" w:rsidRDefault="00B83885">
      <w:pPr>
        <w:widowControl w:val="0"/>
        <w:ind w:left="567" w:hanging="567"/>
        <w:outlineLvl w:val="1"/>
        <w:rPr>
          <w:b/>
          <w:sz w:val="22"/>
          <w:szCs w:val="22"/>
          <w:lang w:val="lt-LT" w:eastAsia="lt-LT"/>
        </w:rPr>
      </w:pPr>
      <w:r>
        <w:rPr>
          <w:b/>
          <w:sz w:val="22"/>
          <w:szCs w:val="22"/>
          <w:lang w:val="lt-LT" w:eastAsia="lt-LT"/>
        </w:rPr>
        <w:t>6.4</w:t>
      </w:r>
      <w:r>
        <w:rPr>
          <w:b/>
          <w:sz w:val="22"/>
          <w:szCs w:val="22"/>
          <w:lang w:val="lt-LT" w:eastAsia="lt-LT"/>
        </w:rPr>
        <w:tab/>
        <w:t>Specialios laikymo sąlygos</w:t>
      </w:r>
    </w:p>
    <w:p w14:paraId="5C58C0CC" w14:textId="77777777" w:rsidR="001B11F7" w:rsidRDefault="001B11F7">
      <w:pPr>
        <w:widowControl w:val="0"/>
        <w:rPr>
          <w:sz w:val="22"/>
          <w:szCs w:val="22"/>
          <w:lang w:val="lt-LT" w:eastAsia="lt-LT"/>
        </w:rPr>
      </w:pPr>
    </w:p>
    <w:p w14:paraId="53E93949" w14:textId="77777777" w:rsidR="001B11F7" w:rsidRDefault="00B83885">
      <w:pPr>
        <w:widowControl w:val="0"/>
        <w:rPr>
          <w:sz w:val="22"/>
          <w:szCs w:val="22"/>
          <w:lang w:val="lt-LT" w:eastAsia="lt-LT"/>
        </w:rPr>
      </w:pPr>
      <w:r>
        <w:rPr>
          <w:sz w:val="22"/>
          <w:szCs w:val="22"/>
          <w:lang w:val="lt-LT" w:eastAsia="lt-LT"/>
        </w:rPr>
        <w:lastRenderedPageBreak/>
        <w:t>Laikyti ne aukštesnėje kaip 25 </w:t>
      </w:r>
      <w:r>
        <w:rPr>
          <w:sz w:val="22"/>
          <w:szCs w:val="22"/>
          <w:lang w:val="lt-LT" w:eastAsia="lt-LT"/>
        </w:rPr>
        <w:sym w:font="Symbol" w:char="F0B0"/>
      </w:r>
      <w:r>
        <w:rPr>
          <w:sz w:val="22"/>
          <w:szCs w:val="22"/>
          <w:lang w:val="lt-LT" w:eastAsia="lt-LT"/>
        </w:rPr>
        <w:t>C temperatūroje.</w:t>
      </w:r>
    </w:p>
    <w:p w14:paraId="354783EE" w14:textId="77777777" w:rsidR="001B11F7" w:rsidRDefault="001B11F7">
      <w:pPr>
        <w:widowControl w:val="0"/>
        <w:rPr>
          <w:sz w:val="22"/>
          <w:szCs w:val="22"/>
          <w:lang w:val="lt-LT" w:eastAsia="lt-LT"/>
        </w:rPr>
      </w:pPr>
    </w:p>
    <w:p w14:paraId="139D1635" w14:textId="77777777" w:rsidR="001B11F7" w:rsidRDefault="00B83885">
      <w:pPr>
        <w:widowControl w:val="0"/>
        <w:ind w:left="567" w:hanging="567"/>
        <w:outlineLvl w:val="1"/>
        <w:rPr>
          <w:b/>
          <w:sz w:val="22"/>
          <w:szCs w:val="22"/>
          <w:lang w:val="lt-LT" w:eastAsia="lt-LT"/>
        </w:rPr>
      </w:pPr>
      <w:r>
        <w:rPr>
          <w:b/>
          <w:sz w:val="22"/>
          <w:szCs w:val="22"/>
          <w:lang w:val="lt-LT" w:eastAsia="lt-LT"/>
        </w:rPr>
        <w:t>6.5</w:t>
      </w:r>
      <w:r>
        <w:rPr>
          <w:b/>
          <w:sz w:val="22"/>
          <w:szCs w:val="22"/>
          <w:lang w:val="lt-LT" w:eastAsia="lt-LT"/>
        </w:rPr>
        <w:tab/>
        <w:t>Talpyklės pobūdis ir jos turinys</w:t>
      </w:r>
    </w:p>
    <w:p w14:paraId="0C69B371" w14:textId="77777777" w:rsidR="001B11F7" w:rsidRDefault="001B11F7">
      <w:pPr>
        <w:widowControl w:val="0"/>
        <w:rPr>
          <w:sz w:val="22"/>
          <w:szCs w:val="22"/>
          <w:lang w:val="lt-LT" w:eastAsia="lt-LT"/>
        </w:rPr>
      </w:pPr>
    </w:p>
    <w:p w14:paraId="4E15B4C4" w14:textId="77777777" w:rsidR="001B11F7" w:rsidRDefault="00B83885">
      <w:pPr>
        <w:widowControl w:val="0"/>
        <w:jc w:val="both"/>
        <w:rPr>
          <w:sz w:val="22"/>
          <w:szCs w:val="22"/>
          <w:lang w:val="lt-LT" w:eastAsia="lt-LT"/>
        </w:rPr>
      </w:pPr>
      <w:r>
        <w:rPr>
          <w:sz w:val="22"/>
          <w:szCs w:val="22"/>
          <w:lang w:val="lt-LT" w:eastAsia="lt-LT"/>
        </w:rPr>
        <w:t>OPA/Al/PVC ir aliuminio folijos lizdinė plokštelė. Dėžutėje yra 30 plėvele dengtų tablečių.</w:t>
      </w:r>
    </w:p>
    <w:p w14:paraId="31C49E51" w14:textId="77777777" w:rsidR="001B11F7" w:rsidRDefault="001B11F7">
      <w:pPr>
        <w:widowControl w:val="0"/>
        <w:jc w:val="both"/>
        <w:rPr>
          <w:sz w:val="22"/>
          <w:szCs w:val="22"/>
          <w:lang w:val="lt-LT" w:eastAsia="lt-LT"/>
        </w:rPr>
      </w:pPr>
    </w:p>
    <w:p w14:paraId="5EFA5E78" w14:textId="77777777" w:rsidR="001B11F7" w:rsidRDefault="00B83885">
      <w:pPr>
        <w:widowControl w:val="0"/>
        <w:ind w:left="567" w:hanging="567"/>
        <w:outlineLvl w:val="1"/>
        <w:rPr>
          <w:b/>
          <w:sz w:val="22"/>
          <w:szCs w:val="22"/>
          <w:lang w:val="lt-LT" w:eastAsia="lt-LT"/>
        </w:rPr>
      </w:pPr>
      <w:bookmarkStart w:id="7" w:name="_Toc129243121"/>
      <w:bookmarkStart w:id="8" w:name="_Toc129243246"/>
      <w:r>
        <w:rPr>
          <w:b/>
          <w:sz w:val="22"/>
          <w:szCs w:val="22"/>
          <w:lang w:val="lt-LT" w:eastAsia="lt-LT"/>
        </w:rPr>
        <w:t>6.6</w:t>
      </w:r>
      <w:r>
        <w:rPr>
          <w:b/>
          <w:sz w:val="22"/>
          <w:szCs w:val="22"/>
          <w:lang w:val="lt-LT" w:eastAsia="lt-LT"/>
        </w:rPr>
        <w:tab/>
        <w:t>Specialūs reikalavimai atliekoms tvarkyti</w:t>
      </w:r>
      <w:bookmarkEnd w:id="7"/>
      <w:bookmarkEnd w:id="8"/>
    </w:p>
    <w:p w14:paraId="460701A7" w14:textId="77777777" w:rsidR="001B11F7" w:rsidRDefault="001B11F7">
      <w:pPr>
        <w:widowControl w:val="0"/>
        <w:rPr>
          <w:noProof/>
          <w:sz w:val="22"/>
          <w:szCs w:val="22"/>
          <w:lang w:val="lt-LT" w:eastAsia="en-US"/>
        </w:rPr>
      </w:pPr>
    </w:p>
    <w:p w14:paraId="15D73844" w14:textId="77777777" w:rsidR="001B11F7" w:rsidRDefault="00B83885">
      <w:pPr>
        <w:widowControl w:val="0"/>
        <w:rPr>
          <w:noProof/>
          <w:sz w:val="22"/>
          <w:szCs w:val="22"/>
          <w:lang w:val="lt-LT" w:eastAsia="en-US"/>
        </w:rPr>
      </w:pPr>
      <w:r>
        <w:rPr>
          <w:noProof/>
          <w:sz w:val="22"/>
          <w:szCs w:val="22"/>
          <w:lang w:val="lt-LT" w:eastAsia="en-US"/>
        </w:rPr>
        <w:t>Specialių reikalavimų nėra.</w:t>
      </w:r>
    </w:p>
    <w:p w14:paraId="7C963EF3" w14:textId="77777777" w:rsidR="001B11F7" w:rsidRDefault="001B11F7">
      <w:pPr>
        <w:widowControl w:val="0"/>
        <w:rPr>
          <w:sz w:val="22"/>
          <w:szCs w:val="22"/>
          <w:lang w:val="lt-LT" w:eastAsia="lt-LT"/>
        </w:rPr>
      </w:pPr>
    </w:p>
    <w:p w14:paraId="2AF9DD99" w14:textId="77777777" w:rsidR="001B11F7" w:rsidRDefault="001B11F7">
      <w:pPr>
        <w:widowControl w:val="0"/>
        <w:rPr>
          <w:sz w:val="22"/>
          <w:szCs w:val="22"/>
          <w:lang w:val="lt-LT" w:eastAsia="lt-LT"/>
        </w:rPr>
      </w:pPr>
    </w:p>
    <w:p w14:paraId="4EB71105" w14:textId="77777777" w:rsidR="001B11F7" w:rsidRDefault="00B83885">
      <w:pPr>
        <w:widowControl w:val="0"/>
        <w:ind w:left="567" w:hanging="567"/>
        <w:outlineLvl w:val="1"/>
        <w:rPr>
          <w:b/>
          <w:sz w:val="22"/>
          <w:szCs w:val="22"/>
          <w:lang w:val="lt-LT" w:eastAsia="lt-LT"/>
        </w:rPr>
      </w:pPr>
      <w:bookmarkStart w:id="9" w:name="_Toc129243122"/>
      <w:bookmarkStart w:id="10" w:name="_Toc129243247"/>
      <w:r>
        <w:rPr>
          <w:b/>
          <w:sz w:val="22"/>
          <w:szCs w:val="22"/>
          <w:lang w:val="lt-LT" w:eastAsia="lt-LT"/>
        </w:rPr>
        <w:t>7.</w:t>
      </w:r>
      <w:r>
        <w:rPr>
          <w:b/>
          <w:sz w:val="22"/>
          <w:szCs w:val="22"/>
          <w:lang w:val="lt-LT" w:eastAsia="lt-LT"/>
        </w:rPr>
        <w:tab/>
        <w:t>REGISTRUOTOJAS</w:t>
      </w:r>
    </w:p>
    <w:bookmarkEnd w:id="9"/>
    <w:bookmarkEnd w:id="10"/>
    <w:p w14:paraId="6014CFDF" w14:textId="77777777" w:rsidR="001B11F7" w:rsidRDefault="001B11F7">
      <w:pPr>
        <w:widowControl w:val="0"/>
        <w:rPr>
          <w:sz w:val="22"/>
          <w:szCs w:val="22"/>
          <w:lang w:val="lt-LT" w:eastAsia="lt-LT"/>
        </w:rPr>
      </w:pPr>
    </w:p>
    <w:p w14:paraId="19777CCC" w14:textId="77777777" w:rsidR="001B11F7" w:rsidRDefault="00B83885">
      <w:pPr>
        <w:widowControl w:val="0"/>
        <w:ind w:right="-362"/>
        <w:jc w:val="both"/>
        <w:rPr>
          <w:sz w:val="22"/>
          <w:szCs w:val="22"/>
          <w:lang w:val="lt-LT" w:eastAsia="lt-LT"/>
        </w:rPr>
      </w:pPr>
      <w:r>
        <w:rPr>
          <w:sz w:val="22"/>
          <w:szCs w:val="22"/>
          <w:lang w:val="lt-LT" w:eastAsia="lt-LT"/>
        </w:rPr>
        <w:t>KRKA, d.d., Novo mesto</w:t>
      </w:r>
    </w:p>
    <w:p w14:paraId="17FB6F56" w14:textId="77777777" w:rsidR="001B11F7" w:rsidRDefault="00B83885">
      <w:pPr>
        <w:widowControl w:val="0"/>
        <w:ind w:right="-362"/>
        <w:jc w:val="both"/>
        <w:rPr>
          <w:sz w:val="22"/>
          <w:szCs w:val="22"/>
          <w:lang w:val="lt-LT" w:eastAsia="lt-LT"/>
        </w:rPr>
      </w:pPr>
      <w:r>
        <w:rPr>
          <w:sz w:val="22"/>
          <w:szCs w:val="22"/>
          <w:lang w:val="lt-LT" w:eastAsia="lt-LT"/>
        </w:rPr>
        <w:t>Šmarješka cesta 6</w:t>
      </w:r>
    </w:p>
    <w:p w14:paraId="23EAE5D3" w14:textId="77777777" w:rsidR="001B11F7" w:rsidRDefault="00B83885">
      <w:pPr>
        <w:widowControl w:val="0"/>
        <w:ind w:right="-362"/>
        <w:jc w:val="both"/>
        <w:rPr>
          <w:sz w:val="22"/>
          <w:szCs w:val="22"/>
          <w:lang w:val="lt-LT" w:eastAsia="lt-LT"/>
        </w:rPr>
      </w:pPr>
      <w:r>
        <w:rPr>
          <w:sz w:val="22"/>
          <w:szCs w:val="22"/>
          <w:lang w:val="lt-LT" w:eastAsia="lt-LT"/>
        </w:rPr>
        <w:t>8501 Novo mesto</w:t>
      </w:r>
    </w:p>
    <w:p w14:paraId="057F903F" w14:textId="77777777" w:rsidR="001B11F7" w:rsidRDefault="00B83885">
      <w:pPr>
        <w:widowControl w:val="0"/>
        <w:ind w:right="-362"/>
        <w:jc w:val="both"/>
        <w:rPr>
          <w:sz w:val="22"/>
          <w:szCs w:val="22"/>
          <w:lang w:val="lt-LT" w:eastAsia="lt-LT"/>
        </w:rPr>
      </w:pPr>
      <w:r>
        <w:rPr>
          <w:sz w:val="22"/>
          <w:szCs w:val="22"/>
          <w:lang w:val="lt-LT" w:eastAsia="lt-LT"/>
        </w:rPr>
        <w:t>Slovėnija</w:t>
      </w:r>
    </w:p>
    <w:p w14:paraId="09CD6408" w14:textId="77777777" w:rsidR="001B11F7" w:rsidRDefault="001B11F7">
      <w:pPr>
        <w:widowControl w:val="0"/>
        <w:rPr>
          <w:sz w:val="22"/>
          <w:szCs w:val="22"/>
          <w:lang w:val="lt-LT" w:eastAsia="lt-LT"/>
        </w:rPr>
      </w:pPr>
    </w:p>
    <w:p w14:paraId="278341A7" w14:textId="77777777" w:rsidR="001B11F7" w:rsidRDefault="001B11F7">
      <w:pPr>
        <w:widowControl w:val="0"/>
        <w:rPr>
          <w:sz w:val="22"/>
          <w:szCs w:val="22"/>
          <w:lang w:val="lt-LT" w:eastAsia="lt-LT"/>
        </w:rPr>
      </w:pPr>
    </w:p>
    <w:p w14:paraId="717A66BA" w14:textId="77777777" w:rsidR="001B11F7" w:rsidRDefault="00B83885">
      <w:pPr>
        <w:widowControl w:val="0"/>
        <w:ind w:left="567" w:hanging="567"/>
        <w:outlineLvl w:val="1"/>
        <w:rPr>
          <w:b/>
          <w:sz w:val="22"/>
          <w:szCs w:val="22"/>
          <w:lang w:val="lt-LT" w:eastAsia="lt-LT"/>
        </w:rPr>
      </w:pPr>
      <w:r>
        <w:rPr>
          <w:b/>
          <w:sz w:val="22"/>
          <w:szCs w:val="22"/>
          <w:lang w:val="lt-LT" w:eastAsia="lt-LT"/>
        </w:rPr>
        <w:t>8.</w:t>
      </w:r>
      <w:r>
        <w:rPr>
          <w:b/>
          <w:sz w:val="22"/>
          <w:szCs w:val="22"/>
          <w:lang w:val="lt-LT" w:eastAsia="lt-LT"/>
        </w:rPr>
        <w:tab/>
        <w:t>REGISTRACIJOS PAŽYMĖJIMO NUMERIS (-IAI)</w:t>
      </w:r>
    </w:p>
    <w:p w14:paraId="7FC3DD36" w14:textId="77777777" w:rsidR="001B11F7" w:rsidRDefault="001B11F7">
      <w:pPr>
        <w:widowControl w:val="0"/>
        <w:rPr>
          <w:sz w:val="22"/>
          <w:szCs w:val="22"/>
          <w:lang w:val="lt-LT" w:eastAsia="lt-LT"/>
        </w:rPr>
      </w:pPr>
    </w:p>
    <w:p w14:paraId="180A5356"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10 mg plėvele dengtos tabletės – LT/1/03/0865/001</w:t>
      </w:r>
    </w:p>
    <w:p w14:paraId="5F2BC150"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20 mg plėvele dengtos tabletės – LT/1/03/0865/002</w:t>
      </w:r>
    </w:p>
    <w:p w14:paraId="2CA4074F"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40 mg plėvele dengtos tabletės – LT/1/03/0865/003</w:t>
      </w:r>
    </w:p>
    <w:p w14:paraId="2BB93519" w14:textId="77777777" w:rsidR="001B11F7" w:rsidRDefault="001B11F7">
      <w:pPr>
        <w:widowControl w:val="0"/>
        <w:rPr>
          <w:sz w:val="22"/>
          <w:szCs w:val="22"/>
          <w:lang w:val="lt-LT" w:eastAsia="lt-LT"/>
        </w:rPr>
      </w:pPr>
    </w:p>
    <w:p w14:paraId="7B36B9EC" w14:textId="77777777" w:rsidR="001B11F7" w:rsidRDefault="001B11F7">
      <w:pPr>
        <w:widowControl w:val="0"/>
        <w:rPr>
          <w:sz w:val="22"/>
          <w:szCs w:val="22"/>
          <w:lang w:val="lt-LT" w:eastAsia="lt-LT"/>
        </w:rPr>
      </w:pPr>
    </w:p>
    <w:p w14:paraId="7D879BA0" w14:textId="77777777" w:rsidR="001B11F7" w:rsidRDefault="00B83885">
      <w:pPr>
        <w:widowControl w:val="0"/>
        <w:ind w:left="567" w:hanging="567"/>
        <w:outlineLvl w:val="1"/>
        <w:rPr>
          <w:b/>
          <w:sz w:val="22"/>
          <w:szCs w:val="22"/>
          <w:lang w:val="lt-LT" w:eastAsia="lt-LT"/>
        </w:rPr>
      </w:pPr>
      <w:r>
        <w:rPr>
          <w:b/>
          <w:sz w:val="22"/>
          <w:szCs w:val="22"/>
          <w:lang w:val="lt-LT" w:eastAsia="lt-LT"/>
        </w:rPr>
        <w:t>9.</w:t>
      </w:r>
      <w:r>
        <w:rPr>
          <w:b/>
          <w:sz w:val="22"/>
          <w:szCs w:val="22"/>
          <w:lang w:val="lt-LT" w:eastAsia="lt-LT"/>
        </w:rPr>
        <w:tab/>
        <w:t>REGISTRAVIMO / PERREGISTRAVIMO DATA</w:t>
      </w:r>
    </w:p>
    <w:p w14:paraId="566A43EE" w14:textId="77777777" w:rsidR="001B11F7" w:rsidRDefault="001B11F7">
      <w:pPr>
        <w:widowControl w:val="0"/>
        <w:rPr>
          <w:rFonts w:eastAsia="Calibri"/>
          <w:sz w:val="22"/>
          <w:szCs w:val="22"/>
          <w:lang w:val="lt-LT" w:eastAsia="lt-LT"/>
        </w:rPr>
      </w:pPr>
    </w:p>
    <w:p w14:paraId="45BCF693"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10 mg plėvele dengtos tabletės</w:t>
      </w:r>
    </w:p>
    <w:p w14:paraId="7D4C3B91"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20 mg plėvele dengtos tabletės</w:t>
      </w:r>
    </w:p>
    <w:p w14:paraId="70962588" w14:textId="77777777" w:rsidR="001B11F7" w:rsidRDefault="00B83885">
      <w:pPr>
        <w:widowControl w:val="0"/>
        <w:rPr>
          <w:sz w:val="22"/>
          <w:szCs w:val="22"/>
          <w:lang w:val="lt-LT" w:eastAsia="en-US"/>
        </w:rPr>
      </w:pPr>
      <w:r>
        <w:rPr>
          <w:noProof/>
          <w:sz w:val="22"/>
          <w:szCs w:val="22"/>
          <w:lang w:val="lt-LT"/>
        </w:rPr>
        <w:t>Registravimo data</w:t>
      </w:r>
      <w:r>
        <w:rPr>
          <w:noProof/>
          <w:sz w:val="22"/>
          <w:szCs w:val="22"/>
          <w:lang w:val="lt-LT" w:eastAsia="en-US"/>
        </w:rPr>
        <w:t xml:space="preserve"> </w:t>
      </w:r>
      <w:r>
        <w:rPr>
          <w:color w:val="000000"/>
          <w:sz w:val="22"/>
          <w:szCs w:val="22"/>
          <w:lang w:val="lt-LT" w:eastAsia="en-US"/>
        </w:rPr>
        <w:t>2003</w:t>
      </w:r>
      <w:r>
        <w:rPr>
          <w:noProof/>
          <w:sz w:val="22"/>
          <w:szCs w:val="22"/>
          <w:lang w:val="lt-LT" w:eastAsia="en-US"/>
        </w:rPr>
        <w:t xml:space="preserve"> m. sausio </w:t>
      </w:r>
      <w:r>
        <w:rPr>
          <w:sz w:val="22"/>
          <w:szCs w:val="22"/>
          <w:lang w:val="lt-LT" w:eastAsia="en-US"/>
        </w:rPr>
        <w:t>29</w:t>
      </w:r>
      <w:r>
        <w:rPr>
          <w:noProof/>
          <w:sz w:val="22"/>
          <w:szCs w:val="22"/>
          <w:lang w:val="lt-LT" w:eastAsia="en-US"/>
        </w:rPr>
        <w:t> d.</w:t>
      </w:r>
    </w:p>
    <w:p w14:paraId="4B2AB5FC" w14:textId="77777777" w:rsidR="001B11F7" w:rsidRDefault="00B83885">
      <w:pPr>
        <w:widowControl w:val="0"/>
        <w:rPr>
          <w:sz w:val="22"/>
          <w:szCs w:val="22"/>
          <w:lang w:val="lt-LT" w:eastAsia="en-US"/>
        </w:rPr>
      </w:pPr>
      <w:r>
        <w:rPr>
          <w:noProof/>
          <w:sz w:val="22"/>
          <w:szCs w:val="22"/>
          <w:lang w:val="lt-LT"/>
        </w:rPr>
        <w:t>Paskutinio perregistravimo data</w:t>
      </w:r>
      <w:r>
        <w:rPr>
          <w:noProof/>
          <w:sz w:val="22"/>
          <w:szCs w:val="22"/>
          <w:lang w:val="lt-LT" w:eastAsia="en-US"/>
        </w:rPr>
        <w:t xml:space="preserve"> 2007 m. spalio </w:t>
      </w:r>
      <w:r>
        <w:rPr>
          <w:sz w:val="22"/>
          <w:szCs w:val="22"/>
          <w:lang w:val="lt-LT" w:eastAsia="en-US"/>
        </w:rPr>
        <w:t>22</w:t>
      </w:r>
      <w:r>
        <w:rPr>
          <w:noProof/>
          <w:sz w:val="22"/>
          <w:szCs w:val="22"/>
          <w:lang w:val="lt-LT" w:eastAsia="en-US"/>
        </w:rPr>
        <w:t> d.</w:t>
      </w:r>
    </w:p>
    <w:p w14:paraId="40946DD2" w14:textId="77777777" w:rsidR="001B11F7" w:rsidRDefault="001B11F7">
      <w:pPr>
        <w:widowControl w:val="0"/>
        <w:rPr>
          <w:sz w:val="22"/>
          <w:szCs w:val="22"/>
          <w:lang w:val="lt-LT" w:eastAsia="lt-LT"/>
        </w:rPr>
      </w:pPr>
    </w:p>
    <w:p w14:paraId="1945F300"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40 mg plėvele dengtos tabletės</w:t>
      </w:r>
    </w:p>
    <w:p w14:paraId="2B87F515" w14:textId="77777777" w:rsidR="001B11F7" w:rsidRDefault="00B83885">
      <w:pPr>
        <w:widowControl w:val="0"/>
        <w:rPr>
          <w:sz w:val="22"/>
          <w:szCs w:val="22"/>
          <w:lang w:val="lt-LT" w:eastAsia="en-US"/>
        </w:rPr>
      </w:pPr>
      <w:r>
        <w:rPr>
          <w:noProof/>
          <w:sz w:val="22"/>
          <w:szCs w:val="22"/>
          <w:lang w:val="lt-LT"/>
        </w:rPr>
        <w:t>Registravimo data</w:t>
      </w:r>
      <w:r>
        <w:rPr>
          <w:noProof/>
          <w:sz w:val="22"/>
          <w:szCs w:val="22"/>
          <w:lang w:val="lt-LT" w:eastAsia="en-US"/>
        </w:rPr>
        <w:t xml:space="preserve"> 2007 m. spalio </w:t>
      </w:r>
      <w:r>
        <w:rPr>
          <w:sz w:val="22"/>
          <w:szCs w:val="22"/>
          <w:lang w:val="lt-LT" w:eastAsia="en-US"/>
        </w:rPr>
        <w:t>22</w:t>
      </w:r>
      <w:r>
        <w:rPr>
          <w:noProof/>
          <w:sz w:val="22"/>
          <w:szCs w:val="22"/>
          <w:lang w:val="lt-LT" w:eastAsia="en-US"/>
        </w:rPr>
        <w:t> d.</w:t>
      </w:r>
    </w:p>
    <w:p w14:paraId="19D1F54E" w14:textId="77777777" w:rsidR="001B11F7" w:rsidRDefault="00B83885">
      <w:pPr>
        <w:widowControl w:val="0"/>
        <w:rPr>
          <w:bCs/>
          <w:noProof/>
          <w:sz w:val="22"/>
          <w:szCs w:val="22"/>
          <w:lang w:val="lt-LT" w:eastAsia="en-US"/>
        </w:rPr>
      </w:pPr>
      <w:r>
        <w:rPr>
          <w:bCs/>
          <w:noProof/>
          <w:sz w:val="22"/>
          <w:szCs w:val="22"/>
          <w:lang w:val="lt-LT"/>
        </w:rPr>
        <w:t>Paskutinio perregistravimo data</w:t>
      </w:r>
      <w:r>
        <w:rPr>
          <w:bCs/>
          <w:noProof/>
          <w:sz w:val="22"/>
          <w:szCs w:val="22"/>
          <w:lang w:val="lt-LT" w:eastAsia="en-US"/>
        </w:rPr>
        <w:t xml:space="preserve"> 2014 m. kovo 27 d.</w:t>
      </w:r>
    </w:p>
    <w:p w14:paraId="26BC8089" w14:textId="77777777" w:rsidR="001B11F7" w:rsidRDefault="001B11F7">
      <w:pPr>
        <w:widowControl w:val="0"/>
        <w:rPr>
          <w:sz w:val="22"/>
          <w:szCs w:val="22"/>
          <w:lang w:val="lt-LT" w:eastAsia="lt-LT"/>
        </w:rPr>
      </w:pPr>
    </w:p>
    <w:p w14:paraId="289BE163" w14:textId="77777777" w:rsidR="001B11F7" w:rsidRDefault="001B11F7">
      <w:pPr>
        <w:widowControl w:val="0"/>
        <w:rPr>
          <w:sz w:val="22"/>
          <w:szCs w:val="22"/>
          <w:lang w:val="lt-LT" w:eastAsia="lt-LT"/>
        </w:rPr>
      </w:pPr>
    </w:p>
    <w:p w14:paraId="7F224FBA" w14:textId="77777777" w:rsidR="001B11F7" w:rsidRDefault="00B83885">
      <w:pPr>
        <w:widowControl w:val="0"/>
        <w:ind w:left="567" w:hanging="567"/>
        <w:outlineLvl w:val="1"/>
        <w:rPr>
          <w:b/>
          <w:sz w:val="22"/>
          <w:szCs w:val="22"/>
          <w:lang w:val="lt-LT" w:eastAsia="lt-LT"/>
        </w:rPr>
      </w:pPr>
      <w:r>
        <w:rPr>
          <w:b/>
          <w:sz w:val="22"/>
          <w:szCs w:val="22"/>
          <w:lang w:val="lt-LT" w:eastAsia="lt-LT"/>
        </w:rPr>
        <w:t>10.</w:t>
      </w:r>
      <w:r>
        <w:rPr>
          <w:b/>
          <w:sz w:val="22"/>
          <w:szCs w:val="22"/>
          <w:lang w:val="lt-LT" w:eastAsia="lt-LT"/>
        </w:rPr>
        <w:tab/>
        <w:t>TEKSTO PERŽIŪROS DATA</w:t>
      </w:r>
    </w:p>
    <w:p w14:paraId="62599EAF" w14:textId="77777777" w:rsidR="001B11F7" w:rsidRDefault="001B11F7">
      <w:pPr>
        <w:widowControl w:val="0"/>
        <w:rPr>
          <w:sz w:val="22"/>
          <w:szCs w:val="22"/>
          <w:lang w:val="lt-LT" w:eastAsia="lt-LT"/>
        </w:rPr>
      </w:pPr>
    </w:p>
    <w:p w14:paraId="6CE29EB5" w14:textId="11483A20" w:rsidR="00507295" w:rsidRDefault="00B83885">
      <w:pPr>
        <w:widowControl w:val="0"/>
        <w:rPr>
          <w:sz w:val="22"/>
          <w:szCs w:val="22"/>
          <w:lang w:val="lt-LT" w:eastAsia="lt-LT"/>
        </w:rPr>
      </w:pPr>
      <w:r>
        <w:rPr>
          <w:sz w:val="22"/>
          <w:szCs w:val="22"/>
          <w:lang w:val="lt-LT" w:eastAsia="lt-LT"/>
        </w:rPr>
        <w:t xml:space="preserve">2025 m. </w:t>
      </w:r>
      <w:r w:rsidR="00507295">
        <w:rPr>
          <w:sz w:val="22"/>
          <w:szCs w:val="22"/>
          <w:lang w:val="lt-LT" w:eastAsia="lt-LT"/>
        </w:rPr>
        <w:t>vasario 12</w:t>
      </w:r>
      <w:r>
        <w:rPr>
          <w:sz w:val="22"/>
          <w:szCs w:val="22"/>
          <w:lang w:val="lt-LT" w:eastAsia="lt-LT"/>
        </w:rPr>
        <w:t xml:space="preserve"> d.</w:t>
      </w:r>
    </w:p>
    <w:p w14:paraId="0D007CB2" w14:textId="77777777" w:rsidR="001B11F7" w:rsidRDefault="001B11F7">
      <w:pPr>
        <w:widowControl w:val="0"/>
        <w:rPr>
          <w:sz w:val="22"/>
          <w:szCs w:val="22"/>
          <w:lang w:val="lt-LT" w:eastAsia="lt-LT"/>
        </w:rPr>
      </w:pPr>
    </w:p>
    <w:p w14:paraId="66BC6D7D" w14:textId="7BF297CA" w:rsidR="001B11F7" w:rsidRDefault="00B83885">
      <w:pPr>
        <w:widowControl w:val="0"/>
        <w:rPr>
          <w:noProof/>
          <w:sz w:val="22"/>
          <w:szCs w:val="22"/>
          <w:lang w:val="lt-LT" w:eastAsia="en-US"/>
        </w:rPr>
      </w:pPr>
      <w:r>
        <w:rPr>
          <w:noProof/>
          <w:snapToGrid w:val="0"/>
          <w:sz w:val="22"/>
          <w:szCs w:val="22"/>
          <w:lang w:val="lt-LT" w:eastAsia="en-US"/>
        </w:rPr>
        <w:t>Išsami informacija apie šį vaistinį preparatą pateikiama Valstybinės vaistų kontrolės tarnybos prie Lietuvos Respublikos sveikatos apsaugos ministerijos tinklalapyje</w:t>
      </w:r>
      <w:r>
        <w:rPr>
          <w:i/>
          <w:noProof/>
          <w:snapToGrid w:val="0"/>
          <w:sz w:val="22"/>
          <w:szCs w:val="22"/>
          <w:lang w:val="lt-LT" w:eastAsia="en-US"/>
        </w:rPr>
        <w:t xml:space="preserve"> </w:t>
      </w:r>
      <w:bookmarkStart w:id="11" w:name="_Hlk177639243"/>
      <w:r w:rsidR="00B90ECF">
        <w:rPr>
          <w:color w:val="0000EE"/>
          <w:sz w:val="22"/>
          <w:szCs w:val="22"/>
          <w:u w:val="single"/>
          <w:lang w:eastAsia="lt-LT"/>
        </w:rPr>
        <w:t>https://vvkt.lrv.lt/lt/</w:t>
      </w:r>
      <w:r w:rsidR="00507295">
        <w:rPr>
          <w:sz w:val="22"/>
          <w:szCs w:val="22"/>
          <w:lang w:val="lt-LT" w:eastAsia="en-US"/>
        </w:rPr>
        <w:t>.</w:t>
      </w:r>
      <w:bookmarkEnd w:id="11"/>
    </w:p>
    <w:p w14:paraId="65C1306C" w14:textId="77777777" w:rsidR="001B11F7" w:rsidRDefault="00B83885">
      <w:pPr>
        <w:widowControl w:val="0"/>
        <w:rPr>
          <w:sz w:val="22"/>
          <w:szCs w:val="22"/>
          <w:lang w:val="lt-LT" w:eastAsia="lt-LT"/>
        </w:rPr>
      </w:pPr>
      <w:r>
        <w:rPr>
          <w:sz w:val="22"/>
          <w:szCs w:val="22"/>
          <w:lang w:val="lt-LT" w:eastAsia="lt-LT"/>
        </w:rPr>
        <w:br w:type="page"/>
      </w:r>
    </w:p>
    <w:p w14:paraId="3F6B7B2C" w14:textId="77777777" w:rsidR="001B11F7" w:rsidRDefault="001B11F7">
      <w:pPr>
        <w:widowControl w:val="0"/>
        <w:rPr>
          <w:sz w:val="22"/>
          <w:szCs w:val="22"/>
          <w:lang w:val="lt-LT" w:eastAsia="lt-LT"/>
        </w:rPr>
      </w:pPr>
    </w:p>
    <w:p w14:paraId="19611BF5" w14:textId="77777777" w:rsidR="001B11F7" w:rsidRDefault="001B11F7">
      <w:pPr>
        <w:widowControl w:val="0"/>
        <w:rPr>
          <w:sz w:val="22"/>
          <w:szCs w:val="22"/>
          <w:lang w:val="lt-LT" w:eastAsia="lt-LT"/>
        </w:rPr>
      </w:pPr>
    </w:p>
    <w:p w14:paraId="3D7A38BB" w14:textId="77777777" w:rsidR="001B11F7" w:rsidRDefault="001B11F7">
      <w:pPr>
        <w:widowControl w:val="0"/>
        <w:rPr>
          <w:sz w:val="22"/>
          <w:szCs w:val="22"/>
          <w:lang w:val="lt-LT" w:eastAsia="lt-LT"/>
        </w:rPr>
      </w:pPr>
    </w:p>
    <w:p w14:paraId="14DF36A7" w14:textId="77777777" w:rsidR="001B11F7" w:rsidRDefault="001B11F7">
      <w:pPr>
        <w:widowControl w:val="0"/>
        <w:rPr>
          <w:sz w:val="22"/>
          <w:szCs w:val="22"/>
          <w:lang w:val="lt-LT" w:eastAsia="lt-LT"/>
        </w:rPr>
      </w:pPr>
    </w:p>
    <w:p w14:paraId="52405A8A" w14:textId="77777777" w:rsidR="001B11F7" w:rsidRDefault="001B11F7">
      <w:pPr>
        <w:widowControl w:val="0"/>
        <w:rPr>
          <w:sz w:val="22"/>
          <w:szCs w:val="22"/>
          <w:lang w:val="lt-LT" w:eastAsia="lt-LT"/>
        </w:rPr>
      </w:pPr>
    </w:p>
    <w:p w14:paraId="09DE50FA" w14:textId="77777777" w:rsidR="001B11F7" w:rsidRDefault="001B11F7">
      <w:pPr>
        <w:widowControl w:val="0"/>
        <w:rPr>
          <w:sz w:val="22"/>
          <w:szCs w:val="22"/>
          <w:lang w:val="lt-LT" w:eastAsia="lt-LT"/>
        </w:rPr>
      </w:pPr>
    </w:p>
    <w:p w14:paraId="30D54F6D" w14:textId="77777777" w:rsidR="001B11F7" w:rsidRDefault="001B11F7">
      <w:pPr>
        <w:widowControl w:val="0"/>
        <w:rPr>
          <w:sz w:val="22"/>
          <w:szCs w:val="22"/>
          <w:lang w:val="lt-LT" w:eastAsia="lt-LT"/>
        </w:rPr>
      </w:pPr>
    </w:p>
    <w:p w14:paraId="0254E2D1" w14:textId="77777777" w:rsidR="001B11F7" w:rsidRDefault="001B11F7">
      <w:pPr>
        <w:widowControl w:val="0"/>
        <w:rPr>
          <w:sz w:val="22"/>
          <w:szCs w:val="22"/>
          <w:lang w:val="lt-LT" w:eastAsia="lt-LT"/>
        </w:rPr>
      </w:pPr>
    </w:p>
    <w:p w14:paraId="0D8E13B7" w14:textId="77777777" w:rsidR="001B11F7" w:rsidRDefault="001B11F7">
      <w:pPr>
        <w:widowControl w:val="0"/>
        <w:rPr>
          <w:sz w:val="22"/>
          <w:szCs w:val="22"/>
          <w:lang w:val="lt-LT" w:eastAsia="lt-LT"/>
        </w:rPr>
      </w:pPr>
    </w:p>
    <w:p w14:paraId="1E971845" w14:textId="77777777" w:rsidR="001B11F7" w:rsidRDefault="001B11F7">
      <w:pPr>
        <w:widowControl w:val="0"/>
        <w:rPr>
          <w:sz w:val="22"/>
          <w:szCs w:val="22"/>
          <w:lang w:val="lt-LT" w:eastAsia="lt-LT"/>
        </w:rPr>
      </w:pPr>
    </w:p>
    <w:p w14:paraId="258ACFCE" w14:textId="77777777" w:rsidR="001B11F7" w:rsidRDefault="001B11F7">
      <w:pPr>
        <w:widowControl w:val="0"/>
        <w:rPr>
          <w:sz w:val="22"/>
          <w:szCs w:val="22"/>
          <w:lang w:val="lt-LT" w:eastAsia="lt-LT"/>
        </w:rPr>
      </w:pPr>
    </w:p>
    <w:p w14:paraId="5952E947" w14:textId="77777777" w:rsidR="001B11F7" w:rsidRDefault="001B11F7">
      <w:pPr>
        <w:widowControl w:val="0"/>
        <w:rPr>
          <w:sz w:val="22"/>
          <w:szCs w:val="22"/>
          <w:lang w:val="lt-LT" w:eastAsia="lt-LT"/>
        </w:rPr>
      </w:pPr>
    </w:p>
    <w:p w14:paraId="5CCC21A8" w14:textId="77777777" w:rsidR="001B11F7" w:rsidRDefault="001B11F7">
      <w:pPr>
        <w:widowControl w:val="0"/>
        <w:rPr>
          <w:sz w:val="22"/>
          <w:szCs w:val="22"/>
          <w:lang w:val="lt-LT" w:eastAsia="lt-LT"/>
        </w:rPr>
      </w:pPr>
    </w:p>
    <w:p w14:paraId="1E341435" w14:textId="77777777" w:rsidR="001B11F7" w:rsidRDefault="001B11F7">
      <w:pPr>
        <w:widowControl w:val="0"/>
        <w:rPr>
          <w:sz w:val="22"/>
          <w:szCs w:val="22"/>
          <w:lang w:val="lt-LT" w:eastAsia="lt-LT"/>
        </w:rPr>
      </w:pPr>
    </w:p>
    <w:p w14:paraId="4EF7F77D" w14:textId="77777777" w:rsidR="001B11F7" w:rsidRDefault="001B11F7">
      <w:pPr>
        <w:widowControl w:val="0"/>
        <w:rPr>
          <w:sz w:val="22"/>
          <w:szCs w:val="22"/>
          <w:lang w:val="lt-LT" w:eastAsia="lt-LT"/>
        </w:rPr>
      </w:pPr>
    </w:p>
    <w:p w14:paraId="19DE6622" w14:textId="77777777" w:rsidR="001B11F7" w:rsidRDefault="001B11F7">
      <w:pPr>
        <w:widowControl w:val="0"/>
        <w:rPr>
          <w:sz w:val="22"/>
          <w:szCs w:val="22"/>
          <w:lang w:val="lt-LT" w:eastAsia="lt-LT"/>
        </w:rPr>
      </w:pPr>
    </w:p>
    <w:p w14:paraId="0400D32A" w14:textId="77777777" w:rsidR="001B11F7" w:rsidRDefault="001B11F7">
      <w:pPr>
        <w:widowControl w:val="0"/>
        <w:rPr>
          <w:sz w:val="22"/>
          <w:szCs w:val="22"/>
          <w:lang w:val="lt-LT" w:eastAsia="lt-LT"/>
        </w:rPr>
      </w:pPr>
    </w:p>
    <w:p w14:paraId="2EB19733" w14:textId="77777777" w:rsidR="001B11F7" w:rsidRDefault="001B11F7">
      <w:pPr>
        <w:widowControl w:val="0"/>
        <w:rPr>
          <w:sz w:val="22"/>
          <w:szCs w:val="22"/>
          <w:lang w:val="lt-LT" w:eastAsia="lt-LT"/>
        </w:rPr>
      </w:pPr>
    </w:p>
    <w:p w14:paraId="6E02480E" w14:textId="77777777" w:rsidR="001B11F7" w:rsidRDefault="001B11F7">
      <w:pPr>
        <w:widowControl w:val="0"/>
        <w:rPr>
          <w:sz w:val="22"/>
          <w:szCs w:val="22"/>
          <w:lang w:val="lt-LT" w:eastAsia="lt-LT"/>
        </w:rPr>
      </w:pPr>
    </w:p>
    <w:p w14:paraId="68933AB1" w14:textId="77777777" w:rsidR="001B11F7" w:rsidRDefault="001B11F7">
      <w:pPr>
        <w:widowControl w:val="0"/>
        <w:rPr>
          <w:sz w:val="22"/>
          <w:szCs w:val="22"/>
          <w:lang w:val="lt-LT" w:eastAsia="lt-LT"/>
        </w:rPr>
      </w:pPr>
    </w:p>
    <w:p w14:paraId="733F9102" w14:textId="77777777" w:rsidR="001B11F7" w:rsidRDefault="001B11F7">
      <w:pPr>
        <w:widowControl w:val="0"/>
        <w:rPr>
          <w:sz w:val="22"/>
          <w:szCs w:val="22"/>
          <w:lang w:val="lt-LT" w:eastAsia="lt-LT"/>
        </w:rPr>
      </w:pPr>
    </w:p>
    <w:p w14:paraId="68AAEB77" w14:textId="77777777" w:rsidR="001B11F7" w:rsidRDefault="001B11F7">
      <w:pPr>
        <w:widowControl w:val="0"/>
        <w:rPr>
          <w:sz w:val="22"/>
          <w:szCs w:val="22"/>
          <w:lang w:val="lt-LT" w:eastAsia="lt-LT"/>
        </w:rPr>
      </w:pPr>
    </w:p>
    <w:p w14:paraId="00182A3F" w14:textId="77777777" w:rsidR="001B11F7" w:rsidRDefault="001B11F7">
      <w:pPr>
        <w:widowControl w:val="0"/>
        <w:rPr>
          <w:sz w:val="22"/>
          <w:szCs w:val="22"/>
          <w:lang w:val="lt-LT" w:eastAsia="lt-LT"/>
        </w:rPr>
      </w:pPr>
    </w:p>
    <w:p w14:paraId="3A196996"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II PRIEDAS</w:t>
      </w:r>
    </w:p>
    <w:p w14:paraId="7BF469E5" w14:textId="77777777" w:rsidR="001B11F7" w:rsidRDefault="001B11F7">
      <w:pPr>
        <w:widowControl w:val="0"/>
        <w:jc w:val="center"/>
        <w:outlineLvl w:val="0"/>
        <w:rPr>
          <w:b/>
          <w:kern w:val="28"/>
          <w:sz w:val="22"/>
          <w:szCs w:val="22"/>
          <w:lang w:val="lt-LT" w:eastAsia="lt-LT"/>
        </w:rPr>
      </w:pPr>
    </w:p>
    <w:p w14:paraId="6A8F6BD4"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REGISTRACIJOS SĄLYGOS</w:t>
      </w:r>
    </w:p>
    <w:p w14:paraId="1B2884C0" w14:textId="77777777" w:rsidR="001B11F7" w:rsidRDefault="001B11F7">
      <w:pPr>
        <w:widowControl w:val="0"/>
        <w:rPr>
          <w:sz w:val="22"/>
          <w:szCs w:val="22"/>
          <w:lang w:val="lt-LT" w:eastAsia="lt-LT"/>
        </w:rPr>
      </w:pPr>
    </w:p>
    <w:p w14:paraId="7C798054" w14:textId="77777777" w:rsidR="001B11F7" w:rsidRDefault="00B83885">
      <w:pPr>
        <w:widowControl w:val="0"/>
        <w:ind w:left="1701" w:hanging="567"/>
        <w:jc w:val="both"/>
        <w:outlineLvl w:val="0"/>
        <w:rPr>
          <w:b/>
          <w:sz w:val="22"/>
          <w:szCs w:val="22"/>
          <w:lang w:val="lt-LT" w:eastAsia="lt-LT"/>
        </w:rPr>
      </w:pPr>
      <w:r>
        <w:rPr>
          <w:b/>
          <w:sz w:val="22"/>
          <w:szCs w:val="22"/>
          <w:lang w:val="lt-LT" w:eastAsia="lt-LT"/>
        </w:rPr>
        <w:t>A.</w:t>
      </w:r>
      <w:r>
        <w:rPr>
          <w:b/>
          <w:sz w:val="22"/>
          <w:szCs w:val="22"/>
          <w:lang w:val="lt-LT" w:eastAsia="lt-LT"/>
        </w:rPr>
        <w:tab/>
        <w:t>GAMINTOJAS, ATSAKINGAS UŽ SERIJŲ IŠLEIDIMĄ</w:t>
      </w:r>
    </w:p>
    <w:p w14:paraId="5C3D1AC3" w14:textId="77777777" w:rsidR="001B11F7" w:rsidRDefault="001B11F7">
      <w:pPr>
        <w:widowControl w:val="0"/>
        <w:ind w:left="1701" w:hanging="567"/>
        <w:jc w:val="both"/>
        <w:rPr>
          <w:sz w:val="22"/>
          <w:szCs w:val="22"/>
          <w:lang w:val="lt-LT" w:eastAsia="lt-LT"/>
        </w:rPr>
      </w:pPr>
    </w:p>
    <w:p w14:paraId="2F389B9C" w14:textId="77777777" w:rsidR="001B11F7" w:rsidRDefault="00B83885">
      <w:pPr>
        <w:widowControl w:val="0"/>
        <w:ind w:left="1701" w:hanging="567"/>
        <w:jc w:val="both"/>
        <w:outlineLvl w:val="0"/>
        <w:rPr>
          <w:b/>
          <w:sz w:val="22"/>
          <w:szCs w:val="22"/>
          <w:lang w:val="lt-LT" w:eastAsia="lt-LT"/>
        </w:rPr>
      </w:pPr>
      <w:r>
        <w:rPr>
          <w:b/>
          <w:sz w:val="22"/>
          <w:szCs w:val="22"/>
          <w:lang w:val="lt-LT" w:eastAsia="lt-LT"/>
        </w:rPr>
        <w:t>B.</w:t>
      </w:r>
      <w:r>
        <w:rPr>
          <w:b/>
          <w:sz w:val="22"/>
          <w:szCs w:val="22"/>
          <w:lang w:val="lt-LT" w:eastAsia="lt-LT"/>
        </w:rPr>
        <w:tab/>
        <w:t>TIEKIMO IR VARTOJIMO SĄLYGOS AR APRIBOJIMAI</w:t>
      </w:r>
    </w:p>
    <w:p w14:paraId="29B67150" w14:textId="77777777" w:rsidR="001B11F7" w:rsidRDefault="001B11F7">
      <w:pPr>
        <w:widowControl w:val="0"/>
        <w:ind w:left="1701" w:hanging="567"/>
        <w:jc w:val="both"/>
        <w:rPr>
          <w:sz w:val="22"/>
          <w:szCs w:val="22"/>
          <w:lang w:val="lt-LT" w:eastAsia="lt-LT"/>
        </w:rPr>
      </w:pPr>
    </w:p>
    <w:p w14:paraId="5725C208" w14:textId="77777777" w:rsidR="001B11F7" w:rsidRDefault="00B83885">
      <w:pPr>
        <w:widowControl w:val="0"/>
        <w:tabs>
          <w:tab w:val="left" w:pos="567"/>
        </w:tabs>
        <w:rPr>
          <w:b/>
          <w:sz w:val="22"/>
          <w:szCs w:val="22"/>
          <w:lang w:val="lt-LT" w:eastAsia="lt-LT"/>
        </w:rPr>
      </w:pPr>
      <w:r>
        <w:rPr>
          <w:sz w:val="22"/>
          <w:szCs w:val="22"/>
          <w:lang w:val="lt-LT" w:eastAsia="lt-LT"/>
        </w:rPr>
        <w:br w:type="page"/>
      </w:r>
      <w:r>
        <w:rPr>
          <w:b/>
          <w:sz w:val="22"/>
          <w:szCs w:val="22"/>
          <w:lang w:val="lt-LT" w:eastAsia="lt-LT"/>
        </w:rPr>
        <w:lastRenderedPageBreak/>
        <w:t>A.</w:t>
      </w:r>
      <w:r>
        <w:rPr>
          <w:sz w:val="22"/>
          <w:szCs w:val="22"/>
          <w:lang w:val="lt-LT" w:eastAsia="lt-LT"/>
        </w:rPr>
        <w:tab/>
      </w:r>
      <w:r>
        <w:rPr>
          <w:b/>
          <w:sz w:val="22"/>
          <w:szCs w:val="22"/>
          <w:lang w:val="lt-LT" w:eastAsia="lt-LT"/>
        </w:rPr>
        <w:t>GAMINTOJAS, ATSAKINGAS UŽ SERIJŲ IŠLEIDIMĄ</w:t>
      </w:r>
    </w:p>
    <w:p w14:paraId="5E91A10B" w14:textId="77777777" w:rsidR="001B11F7" w:rsidRDefault="001B11F7">
      <w:pPr>
        <w:widowControl w:val="0"/>
        <w:rPr>
          <w:sz w:val="22"/>
          <w:szCs w:val="22"/>
          <w:lang w:val="lt-LT" w:eastAsia="lt-LT"/>
        </w:rPr>
      </w:pPr>
    </w:p>
    <w:p w14:paraId="13DC11AB" w14:textId="77777777" w:rsidR="001B11F7" w:rsidRDefault="00B83885">
      <w:pPr>
        <w:widowControl w:val="0"/>
        <w:rPr>
          <w:sz w:val="22"/>
          <w:szCs w:val="22"/>
          <w:u w:val="single"/>
          <w:lang w:val="lt-LT" w:eastAsia="lt-LT"/>
        </w:rPr>
      </w:pPr>
      <w:r>
        <w:rPr>
          <w:sz w:val="22"/>
          <w:szCs w:val="22"/>
          <w:u w:val="single"/>
          <w:lang w:val="lt-LT" w:eastAsia="lt-LT"/>
        </w:rPr>
        <w:t>Gamintojo, atsakingo už serijų išleidimą, pavadinimas ir adresas</w:t>
      </w:r>
    </w:p>
    <w:p w14:paraId="7C9E8B75" w14:textId="77777777" w:rsidR="001B11F7" w:rsidRDefault="001B11F7">
      <w:pPr>
        <w:widowControl w:val="0"/>
        <w:rPr>
          <w:sz w:val="22"/>
          <w:szCs w:val="22"/>
          <w:lang w:val="lt-LT" w:eastAsia="lt-LT"/>
        </w:rPr>
      </w:pPr>
    </w:p>
    <w:p w14:paraId="69590C80" w14:textId="77777777" w:rsidR="001B11F7" w:rsidRDefault="00B83885">
      <w:pPr>
        <w:widowControl w:val="0"/>
        <w:ind w:right="-362"/>
        <w:jc w:val="both"/>
        <w:rPr>
          <w:sz w:val="22"/>
          <w:szCs w:val="22"/>
          <w:lang w:val="lt-LT" w:eastAsia="lt-LT"/>
        </w:rPr>
      </w:pPr>
      <w:r>
        <w:rPr>
          <w:sz w:val="22"/>
          <w:szCs w:val="22"/>
          <w:lang w:val="lt-LT" w:eastAsia="lt-LT"/>
        </w:rPr>
        <w:t>KRKA, d.d., Novo mesto</w:t>
      </w:r>
    </w:p>
    <w:p w14:paraId="1841743A" w14:textId="77777777" w:rsidR="001B11F7" w:rsidRDefault="00B83885">
      <w:pPr>
        <w:widowControl w:val="0"/>
        <w:ind w:right="-362"/>
        <w:jc w:val="both"/>
        <w:rPr>
          <w:sz w:val="22"/>
          <w:szCs w:val="22"/>
          <w:lang w:val="lt-LT" w:eastAsia="lt-LT"/>
        </w:rPr>
      </w:pPr>
      <w:r>
        <w:rPr>
          <w:sz w:val="22"/>
          <w:szCs w:val="22"/>
          <w:lang w:val="lt-LT" w:eastAsia="lt-LT"/>
        </w:rPr>
        <w:t>Šmarješka cesta 6</w:t>
      </w:r>
    </w:p>
    <w:p w14:paraId="221493DD" w14:textId="77777777" w:rsidR="001B11F7" w:rsidRDefault="00B83885">
      <w:pPr>
        <w:widowControl w:val="0"/>
        <w:ind w:right="-362"/>
        <w:jc w:val="both"/>
        <w:rPr>
          <w:sz w:val="22"/>
          <w:szCs w:val="22"/>
          <w:lang w:val="lt-LT" w:eastAsia="lt-LT"/>
        </w:rPr>
      </w:pPr>
      <w:r>
        <w:rPr>
          <w:sz w:val="22"/>
          <w:szCs w:val="22"/>
          <w:lang w:val="lt-LT" w:eastAsia="lt-LT"/>
        </w:rPr>
        <w:t>8501 Novo mesto</w:t>
      </w:r>
    </w:p>
    <w:p w14:paraId="0A794102" w14:textId="77777777" w:rsidR="001B11F7" w:rsidRDefault="00B83885">
      <w:pPr>
        <w:widowControl w:val="0"/>
        <w:ind w:right="-362"/>
        <w:jc w:val="both"/>
        <w:rPr>
          <w:sz w:val="22"/>
          <w:szCs w:val="22"/>
          <w:lang w:val="lt-LT" w:eastAsia="lt-LT"/>
        </w:rPr>
      </w:pPr>
      <w:r>
        <w:rPr>
          <w:sz w:val="22"/>
          <w:szCs w:val="22"/>
          <w:lang w:val="lt-LT" w:eastAsia="lt-LT"/>
        </w:rPr>
        <w:t>Slovėnija</w:t>
      </w:r>
    </w:p>
    <w:p w14:paraId="68BF9449" w14:textId="77777777" w:rsidR="001B11F7" w:rsidRDefault="001B11F7">
      <w:pPr>
        <w:widowControl w:val="0"/>
        <w:rPr>
          <w:sz w:val="22"/>
          <w:szCs w:val="22"/>
          <w:lang w:val="lt-LT" w:eastAsia="lt-LT"/>
        </w:rPr>
      </w:pPr>
    </w:p>
    <w:p w14:paraId="18A894F4" w14:textId="77777777" w:rsidR="001B11F7" w:rsidRDefault="001B11F7">
      <w:pPr>
        <w:widowControl w:val="0"/>
        <w:rPr>
          <w:sz w:val="22"/>
          <w:szCs w:val="22"/>
          <w:lang w:val="lt-LT" w:eastAsia="lt-LT"/>
        </w:rPr>
      </w:pPr>
    </w:p>
    <w:p w14:paraId="166725B7" w14:textId="77777777" w:rsidR="001B11F7" w:rsidRDefault="00B83885">
      <w:pPr>
        <w:widowControl w:val="0"/>
        <w:rPr>
          <w:b/>
          <w:sz w:val="22"/>
          <w:szCs w:val="22"/>
          <w:lang w:val="lt-LT" w:eastAsia="lt-LT"/>
        </w:rPr>
      </w:pPr>
      <w:r>
        <w:rPr>
          <w:b/>
          <w:sz w:val="22"/>
          <w:szCs w:val="22"/>
          <w:lang w:val="lt-LT" w:eastAsia="lt-LT"/>
        </w:rPr>
        <w:t>B.</w:t>
      </w:r>
      <w:r>
        <w:rPr>
          <w:sz w:val="22"/>
          <w:szCs w:val="22"/>
          <w:lang w:val="lt-LT" w:eastAsia="lt-LT"/>
        </w:rPr>
        <w:tab/>
      </w:r>
      <w:r>
        <w:rPr>
          <w:b/>
          <w:sz w:val="22"/>
          <w:szCs w:val="22"/>
          <w:lang w:val="lt-LT" w:eastAsia="lt-LT"/>
        </w:rPr>
        <w:t>TIEKIMO IR VARTOJIMO SĄLYGOS AR APRIBOJIMAI</w:t>
      </w:r>
    </w:p>
    <w:p w14:paraId="0E1EA57D" w14:textId="77777777" w:rsidR="001B11F7" w:rsidRDefault="001B11F7">
      <w:pPr>
        <w:widowControl w:val="0"/>
        <w:rPr>
          <w:sz w:val="22"/>
          <w:szCs w:val="22"/>
          <w:lang w:val="lt-LT" w:eastAsia="lt-LT"/>
        </w:rPr>
      </w:pPr>
    </w:p>
    <w:p w14:paraId="48BF753E" w14:textId="77777777" w:rsidR="001B11F7" w:rsidRDefault="00B83885">
      <w:pPr>
        <w:widowControl w:val="0"/>
        <w:rPr>
          <w:sz w:val="22"/>
          <w:szCs w:val="22"/>
          <w:lang w:val="lt-LT" w:eastAsia="lt-LT"/>
        </w:rPr>
      </w:pPr>
      <w:r>
        <w:rPr>
          <w:sz w:val="22"/>
          <w:szCs w:val="22"/>
          <w:lang w:val="lt-LT" w:eastAsia="lt-LT"/>
        </w:rPr>
        <w:t>Receptinis vaistinis preparatas.</w:t>
      </w:r>
    </w:p>
    <w:p w14:paraId="74019447" w14:textId="77777777" w:rsidR="001B11F7" w:rsidRDefault="001B11F7">
      <w:pPr>
        <w:widowControl w:val="0"/>
        <w:rPr>
          <w:sz w:val="22"/>
          <w:szCs w:val="22"/>
          <w:lang w:val="lt-LT" w:eastAsia="lt-LT"/>
        </w:rPr>
      </w:pPr>
    </w:p>
    <w:p w14:paraId="7BA24FF1" w14:textId="77777777" w:rsidR="001B11F7" w:rsidRDefault="00B83885">
      <w:pPr>
        <w:widowControl w:val="0"/>
        <w:rPr>
          <w:sz w:val="22"/>
          <w:szCs w:val="22"/>
          <w:lang w:val="lt-LT" w:eastAsia="lt-LT"/>
        </w:rPr>
      </w:pPr>
      <w:r>
        <w:rPr>
          <w:sz w:val="22"/>
          <w:szCs w:val="22"/>
          <w:lang w:val="lt-LT" w:eastAsia="lt-LT"/>
        </w:rPr>
        <w:br w:type="page"/>
      </w:r>
    </w:p>
    <w:p w14:paraId="1CE1BCF9" w14:textId="77777777" w:rsidR="001B11F7" w:rsidRDefault="001B11F7">
      <w:pPr>
        <w:widowControl w:val="0"/>
        <w:rPr>
          <w:sz w:val="22"/>
          <w:szCs w:val="22"/>
          <w:lang w:val="lt-LT" w:eastAsia="lt-LT"/>
        </w:rPr>
      </w:pPr>
    </w:p>
    <w:p w14:paraId="1B1B7001" w14:textId="77777777" w:rsidR="001B11F7" w:rsidRDefault="001B11F7">
      <w:pPr>
        <w:widowControl w:val="0"/>
        <w:rPr>
          <w:sz w:val="22"/>
          <w:szCs w:val="22"/>
          <w:lang w:val="lt-LT" w:eastAsia="lt-LT"/>
        </w:rPr>
      </w:pPr>
    </w:p>
    <w:p w14:paraId="06A49E26" w14:textId="77777777" w:rsidR="001B11F7" w:rsidRDefault="001B11F7">
      <w:pPr>
        <w:widowControl w:val="0"/>
        <w:rPr>
          <w:sz w:val="22"/>
          <w:szCs w:val="22"/>
          <w:lang w:val="lt-LT" w:eastAsia="lt-LT"/>
        </w:rPr>
      </w:pPr>
    </w:p>
    <w:p w14:paraId="7453CBBA" w14:textId="77777777" w:rsidR="001B11F7" w:rsidRDefault="001B11F7">
      <w:pPr>
        <w:widowControl w:val="0"/>
        <w:rPr>
          <w:sz w:val="22"/>
          <w:szCs w:val="22"/>
          <w:lang w:val="lt-LT" w:eastAsia="lt-LT"/>
        </w:rPr>
      </w:pPr>
    </w:p>
    <w:p w14:paraId="4DBB9A0D" w14:textId="77777777" w:rsidR="001B11F7" w:rsidRDefault="001B11F7">
      <w:pPr>
        <w:widowControl w:val="0"/>
        <w:rPr>
          <w:sz w:val="22"/>
          <w:szCs w:val="22"/>
          <w:lang w:val="lt-LT" w:eastAsia="lt-LT"/>
        </w:rPr>
      </w:pPr>
    </w:p>
    <w:p w14:paraId="3111CBC0" w14:textId="77777777" w:rsidR="001B11F7" w:rsidRDefault="001B11F7">
      <w:pPr>
        <w:widowControl w:val="0"/>
        <w:rPr>
          <w:sz w:val="22"/>
          <w:szCs w:val="22"/>
          <w:lang w:val="lt-LT" w:eastAsia="lt-LT"/>
        </w:rPr>
      </w:pPr>
    </w:p>
    <w:p w14:paraId="12C2553A" w14:textId="77777777" w:rsidR="001B11F7" w:rsidRDefault="001B11F7">
      <w:pPr>
        <w:widowControl w:val="0"/>
        <w:rPr>
          <w:sz w:val="22"/>
          <w:szCs w:val="22"/>
          <w:lang w:val="lt-LT" w:eastAsia="lt-LT"/>
        </w:rPr>
      </w:pPr>
    </w:p>
    <w:p w14:paraId="444C48B1" w14:textId="77777777" w:rsidR="001B11F7" w:rsidRDefault="001B11F7">
      <w:pPr>
        <w:widowControl w:val="0"/>
        <w:rPr>
          <w:sz w:val="22"/>
          <w:szCs w:val="22"/>
          <w:lang w:val="lt-LT" w:eastAsia="lt-LT"/>
        </w:rPr>
      </w:pPr>
    </w:p>
    <w:p w14:paraId="3D8D981A" w14:textId="77777777" w:rsidR="001B11F7" w:rsidRDefault="001B11F7">
      <w:pPr>
        <w:widowControl w:val="0"/>
        <w:rPr>
          <w:sz w:val="22"/>
          <w:szCs w:val="22"/>
          <w:lang w:val="lt-LT" w:eastAsia="lt-LT"/>
        </w:rPr>
      </w:pPr>
    </w:p>
    <w:p w14:paraId="7C10E333" w14:textId="77777777" w:rsidR="001B11F7" w:rsidRDefault="001B11F7">
      <w:pPr>
        <w:widowControl w:val="0"/>
        <w:rPr>
          <w:sz w:val="22"/>
          <w:szCs w:val="22"/>
          <w:lang w:val="lt-LT" w:eastAsia="lt-LT"/>
        </w:rPr>
      </w:pPr>
    </w:p>
    <w:p w14:paraId="2EE91FDA" w14:textId="77777777" w:rsidR="001B11F7" w:rsidRDefault="001B11F7">
      <w:pPr>
        <w:widowControl w:val="0"/>
        <w:rPr>
          <w:sz w:val="22"/>
          <w:szCs w:val="22"/>
          <w:lang w:val="lt-LT" w:eastAsia="lt-LT"/>
        </w:rPr>
      </w:pPr>
    </w:p>
    <w:p w14:paraId="4077BFA5" w14:textId="77777777" w:rsidR="001B11F7" w:rsidRDefault="001B11F7">
      <w:pPr>
        <w:widowControl w:val="0"/>
        <w:rPr>
          <w:sz w:val="22"/>
          <w:szCs w:val="22"/>
          <w:lang w:val="lt-LT" w:eastAsia="lt-LT"/>
        </w:rPr>
      </w:pPr>
    </w:p>
    <w:p w14:paraId="4CFFE16D" w14:textId="77777777" w:rsidR="001B11F7" w:rsidRDefault="001B11F7">
      <w:pPr>
        <w:widowControl w:val="0"/>
        <w:rPr>
          <w:sz w:val="22"/>
          <w:szCs w:val="22"/>
          <w:lang w:val="lt-LT" w:eastAsia="lt-LT"/>
        </w:rPr>
      </w:pPr>
    </w:p>
    <w:p w14:paraId="0F77ED30" w14:textId="77777777" w:rsidR="001B11F7" w:rsidRDefault="001B11F7">
      <w:pPr>
        <w:widowControl w:val="0"/>
        <w:rPr>
          <w:sz w:val="22"/>
          <w:szCs w:val="22"/>
          <w:lang w:val="lt-LT" w:eastAsia="lt-LT"/>
        </w:rPr>
      </w:pPr>
    </w:p>
    <w:p w14:paraId="06D31512" w14:textId="77777777" w:rsidR="001B11F7" w:rsidRDefault="001B11F7">
      <w:pPr>
        <w:widowControl w:val="0"/>
        <w:rPr>
          <w:sz w:val="22"/>
          <w:szCs w:val="22"/>
          <w:lang w:val="lt-LT" w:eastAsia="lt-LT"/>
        </w:rPr>
      </w:pPr>
    </w:p>
    <w:p w14:paraId="6ADC03B7" w14:textId="77777777" w:rsidR="001B11F7" w:rsidRDefault="001B11F7">
      <w:pPr>
        <w:widowControl w:val="0"/>
        <w:rPr>
          <w:sz w:val="22"/>
          <w:szCs w:val="22"/>
          <w:lang w:val="lt-LT" w:eastAsia="lt-LT"/>
        </w:rPr>
      </w:pPr>
    </w:p>
    <w:p w14:paraId="15877BD1" w14:textId="77777777" w:rsidR="001B11F7" w:rsidRDefault="001B11F7">
      <w:pPr>
        <w:widowControl w:val="0"/>
        <w:rPr>
          <w:sz w:val="22"/>
          <w:szCs w:val="22"/>
          <w:lang w:val="lt-LT" w:eastAsia="lt-LT"/>
        </w:rPr>
      </w:pPr>
    </w:p>
    <w:p w14:paraId="09A5CFFB" w14:textId="77777777" w:rsidR="001B11F7" w:rsidRDefault="001B11F7">
      <w:pPr>
        <w:widowControl w:val="0"/>
        <w:rPr>
          <w:sz w:val="22"/>
          <w:szCs w:val="22"/>
          <w:lang w:val="lt-LT" w:eastAsia="lt-LT"/>
        </w:rPr>
      </w:pPr>
    </w:p>
    <w:p w14:paraId="39287580" w14:textId="77777777" w:rsidR="001B11F7" w:rsidRDefault="001B11F7">
      <w:pPr>
        <w:widowControl w:val="0"/>
        <w:rPr>
          <w:sz w:val="22"/>
          <w:szCs w:val="22"/>
          <w:lang w:val="lt-LT" w:eastAsia="lt-LT"/>
        </w:rPr>
      </w:pPr>
    </w:p>
    <w:p w14:paraId="60307482" w14:textId="77777777" w:rsidR="001B11F7" w:rsidRDefault="001B11F7">
      <w:pPr>
        <w:widowControl w:val="0"/>
        <w:rPr>
          <w:sz w:val="22"/>
          <w:szCs w:val="22"/>
          <w:lang w:val="lt-LT" w:eastAsia="lt-LT"/>
        </w:rPr>
      </w:pPr>
    </w:p>
    <w:p w14:paraId="3DF2843B" w14:textId="77777777" w:rsidR="001B11F7" w:rsidRDefault="001B11F7">
      <w:pPr>
        <w:widowControl w:val="0"/>
        <w:rPr>
          <w:sz w:val="22"/>
          <w:szCs w:val="22"/>
          <w:lang w:val="lt-LT" w:eastAsia="lt-LT"/>
        </w:rPr>
      </w:pPr>
    </w:p>
    <w:p w14:paraId="1BC79F95" w14:textId="77777777" w:rsidR="001B11F7" w:rsidRDefault="001B11F7">
      <w:pPr>
        <w:widowControl w:val="0"/>
        <w:rPr>
          <w:sz w:val="22"/>
          <w:szCs w:val="22"/>
          <w:lang w:val="lt-LT" w:eastAsia="lt-LT"/>
        </w:rPr>
      </w:pPr>
    </w:p>
    <w:p w14:paraId="5441C9EE" w14:textId="77777777" w:rsidR="001B11F7" w:rsidRDefault="001B11F7">
      <w:pPr>
        <w:widowControl w:val="0"/>
        <w:rPr>
          <w:sz w:val="22"/>
          <w:szCs w:val="22"/>
          <w:lang w:val="lt-LT" w:eastAsia="lt-LT"/>
        </w:rPr>
      </w:pPr>
    </w:p>
    <w:p w14:paraId="7AEC8F24"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III PRIEDAS</w:t>
      </w:r>
    </w:p>
    <w:p w14:paraId="603C568E" w14:textId="77777777" w:rsidR="001B11F7" w:rsidRDefault="001B11F7">
      <w:pPr>
        <w:widowControl w:val="0"/>
        <w:rPr>
          <w:sz w:val="22"/>
          <w:szCs w:val="22"/>
          <w:lang w:val="lt-LT" w:eastAsia="lt-LT"/>
        </w:rPr>
      </w:pPr>
    </w:p>
    <w:p w14:paraId="05D176CE" w14:textId="77777777" w:rsidR="001B11F7" w:rsidRDefault="00B83885">
      <w:pPr>
        <w:widowControl w:val="0"/>
        <w:jc w:val="center"/>
        <w:rPr>
          <w:b/>
          <w:sz w:val="22"/>
          <w:szCs w:val="22"/>
          <w:lang w:val="lt-LT" w:eastAsia="lt-LT"/>
        </w:rPr>
      </w:pPr>
      <w:r>
        <w:rPr>
          <w:b/>
          <w:sz w:val="22"/>
          <w:szCs w:val="22"/>
          <w:lang w:val="lt-LT" w:eastAsia="lt-LT"/>
        </w:rPr>
        <w:t>ŽENKLINIMAS IR PAKUOTĖS LAPELIS</w:t>
      </w:r>
    </w:p>
    <w:p w14:paraId="4FC781EB" w14:textId="77777777" w:rsidR="001B11F7" w:rsidRDefault="00B83885">
      <w:pPr>
        <w:widowControl w:val="0"/>
        <w:rPr>
          <w:sz w:val="22"/>
          <w:szCs w:val="22"/>
          <w:lang w:val="lt-LT" w:eastAsia="lt-LT"/>
        </w:rPr>
      </w:pPr>
      <w:r>
        <w:rPr>
          <w:sz w:val="22"/>
          <w:szCs w:val="22"/>
          <w:lang w:val="lt-LT" w:eastAsia="lt-LT"/>
        </w:rPr>
        <w:br w:type="page"/>
      </w:r>
    </w:p>
    <w:p w14:paraId="33D00058" w14:textId="77777777" w:rsidR="001B11F7" w:rsidRDefault="001B11F7">
      <w:pPr>
        <w:widowControl w:val="0"/>
        <w:rPr>
          <w:sz w:val="22"/>
          <w:szCs w:val="22"/>
          <w:lang w:val="lt-LT" w:eastAsia="lt-LT"/>
        </w:rPr>
      </w:pPr>
    </w:p>
    <w:p w14:paraId="4DA9FFFE" w14:textId="77777777" w:rsidR="001B11F7" w:rsidRDefault="001B11F7">
      <w:pPr>
        <w:widowControl w:val="0"/>
        <w:rPr>
          <w:sz w:val="22"/>
          <w:szCs w:val="22"/>
          <w:lang w:val="lt-LT" w:eastAsia="lt-LT"/>
        </w:rPr>
      </w:pPr>
    </w:p>
    <w:p w14:paraId="0DCE8CD1" w14:textId="77777777" w:rsidR="001B11F7" w:rsidRDefault="001B11F7">
      <w:pPr>
        <w:widowControl w:val="0"/>
        <w:rPr>
          <w:sz w:val="22"/>
          <w:szCs w:val="22"/>
          <w:lang w:val="lt-LT" w:eastAsia="lt-LT"/>
        </w:rPr>
      </w:pPr>
    </w:p>
    <w:p w14:paraId="47FCE3B9" w14:textId="77777777" w:rsidR="001B11F7" w:rsidRDefault="001B11F7">
      <w:pPr>
        <w:widowControl w:val="0"/>
        <w:rPr>
          <w:sz w:val="22"/>
          <w:szCs w:val="22"/>
          <w:lang w:val="lt-LT" w:eastAsia="lt-LT"/>
        </w:rPr>
      </w:pPr>
    </w:p>
    <w:p w14:paraId="4BB91A15" w14:textId="77777777" w:rsidR="001B11F7" w:rsidRDefault="001B11F7">
      <w:pPr>
        <w:widowControl w:val="0"/>
        <w:rPr>
          <w:sz w:val="22"/>
          <w:szCs w:val="22"/>
          <w:lang w:val="lt-LT" w:eastAsia="lt-LT"/>
        </w:rPr>
      </w:pPr>
    </w:p>
    <w:p w14:paraId="172A645C" w14:textId="77777777" w:rsidR="001B11F7" w:rsidRDefault="001B11F7">
      <w:pPr>
        <w:widowControl w:val="0"/>
        <w:rPr>
          <w:sz w:val="22"/>
          <w:szCs w:val="22"/>
          <w:lang w:val="lt-LT" w:eastAsia="lt-LT"/>
        </w:rPr>
      </w:pPr>
    </w:p>
    <w:p w14:paraId="5058D0E6" w14:textId="77777777" w:rsidR="001B11F7" w:rsidRDefault="001B11F7">
      <w:pPr>
        <w:widowControl w:val="0"/>
        <w:rPr>
          <w:sz w:val="22"/>
          <w:szCs w:val="22"/>
          <w:lang w:val="lt-LT" w:eastAsia="lt-LT"/>
        </w:rPr>
      </w:pPr>
    </w:p>
    <w:p w14:paraId="7A52D939" w14:textId="77777777" w:rsidR="001B11F7" w:rsidRDefault="001B11F7">
      <w:pPr>
        <w:widowControl w:val="0"/>
        <w:rPr>
          <w:sz w:val="22"/>
          <w:szCs w:val="22"/>
          <w:lang w:val="lt-LT" w:eastAsia="lt-LT"/>
        </w:rPr>
      </w:pPr>
    </w:p>
    <w:p w14:paraId="57645F75" w14:textId="77777777" w:rsidR="001B11F7" w:rsidRDefault="001B11F7">
      <w:pPr>
        <w:widowControl w:val="0"/>
        <w:rPr>
          <w:sz w:val="22"/>
          <w:szCs w:val="22"/>
          <w:lang w:val="lt-LT" w:eastAsia="lt-LT"/>
        </w:rPr>
      </w:pPr>
    </w:p>
    <w:p w14:paraId="40AF002B" w14:textId="77777777" w:rsidR="001B11F7" w:rsidRDefault="001B11F7">
      <w:pPr>
        <w:widowControl w:val="0"/>
        <w:rPr>
          <w:sz w:val="22"/>
          <w:szCs w:val="22"/>
          <w:lang w:val="lt-LT" w:eastAsia="lt-LT"/>
        </w:rPr>
      </w:pPr>
    </w:p>
    <w:p w14:paraId="14A64458" w14:textId="77777777" w:rsidR="001B11F7" w:rsidRDefault="001B11F7">
      <w:pPr>
        <w:widowControl w:val="0"/>
        <w:rPr>
          <w:sz w:val="22"/>
          <w:szCs w:val="22"/>
          <w:lang w:val="lt-LT" w:eastAsia="lt-LT"/>
        </w:rPr>
      </w:pPr>
    </w:p>
    <w:p w14:paraId="4998ABD3" w14:textId="77777777" w:rsidR="001B11F7" w:rsidRDefault="001B11F7">
      <w:pPr>
        <w:widowControl w:val="0"/>
        <w:rPr>
          <w:sz w:val="22"/>
          <w:szCs w:val="22"/>
          <w:lang w:val="lt-LT" w:eastAsia="lt-LT"/>
        </w:rPr>
      </w:pPr>
    </w:p>
    <w:p w14:paraId="01049EEA" w14:textId="77777777" w:rsidR="001B11F7" w:rsidRDefault="001B11F7">
      <w:pPr>
        <w:widowControl w:val="0"/>
        <w:rPr>
          <w:sz w:val="22"/>
          <w:szCs w:val="22"/>
          <w:lang w:val="lt-LT" w:eastAsia="lt-LT"/>
        </w:rPr>
      </w:pPr>
    </w:p>
    <w:p w14:paraId="295121A5" w14:textId="77777777" w:rsidR="001B11F7" w:rsidRDefault="001B11F7">
      <w:pPr>
        <w:widowControl w:val="0"/>
        <w:rPr>
          <w:sz w:val="22"/>
          <w:szCs w:val="22"/>
          <w:lang w:val="lt-LT" w:eastAsia="lt-LT"/>
        </w:rPr>
      </w:pPr>
    </w:p>
    <w:p w14:paraId="288477FB" w14:textId="77777777" w:rsidR="001B11F7" w:rsidRDefault="001B11F7">
      <w:pPr>
        <w:widowControl w:val="0"/>
        <w:rPr>
          <w:sz w:val="22"/>
          <w:szCs w:val="22"/>
          <w:lang w:val="lt-LT" w:eastAsia="lt-LT"/>
        </w:rPr>
      </w:pPr>
    </w:p>
    <w:p w14:paraId="7CFBB0A2" w14:textId="77777777" w:rsidR="001B11F7" w:rsidRDefault="001B11F7">
      <w:pPr>
        <w:widowControl w:val="0"/>
        <w:rPr>
          <w:sz w:val="22"/>
          <w:szCs w:val="22"/>
          <w:lang w:val="lt-LT" w:eastAsia="lt-LT"/>
        </w:rPr>
      </w:pPr>
    </w:p>
    <w:p w14:paraId="5EB4343E" w14:textId="77777777" w:rsidR="001B11F7" w:rsidRDefault="001B11F7">
      <w:pPr>
        <w:widowControl w:val="0"/>
        <w:rPr>
          <w:sz w:val="22"/>
          <w:szCs w:val="22"/>
          <w:lang w:val="lt-LT" w:eastAsia="lt-LT"/>
        </w:rPr>
      </w:pPr>
    </w:p>
    <w:p w14:paraId="42451AA5" w14:textId="77777777" w:rsidR="001B11F7" w:rsidRDefault="001B11F7">
      <w:pPr>
        <w:widowControl w:val="0"/>
        <w:rPr>
          <w:sz w:val="22"/>
          <w:szCs w:val="22"/>
          <w:lang w:val="lt-LT" w:eastAsia="lt-LT"/>
        </w:rPr>
      </w:pPr>
    </w:p>
    <w:p w14:paraId="701C09E6" w14:textId="77777777" w:rsidR="001B11F7" w:rsidRDefault="001B11F7">
      <w:pPr>
        <w:widowControl w:val="0"/>
        <w:rPr>
          <w:sz w:val="22"/>
          <w:szCs w:val="22"/>
          <w:lang w:val="lt-LT" w:eastAsia="lt-LT"/>
        </w:rPr>
      </w:pPr>
    </w:p>
    <w:p w14:paraId="7EB4B436" w14:textId="77777777" w:rsidR="001B11F7" w:rsidRDefault="001B11F7">
      <w:pPr>
        <w:widowControl w:val="0"/>
        <w:rPr>
          <w:sz w:val="22"/>
          <w:szCs w:val="22"/>
          <w:lang w:val="lt-LT" w:eastAsia="lt-LT"/>
        </w:rPr>
      </w:pPr>
    </w:p>
    <w:p w14:paraId="75727EF7" w14:textId="77777777" w:rsidR="001B11F7" w:rsidRDefault="001B11F7">
      <w:pPr>
        <w:widowControl w:val="0"/>
        <w:rPr>
          <w:sz w:val="22"/>
          <w:szCs w:val="22"/>
          <w:lang w:val="lt-LT" w:eastAsia="lt-LT"/>
        </w:rPr>
      </w:pPr>
    </w:p>
    <w:p w14:paraId="447DB39B" w14:textId="77777777" w:rsidR="001B11F7" w:rsidRDefault="001B11F7">
      <w:pPr>
        <w:widowControl w:val="0"/>
        <w:rPr>
          <w:sz w:val="22"/>
          <w:szCs w:val="22"/>
          <w:lang w:val="lt-LT" w:eastAsia="lt-LT"/>
        </w:rPr>
      </w:pPr>
    </w:p>
    <w:p w14:paraId="25600E1D" w14:textId="77777777" w:rsidR="001B11F7" w:rsidRDefault="001B11F7">
      <w:pPr>
        <w:widowControl w:val="0"/>
        <w:rPr>
          <w:sz w:val="22"/>
          <w:szCs w:val="22"/>
          <w:lang w:val="lt-LT" w:eastAsia="lt-LT"/>
        </w:rPr>
      </w:pPr>
    </w:p>
    <w:p w14:paraId="710A28FA" w14:textId="77777777" w:rsidR="001B11F7" w:rsidRDefault="00B83885">
      <w:pPr>
        <w:widowControl w:val="0"/>
        <w:jc w:val="center"/>
        <w:outlineLvl w:val="0"/>
        <w:rPr>
          <w:b/>
          <w:kern w:val="28"/>
          <w:sz w:val="22"/>
          <w:szCs w:val="22"/>
          <w:lang w:val="lt-LT" w:eastAsia="lt-LT"/>
        </w:rPr>
      </w:pPr>
      <w:r>
        <w:rPr>
          <w:b/>
          <w:kern w:val="28"/>
          <w:sz w:val="22"/>
          <w:szCs w:val="22"/>
          <w:lang w:val="lt-LT" w:eastAsia="lt-LT"/>
        </w:rPr>
        <w:t>A. ŽENKLINIMAS</w:t>
      </w:r>
    </w:p>
    <w:p w14:paraId="2DD2F2BC" w14:textId="77777777" w:rsidR="001B11F7" w:rsidRDefault="00B83885">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Pr>
          <w:sz w:val="22"/>
          <w:szCs w:val="22"/>
          <w:lang w:val="lt-LT" w:eastAsia="lt-LT"/>
        </w:rPr>
        <w:br w:type="page"/>
      </w:r>
      <w:r>
        <w:rPr>
          <w:b/>
          <w:sz w:val="22"/>
          <w:szCs w:val="22"/>
          <w:lang w:val="lt-LT" w:eastAsia="lt-LT"/>
        </w:rPr>
        <w:lastRenderedPageBreak/>
        <w:t>INFORMACIJA ANT IŠORINĖS PAKUOTĖS</w:t>
      </w:r>
    </w:p>
    <w:p w14:paraId="10B6F024" w14:textId="77777777" w:rsidR="001B11F7" w:rsidRDefault="001B11F7">
      <w:pPr>
        <w:widowControl w:val="0"/>
        <w:pBdr>
          <w:top w:val="single" w:sz="4" w:space="1" w:color="auto"/>
          <w:left w:val="single" w:sz="4" w:space="4" w:color="auto"/>
          <w:bottom w:val="single" w:sz="4" w:space="1" w:color="auto"/>
          <w:right w:val="single" w:sz="4" w:space="4" w:color="auto"/>
        </w:pBdr>
        <w:ind w:left="567" w:hanging="567"/>
        <w:rPr>
          <w:b/>
          <w:sz w:val="22"/>
          <w:szCs w:val="22"/>
          <w:lang w:val="lt-LT" w:eastAsia="lt-LT"/>
        </w:rPr>
      </w:pPr>
    </w:p>
    <w:p w14:paraId="55274063" w14:textId="77777777" w:rsidR="001B11F7" w:rsidRDefault="00B83885">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Pr>
          <w:b/>
          <w:sz w:val="22"/>
          <w:szCs w:val="22"/>
          <w:lang w:val="lt-LT" w:eastAsia="lt-LT"/>
        </w:rPr>
        <w:t>KARTONO DĖŽUTĖ</w:t>
      </w:r>
    </w:p>
    <w:p w14:paraId="5DDDEF5A" w14:textId="77777777" w:rsidR="001B11F7" w:rsidRDefault="001B11F7">
      <w:pPr>
        <w:widowControl w:val="0"/>
        <w:rPr>
          <w:sz w:val="22"/>
          <w:szCs w:val="22"/>
          <w:lang w:val="lt-LT" w:eastAsia="lt-LT"/>
        </w:rPr>
      </w:pPr>
    </w:p>
    <w:p w14:paraId="26344449" w14:textId="77777777" w:rsidR="001B11F7" w:rsidRDefault="001B11F7">
      <w:pPr>
        <w:widowControl w:val="0"/>
        <w:rPr>
          <w:sz w:val="22"/>
          <w:szCs w:val="22"/>
          <w:lang w:val="lt-LT" w:eastAsia="lt-LT"/>
        </w:rPr>
      </w:pPr>
    </w:p>
    <w:p w14:paraId="3E2C7046"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1.</w:t>
      </w:r>
      <w:r>
        <w:rPr>
          <w:b/>
          <w:sz w:val="22"/>
          <w:szCs w:val="22"/>
          <w:lang w:val="lt-LT" w:eastAsia="lt-LT"/>
        </w:rPr>
        <w:tab/>
      </w:r>
      <w:r>
        <w:rPr>
          <w:b/>
          <w:caps/>
          <w:sz w:val="22"/>
          <w:szCs w:val="22"/>
          <w:lang w:val="lt-LT" w:eastAsia="lt-LT"/>
        </w:rPr>
        <w:t>VAISTINIO</w:t>
      </w:r>
      <w:r>
        <w:rPr>
          <w:b/>
          <w:sz w:val="22"/>
          <w:szCs w:val="22"/>
          <w:lang w:val="lt-LT" w:eastAsia="lt-LT"/>
        </w:rPr>
        <w:t xml:space="preserve"> PREPARATO PAVADINIMAS</w:t>
      </w:r>
    </w:p>
    <w:p w14:paraId="49DBF968" w14:textId="77777777" w:rsidR="001B11F7" w:rsidRDefault="001B11F7">
      <w:pPr>
        <w:widowControl w:val="0"/>
        <w:rPr>
          <w:sz w:val="22"/>
          <w:szCs w:val="22"/>
          <w:lang w:val="lt-LT" w:eastAsia="lt-LT"/>
        </w:rPr>
      </w:pPr>
    </w:p>
    <w:p w14:paraId="16FBEBAB" w14:textId="77777777" w:rsidR="001B11F7" w:rsidRDefault="00B83885">
      <w:pPr>
        <w:widowControl w:val="0"/>
        <w:rPr>
          <w:sz w:val="22"/>
          <w:szCs w:val="22"/>
          <w:lang w:val="lt-LT" w:eastAsia="lt-LT"/>
        </w:rPr>
      </w:pPr>
      <w:r>
        <w:rPr>
          <w:sz w:val="22"/>
          <w:szCs w:val="22"/>
          <w:lang w:val="lt-LT" w:eastAsia="lt-LT"/>
        </w:rPr>
        <w:t>Atoris 10 mg plėvele dengtos tabletės</w:t>
      </w:r>
    </w:p>
    <w:p w14:paraId="598CAD47" w14:textId="77777777" w:rsidR="001B11F7" w:rsidRDefault="00B83885">
      <w:pPr>
        <w:widowControl w:val="0"/>
        <w:rPr>
          <w:sz w:val="22"/>
          <w:highlight w:val="lightGray"/>
          <w:lang w:val="lt-LT"/>
        </w:rPr>
      </w:pPr>
      <w:r>
        <w:rPr>
          <w:sz w:val="22"/>
          <w:highlight w:val="lightGray"/>
          <w:lang w:val="lt-LT"/>
        </w:rPr>
        <w:t>Atoris 20 mg plėvele dengtos tabletės</w:t>
      </w:r>
    </w:p>
    <w:p w14:paraId="04E05271" w14:textId="77777777" w:rsidR="001B11F7" w:rsidRDefault="00B83885">
      <w:pPr>
        <w:widowControl w:val="0"/>
        <w:rPr>
          <w:sz w:val="22"/>
          <w:szCs w:val="22"/>
          <w:lang w:val="lt-LT" w:eastAsia="lt-LT"/>
        </w:rPr>
      </w:pPr>
      <w:r>
        <w:rPr>
          <w:sz w:val="22"/>
          <w:highlight w:val="lightGray"/>
          <w:lang w:val="lt-LT"/>
        </w:rPr>
        <w:t>Atoris 40 mg plėvele dengtos tabletės</w:t>
      </w:r>
    </w:p>
    <w:p w14:paraId="2CC75DC4" w14:textId="77777777" w:rsidR="001B11F7" w:rsidRDefault="001B11F7">
      <w:pPr>
        <w:widowControl w:val="0"/>
        <w:rPr>
          <w:sz w:val="22"/>
          <w:szCs w:val="22"/>
          <w:lang w:val="lt-LT" w:eastAsia="lt-LT"/>
        </w:rPr>
      </w:pPr>
    </w:p>
    <w:p w14:paraId="77650230" w14:textId="77777777" w:rsidR="001B11F7" w:rsidRDefault="00B83885">
      <w:pPr>
        <w:widowControl w:val="0"/>
        <w:rPr>
          <w:sz w:val="22"/>
          <w:szCs w:val="22"/>
          <w:lang w:val="lt-LT" w:eastAsia="lt-LT"/>
        </w:rPr>
      </w:pPr>
      <w:r>
        <w:rPr>
          <w:sz w:val="22"/>
          <w:szCs w:val="22"/>
          <w:lang w:val="lt-LT" w:eastAsia="lt-LT"/>
        </w:rPr>
        <w:t>atorvastatinas</w:t>
      </w:r>
    </w:p>
    <w:p w14:paraId="7911F168" w14:textId="77777777" w:rsidR="001B11F7" w:rsidRDefault="001B11F7">
      <w:pPr>
        <w:widowControl w:val="0"/>
        <w:rPr>
          <w:sz w:val="22"/>
          <w:szCs w:val="22"/>
          <w:lang w:val="lt-LT" w:eastAsia="lt-LT"/>
        </w:rPr>
      </w:pPr>
    </w:p>
    <w:p w14:paraId="40671A4B" w14:textId="77777777" w:rsidR="001B11F7" w:rsidRDefault="001B11F7">
      <w:pPr>
        <w:widowControl w:val="0"/>
        <w:rPr>
          <w:sz w:val="22"/>
          <w:szCs w:val="22"/>
          <w:lang w:val="lt-LT" w:eastAsia="lt-LT"/>
        </w:rPr>
      </w:pPr>
    </w:p>
    <w:p w14:paraId="4E687E4B"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b/>
          <w:sz w:val="22"/>
          <w:szCs w:val="22"/>
          <w:lang w:val="lt-LT" w:eastAsia="lt-LT"/>
        </w:rPr>
      </w:pPr>
      <w:r>
        <w:rPr>
          <w:b/>
          <w:sz w:val="22"/>
          <w:szCs w:val="22"/>
          <w:lang w:val="lt-LT" w:eastAsia="lt-LT"/>
        </w:rPr>
        <w:t>2.</w:t>
      </w:r>
      <w:r>
        <w:rPr>
          <w:b/>
          <w:sz w:val="22"/>
          <w:szCs w:val="22"/>
          <w:lang w:val="lt-LT" w:eastAsia="lt-LT"/>
        </w:rPr>
        <w:tab/>
        <w:t>VEIKLIOJI (-IOS) MEDŽIAGA (-OS) IR JOS (-Ų) KIEKIS (-IAI)</w:t>
      </w:r>
    </w:p>
    <w:p w14:paraId="19C1F54A" w14:textId="77777777" w:rsidR="001B11F7" w:rsidRDefault="001B11F7">
      <w:pPr>
        <w:widowControl w:val="0"/>
        <w:rPr>
          <w:sz w:val="22"/>
          <w:szCs w:val="22"/>
          <w:lang w:val="lt-LT" w:eastAsia="lt-LT"/>
        </w:rPr>
      </w:pPr>
    </w:p>
    <w:p w14:paraId="40EBDCE4" w14:textId="77777777" w:rsidR="001B11F7" w:rsidRDefault="00B83885">
      <w:pPr>
        <w:widowControl w:val="0"/>
        <w:rPr>
          <w:sz w:val="22"/>
          <w:szCs w:val="22"/>
          <w:lang w:val="lt-LT" w:eastAsia="lt-LT"/>
        </w:rPr>
      </w:pPr>
      <w:r>
        <w:rPr>
          <w:sz w:val="22"/>
          <w:szCs w:val="22"/>
          <w:lang w:val="lt-LT" w:eastAsia="lt-LT"/>
        </w:rPr>
        <w:t>Kiekvienoje plėvele dengtoje tabletėje yra 10 mg atorvastatino (</w:t>
      </w:r>
      <w:r>
        <w:rPr>
          <w:sz w:val="22"/>
          <w:szCs w:val="22"/>
          <w:lang w:val="lt-LT" w:eastAsia="en-US"/>
        </w:rPr>
        <w:t>10</w:t>
      </w:r>
      <w:r>
        <w:rPr>
          <w:iCs/>
          <w:color w:val="000000"/>
          <w:sz w:val="22"/>
          <w:szCs w:val="22"/>
          <w:lang w:val="lt-LT" w:eastAsia="en-US"/>
        </w:rPr>
        <w:t xml:space="preserve">,36 mg </w:t>
      </w:r>
      <w:r>
        <w:rPr>
          <w:sz w:val="22"/>
          <w:szCs w:val="22"/>
          <w:lang w:val="lt-LT" w:eastAsia="lt-LT"/>
        </w:rPr>
        <w:t>atorvastatino kalcio druskos pavidalu).</w:t>
      </w:r>
    </w:p>
    <w:p w14:paraId="3385FBD5" w14:textId="77777777" w:rsidR="001B11F7" w:rsidRDefault="00B83885">
      <w:pPr>
        <w:widowControl w:val="0"/>
        <w:rPr>
          <w:sz w:val="22"/>
          <w:highlight w:val="lightGray"/>
          <w:lang w:val="lt-LT"/>
        </w:rPr>
      </w:pPr>
      <w:r>
        <w:rPr>
          <w:sz w:val="22"/>
          <w:highlight w:val="lightGray"/>
          <w:lang w:val="lt-LT"/>
        </w:rPr>
        <w:t>Kiekvienoje plėvele dengtoje tabletėje yra 20 mg atorvastatino (</w:t>
      </w:r>
      <w:r>
        <w:rPr>
          <w:color w:val="000000"/>
          <w:sz w:val="22"/>
          <w:highlight w:val="lightGray"/>
          <w:lang w:val="lt-LT"/>
        </w:rPr>
        <w:t xml:space="preserve">20,72 mg </w:t>
      </w:r>
      <w:r>
        <w:rPr>
          <w:sz w:val="22"/>
          <w:highlight w:val="lightGray"/>
          <w:lang w:val="lt-LT"/>
        </w:rPr>
        <w:t>atorvastatino kalcio druskos pavidalu).</w:t>
      </w:r>
    </w:p>
    <w:p w14:paraId="361AEE86" w14:textId="77777777" w:rsidR="001B11F7" w:rsidRDefault="00B83885">
      <w:pPr>
        <w:widowControl w:val="0"/>
        <w:rPr>
          <w:sz w:val="22"/>
          <w:szCs w:val="22"/>
          <w:lang w:val="lt-LT" w:eastAsia="lt-LT"/>
        </w:rPr>
      </w:pPr>
      <w:r>
        <w:rPr>
          <w:sz w:val="22"/>
          <w:highlight w:val="lightGray"/>
          <w:lang w:val="lt-LT"/>
        </w:rPr>
        <w:t>Kiekvienoje plėvele dengtoje tabletėje yra 40 mg atorvastatino (4</w:t>
      </w:r>
      <w:r>
        <w:rPr>
          <w:color w:val="000000"/>
          <w:sz w:val="22"/>
          <w:highlight w:val="lightGray"/>
          <w:lang w:val="lt-LT"/>
        </w:rPr>
        <w:t xml:space="preserve">1,44 mg </w:t>
      </w:r>
      <w:r>
        <w:rPr>
          <w:sz w:val="22"/>
          <w:highlight w:val="lightGray"/>
          <w:lang w:val="lt-LT"/>
        </w:rPr>
        <w:t>atorvastatino kalcio druskos pavidalu).</w:t>
      </w:r>
    </w:p>
    <w:p w14:paraId="423D63D8" w14:textId="77777777" w:rsidR="001B11F7" w:rsidRDefault="001B11F7">
      <w:pPr>
        <w:widowControl w:val="0"/>
        <w:rPr>
          <w:sz w:val="22"/>
          <w:szCs w:val="22"/>
          <w:lang w:val="lt-LT" w:eastAsia="lt-LT"/>
        </w:rPr>
      </w:pPr>
    </w:p>
    <w:p w14:paraId="482C3527" w14:textId="77777777" w:rsidR="001B11F7" w:rsidRDefault="001B11F7">
      <w:pPr>
        <w:widowControl w:val="0"/>
        <w:rPr>
          <w:sz w:val="22"/>
          <w:szCs w:val="22"/>
          <w:lang w:val="lt-LT" w:eastAsia="lt-LT"/>
        </w:rPr>
      </w:pPr>
    </w:p>
    <w:p w14:paraId="62FFF148"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3.</w:t>
      </w:r>
      <w:r>
        <w:rPr>
          <w:b/>
          <w:sz w:val="22"/>
          <w:szCs w:val="22"/>
          <w:lang w:val="lt-LT" w:eastAsia="lt-LT"/>
        </w:rPr>
        <w:tab/>
        <w:t>PAGALBINIŲ MEDŽIAGŲ SĄRAŠAS</w:t>
      </w:r>
    </w:p>
    <w:p w14:paraId="0FD84860" w14:textId="77777777" w:rsidR="001B11F7" w:rsidRDefault="001B11F7">
      <w:pPr>
        <w:widowControl w:val="0"/>
        <w:rPr>
          <w:sz w:val="22"/>
          <w:szCs w:val="22"/>
          <w:lang w:val="lt-LT" w:eastAsia="lt-LT"/>
        </w:rPr>
      </w:pPr>
    </w:p>
    <w:p w14:paraId="775D4FF5" w14:textId="77777777" w:rsidR="001B11F7" w:rsidRDefault="00B83885">
      <w:pPr>
        <w:widowControl w:val="0"/>
        <w:rPr>
          <w:sz w:val="22"/>
          <w:szCs w:val="22"/>
          <w:lang w:val="lt-LT" w:eastAsia="lt-LT"/>
        </w:rPr>
      </w:pPr>
      <w:r>
        <w:rPr>
          <w:sz w:val="22"/>
          <w:szCs w:val="22"/>
          <w:lang w:val="lt-LT" w:eastAsia="lt-LT"/>
        </w:rPr>
        <w:t>Pagalbinės medžiagos:</w:t>
      </w:r>
      <w:r>
        <w:rPr>
          <w:i/>
          <w:sz w:val="22"/>
          <w:szCs w:val="22"/>
          <w:lang w:val="lt-LT" w:eastAsia="lt-LT"/>
        </w:rPr>
        <w:t xml:space="preserve"> </w:t>
      </w:r>
      <w:r>
        <w:rPr>
          <w:sz w:val="22"/>
          <w:szCs w:val="22"/>
          <w:lang w:val="lt-LT" w:eastAsia="lt-LT"/>
        </w:rPr>
        <w:t>laktozė monohidratas</w:t>
      </w:r>
    </w:p>
    <w:p w14:paraId="51D155FA" w14:textId="77777777" w:rsidR="001B11F7" w:rsidRDefault="00B83885">
      <w:pPr>
        <w:widowControl w:val="0"/>
        <w:rPr>
          <w:sz w:val="22"/>
          <w:szCs w:val="22"/>
          <w:lang w:val="lt-LT" w:eastAsia="en-US"/>
        </w:rPr>
      </w:pPr>
      <w:r>
        <w:rPr>
          <w:sz w:val="22"/>
          <w:szCs w:val="22"/>
          <w:lang w:val="lt-LT" w:eastAsia="en-US"/>
        </w:rPr>
        <w:t>Daugiau informacijos pateikta pakuotės lapelyje.</w:t>
      </w:r>
    </w:p>
    <w:p w14:paraId="66DC27EB" w14:textId="77777777" w:rsidR="001B11F7" w:rsidRDefault="001B11F7">
      <w:pPr>
        <w:widowControl w:val="0"/>
        <w:rPr>
          <w:sz w:val="22"/>
          <w:szCs w:val="22"/>
          <w:lang w:val="lt-LT" w:eastAsia="lt-LT"/>
        </w:rPr>
      </w:pPr>
    </w:p>
    <w:p w14:paraId="26F442E1" w14:textId="77777777" w:rsidR="001B11F7" w:rsidRDefault="001B11F7">
      <w:pPr>
        <w:widowControl w:val="0"/>
        <w:rPr>
          <w:sz w:val="22"/>
          <w:szCs w:val="22"/>
          <w:lang w:val="lt-LT" w:eastAsia="lt-LT"/>
        </w:rPr>
      </w:pPr>
    </w:p>
    <w:p w14:paraId="03B689C8"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4.</w:t>
      </w:r>
      <w:r>
        <w:rPr>
          <w:b/>
          <w:sz w:val="22"/>
          <w:szCs w:val="22"/>
          <w:lang w:val="lt-LT" w:eastAsia="lt-LT"/>
        </w:rPr>
        <w:tab/>
        <w:t>FARMACINĖ FORMA IR KIEKIS PAKUOTĖJE</w:t>
      </w:r>
    </w:p>
    <w:p w14:paraId="0CD0818B" w14:textId="77777777" w:rsidR="001B11F7" w:rsidRDefault="001B11F7">
      <w:pPr>
        <w:widowControl w:val="0"/>
        <w:rPr>
          <w:sz w:val="22"/>
          <w:szCs w:val="22"/>
          <w:lang w:val="lt-LT" w:eastAsia="lt-LT"/>
        </w:rPr>
      </w:pPr>
    </w:p>
    <w:p w14:paraId="36067AB4" w14:textId="77777777" w:rsidR="001B11F7" w:rsidRDefault="00B83885">
      <w:pPr>
        <w:widowControl w:val="0"/>
        <w:rPr>
          <w:sz w:val="22"/>
          <w:szCs w:val="22"/>
          <w:lang w:val="lt-LT" w:eastAsia="lt-LT"/>
        </w:rPr>
      </w:pPr>
      <w:r>
        <w:rPr>
          <w:sz w:val="22"/>
          <w:szCs w:val="22"/>
          <w:highlight w:val="lightGray"/>
          <w:lang w:val="lt-LT"/>
        </w:rPr>
        <w:t>Plėvele dengta tabletė</w:t>
      </w:r>
    </w:p>
    <w:p w14:paraId="319E10A0" w14:textId="77777777" w:rsidR="001B11F7" w:rsidRDefault="001B11F7">
      <w:pPr>
        <w:widowControl w:val="0"/>
        <w:rPr>
          <w:sz w:val="22"/>
          <w:szCs w:val="22"/>
          <w:lang w:val="lt-LT" w:eastAsia="lt-LT"/>
        </w:rPr>
      </w:pPr>
    </w:p>
    <w:p w14:paraId="17F09DAC" w14:textId="77777777" w:rsidR="001B11F7" w:rsidRDefault="00B83885">
      <w:pPr>
        <w:widowControl w:val="0"/>
        <w:rPr>
          <w:sz w:val="22"/>
          <w:szCs w:val="22"/>
          <w:lang w:val="lt-LT" w:eastAsia="lt-LT"/>
        </w:rPr>
      </w:pPr>
      <w:r>
        <w:rPr>
          <w:sz w:val="22"/>
          <w:szCs w:val="22"/>
          <w:lang w:val="lt-LT" w:eastAsia="lt-LT"/>
        </w:rPr>
        <w:t>30 plėvele dengtų tablečių</w:t>
      </w:r>
    </w:p>
    <w:p w14:paraId="04DD9745" w14:textId="77777777" w:rsidR="001B11F7" w:rsidRDefault="001B11F7">
      <w:pPr>
        <w:widowControl w:val="0"/>
        <w:rPr>
          <w:sz w:val="22"/>
          <w:szCs w:val="22"/>
          <w:lang w:val="lt-LT" w:eastAsia="lt-LT"/>
        </w:rPr>
      </w:pPr>
    </w:p>
    <w:p w14:paraId="4400E5FE" w14:textId="77777777" w:rsidR="001B11F7" w:rsidRDefault="001B11F7">
      <w:pPr>
        <w:widowControl w:val="0"/>
        <w:rPr>
          <w:sz w:val="22"/>
          <w:szCs w:val="22"/>
          <w:lang w:val="lt-LT" w:eastAsia="lt-LT"/>
        </w:rPr>
      </w:pPr>
    </w:p>
    <w:p w14:paraId="71841664"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5.</w:t>
      </w:r>
      <w:r>
        <w:rPr>
          <w:b/>
          <w:sz w:val="22"/>
          <w:szCs w:val="22"/>
          <w:lang w:val="lt-LT" w:eastAsia="lt-LT"/>
        </w:rPr>
        <w:tab/>
        <w:t>VARTOJIMO METODAS IR BŪDAS (-AI)</w:t>
      </w:r>
    </w:p>
    <w:p w14:paraId="735BE15A" w14:textId="77777777" w:rsidR="001B11F7" w:rsidRDefault="001B11F7">
      <w:pPr>
        <w:widowControl w:val="0"/>
        <w:rPr>
          <w:sz w:val="22"/>
          <w:szCs w:val="22"/>
          <w:lang w:val="lt-LT" w:eastAsia="lt-LT"/>
        </w:rPr>
      </w:pPr>
    </w:p>
    <w:p w14:paraId="26E1309C" w14:textId="77777777" w:rsidR="001B11F7" w:rsidRDefault="00B83885">
      <w:pPr>
        <w:widowControl w:val="0"/>
        <w:rPr>
          <w:sz w:val="22"/>
          <w:szCs w:val="22"/>
          <w:lang w:val="lt-LT" w:eastAsia="lt-LT"/>
        </w:rPr>
      </w:pPr>
      <w:r>
        <w:rPr>
          <w:sz w:val="22"/>
          <w:szCs w:val="22"/>
          <w:lang w:val="lt-LT" w:eastAsia="lt-LT"/>
        </w:rPr>
        <w:t>Vartoti per burną.</w:t>
      </w:r>
    </w:p>
    <w:p w14:paraId="28128E57" w14:textId="77777777" w:rsidR="001B11F7" w:rsidRDefault="00B83885">
      <w:pPr>
        <w:widowControl w:val="0"/>
        <w:rPr>
          <w:sz w:val="22"/>
          <w:szCs w:val="22"/>
          <w:lang w:val="lt-LT" w:eastAsia="lt-LT"/>
        </w:rPr>
      </w:pPr>
      <w:r>
        <w:rPr>
          <w:sz w:val="22"/>
          <w:szCs w:val="22"/>
          <w:lang w:val="lt-LT" w:eastAsia="lt-LT"/>
        </w:rPr>
        <w:t>Prieš vartojimą perskaitykite pakuotės lapelį.</w:t>
      </w:r>
    </w:p>
    <w:p w14:paraId="6AEB65E3" w14:textId="77777777" w:rsidR="001B11F7" w:rsidRDefault="001B11F7">
      <w:pPr>
        <w:widowControl w:val="0"/>
        <w:rPr>
          <w:sz w:val="22"/>
          <w:szCs w:val="22"/>
          <w:lang w:val="lt-LT" w:eastAsia="lt-LT"/>
        </w:rPr>
      </w:pPr>
    </w:p>
    <w:p w14:paraId="63B09DD7" w14:textId="77777777" w:rsidR="001B11F7" w:rsidRDefault="001B11F7">
      <w:pPr>
        <w:widowControl w:val="0"/>
        <w:rPr>
          <w:sz w:val="22"/>
          <w:szCs w:val="22"/>
          <w:lang w:val="lt-LT" w:eastAsia="lt-LT"/>
        </w:rPr>
      </w:pPr>
    </w:p>
    <w:p w14:paraId="09A41BFF"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6.</w:t>
      </w:r>
      <w:r>
        <w:rPr>
          <w:b/>
          <w:sz w:val="22"/>
          <w:szCs w:val="22"/>
          <w:lang w:val="lt-LT" w:eastAsia="lt-LT"/>
        </w:rPr>
        <w:tab/>
        <w:t>SPECIALUS ĮSPĖJIMAS, KAD VAISTINĮ PREPARATĄ BŪTINA LAIKYTI VAIKAMS NEPASTEBIMOJE IR NEPASIEKIAMOJE VIETOJE</w:t>
      </w:r>
    </w:p>
    <w:p w14:paraId="77D2C5C6" w14:textId="77777777" w:rsidR="001B11F7" w:rsidRDefault="001B11F7">
      <w:pPr>
        <w:widowControl w:val="0"/>
        <w:rPr>
          <w:sz w:val="22"/>
          <w:szCs w:val="22"/>
          <w:lang w:val="lt-LT" w:eastAsia="lt-LT"/>
        </w:rPr>
      </w:pPr>
    </w:p>
    <w:p w14:paraId="6BFA2959" w14:textId="77777777" w:rsidR="001B11F7" w:rsidRDefault="00B83885">
      <w:pPr>
        <w:widowControl w:val="0"/>
        <w:rPr>
          <w:sz w:val="22"/>
          <w:szCs w:val="22"/>
          <w:lang w:val="lt-LT" w:eastAsia="lt-LT"/>
        </w:rPr>
      </w:pPr>
      <w:r>
        <w:rPr>
          <w:sz w:val="22"/>
          <w:szCs w:val="22"/>
          <w:lang w:val="lt-LT" w:eastAsia="lt-LT"/>
        </w:rPr>
        <w:t>Laikyti vaikams nepastebimoje ir nepasiekiamoje vietoje.</w:t>
      </w:r>
    </w:p>
    <w:p w14:paraId="7711353D" w14:textId="77777777" w:rsidR="001B11F7" w:rsidRDefault="001B11F7">
      <w:pPr>
        <w:widowControl w:val="0"/>
        <w:rPr>
          <w:sz w:val="22"/>
          <w:szCs w:val="22"/>
          <w:lang w:val="lt-LT" w:eastAsia="lt-LT"/>
        </w:rPr>
      </w:pPr>
    </w:p>
    <w:p w14:paraId="6A345361" w14:textId="77777777" w:rsidR="001B11F7" w:rsidRDefault="001B11F7">
      <w:pPr>
        <w:widowControl w:val="0"/>
        <w:rPr>
          <w:sz w:val="22"/>
          <w:szCs w:val="22"/>
          <w:lang w:val="lt-LT" w:eastAsia="lt-LT"/>
        </w:rPr>
      </w:pPr>
    </w:p>
    <w:p w14:paraId="746F9191"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7.</w:t>
      </w:r>
      <w:r>
        <w:rPr>
          <w:b/>
          <w:sz w:val="22"/>
          <w:szCs w:val="22"/>
          <w:lang w:val="lt-LT" w:eastAsia="lt-LT"/>
        </w:rPr>
        <w:tab/>
        <w:t>KITAS (-I) SPECIALUS (-ŪS) ĮSPĖJIMAS (-AI) (JEI REIKIA)</w:t>
      </w:r>
    </w:p>
    <w:p w14:paraId="77306600" w14:textId="77777777" w:rsidR="001B11F7" w:rsidRDefault="001B11F7">
      <w:pPr>
        <w:widowControl w:val="0"/>
        <w:rPr>
          <w:sz w:val="22"/>
          <w:szCs w:val="22"/>
          <w:lang w:val="lt-LT" w:eastAsia="lt-LT"/>
        </w:rPr>
      </w:pPr>
    </w:p>
    <w:p w14:paraId="16C617CC" w14:textId="77777777" w:rsidR="001B11F7" w:rsidRDefault="001B11F7">
      <w:pPr>
        <w:widowControl w:val="0"/>
        <w:rPr>
          <w:sz w:val="22"/>
          <w:szCs w:val="22"/>
          <w:lang w:val="lt-LT" w:eastAsia="lt-LT"/>
        </w:rPr>
      </w:pPr>
    </w:p>
    <w:p w14:paraId="488BA215"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8.</w:t>
      </w:r>
      <w:r>
        <w:rPr>
          <w:b/>
          <w:sz w:val="22"/>
          <w:szCs w:val="22"/>
          <w:lang w:val="lt-LT" w:eastAsia="lt-LT"/>
        </w:rPr>
        <w:tab/>
        <w:t>TINKAMUMO LAIKAS</w:t>
      </w:r>
    </w:p>
    <w:p w14:paraId="2FD5E994" w14:textId="77777777" w:rsidR="001B11F7" w:rsidRDefault="001B11F7">
      <w:pPr>
        <w:widowControl w:val="0"/>
        <w:rPr>
          <w:sz w:val="22"/>
          <w:szCs w:val="22"/>
          <w:lang w:val="lt-LT" w:eastAsia="lt-LT"/>
        </w:rPr>
      </w:pPr>
    </w:p>
    <w:p w14:paraId="3C6EA676" w14:textId="77777777" w:rsidR="001B11F7" w:rsidRDefault="00B83885">
      <w:pPr>
        <w:widowControl w:val="0"/>
        <w:rPr>
          <w:sz w:val="22"/>
          <w:szCs w:val="22"/>
          <w:lang w:val="lt-LT" w:eastAsia="lt-LT"/>
        </w:rPr>
      </w:pPr>
      <w:r>
        <w:rPr>
          <w:sz w:val="22"/>
          <w:szCs w:val="22"/>
          <w:lang w:val="lt-LT" w:eastAsia="lt-LT"/>
        </w:rPr>
        <w:lastRenderedPageBreak/>
        <w:t>EXP (mm/MMMM)</w:t>
      </w:r>
    </w:p>
    <w:p w14:paraId="7BF4D295" w14:textId="77777777" w:rsidR="001B11F7" w:rsidRDefault="00B83885">
      <w:pPr>
        <w:widowControl w:val="0"/>
        <w:rPr>
          <w:sz w:val="22"/>
          <w:szCs w:val="22"/>
          <w:lang w:val="lt-LT" w:eastAsia="lt-LT"/>
        </w:rPr>
      </w:pPr>
      <w:r>
        <w:rPr>
          <w:sz w:val="22"/>
          <w:szCs w:val="22"/>
          <w:highlight w:val="lightGray"/>
          <w:lang w:val="lt-LT"/>
        </w:rPr>
        <w:t>Tinka iki (mm/MMMM)</w:t>
      </w:r>
    </w:p>
    <w:p w14:paraId="7A3F9689" w14:textId="77777777" w:rsidR="001B11F7" w:rsidRDefault="001B11F7">
      <w:pPr>
        <w:widowControl w:val="0"/>
        <w:rPr>
          <w:sz w:val="22"/>
          <w:szCs w:val="22"/>
          <w:lang w:val="lt-LT" w:eastAsia="lt-LT"/>
        </w:rPr>
      </w:pPr>
    </w:p>
    <w:p w14:paraId="747F0213" w14:textId="77777777" w:rsidR="001B11F7" w:rsidRDefault="001B11F7">
      <w:pPr>
        <w:widowControl w:val="0"/>
        <w:rPr>
          <w:sz w:val="22"/>
          <w:szCs w:val="22"/>
          <w:lang w:val="lt-LT" w:eastAsia="lt-LT"/>
        </w:rPr>
      </w:pPr>
    </w:p>
    <w:p w14:paraId="477F79EE" w14:textId="77777777" w:rsidR="001B11F7" w:rsidRDefault="00B83885">
      <w:pPr>
        <w:widowControl w:val="0"/>
        <w:pBdr>
          <w:top w:val="single" w:sz="4" w:space="1" w:color="auto"/>
          <w:left w:val="single" w:sz="4" w:space="4" w:color="auto"/>
          <w:bottom w:val="single" w:sz="4" w:space="1" w:color="auto"/>
          <w:right w:val="single" w:sz="4" w:space="4" w:color="auto"/>
        </w:pBdr>
        <w:ind w:left="567" w:hanging="567"/>
        <w:outlineLvl w:val="0"/>
        <w:rPr>
          <w:sz w:val="22"/>
          <w:szCs w:val="22"/>
          <w:lang w:val="lt-LT" w:eastAsia="lt-LT"/>
        </w:rPr>
      </w:pPr>
      <w:r>
        <w:rPr>
          <w:b/>
          <w:sz w:val="22"/>
          <w:szCs w:val="22"/>
          <w:lang w:val="lt-LT" w:eastAsia="lt-LT"/>
        </w:rPr>
        <w:t>9.</w:t>
      </w:r>
      <w:r>
        <w:rPr>
          <w:b/>
          <w:sz w:val="22"/>
          <w:szCs w:val="22"/>
          <w:lang w:val="lt-LT" w:eastAsia="lt-LT"/>
        </w:rPr>
        <w:tab/>
        <w:t>SPECIALIOS LAIKYMO SĄLYGOS</w:t>
      </w:r>
    </w:p>
    <w:p w14:paraId="00757003" w14:textId="77777777" w:rsidR="001B11F7" w:rsidRDefault="001B11F7">
      <w:pPr>
        <w:widowControl w:val="0"/>
        <w:rPr>
          <w:sz w:val="22"/>
          <w:szCs w:val="22"/>
          <w:lang w:val="lt-LT" w:eastAsia="lt-LT"/>
        </w:rPr>
      </w:pPr>
    </w:p>
    <w:p w14:paraId="3456E0AF" w14:textId="77777777" w:rsidR="001B11F7" w:rsidRDefault="00B83885">
      <w:pPr>
        <w:widowControl w:val="0"/>
        <w:rPr>
          <w:sz w:val="22"/>
          <w:szCs w:val="22"/>
          <w:lang w:val="lt-LT" w:eastAsia="lt-LT"/>
        </w:rPr>
      </w:pPr>
      <w:r>
        <w:rPr>
          <w:sz w:val="22"/>
          <w:szCs w:val="22"/>
          <w:lang w:val="lt-LT" w:eastAsia="lt-LT"/>
        </w:rPr>
        <w:t>Laikyti ne aukštesnėje kaip 25 </w:t>
      </w:r>
      <w:r>
        <w:rPr>
          <w:sz w:val="22"/>
          <w:szCs w:val="22"/>
          <w:lang w:val="lt-LT" w:eastAsia="lt-LT"/>
        </w:rPr>
        <w:sym w:font="Symbol" w:char="F0B0"/>
      </w:r>
      <w:r>
        <w:rPr>
          <w:sz w:val="22"/>
          <w:szCs w:val="22"/>
          <w:lang w:val="lt-LT" w:eastAsia="lt-LT"/>
        </w:rPr>
        <w:t>C temperatūroje.</w:t>
      </w:r>
    </w:p>
    <w:p w14:paraId="03F658E5" w14:textId="77777777" w:rsidR="001B11F7" w:rsidRDefault="001B11F7">
      <w:pPr>
        <w:widowControl w:val="0"/>
        <w:rPr>
          <w:sz w:val="22"/>
          <w:szCs w:val="22"/>
          <w:lang w:val="lt-LT" w:eastAsia="lt-LT"/>
        </w:rPr>
      </w:pPr>
    </w:p>
    <w:p w14:paraId="1CBCF477" w14:textId="77777777" w:rsidR="001B11F7" w:rsidRDefault="001B11F7">
      <w:pPr>
        <w:widowControl w:val="0"/>
        <w:rPr>
          <w:sz w:val="22"/>
          <w:szCs w:val="22"/>
          <w:lang w:val="lt-LT" w:eastAsia="lt-LT"/>
        </w:rPr>
      </w:pPr>
    </w:p>
    <w:p w14:paraId="17FB3BF5"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10.</w:t>
      </w:r>
      <w:r>
        <w:rPr>
          <w:b/>
          <w:sz w:val="22"/>
          <w:szCs w:val="22"/>
          <w:lang w:val="lt-LT" w:eastAsia="lt-LT"/>
        </w:rPr>
        <w:tab/>
        <w:t>SPECIALIOS ATSARGUMO PRIEMONĖS DĖL NESUVARTOTO VAISTINIO PREPARATO AR JO ATLIEKŲ TVARKYMO (JEI REIKIA)</w:t>
      </w:r>
    </w:p>
    <w:p w14:paraId="1C37E31C" w14:textId="77777777" w:rsidR="001B11F7" w:rsidRDefault="001B11F7">
      <w:pPr>
        <w:widowControl w:val="0"/>
        <w:rPr>
          <w:sz w:val="22"/>
          <w:szCs w:val="22"/>
          <w:lang w:val="lt-LT" w:eastAsia="lt-LT"/>
        </w:rPr>
      </w:pPr>
    </w:p>
    <w:p w14:paraId="271074BD" w14:textId="77777777" w:rsidR="001B11F7" w:rsidRDefault="001B11F7">
      <w:pPr>
        <w:widowControl w:val="0"/>
        <w:rPr>
          <w:sz w:val="22"/>
          <w:szCs w:val="22"/>
          <w:lang w:val="lt-LT" w:eastAsia="lt-LT"/>
        </w:rPr>
      </w:pPr>
    </w:p>
    <w:p w14:paraId="3D5B4466"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11.</w:t>
      </w:r>
      <w:r>
        <w:rPr>
          <w:b/>
          <w:sz w:val="22"/>
          <w:szCs w:val="22"/>
          <w:lang w:val="lt-LT" w:eastAsia="lt-LT"/>
        </w:rPr>
        <w:tab/>
      </w:r>
      <w:r>
        <w:rPr>
          <w:b/>
          <w:caps/>
          <w:sz w:val="22"/>
          <w:szCs w:val="22"/>
          <w:lang w:val="lt-LT" w:eastAsia="lt-LT"/>
        </w:rPr>
        <w:t>REGISTRUOTOJO PAVADINIMAS IR ADRESAS</w:t>
      </w:r>
    </w:p>
    <w:p w14:paraId="715BD50E" w14:textId="77777777" w:rsidR="001B11F7" w:rsidRDefault="001B11F7">
      <w:pPr>
        <w:widowControl w:val="0"/>
        <w:rPr>
          <w:sz w:val="22"/>
          <w:szCs w:val="22"/>
          <w:lang w:val="lt-LT" w:eastAsia="lt-LT"/>
        </w:rPr>
      </w:pPr>
    </w:p>
    <w:p w14:paraId="6B097411" w14:textId="77777777" w:rsidR="001B11F7" w:rsidRDefault="00B83885">
      <w:pPr>
        <w:widowControl w:val="0"/>
        <w:rPr>
          <w:sz w:val="22"/>
          <w:szCs w:val="22"/>
          <w:lang w:val="lt-LT" w:eastAsia="lt-LT"/>
        </w:rPr>
      </w:pPr>
      <w:r>
        <w:rPr>
          <w:sz w:val="22"/>
          <w:szCs w:val="22"/>
          <w:lang w:val="lt-LT" w:eastAsia="lt-LT"/>
        </w:rPr>
        <w:t>KRKA, d.d., Novo mesto</w:t>
      </w:r>
    </w:p>
    <w:p w14:paraId="64B6A549" w14:textId="77777777" w:rsidR="001B11F7" w:rsidRDefault="00B83885">
      <w:pPr>
        <w:widowControl w:val="0"/>
        <w:rPr>
          <w:sz w:val="22"/>
          <w:szCs w:val="22"/>
          <w:lang w:val="lt-LT" w:eastAsia="lt-LT"/>
        </w:rPr>
      </w:pPr>
      <w:r>
        <w:rPr>
          <w:sz w:val="22"/>
          <w:szCs w:val="22"/>
          <w:lang w:val="lt-LT" w:eastAsia="lt-LT"/>
        </w:rPr>
        <w:t>Šmarješka cesta 6</w:t>
      </w:r>
    </w:p>
    <w:p w14:paraId="4DEFDE20" w14:textId="77777777" w:rsidR="001B11F7" w:rsidRDefault="00B83885">
      <w:pPr>
        <w:widowControl w:val="0"/>
        <w:rPr>
          <w:sz w:val="22"/>
          <w:szCs w:val="22"/>
          <w:lang w:val="lt-LT" w:eastAsia="lt-LT"/>
        </w:rPr>
      </w:pPr>
      <w:r>
        <w:rPr>
          <w:sz w:val="22"/>
          <w:szCs w:val="22"/>
          <w:lang w:val="lt-LT" w:eastAsia="lt-LT"/>
        </w:rPr>
        <w:t>8501 Novo mesto</w:t>
      </w:r>
    </w:p>
    <w:p w14:paraId="06294E17" w14:textId="77777777" w:rsidR="001B11F7" w:rsidRDefault="00B83885">
      <w:pPr>
        <w:widowControl w:val="0"/>
        <w:rPr>
          <w:sz w:val="22"/>
          <w:szCs w:val="22"/>
          <w:lang w:val="lt-LT" w:eastAsia="lt-LT"/>
        </w:rPr>
      </w:pPr>
      <w:r>
        <w:rPr>
          <w:sz w:val="22"/>
          <w:szCs w:val="22"/>
          <w:lang w:val="lt-LT" w:eastAsia="lt-LT"/>
        </w:rPr>
        <w:t>Slovėnija</w:t>
      </w:r>
    </w:p>
    <w:p w14:paraId="79A5815F" w14:textId="77777777" w:rsidR="001B11F7" w:rsidRDefault="001B11F7">
      <w:pPr>
        <w:widowControl w:val="0"/>
        <w:rPr>
          <w:sz w:val="22"/>
          <w:szCs w:val="22"/>
          <w:lang w:val="lt-LT" w:eastAsia="lt-LT"/>
        </w:rPr>
      </w:pPr>
    </w:p>
    <w:p w14:paraId="5D61227B" w14:textId="77777777" w:rsidR="001B11F7" w:rsidRDefault="001B11F7">
      <w:pPr>
        <w:widowControl w:val="0"/>
        <w:rPr>
          <w:sz w:val="22"/>
          <w:szCs w:val="22"/>
          <w:lang w:val="lt-LT" w:eastAsia="lt-LT"/>
        </w:rPr>
      </w:pPr>
    </w:p>
    <w:p w14:paraId="7274A405"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12.</w:t>
      </w:r>
      <w:r>
        <w:rPr>
          <w:b/>
          <w:sz w:val="22"/>
          <w:szCs w:val="22"/>
          <w:lang w:val="lt-LT" w:eastAsia="lt-LT"/>
        </w:rPr>
        <w:tab/>
        <w:t>REGISTRACIJOS PAŽYMĖJIMO NUMERIS (-IAI)</w:t>
      </w:r>
    </w:p>
    <w:p w14:paraId="7FC53DC3" w14:textId="77777777" w:rsidR="001B11F7" w:rsidRDefault="001B11F7">
      <w:pPr>
        <w:widowControl w:val="0"/>
        <w:rPr>
          <w:sz w:val="22"/>
          <w:szCs w:val="22"/>
          <w:lang w:val="lt-LT" w:eastAsia="lt-LT"/>
        </w:rPr>
      </w:pPr>
    </w:p>
    <w:p w14:paraId="4CDF5C0C" w14:textId="77777777" w:rsidR="001B11F7" w:rsidRDefault="00B83885">
      <w:pPr>
        <w:widowControl w:val="0"/>
        <w:rPr>
          <w:sz w:val="22"/>
          <w:szCs w:val="22"/>
          <w:lang w:val="lt-LT" w:eastAsia="lt-LT"/>
        </w:rPr>
      </w:pPr>
      <w:r>
        <w:rPr>
          <w:sz w:val="22"/>
          <w:highlight w:val="lightGray"/>
          <w:lang w:val="lt-LT"/>
        </w:rPr>
        <w:t>Atoris 10 mg plėvele dengtos tabletės –</w:t>
      </w:r>
      <w:r>
        <w:rPr>
          <w:sz w:val="22"/>
          <w:szCs w:val="22"/>
          <w:lang w:val="lt-LT" w:eastAsia="lt-LT"/>
        </w:rPr>
        <w:t xml:space="preserve"> LT/1/03/0865/001</w:t>
      </w:r>
    </w:p>
    <w:p w14:paraId="2FDB1C17" w14:textId="77777777" w:rsidR="001B11F7" w:rsidRDefault="00B83885">
      <w:pPr>
        <w:widowControl w:val="0"/>
        <w:rPr>
          <w:sz w:val="22"/>
          <w:highlight w:val="lightGray"/>
          <w:lang w:val="lt-LT"/>
        </w:rPr>
      </w:pPr>
      <w:r>
        <w:rPr>
          <w:sz w:val="22"/>
          <w:highlight w:val="lightGray"/>
          <w:lang w:val="lt-LT"/>
        </w:rPr>
        <w:t>Atoris 20 mg plėvele dengtos tabletės – LT/1/03/0865/002</w:t>
      </w:r>
    </w:p>
    <w:p w14:paraId="03D16F22" w14:textId="77777777" w:rsidR="001B11F7" w:rsidRDefault="00B83885">
      <w:pPr>
        <w:widowControl w:val="0"/>
        <w:rPr>
          <w:sz w:val="22"/>
          <w:szCs w:val="22"/>
          <w:lang w:val="lt-LT" w:eastAsia="lt-LT"/>
        </w:rPr>
      </w:pPr>
      <w:r>
        <w:rPr>
          <w:sz w:val="22"/>
          <w:highlight w:val="lightGray"/>
          <w:lang w:val="lt-LT"/>
        </w:rPr>
        <w:t>Atoris 40 mg plėvele dengtos tabletės – LT/1/03/0865/003</w:t>
      </w:r>
    </w:p>
    <w:p w14:paraId="14A1177D" w14:textId="77777777" w:rsidR="001B11F7" w:rsidRDefault="001B11F7">
      <w:pPr>
        <w:widowControl w:val="0"/>
        <w:rPr>
          <w:sz w:val="22"/>
          <w:szCs w:val="22"/>
          <w:lang w:val="lt-LT" w:eastAsia="lt-LT"/>
        </w:rPr>
      </w:pPr>
    </w:p>
    <w:p w14:paraId="030EC95E" w14:textId="77777777" w:rsidR="001B11F7" w:rsidRDefault="001B11F7">
      <w:pPr>
        <w:widowControl w:val="0"/>
        <w:rPr>
          <w:sz w:val="22"/>
          <w:szCs w:val="22"/>
          <w:lang w:val="lt-LT" w:eastAsia="lt-LT"/>
        </w:rPr>
      </w:pPr>
    </w:p>
    <w:p w14:paraId="694FBC0A"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13.</w:t>
      </w:r>
      <w:r>
        <w:rPr>
          <w:b/>
          <w:sz w:val="22"/>
          <w:szCs w:val="22"/>
          <w:lang w:val="lt-LT" w:eastAsia="lt-LT"/>
        </w:rPr>
        <w:tab/>
        <w:t>SERIJOS NUMERIS</w:t>
      </w:r>
    </w:p>
    <w:p w14:paraId="32EDC1E0" w14:textId="77777777" w:rsidR="001B11F7" w:rsidRDefault="001B11F7">
      <w:pPr>
        <w:widowControl w:val="0"/>
        <w:rPr>
          <w:sz w:val="22"/>
          <w:szCs w:val="22"/>
          <w:lang w:val="lt-LT" w:eastAsia="lt-LT"/>
        </w:rPr>
      </w:pPr>
    </w:p>
    <w:p w14:paraId="66336A9E" w14:textId="77777777" w:rsidR="001B11F7" w:rsidRDefault="00B83885">
      <w:pPr>
        <w:widowControl w:val="0"/>
        <w:rPr>
          <w:sz w:val="22"/>
          <w:szCs w:val="22"/>
          <w:lang w:val="lt-LT" w:eastAsia="lt-LT"/>
        </w:rPr>
      </w:pPr>
      <w:r>
        <w:rPr>
          <w:sz w:val="22"/>
          <w:szCs w:val="22"/>
          <w:lang w:val="lt-LT" w:eastAsia="lt-LT"/>
        </w:rPr>
        <w:t>Lot</w:t>
      </w:r>
    </w:p>
    <w:p w14:paraId="5D8E0ABC" w14:textId="77777777" w:rsidR="001B11F7" w:rsidRDefault="00B83885">
      <w:pPr>
        <w:widowControl w:val="0"/>
        <w:rPr>
          <w:sz w:val="22"/>
          <w:szCs w:val="22"/>
          <w:lang w:val="lt-LT" w:eastAsia="lt-LT"/>
        </w:rPr>
      </w:pPr>
      <w:r>
        <w:rPr>
          <w:sz w:val="22"/>
          <w:szCs w:val="22"/>
          <w:highlight w:val="lightGray"/>
          <w:lang w:val="lt-LT"/>
        </w:rPr>
        <w:t>Serija</w:t>
      </w:r>
    </w:p>
    <w:p w14:paraId="2D3EB83F" w14:textId="77777777" w:rsidR="001B11F7" w:rsidRDefault="001B11F7">
      <w:pPr>
        <w:widowControl w:val="0"/>
        <w:rPr>
          <w:sz w:val="22"/>
          <w:szCs w:val="22"/>
          <w:lang w:val="lt-LT" w:eastAsia="lt-LT"/>
        </w:rPr>
      </w:pPr>
    </w:p>
    <w:p w14:paraId="5A2F1C95" w14:textId="77777777" w:rsidR="001B11F7" w:rsidRDefault="001B11F7">
      <w:pPr>
        <w:widowControl w:val="0"/>
        <w:rPr>
          <w:sz w:val="22"/>
          <w:szCs w:val="22"/>
          <w:lang w:val="lt-LT" w:eastAsia="lt-LT"/>
        </w:rPr>
      </w:pPr>
    </w:p>
    <w:p w14:paraId="5C6855D8"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sz w:val="22"/>
          <w:szCs w:val="22"/>
          <w:lang w:val="lt-LT" w:eastAsia="lt-LT"/>
        </w:rPr>
      </w:pPr>
      <w:r>
        <w:rPr>
          <w:b/>
          <w:sz w:val="22"/>
          <w:szCs w:val="22"/>
          <w:lang w:val="lt-LT" w:eastAsia="lt-LT"/>
        </w:rPr>
        <w:t>14.</w:t>
      </w:r>
      <w:r>
        <w:rPr>
          <w:b/>
          <w:sz w:val="22"/>
          <w:szCs w:val="22"/>
          <w:lang w:val="lt-LT" w:eastAsia="lt-LT"/>
        </w:rPr>
        <w:tab/>
        <w:t>PARDAVIMO (IŠDAVIMO) TVARKA</w:t>
      </w:r>
    </w:p>
    <w:p w14:paraId="29B237E1" w14:textId="77777777" w:rsidR="001B11F7" w:rsidRDefault="001B11F7">
      <w:pPr>
        <w:widowControl w:val="0"/>
        <w:rPr>
          <w:sz w:val="22"/>
          <w:szCs w:val="22"/>
          <w:lang w:val="lt-LT" w:eastAsia="lt-LT"/>
        </w:rPr>
      </w:pPr>
    </w:p>
    <w:p w14:paraId="3516889B" w14:textId="77777777" w:rsidR="001B11F7" w:rsidRDefault="00B83885">
      <w:pPr>
        <w:widowControl w:val="0"/>
        <w:rPr>
          <w:sz w:val="22"/>
          <w:szCs w:val="22"/>
          <w:lang w:val="lt-LT" w:eastAsia="lt-LT"/>
        </w:rPr>
      </w:pPr>
      <w:r>
        <w:rPr>
          <w:sz w:val="22"/>
          <w:szCs w:val="22"/>
          <w:lang w:val="lt-LT" w:eastAsia="lt-LT"/>
        </w:rPr>
        <w:t>Receptinis vaistas</w:t>
      </w:r>
    </w:p>
    <w:p w14:paraId="3C83824B" w14:textId="77777777" w:rsidR="001B11F7" w:rsidRDefault="001B11F7">
      <w:pPr>
        <w:widowControl w:val="0"/>
        <w:rPr>
          <w:sz w:val="22"/>
          <w:szCs w:val="22"/>
          <w:lang w:val="lt-LT" w:eastAsia="lt-LT"/>
        </w:rPr>
      </w:pPr>
    </w:p>
    <w:p w14:paraId="1C2A44E0" w14:textId="77777777" w:rsidR="001B11F7" w:rsidRDefault="001B11F7">
      <w:pPr>
        <w:widowControl w:val="0"/>
        <w:rPr>
          <w:sz w:val="22"/>
          <w:szCs w:val="22"/>
          <w:lang w:val="lt-LT" w:eastAsia="lt-LT"/>
        </w:rPr>
      </w:pPr>
    </w:p>
    <w:p w14:paraId="1CA0FFBF" w14:textId="77777777" w:rsidR="001B11F7" w:rsidRDefault="00B83885">
      <w:pPr>
        <w:widowControl w:val="0"/>
        <w:pBdr>
          <w:top w:val="single" w:sz="4" w:space="2" w:color="auto"/>
          <w:left w:val="single" w:sz="4" w:space="4" w:color="auto"/>
          <w:bottom w:val="single" w:sz="4" w:space="1" w:color="auto"/>
          <w:right w:val="single" w:sz="4" w:space="4" w:color="auto"/>
        </w:pBdr>
        <w:tabs>
          <w:tab w:val="left" w:pos="567"/>
        </w:tabs>
        <w:outlineLvl w:val="0"/>
        <w:rPr>
          <w:sz w:val="22"/>
          <w:szCs w:val="22"/>
          <w:lang w:val="lt-LT" w:eastAsia="lt-LT"/>
        </w:rPr>
      </w:pPr>
      <w:r>
        <w:rPr>
          <w:b/>
          <w:sz w:val="22"/>
          <w:szCs w:val="22"/>
          <w:lang w:val="lt-LT" w:eastAsia="lt-LT"/>
        </w:rPr>
        <w:t>15.</w:t>
      </w:r>
      <w:r>
        <w:rPr>
          <w:b/>
          <w:sz w:val="22"/>
          <w:szCs w:val="22"/>
          <w:lang w:val="lt-LT" w:eastAsia="lt-LT"/>
        </w:rPr>
        <w:tab/>
        <w:t>VARTOJIMO INSTRUKCIJA</w:t>
      </w:r>
    </w:p>
    <w:p w14:paraId="678008F8" w14:textId="77777777" w:rsidR="001B11F7" w:rsidRDefault="001B11F7">
      <w:pPr>
        <w:widowControl w:val="0"/>
        <w:rPr>
          <w:sz w:val="22"/>
          <w:szCs w:val="22"/>
          <w:lang w:val="lt-LT" w:eastAsia="lt-LT"/>
        </w:rPr>
      </w:pPr>
    </w:p>
    <w:p w14:paraId="35E4EFFB" w14:textId="77777777" w:rsidR="001B11F7" w:rsidRDefault="001B11F7">
      <w:pPr>
        <w:widowControl w:val="0"/>
        <w:rPr>
          <w:sz w:val="22"/>
          <w:szCs w:val="22"/>
          <w:lang w:val="lt-LT" w:eastAsia="lt-LT"/>
        </w:rPr>
      </w:pPr>
    </w:p>
    <w:p w14:paraId="2AD73A84" w14:textId="77777777" w:rsidR="001B11F7" w:rsidRDefault="00B83885">
      <w:pPr>
        <w:widowControl w:val="0"/>
        <w:pBdr>
          <w:top w:val="single" w:sz="4" w:space="1" w:color="auto"/>
          <w:left w:val="single" w:sz="4" w:space="4" w:color="auto"/>
          <w:bottom w:val="single" w:sz="4" w:space="0" w:color="auto"/>
          <w:right w:val="single" w:sz="4" w:space="4" w:color="auto"/>
        </w:pBdr>
        <w:tabs>
          <w:tab w:val="left" w:pos="567"/>
        </w:tabs>
        <w:rPr>
          <w:color w:val="008000"/>
          <w:sz w:val="22"/>
          <w:szCs w:val="22"/>
          <w:lang w:val="lt-LT" w:eastAsia="lt-LT"/>
        </w:rPr>
      </w:pPr>
      <w:r>
        <w:rPr>
          <w:b/>
          <w:sz w:val="22"/>
          <w:szCs w:val="22"/>
          <w:lang w:val="lt-LT" w:eastAsia="lt-LT"/>
        </w:rPr>
        <w:t>16.</w:t>
      </w:r>
      <w:r>
        <w:rPr>
          <w:b/>
          <w:sz w:val="22"/>
          <w:szCs w:val="22"/>
          <w:lang w:val="lt-LT" w:eastAsia="lt-LT"/>
        </w:rPr>
        <w:tab/>
        <w:t>INFORMACIJA BRAILIO RAŠTU</w:t>
      </w:r>
    </w:p>
    <w:p w14:paraId="1DEC94A0" w14:textId="77777777" w:rsidR="001B11F7" w:rsidRDefault="001B11F7">
      <w:pPr>
        <w:widowControl w:val="0"/>
        <w:rPr>
          <w:sz w:val="22"/>
          <w:szCs w:val="22"/>
          <w:lang w:val="lt-LT" w:eastAsia="lt-LT"/>
        </w:rPr>
      </w:pPr>
    </w:p>
    <w:p w14:paraId="180E7A38" w14:textId="77777777" w:rsidR="001B11F7" w:rsidRDefault="00B83885">
      <w:pPr>
        <w:widowControl w:val="0"/>
        <w:tabs>
          <w:tab w:val="left" w:pos="540"/>
        </w:tabs>
        <w:outlineLvl w:val="1"/>
        <w:rPr>
          <w:sz w:val="22"/>
          <w:szCs w:val="22"/>
          <w:lang w:val="lt-LT" w:eastAsia="lt-LT"/>
        </w:rPr>
      </w:pPr>
      <w:r>
        <w:rPr>
          <w:sz w:val="22"/>
          <w:szCs w:val="22"/>
          <w:lang w:val="lt-LT" w:eastAsia="lt-LT"/>
        </w:rPr>
        <w:t>atoris 10 mg</w:t>
      </w:r>
    </w:p>
    <w:p w14:paraId="7E7383BE" w14:textId="77777777" w:rsidR="001B11F7" w:rsidRDefault="00B83885">
      <w:pPr>
        <w:widowControl w:val="0"/>
        <w:tabs>
          <w:tab w:val="left" w:pos="540"/>
        </w:tabs>
        <w:outlineLvl w:val="1"/>
        <w:rPr>
          <w:sz w:val="22"/>
          <w:highlight w:val="lightGray"/>
          <w:lang w:val="lt-LT"/>
        </w:rPr>
      </w:pPr>
      <w:r>
        <w:rPr>
          <w:sz w:val="22"/>
          <w:highlight w:val="lightGray"/>
          <w:lang w:val="lt-LT"/>
        </w:rPr>
        <w:t>atoris 20 mg</w:t>
      </w:r>
    </w:p>
    <w:p w14:paraId="30920237" w14:textId="77777777" w:rsidR="001B11F7" w:rsidRDefault="00B83885">
      <w:pPr>
        <w:widowControl w:val="0"/>
        <w:tabs>
          <w:tab w:val="left" w:pos="540"/>
        </w:tabs>
        <w:outlineLvl w:val="1"/>
        <w:rPr>
          <w:sz w:val="22"/>
          <w:szCs w:val="22"/>
          <w:lang w:val="lt-LT" w:eastAsia="lt-LT"/>
        </w:rPr>
      </w:pPr>
      <w:r>
        <w:rPr>
          <w:sz w:val="22"/>
          <w:highlight w:val="lightGray"/>
          <w:lang w:val="lt-LT"/>
        </w:rPr>
        <w:t>atoris 40 mg</w:t>
      </w:r>
    </w:p>
    <w:p w14:paraId="6C6BCAEC" w14:textId="77777777" w:rsidR="001B11F7" w:rsidRDefault="001B11F7">
      <w:pPr>
        <w:widowControl w:val="0"/>
        <w:rPr>
          <w:sz w:val="22"/>
          <w:szCs w:val="22"/>
          <w:lang w:val="lt-LT" w:eastAsia="lt-LT"/>
        </w:rPr>
      </w:pPr>
    </w:p>
    <w:p w14:paraId="7E54C2DB" w14:textId="77777777" w:rsidR="001B11F7" w:rsidRDefault="001B11F7">
      <w:pPr>
        <w:widowControl w:val="0"/>
        <w:rPr>
          <w:rFonts w:eastAsia="SimSun"/>
          <w:sz w:val="22"/>
          <w:szCs w:val="22"/>
          <w:lang w:val="lt-LT"/>
        </w:rPr>
      </w:pPr>
    </w:p>
    <w:p w14:paraId="14C446F8" w14:textId="77777777" w:rsidR="001B11F7" w:rsidRDefault="00B83885">
      <w:pPr>
        <w:widowControl w:val="0"/>
        <w:pBdr>
          <w:top w:val="single" w:sz="4" w:space="1" w:color="auto"/>
          <w:left w:val="single" w:sz="4" w:space="4" w:color="auto"/>
          <w:bottom w:val="single" w:sz="4" w:space="0" w:color="auto"/>
          <w:right w:val="single" w:sz="4" w:space="4" w:color="auto"/>
        </w:pBdr>
        <w:tabs>
          <w:tab w:val="left" w:pos="567"/>
        </w:tabs>
        <w:rPr>
          <w:i/>
          <w:noProof/>
          <w:sz w:val="22"/>
          <w:szCs w:val="22"/>
          <w:lang w:val="lt-LT" w:eastAsia="en-US"/>
        </w:rPr>
      </w:pPr>
      <w:r>
        <w:rPr>
          <w:b/>
          <w:noProof/>
          <w:sz w:val="22"/>
          <w:szCs w:val="22"/>
          <w:lang w:val="lt-LT" w:eastAsia="en-US"/>
        </w:rPr>
        <w:t>17.</w:t>
      </w:r>
      <w:r>
        <w:rPr>
          <w:b/>
          <w:noProof/>
          <w:sz w:val="22"/>
          <w:szCs w:val="22"/>
          <w:lang w:val="lt-LT" w:eastAsia="en-US"/>
        </w:rPr>
        <w:tab/>
        <w:t>UNIKALUS IDENTIFIKATORIUS – 2D BRŪKŠNINIS KODAS</w:t>
      </w:r>
    </w:p>
    <w:p w14:paraId="48E351DD" w14:textId="77777777" w:rsidR="001B11F7" w:rsidRDefault="001B11F7">
      <w:pPr>
        <w:widowControl w:val="0"/>
        <w:rPr>
          <w:rFonts w:eastAsia="Calibri"/>
          <w:sz w:val="22"/>
          <w:szCs w:val="22"/>
          <w:lang w:val="lt-LT" w:eastAsia="en-US"/>
        </w:rPr>
      </w:pPr>
    </w:p>
    <w:p w14:paraId="53C866D9" w14:textId="77777777" w:rsidR="001B11F7" w:rsidRDefault="00B83885">
      <w:pPr>
        <w:widowControl w:val="0"/>
        <w:rPr>
          <w:rFonts w:eastAsia="Calibri"/>
          <w:sz w:val="22"/>
          <w:szCs w:val="22"/>
          <w:highlight w:val="lightGray"/>
          <w:lang w:val="lt-LT"/>
        </w:rPr>
      </w:pPr>
      <w:r>
        <w:rPr>
          <w:rFonts w:eastAsia="Calibri"/>
          <w:sz w:val="22"/>
          <w:szCs w:val="22"/>
          <w:highlight w:val="lightGray"/>
          <w:lang w:val="lt-LT"/>
        </w:rPr>
        <w:t>2D brūkšninis kodas su nurodytu unikaliu identifikatoriumi.</w:t>
      </w:r>
    </w:p>
    <w:p w14:paraId="4A1E6B52" w14:textId="77777777" w:rsidR="001B11F7" w:rsidRDefault="001B11F7">
      <w:pPr>
        <w:widowControl w:val="0"/>
        <w:rPr>
          <w:rFonts w:eastAsia="Calibri"/>
          <w:sz w:val="22"/>
          <w:szCs w:val="22"/>
          <w:highlight w:val="lightGray"/>
          <w:lang w:val="lt-LT"/>
        </w:rPr>
      </w:pPr>
    </w:p>
    <w:p w14:paraId="0C08167D" w14:textId="77777777" w:rsidR="001B11F7" w:rsidRDefault="001B11F7">
      <w:pPr>
        <w:widowControl w:val="0"/>
        <w:tabs>
          <w:tab w:val="left" w:pos="567"/>
        </w:tabs>
        <w:rPr>
          <w:snapToGrid w:val="0"/>
          <w:sz w:val="22"/>
          <w:szCs w:val="22"/>
          <w:lang w:val="lt-LT" w:eastAsia="zh-CN"/>
        </w:rPr>
      </w:pPr>
    </w:p>
    <w:p w14:paraId="2D5369E4" w14:textId="77777777" w:rsidR="001B11F7" w:rsidRDefault="00B83885">
      <w:pPr>
        <w:widowControl w:val="0"/>
        <w:pBdr>
          <w:top w:val="single" w:sz="4" w:space="1" w:color="auto"/>
          <w:left w:val="single" w:sz="4" w:space="4" w:color="auto"/>
          <w:bottom w:val="single" w:sz="4" w:space="0" w:color="auto"/>
          <w:right w:val="single" w:sz="4" w:space="4" w:color="auto"/>
        </w:pBdr>
        <w:tabs>
          <w:tab w:val="left" w:pos="567"/>
        </w:tabs>
        <w:rPr>
          <w:i/>
          <w:noProof/>
          <w:sz w:val="22"/>
          <w:szCs w:val="22"/>
          <w:lang w:val="lt-LT" w:eastAsia="en-US"/>
        </w:rPr>
      </w:pPr>
      <w:r>
        <w:rPr>
          <w:b/>
          <w:noProof/>
          <w:sz w:val="22"/>
          <w:szCs w:val="22"/>
          <w:lang w:val="lt-LT" w:eastAsia="en-US"/>
        </w:rPr>
        <w:lastRenderedPageBreak/>
        <w:t>18.</w:t>
      </w:r>
      <w:r>
        <w:rPr>
          <w:b/>
          <w:noProof/>
          <w:sz w:val="22"/>
          <w:szCs w:val="22"/>
          <w:lang w:val="lt-LT" w:eastAsia="en-US"/>
        </w:rPr>
        <w:tab/>
        <w:t>UNIKALUS IDENTIFIKATORIUS – ŽMONĖMS SUPRANTAMI DUOMENYS</w:t>
      </w:r>
    </w:p>
    <w:p w14:paraId="7412174F" w14:textId="77777777" w:rsidR="001B11F7" w:rsidRDefault="001B11F7">
      <w:pPr>
        <w:widowControl w:val="0"/>
        <w:rPr>
          <w:rFonts w:eastAsia="Calibri"/>
          <w:sz w:val="22"/>
          <w:szCs w:val="22"/>
          <w:lang w:val="lt-LT" w:eastAsia="en-US"/>
        </w:rPr>
      </w:pPr>
    </w:p>
    <w:p w14:paraId="7515167A" w14:textId="77777777" w:rsidR="001B11F7" w:rsidRDefault="00B83885">
      <w:pPr>
        <w:widowControl w:val="0"/>
        <w:rPr>
          <w:rFonts w:eastAsia="Calibri"/>
          <w:sz w:val="22"/>
          <w:lang w:val="lt-LT"/>
        </w:rPr>
      </w:pPr>
      <w:r>
        <w:rPr>
          <w:rFonts w:eastAsia="Calibri"/>
          <w:sz w:val="22"/>
          <w:lang w:val="lt-LT"/>
        </w:rPr>
        <w:t>PC</w:t>
      </w:r>
    </w:p>
    <w:p w14:paraId="450C2BFF" w14:textId="77777777" w:rsidR="001B11F7" w:rsidRDefault="00B83885">
      <w:pPr>
        <w:widowControl w:val="0"/>
        <w:rPr>
          <w:rFonts w:eastAsia="Calibri"/>
          <w:sz w:val="22"/>
          <w:lang w:val="lt-LT"/>
        </w:rPr>
      </w:pPr>
      <w:r>
        <w:rPr>
          <w:rFonts w:eastAsia="Calibri"/>
          <w:sz w:val="22"/>
          <w:lang w:val="lt-LT"/>
        </w:rPr>
        <w:t>SN</w:t>
      </w:r>
    </w:p>
    <w:p w14:paraId="7F00C234" w14:textId="77777777" w:rsidR="001B11F7" w:rsidRDefault="00B83885">
      <w:pPr>
        <w:widowControl w:val="0"/>
        <w:rPr>
          <w:rFonts w:eastAsia="Calibri"/>
          <w:sz w:val="22"/>
          <w:szCs w:val="22"/>
          <w:lang w:val="lt-LT" w:eastAsia="en-US"/>
        </w:rPr>
      </w:pPr>
      <w:r>
        <w:rPr>
          <w:rFonts w:eastAsia="Calibri"/>
          <w:sz w:val="22"/>
          <w:szCs w:val="22"/>
          <w:highlight w:val="lightGray"/>
          <w:lang w:val="lt-LT"/>
        </w:rPr>
        <w:t>NN</w:t>
      </w:r>
    </w:p>
    <w:p w14:paraId="5B274CA9" w14:textId="77777777" w:rsidR="001B11F7" w:rsidRDefault="001B11F7">
      <w:pPr>
        <w:widowControl w:val="0"/>
        <w:rPr>
          <w:rFonts w:eastAsia="SimSun"/>
          <w:sz w:val="22"/>
          <w:szCs w:val="22"/>
          <w:lang w:val="lt-LT" w:eastAsia="zh-CN" w:bidi="lo-LA"/>
        </w:rPr>
      </w:pPr>
    </w:p>
    <w:p w14:paraId="0DB4CE55" w14:textId="77777777" w:rsidR="001B11F7" w:rsidRDefault="001B11F7">
      <w:pPr>
        <w:widowControl w:val="0"/>
        <w:rPr>
          <w:sz w:val="22"/>
          <w:szCs w:val="22"/>
          <w:lang w:val="lt-LT" w:eastAsia="lt-LT"/>
        </w:rPr>
      </w:pPr>
    </w:p>
    <w:p w14:paraId="6C5C4BAC" w14:textId="77777777" w:rsidR="001B11F7" w:rsidRDefault="00B83885">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Pr>
          <w:sz w:val="22"/>
          <w:szCs w:val="22"/>
          <w:lang w:val="lt-LT" w:eastAsia="lt-LT"/>
        </w:rPr>
        <w:br w:type="page"/>
      </w:r>
      <w:r>
        <w:rPr>
          <w:b/>
          <w:sz w:val="22"/>
          <w:szCs w:val="22"/>
          <w:lang w:val="lt-LT" w:eastAsia="lt-LT"/>
        </w:rPr>
        <w:lastRenderedPageBreak/>
        <w:t>MINIMALI INFORMACIJA ANT LIZDINIŲ PLOKŠTELIŲ ARBA DVISLUOKSNIŲ JUOSTELIŲ</w:t>
      </w:r>
    </w:p>
    <w:p w14:paraId="2BCFF98D" w14:textId="77777777" w:rsidR="001B11F7" w:rsidRDefault="001B11F7">
      <w:pPr>
        <w:widowControl w:val="0"/>
        <w:pBdr>
          <w:top w:val="single" w:sz="4" w:space="1" w:color="auto"/>
          <w:left w:val="single" w:sz="4" w:space="4" w:color="auto"/>
          <w:bottom w:val="single" w:sz="4" w:space="1" w:color="auto"/>
          <w:right w:val="single" w:sz="4" w:space="4" w:color="auto"/>
        </w:pBdr>
        <w:rPr>
          <w:b/>
          <w:sz w:val="22"/>
          <w:szCs w:val="22"/>
          <w:lang w:val="lt-LT" w:eastAsia="lt-LT"/>
        </w:rPr>
      </w:pPr>
    </w:p>
    <w:p w14:paraId="64A557A2" w14:textId="77777777" w:rsidR="001B11F7" w:rsidRDefault="00B83885">
      <w:pPr>
        <w:widowControl w:val="0"/>
        <w:pBdr>
          <w:top w:val="single" w:sz="4" w:space="1" w:color="auto"/>
          <w:left w:val="single" w:sz="4" w:space="4" w:color="auto"/>
          <w:bottom w:val="single" w:sz="4" w:space="1" w:color="auto"/>
          <w:right w:val="single" w:sz="4" w:space="4" w:color="auto"/>
        </w:pBdr>
        <w:rPr>
          <w:b/>
          <w:sz w:val="22"/>
          <w:szCs w:val="22"/>
          <w:lang w:val="lt-LT" w:eastAsia="lt-LT"/>
        </w:rPr>
      </w:pPr>
      <w:r>
        <w:rPr>
          <w:b/>
          <w:sz w:val="22"/>
          <w:szCs w:val="22"/>
          <w:lang w:val="lt-LT" w:eastAsia="lt-LT"/>
        </w:rPr>
        <w:t>OPA/Al/PVC IR ALIUMINIO FOLIJOS LIZDINĖ PLOKŠTELĖ</w:t>
      </w:r>
    </w:p>
    <w:p w14:paraId="361FD1A5" w14:textId="77777777" w:rsidR="001B11F7" w:rsidRDefault="001B11F7">
      <w:pPr>
        <w:widowControl w:val="0"/>
        <w:rPr>
          <w:sz w:val="22"/>
          <w:szCs w:val="22"/>
          <w:lang w:val="lt-LT" w:eastAsia="lt-LT"/>
        </w:rPr>
      </w:pPr>
    </w:p>
    <w:p w14:paraId="7DBA8114" w14:textId="77777777" w:rsidR="001B11F7" w:rsidRDefault="001B11F7">
      <w:pPr>
        <w:widowControl w:val="0"/>
        <w:rPr>
          <w:sz w:val="22"/>
          <w:szCs w:val="22"/>
          <w:lang w:val="lt-LT" w:eastAsia="lt-LT"/>
        </w:rPr>
      </w:pPr>
    </w:p>
    <w:p w14:paraId="76F6C9CF"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1.</w:t>
      </w:r>
      <w:r>
        <w:rPr>
          <w:b/>
          <w:sz w:val="22"/>
          <w:szCs w:val="22"/>
          <w:lang w:val="lt-LT" w:eastAsia="lt-LT"/>
        </w:rPr>
        <w:tab/>
      </w:r>
      <w:r>
        <w:rPr>
          <w:b/>
          <w:caps/>
          <w:sz w:val="22"/>
          <w:szCs w:val="22"/>
          <w:lang w:val="lt-LT" w:eastAsia="lt-LT"/>
        </w:rPr>
        <w:t>VAISTINIO</w:t>
      </w:r>
      <w:r>
        <w:rPr>
          <w:b/>
          <w:sz w:val="22"/>
          <w:szCs w:val="22"/>
          <w:lang w:val="lt-LT" w:eastAsia="lt-LT"/>
        </w:rPr>
        <w:t xml:space="preserve"> PREPARATO PAVADINIMAS</w:t>
      </w:r>
    </w:p>
    <w:p w14:paraId="74A8F99D" w14:textId="77777777" w:rsidR="001B11F7" w:rsidRDefault="001B11F7">
      <w:pPr>
        <w:widowControl w:val="0"/>
        <w:rPr>
          <w:sz w:val="22"/>
          <w:szCs w:val="22"/>
          <w:lang w:val="lt-LT" w:eastAsia="lt-LT"/>
        </w:rPr>
      </w:pPr>
    </w:p>
    <w:p w14:paraId="117D0023" w14:textId="77777777" w:rsidR="001B11F7" w:rsidRDefault="00B83885">
      <w:pPr>
        <w:widowControl w:val="0"/>
        <w:rPr>
          <w:sz w:val="22"/>
          <w:szCs w:val="22"/>
          <w:lang w:val="lt-LT" w:eastAsia="lt-LT"/>
        </w:rPr>
      </w:pPr>
      <w:r>
        <w:rPr>
          <w:sz w:val="22"/>
          <w:szCs w:val="22"/>
          <w:lang w:val="lt-LT" w:eastAsia="lt-LT"/>
        </w:rPr>
        <w:t>Atoris 10 mg plėvele dengtos tabletės</w:t>
      </w:r>
    </w:p>
    <w:p w14:paraId="037AFB30" w14:textId="77777777" w:rsidR="001B11F7" w:rsidRDefault="00B83885">
      <w:pPr>
        <w:widowControl w:val="0"/>
        <w:rPr>
          <w:sz w:val="22"/>
          <w:highlight w:val="lightGray"/>
          <w:lang w:val="lt-LT"/>
        </w:rPr>
      </w:pPr>
      <w:r>
        <w:rPr>
          <w:sz w:val="22"/>
          <w:highlight w:val="lightGray"/>
          <w:lang w:val="lt-LT"/>
        </w:rPr>
        <w:t>Atoris 20 mg plėvele dengtos tabletės</w:t>
      </w:r>
    </w:p>
    <w:p w14:paraId="200303F5" w14:textId="77777777" w:rsidR="001B11F7" w:rsidRDefault="00B83885">
      <w:pPr>
        <w:widowControl w:val="0"/>
        <w:rPr>
          <w:sz w:val="22"/>
          <w:szCs w:val="22"/>
          <w:lang w:val="lt-LT" w:eastAsia="lt-LT"/>
        </w:rPr>
      </w:pPr>
      <w:r>
        <w:rPr>
          <w:sz w:val="22"/>
          <w:highlight w:val="lightGray"/>
          <w:lang w:val="lt-LT"/>
        </w:rPr>
        <w:t>Atoris 40 mg plėvele dengtos tabletės</w:t>
      </w:r>
    </w:p>
    <w:p w14:paraId="2EBB853A" w14:textId="77777777" w:rsidR="001B11F7" w:rsidRDefault="001B11F7">
      <w:pPr>
        <w:widowControl w:val="0"/>
        <w:rPr>
          <w:sz w:val="22"/>
          <w:szCs w:val="22"/>
          <w:lang w:val="lt-LT" w:eastAsia="lt-LT"/>
        </w:rPr>
      </w:pPr>
    </w:p>
    <w:p w14:paraId="6AF2D6E3" w14:textId="77777777" w:rsidR="001B11F7" w:rsidRDefault="00B83885">
      <w:pPr>
        <w:widowControl w:val="0"/>
        <w:rPr>
          <w:sz w:val="22"/>
          <w:szCs w:val="22"/>
          <w:lang w:val="lt-LT" w:eastAsia="lt-LT"/>
        </w:rPr>
      </w:pPr>
      <w:r>
        <w:rPr>
          <w:sz w:val="22"/>
          <w:szCs w:val="22"/>
          <w:lang w:val="lt-LT" w:eastAsia="lt-LT"/>
        </w:rPr>
        <w:t>atorvastatinas</w:t>
      </w:r>
    </w:p>
    <w:p w14:paraId="012AB3FC" w14:textId="77777777" w:rsidR="001B11F7" w:rsidRDefault="001B11F7">
      <w:pPr>
        <w:widowControl w:val="0"/>
        <w:rPr>
          <w:sz w:val="22"/>
          <w:szCs w:val="22"/>
          <w:lang w:val="lt-LT" w:eastAsia="lt-LT"/>
        </w:rPr>
      </w:pPr>
    </w:p>
    <w:p w14:paraId="5E478537" w14:textId="77777777" w:rsidR="001B11F7" w:rsidRDefault="001B11F7">
      <w:pPr>
        <w:widowControl w:val="0"/>
        <w:rPr>
          <w:sz w:val="22"/>
          <w:szCs w:val="22"/>
          <w:lang w:val="lt-LT" w:eastAsia="lt-LT"/>
        </w:rPr>
      </w:pPr>
    </w:p>
    <w:p w14:paraId="78CE716F"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2.</w:t>
      </w:r>
      <w:r>
        <w:rPr>
          <w:b/>
          <w:sz w:val="22"/>
          <w:szCs w:val="22"/>
          <w:lang w:val="lt-LT" w:eastAsia="lt-LT"/>
        </w:rPr>
        <w:tab/>
      </w:r>
      <w:r>
        <w:rPr>
          <w:b/>
          <w:caps/>
          <w:sz w:val="22"/>
          <w:szCs w:val="22"/>
          <w:lang w:val="lt-LT" w:eastAsia="lt-LT"/>
        </w:rPr>
        <w:t>REGISTRUOTOJO pavadinimas</w:t>
      </w:r>
    </w:p>
    <w:p w14:paraId="22E2AE8E" w14:textId="77777777" w:rsidR="001B11F7" w:rsidRDefault="001B11F7">
      <w:pPr>
        <w:widowControl w:val="0"/>
        <w:rPr>
          <w:sz w:val="22"/>
          <w:szCs w:val="22"/>
          <w:lang w:val="lt-LT" w:eastAsia="lt-LT"/>
        </w:rPr>
      </w:pPr>
    </w:p>
    <w:p w14:paraId="6D4F418B" w14:textId="77777777" w:rsidR="001B11F7" w:rsidRDefault="00B83885">
      <w:pPr>
        <w:widowControl w:val="0"/>
        <w:rPr>
          <w:sz w:val="22"/>
          <w:szCs w:val="22"/>
          <w:lang w:val="lt-LT" w:eastAsia="lt-LT"/>
        </w:rPr>
      </w:pPr>
      <w:r>
        <w:rPr>
          <w:sz w:val="22"/>
          <w:szCs w:val="22"/>
          <w:lang w:val="lt-LT" w:eastAsia="lt-LT"/>
        </w:rPr>
        <w:t>KRKA</w:t>
      </w:r>
    </w:p>
    <w:p w14:paraId="14926809" w14:textId="77777777" w:rsidR="001B11F7" w:rsidRDefault="001B11F7">
      <w:pPr>
        <w:widowControl w:val="0"/>
        <w:rPr>
          <w:sz w:val="22"/>
          <w:szCs w:val="22"/>
          <w:lang w:val="lt-LT" w:eastAsia="lt-LT"/>
        </w:rPr>
      </w:pPr>
    </w:p>
    <w:p w14:paraId="4FADE288" w14:textId="77777777" w:rsidR="001B11F7" w:rsidRDefault="001B11F7">
      <w:pPr>
        <w:widowControl w:val="0"/>
        <w:rPr>
          <w:sz w:val="22"/>
          <w:szCs w:val="22"/>
          <w:lang w:val="lt-LT" w:eastAsia="lt-LT"/>
        </w:rPr>
      </w:pPr>
    </w:p>
    <w:p w14:paraId="5CD85D43" w14:textId="77777777" w:rsidR="001B11F7" w:rsidRDefault="00B83885">
      <w:pPr>
        <w:widowControl w:val="0"/>
        <w:pBdr>
          <w:top w:val="single" w:sz="4" w:space="1" w:color="auto"/>
          <w:left w:val="single" w:sz="4" w:space="4" w:color="auto"/>
          <w:bottom w:val="single" w:sz="4" w:space="2" w:color="auto"/>
          <w:right w:val="single" w:sz="4" w:space="4" w:color="auto"/>
        </w:pBdr>
        <w:tabs>
          <w:tab w:val="left" w:pos="567"/>
        </w:tabs>
        <w:outlineLvl w:val="0"/>
        <w:rPr>
          <w:b/>
          <w:sz w:val="22"/>
          <w:szCs w:val="22"/>
          <w:lang w:val="lt-LT" w:eastAsia="lt-LT"/>
        </w:rPr>
      </w:pPr>
      <w:r>
        <w:rPr>
          <w:b/>
          <w:sz w:val="22"/>
          <w:szCs w:val="22"/>
          <w:lang w:val="lt-LT" w:eastAsia="lt-LT"/>
        </w:rPr>
        <w:t>3.</w:t>
      </w:r>
      <w:r>
        <w:rPr>
          <w:b/>
          <w:sz w:val="22"/>
          <w:szCs w:val="22"/>
          <w:lang w:val="lt-LT" w:eastAsia="lt-LT"/>
        </w:rPr>
        <w:tab/>
        <w:t>TINKAMUMO LAIKAS</w:t>
      </w:r>
    </w:p>
    <w:p w14:paraId="737EB5B8" w14:textId="77777777" w:rsidR="001B11F7" w:rsidRDefault="001B11F7">
      <w:pPr>
        <w:widowControl w:val="0"/>
        <w:rPr>
          <w:sz w:val="22"/>
          <w:szCs w:val="22"/>
          <w:lang w:val="lt-LT" w:eastAsia="lt-LT"/>
        </w:rPr>
      </w:pPr>
    </w:p>
    <w:p w14:paraId="5F0E40A3" w14:textId="77777777" w:rsidR="001B11F7" w:rsidRDefault="00B83885">
      <w:pPr>
        <w:widowControl w:val="0"/>
        <w:rPr>
          <w:sz w:val="22"/>
          <w:szCs w:val="22"/>
          <w:lang w:val="lt-LT" w:eastAsia="lt-LT"/>
        </w:rPr>
      </w:pPr>
      <w:r>
        <w:rPr>
          <w:sz w:val="22"/>
          <w:szCs w:val="22"/>
          <w:lang w:val="lt-LT" w:eastAsia="lt-LT"/>
        </w:rPr>
        <w:t>EXP (mm/MMMM)</w:t>
      </w:r>
    </w:p>
    <w:p w14:paraId="40D2A387" w14:textId="77777777" w:rsidR="001B11F7" w:rsidRDefault="001B11F7">
      <w:pPr>
        <w:widowControl w:val="0"/>
        <w:rPr>
          <w:sz w:val="22"/>
          <w:szCs w:val="22"/>
          <w:lang w:val="lt-LT" w:eastAsia="lt-LT"/>
        </w:rPr>
      </w:pPr>
    </w:p>
    <w:p w14:paraId="6BD8449D" w14:textId="77777777" w:rsidR="001B11F7" w:rsidRDefault="001B11F7">
      <w:pPr>
        <w:widowControl w:val="0"/>
        <w:rPr>
          <w:sz w:val="22"/>
          <w:szCs w:val="22"/>
          <w:lang w:val="lt-LT" w:eastAsia="lt-LT"/>
        </w:rPr>
      </w:pPr>
    </w:p>
    <w:p w14:paraId="62CD1B51"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4.</w:t>
      </w:r>
      <w:r>
        <w:rPr>
          <w:b/>
          <w:sz w:val="22"/>
          <w:szCs w:val="22"/>
          <w:lang w:val="lt-LT" w:eastAsia="lt-LT"/>
        </w:rPr>
        <w:tab/>
        <w:t>SERIJOS NUMERIS</w:t>
      </w:r>
    </w:p>
    <w:p w14:paraId="719DDBFF" w14:textId="77777777" w:rsidR="001B11F7" w:rsidRDefault="001B11F7">
      <w:pPr>
        <w:widowControl w:val="0"/>
        <w:rPr>
          <w:sz w:val="22"/>
          <w:szCs w:val="22"/>
          <w:lang w:val="lt-LT" w:eastAsia="lt-LT"/>
        </w:rPr>
      </w:pPr>
    </w:p>
    <w:p w14:paraId="500DC337" w14:textId="77777777" w:rsidR="001B11F7" w:rsidRDefault="00B83885">
      <w:pPr>
        <w:widowControl w:val="0"/>
        <w:rPr>
          <w:sz w:val="22"/>
          <w:szCs w:val="22"/>
          <w:lang w:val="lt-LT" w:eastAsia="lt-LT"/>
        </w:rPr>
      </w:pPr>
      <w:r>
        <w:rPr>
          <w:sz w:val="22"/>
          <w:szCs w:val="22"/>
          <w:lang w:val="lt-LT" w:eastAsia="lt-LT"/>
        </w:rPr>
        <w:t>Lot</w:t>
      </w:r>
    </w:p>
    <w:p w14:paraId="3B06FF4E" w14:textId="77777777" w:rsidR="001B11F7" w:rsidRDefault="001B11F7">
      <w:pPr>
        <w:widowControl w:val="0"/>
        <w:rPr>
          <w:sz w:val="22"/>
          <w:szCs w:val="22"/>
          <w:lang w:val="lt-LT" w:eastAsia="lt-LT"/>
        </w:rPr>
      </w:pPr>
    </w:p>
    <w:p w14:paraId="167D2383" w14:textId="77777777" w:rsidR="001B11F7" w:rsidRDefault="001B11F7">
      <w:pPr>
        <w:widowControl w:val="0"/>
        <w:rPr>
          <w:sz w:val="22"/>
          <w:szCs w:val="22"/>
          <w:lang w:val="lt-LT" w:eastAsia="lt-LT"/>
        </w:rPr>
      </w:pPr>
    </w:p>
    <w:p w14:paraId="59C819B4" w14:textId="77777777" w:rsidR="001B11F7" w:rsidRDefault="00B83885">
      <w:pPr>
        <w:widowControl w:val="0"/>
        <w:pBdr>
          <w:top w:val="single" w:sz="4" w:space="1" w:color="auto"/>
          <w:left w:val="single" w:sz="4" w:space="4" w:color="auto"/>
          <w:bottom w:val="single" w:sz="4" w:space="1" w:color="auto"/>
          <w:right w:val="single" w:sz="4" w:space="4" w:color="auto"/>
        </w:pBdr>
        <w:tabs>
          <w:tab w:val="left" w:pos="567"/>
        </w:tabs>
        <w:outlineLvl w:val="0"/>
        <w:rPr>
          <w:b/>
          <w:sz w:val="22"/>
          <w:szCs w:val="22"/>
          <w:lang w:val="lt-LT" w:eastAsia="lt-LT"/>
        </w:rPr>
      </w:pPr>
      <w:r>
        <w:rPr>
          <w:b/>
          <w:sz w:val="22"/>
          <w:szCs w:val="22"/>
          <w:lang w:val="lt-LT" w:eastAsia="lt-LT"/>
        </w:rPr>
        <w:t>5.</w:t>
      </w:r>
      <w:r>
        <w:rPr>
          <w:b/>
          <w:sz w:val="22"/>
          <w:szCs w:val="22"/>
          <w:lang w:val="lt-LT" w:eastAsia="lt-LT"/>
        </w:rPr>
        <w:tab/>
        <w:t>KITA</w:t>
      </w:r>
    </w:p>
    <w:p w14:paraId="6C8EE24F" w14:textId="77777777" w:rsidR="001B11F7" w:rsidRDefault="001B11F7">
      <w:pPr>
        <w:widowControl w:val="0"/>
        <w:rPr>
          <w:sz w:val="22"/>
          <w:szCs w:val="22"/>
          <w:lang w:val="lt-LT" w:eastAsia="lt-LT"/>
        </w:rPr>
      </w:pPr>
    </w:p>
    <w:p w14:paraId="408CDB53" w14:textId="77777777" w:rsidR="001B11F7" w:rsidRDefault="00B83885">
      <w:pPr>
        <w:widowControl w:val="0"/>
        <w:jc w:val="center"/>
        <w:rPr>
          <w:sz w:val="22"/>
          <w:szCs w:val="22"/>
          <w:lang w:val="lt-LT" w:eastAsia="lt-LT"/>
        </w:rPr>
      </w:pPr>
      <w:r>
        <w:rPr>
          <w:b/>
          <w:sz w:val="22"/>
          <w:szCs w:val="22"/>
          <w:lang w:val="lt-LT" w:eastAsia="lt-LT"/>
        </w:rPr>
        <w:br w:type="page"/>
      </w:r>
    </w:p>
    <w:p w14:paraId="76C6C4E8" w14:textId="77777777" w:rsidR="001B11F7" w:rsidRDefault="001B11F7">
      <w:pPr>
        <w:widowControl w:val="0"/>
        <w:jc w:val="center"/>
        <w:rPr>
          <w:sz w:val="22"/>
          <w:szCs w:val="22"/>
          <w:lang w:val="lt-LT" w:eastAsia="lt-LT"/>
        </w:rPr>
      </w:pPr>
    </w:p>
    <w:p w14:paraId="427CFC9B" w14:textId="77777777" w:rsidR="001B11F7" w:rsidRDefault="001B11F7">
      <w:pPr>
        <w:widowControl w:val="0"/>
        <w:jc w:val="center"/>
        <w:rPr>
          <w:sz w:val="22"/>
          <w:szCs w:val="22"/>
          <w:lang w:val="lt-LT" w:eastAsia="lt-LT"/>
        </w:rPr>
      </w:pPr>
    </w:p>
    <w:p w14:paraId="4FF397C1" w14:textId="77777777" w:rsidR="001B11F7" w:rsidRDefault="001B11F7">
      <w:pPr>
        <w:widowControl w:val="0"/>
        <w:jc w:val="center"/>
        <w:rPr>
          <w:sz w:val="22"/>
          <w:szCs w:val="22"/>
          <w:lang w:val="lt-LT" w:eastAsia="lt-LT"/>
        </w:rPr>
      </w:pPr>
    </w:p>
    <w:p w14:paraId="4F11B1F6" w14:textId="77777777" w:rsidR="001B11F7" w:rsidRDefault="001B11F7">
      <w:pPr>
        <w:widowControl w:val="0"/>
        <w:jc w:val="center"/>
        <w:rPr>
          <w:sz w:val="22"/>
          <w:szCs w:val="22"/>
          <w:lang w:val="lt-LT" w:eastAsia="lt-LT"/>
        </w:rPr>
      </w:pPr>
    </w:p>
    <w:p w14:paraId="74E504F4" w14:textId="77777777" w:rsidR="001B11F7" w:rsidRDefault="001B11F7">
      <w:pPr>
        <w:widowControl w:val="0"/>
        <w:jc w:val="center"/>
        <w:rPr>
          <w:sz w:val="22"/>
          <w:szCs w:val="22"/>
          <w:lang w:val="lt-LT" w:eastAsia="lt-LT"/>
        </w:rPr>
      </w:pPr>
    </w:p>
    <w:p w14:paraId="10FBF5A3" w14:textId="77777777" w:rsidR="001B11F7" w:rsidRDefault="001B11F7">
      <w:pPr>
        <w:widowControl w:val="0"/>
        <w:jc w:val="center"/>
        <w:rPr>
          <w:sz w:val="22"/>
          <w:szCs w:val="22"/>
          <w:lang w:val="lt-LT" w:eastAsia="lt-LT"/>
        </w:rPr>
      </w:pPr>
    </w:p>
    <w:p w14:paraId="2D0B1E65" w14:textId="77777777" w:rsidR="001B11F7" w:rsidRDefault="001B11F7">
      <w:pPr>
        <w:widowControl w:val="0"/>
        <w:jc w:val="center"/>
        <w:rPr>
          <w:sz w:val="22"/>
          <w:szCs w:val="22"/>
          <w:lang w:val="lt-LT" w:eastAsia="lt-LT"/>
        </w:rPr>
      </w:pPr>
    </w:p>
    <w:p w14:paraId="1E99DAAA" w14:textId="77777777" w:rsidR="001B11F7" w:rsidRDefault="001B11F7">
      <w:pPr>
        <w:widowControl w:val="0"/>
        <w:tabs>
          <w:tab w:val="left" w:pos="567"/>
        </w:tabs>
        <w:ind w:left="567" w:hanging="567"/>
        <w:jc w:val="center"/>
        <w:outlineLvl w:val="0"/>
        <w:rPr>
          <w:b/>
          <w:sz w:val="22"/>
          <w:szCs w:val="22"/>
          <w:lang w:val="lt-LT" w:eastAsia="en-US"/>
        </w:rPr>
      </w:pPr>
      <w:bookmarkStart w:id="12" w:name="_Toc129243137"/>
      <w:bookmarkStart w:id="13" w:name="_Toc129243262"/>
    </w:p>
    <w:p w14:paraId="0F667AA9" w14:textId="77777777" w:rsidR="001B11F7" w:rsidRDefault="001B11F7">
      <w:pPr>
        <w:widowControl w:val="0"/>
        <w:tabs>
          <w:tab w:val="left" w:pos="567"/>
        </w:tabs>
        <w:ind w:left="567" w:hanging="567"/>
        <w:jc w:val="center"/>
        <w:outlineLvl w:val="0"/>
        <w:rPr>
          <w:b/>
          <w:sz w:val="22"/>
          <w:szCs w:val="22"/>
          <w:lang w:val="lt-LT" w:eastAsia="en-US"/>
        </w:rPr>
      </w:pPr>
    </w:p>
    <w:p w14:paraId="697C6322" w14:textId="77777777" w:rsidR="001B11F7" w:rsidRDefault="001B11F7">
      <w:pPr>
        <w:widowControl w:val="0"/>
        <w:tabs>
          <w:tab w:val="left" w:pos="567"/>
        </w:tabs>
        <w:ind w:left="567" w:hanging="567"/>
        <w:jc w:val="center"/>
        <w:outlineLvl w:val="0"/>
        <w:rPr>
          <w:b/>
          <w:sz w:val="22"/>
          <w:szCs w:val="22"/>
          <w:lang w:val="lt-LT" w:eastAsia="en-US"/>
        </w:rPr>
      </w:pPr>
    </w:p>
    <w:p w14:paraId="63F402F7" w14:textId="77777777" w:rsidR="001B11F7" w:rsidRDefault="001B11F7">
      <w:pPr>
        <w:widowControl w:val="0"/>
        <w:tabs>
          <w:tab w:val="left" w:pos="567"/>
        </w:tabs>
        <w:ind w:left="567" w:hanging="567"/>
        <w:jc w:val="center"/>
        <w:outlineLvl w:val="0"/>
        <w:rPr>
          <w:b/>
          <w:sz w:val="22"/>
          <w:szCs w:val="22"/>
          <w:lang w:val="lt-LT" w:eastAsia="en-US"/>
        </w:rPr>
      </w:pPr>
    </w:p>
    <w:p w14:paraId="2322A1FD" w14:textId="77777777" w:rsidR="001B11F7" w:rsidRDefault="001B11F7">
      <w:pPr>
        <w:widowControl w:val="0"/>
        <w:tabs>
          <w:tab w:val="left" w:pos="567"/>
        </w:tabs>
        <w:ind w:left="567" w:hanging="567"/>
        <w:jc w:val="center"/>
        <w:outlineLvl w:val="0"/>
        <w:rPr>
          <w:b/>
          <w:sz w:val="22"/>
          <w:szCs w:val="22"/>
          <w:lang w:val="lt-LT" w:eastAsia="en-US"/>
        </w:rPr>
      </w:pPr>
    </w:p>
    <w:p w14:paraId="02AD1BBD" w14:textId="77777777" w:rsidR="001B11F7" w:rsidRDefault="001B11F7">
      <w:pPr>
        <w:widowControl w:val="0"/>
        <w:tabs>
          <w:tab w:val="left" w:pos="567"/>
        </w:tabs>
        <w:ind w:left="567" w:hanging="567"/>
        <w:jc w:val="center"/>
        <w:outlineLvl w:val="0"/>
        <w:rPr>
          <w:b/>
          <w:sz w:val="22"/>
          <w:szCs w:val="22"/>
          <w:lang w:val="lt-LT" w:eastAsia="en-US"/>
        </w:rPr>
      </w:pPr>
    </w:p>
    <w:p w14:paraId="460DD74F" w14:textId="77777777" w:rsidR="001B11F7" w:rsidRDefault="001B11F7">
      <w:pPr>
        <w:widowControl w:val="0"/>
        <w:tabs>
          <w:tab w:val="left" w:pos="567"/>
        </w:tabs>
        <w:ind w:left="567" w:hanging="567"/>
        <w:jc w:val="center"/>
        <w:outlineLvl w:val="0"/>
        <w:rPr>
          <w:b/>
          <w:sz w:val="22"/>
          <w:szCs w:val="22"/>
          <w:lang w:val="lt-LT" w:eastAsia="en-US"/>
        </w:rPr>
      </w:pPr>
    </w:p>
    <w:p w14:paraId="1C09CDA4" w14:textId="77777777" w:rsidR="001B11F7" w:rsidRDefault="001B11F7">
      <w:pPr>
        <w:widowControl w:val="0"/>
        <w:tabs>
          <w:tab w:val="left" w:pos="567"/>
        </w:tabs>
        <w:ind w:left="567" w:hanging="567"/>
        <w:jc w:val="center"/>
        <w:outlineLvl w:val="0"/>
        <w:rPr>
          <w:b/>
          <w:sz w:val="22"/>
          <w:szCs w:val="22"/>
          <w:lang w:val="lt-LT" w:eastAsia="en-US"/>
        </w:rPr>
      </w:pPr>
    </w:p>
    <w:p w14:paraId="3F22D230" w14:textId="77777777" w:rsidR="001B11F7" w:rsidRDefault="001B11F7">
      <w:pPr>
        <w:widowControl w:val="0"/>
        <w:tabs>
          <w:tab w:val="left" w:pos="567"/>
        </w:tabs>
        <w:ind w:left="567" w:hanging="567"/>
        <w:jc w:val="center"/>
        <w:outlineLvl w:val="0"/>
        <w:rPr>
          <w:b/>
          <w:sz w:val="22"/>
          <w:szCs w:val="22"/>
          <w:lang w:val="lt-LT" w:eastAsia="en-US"/>
        </w:rPr>
      </w:pPr>
    </w:p>
    <w:p w14:paraId="35E64B76" w14:textId="77777777" w:rsidR="001B11F7" w:rsidRDefault="001B11F7">
      <w:pPr>
        <w:widowControl w:val="0"/>
        <w:tabs>
          <w:tab w:val="left" w:pos="567"/>
        </w:tabs>
        <w:ind w:left="567" w:hanging="567"/>
        <w:jc w:val="center"/>
        <w:outlineLvl w:val="0"/>
        <w:rPr>
          <w:b/>
          <w:sz w:val="22"/>
          <w:szCs w:val="22"/>
          <w:lang w:val="lt-LT" w:eastAsia="en-US"/>
        </w:rPr>
      </w:pPr>
    </w:p>
    <w:p w14:paraId="5EE9C768" w14:textId="77777777" w:rsidR="001B11F7" w:rsidRDefault="001B11F7">
      <w:pPr>
        <w:widowControl w:val="0"/>
        <w:tabs>
          <w:tab w:val="left" w:pos="567"/>
        </w:tabs>
        <w:ind w:left="567" w:hanging="567"/>
        <w:jc w:val="center"/>
        <w:outlineLvl w:val="0"/>
        <w:rPr>
          <w:b/>
          <w:sz w:val="22"/>
          <w:szCs w:val="22"/>
          <w:lang w:val="lt-LT" w:eastAsia="en-US"/>
        </w:rPr>
      </w:pPr>
    </w:p>
    <w:p w14:paraId="4993BCF1" w14:textId="77777777" w:rsidR="001B11F7" w:rsidRDefault="001B11F7">
      <w:pPr>
        <w:widowControl w:val="0"/>
        <w:tabs>
          <w:tab w:val="left" w:pos="567"/>
        </w:tabs>
        <w:ind w:left="567" w:hanging="567"/>
        <w:jc w:val="center"/>
        <w:outlineLvl w:val="0"/>
        <w:rPr>
          <w:b/>
          <w:sz w:val="22"/>
          <w:szCs w:val="22"/>
          <w:lang w:val="lt-LT" w:eastAsia="en-US"/>
        </w:rPr>
      </w:pPr>
    </w:p>
    <w:p w14:paraId="43C4536D" w14:textId="77777777" w:rsidR="001B11F7" w:rsidRDefault="001B11F7">
      <w:pPr>
        <w:widowControl w:val="0"/>
        <w:tabs>
          <w:tab w:val="left" w:pos="567"/>
        </w:tabs>
        <w:ind w:left="567" w:hanging="567"/>
        <w:jc w:val="center"/>
        <w:outlineLvl w:val="0"/>
        <w:rPr>
          <w:b/>
          <w:sz w:val="22"/>
          <w:szCs w:val="22"/>
          <w:lang w:val="lt-LT" w:eastAsia="en-US"/>
        </w:rPr>
      </w:pPr>
    </w:p>
    <w:p w14:paraId="5DC14953" w14:textId="77777777" w:rsidR="001B11F7" w:rsidRDefault="001B11F7">
      <w:pPr>
        <w:widowControl w:val="0"/>
        <w:tabs>
          <w:tab w:val="left" w:pos="567"/>
        </w:tabs>
        <w:ind w:left="567" w:hanging="567"/>
        <w:jc w:val="center"/>
        <w:outlineLvl w:val="0"/>
        <w:rPr>
          <w:b/>
          <w:sz w:val="22"/>
          <w:szCs w:val="22"/>
          <w:lang w:val="lt-LT" w:eastAsia="en-US"/>
        </w:rPr>
      </w:pPr>
    </w:p>
    <w:p w14:paraId="5B26CEFD" w14:textId="77777777" w:rsidR="001B11F7" w:rsidRDefault="00B83885">
      <w:pPr>
        <w:widowControl w:val="0"/>
        <w:tabs>
          <w:tab w:val="left" w:pos="567"/>
        </w:tabs>
        <w:ind w:left="567" w:hanging="567"/>
        <w:jc w:val="center"/>
        <w:outlineLvl w:val="0"/>
        <w:rPr>
          <w:b/>
          <w:sz w:val="22"/>
          <w:szCs w:val="22"/>
          <w:lang w:val="lt-LT" w:eastAsia="en-US"/>
        </w:rPr>
      </w:pPr>
      <w:r>
        <w:rPr>
          <w:b/>
          <w:sz w:val="22"/>
          <w:szCs w:val="22"/>
          <w:lang w:val="lt-LT" w:eastAsia="en-US"/>
        </w:rPr>
        <w:t>B. PAKUOTĖS LAPELIS</w:t>
      </w:r>
      <w:bookmarkEnd w:id="12"/>
      <w:bookmarkEnd w:id="13"/>
    </w:p>
    <w:p w14:paraId="7ADFB7F1" w14:textId="77777777" w:rsidR="001B11F7" w:rsidRDefault="00B83885">
      <w:pPr>
        <w:widowControl w:val="0"/>
        <w:tabs>
          <w:tab w:val="left" w:pos="567"/>
        </w:tabs>
        <w:ind w:left="567" w:hanging="567"/>
        <w:jc w:val="center"/>
        <w:outlineLvl w:val="0"/>
        <w:rPr>
          <w:b/>
          <w:sz w:val="22"/>
          <w:szCs w:val="22"/>
          <w:lang w:val="lt-LT" w:eastAsia="en-US"/>
        </w:rPr>
      </w:pPr>
      <w:r>
        <w:rPr>
          <w:b/>
          <w:sz w:val="22"/>
          <w:szCs w:val="22"/>
          <w:lang w:val="lt-LT" w:eastAsia="en-US"/>
        </w:rPr>
        <w:br w:type="page"/>
      </w:r>
      <w:bookmarkStart w:id="14" w:name="_Toc129243138"/>
      <w:bookmarkStart w:id="15" w:name="_Toc129243263"/>
      <w:r>
        <w:rPr>
          <w:b/>
          <w:sz w:val="22"/>
          <w:szCs w:val="22"/>
          <w:lang w:val="lt-LT" w:eastAsia="en-US"/>
        </w:rPr>
        <w:lastRenderedPageBreak/>
        <w:t xml:space="preserve">Pakuotės lapelis: </w:t>
      </w:r>
      <w:bookmarkEnd w:id="14"/>
      <w:bookmarkEnd w:id="15"/>
      <w:r>
        <w:rPr>
          <w:b/>
          <w:sz w:val="22"/>
          <w:szCs w:val="22"/>
          <w:lang w:val="lt-LT" w:eastAsia="en-US"/>
        </w:rPr>
        <w:t>informacija pacientui</w:t>
      </w:r>
    </w:p>
    <w:p w14:paraId="73A0984D" w14:textId="77777777" w:rsidR="001B11F7" w:rsidRDefault="001B11F7">
      <w:pPr>
        <w:widowControl w:val="0"/>
        <w:jc w:val="center"/>
        <w:rPr>
          <w:b/>
          <w:sz w:val="22"/>
          <w:szCs w:val="22"/>
          <w:lang w:val="lt-LT" w:eastAsia="lt-LT"/>
        </w:rPr>
      </w:pPr>
    </w:p>
    <w:p w14:paraId="72FFB6A2" w14:textId="77777777" w:rsidR="001B11F7" w:rsidRDefault="00B83885">
      <w:pPr>
        <w:widowControl w:val="0"/>
        <w:jc w:val="center"/>
        <w:rPr>
          <w:b/>
          <w:sz w:val="22"/>
          <w:szCs w:val="22"/>
          <w:lang w:val="lt-LT" w:eastAsia="lt-LT"/>
        </w:rPr>
      </w:pPr>
      <w:r>
        <w:rPr>
          <w:b/>
          <w:sz w:val="22"/>
          <w:szCs w:val="22"/>
          <w:lang w:val="lt-LT" w:eastAsia="lt-LT"/>
        </w:rPr>
        <w:t>Atoris</w:t>
      </w:r>
      <w:r>
        <w:rPr>
          <w:b/>
          <w:sz w:val="22"/>
          <w:szCs w:val="22"/>
          <w:vertAlign w:val="superscript"/>
          <w:lang w:val="lt-LT" w:eastAsia="lt-LT"/>
        </w:rPr>
        <w:t xml:space="preserve"> </w:t>
      </w:r>
      <w:r>
        <w:rPr>
          <w:b/>
          <w:sz w:val="22"/>
          <w:szCs w:val="22"/>
          <w:lang w:val="lt-LT" w:eastAsia="lt-LT"/>
        </w:rPr>
        <w:t>10 mg plėvele dengtos tabletės</w:t>
      </w:r>
    </w:p>
    <w:p w14:paraId="570E5E02" w14:textId="77777777" w:rsidR="001B11F7" w:rsidRDefault="00B83885">
      <w:pPr>
        <w:widowControl w:val="0"/>
        <w:jc w:val="center"/>
        <w:rPr>
          <w:b/>
          <w:sz w:val="22"/>
          <w:szCs w:val="22"/>
          <w:lang w:val="lt-LT" w:eastAsia="lt-LT"/>
        </w:rPr>
      </w:pPr>
      <w:r>
        <w:rPr>
          <w:b/>
          <w:sz w:val="22"/>
          <w:szCs w:val="22"/>
          <w:lang w:val="lt-LT" w:eastAsia="lt-LT"/>
        </w:rPr>
        <w:t>Atoris</w:t>
      </w:r>
      <w:r>
        <w:rPr>
          <w:b/>
          <w:sz w:val="22"/>
          <w:szCs w:val="22"/>
          <w:vertAlign w:val="superscript"/>
          <w:lang w:val="lt-LT" w:eastAsia="lt-LT"/>
        </w:rPr>
        <w:t xml:space="preserve"> </w:t>
      </w:r>
      <w:r>
        <w:rPr>
          <w:b/>
          <w:sz w:val="22"/>
          <w:szCs w:val="22"/>
          <w:lang w:val="lt-LT" w:eastAsia="lt-LT"/>
        </w:rPr>
        <w:t>20 mg plėvele dengtos tabletės</w:t>
      </w:r>
    </w:p>
    <w:p w14:paraId="5D3967FD" w14:textId="77777777" w:rsidR="001B11F7" w:rsidRDefault="00B83885">
      <w:pPr>
        <w:widowControl w:val="0"/>
        <w:jc w:val="center"/>
        <w:rPr>
          <w:b/>
          <w:sz w:val="22"/>
          <w:szCs w:val="22"/>
          <w:lang w:val="lt-LT" w:eastAsia="lt-LT"/>
        </w:rPr>
      </w:pPr>
      <w:r>
        <w:rPr>
          <w:b/>
          <w:sz w:val="22"/>
          <w:szCs w:val="22"/>
          <w:lang w:val="lt-LT" w:eastAsia="lt-LT"/>
        </w:rPr>
        <w:t>Atoris</w:t>
      </w:r>
      <w:r>
        <w:rPr>
          <w:b/>
          <w:sz w:val="22"/>
          <w:szCs w:val="22"/>
          <w:vertAlign w:val="superscript"/>
          <w:lang w:val="lt-LT" w:eastAsia="lt-LT"/>
        </w:rPr>
        <w:t xml:space="preserve"> </w:t>
      </w:r>
      <w:r>
        <w:rPr>
          <w:b/>
          <w:sz w:val="22"/>
          <w:szCs w:val="22"/>
          <w:lang w:val="lt-LT" w:eastAsia="lt-LT"/>
        </w:rPr>
        <w:t>40 mg plėvele dengtos tabletės</w:t>
      </w:r>
    </w:p>
    <w:p w14:paraId="7E573903" w14:textId="77777777" w:rsidR="001B11F7" w:rsidRDefault="00B83885">
      <w:pPr>
        <w:widowControl w:val="0"/>
        <w:jc w:val="center"/>
        <w:rPr>
          <w:sz w:val="22"/>
          <w:szCs w:val="22"/>
          <w:lang w:val="lt-LT" w:eastAsia="lt-LT"/>
        </w:rPr>
      </w:pPr>
      <w:r>
        <w:rPr>
          <w:sz w:val="22"/>
          <w:szCs w:val="22"/>
          <w:lang w:val="lt-LT" w:eastAsia="lt-LT"/>
        </w:rPr>
        <w:t>atorvastatinas</w:t>
      </w:r>
    </w:p>
    <w:p w14:paraId="73331BB4" w14:textId="77777777" w:rsidR="001B11F7" w:rsidRDefault="001B11F7">
      <w:pPr>
        <w:widowControl w:val="0"/>
        <w:rPr>
          <w:sz w:val="22"/>
          <w:szCs w:val="22"/>
          <w:lang w:val="lt-LT" w:eastAsia="en-US"/>
        </w:rPr>
      </w:pPr>
    </w:p>
    <w:p w14:paraId="0ABAACB9" w14:textId="77777777" w:rsidR="001B11F7" w:rsidRDefault="00B83885">
      <w:pPr>
        <w:widowControl w:val="0"/>
        <w:rPr>
          <w:b/>
          <w:sz w:val="22"/>
          <w:szCs w:val="22"/>
          <w:lang w:val="lt-LT" w:eastAsia="en-US"/>
        </w:rPr>
      </w:pPr>
      <w:r>
        <w:rPr>
          <w:b/>
          <w:sz w:val="22"/>
          <w:szCs w:val="22"/>
          <w:lang w:val="lt-LT" w:eastAsia="en-US"/>
        </w:rPr>
        <w:t>Atidžiai perskaitykite visą šį lapelį, prieš pradėdami vartoti vaistą, nes jame pateikiama Jums svarbi informacija.</w:t>
      </w:r>
    </w:p>
    <w:p w14:paraId="3680F113" w14:textId="77777777" w:rsidR="001B11F7" w:rsidRDefault="00B83885">
      <w:pPr>
        <w:widowControl w:val="0"/>
        <w:numPr>
          <w:ilvl w:val="0"/>
          <w:numId w:val="1"/>
        </w:numPr>
        <w:ind w:left="567" w:hanging="567"/>
        <w:contextualSpacing/>
        <w:rPr>
          <w:sz w:val="22"/>
          <w:szCs w:val="22"/>
          <w:lang w:val="lt-LT" w:eastAsia="en-US"/>
        </w:rPr>
      </w:pPr>
      <w:r>
        <w:rPr>
          <w:sz w:val="22"/>
          <w:szCs w:val="22"/>
          <w:lang w:val="lt-LT" w:eastAsia="en-US"/>
        </w:rPr>
        <w:t>Neišmeskite šio lapelio, nes vėl gali prireikti jį perskaityti.</w:t>
      </w:r>
    </w:p>
    <w:p w14:paraId="0BAD44C4" w14:textId="77777777" w:rsidR="001B11F7" w:rsidRDefault="00B83885">
      <w:pPr>
        <w:widowControl w:val="0"/>
        <w:numPr>
          <w:ilvl w:val="0"/>
          <w:numId w:val="1"/>
        </w:numPr>
        <w:ind w:left="567" w:hanging="567"/>
        <w:contextualSpacing/>
        <w:rPr>
          <w:sz w:val="22"/>
          <w:szCs w:val="22"/>
          <w:lang w:val="lt-LT" w:eastAsia="en-US"/>
        </w:rPr>
      </w:pPr>
      <w:r>
        <w:rPr>
          <w:sz w:val="22"/>
          <w:szCs w:val="22"/>
          <w:lang w:val="lt-LT" w:eastAsia="en-US"/>
        </w:rPr>
        <w:t>Jeigu kiltų daugiau klausimų, kreipkitės į gydytoją arba vaistininką.</w:t>
      </w:r>
    </w:p>
    <w:p w14:paraId="1133C509" w14:textId="77777777" w:rsidR="001B11F7" w:rsidRDefault="00B83885">
      <w:pPr>
        <w:widowControl w:val="0"/>
        <w:numPr>
          <w:ilvl w:val="0"/>
          <w:numId w:val="1"/>
        </w:numPr>
        <w:ind w:left="567" w:hanging="567"/>
        <w:contextualSpacing/>
        <w:rPr>
          <w:sz w:val="22"/>
          <w:szCs w:val="22"/>
          <w:lang w:val="lt-LT" w:eastAsia="en-US"/>
        </w:rPr>
      </w:pPr>
      <w:r>
        <w:rPr>
          <w:sz w:val="22"/>
          <w:szCs w:val="22"/>
          <w:lang w:val="lt-LT" w:eastAsia="en-US"/>
        </w:rPr>
        <w:t>Šis vaistas skirtas tik Jums, todėl kitiems žmonėms jo duoti negalima. Vaistas gali jiems pakenkti (net tiems, kurių ligos požymiai yra tokie patys kaip Jūsų).</w:t>
      </w:r>
    </w:p>
    <w:p w14:paraId="0A1A95BB" w14:textId="77777777" w:rsidR="001B11F7" w:rsidRDefault="00B83885">
      <w:pPr>
        <w:widowControl w:val="0"/>
        <w:numPr>
          <w:ilvl w:val="0"/>
          <w:numId w:val="1"/>
        </w:numPr>
        <w:ind w:left="567" w:hanging="567"/>
        <w:contextualSpacing/>
        <w:rPr>
          <w:sz w:val="22"/>
          <w:szCs w:val="22"/>
          <w:lang w:val="lt-LT" w:eastAsia="en-US"/>
        </w:rPr>
      </w:pPr>
      <w:r>
        <w:rPr>
          <w:sz w:val="22"/>
          <w:szCs w:val="22"/>
          <w:lang w:val="lt-LT" w:eastAsia="en-US"/>
        </w:rPr>
        <w:t>Jeigu pasireiškė šalutinis poveikis (net jeigu jis šiame lapelyje nenurodytas), kreipkitės į gydytoją. Žr. 4 skyrių.</w:t>
      </w:r>
    </w:p>
    <w:p w14:paraId="38EEE7E6" w14:textId="77777777" w:rsidR="001B11F7" w:rsidRDefault="001B11F7">
      <w:pPr>
        <w:widowControl w:val="0"/>
        <w:rPr>
          <w:sz w:val="22"/>
          <w:szCs w:val="22"/>
          <w:lang w:val="lt-LT" w:eastAsia="lt-LT"/>
        </w:rPr>
      </w:pPr>
    </w:p>
    <w:p w14:paraId="4043288A" w14:textId="77777777" w:rsidR="001B11F7" w:rsidRDefault="00B83885">
      <w:pPr>
        <w:widowControl w:val="0"/>
        <w:rPr>
          <w:b/>
          <w:sz w:val="22"/>
          <w:szCs w:val="22"/>
          <w:lang w:val="lt-LT" w:eastAsia="lt-LT"/>
        </w:rPr>
      </w:pPr>
      <w:r>
        <w:rPr>
          <w:b/>
          <w:sz w:val="22"/>
          <w:szCs w:val="22"/>
          <w:lang w:val="lt-LT" w:eastAsia="lt-LT"/>
        </w:rPr>
        <w:t>Apie ką rašoma šiame lapelyje?</w:t>
      </w:r>
    </w:p>
    <w:p w14:paraId="6B7702A2" w14:textId="77777777" w:rsidR="001B11F7" w:rsidRDefault="001B11F7">
      <w:pPr>
        <w:widowControl w:val="0"/>
        <w:rPr>
          <w:b/>
          <w:sz w:val="22"/>
          <w:szCs w:val="22"/>
          <w:lang w:val="lt-LT" w:eastAsia="lt-LT"/>
        </w:rPr>
      </w:pPr>
    </w:p>
    <w:p w14:paraId="4FACEC26" w14:textId="77777777" w:rsidR="001B11F7" w:rsidRDefault="00B83885">
      <w:pPr>
        <w:widowControl w:val="0"/>
        <w:ind w:left="567" w:hanging="567"/>
        <w:rPr>
          <w:sz w:val="22"/>
          <w:szCs w:val="22"/>
          <w:lang w:val="lt-LT" w:eastAsia="lt-LT"/>
        </w:rPr>
      </w:pPr>
      <w:r>
        <w:rPr>
          <w:sz w:val="22"/>
          <w:szCs w:val="22"/>
          <w:lang w:val="lt-LT" w:eastAsia="lt-LT"/>
        </w:rPr>
        <w:t>1.</w:t>
      </w:r>
      <w:r>
        <w:rPr>
          <w:sz w:val="22"/>
          <w:szCs w:val="22"/>
          <w:lang w:val="lt-LT" w:eastAsia="lt-LT"/>
        </w:rPr>
        <w:tab/>
        <w:t>Kas yra Atoris ir kam jis vartojamas</w:t>
      </w:r>
    </w:p>
    <w:p w14:paraId="37EC4BD7" w14:textId="77777777" w:rsidR="001B11F7" w:rsidRDefault="00B83885">
      <w:pPr>
        <w:widowControl w:val="0"/>
        <w:ind w:left="567" w:hanging="567"/>
        <w:rPr>
          <w:sz w:val="22"/>
          <w:szCs w:val="22"/>
          <w:lang w:val="lt-LT" w:eastAsia="lt-LT"/>
        </w:rPr>
      </w:pPr>
      <w:r>
        <w:rPr>
          <w:sz w:val="22"/>
          <w:szCs w:val="22"/>
          <w:lang w:val="lt-LT" w:eastAsia="lt-LT"/>
        </w:rPr>
        <w:t>2.</w:t>
      </w:r>
      <w:r>
        <w:rPr>
          <w:sz w:val="22"/>
          <w:szCs w:val="22"/>
          <w:lang w:val="lt-LT" w:eastAsia="lt-LT"/>
        </w:rPr>
        <w:tab/>
        <w:t>Kas žinotina prieš vartojant Atoris</w:t>
      </w:r>
    </w:p>
    <w:p w14:paraId="7F264F5E" w14:textId="77777777" w:rsidR="001B11F7" w:rsidRDefault="00B83885">
      <w:pPr>
        <w:widowControl w:val="0"/>
        <w:ind w:left="567" w:hanging="567"/>
        <w:rPr>
          <w:sz w:val="22"/>
          <w:szCs w:val="22"/>
          <w:lang w:val="lt-LT" w:eastAsia="lt-LT"/>
        </w:rPr>
      </w:pPr>
      <w:r>
        <w:rPr>
          <w:sz w:val="22"/>
          <w:szCs w:val="22"/>
          <w:lang w:val="lt-LT" w:eastAsia="lt-LT"/>
        </w:rPr>
        <w:t>3.</w:t>
      </w:r>
      <w:r>
        <w:rPr>
          <w:sz w:val="22"/>
          <w:szCs w:val="22"/>
          <w:lang w:val="lt-LT" w:eastAsia="lt-LT"/>
        </w:rPr>
        <w:tab/>
        <w:t>Kaip vartoti Atoris</w:t>
      </w:r>
    </w:p>
    <w:p w14:paraId="7BBFC84C" w14:textId="77777777" w:rsidR="001B11F7" w:rsidRDefault="00B83885">
      <w:pPr>
        <w:widowControl w:val="0"/>
        <w:ind w:left="567" w:hanging="567"/>
        <w:rPr>
          <w:sz w:val="22"/>
          <w:szCs w:val="22"/>
          <w:lang w:val="lt-LT" w:eastAsia="lt-LT"/>
        </w:rPr>
      </w:pPr>
      <w:r>
        <w:rPr>
          <w:sz w:val="22"/>
          <w:szCs w:val="22"/>
          <w:lang w:val="lt-LT" w:eastAsia="lt-LT"/>
        </w:rPr>
        <w:t>4.</w:t>
      </w:r>
      <w:r>
        <w:rPr>
          <w:sz w:val="22"/>
          <w:szCs w:val="22"/>
          <w:lang w:val="lt-LT" w:eastAsia="lt-LT"/>
        </w:rPr>
        <w:tab/>
        <w:t>Galimas šalutinis poveikis</w:t>
      </w:r>
    </w:p>
    <w:p w14:paraId="07741542" w14:textId="77777777" w:rsidR="001B11F7" w:rsidRDefault="00B83885">
      <w:pPr>
        <w:widowControl w:val="0"/>
        <w:ind w:left="567" w:hanging="567"/>
        <w:rPr>
          <w:sz w:val="22"/>
          <w:szCs w:val="22"/>
          <w:lang w:val="lt-LT" w:eastAsia="lt-LT"/>
        </w:rPr>
      </w:pPr>
      <w:r>
        <w:rPr>
          <w:sz w:val="22"/>
          <w:szCs w:val="22"/>
          <w:lang w:val="lt-LT" w:eastAsia="lt-LT"/>
        </w:rPr>
        <w:t>5.</w:t>
      </w:r>
      <w:r>
        <w:rPr>
          <w:sz w:val="22"/>
          <w:szCs w:val="22"/>
          <w:lang w:val="lt-LT" w:eastAsia="lt-LT"/>
        </w:rPr>
        <w:tab/>
        <w:t>Kaip laikyti Atoris</w:t>
      </w:r>
    </w:p>
    <w:p w14:paraId="0B602C05" w14:textId="77777777" w:rsidR="001B11F7" w:rsidRDefault="00B83885">
      <w:pPr>
        <w:widowControl w:val="0"/>
        <w:ind w:left="567" w:hanging="567"/>
        <w:rPr>
          <w:sz w:val="22"/>
          <w:szCs w:val="22"/>
          <w:lang w:val="lt-LT" w:eastAsia="lt-LT"/>
        </w:rPr>
      </w:pPr>
      <w:r>
        <w:rPr>
          <w:sz w:val="22"/>
          <w:szCs w:val="22"/>
          <w:lang w:val="lt-LT" w:eastAsia="lt-LT"/>
        </w:rPr>
        <w:t>6.</w:t>
      </w:r>
      <w:r>
        <w:rPr>
          <w:sz w:val="22"/>
          <w:szCs w:val="22"/>
          <w:lang w:val="lt-LT" w:eastAsia="lt-LT"/>
        </w:rPr>
        <w:tab/>
        <w:t>Pakuotės turinys ir kita informacija</w:t>
      </w:r>
    </w:p>
    <w:p w14:paraId="03856149" w14:textId="77777777" w:rsidR="001B11F7" w:rsidRDefault="001B11F7">
      <w:pPr>
        <w:widowControl w:val="0"/>
        <w:rPr>
          <w:sz w:val="22"/>
          <w:szCs w:val="22"/>
          <w:lang w:val="lt-LT" w:eastAsia="lt-LT"/>
        </w:rPr>
      </w:pPr>
    </w:p>
    <w:p w14:paraId="2EF1DA1A" w14:textId="77777777" w:rsidR="001B11F7" w:rsidRDefault="001B11F7">
      <w:pPr>
        <w:widowControl w:val="0"/>
        <w:rPr>
          <w:sz w:val="22"/>
          <w:szCs w:val="22"/>
          <w:lang w:val="lt-LT" w:eastAsia="lt-LT"/>
        </w:rPr>
      </w:pPr>
    </w:p>
    <w:p w14:paraId="0F48F436" w14:textId="77777777" w:rsidR="001B11F7" w:rsidRDefault="00B83885">
      <w:pPr>
        <w:widowControl w:val="0"/>
        <w:ind w:left="567" w:hanging="567"/>
        <w:outlineLvl w:val="1"/>
        <w:rPr>
          <w:b/>
          <w:sz w:val="22"/>
          <w:szCs w:val="22"/>
          <w:lang w:val="lt-LT" w:eastAsia="lt-LT"/>
        </w:rPr>
      </w:pPr>
      <w:r>
        <w:rPr>
          <w:b/>
          <w:sz w:val="22"/>
          <w:szCs w:val="22"/>
          <w:lang w:val="lt-LT" w:eastAsia="lt-LT"/>
        </w:rPr>
        <w:t>1.</w:t>
      </w:r>
      <w:r>
        <w:rPr>
          <w:b/>
          <w:sz w:val="22"/>
          <w:szCs w:val="22"/>
          <w:lang w:val="lt-LT" w:eastAsia="lt-LT"/>
        </w:rPr>
        <w:tab/>
        <w:t>Kas yra Atoris ir kam jis vartojamas</w:t>
      </w:r>
    </w:p>
    <w:p w14:paraId="7CCD6A25" w14:textId="77777777" w:rsidR="001B11F7" w:rsidRDefault="001B11F7">
      <w:pPr>
        <w:widowControl w:val="0"/>
        <w:rPr>
          <w:sz w:val="22"/>
          <w:szCs w:val="22"/>
          <w:u w:val="single"/>
          <w:lang w:val="lt-LT" w:eastAsia="lt-LT"/>
        </w:rPr>
      </w:pPr>
    </w:p>
    <w:p w14:paraId="6F6E05EC" w14:textId="77777777" w:rsidR="001B11F7" w:rsidRDefault="00B83885">
      <w:pPr>
        <w:widowControl w:val="0"/>
        <w:rPr>
          <w:sz w:val="22"/>
          <w:szCs w:val="22"/>
          <w:lang w:val="lt-LT" w:eastAsia="en-US"/>
        </w:rPr>
      </w:pPr>
      <w:r>
        <w:rPr>
          <w:sz w:val="22"/>
          <w:szCs w:val="22"/>
          <w:lang w:val="lt-LT" w:eastAsia="lt-LT"/>
        </w:rPr>
        <w:t xml:space="preserve">Atoris </w:t>
      </w:r>
      <w:r>
        <w:rPr>
          <w:sz w:val="22"/>
          <w:szCs w:val="22"/>
          <w:lang w:val="lt-LT" w:eastAsia="en-US"/>
        </w:rPr>
        <w:t>priklauso vaistų, vadinamų statinais, grupei. Šie vaistai reguliuoja lipidų (riebalų) kiekį kraujyje.</w:t>
      </w:r>
    </w:p>
    <w:p w14:paraId="6AE631EE" w14:textId="77777777" w:rsidR="001B11F7" w:rsidRDefault="001B11F7">
      <w:pPr>
        <w:widowControl w:val="0"/>
        <w:rPr>
          <w:sz w:val="22"/>
          <w:szCs w:val="22"/>
          <w:lang w:val="lt-LT" w:eastAsia="en-US"/>
        </w:rPr>
      </w:pPr>
    </w:p>
    <w:p w14:paraId="1C1679C4" w14:textId="77777777" w:rsidR="001B11F7" w:rsidRDefault="00B83885">
      <w:pPr>
        <w:widowControl w:val="0"/>
        <w:numPr>
          <w:ilvl w:val="12"/>
          <w:numId w:val="0"/>
        </w:numPr>
        <w:rPr>
          <w:sz w:val="22"/>
          <w:szCs w:val="22"/>
          <w:lang w:val="lt-LT" w:eastAsia="en-US"/>
        </w:rPr>
      </w:pPr>
      <w:r>
        <w:rPr>
          <w:sz w:val="22"/>
          <w:szCs w:val="22"/>
          <w:lang w:val="lt-LT" w:eastAsia="en-US"/>
        </w:rPr>
        <w:t>Atoris vartojamas lipidų, vadinamų cholesteroliu ir trigliceridais, kiekiui kraujyje mažinti, kai vien dieta ir gyvenimo būdo keitimas yra neveiksmingi. Jeigu yra padidėjusi širdies ligos rizika, Atoris gali būti vartojamas šiai rizikai mažinti, net tuo atveju, jei cholesterolio kiekis yra normalus. Gydymo metu turite ir toliau laikytis įprastos cholesterolio kiekį kraujyje mažinančios dietos.</w:t>
      </w:r>
    </w:p>
    <w:p w14:paraId="254A02E3" w14:textId="77777777" w:rsidR="001B11F7" w:rsidRDefault="001B11F7">
      <w:pPr>
        <w:widowControl w:val="0"/>
        <w:rPr>
          <w:sz w:val="22"/>
          <w:szCs w:val="22"/>
          <w:lang w:val="lt-LT" w:eastAsia="lt-LT"/>
        </w:rPr>
      </w:pPr>
    </w:p>
    <w:p w14:paraId="235D7829" w14:textId="77777777" w:rsidR="001B11F7" w:rsidRDefault="001B11F7">
      <w:pPr>
        <w:widowControl w:val="0"/>
        <w:rPr>
          <w:sz w:val="22"/>
          <w:szCs w:val="22"/>
          <w:lang w:val="lt-LT" w:eastAsia="lt-LT"/>
        </w:rPr>
      </w:pPr>
    </w:p>
    <w:p w14:paraId="53D7917D" w14:textId="77777777" w:rsidR="001B11F7" w:rsidRDefault="00B83885">
      <w:pPr>
        <w:widowControl w:val="0"/>
        <w:ind w:left="567" w:hanging="567"/>
        <w:outlineLvl w:val="1"/>
        <w:rPr>
          <w:b/>
          <w:sz w:val="22"/>
          <w:szCs w:val="22"/>
          <w:lang w:val="lt-LT" w:eastAsia="lt-LT"/>
        </w:rPr>
      </w:pPr>
      <w:r>
        <w:rPr>
          <w:b/>
          <w:sz w:val="22"/>
          <w:szCs w:val="22"/>
          <w:lang w:val="lt-LT" w:eastAsia="lt-LT"/>
        </w:rPr>
        <w:t>2.</w:t>
      </w:r>
      <w:r>
        <w:rPr>
          <w:b/>
          <w:sz w:val="22"/>
          <w:szCs w:val="22"/>
          <w:lang w:val="lt-LT" w:eastAsia="lt-LT"/>
        </w:rPr>
        <w:tab/>
        <w:t>Kas žinotina prieš vartojant Atoris</w:t>
      </w:r>
    </w:p>
    <w:p w14:paraId="0FF54506" w14:textId="77777777" w:rsidR="001B11F7" w:rsidRDefault="001B11F7">
      <w:pPr>
        <w:widowControl w:val="0"/>
        <w:rPr>
          <w:sz w:val="22"/>
          <w:szCs w:val="22"/>
          <w:lang w:val="lt-LT" w:eastAsia="lt-LT"/>
        </w:rPr>
      </w:pPr>
    </w:p>
    <w:p w14:paraId="4F65BE23" w14:textId="77777777" w:rsidR="001B11F7" w:rsidRDefault="00B83885">
      <w:pPr>
        <w:widowControl w:val="0"/>
        <w:ind w:left="540" w:hanging="540"/>
        <w:outlineLvl w:val="2"/>
        <w:rPr>
          <w:b/>
          <w:sz w:val="22"/>
          <w:szCs w:val="22"/>
          <w:lang w:val="lt-LT" w:eastAsia="lt-LT"/>
        </w:rPr>
      </w:pPr>
      <w:r>
        <w:rPr>
          <w:b/>
          <w:sz w:val="22"/>
          <w:szCs w:val="22"/>
          <w:lang w:val="lt-LT" w:eastAsia="lt-LT"/>
        </w:rPr>
        <w:t>Atoris vartoti draudžiama</w:t>
      </w:r>
    </w:p>
    <w:p w14:paraId="0D3C1F15"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yra alergija veikliajai medžiagai arba bet kuriai pagalbinei šio vaisto medžiagai (jos išvardytos 6 skyriuje);</w:t>
      </w:r>
    </w:p>
    <w:p w14:paraId="56811E5A"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sergate arba sirgote kepenis pažeidžiančia liga;</w:t>
      </w:r>
    </w:p>
    <w:p w14:paraId="3276459A"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dėl neaiškių priežasčių kepenų funkcijos tyrimų kraujyje rodmenys yra nenormalūs;</w:t>
      </w:r>
    </w:p>
    <w:p w14:paraId="7E58F5CA"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esate pastoti galinti moteris ir nenaudojate patikimos kontracepcijos priemonės;</w:t>
      </w:r>
    </w:p>
    <w:p w14:paraId="35DA4636"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esate nėščia arba planuojate pastoti;</w:t>
      </w:r>
    </w:p>
    <w:p w14:paraId="11C45AF7"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žindymo laikotarpiu</w:t>
      </w:r>
      <w:r>
        <w:rPr>
          <w:sz w:val="22"/>
          <w:szCs w:val="22"/>
          <w:lang w:val="lt-LT"/>
        </w:rPr>
        <w:t>;</w:t>
      </w:r>
    </w:p>
    <w:p w14:paraId="34E264F0" w14:textId="77777777" w:rsidR="001B11F7" w:rsidRDefault="00B83885">
      <w:pPr>
        <w:pStyle w:val="Sraopastraipa"/>
        <w:widowControl w:val="0"/>
        <w:numPr>
          <w:ilvl w:val="0"/>
          <w:numId w:val="8"/>
        </w:numPr>
        <w:ind w:left="567" w:hanging="567"/>
        <w:rPr>
          <w:sz w:val="22"/>
          <w:szCs w:val="22"/>
        </w:rPr>
      </w:pPr>
      <w:r>
        <w:rPr>
          <w:sz w:val="22"/>
          <w:szCs w:val="22"/>
          <w:lang w:eastAsia="sl-SI"/>
        </w:rPr>
        <w:t>jeigu vartojate vaistų glekapreviro ir pibrentasviro derinį hepatitui C gydyti.</w:t>
      </w:r>
    </w:p>
    <w:p w14:paraId="6C470F4C" w14:textId="77777777" w:rsidR="001B11F7" w:rsidRDefault="001B11F7">
      <w:pPr>
        <w:widowControl w:val="0"/>
        <w:rPr>
          <w:sz w:val="22"/>
          <w:szCs w:val="22"/>
          <w:lang w:val="lt-LT" w:eastAsia="lt-LT"/>
        </w:rPr>
      </w:pPr>
    </w:p>
    <w:p w14:paraId="7D22B4B7" w14:textId="77777777" w:rsidR="001B11F7" w:rsidRDefault="00B83885">
      <w:pPr>
        <w:widowControl w:val="0"/>
        <w:ind w:left="540" w:hanging="540"/>
        <w:outlineLvl w:val="2"/>
        <w:rPr>
          <w:b/>
          <w:sz w:val="22"/>
          <w:szCs w:val="22"/>
          <w:lang w:val="lt-LT" w:eastAsia="lt-LT"/>
        </w:rPr>
      </w:pPr>
      <w:r>
        <w:rPr>
          <w:b/>
          <w:sz w:val="22"/>
          <w:szCs w:val="22"/>
          <w:lang w:val="lt-LT" w:eastAsia="lt-LT"/>
        </w:rPr>
        <w:t>Įspėjimai ir atsargumo priemonės</w:t>
      </w:r>
    </w:p>
    <w:p w14:paraId="377BD614" w14:textId="77777777" w:rsidR="001B11F7" w:rsidRDefault="00B83885">
      <w:pPr>
        <w:widowControl w:val="0"/>
        <w:rPr>
          <w:sz w:val="22"/>
          <w:szCs w:val="22"/>
          <w:lang w:val="lt-LT" w:eastAsia="lt-LT"/>
        </w:rPr>
      </w:pPr>
      <w:r>
        <w:rPr>
          <w:sz w:val="22"/>
          <w:szCs w:val="22"/>
          <w:lang w:val="lt-LT" w:eastAsia="lt-LT"/>
        </w:rPr>
        <w:t>Pasitarkite su gydytoju arba vaistininku prieš pradėdami vartoti Atoris.</w:t>
      </w:r>
    </w:p>
    <w:p w14:paraId="24D09203" w14:textId="77777777" w:rsidR="001B11F7" w:rsidRDefault="001B11F7">
      <w:pPr>
        <w:widowControl w:val="0"/>
        <w:rPr>
          <w:sz w:val="22"/>
          <w:szCs w:val="22"/>
          <w:lang w:val="lt-LT" w:eastAsia="lt-LT"/>
        </w:rPr>
      </w:pPr>
    </w:p>
    <w:p w14:paraId="707E4146" w14:textId="77777777" w:rsidR="001B11F7" w:rsidRDefault="00B83885">
      <w:pPr>
        <w:widowControl w:val="0"/>
        <w:numPr>
          <w:ilvl w:val="12"/>
          <w:numId w:val="0"/>
        </w:numPr>
        <w:ind w:left="567" w:hanging="567"/>
        <w:rPr>
          <w:sz w:val="22"/>
          <w:szCs w:val="22"/>
          <w:lang w:val="lt-LT" w:eastAsia="en-US"/>
        </w:rPr>
      </w:pPr>
      <w:r>
        <w:rPr>
          <w:sz w:val="22"/>
          <w:szCs w:val="22"/>
          <w:lang w:val="lt-LT" w:eastAsia="en-US"/>
        </w:rPr>
        <w:t>Jei yra toliau išvardyta būklė, Atoris Jums gali netikti.</w:t>
      </w:r>
    </w:p>
    <w:p w14:paraId="369AFF82"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Jeigu sergate sunkiu kvėpavimo nepakankamumu.</w:t>
      </w:r>
    </w:p>
    <w:p w14:paraId="7348F969"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 xml:space="preserve">Jeigu vartojate arba per pastarąsias 7 dienas per burną arba injekcijos būdu vartojote vaistą, vadinamą fuzido rūgštimi (tai vaistas nuo bakterinės infekcijos). Fuzido rūgšties ir Atoris </w:t>
      </w:r>
      <w:r>
        <w:rPr>
          <w:sz w:val="22"/>
          <w:szCs w:val="22"/>
          <w:lang w:val="lt-LT" w:eastAsia="en-US"/>
        </w:rPr>
        <w:lastRenderedPageBreak/>
        <w:t>derinys gali sukelti sunkių raumenų sutrikimų (rabdomiolizę).</w:t>
      </w:r>
    </w:p>
    <w:p w14:paraId="51953385"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Patyrėte kraujavimu į smegenis pasireiškusį insultą arba po anksčiau patirto insulto smegenyse susiformavo nedidelės skysčio pripildytos ertmės.</w:t>
      </w:r>
    </w:p>
    <w:p w14:paraId="63E65140"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Yra sutrikusi inkstų veikla.</w:t>
      </w:r>
    </w:p>
    <w:p w14:paraId="15C7FF96"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Yra susilpnėjusi skydliaukės veikla (hipotirozė).</w:t>
      </w:r>
    </w:p>
    <w:p w14:paraId="34A4D038" w14:textId="77777777" w:rsidR="001B11F7" w:rsidRDefault="00B83885">
      <w:pPr>
        <w:widowControl w:val="0"/>
        <w:numPr>
          <w:ilvl w:val="0"/>
          <w:numId w:val="7"/>
        </w:numPr>
        <w:ind w:left="567" w:hanging="567"/>
        <w:rPr>
          <w:sz w:val="22"/>
          <w:szCs w:val="22"/>
          <w:lang w:val="lt-LT"/>
        </w:rPr>
      </w:pPr>
      <w:r>
        <w:rPr>
          <w:sz w:val="22"/>
          <w:szCs w:val="22"/>
          <w:lang w:val="lt-LT" w:eastAsia="en-US"/>
        </w:rPr>
        <w:t>Kartojasi ar pasireiškia neaiškios priežasties sukeltas raumenų maudimas ir skausmas arba Jums ar Jūsų kraujo giminaičiams buvo raumenų sutrikimų</w:t>
      </w:r>
      <w:r>
        <w:rPr>
          <w:bCs/>
          <w:sz w:val="22"/>
          <w:szCs w:val="22"/>
          <w:lang w:val="lt-LT" w:eastAsia="en-US"/>
        </w:rPr>
        <w:t>.</w:t>
      </w:r>
    </w:p>
    <w:p w14:paraId="31D4CD0F"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Ankstesnio gydymo lipidų kiekį kraujyje mažinančiais vaistais (pavyzdžiui, kitais statinų preparatais arba fibratais) metu pasireiškė raumenų sutrikimas.</w:t>
      </w:r>
    </w:p>
    <w:p w14:paraId="4BCB94B0"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Reguliariai geriate didelius alkoholio kiekius.</w:t>
      </w:r>
    </w:p>
    <w:p w14:paraId="5C13EE6A"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Sirgote kepenų liga.</w:t>
      </w:r>
    </w:p>
    <w:p w14:paraId="03AE477B" w14:textId="77777777" w:rsidR="001B11F7" w:rsidRDefault="00B83885">
      <w:pPr>
        <w:widowControl w:val="0"/>
        <w:numPr>
          <w:ilvl w:val="0"/>
          <w:numId w:val="7"/>
        </w:numPr>
        <w:ind w:left="567" w:hanging="567"/>
        <w:rPr>
          <w:sz w:val="22"/>
          <w:szCs w:val="22"/>
          <w:lang w:val="lt-LT" w:eastAsia="en-US"/>
        </w:rPr>
      </w:pPr>
      <w:r>
        <w:rPr>
          <w:sz w:val="22"/>
          <w:szCs w:val="22"/>
          <w:lang w:val="lt-LT" w:eastAsia="en-US"/>
        </w:rPr>
        <w:t>Esate vyresnis kaip 70 metų.</w:t>
      </w:r>
    </w:p>
    <w:p w14:paraId="4FF8ED89" w14:textId="77777777" w:rsidR="001B11F7" w:rsidRDefault="00B83885">
      <w:pPr>
        <w:widowControl w:val="0"/>
        <w:numPr>
          <w:ilvl w:val="0"/>
          <w:numId w:val="7"/>
        </w:numPr>
        <w:ind w:left="567" w:hanging="567"/>
        <w:rPr>
          <w:sz w:val="22"/>
          <w:szCs w:val="22"/>
          <w:lang w:val="lt-LT" w:eastAsia="en-US"/>
        </w:rPr>
      </w:pPr>
      <w:r>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1BBD6EEC" w14:textId="77777777" w:rsidR="001B11F7" w:rsidRDefault="001B11F7">
      <w:pPr>
        <w:widowControl w:val="0"/>
        <w:rPr>
          <w:sz w:val="22"/>
          <w:szCs w:val="22"/>
          <w:lang w:val="lt-LT" w:eastAsia="en-US"/>
        </w:rPr>
      </w:pPr>
    </w:p>
    <w:p w14:paraId="4D551885" w14:textId="77777777" w:rsidR="001B11F7" w:rsidRDefault="00B83885">
      <w:pPr>
        <w:widowControl w:val="0"/>
        <w:rPr>
          <w:sz w:val="22"/>
          <w:szCs w:val="22"/>
          <w:lang w:val="lt-LT" w:eastAsia="en-US"/>
        </w:rPr>
      </w:pPr>
      <w:r>
        <w:rPr>
          <w:sz w:val="22"/>
          <w:szCs w:val="22"/>
          <w:lang w:val="lt-LT" w:eastAsia="en-US"/>
        </w:rPr>
        <w:t>Jeigu yra kuri nors iš aukščiau išvardyta būklė, gydytojas prieš gydymą Atoris ir galbūt jo metu turės atlikti kraujo tyrimus, kad įvertintų su raumenimis susijusio šalutinio poveikio riziką. Žinoma, kad su raumenimis susijusio šalutinio poveikio, pavyzdžiui, rabdomiolizės, rizika padidėja kartu vartojant kai kurių vaistų (žr. 2 skyriaus poskyrį ,,Kiti vaistai ir Atoris”).</w:t>
      </w:r>
    </w:p>
    <w:p w14:paraId="549A766A" w14:textId="77777777" w:rsidR="001B11F7" w:rsidRDefault="001B11F7">
      <w:pPr>
        <w:numPr>
          <w:ilvl w:val="12"/>
          <w:numId w:val="0"/>
        </w:numPr>
        <w:rPr>
          <w:rFonts w:eastAsia="SimSun"/>
          <w:sz w:val="22"/>
          <w:szCs w:val="22"/>
          <w:lang w:val="lt-LT" w:eastAsia="zh-CN"/>
        </w:rPr>
      </w:pPr>
    </w:p>
    <w:p w14:paraId="44BDA104" w14:textId="77777777" w:rsidR="001B11F7" w:rsidRDefault="00B83885">
      <w:pPr>
        <w:numPr>
          <w:ilvl w:val="12"/>
          <w:numId w:val="0"/>
        </w:numPr>
        <w:rPr>
          <w:rFonts w:eastAsia="SimSun"/>
          <w:sz w:val="22"/>
          <w:szCs w:val="22"/>
          <w:lang w:val="lt-LT" w:eastAsia="zh-CN"/>
        </w:rPr>
      </w:pPr>
      <w:r>
        <w:rPr>
          <w:rFonts w:eastAsia="SimSun"/>
          <w:sz w:val="22"/>
          <w:szCs w:val="22"/>
          <w:lang w:val="lt-LT" w:eastAsia="zh-CN"/>
        </w:rPr>
        <w:t>Taip pat pasakykite gydytojui arba vaistininkui, jeigu jaučiate nuolatinį raumenų silpnumą. Šiam sutrikimui diagnozuoti ir gydyti gali prireikti papildomų tyrimų ir vaistų.</w:t>
      </w:r>
    </w:p>
    <w:p w14:paraId="39D6EE7F" w14:textId="77777777" w:rsidR="001B11F7" w:rsidRDefault="001B11F7">
      <w:pPr>
        <w:widowControl w:val="0"/>
        <w:rPr>
          <w:sz w:val="22"/>
          <w:szCs w:val="22"/>
          <w:lang w:val="lt-LT" w:eastAsia="en-US"/>
        </w:rPr>
      </w:pPr>
    </w:p>
    <w:p w14:paraId="05884207" w14:textId="77777777" w:rsidR="001B11F7" w:rsidRDefault="00B83885">
      <w:pPr>
        <w:widowControl w:val="0"/>
        <w:rPr>
          <w:sz w:val="22"/>
          <w:szCs w:val="22"/>
          <w:lang w:val="lt-LT"/>
        </w:rPr>
      </w:pPr>
      <w:r>
        <w:rPr>
          <w:sz w:val="22"/>
          <w:szCs w:val="22"/>
          <w:lang w:val="lt-LT"/>
        </w:rPr>
        <w:t>Kai vartosite šį vaistą, gydytojas atidžiai stebės, ar nesergate cukriniu diabetu ir ar jo pasireiškimo rizikos. Jums gali grėsti susirgti cukriniu diabetu, jei kraujyje yra padidėjęs riebalų ir cukraus kiekis, turite antsvorio ir yra padidėjęs kraujospūdis.</w:t>
      </w:r>
    </w:p>
    <w:p w14:paraId="5759A962" w14:textId="77777777" w:rsidR="001B11F7" w:rsidRDefault="001B11F7">
      <w:pPr>
        <w:widowControl w:val="0"/>
        <w:rPr>
          <w:sz w:val="22"/>
          <w:szCs w:val="22"/>
          <w:lang w:val="lt-LT" w:eastAsia="en-US"/>
        </w:rPr>
      </w:pPr>
    </w:p>
    <w:p w14:paraId="25C40033" w14:textId="77777777" w:rsidR="001B11F7" w:rsidRDefault="00B83885">
      <w:pPr>
        <w:widowControl w:val="0"/>
        <w:rPr>
          <w:b/>
          <w:sz w:val="22"/>
          <w:szCs w:val="22"/>
          <w:lang w:val="lt-LT" w:eastAsia="lt-LT"/>
        </w:rPr>
      </w:pPr>
      <w:r>
        <w:rPr>
          <w:b/>
          <w:sz w:val="22"/>
          <w:szCs w:val="22"/>
          <w:lang w:val="lt-LT" w:eastAsia="lt-LT"/>
        </w:rPr>
        <w:t>Vaikams ir paaugliams</w:t>
      </w:r>
    </w:p>
    <w:p w14:paraId="6B487812" w14:textId="77777777" w:rsidR="001B11F7" w:rsidRDefault="00B83885">
      <w:pPr>
        <w:widowControl w:val="0"/>
        <w:rPr>
          <w:sz w:val="22"/>
          <w:szCs w:val="22"/>
          <w:lang w:val="lt-LT" w:eastAsia="lt-LT"/>
        </w:rPr>
      </w:pPr>
      <w:r>
        <w:rPr>
          <w:sz w:val="22"/>
          <w:szCs w:val="22"/>
          <w:lang w:val="lt-LT" w:eastAsia="lt-LT"/>
        </w:rPr>
        <w:t>Saugumas vaikų ir paauglių vystymuisi nenustatytas.</w:t>
      </w:r>
    </w:p>
    <w:p w14:paraId="563338AF" w14:textId="77777777" w:rsidR="001B11F7" w:rsidRDefault="001B11F7">
      <w:pPr>
        <w:widowControl w:val="0"/>
        <w:rPr>
          <w:sz w:val="22"/>
          <w:szCs w:val="22"/>
          <w:lang w:val="lt-LT" w:eastAsia="lt-LT"/>
        </w:rPr>
      </w:pPr>
    </w:p>
    <w:p w14:paraId="06126C04" w14:textId="77777777" w:rsidR="001B11F7" w:rsidRDefault="00B83885">
      <w:pPr>
        <w:widowControl w:val="0"/>
        <w:ind w:left="540" w:hanging="540"/>
        <w:outlineLvl w:val="2"/>
        <w:rPr>
          <w:b/>
          <w:sz w:val="22"/>
          <w:szCs w:val="22"/>
          <w:lang w:val="lt-LT" w:eastAsia="lt-LT"/>
        </w:rPr>
      </w:pPr>
      <w:r>
        <w:rPr>
          <w:b/>
          <w:sz w:val="22"/>
          <w:szCs w:val="22"/>
          <w:lang w:val="lt-LT" w:eastAsia="lt-LT"/>
        </w:rPr>
        <w:t>Kiti vaistai ir Atoris</w:t>
      </w:r>
    </w:p>
    <w:p w14:paraId="0BC69226" w14:textId="77777777" w:rsidR="001B11F7" w:rsidRDefault="00B83885">
      <w:pPr>
        <w:widowControl w:val="0"/>
        <w:rPr>
          <w:sz w:val="22"/>
          <w:szCs w:val="22"/>
          <w:lang w:val="lt-LT" w:eastAsia="en-US"/>
        </w:rPr>
      </w:pPr>
      <w:r>
        <w:rPr>
          <w:sz w:val="22"/>
          <w:szCs w:val="22"/>
          <w:lang w:val="lt-LT" w:eastAsia="en-US"/>
        </w:rPr>
        <w:t>Jeigu vartojate arba neseniai vartojote kitų vaistų arba dėl to nesate tikri, apie tai pasakykite gydytojui arba vaistininkui.</w:t>
      </w:r>
    </w:p>
    <w:p w14:paraId="5BE17439" w14:textId="77777777" w:rsidR="001B11F7" w:rsidRDefault="001B11F7">
      <w:pPr>
        <w:widowControl w:val="0"/>
        <w:rPr>
          <w:sz w:val="22"/>
          <w:szCs w:val="22"/>
          <w:lang w:val="lt-LT" w:eastAsia="en-US"/>
        </w:rPr>
      </w:pPr>
    </w:p>
    <w:p w14:paraId="7334A64A" w14:textId="77777777" w:rsidR="001B11F7" w:rsidRDefault="00B83885">
      <w:pPr>
        <w:widowControl w:val="0"/>
        <w:rPr>
          <w:sz w:val="22"/>
          <w:szCs w:val="22"/>
          <w:lang w:val="lt-LT" w:eastAsia="en-US"/>
        </w:rPr>
      </w:pPr>
      <w:r>
        <w:rPr>
          <w:sz w:val="22"/>
          <w:szCs w:val="22"/>
          <w:lang w:val="lt-LT" w:eastAsia="en-US"/>
        </w:rPr>
        <w:t>Kai kurie vaistai gali keisti Atoris poveikį arba jų poveikį gali pakeisti Atoris. Dėl tokios sąveikos vieno arba abiejų vaistų veiksmingumas gali sumažėti. Be to, dėl sąveikos gali padidėti šalutinio poveikio, įskaitant svarbią raumenų irimu pasireiškiančią būklę, kuri vadinama rabdomiolize (ji aprašyta 4 skyriuje), rizika arba sunkumas.</w:t>
      </w:r>
    </w:p>
    <w:p w14:paraId="45DC6130"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Vaistai, kurie slopina imuninę sistemą (pvz., ciklosporinas).</w:t>
      </w:r>
    </w:p>
    <w:p w14:paraId="32895577"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Kai kurie antibiotikai arba priešgrybeliniai preparatai (pvz., eritromicinas, klaritromicinas, telitromicinas, ketokonazolas, itrakonazolas, vorikonazolas, flukonazolas, pozakonazolas, rifampinas).</w:t>
      </w:r>
    </w:p>
    <w:p w14:paraId="59A086B4"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Kiti lipidų kiekį kraujyje reguliuojantys vaistai (pvz., gemfibrozilis, kiti fibratai, kolestipolis).</w:t>
      </w:r>
    </w:p>
    <w:p w14:paraId="7E5C8460"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Kai kurie kalcio kanalų blokatoriai, kuriais gydoma krūtinės angina arba padidėjęs kraujospūdis (pvz., amlodipinas, diltiazemas).</w:t>
      </w:r>
    </w:p>
    <w:p w14:paraId="3E4F40AD"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Vaistai, kurie reguliuoja širdies ritmą (pvz., digoksinas, verapamilis, amjodaronas).</w:t>
      </w:r>
    </w:p>
    <w:p w14:paraId="0170F29C" w14:textId="77777777" w:rsidR="001B11F7" w:rsidRDefault="00B83885">
      <w:pPr>
        <w:widowControl w:val="0"/>
        <w:numPr>
          <w:ilvl w:val="0"/>
          <w:numId w:val="6"/>
        </w:numPr>
        <w:ind w:left="567" w:hanging="567"/>
        <w:rPr>
          <w:sz w:val="22"/>
          <w:szCs w:val="22"/>
          <w:lang w:val="lt-LT" w:eastAsia="en-US"/>
        </w:rPr>
      </w:pPr>
      <w:r>
        <w:rPr>
          <w:rFonts w:eastAsia="SimSun"/>
          <w:sz w:val="22"/>
          <w:szCs w:val="22"/>
          <w:lang w:val="en-GB" w:eastAsia="zh-CN"/>
        </w:rPr>
        <w:t>Letermoviras (vaistas, kuris apsaugo nuo susirgimo citomegalo virusine infekcija).</w:t>
      </w:r>
    </w:p>
    <w:p w14:paraId="65180244"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Vaistai, kuriais gydoma ŽIV infekcija (pvz., ritonaviras, lopinaviras, atazanaviras, indinaviras, darunaviras</w:t>
      </w:r>
      <w:r>
        <w:rPr>
          <w:sz w:val="22"/>
          <w:szCs w:val="22"/>
          <w:lang w:val="lt-LT"/>
        </w:rPr>
        <w:t>, tipranaviro ir (arba) ritonaviro derinys</w:t>
      </w:r>
      <w:r>
        <w:rPr>
          <w:sz w:val="22"/>
          <w:szCs w:val="22"/>
          <w:lang w:val="lt-LT" w:eastAsia="en-US"/>
        </w:rPr>
        <w:t xml:space="preserve"> ir kt.).</w:t>
      </w:r>
    </w:p>
    <w:p w14:paraId="651BE25D" w14:textId="77777777" w:rsidR="001B11F7" w:rsidRDefault="00B83885">
      <w:pPr>
        <w:widowControl w:val="0"/>
        <w:numPr>
          <w:ilvl w:val="0"/>
          <w:numId w:val="6"/>
        </w:numPr>
        <w:ind w:left="567" w:hanging="567"/>
        <w:rPr>
          <w:sz w:val="22"/>
          <w:szCs w:val="22"/>
          <w:lang w:val="lt-LT"/>
        </w:rPr>
      </w:pPr>
      <w:r>
        <w:rPr>
          <w:sz w:val="22"/>
          <w:szCs w:val="22"/>
          <w:lang w:val="lt-LT"/>
        </w:rPr>
        <w:t>Kai kurie vaistai, kuriais gydomas hepatitas C, pvz., telapreviras, bocepreviras, elbasviro ir grazopreviro derinys</w:t>
      </w:r>
      <w:r>
        <w:rPr>
          <w:sz w:val="22"/>
          <w:szCs w:val="22"/>
        </w:rPr>
        <w:t>, ledipasviro ir sofosbuviro derinys</w:t>
      </w:r>
      <w:r>
        <w:rPr>
          <w:sz w:val="22"/>
          <w:szCs w:val="22"/>
          <w:lang w:val="lt-LT"/>
        </w:rPr>
        <w:t>.</w:t>
      </w:r>
    </w:p>
    <w:p w14:paraId="79C7F228"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Kiti vaistai, kurių vartojant su Atoris gali pasireikšti sąveika, yra ezetimibas (cholesterolio kiekį mažinantis vaistas), varfarinas (kraujo krešėjimą mažinantis vaistas), geriamieji kontraceptikai, stiripentolis (vaistas nuo traukulių epilepsijai gydyti), cimetidinas (rėmeniui slopinti ir pepsinėms opoms gydyti vartojamas vaistas), fenazonas (juo malšinamas skausmas</w:t>
      </w:r>
      <w:r>
        <w:rPr>
          <w:sz w:val="22"/>
          <w:szCs w:val="22"/>
          <w:lang w:val="lt-LT"/>
        </w:rPr>
        <w:t xml:space="preserve">), </w:t>
      </w:r>
      <w:r>
        <w:rPr>
          <w:sz w:val="22"/>
          <w:szCs w:val="22"/>
          <w:lang w:val="lt-LT"/>
        </w:rPr>
        <w:lastRenderedPageBreak/>
        <w:t>kolchicinas (jo vartojama nuo podagros) ir</w:t>
      </w:r>
      <w:r>
        <w:rPr>
          <w:sz w:val="22"/>
          <w:szCs w:val="22"/>
          <w:lang w:val="lt-LT" w:eastAsia="en-US"/>
        </w:rPr>
        <w:t xml:space="preserve"> antacidiniai – skrandžio rūgštingumą mažinantys vaistai (sutrikus virškinimui vartojami vaistai, kurių sudėtyje yra aliuminio ar magnio).</w:t>
      </w:r>
    </w:p>
    <w:p w14:paraId="06A1E9B6" w14:textId="77777777" w:rsidR="001B11F7" w:rsidRDefault="00B83885">
      <w:pPr>
        <w:widowControl w:val="0"/>
        <w:numPr>
          <w:ilvl w:val="0"/>
          <w:numId w:val="6"/>
        </w:numPr>
        <w:ind w:left="567" w:hanging="567"/>
        <w:rPr>
          <w:sz w:val="22"/>
          <w:szCs w:val="22"/>
          <w:lang w:val="lt-LT" w:eastAsia="en-US"/>
        </w:rPr>
      </w:pPr>
      <w:r>
        <w:rPr>
          <w:sz w:val="22"/>
          <w:szCs w:val="22"/>
          <w:lang w:val="lt-LT" w:eastAsia="en-US"/>
        </w:rPr>
        <w:t>Be recepto išduodami vaistai: jonažolės preparatai.</w:t>
      </w:r>
    </w:p>
    <w:p w14:paraId="0C8FA44A" w14:textId="77777777" w:rsidR="001B11F7" w:rsidRDefault="00B83885">
      <w:pPr>
        <w:widowControl w:val="0"/>
        <w:numPr>
          <w:ilvl w:val="0"/>
          <w:numId w:val="6"/>
        </w:numPr>
        <w:ind w:left="567" w:hanging="567"/>
        <w:rPr>
          <w:sz w:val="22"/>
          <w:szCs w:val="22"/>
          <w:lang w:val="lt-LT"/>
        </w:rPr>
      </w:pPr>
      <w:r>
        <w:rPr>
          <w:sz w:val="22"/>
          <w:szCs w:val="22"/>
          <w:lang w:val="lt-LT"/>
        </w:rPr>
        <w:t>Jeigu Jums reikia vartoti geriamosios fuzido rūgšties bakterijų sukeltai infekcinei ligai gydyti, reikės laikinai nutraukti šio vaisto vartojimą. Gydytojas pasakys, kada bus saugu atnaujinti Atoris vartojimą. Atoris vartojimas kartu su fuzido rūgštimi retai gali sukelti raumenų silpnumą, jautrumą arba skausmą (rabdomiolizę). Daugiau informacijos apie rabdomiolizę pateikiama 4 skyriuje.</w:t>
      </w:r>
    </w:p>
    <w:p w14:paraId="7D9E750F" w14:textId="77777777" w:rsidR="001B11F7" w:rsidRPr="00B90ECF" w:rsidRDefault="00B83885" w:rsidP="00B90ECF">
      <w:pPr>
        <w:widowControl w:val="0"/>
        <w:numPr>
          <w:ilvl w:val="0"/>
          <w:numId w:val="12"/>
        </w:numPr>
        <w:ind w:left="567" w:hanging="567"/>
        <w:rPr>
          <w:sz w:val="22"/>
          <w:szCs w:val="22"/>
        </w:rPr>
      </w:pPr>
      <w:bookmarkStart w:id="16" w:name="_Hlk177637796"/>
      <w:r>
        <w:rPr>
          <w:sz w:val="22"/>
          <w:szCs w:val="22"/>
        </w:rPr>
        <w:t>Daptomicinas (vaistas, vartojamas esant sunkioms (komplikuotoms) odos ir odos struktūrų infekcinėms ligoms gydyti bei kraujyje esančioms bakterijoms naikinti).</w:t>
      </w:r>
      <w:bookmarkEnd w:id="16"/>
    </w:p>
    <w:p w14:paraId="42FDB9E8" w14:textId="77777777" w:rsidR="001B11F7" w:rsidRDefault="001B11F7">
      <w:pPr>
        <w:widowControl w:val="0"/>
        <w:rPr>
          <w:sz w:val="22"/>
          <w:szCs w:val="22"/>
          <w:lang w:val="lt-LT"/>
        </w:rPr>
      </w:pPr>
    </w:p>
    <w:p w14:paraId="1AD1E40F" w14:textId="77777777" w:rsidR="001B11F7" w:rsidRDefault="00B83885">
      <w:pPr>
        <w:widowControl w:val="0"/>
        <w:ind w:left="540" w:hanging="540"/>
        <w:outlineLvl w:val="2"/>
        <w:rPr>
          <w:b/>
          <w:sz w:val="22"/>
          <w:szCs w:val="22"/>
          <w:lang w:val="lt-LT" w:eastAsia="lt-LT"/>
        </w:rPr>
      </w:pPr>
      <w:r>
        <w:rPr>
          <w:b/>
          <w:sz w:val="22"/>
          <w:szCs w:val="22"/>
          <w:lang w:val="lt-LT" w:eastAsia="lt-LT"/>
        </w:rPr>
        <w:t>Atoris vartojimas su maistu ir gėrimais</w:t>
      </w:r>
    </w:p>
    <w:p w14:paraId="0126C0B6" w14:textId="77777777" w:rsidR="001B11F7" w:rsidRDefault="00B83885">
      <w:pPr>
        <w:widowControl w:val="0"/>
        <w:autoSpaceDE w:val="0"/>
        <w:autoSpaceDN w:val="0"/>
        <w:adjustRightInd w:val="0"/>
        <w:rPr>
          <w:sz w:val="22"/>
          <w:szCs w:val="22"/>
          <w:lang w:val="lt-LT"/>
        </w:rPr>
      </w:pPr>
      <w:r>
        <w:rPr>
          <w:color w:val="000000"/>
          <w:sz w:val="22"/>
          <w:szCs w:val="22"/>
          <w:lang w:val="lt-LT"/>
        </w:rPr>
        <w:t>Atoris</w:t>
      </w:r>
      <w:r>
        <w:rPr>
          <w:sz w:val="22"/>
          <w:szCs w:val="22"/>
          <w:lang w:val="lt-LT"/>
        </w:rPr>
        <w:t xml:space="preserve"> vartojimo instrukcijos pateiktos 3 skyriuje. Atkreipkite dėmesį į toliau išvardytas aplinkybes.</w:t>
      </w:r>
    </w:p>
    <w:p w14:paraId="46BBAE81" w14:textId="77777777" w:rsidR="001B11F7" w:rsidRDefault="001B11F7">
      <w:pPr>
        <w:widowControl w:val="0"/>
        <w:autoSpaceDE w:val="0"/>
        <w:autoSpaceDN w:val="0"/>
        <w:adjustRightInd w:val="0"/>
        <w:rPr>
          <w:i/>
          <w:iCs/>
          <w:sz w:val="22"/>
          <w:szCs w:val="22"/>
          <w:lang w:val="lt-LT"/>
        </w:rPr>
      </w:pPr>
    </w:p>
    <w:p w14:paraId="29226109" w14:textId="77777777" w:rsidR="001B11F7" w:rsidRDefault="00B83885">
      <w:pPr>
        <w:widowControl w:val="0"/>
        <w:autoSpaceDE w:val="0"/>
        <w:autoSpaceDN w:val="0"/>
        <w:adjustRightInd w:val="0"/>
        <w:rPr>
          <w:sz w:val="22"/>
          <w:szCs w:val="22"/>
          <w:lang w:val="lt-LT"/>
        </w:rPr>
      </w:pPr>
      <w:r>
        <w:rPr>
          <w:i/>
          <w:iCs/>
          <w:sz w:val="22"/>
          <w:szCs w:val="22"/>
          <w:lang w:val="lt-LT"/>
        </w:rPr>
        <w:t>Greipfrutų sultys</w:t>
      </w:r>
    </w:p>
    <w:p w14:paraId="26F150DE" w14:textId="77777777" w:rsidR="001B11F7" w:rsidRDefault="00B83885">
      <w:pPr>
        <w:widowControl w:val="0"/>
        <w:autoSpaceDE w:val="0"/>
        <w:autoSpaceDN w:val="0"/>
        <w:adjustRightInd w:val="0"/>
        <w:rPr>
          <w:sz w:val="22"/>
          <w:szCs w:val="22"/>
          <w:lang w:val="lt-LT"/>
        </w:rPr>
      </w:pPr>
      <w:r>
        <w:rPr>
          <w:sz w:val="22"/>
          <w:szCs w:val="22"/>
          <w:lang w:val="lt-LT"/>
        </w:rPr>
        <w:t xml:space="preserve">Gydantis Atoris negalima gerti daugiau kaip vieną arba dvi mažas stiklines greipfrutų sulčių per parą, nes dideli greipfrutų sulčių kiekiai gali keisti </w:t>
      </w:r>
      <w:r>
        <w:rPr>
          <w:color w:val="000000"/>
          <w:sz w:val="22"/>
          <w:szCs w:val="22"/>
          <w:lang w:val="lt-LT"/>
        </w:rPr>
        <w:t>Atoris</w:t>
      </w:r>
      <w:r>
        <w:rPr>
          <w:sz w:val="22"/>
          <w:szCs w:val="22"/>
          <w:lang w:val="lt-LT"/>
        </w:rPr>
        <w:t xml:space="preserve"> poveikį.</w:t>
      </w:r>
    </w:p>
    <w:p w14:paraId="12B809C7" w14:textId="77777777" w:rsidR="001B11F7" w:rsidRDefault="001B11F7">
      <w:pPr>
        <w:widowControl w:val="0"/>
        <w:autoSpaceDE w:val="0"/>
        <w:autoSpaceDN w:val="0"/>
        <w:adjustRightInd w:val="0"/>
        <w:rPr>
          <w:i/>
          <w:iCs/>
          <w:sz w:val="22"/>
          <w:szCs w:val="22"/>
          <w:lang w:val="lt-LT"/>
        </w:rPr>
      </w:pPr>
    </w:p>
    <w:p w14:paraId="395BC274" w14:textId="77777777" w:rsidR="001B11F7" w:rsidRDefault="00B83885">
      <w:pPr>
        <w:widowControl w:val="0"/>
        <w:autoSpaceDE w:val="0"/>
        <w:autoSpaceDN w:val="0"/>
        <w:adjustRightInd w:val="0"/>
        <w:rPr>
          <w:sz w:val="22"/>
          <w:szCs w:val="22"/>
          <w:lang w:val="lt-LT"/>
        </w:rPr>
      </w:pPr>
      <w:r>
        <w:rPr>
          <w:i/>
          <w:iCs/>
          <w:sz w:val="22"/>
          <w:szCs w:val="22"/>
          <w:lang w:val="lt-LT"/>
        </w:rPr>
        <w:t>Alkoholis</w:t>
      </w:r>
    </w:p>
    <w:p w14:paraId="103FA799" w14:textId="77777777" w:rsidR="001B11F7" w:rsidRDefault="00B83885">
      <w:pPr>
        <w:widowControl w:val="0"/>
        <w:rPr>
          <w:sz w:val="22"/>
          <w:szCs w:val="22"/>
          <w:lang w:val="lt-LT" w:eastAsia="en-US"/>
        </w:rPr>
      </w:pPr>
      <w:r>
        <w:rPr>
          <w:sz w:val="22"/>
          <w:szCs w:val="22"/>
          <w:lang w:val="lt-LT" w:eastAsia="en-US"/>
        </w:rPr>
        <w:t>Vartodami šio vaisto, venkite gerti per daug alkoholio. Išsamios informacijos pateikta 2 skyriaus poskyryje ,,Įspėjimai ir atsargumo priemonės”.</w:t>
      </w:r>
    </w:p>
    <w:p w14:paraId="750D48AF" w14:textId="77777777" w:rsidR="001B11F7" w:rsidRDefault="001B11F7">
      <w:pPr>
        <w:widowControl w:val="0"/>
        <w:rPr>
          <w:sz w:val="22"/>
          <w:szCs w:val="22"/>
          <w:lang w:val="lt-LT" w:eastAsia="lt-LT"/>
        </w:rPr>
      </w:pPr>
    </w:p>
    <w:p w14:paraId="19AA52F2" w14:textId="77777777" w:rsidR="001B11F7" w:rsidRDefault="00B83885">
      <w:pPr>
        <w:widowControl w:val="0"/>
        <w:ind w:left="540" w:hanging="540"/>
        <w:outlineLvl w:val="2"/>
        <w:rPr>
          <w:b/>
          <w:sz w:val="22"/>
          <w:szCs w:val="22"/>
          <w:lang w:val="lt-LT" w:eastAsia="lt-LT"/>
        </w:rPr>
      </w:pPr>
      <w:r>
        <w:rPr>
          <w:b/>
          <w:sz w:val="22"/>
          <w:szCs w:val="22"/>
          <w:lang w:val="lt-LT" w:eastAsia="lt-LT"/>
        </w:rPr>
        <w:t>Nėštumas ir žindymo laikotarpis</w:t>
      </w:r>
    </w:p>
    <w:p w14:paraId="363CBAA6" w14:textId="77777777" w:rsidR="001B11F7" w:rsidRDefault="00B83885">
      <w:pPr>
        <w:widowControl w:val="0"/>
        <w:rPr>
          <w:sz w:val="22"/>
          <w:szCs w:val="22"/>
          <w:lang w:val="lt-LT" w:eastAsia="en-US"/>
        </w:rPr>
      </w:pPr>
      <w:r>
        <w:rPr>
          <w:sz w:val="22"/>
          <w:szCs w:val="22"/>
          <w:lang w:val="lt-LT" w:eastAsia="en-US"/>
        </w:rPr>
        <w:t>Jeigu esate nėščia, žindote kūdikį, manote, kad galbūt esate nėščia arba planuojate pastoti, tai prieš vartodama šį vaistą pasitarkite su gydytoju arba vaistininku.</w:t>
      </w:r>
    </w:p>
    <w:p w14:paraId="52D136A3" w14:textId="77777777" w:rsidR="001B11F7" w:rsidRDefault="001B11F7">
      <w:pPr>
        <w:widowControl w:val="0"/>
        <w:rPr>
          <w:sz w:val="22"/>
          <w:szCs w:val="22"/>
          <w:lang w:val="lt-LT" w:eastAsia="en-US"/>
        </w:rPr>
      </w:pPr>
    </w:p>
    <w:p w14:paraId="3F29FE3B" w14:textId="77777777" w:rsidR="001B11F7" w:rsidRDefault="00B83885">
      <w:pPr>
        <w:widowControl w:val="0"/>
        <w:rPr>
          <w:sz w:val="22"/>
          <w:szCs w:val="22"/>
          <w:lang w:val="lt-LT" w:eastAsia="en-US"/>
        </w:rPr>
      </w:pPr>
      <w:r>
        <w:rPr>
          <w:sz w:val="22"/>
          <w:szCs w:val="22"/>
          <w:lang w:val="lt-LT" w:eastAsia="en-US"/>
        </w:rPr>
        <w:t>Jeigu esate nėščia arba planuojate pastoti, Atoris vartoti draudžiama. Atoris draudžiama vartoti ir tuo atveju, jeigu galite pastoti ir nevartojate patikimų kontracepcijos priemonių.</w:t>
      </w:r>
    </w:p>
    <w:p w14:paraId="490AF04E" w14:textId="77777777" w:rsidR="001B11F7" w:rsidRDefault="00B83885">
      <w:pPr>
        <w:widowControl w:val="0"/>
        <w:ind w:left="567" w:hanging="567"/>
        <w:rPr>
          <w:sz w:val="22"/>
          <w:szCs w:val="22"/>
          <w:lang w:val="lt-LT" w:eastAsia="en-US"/>
        </w:rPr>
      </w:pPr>
      <w:r>
        <w:rPr>
          <w:sz w:val="22"/>
          <w:szCs w:val="22"/>
          <w:lang w:val="lt-LT" w:eastAsia="en-US"/>
        </w:rPr>
        <w:t>Atoris draudžiama vartoti žindymo laikotarpiu.</w:t>
      </w:r>
    </w:p>
    <w:p w14:paraId="43B1B621" w14:textId="77777777" w:rsidR="001B11F7" w:rsidRDefault="00B83885">
      <w:pPr>
        <w:widowControl w:val="0"/>
        <w:rPr>
          <w:sz w:val="22"/>
          <w:szCs w:val="22"/>
          <w:lang w:val="lt-LT" w:eastAsia="lt-LT"/>
        </w:rPr>
      </w:pPr>
      <w:r>
        <w:rPr>
          <w:sz w:val="22"/>
          <w:szCs w:val="22"/>
          <w:lang w:val="lt-LT" w:eastAsia="en-US"/>
        </w:rPr>
        <w:t xml:space="preserve">Atoris vartojimo nėštumo metu ir žindymo laikotarpiu saugumas dar nėra įrodytas. </w:t>
      </w:r>
      <w:r>
        <w:rPr>
          <w:sz w:val="22"/>
          <w:szCs w:val="22"/>
          <w:lang w:val="lt-LT" w:eastAsia="lt-LT"/>
        </w:rPr>
        <w:t>Prieš vartojant bet kokį vaistą, būtina pasitarti su gydytoju arba vaistininku.</w:t>
      </w:r>
    </w:p>
    <w:p w14:paraId="13A4E902" w14:textId="77777777" w:rsidR="001B11F7" w:rsidRDefault="001B11F7">
      <w:pPr>
        <w:widowControl w:val="0"/>
        <w:rPr>
          <w:sz w:val="22"/>
          <w:szCs w:val="22"/>
          <w:lang w:val="lt-LT" w:eastAsia="lt-LT"/>
        </w:rPr>
      </w:pPr>
    </w:p>
    <w:p w14:paraId="388B9D1C" w14:textId="77777777" w:rsidR="001B11F7" w:rsidRDefault="00B83885">
      <w:pPr>
        <w:widowControl w:val="0"/>
        <w:ind w:left="540" w:hanging="540"/>
        <w:outlineLvl w:val="2"/>
        <w:rPr>
          <w:b/>
          <w:sz w:val="22"/>
          <w:szCs w:val="22"/>
          <w:lang w:val="lt-LT" w:eastAsia="lt-LT"/>
        </w:rPr>
      </w:pPr>
      <w:r>
        <w:rPr>
          <w:b/>
          <w:sz w:val="22"/>
          <w:szCs w:val="22"/>
          <w:lang w:val="lt-LT" w:eastAsia="lt-LT"/>
        </w:rPr>
        <w:t>Vairavimas ir mechanizmų valdymas</w:t>
      </w:r>
    </w:p>
    <w:p w14:paraId="5F171B87" w14:textId="77777777" w:rsidR="001B11F7" w:rsidRDefault="00B83885">
      <w:pPr>
        <w:widowControl w:val="0"/>
        <w:rPr>
          <w:sz w:val="22"/>
          <w:szCs w:val="22"/>
          <w:lang w:val="lt-LT" w:eastAsia="en-US"/>
        </w:rPr>
      </w:pPr>
      <w:r>
        <w:rPr>
          <w:sz w:val="22"/>
          <w:szCs w:val="22"/>
          <w:lang w:val="lt-LT" w:eastAsia="en-US"/>
        </w:rPr>
        <w:t>Paprastai šis vaistas gebėjimo vairuoti ar valdyti mechanizmus neveikia. Vis dėlto, jeigu Atoris veikia Jūsų gebėjimą vairuoti, to daryti negalima. Jeigu vaistas veikia Jūsų gebėjimą naudoti kokius nors prietaisus ar valdyti mechanizmus, to daryti negalima.</w:t>
      </w:r>
    </w:p>
    <w:p w14:paraId="1487FA83" w14:textId="77777777" w:rsidR="001B11F7" w:rsidRDefault="001B11F7">
      <w:pPr>
        <w:widowControl w:val="0"/>
        <w:numPr>
          <w:ilvl w:val="12"/>
          <w:numId w:val="0"/>
        </w:numPr>
        <w:rPr>
          <w:sz w:val="22"/>
          <w:szCs w:val="22"/>
          <w:lang w:val="lt-LT" w:eastAsia="en-US"/>
        </w:rPr>
      </w:pPr>
    </w:p>
    <w:p w14:paraId="3FA23FB8" w14:textId="77777777" w:rsidR="001B11F7" w:rsidRDefault="00B83885">
      <w:pPr>
        <w:widowControl w:val="0"/>
        <w:ind w:left="567" w:hanging="567"/>
        <w:rPr>
          <w:sz w:val="22"/>
          <w:szCs w:val="22"/>
          <w:lang w:val="lt-LT" w:eastAsia="en-US"/>
        </w:rPr>
      </w:pPr>
      <w:r>
        <w:rPr>
          <w:b/>
          <w:sz w:val="22"/>
          <w:szCs w:val="22"/>
          <w:lang w:val="lt-LT" w:eastAsia="en-US"/>
        </w:rPr>
        <w:t>Atoris sudėtyje yra laktozės ir natrio</w:t>
      </w:r>
    </w:p>
    <w:p w14:paraId="4E733E4D" w14:textId="77777777" w:rsidR="001B11F7" w:rsidRDefault="00B83885">
      <w:pPr>
        <w:widowControl w:val="0"/>
        <w:tabs>
          <w:tab w:val="left" w:pos="567"/>
        </w:tabs>
        <w:rPr>
          <w:sz w:val="22"/>
          <w:szCs w:val="22"/>
          <w:lang w:val="lt-LT" w:eastAsia="en-US"/>
        </w:rPr>
      </w:pPr>
      <w:r>
        <w:rPr>
          <w:sz w:val="22"/>
          <w:szCs w:val="22"/>
          <w:lang w:val="lt-LT" w:eastAsia="en-US"/>
        </w:rPr>
        <w:t>Jeigu gydytojas Jums yra sakęs, kad netoleruojate kokių nors angliavandenių, kreipkitės į jį prieš pradėdami vartoti šį vaistą.</w:t>
      </w:r>
    </w:p>
    <w:p w14:paraId="3629DC40" w14:textId="77777777" w:rsidR="001B11F7" w:rsidRDefault="00B83885">
      <w:pPr>
        <w:widowControl w:val="0"/>
        <w:tabs>
          <w:tab w:val="left" w:pos="1296"/>
        </w:tabs>
        <w:rPr>
          <w:sz w:val="22"/>
          <w:szCs w:val="22"/>
          <w:lang w:val="lt-LT" w:eastAsia="lt-LT"/>
        </w:rPr>
      </w:pPr>
      <w:r>
        <w:rPr>
          <w:sz w:val="22"/>
          <w:szCs w:val="22"/>
          <w:lang w:val="lt-LT" w:eastAsia="lt-LT"/>
        </w:rPr>
        <w:t>Kiekvienoje šio vaisto tabletėje yra mažiau kaip 1 mmol (23 mg) natrio, t. y. jis beveik neturi reikšmės.</w:t>
      </w:r>
    </w:p>
    <w:p w14:paraId="7EF359A4" w14:textId="77777777" w:rsidR="001B11F7" w:rsidRDefault="001B11F7">
      <w:pPr>
        <w:widowControl w:val="0"/>
        <w:rPr>
          <w:sz w:val="22"/>
          <w:szCs w:val="22"/>
          <w:lang w:val="lt-LT" w:eastAsia="lt-LT"/>
        </w:rPr>
      </w:pPr>
    </w:p>
    <w:p w14:paraId="58C2D2FA" w14:textId="77777777" w:rsidR="001B11F7" w:rsidRDefault="001B11F7">
      <w:pPr>
        <w:widowControl w:val="0"/>
        <w:rPr>
          <w:sz w:val="22"/>
          <w:szCs w:val="22"/>
          <w:lang w:val="lt-LT" w:eastAsia="lt-LT"/>
        </w:rPr>
      </w:pPr>
    </w:p>
    <w:p w14:paraId="452497F6" w14:textId="77777777" w:rsidR="001B11F7" w:rsidRDefault="00B83885">
      <w:pPr>
        <w:widowControl w:val="0"/>
        <w:ind w:left="567" w:hanging="567"/>
        <w:outlineLvl w:val="1"/>
        <w:rPr>
          <w:b/>
          <w:sz w:val="22"/>
          <w:szCs w:val="22"/>
          <w:lang w:val="lt-LT" w:eastAsia="lt-LT"/>
        </w:rPr>
      </w:pPr>
      <w:r>
        <w:rPr>
          <w:b/>
          <w:sz w:val="22"/>
          <w:szCs w:val="22"/>
          <w:lang w:val="lt-LT" w:eastAsia="lt-LT"/>
        </w:rPr>
        <w:t>3.</w:t>
      </w:r>
      <w:r>
        <w:rPr>
          <w:b/>
          <w:sz w:val="22"/>
          <w:szCs w:val="22"/>
          <w:lang w:val="lt-LT" w:eastAsia="lt-LT"/>
        </w:rPr>
        <w:tab/>
        <w:t>Kaip vartoti Atoris</w:t>
      </w:r>
    </w:p>
    <w:p w14:paraId="27E69BB9" w14:textId="77777777" w:rsidR="001B11F7" w:rsidRDefault="001B11F7">
      <w:pPr>
        <w:widowControl w:val="0"/>
        <w:rPr>
          <w:sz w:val="22"/>
          <w:szCs w:val="22"/>
          <w:lang w:val="lt-LT" w:eastAsia="lt-LT"/>
        </w:rPr>
      </w:pPr>
    </w:p>
    <w:p w14:paraId="54F0DC80" w14:textId="77777777" w:rsidR="001B11F7" w:rsidRDefault="00B83885">
      <w:pPr>
        <w:widowControl w:val="0"/>
        <w:rPr>
          <w:sz w:val="22"/>
          <w:szCs w:val="22"/>
          <w:lang w:val="lt-LT" w:eastAsia="en-US"/>
        </w:rPr>
      </w:pPr>
      <w:r>
        <w:rPr>
          <w:sz w:val="22"/>
          <w:szCs w:val="22"/>
          <w:lang w:val="lt-LT" w:eastAsia="en-US"/>
        </w:rPr>
        <w:t>Visada vartokite šį vaistą tiksliai kaip nurodė gydytojas</w:t>
      </w:r>
      <w:r>
        <w:rPr>
          <w:sz w:val="22"/>
          <w:szCs w:val="22"/>
          <w:lang w:val="lt-LT"/>
        </w:rPr>
        <w:t xml:space="preserve"> arba vaistininkas.</w:t>
      </w:r>
      <w:r>
        <w:rPr>
          <w:sz w:val="22"/>
          <w:szCs w:val="22"/>
          <w:lang w:val="lt-LT" w:eastAsia="en-US"/>
        </w:rPr>
        <w:t xml:space="preserve"> Jeigu abejojate, kreipkitės į gydytoją arba vaistininką.</w:t>
      </w:r>
    </w:p>
    <w:p w14:paraId="3748019A" w14:textId="77777777" w:rsidR="001B11F7" w:rsidRDefault="001B11F7">
      <w:pPr>
        <w:widowControl w:val="0"/>
        <w:rPr>
          <w:sz w:val="22"/>
          <w:szCs w:val="22"/>
          <w:lang w:val="lt-LT" w:eastAsia="en-US"/>
        </w:rPr>
      </w:pPr>
    </w:p>
    <w:p w14:paraId="60724863" w14:textId="77777777" w:rsidR="001B11F7" w:rsidRDefault="00B83885">
      <w:pPr>
        <w:widowControl w:val="0"/>
        <w:rPr>
          <w:sz w:val="22"/>
          <w:szCs w:val="22"/>
          <w:lang w:val="lt-LT" w:eastAsia="en-US"/>
        </w:rPr>
      </w:pPr>
      <w:r>
        <w:rPr>
          <w:sz w:val="22"/>
          <w:szCs w:val="22"/>
          <w:lang w:val="lt-LT" w:eastAsia="en-US"/>
        </w:rPr>
        <w:t>Prieš pradedant gydymą, gydytojas nurodys Jums laikytis chlesterolio kiekį kraujyje mažinančios dietos, kurios teks laikytis ir gydymo Atoris metu.</w:t>
      </w:r>
    </w:p>
    <w:p w14:paraId="1B4FD6D5" w14:textId="77777777" w:rsidR="001B11F7" w:rsidRDefault="001B11F7">
      <w:pPr>
        <w:widowControl w:val="0"/>
        <w:rPr>
          <w:sz w:val="22"/>
          <w:szCs w:val="22"/>
          <w:lang w:val="lt-LT" w:eastAsia="en-US"/>
        </w:rPr>
      </w:pPr>
    </w:p>
    <w:p w14:paraId="60F16D30" w14:textId="77777777" w:rsidR="001B11F7" w:rsidRDefault="00B83885">
      <w:pPr>
        <w:widowControl w:val="0"/>
        <w:rPr>
          <w:sz w:val="22"/>
          <w:szCs w:val="22"/>
          <w:lang w:val="lt-LT" w:eastAsia="en-US"/>
        </w:rPr>
      </w:pPr>
      <w:r>
        <w:rPr>
          <w:sz w:val="22"/>
          <w:szCs w:val="22"/>
          <w:lang w:val="lt-LT" w:eastAsia="en-US"/>
        </w:rPr>
        <w:t>Įprasta kartą per parą vartojama pradinė Atoris dozė suaugusiesiems. Prireikus gydytojas šią dozę gali didinti iki Jums tinkamos dozės. Gydytojas didins dozę kas 4 savaites arba rečiau. Didžiausia kartą per parą vartojama Atoris dozė yra 80 mg suaugusiems žmonėms</w:t>
      </w:r>
      <w:r>
        <w:rPr>
          <w:sz w:val="22"/>
          <w:szCs w:val="22"/>
          <w:lang w:val="lt-LT"/>
        </w:rPr>
        <w:t xml:space="preserve"> ir 20 mg vaikams.</w:t>
      </w:r>
    </w:p>
    <w:p w14:paraId="28F6B30A" w14:textId="77777777" w:rsidR="001B11F7" w:rsidRDefault="001B11F7">
      <w:pPr>
        <w:widowControl w:val="0"/>
        <w:rPr>
          <w:sz w:val="22"/>
          <w:szCs w:val="22"/>
          <w:lang w:val="lt-LT" w:eastAsia="en-US"/>
        </w:rPr>
      </w:pPr>
    </w:p>
    <w:p w14:paraId="1B3F4FFD" w14:textId="77777777" w:rsidR="001B11F7" w:rsidRDefault="00B83885">
      <w:pPr>
        <w:widowControl w:val="0"/>
        <w:rPr>
          <w:sz w:val="22"/>
          <w:szCs w:val="22"/>
          <w:lang w:val="lt-LT" w:eastAsia="en-US"/>
        </w:rPr>
      </w:pPr>
      <w:r>
        <w:rPr>
          <w:sz w:val="22"/>
          <w:szCs w:val="22"/>
          <w:lang w:val="lt-LT" w:eastAsia="en-US"/>
        </w:rPr>
        <w:lastRenderedPageBreak/>
        <w:t>Reikia nuryti visą</w:t>
      </w:r>
      <w:r>
        <w:rPr>
          <w:sz w:val="22"/>
          <w:szCs w:val="22"/>
          <w:lang w:val="lt-LT"/>
        </w:rPr>
        <w:t xml:space="preserve"> </w:t>
      </w:r>
      <w:r>
        <w:rPr>
          <w:sz w:val="22"/>
          <w:szCs w:val="22"/>
          <w:lang w:val="lt-LT" w:eastAsia="en-US"/>
        </w:rPr>
        <w:t>tabletę užgeriant vandeniu. Tabletę galima gerti bet kuriuo paros metu, valgant arba nevalgant. Vis dėlto tabletes rekomenduojama kasdien gerti tuo pačiu metu.</w:t>
      </w:r>
    </w:p>
    <w:p w14:paraId="66EC7014" w14:textId="77777777" w:rsidR="001B11F7" w:rsidRDefault="001B11F7">
      <w:pPr>
        <w:widowControl w:val="0"/>
        <w:rPr>
          <w:sz w:val="22"/>
          <w:szCs w:val="22"/>
          <w:lang w:val="lt-LT" w:eastAsia="en-US"/>
        </w:rPr>
      </w:pPr>
    </w:p>
    <w:p w14:paraId="1794A0EF" w14:textId="77777777" w:rsidR="001B11F7" w:rsidRDefault="00B83885">
      <w:pPr>
        <w:widowControl w:val="0"/>
        <w:rPr>
          <w:sz w:val="22"/>
          <w:szCs w:val="22"/>
          <w:lang w:val="lt-LT"/>
        </w:rPr>
      </w:pPr>
      <w:r>
        <w:rPr>
          <w:sz w:val="22"/>
          <w:szCs w:val="22"/>
          <w:lang w:val="lt-LT"/>
        </w:rPr>
        <w:t>Visada vartokite šį vaistą tiksliai kaip nurodė gydytojas. Jeigu abejojate, kreipkitės į gydytoją arba vaistininką.</w:t>
      </w:r>
    </w:p>
    <w:p w14:paraId="3BEEB95B" w14:textId="77777777" w:rsidR="001B11F7" w:rsidRDefault="001B11F7">
      <w:pPr>
        <w:widowControl w:val="0"/>
        <w:rPr>
          <w:bCs/>
          <w:sz w:val="22"/>
          <w:szCs w:val="22"/>
          <w:lang w:val="lt-LT"/>
        </w:rPr>
      </w:pPr>
    </w:p>
    <w:p w14:paraId="5049AB4E" w14:textId="77777777" w:rsidR="001B11F7" w:rsidRDefault="00B83885">
      <w:pPr>
        <w:widowControl w:val="0"/>
        <w:rPr>
          <w:b/>
          <w:sz w:val="22"/>
          <w:lang w:val="lt-LT"/>
        </w:rPr>
      </w:pPr>
      <w:r>
        <w:rPr>
          <w:b/>
          <w:sz w:val="22"/>
          <w:lang w:val="lt-LT"/>
        </w:rPr>
        <w:t>Gydymo Atoris trukmę nustatys gydytojas.</w:t>
      </w:r>
    </w:p>
    <w:p w14:paraId="353DA19C" w14:textId="77777777" w:rsidR="001B11F7" w:rsidRDefault="001B11F7">
      <w:pPr>
        <w:widowControl w:val="0"/>
        <w:rPr>
          <w:b/>
          <w:bCs/>
          <w:sz w:val="22"/>
          <w:szCs w:val="22"/>
          <w:lang w:val="lt-LT" w:eastAsia="en-US"/>
        </w:rPr>
      </w:pPr>
    </w:p>
    <w:p w14:paraId="186DA216" w14:textId="77777777" w:rsidR="001B11F7" w:rsidRDefault="00B83885">
      <w:pPr>
        <w:widowControl w:val="0"/>
        <w:rPr>
          <w:sz w:val="22"/>
          <w:szCs w:val="22"/>
          <w:lang w:val="lt-LT" w:eastAsia="en-US"/>
        </w:rPr>
      </w:pPr>
      <w:r>
        <w:rPr>
          <w:sz w:val="22"/>
          <w:szCs w:val="22"/>
          <w:lang w:val="lt-LT" w:eastAsia="en-US"/>
        </w:rPr>
        <w:t>Jeigu galvojate, kad Atoris veikia per stipriai arba per silpnai, pasakykite gydytojui.</w:t>
      </w:r>
    </w:p>
    <w:p w14:paraId="40EFD340" w14:textId="77777777" w:rsidR="001B11F7" w:rsidRDefault="001B11F7">
      <w:pPr>
        <w:widowControl w:val="0"/>
        <w:rPr>
          <w:sz w:val="22"/>
          <w:szCs w:val="22"/>
          <w:lang w:val="lt-LT" w:eastAsia="lt-LT"/>
        </w:rPr>
      </w:pPr>
    </w:p>
    <w:p w14:paraId="4B880D00" w14:textId="77777777" w:rsidR="001B11F7" w:rsidRDefault="00B83885">
      <w:pPr>
        <w:widowControl w:val="0"/>
        <w:ind w:left="540" w:hanging="540"/>
        <w:outlineLvl w:val="2"/>
        <w:rPr>
          <w:b/>
          <w:sz w:val="22"/>
          <w:szCs w:val="22"/>
          <w:lang w:val="lt-LT" w:eastAsia="lt-LT"/>
        </w:rPr>
      </w:pPr>
      <w:r>
        <w:rPr>
          <w:b/>
          <w:sz w:val="22"/>
          <w:szCs w:val="22"/>
          <w:lang w:val="lt-LT" w:eastAsia="lt-LT"/>
        </w:rPr>
        <w:t>Ką daryti pavartojus per didelę Atoris dozę</w:t>
      </w:r>
    </w:p>
    <w:p w14:paraId="3D678F2B" w14:textId="77777777" w:rsidR="001B11F7" w:rsidRDefault="00B83885">
      <w:pPr>
        <w:widowControl w:val="0"/>
        <w:rPr>
          <w:bCs/>
          <w:sz w:val="22"/>
          <w:szCs w:val="22"/>
          <w:lang w:val="lt-LT" w:eastAsia="en-US"/>
        </w:rPr>
      </w:pPr>
      <w:r>
        <w:rPr>
          <w:bCs/>
          <w:sz w:val="22"/>
          <w:szCs w:val="22"/>
          <w:lang w:val="lt-LT" w:eastAsia="en-US"/>
        </w:rPr>
        <w:t xml:space="preserve">Jeigu atsitiktinai išgėrėte per daug </w:t>
      </w:r>
      <w:r>
        <w:rPr>
          <w:sz w:val="22"/>
          <w:szCs w:val="22"/>
          <w:lang w:val="lt-LT" w:eastAsia="en-US"/>
        </w:rPr>
        <w:t>Atoris</w:t>
      </w:r>
      <w:r>
        <w:rPr>
          <w:bCs/>
          <w:sz w:val="22"/>
          <w:szCs w:val="22"/>
          <w:lang w:val="lt-LT"/>
        </w:rPr>
        <w:t xml:space="preserve"> </w:t>
      </w:r>
      <w:r>
        <w:rPr>
          <w:bCs/>
          <w:sz w:val="22"/>
          <w:szCs w:val="22"/>
          <w:lang w:val="lt-LT" w:eastAsia="en-US"/>
        </w:rPr>
        <w:t>(daugiau už įprastą paros dozę), kreipkitės patarimo į gydytoją arba artimiausią ligoninę.</w:t>
      </w:r>
    </w:p>
    <w:p w14:paraId="48EC3A1D" w14:textId="77777777" w:rsidR="001B11F7" w:rsidRDefault="001B11F7">
      <w:pPr>
        <w:widowControl w:val="0"/>
        <w:rPr>
          <w:sz w:val="22"/>
          <w:szCs w:val="22"/>
          <w:lang w:val="lt-LT" w:eastAsia="lt-LT"/>
        </w:rPr>
      </w:pPr>
    </w:p>
    <w:p w14:paraId="297E4E0B" w14:textId="77777777" w:rsidR="001B11F7" w:rsidRDefault="00B83885">
      <w:pPr>
        <w:widowControl w:val="0"/>
        <w:ind w:left="540" w:hanging="540"/>
        <w:outlineLvl w:val="2"/>
        <w:rPr>
          <w:b/>
          <w:sz w:val="22"/>
          <w:szCs w:val="22"/>
          <w:lang w:val="lt-LT" w:eastAsia="lt-LT"/>
        </w:rPr>
      </w:pPr>
      <w:r>
        <w:rPr>
          <w:b/>
          <w:sz w:val="22"/>
          <w:szCs w:val="22"/>
          <w:lang w:val="lt-LT" w:eastAsia="lt-LT"/>
        </w:rPr>
        <w:t>Pamiršus pavartoti Atoris</w:t>
      </w:r>
    </w:p>
    <w:p w14:paraId="6D84B7DD" w14:textId="77777777" w:rsidR="001B11F7" w:rsidRDefault="00B83885">
      <w:pPr>
        <w:widowControl w:val="0"/>
        <w:rPr>
          <w:sz w:val="22"/>
          <w:szCs w:val="22"/>
          <w:lang w:val="lt-LT" w:eastAsia="en-US"/>
        </w:rPr>
      </w:pPr>
      <w:r>
        <w:rPr>
          <w:sz w:val="22"/>
          <w:szCs w:val="22"/>
          <w:lang w:val="lt-LT" w:eastAsia="en-US"/>
        </w:rPr>
        <w:t>Jeigu pamiršote išgerti dozę, kitą dozę vartokite pagal gydymo planą numatytu laiku. Negalima vartoti dvigubos dozės norint kompensuoti praleistą dozę.</w:t>
      </w:r>
    </w:p>
    <w:p w14:paraId="178E7826" w14:textId="77777777" w:rsidR="001B11F7" w:rsidRDefault="001B11F7">
      <w:pPr>
        <w:widowControl w:val="0"/>
        <w:rPr>
          <w:sz w:val="22"/>
          <w:szCs w:val="22"/>
          <w:lang w:val="lt-LT" w:eastAsia="lt-LT"/>
        </w:rPr>
      </w:pPr>
    </w:p>
    <w:p w14:paraId="4FA3FBC8" w14:textId="77777777" w:rsidR="001B11F7" w:rsidRDefault="00B83885">
      <w:pPr>
        <w:widowControl w:val="0"/>
        <w:ind w:left="540" w:hanging="540"/>
        <w:outlineLvl w:val="2"/>
        <w:rPr>
          <w:b/>
          <w:sz w:val="22"/>
          <w:szCs w:val="22"/>
          <w:lang w:val="lt-LT" w:eastAsia="lt-LT"/>
        </w:rPr>
      </w:pPr>
      <w:r>
        <w:rPr>
          <w:b/>
          <w:sz w:val="22"/>
          <w:szCs w:val="22"/>
          <w:lang w:val="lt-LT" w:eastAsia="lt-LT"/>
        </w:rPr>
        <w:t>Nustojus vartoti Atoris</w:t>
      </w:r>
    </w:p>
    <w:p w14:paraId="60FF076A" w14:textId="77777777" w:rsidR="001B11F7" w:rsidRDefault="00B83885">
      <w:pPr>
        <w:widowControl w:val="0"/>
        <w:rPr>
          <w:sz w:val="22"/>
          <w:szCs w:val="22"/>
          <w:lang w:val="lt-LT" w:eastAsia="lt-LT"/>
        </w:rPr>
      </w:pPr>
      <w:r>
        <w:rPr>
          <w:sz w:val="22"/>
          <w:szCs w:val="22"/>
          <w:lang w:val="lt-LT" w:eastAsia="lt-LT"/>
        </w:rPr>
        <w:t>Jeigu kiltų daugiau klausimų dėl šio vaisto vartojimo ar gydymą norėtumėte nutraukti, kreipkitės į gydytoją arba vaistininką.</w:t>
      </w:r>
    </w:p>
    <w:p w14:paraId="32CC4C98" w14:textId="77777777" w:rsidR="001B11F7" w:rsidRDefault="001B11F7">
      <w:pPr>
        <w:widowControl w:val="0"/>
        <w:rPr>
          <w:sz w:val="22"/>
          <w:szCs w:val="22"/>
          <w:lang w:val="lt-LT" w:eastAsia="lt-LT"/>
        </w:rPr>
      </w:pPr>
    </w:p>
    <w:p w14:paraId="62A329F3" w14:textId="77777777" w:rsidR="001B11F7" w:rsidRDefault="001B11F7">
      <w:pPr>
        <w:widowControl w:val="0"/>
        <w:rPr>
          <w:sz w:val="22"/>
          <w:szCs w:val="22"/>
          <w:lang w:val="lt-LT" w:eastAsia="lt-LT"/>
        </w:rPr>
      </w:pPr>
    </w:p>
    <w:p w14:paraId="288D3B1A" w14:textId="77777777" w:rsidR="001B11F7" w:rsidRDefault="00B83885">
      <w:pPr>
        <w:widowControl w:val="0"/>
        <w:ind w:left="567" w:hanging="567"/>
        <w:outlineLvl w:val="1"/>
        <w:rPr>
          <w:b/>
          <w:sz w:val="22"/>
          <w:szCs w:val="22"/>
          <w:lang w:val="lt-LT" w:eastAsia="lt-LT"/>
        </w:rPr>
      </w:pPr>
      <w:r>
        <w:rPr>
          <w:b/>
          <w:sz w:val="22"/>
          <w:szCs w:val="22"/>
          <w:lang w:val="lt-LT" w:eastAsia="lt-LT"/>
        </w:rPr>
        <w:t>4.</w:t>
      </w:r>
      <w:r>
        <w:rPr>
          <w:b/>
          <w:sz w:val="22"/>
          <w:szCs w:val="22"/>
          <w:lang w:val="lt-LT" w:eastAsia="lt-LT"/>
        </w:rPr>
        <w:tab/>
        <w:t>Galimas šalutinis poveikis</w:t>
      </w:r>
    </w:p>
    <w:p w14:paraId="4D211688" w14:textId="77777777" w:rsidR="001B11F7" w:rsidRDefault="001B11F7">
      <w:pPr>
        <w:widowControl w:val="0"/>
        <w:rPr>
          <w:sz w:val="22"/>
          <w:szCs w:val="22"/>
          <w:lang w:val="lt-LT" w:eastAsia="lt-LT"/>
        </w:rPr>
      </w:pPr>
    </w:p>
    <w:p w14:paraId="096A4131" w14:textId="77777777" w:rsidR="001B11F7" w:rsidRDefault="00B83885">
      <w:pPr>
        <w:widowControl w:val="0"/>
        <w:rPr>
          <w:sz w:val="22"/>
          <w:szCs w:val="22"/>
          <w:lang w:val="lt-LT" w:eastAsia="en-US"/>
        </w:rPr>
      </w:pPr>
      <w:r>
        <w:rPr>
          <w:sz w:val="22"/>
          <w:szCs w:val="22"/>
          <w:lang w:val="lt-LT" w:eastAsia="en-US"/>
        </w:rPr>
        <w:t>Šis vaistas, kaip ir visi kiti, gali sukelti šalutinį poveikį, nors jis pasireiškia ne visiems žmonėms.</w:t>
      </w:r>
    </w:p>
    <w:p w14:paraId="4C53A9D9" w14:textId="77777777" w:rsidR="001B11F7" w:rsidRDefault="001B11F7">
      <w:pPr>
        <w:widowControl w:val="0"/>
        <w:rPr>
          <w:sz w:val="22"/>
          <w:szCs w:val="22"/>
          <w:lang w:val="lt-LT" w:eastAsia="lt-LT"/>
        </w:rPr>
      </w:pPr>
    </w:p>
    <w:p w14:paraId="40A7DAC0" w14:textId="77777777" w:rsidR="001B11F7" w:rsidRDefault="00B83885">
      <w:pPr>
        <w:widowControl w:val="0"/>
        <w:numPr>
          <w:ilvl w:val="12"/>
          <w:numId w:val="0"/>
        </w:numPr>
        <w:ind w:right="-2"/>
        <w:rPr>
          <w:bCs/>
          <w:sz w:val="22"/>
          <w:szCs w:val="22"/>
          <w:lang w:val="lt-LT" w:eastAsia="en-US"/>
        </w:rPr>
      </w:pPr>
      <w:r>
        <w:rPr>
          <w:b/>
          <w:bCs/>
          <w:sz w:val="22"/>
          <w:szCs w:val="22"/>
          <w:lang w:val="lt-LT" w:eastAsia="en-US"/>
        </w:rPr>
        <w:t xml:space="preserve">Jeigu pasireiškė bet kuris iš toliau išvardytų sunkių šalutinių poveikių ar simptomų, nutraukite </w:t>
      </w:r>
      <w:r>
        <w:rPr>
          <w:b/>
          <w:bCs/>
          <w:sz w:val="22"/>
          <w:szCs w:val="22"/>
          <w:lang w:val="lt-LT"/>
        </w:rPr>
        <w:t>Atoris</w:t>
      </w:r>
      <w:r>
        <w:rPr>
          <w:b/>
          <w:bCs/>
          <w:sz w:val="22"/>
          <w:szCs w:val="22"/>
          <w:lang w:val="lt-LT" w:eastAsia="en-US"/>
        </w:rPr>
        <w:t xml:space="preserve"> vartojimą ir nedelsdamas kreipkitės į gydytoją arba artimiausios ligoninės skubios pagalbos skyrių</w:t>
      </w:r>
      <w:r>
        <w:rPr>
          <w:bCs/>
          <w:sz w:val="22"/>
          <w:szCs w:val="22"/>
          <w:lang w:val="lt-LT" w:eastAsia="en-US"/>
        </w:rPr>
        <w:t>.</w:t>
      </w:r>
    </w:p>
    <w:p w14:paraId="027FC754" w14:textId="77777777" w:rsidR="001B11F7" w:rsidRDefault="001B11F7">
      <w:pPr>
        <w:widowControl w:val="0"/>
        <w:numPr>
          <w:ilvl w:val="12"/>
          <w:numId w:val="0"/>
        </w:numPr>
        <w:ind w:right="-2"/>
        <w:rPr>
          <w:b/>
          <w:bCs/>
          <w:sz w:val="22"/>
          <w:szCs w:val="22"/>
          <w:lang w:val="lt-LT" w:eastAsia="en-US"/>
        </w:rPr>
      </w:pPr>
    </w:p>
    <w:p w14:paraId="7B0E913E"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Reti </w:t>
      </w:r>
      <w:r>
        <w:rPr>
          <w:bCs/>
          <w:noProof/>
          <w:snapToGrid w:val="0"/>
          <w:sz w:val="22"/>
          <w:szCs w:val="22"/>
        </w:rPr>
        <w:t>šalutinio poveikio reiškiniai</w:t>
      </w:r>
      <w:r>
        <w:rPr>
          <w:b/>
          <w:bCs/>
          <w:noProof/>
          <w:snapToGrid w:val="0"/>
          <w:sz w:val="22"/>
          <w:szCs w:val="22"/>
        </w:rPr>
        <w:t xml:space="preserve"> </w:t>
      </w:r>
      <w:r>
        <w:rPr>
          <w:sz w:val="22"/>
          <w:szCs w:val="22"/>
          <w:lang w:val="lt-LT" w:eastAsia="en-US"/>
        </w:rPr>
        <w:t xml:space="preserve">(gali pasireikšti </w:t>
      </w:r>
      <w:r>
        <w:rPr>
          <w:sz w:val="22"/>
          <w:szCs w:val="22"/>
          <w:lang w:val="lt-LT"/>
        </w:rPr>
        <w:t>rečiau</w:t>
      </w:r>
      <w:r>
        <w:rPr>
          <w:sz w:val="22"/>
          <w:szCs w:val="22"/>
          <w:lang w:val="lt-LT" w:eastAsia="en-US"/>
        </w:rPr>
        <w:t xml:space="preserve"> kaip 1 iš 1 000 asmenų)</w:t>
      </w:r>
    </w:p>
    <w:p w14:paraId="78E6EC69" w14:textId="77777777" w:rsidR="001B11F7" w:rsidRDefault="001B11F7">
      <w:pPr>
        <w:widowControl w:val="0"/>
        <w:numPr>
          <w:ilvl w:val="12"/>
          <w:numId w:val="0"/>
        </w:numPr>
        <w:ind w:right="-2"/>
        <w:rPr>
          <w:sz w:val="22"/>
          <w:szCs w:val="22"/>
          <w:lang w:val="lt-LT" w:eastAsia="en-US"/>
        </w:rPr>
      </w:pPr>
    </w:p>
    <w:p w14:paraId="4E0876D9" w14:textId="77777777" w:rsidR="001B11F7" w:rsidRDefault="00B83885">
      <w:pPr>
        <w:widowControl w:val="0"/>
        <w:numPr>
          <w:ilvl w:val="0"/>
          <w:numId w:val="4"/>
        </w:numPr>
        <w:ind w:left="567" w:right="-2" w:hanging="567"/>
        <w:rPr>
          <w:sz w:val="22"/>
          <w:szCs w:val="22"/>
          <w:lang w:val="lt-LT" w:eastAsia="en-US"/>
        </w:rPr>
      </w:pPr>
      <w:r>
        <w:rPr>
          <w:sz w:val="22"/>
          <w:szCs w:val="22"/>
          <w:lang w:val="lt-LT" w:eastAsia="en-US"/>
        </w:rPr>
        <w:t>Sunki alerginė reakcija, sukelianti veido, liežuvio ir gerklės patinimą, kuris gali pasunkinti kvėpavimą.</w:t>
      </w:r>
    </w:p>
    <w:p w14:paraId="35C442AB" w14:textId="77777777" w:rsidR="001B11F7" w:rsidRDefault="00B83885">
      <w:pPr>
        <w:widowControl w:val="0"/>
        <w:numPr>
          <w:ilvl w:val="0"/>
          <w:numId w:val="4"/>
        </w:numPr>
        <w:ind w:left="567" w:right="-2" w:hanging="567"/>
        <w:rPr>
          <w:sz w:val="22"/>
          <w:szCs w:val="22"/>
          <w:lang w:val="lt-LT" w:eastAsia="en-US"/>
        </w:rPr>
      </w:pPr>
      <w:r>
        <w:rPr>
          <w:sz w:val="22"/>
          <w:szCs w:val="22"/>
          <w:lang w:val="lt-LT" w:eastAsia="en-US"/>
        </w:rPr>
        <w:t>Sunkus sutrikimas, pasireiškiantis sunkiu odos lupimusi ir patinimu, odos, burnos, akių ir lytinių organų pūslėmis bei karščiavimu. Odos išbėrimas su rausvai raudonomis dėmėmis, ypač delnų ar padų srityje (gali atsirasti pūslių).</w:t>
      </w:r>
    </w:p>
    <w:p w14:paraId="453E59CF" w14:textId="77777777" w:rsidR="001B11F7" w:rsidRDefault="00B83885">
      <w:pPr>
        <w:widowControl w:val="0"/>
        <w:numPr>
          <w:ilvl w:val="0"/>
          <w:numId w:val="4"/>
        </w:numPr>
        <w:ind w:left="567" w:right="-2" w:hanging="567"/>
        <w:rPr>
          <w:sz w:val="22"/>
          <w:szCs w:val="22"/>
          <w:lang w:val="lt-LT" w:eastAsia="en-US"/>
        </w:rPr>
      </w:pPr>
      <w:r>
        <w:rPr>
          <w:sz w:val="22"/>
          <w:szCs w:val="22"/>
          <w:lang w:val="lt-LT" w:eastAsia="en-US"/>
        </w:rPr>
        <w:t>Raumenų silpnumas, jautrumas</w:t>
      </w:r>
      <w:r>
        <w:rPr>
          <w:sz w:val="22"/>
          <w:szCs w:val="22"/>
        </w:rPr>
        <w:t>,</w:t>
      </w:r>
      <w:r>
        <w:rPr>
          <w:sz w:val="22"/>
          <w:szCs w:val="22"/>
          <w:lang w:val="lt-LT" w:eastAsia="en-US"/>
        </w:rPr>
        <w:t xml:space="preserve"> skausmas arba raudonos ar rusvos spalvos šlapimas, ypatingai tada, kai tuo pat metu Jums pasireiškia prasta savijauta ar padidėja kūno temperatūra, kadangi tai gali būti susiję su nenormaliu raumenų irimu</w:t>
      </w:r>
      <w:r>
        <w:rPr>
          <w:sz w:val="22"/>
          <w:szCs w:val="22"/>
          <w:lang w:val="lt-LT"/>
        </w:rPr>
        <w:t xml:space="preserve">. </w:t>
      </w:r>
      <w:r>
        <w:rPr>
          <w:sz w:val="22"/>
          <w:szCs w:val="22"/>
          <w:lang w:val="lt-LT" w:bidi="lt-LT"/>
        </w:rPr>
        <w:t xml:space="preserve">Toks nenormalus raumenų irimas ne visada išnyksta net ir nutraukus atorvastatino vartojimą </w:t>
      </w:r>
      <w:r>
        <w:rPr>
          <w:rFonts w:eastAsia="SimSun"/>
          <w:sz w:val="22"/>
          <w:szCs w:val="22"/>
          <w:lang w:val="lt-LT" w:eastAsia="zh-CN"/>
        </w:rPr>
        <w:t>ir</w:t>
      </w:r>
      <w:r>
        <w:rPr>
          <w:sz w:val="22"/>
          <w:szCs w:val="22"/>
          <w:lang w:val="lt-LT" w:eastAsia="en-US"/>
        </w:rPr>
        <w:t xml:space="preserve"> gali sukelti pavojų gyvybei ar sukelti inkstų funkcijos sutrikimą.</w:t>
      </w:r>
    </w:p>
    <w:p w14:paraId="0408432E" w14:textId="77777777" w:rsidR="001B11F7" w:rsidRDefault="001B11F7">
      <w:pPr>
        <w:widowControl w:val="0"/>
        <w:numPr>
          <w:ilvl w:val="12"/>
          <w:numId w:val="0"/>
        </w:numPr>
        <w:ind w:right="-2"/>
        <w:rPr>
          <w:sz w:val="22"/>
          <w:szCs w:val="22"/>
          <w:lang w:val="lt-LT" w:eastAsia="en-US"/>
        </w:rPr>
      </w:pPr>
    </w:p>
    <w:p w14:paraId="4C05DB2E"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Labai reti šalutinio poveikio reiškiniai (gali pasireikšti </w:t>
      </w:r>
      <w:r>
        <w:rPr>
          <w:sz w:val="22"/>
          <w:szCs w:val="22"/>
          <w:lang w:val="lt-LT"/>
        </w:rPr>
        <w:t>rečiau</w:t>
      </w:r>
      <w:r>
        <w:rPr>
          <w:sz w:val="22"/>
          <w:szCs w:val="22"/>
          <w:lang w:val="lt-LT" w:eastAsia="en-US"/>
        </w:rPr>
        <w:t xml:space="preserve"> kaip 1 iš 10 000 asmenų)</w:t>
      </w:r>
    </w:p>
    <w:p w14:paraId="17B658A4"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Jeigu pasireiškia netikėtas arba neįprastas kraujavimas arba atsiranda mėlynių, tai gali būti kepenų veiklos sutrikimo požymiai. Kiek galima greičiau kreipkitės į gydytoją.</w:t>
      </w:r>
    </w:p>
    <w:p w14:paraId="497358C1" w14:textId="77777777" w:rsidR="001B11F7" w:rsidRDefault="001B11F7">
      <w:pPr>
        <w:widowControl w:val="0"/>
        <w:numPr>
          <w:ilvl w:val="12"/>
          <w:numId w:val="0"/>
        </w:numPr>
        <w:ind w:right="-2"/>
        <w:rPr>
          <w:sz w:val="22"/>
          <w:szCs w:val="22"/>
          <w:lang w:val="lt-LT" w:eastAsia="en-US"/>
        </w:rPr>
      </w:pPr>
    </w:p>
    <w:p w14:paraId="6920C166" w14:textId="77777777" w:rsidR="001B11F7" w:rsidRDefault="00B83885">
      <w:pPr>
        <w:widowControl w:val="0"/>
        <w:numPr>
          <w:ilvl w:val="12"/>
          <w:numId w:val="0"/>
        </w:numPr>
        <w:ind w:right="-2"/>
        <w:rPr>
          <w:b/>
          <w:sz w:val="22"/>
          <w:lang w:val="lt-LT"/>
        </w:rPr>
      </w:pPr>
      <w:r>
        <w:rPr>
          <w:b/>
          <w:sz w:val="22"/>
          <w:lang w:val="lt-LT"/>
        </w:rPr>
        <w:t>Kitoks šalutinis poveikis galintis pasireikšti vartojant Atoris</w:t>
      </w:r>
    </w:p>
    <w:p w14:paraId="28A8455D" w14:textId="77777777" w:rsidR="001B11F7" w:rsidRDefault="001B11F7">
      <w:pPr>
        <w:widowControl w:val="0"/>
        <w:numPr>
          <w:ilvl w:val="12"/>
          <w:numId w:val="0"/>
        </w:numPr>
        <w:ind w:right="-2"/>
        <w:rPr>
          <w:sz w:val="22"/>
          <w:szCs w:val="22"/>
          <w:lang w:val="lt-LT" w:eastAsia="en-US"/>
        </w:rPr>
      </w:pPr>
    </w:p>
    <w:p w14:paraId="5A79DC6C"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Dažni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 asmenų):</w:t>
      </w:r>
    </w:p>
    <w:p w14:paraId="1009FAB2"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nosies ertmės uždegimas, gerklės skausmas, kraujavimas iš nosies;</w:t>
      </w:r>
    </w:p>
    <w:p w14:paraId="69E341DF"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alerginės reakcijos;</w:t>
      </w:r>
    </w:p>
    <w:p w14:paraId="4E630597"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cukraus kiekio padidėjimas kraujyje (jeigu sergate diabetu, ir toliau atidžiai stebėkite cukraus kiekį kraujyje), kreatinkinazės kiekio padidėjimas kraujyje;</w:t>
      </w:r>
    </w:p>
    <w:p w14:paraId="47DA5C2E"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galvos skausmas;</w:t>
      </w:r>
    </w:p>
    <w:p w14:paraId="1F0F20E3"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lastRenderedPageBreak/>
        <w:t>pykinimas, vidurių užkietėjimas, pilvo pūtimas, nevirškinimas, viduriavimas;</w:t>
      </w:r>
    </w:p>
    <w:p w14:paraId="226D6594"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sąnarių skausmas, raumenų skausmas ir nugaros skausmas;</w:t>
      </w:r>
    </w:p>
    <w:p w14:paraId="59DEB2AF"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kraujo tyrimų rodmenų pokytis, rodantis, kad trinka kepenų funkcija.</w:t>
      </w:r>
    </w:p>
    <w:p w14:paraId="4F79CE32" w14:textId="77777777" w:rsidR="001B11F7" w:rsidRDefault="001B11F7">
      <w:pPr>
        <w:widowControl w:val="0"/>
        <w:numPr>
          <w:ilvl w:val="12"/>
          <w:numId w:val="0"/>
        </w:numPr>
        <w:ind w:right="-2"/>
        <w:rPr>
          <w:sz w:val="22"/>
          <w:szCs w:val="22"/>
          <w:lang w:val="lt-LT" w:eastAsia="en-US"/>
        </w:rPr>
      </w:pPr>
    </w:p>
    <w:p w14:paraId="0EE84037"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Nedažni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100 asmenų):</w:t>
      </w:r>
    </w:p>
    <w:p w14:paraId="7EF42E9B"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anoreksija (apetito neteikimas), kūno svorio didėjimas, cukraus kiekio sumažėjimas kraujyje (jeigu sergate diabetu, ir toliau atidžiai stebėkite cukraus kiekį kraujyje);</w:t>
      </w:r>
    </w:p>
    <w:p w14:paraId="78ACEC16"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košmariški sapnai, nemiga;</w:t>
      </w:r>
    </w:p>
    <w:p w14:paraId="1CEA0AE5"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galvos svaigimas, rankų ar kojų pirštų tirpimas ar dilgčiojimas, skausmo ar lytėjimo pojūčio susilpnėjimas, skonio pojūčio pokytis, atminties praradimas;</w:t>
      </w:r>
    </w:p>
    <w:p w14:paraId="59B0B341"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miglotas matymas;</w:t>
      </w:r>
    </w:p>
    <w:p w14:paraId="6AD9AA10"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zvimbimas ausyse ir (arba) galvoje;</w:t>
      </w:r>
    </w:p>
    <w:p w14:paraId="3B5E25C4"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vėmimas, raugėjimas, viršutinės ir apatinės pilvo dalies skausmas, pankreatitas (kasos uždegimas, sukeliantis pilvo skausmą);</w:t>
      </w:r>
    </w:p>
    <w:p w14:paraId="25DBB715"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kepenų uždegimas (hepatitas);</w:t>
      </w:r>
    </w:p>
    <w:p w14:paraId="790B6329"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išbėrimas, odos išbėrimas ir niežulys, dilgėlinė, plaukų slinkimas;</w:t>
      </w:r>
    </w:p>
    <w:p w14:paraId="44E8277C"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nugaros skausmas, raumenų nuovargis;</w:t>
      </w:r>
    </w:p>
    <w:p w14:paraId="193FA92D"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nuovargis, bloga savijauta, silpnumas, krūtinės skausmas, patinimas, ypač kulkšnių (edema), kūno temperatūros padidėjimas;</w:t>
      </w:r>
    </w:p>
    <w:p w14:paraId="3A49D0C1"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baltųjų kraujo ląstelių atsiradimas šlapime.</w:t>
      </w:r>
    </w:p>
    <w:p w14:paraId="3CDA58CD" w14:textId="77777777" w:rsidR="001B11F7" w:rsidRDefault="001B11F7">
      <w:pPr>
        <w:widowControl w:val="0"/>
        <w:numPr>
          <w:ilvl w:val="12"/>
          <w:numId w:val="0"/>
        </w:numPr>
        <w:ind w:right="-2"/>
        <w:rPr>
          <w:sz w:val="22"/>
          <w:szCs w:val="22"/>
          <w:lang w:val="lt-LT" w:eastAsia="en-US"/>
        </w:rPr>
      </w:pPr>
    </w:p>
    <w:p w14:paraId="1F8D7E66"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Reti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1 000 asmenų):</w:t>
      </w:r>
    </w:p>
    <w:p w14:paraId="1236E54D"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regėjimo sutrikimas;</w:t>
      </w:r>
    </w:p>
    <w:p w14:paraId="5F077112"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netikėtas kraujavimas arba mėlynių atsiradimas;</w:t>
      </w:r>
    </w:p>
    <w:p w14:paraId="3B899EEC"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tulžies sąstovis (odos ir akių baltymų pageltimas);</w:t>
      </w:r>
    </w:p>
    <w:p w14:paraId="29A2A657"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sausgyslių pažeidimas;</w:t>
      </w:r>
    </w:p>
    <w:p w14:paraId="5FD432F1" w14:textId="70F3BAE2" w:rsidR="001B11F7" w:rsidRDefault="00B83885">
      <w:pPr>
        <w:widowControl w:val="0"/>
        <w:numPr>
          <w:ilvl w:val="0"/>
          <w:numId w:val="13"/>
        </w:numPr>
        <w:ind w:left="567" w:hanging="567"/>
        <w:rPr>
          <w:rFonts w:eastAsia="Calibri"/>
          <w:sz w:val="22"/>
          <w:szCs w:val="22"/>
          <w:lang w:val="lt-LT" w:eastAsia="en-US"/>
        </w:rPr>
      </w:pPr>
      <w:bookmarkStart w:id="17" w:name="_Hlk177639535"/>
      <w:r>
        <w:rPr>
          <w:sz w:val="22"/>
          <w:szCs w:val="22"/>
        </w:rPr>
        <w:t>išbėrimas, kuris gali atsirasti ant odos, arba burnos žaizdos (lichenoidinė [kerpligiška] reakcija į vaistą);</w:t>
      </w:r>
    </w:p>
    <w:p w14:paraId="6AB3317F" w14:textId="77777777" w:rsidR="001B11F7" w:rsidRPr="00B90ECF" w:rsidRDefault="00B83885" w:rsidP="00B90ECF">
      <w:pPr>
        <w:widowControl w:val="0"/>
        <w:numPr>
          <w:ilvl w:val="0"/>
          <w:numId w:val="13"/>
        </w:numPr>
        <w:ind w:left="567" w:hanging="567"/>
        <w:rPr>
          <w:rFonts w:eastAsia="Calibri"/>
          <w:sz w:val="22"/>
          <w:szCs w:val="22"/>
          <w:lang w:val="lt-LT" w:eastAsia="en-US"/>
        </w:rPr>
      </w:pPr>
      <w:r>
        <w:rPr>
          <w:sz w:val="22"/>
          <w:szCs w:val="22"/>
        </w:rPr>
        <w:t>violetiniai odos pažeidimai (kraujagyslių uždegimo požymiai, vaskulitas).</w:t>
      </w:r>
      <w:bookmarkEnd w:id="17"/>
    </w:p>
    <w:p w14:paraId="777ECF31" w14:textId="77777777" w:rsidR="001B11F7" w:rsidRDefault="001B11F7">
      <w:pPr>
        <w:widowControl w:val="0"/>
        <w:numPr>
          <w:ilvl w:val="12"/>
          <w:numId w:val="0"/>
        </w:numPr>
        <w:ind w:right="-2"/>
        <w:rPr>
          <w:sz w:val="22"/>
          <w:szCs w:val="22"/>
          <w:lang w:val="lt-LT" w:eastAsia="en-US"/>
        </w:rPr>
      </w:pPr>
    </w:p>
    <w:p w14:paraId="56DF86E2" w14:textId="77777777" w:rsidR="001B11F7" w:rsidRDefault="00B83885">
      <w:pPr>
        <w:widowControl w:val="0"/>
        <w:numPr>
          <w:ilvl w:val="12"/>
          <w:numId w:val="0"/>
        </w:numPr>
        <w:ind w:right="-2"/>
        <w:rPr>
          <w:sz w:val="22"/>
          <w:szCs w:val="22"/>
          <w:lang w:val="lt-LT" w:eastAsia="en-US"/>
        </w:rPr>
      </w:pPr>
      <w:r>
        <w:rPr>
          <w:sz w:val="22"/>
          <w:szCs w:val="22"/>
          <w:lang w:val="lt-LT" w:eastAsia="en-US"/>
        </w:rPr>
        <w:t xml:space="preserve">Labai reti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10 000 asmenų):</w:t>
      </w:r>
    </w:p>
    <w:p w14:paraId="58465E26"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alerginė reakcija (galimi simptomai yra staiga atsiradęs švokštimas ir krūtinės skausmas ar spaudimas, akių vokų, veido, lūpų, burnos, liežuvio ar gerklės patinimas, kvėpavimo pasunkėjimas, apalpimas);</w:t>
      </w:r>
    </w:p>
    <w:p w14:paraId="1E96ADAD"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prikurtimas;</w:t>
      </w:r>
    </w:p>
    <w:p w14:paraId="15917F78"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ginekomastija (krūtų padidėjimas vyrams ir moterims</w:t>
      </w:r>
      <w:r>
        <w:rPr>
          <w:sz w:val="22"/>
          <w:szCs w:val="22"/>
          <w:lang w:val="lt-LT"/>
        </w:rPr>
        <w:t>);</w:t>
      </w:r>
    </w:p>
    <w:p w14:paraId="09D3EC39" w14:textId="77777777" w:rsidR="001B11F7" w:rsidRDefault="00B83885">
      <w:pPr>
        <w:widowControl w:val="0"/>
        <w:numPr>
          <w:ilvl w:val="0"/>
          <w:numId w:val="5"/>
        </w:numPr>
        <w:ind w:left="567" w:hanging="567"/>
        <w:rPr>
          <w:sz w:val="22"/>
          <w:szCs w:val="22"/>
          <w:lang w:val="lt-LT"/>
        </w:rPr>
      </w:pPr>
      <w:r>
        <w:rPr>
          <w:sz w:val="22"/>
          <w:szCs w:val="22"/>
          <w:lang w:val="lt-LT"/>
        </w:rPr>
        <w:t>į susirgimą, vadinamąją vilkligę, panašus sindromas (įskaitant išbėrimą, sąnarių pakenkimą ir poveikį kraujo ląstelėms).</w:t>
      </w:r>
    </w:p>
    <w:p w14:paraId="221A0114" w14:textId="77777777" w:rsidR="001B11F7" w:rsidRDefault="001B11F7">
      <w:pPr>
        <w:widowControl w:val="0"/>
        <w:numPr>
          <w:ilvl w:val="12"/>
          <w:numId w:val="0"/>
        </w:numPr>
        <w:ind w:right="-2"/>
        <w:rPr>
          <w:sz w:val="22"/>
          <w:szCs w:val="22"/>
          <w:lang w:val="lt-LT" w:eastAsia="en-US"/>
        </w:rPr>
      </w:pPr>
    </w:p>
    <w:p w14:paraId="5AA822D9" w14:textId="77777777" w:rsidR="001B11F7" w:rsidRDefault="00B83885">
      <w:pPr>
        <w:widowControl w:val="0"/>
        <w:numPr>
          <w:ilvl w:val="12"/>
          <w:numId w:val="0"/>
        </w:numPr>
        <w:ind w:right="-2"/>
        <w:rPr>
          <w:kern w:val="32"/>
          <w:sz w:val="22"/>
          <w:szCs w:val="22"/>
          <w:lang w:val="lt-LT"/>
        </w:rPr>
      </w:pPr>
      <w:r>
        <w:rPr>
          <w:kern w:val="32"/>
          <w:sz w:val="22"/>
          <w:lang w:val="lt-LT"/>
        </w:rPr>
        <w:t>Šalutinio poveikio reiškiniai, kurių dažnis nežinomas (negali būti apskaičiuotas pagal turimus duomenis):</w:t>
      </w:r>
    </w:p>
    <w:p w14:paraId="7F4DBCB7"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nuolatinis raumenų silpnumas.</w:t>
      </w:r>
    </w:p>
    <w:p w14:paraId="644DA92C" w14:textId="77777777" w:rsidR="001B11F7" w:rsidRDefault="00B83885">
      <w:pPr>
        <w:widowControl w:val="0"/>
        <w:numPr>
          <w:ilvl w:val="0"/>
          <w:numId w:val="5"/>
        </w:numPr>
        <w:ind w:left="567" w:hanging="567"/>
        <w:rPr>
          <w:sz w:val="22"/>
          <w:szCs w:val="22"/>
          <w:lang w:val="lt-LT" w:eastAsia="en-US"/>
        </w:rPr>
      </w:pPr>
      <w:r>
        <w:rPr>
          <w:sz w:val="22"/>
          <w:szCs w:val="22"/>
        </w:rPr>
        <w:t>generalizuota miastenija (liga, sukelianti bendrą raumenų, įskaitant kai kuriais atvejais, kvėpuojant naudojamus raumenis, silpnumą).</w:t>
      </w:r>
    </w:p>
    <w:p w14:paraId="125FDE05" w14:textId="77777777" w:rsidR="001B11F7" w:rsidRDefault="00B83885">
      <w:pPr>
        <w:widowControl w:val="0"/>
        <w:numPr>
          <w:ilvl w:val="0"/>
          <w:numId w:val="5"/>
        </w:numPr>
        <w:ind w:left="567" w:hanging="567"/>
        <w:rPr>
          <w:sz w:val="22"/>
          <w:szCs w:val="22"/>
          <w:lang w:val="lt-LT" w:eastAsia="en-US"/>
        </w:rPr>
      </w:pPr>
      <w:r>
        <w:rPr>
          <w:sz w:val="22"/>
          <w:szCs w:val="22"/>
        </w:rPr>
        <w:t>akių miastenija (akių raumenų silpnumą sukelianti liga).</w:t>
      </w:r>
    </w:p>
    <w:p w14:paraId="02D521EA" w14:textId="77777777" w:rsidR="001B11F7" w:rsidRDefault="00B83885">
      <w:pPr>
        <w:widowControl w:val="0"/>
        <w:ind w:left="567"/>
        <w:rPr>
          <w:sz w:val="22"/>
          <w:szCs w:val="22"/>
          <w:lang w:val="lt-LT" w:eastAsia="en-US"/>
        </w:rPr>
      </w:pPr>
      <w:r>
        <w:rPr>
          <w:sz w:val="22"/>
          <w:szCs w:val="22"/>
        </w:rPr>
        <w:t>Pasitarkite su gydytoju, jei jaučiate rankų ar kojų silpnumą, kuris pasunkėja aktyviau pajudėjus, jei dvejinasi akyse arba užkrenta akių vokai, sunku ryti arba pasireiškia dusulys.</w:t>
      </w:r>
    </w:p>
    <w:p w14:paraId="4582B50C" w14:textId="77777777" w:rsidR="001B11F7" w:rsidRDefault="001B11F7">
      <w:pPr>
        <w:widowControl w:val="0"/>
        <w:numPr>
          <w:ilvl w:val="12"/>
          <w:numId w:val="0"/>
        </w:numPr>
        <w:ind w:right="-2"/>
        <w:rPr>
          <w:sz w:val="22"/>
          <w:szCs w:val="22"/>
          <w:lang w:val="lt-LT"/>
        </w:rPr>
      </w:pPr>
    </w:p>
    <w:p w14:paraId="42685930" w14:textId="77777777" w:rsidR="001B11F7" w:rsidRDefault="00B83885">
      <w:pPr>
        <w:widowControl w:val="0"/>
        <w:numPr>
          <w:ilvl w:val="12"/>
          <w:numId w:val="0"/>
        </w:numPr>
        <w:ind w:right="-2"/>
        <w:rPr>
          <w:sz w:val="22"/>
          <w:szCs w:val="22"/>
          <w:lang w:val="lt-LT" w:eastAsia="en-US"/>
        </w:rPr>
      </w:pPr>
      <w:r>
        <w:rPr>
          <w:sz w:val="22"/>
          <w:szCs w:val="22"/>
          <w:lang w:val="lt-LT" w:eastAsia="en-US"/>
        </w:rPr>
        <w:t>Galimas šalutinis poveikis, kuris pasireiškė vartojant kai kurių statinų (tos pačios grupės vaistų):</w:t>
      </w:r>
    </w:p>
    <w:p w14:paraId="38327063"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lytinės funkcijos sutrikimai;</w:t>
      </w:r>
    </w:p>
    <w:p w14:paraId="020E59AA"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depresija;</w:t>
      </w:r>
    </w:p>
    <w:p w14:paraId="7B927E1C" w14:textId="77777777" w:rsidR="001B11F7" w:rsidRDefault="00B83885">
      <w:pPr>
        <w:widowControl w:val="0"/>
        <w:numPr>
          <w:ilvl w:val="0"/>
          <w:numId w:val="5"/>
        </w:numPr>
        <w:ind w:left="567" w:hanging="567"/>
        <w:rPr>
          <w:sz w:val="22"/>
          <w:szCs w:val="22"/>
          <w:lang w:val="lt-LT" w:eastAsia="en-US"/>
        </w:rPr>
      </w:pPr>
      <w:r>
        <w:rPr>
          <w:sz w:val="22"/>
          <w:szCs w:val="22"/>
          <w:lang w:val="lt-LT" w:eastAsia="en-US"/>
        </w:rPr>
        <w:t>kvėpavimo sutrikimai, įskaitant nuolatinį kosulį ir (arba) kvėpavimo pasunkėjimą ar karščiavimą;</w:t>
      </w:r>
    </w:p>
    <w:p w14:paraId="3DFCF096" w14:textId="77777777" w:rsidR="001B11F7" w:rsidRDefault="00B83885">
      <w:pPr>
        <w:widowControl w:val="0"/>
        <w:numPr>
          <w:ilvl w:val="0"/>
          <w:numId w:val="5"/>
        </w:numPr>
        <w:ind w:left="567" w:hanging="567"/>
        <w:rPr>
          <w:sz w:val="22"/>
          <w:szCs w:val="22"/>
          <w:lang w:val="lt-LT" w:eastAsia="lt-LT"/>
        </w:rPr>
      </w:pPr>
      <w:r>
        <w:rPr>
          <w:sz w:val="22"/>
          <w:szCs w:val="22"/>
          <w:lang w:val="lt-LT" w:eastAsia="lt-LT"/>
        </w:rPr>
        <w:t>cukrinis diabetas. Cukrinio diabeto rizika padidėja, jei yra padidėjęs cukraus ir riebalų kiekis kraujyje, turite antsvorio ir aukštą kraujospūdį. Kol vartojate šį vaistą, Jūsų gydytojas Jus stebės.</w:t>
      </w:r>
    </w:p>
    <w:p w14:paraId="2BA67100" w14:textId="77777777" w:rsidR="001B11F7" w:rsidRDefault="001B11F7">
      <w:pPr>
        <w:widowControl w:val="0"/>
        <w:contextualSpacing/>
        <w:rPr>
          <w:sz w:val="22"/>
          <w:szCs w:val="22"/>
          <w:lang w:val="lt-LT" w:eastAsia="lt-LT"/>
        </w:rPr>
      </w:pPr>
    </w:p>
    <w:p w14:paraId="2B49E3EB" w14:textId="77777777" w:rsidR="001B11F7" w:rsidRDefault="00B83885">
      <w:pPr>
        <w:widowControl w:val="0"/>
        <w:tabs>
          <w:tab w:val="left" w:pos="567"/>
        </w:tabs>
        <w:rPr>
          <w:b/>
          <w:snapToGrid w:val="0"/>
          <w:sz w:val="22"/>
          <w:szCs w:val="22"/>
          <w:lang w:val="lt-LT" w:eastAsia="en-US"/>
        </w:rPr>
      </w:pPr>
      <w:r>
        <w:rPr>
          <w:b/>
          <w:noProof/>
          <w:snapToGrid w:val="0"/>
          <w:sz w:val="22"/>
          <w:szCs w:val="22"/>
          <w:lang w:val="lt-LT" w:eastAsia="en-US"/>
        </w:rPr>
        <w:lastRenderedPageBreak/>
        <w:t>Pranešimas apie šalutinį poveikį</w:t>
      </w:r>
    </w:p>
    <w:p w14:paraId="4CB97CD2" w14:textId="77777777" w:rsidR="001B11F7" w:rsidRDefault="00B83885">
      <w:pPr>
        <w:tabs>
          <w:tab w:val="left" w:pos="567"/>
        </w:tabs>
        <w:spacing w:line="260" w:lineRule="exact"/>
        <w:ind w:right="-1"/>
        <w:rPr>
          <w:sz w:val="22"/>
          <w:lang w:val="lt-LT" w:eastAsia="en-US"/>
        </w:rPr>
      </w:pPr>
      <w:bookmarkStart w:id="18" w:name="_Hlk177638992"/>
      <w:r>
        <w:rPr>
          <w:sz w:val="22"/>
          <w:szCs w:val="22"/>
          <w:lang w:val="lt-LT" w:eastAsia="lt-LT"/>
        </w:rPr>
        <w:t xml:space="preserve">Jeigu pasireiškė šalutinis poveikis, įskaitant šiame lapelyje nenurodytą, pasakykite gydytojui,vaistininkui arba slaugytojui. </w:t>
      </w:r>
      <w:bookmarkStart w:id="19" w:name="_Hlk173407583"/>
      <w:r>
        <w:rPr>
          <w:sz w:val="22"/>
          <w:szCs w:val="22"/>
          <w:lang w:val="lt-LT"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val="lt-LT" w:eastAsia="lt-LT"/>
        </w:rPr>
        <w:t>https://vvkt.lrv.lt/lt/</w:t>
      </w:r>
      <w:r>
        <w:rPr>
          <w:sz w:val="22"/>
          <w:szCs w:val="22"/>
          <w:lang w:val="lt-LT" w:eastAsia="lt-LT"/>
        </w:rPr>
        <w:t xml:space="preserve"> nurodytais būdais arba paskambinti nemokamu telefonu 8 800 73 568. Pranešdami apie šalutinį poveikį galite mums padėti gauti daugiau informacijos apie šio vaisto saugumą</w:t>
      </w:r>
      <w:r>
        <w:rPr>
          <w:sz w:val="22"/>
          <w:lang w:val="lt-LT" w:eastAsia="en-US"/>
        </w:rPr>
        <w:t>.</w:t>
      </w:r>
      <w:bookmarkEnd w:id="19"/>
    </w:p>
    <w:bookmarkEnd w:id="18"/>
    <w:p w14:paraId="418B7DE4" w14:textId="77777777" w:rsidR="001B11F7" w:rsidRDefault="001B11F7">
      <w:pPr>
        <w:widowControl w:val="0"/>
        <w:rPr>
          <w:sz w:val="22"/>
          <w:szCs w:val="22"/>
          <w:lang w:val="lt-LT" w:eastAsia="lt-LT"/>
        </w:rPr>
      </w:pPr>
    </w:p>
    <w:p w14:paraId="1F6975D7" w14:textId="77777777" w:rsidR="001B11F7" w:rsidRDefault="001B11F7">
      <w:pPr>
        <w:widowControl w:val="0"/>
        <w:rPr>
          <w:sz w:val="22"/>
          <w:szCs w:val="22"/>
          <w:lang w:val="lt-LT" w:eastAsia="lt-LT"/>
        </w:rPr>
      </w:pPr>
    </w:p>
    <w:p w14:paraId="2BDA73B3" w14:textId="77777777" w:rsidR="001B11F7" w:rsidRDefault="00B83885">
      <w:pPr>
        <w:widowControl w:val="0"/>
        <w:ind w:left="567" w:hanging="567"/>
        <w:outlineLvl w:val="1"/>
        <w:rPr>
          <w:b/>
          <w:sz w:val="22"/>
          <w:szCs w:val="22"/>
          <w:lang w:val="lt-LT" w:eastAsia="lt-LT"/>
        </w:rPr>
      </w:pPr>
      <w:r>
        <w:rPr>
          <w:b/>
          <w:sz w:val="22"/>
          <w:szCs w:val="22"/>
          <w:lang w:val="lt-LT" w:eastAsia="lt-LT"/>
        </w:rPr>
        <w:t>5.</w:t>
      </w:r>
      <w:r>
        <w:rPr>
          <w:b/>
          <w:sz w:val="22"/>
          <w:szCs w:val="22"/>
          <w:lang w:val="lt-LT" w:eastAsia="lt-LT"/>
        </w:rPr>
        <w:tab/>
        <w:t>Kaip laikyti Atoris</w:t>
      </w:r>
    </w:p>
    <w:p w14:paraId="76957583" w14:textId="77777777" w:rsidR="001B11F7" w:rsidRDefault="001B11F7">
      <w:pPr>
        <w:widowControl w:val="0"/>
        <w:rPr>
          <w:sz w:val="22"/>
          <w:szCs w:val="22"/>
          <w:lang w:val="lt-LT" w:eastAsia="lt-LT"/>
        </w:rPr>
      </w:pPr>
    </w:p>
    <w:p w14:paraId="5ECA1A79" w14:textId="77777777" w:rsidR="001B11F7" w:rsidRDefault="00B83885">
      <w:pPr>
        <w:widowControl w:val="0"/>
        <w:rPr>
          <w:sz w:val="22"/>
          <w:szCs w:val="22"/>
          <w:lang w:val="lt-LT" w:eastAsia="lt-LT"/>
        </w:rPr>
      </w:pPr>
      <w:r>
        <w:rPr>
          <w:sz w:val="22"/>
          <w:szCs w:val="22"/>
          <w:lang w:val="lt-LT" w:eastAsia="lt-LT"/>
        </w:rPr>
        <w:t>Šį vaistą laikykite vaikams nepastebimoje ir nepasiekiamoje vietoje.</w:t>
      </w:r>
    </w:p>
    <w:p w14:paraId="0A6685C7" w14:textId="77777777" w:rsidR="001B11F7" w:rsidRDefault="001B11F7">
      <w:pPr>
        <w:widowControl w:val="0"/>
        <w:rPr>
          <w:sz w:val="22"/>
          <w:szCs w:val="22"/>
          <w:lang w:val="lt-LT" w:eastAsia="lt-LT"/>
        </w:rPr>
      </w:pPr>
    </w:p>
    <w:p w14:paraId="1A26D366" w14:textId="77777777" w:rsidR="001B11F7" w:rsidRDefault="00B83885">
      <w:pPr>
        <w:widowControl w:val="0"/>
        <w:rPr>
          <w:sz w:val="22"/>
          <w:szCs w:val="22"/>
          <w:lang w:val="lt-LT" w:eastAsia="lt-LT"/>
        </w:rPr>
      </w:pPr>
      <w:r>
        <w:rPr>
          <w:sz w:val="22"/>
          <w:szCs w:val="22"/>
          <w:lang w:val="lt-LT" w:eastAsia="lt-LT"/>
        </w:rPr>
        <w:t>Laikyti ne aukštesnėje kaip 25 </w:t>
      </w:r>
      <w:r>
        <w:rPr>
          <w:sz w:val="22"/>
          <w:szCs w:val="22"/>
          <w:lang w:val="lt-LT" w:eastAsia="lt-LT"/>
        </w:rPr>
        <w:sym w:font="Symbol" w:char="F0B0"/>
      </w:r>
      <w:r>
        <w:rPr>
          <w:sz w:val="22"/>
          <w:szCs w:val="22"/>
          <w:lang w:val="lt-LT" w:eastAsia="lt-LT"/>
        </w:rPr>
        <w:t>C temperatūroje.</w:t>
      </w:r>
    </w:p>
    <w:p w14:paraId="5E88BB0E" w14:textId="77777777" w:rsidR="001B11F7" w:rsidRDefault="001B11F7">
      <w:pPr>
        <w:widowControl w:val="0"/>
        <w:rPr>
          <w:sz w:val="22"/>
          <w:szCs w:val="22"/>
          <w:lang w:val="lt-LT" w:eastAsia="lt-LT"/>
        </w:rPr>
      </w:pPr>
    </w:p>
    <w:p w14:paraId="3E7D0178" w14:textId="77777777" w:rsidR="001B11F7" w:rsidRDefault="00B83885">
      <w:pPr>
        <w:widowControl w:val="0"/>
        <w:rPr>
          <w:sz w:val="22"/>
          <w:szCs w:val="22"/>
          <w:lang w:val="lt-LT" w:eastAsia="lt-LT"/>
        </w:rPr>
      </w:pPr>
      <w:r>
        <w:rPr>
          <w:sz w:val="22"/>
          <w:szCs w:val="22"/>
          <w:lang w:val="lt-LT" w:eastAsia="lt-LT"/>
        </w:rPr>
        <w:t>Ant dėžutės ir lizdinės plokštelės po „Tinka iki/EXP“ nurodytam tinkamumo laikui pasibaigus, šio vaisto vartoti negalima.</w:t>
      </w:r>
      <w:r>
        <w:rPr>
          <w:noProof/>
          <w:sz w:val="22"/>
          <w:szCs w:val="22"/>
          <w:lang w:val="lt-LT" w:eastAsia="en-US"/>
        </w:rPr>
        <w:t xml:space="preserve"> Vaistas tinkamas vartoti iki paskutinės nurodyto mėnesio dienos.</w:t>
      </w:r>
    </w:p>
    <w:p w14:paraId="5CAE3C52" w14:textId="77777777" w:rsidR="001B11F7" w:rsidRDefault="001B11F7">
      <w:pPr>
        <w:widowControl w:val="0"/>
        <w:rPr>
          <w:sz w:val="22"/>
          <w:szCs w:val="22"/>
          <w:lang w:val="lt-LT" w:eastAsia="lt-LT"/>
        </w:rPr>
      </w:pPr>
    </w:p>
    <w:p w14:paraId="234D0CED" w14:textId="77777777" w:rsidR="001B11F7" w:rsidRDefault="00B83885">
      <w:pPr>
        <w:widowControl w:val="0"/>
        <w:rPr>
          <w:sz w:val="22"/>
          <w:szCs w:val="22"/>
          <w:lang w:val="lt-LT" w:eastAsia="lt-LT"/>
        </w:rPr>
      </w:pPr>
      <w:r>
        <w:rPr>
          <w:sz w:val="22"/>
          <w:szCs w:val="22"/>
          <w:lang w:val="lt-LT" w:eastAsia="lt-LT"/>
        </w:rPr>
        <w:t>Vaistų negalima išmesti į kanalizaciją arba su buitinėmis atliekomis. Kaip išmesti nereikalingus vaistus, klauskite vaistininko. Šios priemonės padės apsaugoti aplinką.</w:t>
      </w:r>
    </w:p>
    <w:p w14:paraId="5DF5B298" w14:textId="77777777" w:rsidR="001B11F7" w:rsidRDefault="001B11F7">
      <w:pPr>
        <w:widowControl w:val="0"/>
        <w:rPr>
          <w:sz w:val="22"/>
          <w:szCs w:val="22"/>
          <w:lang w:val="lt-LT" w:eastAsia="lt-LT"/>
        </w:rPr>
      </w:pPr>
    </w:p>
    <w:p w14:paraId="35D14A89" w14:textId="77777777" w:rsidR="001B11F7" w:rsidRDefault="001B11F7">
      <w:pPr>
        <w:widowControl w:val="0"/>
        <w:rPr>
          <w:sz w:val="22"/>
          <w:szCs w:val="22"/>
          <w:lang w:val="lt-LT" w:eastAsia="lt-LT"/>
        </w:rPr>
      </w:pPr>
    </w:p>
    <w:p w14:paraId="39253107" w14:textId="77777777" w:rsidR="001B11F7" w:rsidRDefault="00B83885">
      <w:pPr>
        <w:widowControl w:val="0"/>
        <w:ind w:left="567" w:hanging="567"/>
        <w:outlineLvl w:val="1"/>
        <w:rPr>
          <w:b/>
          <w:sz w:val="22"/>
          <w:szCs w:val="22"/>
          <w:lang w:val="lt-LT" w:eastAsia="lt-LT"/>
        </w:rPr>
      </w:pPr>
      <w:r>
        <w:rPr>
          <w:b/>
          <w:sz w:val="22"/>
          <w:szCs w:val="22"/>
          <w:lang w:val="lt-LT" w:eastAsia="lt-LT"/>
        </w:rPr>
        <w:t>6.</w:t>
      </w:r>
      <w:r>
        <w:rPr>
          <w:b/>
          <w:sz w:val="22"/>
          <w:szCs w:val="22"/>
          <w:lang w:val="lt-LT" w:eastAsia="lt-LT"/>
        </w:rPr>
        <w:tab/>
        <w:t>Pakuotės turinys ir kita informacija</w:t>
      </w:r>
    </w:p>
    <w:p w14:paraId="62D6A96A" w14:textId="77777777" w:rsidR="001B11F7" w:rsidRDefault="001B11F7">
      <w:pPr>
        <w:widowControl w:val="0"/>
        <w:rPr>
          <w:sz w:val="22"/>
          <w:szCs w:val="22"/>
          <w:lang w:val="lt-LT" w:eastAsia="lt-LT"/>
        </w:rPr>
      </w:pPr>
    </w:p>
    <w:p w14:paraId="602E3979" w14:textId="77777777" w:rsidR="001B11F7" w:rsidRDefault="00B83885">
      <w:pPr>
        <w:widowControl w:val="0"/>
        <w:rPr>
          <w:b/>
          <w:sz w:val="22"/>
          <w:szCs w:val="22"/>
          <w:lang w:val="lt-LT" w:eastAsia="lt-LT"/>
        </w:rPr>
      </w:pPr>
      <w:r>
        <w:rPr>
          <w:b/>
          <w:sz w:val="22"/>
          <w:szCs w:val="22"/>
          <w:lang w:val="lt-LT" w:eastAsia="lt-LT"/>
        </w:rPr>
        <w:t>Atoris sudėtis</w:t>
      </w:r>
    </w:p>
    <w:p w14:paraId="685FBB5C" w14:textId="77777777" w:rsidR="001B11F7" w:rsidRDefault="00B83885">
      <w:pPr>
        <w:widowControl w:val="0"/>
        <w:numPr>
          <w:ilvl w:val="0"/>
          <w:numId w:val="10"/>
        </w:numPr>
        <w:ind w:left="567" w:hanging="567"/>
        <w:rPr>
          <w:sz w:val="22"/>
          <w:szCs w:val="22"/>
          <w:lang w:val="lt-LT" w:eastAsia="lt-LT"/>
        </w:rPr>
      </w:pPr>
      <w:r>
        <w:rPr>
          <w:sz w:val="22"/>
          <w:szCs w:val="22"/>
          <w:lang w:val="lt-LT" w:eastAsia="lt-LT"/>
        </w:rPr>
        <w:t xml:space="preserve">Veiklioji medžiaga yra atorvastatinas. Kiekvienoje plėvele dengtoje tabletėje yra 10 mg, 20 mg arba 40 mg atorvastatino (atitinkamai </w:t>
      </w:r>
      <w:r>
        <w:rPr>
          <w:iCs/>
          <w:color w:val="000000"/>
          <w:sz w:val="22"/>
          <w:szCs w:val="22"/>
          <w:lang w:val="lt-LT" w:eastAsia="en-US"/>
        </w:rPr>
        <w:t>10,36 mg, 20,72 mg arba 41,44 mg</w:t>
      </w:r>
      <w:r>
        <w:rPr>
          <w:sz w:val="22"/>
          <w:szCs w:val="22"/>
          <w:lang w:val="lt-LT" w:eastAsia="lt-LT"/>
        </w:rPr>
        <w:t xml:space="preserve"> atorvastatino kalcio druskos pavidalu).</w:t>
      </w:r>
    </w:p>
    <w:p w14:paraId="3BA3A18C" w14:textId="77777777" w:rsidR="001B11F7" w:rsidRDefault="00B83885">
      <w:pPr>
        <w:widowControl w:val="0"/>
        <w:numPr>
          <w:ilvl w:val="0"/>
          <w:numId w:val="10"/>
        </w:numPr>
        <w:ind w:left="567" w:hanging="567"/>
        <w:rPr>
          <w:sz w:val="22"/>
          <w:szCs w:val="22"/>
          <w:lang w:val="lt-LT" w:eastAsia="lt-LT"/>
        </w:rPr>
      </w:pPr>
      <w:r>
        <w:rPr>
          <w:sz w:val="22"/>
          <w:szCs w:val="22"/>
          <w:lang w:val="lt-LT" w:eastAsia="lt-LT"/>
        </w:rPr>
        <w:t xml:space="preserve">Pagalbinės medžiagos 10 mg ir 20 mg plėvele dengtų tablečių branduolyje yra: povidonas, natrio laurilsulfatas, kalcio karbonatas, mikrokristalinė celiuliozė, laktozė monohidratas, kroskarmeliozės natrio druska, magnio stearatas. Tabletės plėvelėje yra </w:t>
      </w:r>
      <w:r>
        <w:rPr>
          <w:i/>
          <w:iCs/>
          <w:sz w:val="22"/>
          <w:szCs w:val="22"/>
          <w:lang w:val="lt-LT" w:eastAsia="en-US"/>
        </w:rPr>
        <w:t>Opadry II HP 85F28751 White</w:t>
      </w:r>
      <w:r>
        <w:rPr>
          <w:iCs/>
          <w:sz w:val="22"/>
          <w:szCs w:val="22"/>
          <w:lang w:val="lt-LT" w:eastAsia="en-US"/>
        </w:rPr>
        <w:t xml:space="preserve">, kurio sudėtyje yra: </w:t>
      </w:r>
      <w:r>
        <w:rPr>
          <w:sz w:val="22"/>
          <w:szCs w:val="22"/>
          <w:lang w:val="lt-LT" w:eastAsia="lt-LT"/>
        </w:rPr>
        <w:t xml:space="preserve">polivinilo alkoholis, titano dioksidas (E171), makrogolis 3000, talkas. Žr. </w:t>
      </w:r>
      <w:proofErr w:type="gramStart"/>
      <w:r>
        <w:rPr>
          <w:sz w:val="22"/>
          <w:szCs w:val="22"/>
          <w:lang w:val="en-US" w:eastAsia="lt-LT"/>
        </w:rPr>
        <w:t>2</w:t>
      </w:r>
      <w:proofErr w:type="gramEnd"/>
      <w:r>
        <w:rPr>
          <w:sz w:val="22"/>
          <w:szCs w:val="22"/>
          <w:lang w:val="en-US" w:eastAsia="lt-LT"/>
        </w:rPr>
        <w:t> s</w:t>
      </w:r>
      <w:r>
        <w:rPr>
          <w:sz w:val="22"/>
          <w:szCs w:val="22"/>
          <w:lang w:val="lt-LT" w:eastAsia="lt-LT"/>
        </w:rPr>
        <w:t>kyrių „Atoris sudėtyje yra laktozės ir natrio“.</w:t>
      </w:r>
    </w:p>
    <w:p w14:paraId="0F794BA2" w14:textId="77777777" w:rsidR="001B11F7" w:rsidRDefault="00B83885">
      <w:pPr>
        <w:widowControl w:val="0"/>
        <w:numPr>
          <w:ilvl w:val="0"/>
          <w:numId w:val="11"/>
        </w:numPr>
        <w:ind w:left="567" w:hanging="567"/>
        <w:rPr>
          <w:sz w:val="22"/>
          <w:szCs w:val="22"/>
          <w:lang w:val="lt-LT" w:eastAsia="lt-LT"/>
        </w:rPr>
      </w:pPr>
      <w:r>
        <w:rPr>
          <w:sz w:val="22"/>
          <w:szCs w:val="22"/>
          <w:lang w:val="lt-LT" w:eastAsia="lt-LT"/>
        </w:rPr>
        <w:t xml:space="preserve">Pagalbinės medžiagos 40 mg plėvele dengtų tablečių branduolyje yra: povidonas, natrio laurilsulfatas, kalcio karbonatas, mikrokristalinė celiuliozė, laktozė monohidratas, kroskarmeliozės natrio druska, krospovidonas, magnio stearatas. Tabletės plėvelėje yra: </w:t>
      </w:r>
      <w:r>
        <w:rPr>
          <w:i/>
          <w:sz w:val="22"/>
          <w:szCs w:val="22"/>
          <w:lang w:val="lt-LT" w:eastAsia="en-US"/>
        </w:rPr>
        <w:t>Opadry White Y-1-7000</w:t>
      </w:r>
      <w:r>
        <w:rPr>
          <w:sz w:val="22"/>
          <w:szCs w:val="22"/>
          <w:lang w:val="lt-LT" w:eastAsia="en-US"/>
        </w:rPr>
        <w:t xml:space="preserve">, kurio sudėtyje yra: </w:t>
      </w:r>
      <w:r>
        <w:rPr>
          <w:sz w:val="22"/>
          <w:szCs w:val="22"/>
          <w:lang w:val="lt-LT" w:eastAsia="lt-LT"/>
        </w:rPr>
        <w:t xml:space="preserve">hipromeliozė, titano dioksidas (E171), makrogolis 400. Žr. </w:t>
      </w:r>
      <w:proofErr w:type="gramStart"/>
      <w:r>
        <w:rPr>
          <w:sz w:val="22"/>
          <w:szCs w:val="22"/>
          <w:lang w:val="en-US" w:eastAsia="lt-LT"/>
        </w:rPr>
        <w:t>2</w:t>
      </w:r>
      <w:proofErr w:type="gramEnd"/>
      <w:r>
        <w:rPr>
          <w:sz w:val="22"/>
          <w:szCs w:val="22"/>
          <w:lang w:val="en-US" w:eastAsia="lt-LT"/>
        </w:rPr>
        <w:t> s</w:t>
      </w:r>
      <w:r>
        <w:rPr>
          <w:sz w:val="22"/>
          <w:szCs w:val="22"/>
          <w:lang w:val="lt-LT" w:eastAsia="lt-LT"/>
        </w:rPr>
        <w:t>kyrių „Atoris sudėtyje yra laktozės ir natrio“.</w:t>
      </w:r>
    </w:p>
    <w:p w14:paraId="3B573C2D" w14:textId="77777777" w:rsidR="001B11F7" w:rsidRDefault="001B11F7">
      <w:pPr>
        <w:widowControl w:val="0"/>
        <w:rPr>
          <w:sz w:val="22"/>
          <w:szCs w:val="22"/>
          <w:lang w:val="lt-LT" w:eastAsia="lt-LT"/>
        </w:rPr>
      </w:pPr>
    </w:p>
    <w:p w14:paraId="1CAC5847" w14:textId="77777777" w:rsidR="001B11F7" w:rsidRDefault="00B83885">
      <w:pPr>
        <w:widowControl w:val="0"/>
        <w:rPr>
          <w:b/>
          <w:sz w:val="22"/>
          <w:szCs w:val="22"/>
          <w:lang w:val="lt-LT" w:eastAsia="lt-LT"/>
        </w:rPr>
      </w:pPr>
      <w:r>
        <w:rPr>
          <w:b/>
          <w:sz w:val="22"/>
          <w:szCs w:val="22"/>
          <w:lang w:val="lt-LT" w:eastAsia="lt-LT"/>
        </w:rPr>
        <w:t>Atoris išvaizda ir kiekis pakuotėje</w:t>
      </w:r>
    </w:p>
    <w:p w14:paraId="1AC34BAD" w14:textId="77777777" w:rsidR="001B11F7" w:rsidRDefault="00B83885">
      <w:pPr>
        <w:widowControl w:val="0"/>
        <w:rPr>
          <w:sz w:val="22"/>
          <w:szCs w:val="22"/>
          <w:lang w:val="lt-LT" w:eastAsia="lt-LT"/>
        </w:rPr>
      </w:pPr>
      <w:r>
        <w:rPr>
          <w:sz w:val="22"/>
          <w:szCs w:val="22"/>
          <w:lang w:val="lt-LT" w:eastAsia="lt-LT"/>
        </w:rPr>
        <w:t>Atoris</w:t>
      </w:r>
      <w:r>
        <w:rPr>
          <w:sz w:val="22"/>
          <w:szCs w:val="22"/>
          <w:vertAlign w:val="superscript"/>
          <w:lang w:val="lt-LT" w:eastAsia="lt-LT"/>
        </w:rPr>
        <w:t xml:space="preserve"> </w:t>
      </w:r>
      <w:r>
        <w:rPr>
          <w:sz w:val="22"/>
          <w:szCs w:val="22"/>
          <w:lang w:val="lt-LT" w:eastAsia="lt-LT"/>
        </w:rPr>
        <w:t>10 mg, 20 mg arba 40 mg plėvele dengtos tabletės yra baltos, apvalios, šiek tiek abipus išgaubtos.</w:t>
      </w:r>
    </w:p>
    <w:p w14:paraId="513AE1F2" w14:textId="77777777" w:rsidR="001B11F7" w:rsidRDefault="001B11F7">
      <w:pPr>
        <w:widowControl w:val="0"/>
        <w:rPr>
          <w:sz w:val="22"/>
          <w:szCs w:val="22"/>
          <w:lang w:val="lt-LT" w:eastAsia="lt-LT"/>
        </w:rPr>
      </w:pPr>
    </w:p>
    <w:p w14:paraId="5AFAE04C" w14:textId="77777777" w:rsidR="001B11F7" w:rsidRDefault="00B83885">
      <w:pPr>
        <w:widowControl w:val="0"/>
        <w:rPr>
          <w:sz w:val="22"/>
          <w:szCs w:val="22"/>
          <w:lang w:val="lt-LT" w:eastAsia="lt-LT"/>
        </w:rPr>
      </w:pPr>
      <w:r>
        <w:rPr>
          <w:sz w:val="22"/>
          <w:szCs w:val="22"/>
          <w:lang w:val="lt-LT" w:eastAsia="lt-LT"/>
        </w:rPr>
        <w:t>Vaistas tiekiamas dėžutėmis, kurių kiekvienoje yra 30 tablečių</w:t>
      </w:r>
      <w:r>
        <w:rPr>
          <w:sz w:val="22"/>
          <w:szCs w:val="22"/>
          <w:lang w:val="lt-LT" w:eastAsia="en-US"/>
        </w:rPr>
        <w:t>, supakuotų į lizdines plokšteles</w:t>
      </w:r>
      <w:r>
        <w:rPr>
          <w:sz w:val="22"/>
          <w:szCs w:val="22"/>
          <w:lang w:val="lt-LT" w:eastAsia="lt-LT"/>
        </w:rPr>
        <w:t>.</w:t>
      </w:r>
    </w:p>
    <w:p w14:paraId="657BA637" w14:textId="77777777" w:rsidR="001B11F7" w:rsidRDefault="001B11F7">
      <w:pPr>
        <w:widowControl w:val="0"/>
        <w:rPr>
          <w:sz w:val="22"/>
          <w:szCs w:val="22"/>
          <w:lang w:val="lt-LT" w:eastAsia="lt-LT"/>
        </w:rPr>
      </w:pPr>
    </w:p>
    <w:p w14:paraId="53A46751" w14:textId="77777777" w:rsidR="001B11F7" w:rsidRDefault="00B83885">
      <w:pPr>
        <w:widowControl w:val="0"/>
        <w:rPr>
          <w:b/>
          <w:bCs/>
          <w:sz w:val="22"/>
          <w:szCs w:val="22"/>
          <w:lang w:val="lt-LT" w:eastAsia="en-US"/>
        </w:rPr>
      </w:pPr>
      <w:r>
        <w:rPr>
          <w:b/>
          <w:bCs/>
          <w:sz w:val="22"/>
          <w:szCs w:val="22"/>
          <w:lang w:val="lt-LT"/>
        </w:rPr>
        <w:t>Registruotojas</w:t>
      </w:r>
      <w:r>
        <w:rPr>
          <w:b/>
          <w:bCs/>
          <w:sz w:val="22"/>
          <w:szCs w:val="22"/>
          <w:lang w:val="lt-LT" w:eastAsia="en-US"/>
        </w:rPr>
        <w:t xml:space="preserve"> ir gamintojas</w:t>
      </w:r>
    </w:p>
    <w:p w14:paraId="651C785F" w14:textId="77777777" w:rsidR="001B11F7" w:rsidRDefault="00B83885">
      <w:pPr>
        <w:widowControl w:val="0"/>
        <w:ind w:right="-362"/>
        <w:jc w:val="both"/>
        <w:rPr>
          <w:sz w:val="22"/>
          <w:szCs w:val="22"/>
          <w:lang w:val="lt-LT" w:eastAsia="lt-LT"/>
        </w:rPr>
      </w:pPr>
      <w:r>
        <w:rPr>
          <w:sz w:val="22"/>
          <w:szCs w:val="22"/>
          <w:lang w:val="lt-LT" w:eastAsia="lt-LT"/>
        </w:rPr>
        <w:t>KRKA, d.d., Novo mesto</w:t>
      </w:r>
    </w:p>
    <w:p w14:paraId="1042CE93" w14:textId="77777777" w:rsidR="001B11F7" w:rsidRDefault="00B83885">
      <w:pPr>
        <w:widowControl w:val="0"/>
        <w:ind w:right="-362"/>
        <w:jc w:val="both"/>
        <w:rPr>
          <w:sz w:val="22"/>
          <w:szCs w:val="22"/>
          <w:lang w:val="lt-LT" w:eastAsia="lt-LT"/>
        </w:rPr>
      </w:pPr>
      <w:r>
        <w:rPr>
          <w:sz w:val="22"/>
          <w:szCs w:val="22"/>
          <w:lang w:val="lt-LT" w:eastAsia="lt-LT"/>
        </w:rPr>
        <w:t>Šmarješka cesta 6</w:t>
      </w:r>
    </w:p>
    <w:p w14:paraId="6DFB8CC1" w14:textId="77777777" w:rsidR="001B11F7" w:rsidRDefault="00B83885">
      <w:pPr>
        <w:widowControl w:val="0"/>
        <w:ind w:right="-362"/>
        <w:jc w:val="both"/>
        <w:rPr>
          <w:sz w:val="22"/>
          <w:szCs w:val="22"/>
          <w:lang w:val="lt-LT" w:eastAsia="lt-LT"/>
        </w:rPr>
      </w:pPr>
      <w:r>
        <w:rPr>
          <w:sz w:val="22"/>
          <w:szCs w:val="22"/>
          <w:lang w:val="lt-LT" w:eastAsia="lt-LT"/>
        </w:rPr>
        <w:t>8501 Novo mesto</w:t>
      </w:r>
    </w:p>
    <w:p w14:paraId="6653C085" w14:textId="77777777" w:rsidR="001B11F7" w:rsidRDefault="00B83885">
      <w:pPr>
        <w:widowControl w:val="0"/>
        <w:ind w:right="-362"/>
        <w:jc w:val="both"/>
        <w:rPr>
          <w:sz w:val="22"/>
          <w:szCs w:val="22"/>
          <w:lang w:val="lt-LT" w:eastAsia="lt-LT"/>
        </w:rPr>
      </w:pPr>
      <w:r>
        <w:rPr>
          <w:sz w:val="22"/>
          <w:szCs w:val="22"/>
          <w:lang w:val="lt-LT" w:eastAsia="lt-LT"/>
        </w:rPr>
        <w:t>Slovėnija</w:t>
      </w:r>
    </w:p>
    <w:p w14:paraId="360DAAA0" w14:textId="77777777" w:rsidR="001B11F7" w:rsidRDefault="001B11F7">
      <w:pPr>
        <w:widowControl w:val="0"/>
        <w:rPr>
          <w:sz w:val="22"/>
          <w:szCs w:val="22"/>
          <w:lang w:val="lt-LT" w:eastAsia="lt-LT"/>
        </w:rPr>
      </w:pPr>
    </w:p>
    <w:p w14:paraId="45577CB7" w14:textId="77777777" w:rsidR="001B11F7" w:rsidRDefault="00B83885">
      <w:pPr>
        <w:widowControl w:val="0"/>
        <w:rPr>
          <w:sz w:val="22"/>
          <w:szCs w:val="22"/>
          <w:lang w:val="lt-LT" w:eastAsia="en-US"/>
        </w:rPr>
      </w:pPr>
      <w:r>
        <w:rPr>
          <w:sz w:val="22"/>
          <w:szCs w:val="22"/>
          <w:lang w:val="lt-LT" w:eastAsia="en-US"/>
        </w:rPr>
        <w:t xml:space="preserve">Jeigu apie šį vaistą norite sužinoti daugiau, kreipkitės į vietinį </w:t>
      </w:r>
      <w:r>
        <w:rPr>
          <w:sz w:val="22"/>
          <w:szCs w:val="22"/>
          <w:lang w:val="lt-LT"/>
        </w:rPr>
        <w:t>registruotojo</w:t>
      </w:r>
      <w:r>
        <w:rPr>
          <w:sz w:val="22"/>
          <w:szCs w:val="22"/>
          <w:lang w:val="lt-LT" w:eastAsia="en-US"/>
        </w:rPr>
        <w:t xml:space="preserve"> atstovą.</w:t>
      </w:r>
    </w:p>
    <w:p w14:paraId="485841FC" w14:textId="77777777" w:rsidR="001B11F7" w:rsidRDefault="001B11F7">
      <w:pPr>
        <w:widowControl w:val="0"/>
        <w:rPr>
          <w:sz w:val="22"/>
          <w:szCs w:val="22"/>
          <w:lang w:val="lt-LT" w:eastAsia="lt-LT"/>
        </w:rPr>
      </w:pPr>
    </w:p>
    <w:tbl>
      <w:tblPr>
        <w:tblW w:w="4678" w:type="dxa"/>
        <w:tblInd w:w="-34" w:type="dxa"/>
        <w:tblLayout w:type="fixed"/>
        <w:tblLook w:val="0000" w:firstRow="0" w:lastRow="0" w:firstColumn="0" w:lastColumn="0" w:noHBand="0" w:noVBand="0"/>
      </w:tblPr>
      <w:tblGrid>
        <w:gridCol w:w="4678"/>
      </w:tblGrid>
      <w:tr w:rsidR="001B11F7" w14:paraId="3DD6CAAD" w14:textId="77777777">
        <w:tc>
          <w:tcPr>
            <w:tcW w:w="4678" w:type="dxa"/>
          </w:tcPr>
          <w:p w14:paraId="7CE841A7" w14:textId="77777777" w:rsidR="001B11F7" w:rsidRDefault="00B83885">
            <w:pPr>
              <w:widowControl w:val="0"/>
              <w:rPr>
                <w:sz w:val="22"/>
                <w:szCs w:val="22"/>
                <w:lang w:val="lt-LT" w:eastAsia="lt-LT"/>
              </w:rPr>
            </w:pPr>
            <w:r>
              <w:rPr>
                <w:sz w:val="22"/>
                <w:szCs w:val="22"/>
                <w:lang w:val="lt-LT" w:eastAsia="lt-LT"/>
              </w:rPr>
              <w:t>UAB KRKA Lietuva</w:t>
            </w:r>
          </w:p>
          <w:p w14:paraId="752B8D17" w14:textId="77777777" w:rsidR="001B11F7" w:rsidRDefault="00B83885">
            <w:pPr>
              <w:widowControl w:val="0"/>
              <w:rPr>
                <w:sz w:val="22"/>
                <w:szCs w:val="22"/>
                <w:lang w:val="lt-LT" w:eastAsia="lt-LT"/>
              </w:rPr>
            </w:pPr>
            <w:r>
              <w:rPr>
                <w:sz w:val="22"/>
                <w:szCs w:val="22"/>
                <w:lang w:val="lt-LT" w:eastAsia="lt-LT"/>
              </w:rPr>
              <w:t>Senasis Ukmergės kelias 4,</w:t>
            </w:r>
          </w:p>
          <w:p w14:paraId="22D09B13" w14:textId="77777777" w:rsidR="001B11F7" w:rsidRDefault="00B83885">
            <w:pPr>
              <w:widowControl w:val="0"/>
              <w:rPr>
                <w:sz w:val="22"/>
                <w:szCs w:val="22"/>
                <w:lang w:val="lt-LT" w:eastAsia="lt-LT"/>
              </w:rPr>
            </w:pPr>
            <w:r>
              <w:rPr>
                <w:sz w:val="22"/>
                <w:szCs w:val="22"/>
                <w:lang w:val="lt-LT" w:eastAsia="lt-LT"/>
              </w:rPr>
              <w:t>Užubalių km.,Vilniaus r.</w:t>
            </w:r>
          </w:p>
          <w:p w14:paraId="37D9FB26" w14:textId="77777777" w:rsidR="001B11F7" w:rsidRDefault="00B83885">
            <w:pPr>
              <w:widowControl w:val="0"/>
              <w:rPr>
                <w:sz w:val="22"/>
                <w:szCs w:val="22"/>
                <w:lang w:val="lt-LT" w:eastAsia="lt-LT"/>
              </w:rPr>
            </w:pPr>
            <w:r>
              <w:rPr>
                <w:sz w:val="22"/>
                <w:szCs w:val="22"/>
                <w:lang w:val="lt-LT" w:eastAsia="lt-LT"/>
              </w:rPr>
              <w:lastRenderedPageBreak/>
              <w:t>LT - 14013</w:t>
            </w:r>
          </w:p>
          <w:p w14:paraId="4084B314" w14:textId="77777777" w:rsidR="001B11F7" w:rsidRDefault="00B83885">
            <w:pPr>
              <w:widowControl w:val="0"/>
              <w:rPr>
                <w:sz w:val="22"/>
                <w:szCs w:val="22"/>
                <w:lang w:val="lt-LT" w:eastAsia="lt-LT"/>
              </w:rPr>
            </w:pPr>
            <w:r>
              <w:rPr>
                <w:sz w:val="22"/>
                <w:szCs w:val="22"/>
                <w:lang w:val="lt-LT" w:eastAsia="lt-LT"/>
              </w:rPr>
              <w:t>Tel. + 370 5 236 27 40</w:t>
            </w:r>
          </w:p>
        </w:tc>
      </w:tr>
    </w:tbl>
    <w:p w14:paraId="742A2277" w14:textId="77777777" w:rsidR="001B11F7" w:rsidRDefault="001B11F7">
      <w:pPr>
        <w:widowControl w:val="0"/>
        <w:rPr>
          <w:sz w:val="22"/>
          <w:szCs w:val="22"/>
          <w:lang w:val="lt-LT" w:eastAsia="en-US"/>
        </w:rPr>
      </w:pPr>
    </w:p>
    <w:p w14:paraId="0F792459" w14:textId="3C9105B7" w:rsidR="001B11F7" w:rsidRDefault="00B83885">
      <w:pPr>
        <w:widowControl w:val="0"/>
        <w:rPr>
          <w:b/>
          <w:sz w:val="22"/>
          <w:szCs w:val="22"/>
          <w:lang w:val="lt-LT" w:eastAsia="en-US"/>
        </w:rPr>
      </w:pPr>
      <w:r>
        <w:rPr>
          <w:b/>
          <w:bCs/>
          <w:sz w:val="22"/>
          <w:szCs w:val="22"/>
          <w:lang w:val="lt-LT" w:eastAsia="en-US"/>
        </w:rPr>
        <w:t>Šis pakuotės</w:t>
      </w:r>
      <w:r>
        <w:rPr>
          <w:b/>
          <w:sz w:val="22"/>
          <w:szCs w:val="22"/>
          <w:lang w:val="lt-LT" w:eastAsia="en-US"/>
        </w:rPr>
        <w:t xml:space="preserve"> lapelis paskutinį kartą peržiūrėtas 2025-0</w:t>
      </w:r>
      <w:r w:rsidR="00507295">
        <w:rPr>
          <w:b/>
          <w:sz w:val="22"/>
          <w:szCs w:val="22"/>
          <w:lang w:val="lt-LT" w:eastAsia="en-US"/>
        </w:rPr>
        <w:t>2</w:t>
      </w:r>
      <w:r>
        <w:rPr>
          <w:b/>
          <w:sz w:val="22"/>
          <w:szCs w:val="22"/>
          <w:lang w:val="lt-LT" w:eastAsia="en-US"/>
        </w:rPr>
        <w:t>-1</w:t>
      </w:r>
      <w:r w:rsidR="00507295">
        <w:rPr>
          <w:b/>
          <w:sz w:val="22"/>
          <w:szCs w:val="22"/>
          <w:lang w:val="lt-LT" w:eastAsia="en-US"/>
        </w:rPr>
        <w:t>2.</w:t>
      </w:r>
    </w:p>
    <w:p w14:paraId="35741A36" w14:textId="77777777" w:rsidR="001B11F7" w:rsidRDefault="001B11F7">
      <w:pPr>
        <w:widowControl w:val="0"/>
        <w:rPr>
          <w:sz w:val="22"/>
          <w:szCs w:val="22"/>
          <w:lang w:val="lt-LT" w:eastAsia="lt-LT"/>
        </w:rPr>
      </w:pPr>
    </w:p>
    <w:p w14:paraId="421E6614" w14:textId="096B0921" w:rsidR="001B11F7" w:rsidRDefault="00B83885">
      <w:pPr>
        <w:widowControl w:val="0"/>
        <w:rPr>
          <w:noProof/>
          <w:color w:val="0000FF"/>
          <w:sz w:val="22"/>
          <w:szCs w:val="22"/>
          <w:u w:val="single"/>
          <w:lang w:val="lt-LT" w:eastAsia="en-US"/>
        </w:rPr>
      </w:pPr>
      <w:r>
        <w:rPr>
          <w:sz w:val="22"/>
          <w:szCs w:val="22"/>
          <w:lang w:val="lt-LT" w:eastAsia="en-US"/>
        </w:rPr>
        <w:t>Išsami informacija apie šį vaistą pateikiama Valstybinės vaistų kontrolės tarnybos prie Lietuvos Respublikos sveikatos apsaugos ministerijos tinklalapyje</w:t>
      </w:r>
      <w:r>
        <w:rPr>
          <w:i/>
          <w:sz w:val="22"/>
          <w:szCs w:val="22"/>
          <w:lang w:val="lt-LT" w:eastAsia="en-US"/>
        </w:rPr>
        <w:t xml:space="preserve"> </w:t>
      </w:r>
      <w:bookmarkStart w:id="20" w:name="_Hlk177639586"/>
      <w:r>
        <w:rPr>
          <w:color w:val="0000EE"/>
          <w:sz w:val="22"/>
          <w:szCs w:val="22"/>
          <w:u w:val="single"/>
          <w:lang w:val="lt-LT" w:eastAsia="lt-LT"/>
        </w:rPr>
        <w:t>https://vvkt.lrv.lt/lt/</w:t>
      </w:r>
      <w:bookmarkEnd w:id="20"/>
      <w:r w:rsidR="00507295">
        <w:rPr>
          <w:color w:val="0000EE"/>
          <w:sz w:val="22"/>
          <w:szCs w:val="22"/>
          <w:u w:val="single"/>
          <w:lang w:val="lt-LT" w:eastAsia="lt-LT"/>
        </w:rPr>
        <w:t>.</w:t>
      </w:r>
    </w:p>
    <w:p w14:paraId="233EECA7" w14:textId="77777777" w:rsidR="001B11F7" w:rsidRDefault="001B11F7">
      <w:pPr>
        <w:widowControl w:val="0"/>
        <w:rPr>
          <w:noProof/>
          <w:color w:val="0000FF"/>
          <w:sz w:val="22"/>
          <w:szCs w:val="22"/>
          <w:u w:val="single"/>
          <w:lang w:val="lt-LT" w:eastAsia="en-US"/>
        </w:rPr>
      </w:pPr>
    </w:p>
    <w:p w14:paraId="40097EE9" w14:textId="77777777" w:rsidR="001B11F7" w:rsidRDefault="001B11F7">
      <w:pPr>
        <w:widowControl w:val="0"/>
        <w:rPr>
          <w:noProof/>
          <w:color w:val="0000FF"/>
          <w:sz w:val="22"/>
          <w:szCs w:val="22"/>
          <w:u w:val="single"/>
          <w:lang w:val="lt-LT"/>
        </w:rPr>
      </w:pPr>
    </w:p>
    <w:sectPr w:rsidR="001B11F7">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C4154F" w14:textId="77777777" w:rsidR="001B11F7" w:rsidRDefault="00B83885">
      <w:r>
        <w:separator/>
      </w:r>
    </w:p>
  </w:endnote>
  <w:endnote w:type="continuationSeparator" w:id="0">
    <w:p w14:paraId="53D65171" w14:textId="77777777" w:rsidR="001B11F7" w:rsidRDefault="00B83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6816A" w14:textId="77777777" w:rsidR="001B11F7" w:rsidRDefault="00B8388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45DFB346" w14:textId="77777777" w:rsidR="001B11F7" w:rsidRDefault="001B11F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2CC6EB" w14:textId="77777777" w:rsidR="001B11F7" w:rsidRDefault="001B11F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6DB28" w14:textId="77777777" w:rsidR="001B11F7" w:rsidRDefault="001B11F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568BFB" w14:textId="77777777" w:rsidR="001B11F7" w:rsidRDefault="00B83885">
      <w:r>
        <w:separator/>
      </w:r>
    </w:p>
  </w:footnote>
  <w:footnote w:type="continuationSeparator" w:id="0">
    <w:p w14:paraId="19091A0D" w14:textId="77777777" w:rsidR="001B11F7" w:rsidRDefault="00B838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E705D" w14:textId="77777777" w:rsidR="001B11F7" w:rsidRDefault="001B11F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8BFD2" w14:textId="77777777" w:rsidR="001B11F7" w:rsidRDefault="001B11F7">
    <w:pPr>
      <w:spacing w:line="20" w:lineRule="exact"/>
    </w:pPr>
  </w:p>
  <w:p w14:paraId="4623A59E" w14:textId="77777777" w:rsidR="001B11F7" w:rsidRDefault="001B11F7">
    <w:pPr>
      <w:pStyle w:val="Antrats"/>
    </w:pPr>
    <w:bookmarkStart w:id="21" w:name="TableTag1"/>
    <w:bookmarkEnd w:id="21"/>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6652E" w14:textId="77777777" w:rsidR="001B11F7" w:rsidRDefault="001B11F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E1CA4"/>
    <w:multiLevelType w:val="hybridMultilevel"/>
    <w:tmpl w:val="0CC09944"/>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014BC9"/>
    <w:multiLevelType w:val="hybridMultilevel"/>
    <w:tmpl w:val="27C4DFB0"/>
    <w:lvl w:ilvl="0" w:tplc="04F80370">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B476602"/>
    <w:multiLevelType w:val="hybridMultilevel"/>
    <w:tmpl w:val="57F833FA"/>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 w15:restartNumberingAfterBreak="0">
    <w:nsid w:val="1A8C1DB0"/>
    <w:multiLevelType w:val="hybridMultilevel"/>
    <w:tmpl w:val="5E9ABC02"/>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2B355C80"/>
    <w:multiLevelType w:val="hybridMultilevel"/>
    <w:tmpl w:val="A53C5E0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B72A7F"/>
    <w:multiLevelType w:val="hybridMultilevel"/>
    <w:tmpl w:val="FC946A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923DCD"/>
    <w:multiLevelType w:val="hybridMultilevel"/>
    <w:tmpl w:val="5F5E14D6"/>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920A94"/>
    <w:multiLevelType w:val="hybridMultilevel"/>
    <w:tmpl w:val="EB8E57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F72C2D"/>
    <w:multiLevelType w:val="hybridMultilevel"/>
    <w:tmpl w:val="C63A2C5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D0255F"/>
    <w:multiLevelType w:val="hybridMultilevel"/>
    <w:tmpl w:val="C6F2C036"/>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4161EA"/>
    <w:multiLevelType w:val="hybridMultilevel"/>
    <w:tmpl w:val="CF4C142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62BE7185"/>
    <w:multiLevelType w:val="hybridMultilevel"/>
    <w:tmpl w:val="A32A1B3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6358BE"/>
    <w:multiLevelType w:val="hybridMultilevel"/>
    <w:tmpl w:val="4D6CBFA2"/>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12"/>
  </w:num>
  <w:num w:numId="2">
    <w:abstractNumId w:val="1"/>
  </w:num>
  <w:num w:numId="3">
    <w:abstractNumId w:val="8"/>
  </w:num>
  <w:num w:numId="4">
    <w:abstractNumId w:val="4"/>
  </w:num>
  <w:num w:numId="5">
    <w:abstractNumId w:val="9"/>
  </w:num>
  <w:num w:numId="6">
    <w:abstractNumId w:val="6"/>
  </w:num>
  <w:num w:numId="7">
    <w:abstractNumId w:val="11"/>
  </w:num>
  <w:num w:numId="8">
    <w:abstractNumId w:val="0"/>
  </w:num>
  <w:num w:numId="9">
    <w:abstractNumId w:val="3"/>
  </w:num>
  <w:num w:numId="10">
    <w:abstractNumId w:val="10"/>
  </w:num>
  <w:num w:numId="11">
    <w:abstractNumId w:val="2"/>
  </w:num>
  <w:num w:numId="12">
    <w:abstractNumId w:val="7"/>
  </w:num>
  <w:num w:numId="13">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396"/>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1F7"/>
    <w:rsid w:val="001B11F7"/>
    <w:rsid w:val="00494773"/>
    <w:rsid w:val="00507295"/>
    <w:rsid w:val="005B7492"/>
    <w:rsid w:val="005C0BF6"/>
    <w:rsid w:val="00A73CB4"/>
    <w:rsid w:val="00AC32D2"/>
    <w:rsid w:val="00B83885"/>
    <w:rsid w:val="00B90ECF"/>
    <w:rsid w:val="00C079F0"/>
    <w:rsid w:val="00C14D7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2E611BD"/>
  <w15:chartTrackingRefBased/>
  <w15:docId w15:val="{60FEB4CB-6985-46B4-8815-A04C00989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qFormat="1"/>
    <w:lsdException w:name="annotation reference" w:uiPriority="99"/>
    <w:lsdException w:name="Title" w:qFormat="1"/>
    <w:lsdException w:name="Default Paragraph Font" w:uiPriority="1"/>
    <w:lsdException w:name="Subtitle" w:qFormat="1"/>
    <w:lsdException w:name="Strong" w:qFormat="1"/>
    <w:lsdException w:name="Emphasis" w:qFormat="1"/>
    <w:lsdException w:name="Document Map" w:uiPriority="99"/>
    <w:lsdException w:name="Plain Text"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lang w:val="sl-SI" w:eastAsia="sl-SI"/>
    </w:rPr>
  </w:style>
  <w:style w:type="paragraph" w:styleId="Antrat1">
    <w:name w:val="heading 1"/>
    <w:basedOn w:val="prastasis"/>
    <w:next w:val="prastasis"/>
    <w:link w:val="Antrat1Diagrama"/>
    <w:qFormat/>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pPr>
      <w:keepNext/>
      <w:tabs>
        <w:tab w:val="left" w:pos="4300"/>
        <w:tab w:val="left" w:pos="5940"/>
        <w:tab w:val="left" w:pos="8180"/>
      </w:tabs>
      <w:spacing w:line="360" w:lineRule="atLeast"/>
      <w:outlineLvl w:val="1"/>
    </w:pPr>
    <w:rPr>
      <w:b/>
      <w:u w:val="single"/>
      <w:lang w:val="en-US"/>
    </w:rPr>
  </w:style>
  <w:style w:type="paragraph" w:styleId="Antrat3">
    <w:name w:val="heading 3"/>
    <w:basedOn w:val="prastasis"/>
    <w:next w:val="prastasis"/>
    <w:link w:val="Antrat3Diagrama"/>
    <w:qFormat/>
    <w:pPr>
      <w:keepNext/>
      <w:tabs>
        <w:tab w:val="decimal" w:pos="6760"/>
      </w:tabs>
      <w:spacing w:line="480" w:lineRule="atLeast"/>
      <w:outlineLvl w:val="2"/>
    </w:pPr>
    <w:rPr>
      <w:b/>
      <w:lang w:val="en-US"/>
    </w:rPr>
  </w:style>
  <w:style w:type="paragraph" w:styleId="Antrat4">
    <w:name w:val="heading 4"/>
    <w:basedOn w:val="prastasis"/>
    <w:next w:val="prastasis"/>
    <w:link w:val="Antrat4Diagrama"/>
    <w:qFormat/>
    <w:pPr>
      <w:keepNext/>
      <w:spacing w:before="240" w:after="60"/>
      <w:outlineLvl w:val="3"/>
    </w:pPr>
    <w:rPr>
      <w:b/>
      <w:bCs/>
      <w:sz w:val="28"/>
      <w:szCs w:val="28"/>
    </w:rPr>
  </w:style>
  <w:style w:type="paragraph" w:styleId="Antrat6">
    <w:name w:val="heading 6"/>
    <w:basedOn w:val="prastasis"/>
    <w:next w:val="prastasis"/>
    <w:qFormat/>
    <w:pPr>
      <w:keepNext/>
      <w:keepLines/>
      <w:tabs>
        <w:tab w:val="right" w:pos="4536"/>
        <w:tab w:val="left" w:pos="5180"/>
        <w:tab w:val="left" w:pos="5380"/>
        <w:tab w:val="left" w:pos="8222"/>
      </w:tabs>
      <w:outlineLvl w:val="5"/>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320"/>
        <w:tab w:val="right" w:pos="8640"/>
      </w:tabs>
    </w:pPr>
  </w:style>
  <w:style w:type="paragraph" w:styleId="Porat">
    <w:name w:val="footer"/>
    <w:basedOn w:val="prastasis"/>
    <w:link w:val="PoratDiagrama"/>
    <w:uiPriority w:val="99"/>
    <w:pPr>
      <w:tabs>
        <w:tab w:val="center" w:pos="4320"/>
        <w:tab w:val="right" w:pos="8640"/>
      </w:tabs>
    </w:pPr>
  </w:style>
  <w:style w:type="table" w:styleId="Lentelstinklelis">
    <w:name w:val="Table Grid"/>
    <w:basedOn w:val="prastojilente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style>
  <w:style w:type="character" w:styleId="Hipersaitas">
    <w:name w:val="Hyperlink"/>
    <w:rPr>
      <w:rFonts w:ascii="Times New Roman" w:hAnsi="Times New Roman"/>
      <w:color w:val="auto"/>
      <w:sz w:val="24"/>
      <w:szCs w:val="24"/>
      <w:u w:val="single"/>
      <w:lang w:val="en-US"/>
    </w:rPr>
  </w:style>
  <w:style w:type="character" w:styleId="Perirtashipersaitas">
    <w:name w:val="FollowedHyperlink"/>
    <w:rPr>
      <w:color w:val="800080"/>
      <w:u w:val="single"/>
    </w:rPr>
  </w:style>
  <w:style w:type="paragraph" w:styleId="Paprastasistekstas">
    <w:name w:val="Plain Text"/>
    <w:basedOn w:val="prastasis"/>
    <w:link w:val="PaprastasistekstasDiagrama"/>
    <w:uiPriority w:val="99"/>
    <w:rPr>
      <w:rFonts w:ascii="Courier New" w:hAnsi="Courier New"/>
      <w:sz w:val="20"/>
      <w:lang w:val="en-GB"/>
    </w:rPr>
  </w:style>
  <w:style w:type="paragraph" w:styleId="Antrat">
    <w:name w:val="caption"/>
    <w:basedOn w:val="prastasis"/>
    <w:next w:val="prastasis"/>
    <w:qFormat/>
    <w:pPr>
      <w:jc w:val="both"/>
    </w:pPr>
    <w:rPr>
      <w:lang w:val="en-GB"/>
    </w:rPr>
  </w:style>
  <w:style w:type="paragraph" w:customStyle="1" w:styleId="Naslov1">
    <w:name w:val="Naslov1"/>
    <w:basedOn w:val="Antrat1"/>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pPr>
      <w:spacing w:before="120"/>
    </w:pPr>
    <w:rPr>
      <w:b/>
      <w:bCs/>
      <w:i/>
      <w:iCs/>
      <w:szCs w:val="28"/>
    </w:rPr>
  </w:style>
  <w:style w:type="paragraph" w:styleId="Pagrindinistekstas">
    <w:name w:val="Body Text"/>
    <w:basedOn w:val="prastasis"/>
    <w:link w:val="PagrindinistekstasDiagrama"/>
    <w:pPr>
      <w:numPr>
        <w:ilvl w:val="12"/>
      </w:numPr>
      <w:tabs>
        <w:tab w:val="left" w:pos="8505"/>
      </w:tabs>
      <w:ind w:right="-2"/>
    </w:pPr>
    <w:rPr>
      <w:sz w:val="22"/>
    </w:rPr>
  </w:style>
  <w:style w:type="paragraph" w:styleId="Pagrindinistekstas2">
    <w:name w:val="Body Text 2"/>
    <w:basedOn w:val="prastasis"/>
    <w:link w:val="Pagrindinistekstas2Diagrama"/>
    <w:pPr>
      <w:spacing w:after="120" w:line="480" w:lineRule="auto"/>
    </w:pPr>
  </w:style>
  <w:style w:type="paragraph" w:customStyle="1" w:styleId="EMEAEnBodyText">
    <w:name w:val="EMEA En Body Text"/>
    <w:basedOn w:val="prastasis"/>
    <w:pPr>
      <w:spacing w:before="120" w:after="120"/>
      <w:jc w:val="both"/>
    </w:pPr>
    <w:rPr>
      <w:sz w:val="22"/>
      <w:lang w:val="en-US" w:eastAsia="en-US"/>
    </w:rPr>
  </w:style>
  <w:style w:type="paragraph" w:customStyle="1" w:styleId="Default">
    <w:name w:val="Default"/>
    <w:pPr>
      <w:autoSpaceDE w:val="0"/>
      <w:autoSpaceDN w:val="0"/>
      <w:adjustRightInd w:val="0"/>
    </w:pPr>
    <w:rPr>
      <w:color w:val="000000"/>
      <w:sz w:val="24"/>
      <w:szCs w:val="24"/>
      <w:lang w:val="sl-SI" w:eastAsia="sl-SI"/>
    </w:rPr>
  </w:style>
  <w:style w:type="numbering" w:customStyle="1" w:styleId="Brezseznama1">
    <w:name w:val="Brez seznama1"/>
    <w:next w:val="Sraonra"/>
    <w:uiPriority w:val="99"/>
    <w:semiHidden/>
  </w:style>
  <w:style w:type="paragraph" w:styleId="Dokumentoinaostekstas">
    <w:name w:val="endnote text"/>
    <w:basedOn w:val="prastasis"/>
    <w:link w:val="DokumentoinaostekstasDiagrama"/>
    <w:pPr>
      <w:tabs>
        <w:tab w:val="left" w:pos="567"/>
      </w:tabs>
    </w:pPr>
    <w:rPr>
      <w:sz w:val="22"/>
      <w:lang w:val="en-GB" w:eastAsia="en-US"/>
    </w:rPr>
  </w:style>
  <w:style w:type="character" w:customStyle="1" w:styleId="DokumentoinaostekstasDiagrama">
    <w:name w:val="Dokumento išnašos tekstas Diagrama"/>
    <w:link w:val="Dokumentoinaostekstas"/>
    <w:rPr>
      <w:sz w:val="22"/>
      <w:lang w:eastAsia="en-US"/>
    </w:rPr>
  </w:style>
  <w:style w:type="numbering" w:customStyle="1" w:styleId="Brezseznama2">
    <w:name w:val="Brez seznama2"/>
    <w:next w:val="Sraonra"/>
    <w:semiHidden/>
  </w:style>
  <w:style w:type="numbering" w:customStyle="1" w:styleId="Brezseznama3">
    <w:name w:val="Brez seznama3"/>
    <w:next w:val="Sraonra"/>
    <w:semiHidden/>
  </w:style>
  <w:style w:type="paragraph" w:styleId="Pavadinimas">
    <w:name w:val="Title"/>
    <w:basedOn w:val="prastasis"/>
    <w:link w:val="PavadinimasDiagrama"/>
    <w:qFormat/>
    <w:pPr>
      <w:jc w:val="center"/>
    </w:pPr>
    <w:rPr>
      <w:b/>
      <w:sz w:val="22"/>
      <w:lang w:val="en-GB" w:eastAsia="en-US"/>
    </w:rPr>
  </w:style>
  <w:style w:type="character" w:customStyle="1" w:styleId="PavadinimasDiagrama">
    <w:name w:val="Pavadinimas Diagrama"/>
    <w:link w:val="Pavadinimas"/>
    <w:rPr>
      <w:b/>
      <w:sz w:val="22"/>
      <w:lang w:eastAsia="en-US"/>
    </w:rPr>
  </w:style>
  <w:style w:type="numbering" w:customStyle="1" w:styleId="Brezseznama4">
    <w:name w:val="Brez seznama4"/>
    <w:next w:val="Sraonra"/>
    <w:semiHidden/>
  </w:style>
  <w:style w:type="numbering" w:customStyle="1" w:styleId="Brezseznama5">
    <w:name w:val="Brez seznama5"/>
    <w:next w:val="Sraonra"/>
    <w:uiPriority w:val="99"/>
    <w:semiHidden/>
    <w:unhideWhenUsed/>
  </w:style>
  <w:style w:type="character" w:customStyle="1" w:styleId="AntratsDiagrama">
    <w:name w:val="Antraštės Diagrama"/>
    <w:link w:val="Antrats"/>
    <w:rPr>
      <w:sz w:val="24"/>
      <w:lang w:val="sl-SI" w:eastAsia="sl-SI"/>
    </w:rPr>
  </w:style>
  <w:style w:type="paragraph" w:styleId="Debesliotekstas">
    <w:name w:val="Balloon Text"/>
    <w:basedOn w:val="prastasis"/>
    <w:link w:val="DebesliotekstasDiagrama"/>
    <w:uiPriority w:val="99"/>
    <w:rPr>
      <w:rFonts w:ascii="Tahoma" w:hAnsi="Tahoma" w:cs="Tahoma"/>
      <w:sz w:val="16"/>
      <w:szCs w:val="16"/>
    </w:rPr>
  </w:style>
  <w:style w:type="character" w:customStyle="1" w:styleId="DebesliotekstasDiagrama">
    <w:name w:val="Debesėlio tekstas Diagrama"/>
    <w:link w:val="Debesliotekstas"/>
    <w:uiPriority w:val="99"/>
    <w:rPr>
      <w:rFonts w:ascii="Tahoma" w:hAnsi="Tahoma" w:cs="Tahoma"/>
      <w:sz w:val="16"/>
      <w:szCs w:val="16"/>
      <w:lang w:val="sl-SI" w:eastAsia="sl-SI"/>
    </w:rPr>
  </w:style>
  <w:style w:type="character" w:customStyle="1" w:styleId="Antrat1Diagrama">
    <w:name w:val="Antraštė 1 Diagrama"/>
    <w:link w:val="Antrat1"/>
    <w:rPr>
      <w:rFonts w:ascii="Arial" w:hAnsi="Arial" w:cs="Arial"/>
      <w:b/>
      <w:bCs/>
      <w:kern w:val="32"/>
      <w:sz w:val="32"/>
      <w:szCs w:val="32"/>
      <w:lang w:val="sl-SI" w:eastAsia="sl-SI"/>
    </w:rPr>
  </w:style>
  <w:style w:type="character" w:customStyle="1" w:styleId="Antrat2Diagrama">
    <w:name w:val="Antraštė 2 Diagrama"/>
    <w:link w:val="Antrat2"/>
    <w:rPr>
      <w:b/>
      <w:sz w:val="24"/>
      <w:u w:val="single"/>
      <w:lang w:val="en-US" w:eastAsia="sl-SI"/>
    </w:rPr>
  </w:style>
  <w:style w:type="character" w:customStyle="1" w:styleId="Antrat3Diagrama">
    <w:name w:val="Antraštė 3 Diagrama"/>
    <w:link w:val="Antrat3"/>
    <w:rPr>
      <w:b/>
      <w:sz w:val="24"/>
      <w:lang w:val="en-US" w:eastAsia="sl-SI"/>
    </w:rPr>
  </w:style>
  <w:style w:type="character" w:customStyle="1" w:styleId="Antrat4Diagrama">
    <w:name w:val="Antraštė 4 Diagrama"/>
    <w:link w:val="Antrat4"/>
    <w:rPr>
      <w:b/>
      <w:bCs/>
      <w:sz w:val="28"/>
      <w:szCs w:val="28"/>
      <w:lang w:val="sl-SI" w:eastAsia="sl-SI"/>
    </w:rPr>
  </w:style>
  <w:style w:type="paragraph" w:customStyle="1" w:styleId="PI-1EMEASMCA">
    <w:name w:val="PI-1 EMEA_SMCA"/>
    <w:basedOn w:val="Antrat2"/>
    <w:autoRedefine/>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PI-1labEMEASMCAChar">
    <w:name w:val="PI-1_lab EMEA_SMCA Char"/>
    <w:link w:val="PI-1labEMEASMCA"/>
    <w:uiPriority w:val="99"/>
    <w:locked/>
    <w:rPr>
      <w:b/>
      <w:noProof/>
      <w:sz w:val="22"/>
      <w:szCs w:val="22"/>
      <w:lang w:val="lt-LT" w:eastAsia="en-US"/>
    </w:rPr>
  </w:style>
  <w:style w:type="paragraph" w:customStyle="1" w:styleId="PI-2EMEASMCA">
    <w:name w:val="PI-2 EMEA_SMCA"/>
    <w:basedOn w:val="Antrat3"/>
    <w:autoRedefine/>
    <w:pPr>
      <w:keepLines/>
      <w:tabs>
        <w:tab w:val="clear" w:pos="6760"/>
        <w:tab w:val="left" w:pos="567"/>
      </w:tabs>
      <w:spacing w:line="240" w:lineRule="auto"/>
      <w:ind w:left="567" w:hanging="567"/>
    </w:pPr>
    <w:rPr>
      <w:kern w:val="28"/>
      <w:sz w:val="22"/>
      <w:szCs w:val="22"/>
      <w:lang w:val="lt-LT" w:eastAsia="en-US"/>
    </w:rPr>
  </w:style>
  <w:style w:type="paragraph" w:customStyle="1" w:styleId="BTEMEASMCA">
    <w:name w:val="BT EMEA_SMCA"/>
    <w:basedOn w:val="prastasis"/>
    <w:link w:val="BTEMEASMCAChar"/>
    <w:autoRedefine/>
    <w:rPr>
      <w:bCs/>
      <w:noProof/>
      <w:sz w:val="22"/>
      <w:szCs w:val="22"/>
      <w:lang w:val="lt-LT" w:eastAsia="en-US"/>
    </w:rPr>
  </w:style>
  <w:style w:type="paragraph" w:customStyle="1" w:styleId="TTEMEASMCA">
    <w:name w:val="TT EMEA_SMCA"/>
    <w:basedOn w:val="Antrat1"/>
    <w:link w:val="TTEMEASMCAChar"/>
    <w:autoRedefine/>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character" w:customStyle="1" w:styleId="TTEMEASMCAChar">
    <w:name w:val="TT EMEA_SMCA Char"/>
    <w:link w:val="TTEMEASMCA"/>
    <w:locked/>
    <w:rPr>
      <w:b/>
      <w:caps/>
      <w:sz w:val="22"/>
      <w:szCs w:val="22"/>
      <w:lang w:val="en-US" w:eastAsia="en-US"/>
    </w:rPr>
  </w:style>
  <w:style w:type="paragraph" w:customStyle="1" w:styleId="BTAnIIEMEASMCA">
    <w:name w:val="BT(AnII) EMEA_SMCA"/>
    <w:basedOn w:val="Debesliotekstas"/>
    <w:autoRedefine/>
    <w:uiPriority w:val="99"/>
    <w:pPr>
      <w:tabs>
        <w:tab w:val="left" w:pos="1701"/>
      </w:tabs>
      <w:ind w:left="1701" w:hanging="567"/>
    </w:pPr>
    <w:rPr>
      <w:rFonts w:ascii="Times New Roman" w:hAnsi="Times New Roman" w:cs="Times New Roman"/>
      <w:b/>
      <w:sz w:val="22"/>
      <w:szCs w:val="22"/>
      <w:lang w:val="en-GB" w:eastAsia="en-US"/>
    </w:rPr>
  </w:style>
  <w:style w:type="paragraph" w:customStyle="1" w:styleId="BT-EMEASMCA">
    <w:name w:val="BT- EMEA_SMCA"/>
    <w:basedOn w:val="BTEMEASMCA"/>
    <w:autoRedefine/>
  </w:style>
  <w:style w:type="paragraph" w:customStyle="1" w:styleId="PI-3EMEASMCA">
    <w:name w:val="PI-3 EMEA_SMCA"/>
    <w:basedOn w:val="prastasis"/>
    <w:autoRedefine/>
    <w:pPr>
      <w:spacing w:line="220" w:lineRule="exact"/>
    </w:pPr>
    <w:rPr>
      <w:b/>
      <w:bCs/>
      <w:sz w:val="22"/>
      <w:szCs w:val="22"/>
      <w:lang w:val="lt-LT" w:eastAsia="en-US"/>
    </w:rPr>
  </w:style>
  <w:style w:type="paragraph" w:customStyle="1" w:styleId="BTbEMEASMCA">
    <w:name w:val="BT(b) EMEA_SMCA"/>
    <w:basedOn w:val="BTEMEASMCA"/>
    <w:autoRedefine/>
    <w:rPr>
      <w:b/>
    </w:rPr>
  </w:style>
  <w:style w:type="paragraph" w:customStyle="1" w:styleId="BTbeEMEASMCA">
    <w:name w:val="BT(be) EMEA_SMCA"/>
    <w:basedOn w:val="BTEMEASMCA"/>
    <w:autoRedefine/>
    <w:uiPriority w:val="99"/>
    <w:pPr>
      <w:jc w:val="center"/>
    </w:pPr>
    <w:rPr>
      <w:b/>
    </w:rPr>
  </w:style>
  <w:style w:type="paragraph" w:customStyle="1" w:styleId="BTeEMEASMCA">
    <w:name w:val="BT(e) EMEA_SMCA"/>
    <w:basedOn w:val="BTEMEASMCA"/>
    <w:autoRedefine/>
    <w:uiPriority w:val="99"/>
    <w:pPr>
      <w:jc w:val="center"/>
    </w:pPr>
  </w:style>
  <w:style w:type="paragraph" w:customStyle="1" w:styleId="BTgEMEASMCA">
    <w:name w:val="BT(g) EMEA_SMCA"/>
    <w:basedOn w:val="BTEMEASMCA"/>
    <w:link w:val="BTgEMEASMCAChar"/>
    <w:autoRedefine/>
    <w:uiPriority w:val="99"/>
    <w:rPr>
      <w:bCs w:val="0"/>
      <w:i/>
      <w:color w:val="008000"/>
    </w:rPr>
  </w:style>
  <w:style w:type="character" w:customStyle="1" w:styleId="BTEMEASMCAChar">
    <w:name w:val="BT EMEA_SMCA Char"/>
    <w:link w:val="BTEMEASMCA"/>
    <w:locked/>
    <w:rPr>
      <w:bCs/>
      <w:noProof/>
      <w:sz w:val="22"/>
      <w:szCs w:val="22"/>
      <w:lang w:val="lt-LT" w:eastAsia="en-US"/>
    </w:rPr>
  </w:style>
  <w:style w:type="character" w:customStyle="1" w:styleId="BTgEMEASMCAChar">
    <w:name w:val="BT(g) EMEA_SMCA Char"/>
    <w:link w:val="BTgEMEASMCA"/>
    <w:uiPriority w:val="99"/>
    <w:locked/>
    <w:rPr>
      <w:i/>
      <w:noProof/>
      <w:color w:val="008000"/>
      <w:sz w:val="22"/>
      <w:szCs w:val="22"/>
      <w:lang w:val="lt-LT" w:eastAsia="en-US"/>
    </w:rPr>
  </w:style>
  <w:style w:type="paragraph" w:customStyle="1" w:styleId="BTuEMEASMCA">
    <w:name w:val="BT(u) EMEA_SMCA"/>
    <w:basedOn w:val="BTEMEASMCA"/>
    <w:autoRedefine/>
    <w:uiPriority w:val="99"/>
    <w:rPr>
      <w:u w:val="single"/>
    </w:rPr>
  </w:style>
  <w:style w:type="paragraph" w:styleId="Dokumentostruktra">
    <w:name w:val="Document Map"/>
    <w:basedOn w:val="prastasis"/>
    <w:link w:val="DokumentostruktraDiagrama"/>
    <w:uiPriority w:val="99"/>
    <w:pPr>
      <w:shd w:val="clear" w:color="auto" w:fill="000080"/>
    </w:pPr>
    <w:rPr>
      <w:sz w:val="2"/>
      <w:lang w:val="lt-LT" w:eastAsia="en-US"/>
    </w:rPr>
  </w:style>
  <w:style w:type="character" w:customStyle="1" w:styleId="DokumentostruktraDiagrama">
    <w:name w:val="Dokumento struktūra Diagrama"/>
    <w:link w:val="Dokumentostruktra"/>
    <w:uiPriority w:val="99"/>
    <w:rPr>
      <w:sz w:val="2"/>
      <w:shd w:val="clear" w:color="auto" w:fill="000080"/>
      <w:lang w:val="lt-LT" w:eastAsia="en-US"/>
    </w:rPr>
  </w:style>
  <w:style w:type="character" w:customStyle="1" w:styleId="PoratDiagrama">
    <w:name w:val="Poraštė Diagrama"/>
    <w:link w:val="Porat"/>
    <w:uiPriority w:val="99"/>
    <w:rPr>
      <w:sz w:val="24"/>
      <w:lang w:val="sl-SI" w:eastAsia="sl-SI"/>
    </w:rPr>
  </w:style>
  <w:style w:type="character" w:customStyle="1" w:styleId="PagrindinistekstasDiagrama">
    <w:name w:val="Pagrindinis tekstas Diagrama"/>
    <w:link w:val="Pagrindinistekstas"/>
    <w:rPr>
      <w:sz w:val="22"/>
      <w:lang w:val="sl-SI" w:eastAsia="sl-SI"/>
    </w:rPr>
  </w:style>
  <w:style w:type="paragraph" w:styleId="Pataisymai">
    <w:name w:val="Revision"/>
    <w:hidden/>
    <w:uiPriority w:val="99"/>
    <w:semiHidden/>
    <w:rPr>
      <w:sz w:val="24"/>
      <w:szCs w:val="24"/>
      <w:lang w:eastAsia="en-US"/>
    </w:rPr>
  </w:style>
  <w:style w:type="character" w:styleId="Komentaronuoroda">
    <w:name w:val="annotation reference"/>
    <w:uiPriority w:val="99"/>
    <w:rPr>
      <w:rFonts w:cs="Times New Roman"/>
      <w:sz w:val="16"/>
      <w:szCs w:val="16"/>
    </w:rPr>
  </w:style>
  <w:style w:type="paragraph" w:styleId="Komentarotekstas">
    <w:name w:val="annotation text"/>
    <w:basedOn w:val="prastasis"/>
    <w:link w:val="KomentarotekstasDiagrama"/>
    <w:uiPriority w:val="99"/>
    <w:rPr>
      <w:sz w:val="20"/>
      <w:lang w:val="lt-LT" w:eastAsia="en-US"/>
    </w:rPr>
  </w:style>
  <w:style w:type="character" w:customStyle="1" w:styleId="KomentarotekstasDiagrama">
    <w:name w:val="Komentaro tekstas Diagrama"/>
    <w:link w:val="Komentarotekstas"/>
    <w:uiPriority w:val="99"/>
    <w:rPr>
      <w:lang w:val="lt-LT" w:eastAsia="en-US"/>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b/>
      <w:bCs/>
      <w:lang w:val="lt-LT" w:eastAsia="en-US"/>
    </w:rPr>
  </w:style>
  <w:style w:type="character" w:customStyle="1" w:styleId="PaprastasistekstasDiagrama">
    <w:name w:val="Paprastasis tekstas Diagrama"/>
    <w:link w:val="Paprastasistekstas"/>
    <w:uiPriority w:val="99"/>
    <w:rPr>
      <w:rFonts w:ascii="Courier New" w:hAnsi="Courier New"/>
      <w:lang w:eastAsia="sl-SI"/>
    </w:rPr>
  </w:style>
  <w:style w:type="character" w:customStyle="1" w:styleId="PlainTextChar">
    <w:name w:val="Plain Text Char"/>
    <w:uiPriority w:val="99"/>
    <w:semiHidden/>
    <w:locked/>
    <w:rPr>
      <w:rFonts w:ascii="Courier New" w:hAnsi="Courier New" w:cs="Courier New"/>
      <w:sz w:val="20"/>
      <w:szCs w:val="20"/>
      <w:lang w:eastAsia="en-US"/>
    </w:rPr>
  </w:style>
  <w:style w:type="character" w:customStyle="1" w:styleId="Pagrindinistekstas2Diagrama">
    <w:name w:val="Pagrindinis tekstas 2 Diagrama"/>
    <w:link w:val="Pagrindinistekstas2"/>
    <w:rPr>
      <w:sz w:val="24"/>
      <w:lang w:val="sl-SI" w:eastAsia="sl-SI"/>
    </w:rPr>
  </w:style>
  <w:style w:type="numbering" w:customStyle="1" w:styleId="NoList1">
    <w:name w:val="No List1"/>
    <w:next w:val="Sraonra"/>
    <w:uiPriority w:val="99"/>
    <w:semiHidden/>
    <w:unhideWhenUsed/>
  </w:style>
  <w:style w:type="paragraph" w:styleId="Pagrindinistekstas3">
    <w:name w:val="Body Text 3"/>
    <w:basedOn w:val="prastasis"/>
    <w:link w:val="Pagrindinistekstas3Diagrama"/>
    <w:pPr>
      <w:spacing w:after="120"/>
    </w:pPr>
    <w:rPr>
      <w:sz w:val="16"/>
      <w:szCs w:val="16"/>
      <w:lang w:val="lt-LT" w:eastAsia="en-US"/>
    </w:rPr>
  </w:style>
  <w:style w:type="character" w:customStyle="1" w:styleId="Pagrindinistekstas3Diagrama">
    <w:name w:val="Pagrindinis tekstas 3 Diagrama"/>
    <w:link w:val="Pagrindinistekstas3"/>
    <w:rPr>
      <w:sz w:val="16"/>
      <w:szCs w:val="16"/>
      <w:lang w:val="lt-LT" w:eastAsia="en-US"/>
    </w:rPr>
  </w:style>
  <w:style w:type="paragraph" w:customStyle="1" w:styleId="AHeader1">
    <w:name w:val="AHeader 1"/>
    <w:basedOn w:val="prastasis"/>
    <w:pPr>
      <w:tabs>
        <w:tab w:val="num" w:pos="720"/>
      </w:tabs>
      <w:spacing w:after="120"/>
      <w:ind w:left="284" w:hanging="284"/>
    </w:pPr>
    <w:rPr>
      <w:rFonts w:ascii="Arial" w:hAnsi="Arial" w:cs="Arial"/>
      <w:b/>
      <w:bCs/>
      <w:lang w:val="en-GB" w:eastAsia="en-US"/>
    </w:rPr>
  </w:style>
  <w:style w:type="paragraph" w:styleId="Sraopastraipa">
    <w:name w:val="List Paragraph"/>
    <w:basedOn w:val="prastasis"/>
    <w:uiPriority w:val="34"/>
    <w:qFormat/>
    <w:pPr>
      <w:ind w:left="720"/>
      <w:contextualSpacing/>
    </w:pPr>
    <w:rPr>
      <w:szCs w:val="24"/>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0E57A8-45AC-47B4-90BE-561F65AAA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11307</Words>
  <Characters>77056</Characters>
  <Application>Microsoft Office Word</Application>
  <DocSecurity>4</DocSecurity>
  <Lines>642</Lines>
  <Paragraphs>176</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PARTICULARS TO APPEAR ON &lt;THE OUTER PACKAGING&gt; &lt;AND&gt; &lt;THE IMMEDIATE PACKAGING&gt;</vt:lpstr>
      <vt:lpstr>PARTICULARS TO APPEAR ON &lt;THE OUTER PACKAGING&gt; &lt;AND&gt; &lt;THE IMMEDIATE PACKAGING&gt;</vt:lpstr>
      <vt:lpstr>PARTICULARS TO APPEAR ON &lt;THE OUTER PACKAGING&gt; &lt;AND&gt; &lt;THE IMMEDIATE PACKAGING&gt;</vt:lpstr>
    </vt:vector>
  </TitlesOfParts>
  <Company> </Company>
  <LinksUpToDate>false</LinksUpToDate>
  <CharactersWithSpaces>88187</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PARTICULARS TO APPEAR ON &lt;THE OUTER PACKAGING&gt; &lt;AND&gt; &lt;THE IMMEDIATE PACKAGING&gt;</dc:title>
  <dc:subject/>
  <dc:creator>karmen</dc:creator>
  <cp:keywords/>
  <dc:description/>
  <cp:lastModifiedBy>Albina Burkauskaitė</cp:lastModifiedBy>
  <cp:revision>2</cp:revision>
  <dcterms:created xsi:type="dcterms:W3CDTF">2025-02-18T13:18:00Z</dcterms:created>
  <dcterms:modified xsi:type="dcterms:W3CDTF">2025-02-18T13:18:00Z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p_title">
    <vt:lpwstr/>
  </property>
  <property fmtid="{D5CDD505-2E9C-101B-9397-08002B2CF9AE}" pid="3" name="ph_inn_name">
    <vt:lpwstr/>
  </property>
  <property fmtid="{D5CDD505-2E9C-101B-9397-08002B2CF9AE}" pid="4" name="ph_pharm_form">
    <vt:lpwstr/>
  </property>
  <property fmtid="{D5CDD505-2E9C-101B-9397-08002B2CF9AE}" pid="5" name="ph_unit_measure">
    <vt:lpwstr/>
  </property>
  <property fmtid="{D5CDD505-2E9C-101B-9397-08002B2CF9AE}" pid="6" name="mp_first_effective_date">
    <vt:lpwstr/>
  </property>
  <property fmtid="{D5CDD505-2E9C-101B-9397-08002B2CF9AE}" pid="7" name="mp_updated_effective_date">
    <vt:lpwstr/>
  </property>
  <property fmtid="{D5CDD505-2E9C-101B-9397-08002B2CF9AE}" pid="8" name="object_name">
    <vt:lpwstr>PI_Text079272_1</vt:lpwstr>
  </property>
  <property fmtid="{D5CDD505-2E9C-101B-9397-08002B2CF9AE}" pid="9" name="ph_strength_custom">
    <vt:lpwstr/>
  </property>
  <property fmtid="{D5CDD505-2E9C-101B-9397-08002B2CF9AE}" pid="10" name="mp_document_code">
    <vt:lpwstr/>
  </property>
  <property fmtid="{D5CDD505-2E9C-101B-9397-08002B2CF9AE}" pid="11" name="drz1">
    <vt:lpwstr/>
  </property>
  <property fmtid="{D5CDD505-2E9C-101B-9397-08002B2CF9AE}" pid="12" name="drz2">
    <vt:lpwstr/>
  </property>
  <property fmtid="{D5CDD505-2E9C-101B-9397-08002B2CF9AE}" pid="13" name="drz3">
    <vt:lpwstr/>
  </property>
  <property fmtid="{D5CDD505-2E9C-101B-9397-08002B2CF9AE}" pid="14" name="drz4">
    <vt:lpwstr/>
  </property>
  <property fmtid="{D5CDD505-2E9C-101B-9397-08002B2CF9AE}" pid="15" name="drz5">
    <vt:lpwstr/>
  </property>
  <property fmtid="{D5CDD505-2E9C-101B-9397-08002B2CF9AE}" pid="16" name="drz6">
    <vt:lpwstr/>
  </property>
  <property fmtid="{D5CDD505-2E9C-101B-9397-08002B2CF9AE}" pid="17" name="drz7">
    <vt:lpwstr/>
  </property>
  <property fmtid="{D5CDD505-2E9C-101B-9397-08002B2CF9AE}" pid="18" name="drz8">
    <vt:lpwstr/>
  </property>
  <property fmtid="{D5CDD505-2E9C-101B-9397-08002B2CF9AE}" pid="19" name="drz9">
    <vt:lpwstr/>
  </property>
  <property fmtid="{D5CDD505-2E9C-101B-9397-08002B2CF9AE}" pid="20" name="drz10">
    <vt:lpwstr/>
  </property>
  <property fmtid="{D5CDD505-2E9C-101B-9397-08002B2CF9AE}" pid="21" name="RMS_drz1">
    <vt:lpwstr/>
  </property>
  <property fmtid="{D5CDD505-2E9C-101B-9397-08002B2CF9AE}" pid="22" name="RMS_drz2">
    <vt:lpwstr/>
  </property>
  <property fmtid="{D5CDD505-2E9C-101B-9397-08002B2CF9AE}" pid="23" name="RMS_drz3">
    <vt:lpwstr/>
  </property>
  <property fmtid="{D5CDD505-2E9C-101B-9397-08002B2CF9AE}" pid="24" name="RMS_drz4">
    <vt:lpwstr/>
  </property>
  <property fmtid="{D5CDD505-2E9C-101B-9397-08002B2CF9AE}" pid="25" name="RMS_drz5">
    <vt:lpwstr/>
  </property>
  <property fmtid="{D5CDD505-2E9C-101B-9397-08002B2CF9AE}" pid="26" name="GrammarlyDocumentId">
    <vt:lpwstr/>
  </property>
</Properties>
</file>