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381" w:rsidRPr="005B15D5" w:rsidRDefault="008B3381" w:rsidP="008B3381">
      <w:pPr>
        <w:tabs>
          <w:tab w:val="left" w:pos="0"/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Calibri" w:hAnsi="Times New Roman" w:cs="Times New Roman"/>
          <w:b/>
          <w:iCs/>
          <w:noProof/>
        </w:rPr>
      </w:pPr>
      <w:bookmarkStart w:id="0" w:name="_Toc129243138"/>
      <w:bookmarkStart w:id="1" w:name="_Toc129243263"/>
      <w:r w:rsidRPr="005B15D5">
        <w:rPr>
          <w:rFonts w:ascii="Times New Roman" w:eastAsia="Calibri" w:hAnsi="Times New Roman" w:cs="Times New Roman"/>
          <w:b/>
          <w:iCs/>
          <w:noProof/>
        </w:rPr>
        <w:t>Pakuotės lapelis: informacija pacientui</w:t>
      </w:r>
      <w:bookmarkEnd w:id="0"/>
      <w:bookmarkEnd w:id="1"/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</w:rPr>
      </w:pPr>
      <w:r w:rsidRPr="005B15D5">
        <w:rPr>
          <w:rFonts w:ascii="Times New Roman" w:eastAsia="Calibri" w:hAnsi="Times New Roman" w:cs="Times New Roman"/>
          <w:b/>
          <w:noProof/>
        </w:rPr>
        <w:t>microlax 625 mg/90 mg/9 mg/ml tiesiosios žarnos tirpalas</w:t>
      </w:r>
    </w:p>
    <w:p w:rsidR="008B3381" w:rsidRPr="005B15D5" w:rsidRDefault="008B3381" w:rsidP="008B3381">
      <w:pPr>
        <w:spacing w:after="0" w:line="240" w:lineRule="auto"/>
        <w:jc w:val="center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Sorbitolis, natrio citratas, natrio laurilsulfoacetatas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  <w:b/>
          <w:noProof/>
        </w:rPr>
      </w:pPr>
      <w:r w:rsidRPr="005B15D5">
        <w:rPr>
          <w:rFonts w:ascii="Times New Roman" w:eastAsia="Calibri" w:hAnsi="Times New Roman" w:cs="Times New Roman"/>
          <w:b/>
          <w:noProof/>
        </w:rPr>
        <w:t>Atidžiai perskaitykite visą šį lapelį, prieš pradėdami vartoti šį vaistą, nes jame pateikiama Jums svarbi informacija.</w:t>
      </w:r>
    </w:p>
    <w:p w:rsidR="008B3381" w:rsidRPr="005B15D5" w:rsidRDefault="008B3381" w:rsidP="008B3381">
      <w:pPr>
        <w:numPr>
          <w:ilvl w:val="12"/>
          <w:numId w:val="0"/>
        </w:num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Visada vartokite šį vaistą tiksliai kaip aprašyta šiame lapelyje arba kaip nurodė gydytojas arba vaistininkas.</w:t>
      </w:r>
    </w:p>
    <w:p w:rsidR="008B3381" w:rsidRPr="005B15D5" w:rsidRDefault="008B3381" w:rsidP="008B3381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 xml:space="preserve">Neišmeskite šio lapelio, nes vėl gali prireikti jį perskaityti. </w:t>
      </w:r>
    </w:p>
    <w:p w:rsidR="008B3381" w:rsidRPr="005B15D5" w:rsidRDefault="008B3381" w:rsidP="008B3381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Jeigu norite sužinoti daugiau arba pasitarti, kreipkitės į vaistininką.</w:t>
      </w:r>
    </w:p>
    <w:p w:rsidR="008B3381" w:rsidRDefault="008B3381" w:rsidP="008B3381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 xml:space="preserve">Jeigu pasireiškė šalutinis poveikis (net jeigu jis šiame lapelyje nenurodytas), kreipkitės į gydytoją arba vaistininką. </w:t>
      </w:r>
      <w:r w:rsidRPr="00A0704B">
        <w:rPr>
          <w:rFonts w:ascii="Times New Roman" w:eastAsia="Times New Roman" w:hAnsi="Times New Roman" w:cs="Times New Roman"/>
          <w:noProof/>
          <w:snapToGrid w:val="0"/>
          <w:szCs w:val="24"/>
        </w:rPr>
        <w:t>Žr. 4 skyrių.</w:t>
      </w:r>
    </w:p>
    <w:p w:rsidR="008B3381" w:rsidRPr="00D4747F" w:rsidRDefault="008B3381" w:rsidP="008B3381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D4747F">
        <w:rPr>
          <w:rFonts w:ascii="Times New Roman" w:eastAsia="Times New Roman" w:hAnsi="Times New Roman" w:cs="Times New Roman"/>
          <w:noProof/>
          <w:snapToGrid w:val="0"/>
          <w:szCs w:val="24"/>
        </w:rPr>
        <w:t>Jeigu Jūsų savijauta nepagerėjo arba net pablogėjo, kreipkitės į gydytoją.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keepNext/>
        <w:spacing w:after="0" w:line="240" w:lineRule="auto"/>
        <w:outlineLvl w:val="3"/>
        <w:rPr>
          <w:rFonts w:ascii="Times New Roman" w:eastAsia="Calibri" w:hAnsi="Times New Roman" w:cs="Times New Roman"/>
          <w:b/>
          <w:iCs/>
          <w:noProof/>
        </w:rPr>
      </w:pPr>
      <w:r w:rsidRPr="005B15D5">
        <w:rPr>
          <w:rFonts w:ascii="Times New Roman" w:eastAsia="Calibri" w:hAnsi="Times New Roman" w:cs="Times New Roman"/>
          <w:b/>
          <w:iCs/>
          <w:noProof/>
        </w:rPr>
        <w:t>Apie ką rašoma šiame lapelyje?</w:t>
      </w: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i/>
          <w:iCs/>
          <w:noProof/>
        </w:rPr>
      </w:pP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1.</w:t>
      </w:r>
      <w:r w:rsidRPr="005B15D5">
        <w:rPr>
          <w:rFonts w:ascii="Times New Roman" w:eastAsia="Calibri" w:hAnsi="Times New Roman" w:cs="Times New Roman"/>
          <w:noProof/>
        </w:rPr>
        <w:tab/>
        <w:t>Kas yra microlax ir kam jis vartojamas</w:t>
      </w: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2.</w:t>
      </w:r>
      <w:r w:rsidRPr="005B15D5">
        <w:rPr>
          <w:rFonts w:ascii="Times New Roman" w:eastAsia="Calibri" w:hAnsi="Times New Roman" w:cs="Times New Roman"/>
          <w:noProof/>
        </w:rPr>
        <w:tab/>
        <w:t>Kas žinotina prieš vartojant microlax</w:t>
      </w: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3.</w:t>
      </w:r>
      <w:r w:rsidRPr="005B15D5">
        <w:rPr>
          <w:rFonts w:ascii="Times New Roman" w:eastAsia="Calibri" w:hAnsi="Times New Roman" w:cs="Times New Roman"/>
          <w:noProof/>
        </w:rPr>
        <w:tab/>
        <w:t>Kaip vartoti microlax</w:t>
      </w: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4.</w:t>
      </w:r>
      <w:r w:rsidRPr="005B15D5">
        <w:rPr>
          <w:rFonts w:ascii="Times New Roman" w:eastAsia="Calibri" w:hAnsi="Times New Roman" w:cs="Times New Roman"/>
          <w:noProof/>
        </w:rPr>
        <w:tab/>
        <w:t>Galimas šalutinis poveikis</w:t>
      </w: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5.</w:t>
      </w:r>
      <w:r w:rsidRPr="005B15D5">
        <w:rPr>
          <w:rFonts w:ascii="Times New Roman" w:eastAsia="Calibri" w:hAnsi="Times New Roman" w:cs="Times New Roman"/>
          <w:noProof/>
        </w:rPr>
        <w:tab/>
        <w:t>Kaip laikyti microlax</w:t>
      </w: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6.</w:t>
      </w:r>
      <w:r w:rsidRPr="005B15D5">
        <w:rPr>
          <w:rFonts w:ascii="Times New Roman" w:eastAsia="Calibri" w:hAnsi="Times New Roman" w:cs="Times New Roman"/>
          <w:noProof/>
        </w:rPr>
        <w:tab/>
        <w:t>Pakuotės turinys ir kita informacija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  <w:bookmarkStart w:id="2" w:name="_Toc129243139"/>
      <w:bookmarkStart w:id="3" w:name="_Toc129243264"/>
      <w:r w:rsidRPr="005B15D5">
        <w:rPr>
          <w:rFonts w:ascii="Times New Roman" w:eastAsia="Calibri" w:hAnsi="Times New Roman" w:cs="Times New Roman"/>
          <w:b/>
          <w:noProof/>
        </w:rPr>
        <w:t>1.</w:t>
      </w:r>
      <w:r w:rsidRPr="005B15D5">
        <w:rPr>
          <w:rFonts w:ascii="Times New Roman" w:eastAsia="Calibri" w:hAnsi="Times New Roman" w:cs="Times New Roman"/>
          <w:b/>
          <w:noProof/>
        </w:rPr>
        <w:tab/>
        <w:t>Kas yra microlax ir kam jis vartojamas</w:t>
      </w:r>
      <w:bookmarkEnd w:id="2"/>
      <w:bookmarkEnd w:id="3"/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 xml:space="preserve">Trumpalaikis vidurių užkietėjimo ar būklių, reikalaujančių palengvinto išsituštinimo, gydymas. 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Žarnų ištuštinimas prieš diagnostines ar gydomąsias procedūras galinėje žarnyno dalyje.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  <w:noProof/>
        </w:rPr>
      </w:pPr>
      <w:bookmarkStart w:id="4" w:name="_Toc129243140"/>
      <w:bookmarkStart w:id="5" w:name="_Toc129243265"/>
      <w:r w:rsidRPr="005B15D5">
        <w:rPr>
          <w:rFonts w:ascii="Times New Roman" w:eastAsia="Calibri" w:hAnsi="Times New Roman" w:cs="Times New Roman"/>
          <w:b/>
          <w:noProof/>
        </w:rPr>
        <w:t>2.</w:t>
      </w:r>
      <w:r w:rsidRPr="005B15D5">
        <w:rPr>
          <w:rFonts w:ascii="Times New Roman" w:eastAsia="Calibri" w:hAnsi="Times New Roman" w:cs="Times New Roman"/>
          <w:b/>
          <w:noProof/>
        </w:rPr>
        <w:tab/>
        <w:t>Kas žinotina prieš vartojant microlax</w:t>
      </w:r>
      <w:bookmarkEnd w:id="4"/>
      <w:bookmarkEnd w:id="5"/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b/>
          <w:noProof/>
        </w:rPr>
      </w:pPr>
      <w:r w:rsidRPr="005B15D5">
        <w:rPr>
          <w:rFonts w:ascii="Times New Roman" w:eastAsia="Calibri" w:hAnsi="Times New Roman" w:cs="Times New Roman"/>
          <w:b/>
          <w:noProof/>
        </w:rPr>
        <w:t xml:space="preserve">microlax vartoti negalima: </w:t>
      </w: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-</w:t>
      </w:r>
      <w:r w:rsidRPr="005B15D5">
        <w:rPr>
          <w:rFonts w:ascii="Times New Roman" w:eastAsia="Calibri" w:hAnsi="Times New Roman" w:cs="Times New Roman"/>
          <w:noProof/>
        </w:rPr>
        <w:tab/>
        <w:t>jeigu yra alergija veikliosioms medžiagoms arba bet kuriai pagalbinei šio vaisto medžiagai (jos išvardytos 6 skyriuje).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b/>
          <w:noProof/>
        </w:rPr>
      </w:pPr>
      <w:r w:rsidRPr="005B15D5">
        <w:rPr>
          <w:rFonts w:ascii="Times New Roman" w:eastAsia="Calibri" w:hAnsi="Times New Roman" w:cs="Times New Roman"/>
          <w:b/>
          <w:noProof/>
        </w:rPr>
        <w:t xml:space="preserve">Įspėjimai ir atsargumo priemonės </w:t>
      </w:r>
    </w:p>
    <w:p w:rsidR="008B3381" w:rsidRPr="005B15D5" w:rsidRDefault="008B3381" w:rsidP="008B3381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Pasitarkite su gydytoju arba vaistininku, prieš pradėdami vartoti microlax.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b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Kad išvengtumėte sužeidimo, microlax vartokite atsargiai, jeigu sergate hemorojumi.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 xml:space="preserve">Vengti ilgalaikio vartojimo. 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Jeigu būklė negerėja, kreipkitės į gydytoją.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b/>
          <w:noProof/>
        </w:rPr>
      </w:pPr>
      <w:r w:rsidRPr="005B15D5">
        <w:rPr>
          <w:rFonts w:ascii="Times New Roman" w:eastAsia="Calibri" w:hAnsi="Times New Roman" w:cs="Times New Roman"/>
          <w:b/>
          <w:noProof/>
        </w:rPr>
        <w:t>Nėštumas ir žindymo laikotarpis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b/>
          <w:noProof/>
        </w:rPr>
      </w:pPr>
      <w:r w:rsidRPr="00A0704B">
        <w:rPr>
          <w:rFonts w:ascii="Times New Roman" w:eastAsia="Times New Roman" w:hAnsi="Times New Roman" w:cs="Times New Roman"/>
          <w:noProof/>
          <w:snapToGrid w:val="0"/>
          <w:szCs w:val="24"/>
        </w:rPr>
        <w:t>Jeigu esate nėščia, žindote kūdikį, manote, kad galbūt esate nėščia, arba planuojate pastoti, tai prieš vartodama šį vaistą,</w:t>
      </w:r>
      <w:r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 pasitarkite su gydytoju arba vaistininku</w:t>
      </w:r>
      <w:r w:rsidRPr="00A0704B">
        <w:rPr>
          <w:rFonts w:ascii="Times New Roman" w:eastAsia="Times New Roman" w:hAnsi="Times New Roman" w:cs="Times New Roman"/>
          <w:noProof/>
          <w:snapToGrid w:val="0"/>
          <w:szCs w:val="24"/>
        </w:rPr>
        <w:t>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 xml:space="preserve">Adekvačių ir gerai kontroliuojamų tyrimų su nėščiosiomis moterimis atlikta nėra. Vartojant kaip rekomenduojama, šis </w:t>
      </w:r>
      <w:r>
        <w:rPr>
          <w:rFonts w:ascii="Times New Roman" w:eastAsia="Calibri" w:hAnsi="Times New Roman" w:cs="Times New Roman"/>
          <w:noProof/>
        </w:rPr>
        <w:t>vaistas</w:t>
      </w:r>
      <w:r w:rsidRPr="005B15D5">
        <w:rPr>
          <w:rFonts w:ascii="Times New Roman" w:eastAsia="Calibri" w:hAnsi="Times New Roman" w:cs="Times New Roman"/>
          <w:noProof/>
        </w:rPr>
        <w:t xml:space="preserve"> gali turėti tik ribotą sisteminę absorbciją, todėl nepageidaujamo poveikio nėštumo ar žindymo metu besivystančiam vais</w:t>
      </w:r>
      <w:r>
        <w:rPr>
          <w:rFonts w:ascii="Times New Roman" w:eastAsia="Calibri" w:hAnsi="Times New Roman" w:cs="Times New Roman"/>
          <w:noProof/>
        </w:rPr>
        <w:t>i</w:t>
      </w:r>
      <w:r w:rsidRPr="005B15D5">
        <w:rPr>
          <w:rFonts w:ascii="Times New Roman" w:eastAsia="Calibri" w:hAnsi="Times New Roman" w:cs="Times New Roman"/>
          <w:noProof/>
        </w:rPr>
        <w:t>ui ar naujagimiui nesitikima.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N</w:t>
      </w:r>
      <w:r>
        <w:rPr>
          <w:rFonts w:ascii="Times New Roman" w:eastAsia="Calibri" w:hAnsi="Times New Roman" w:cs="Times New Roman"/>
          <w:noProof/>
        </w:rPr>
        <w:t>e</w:t>
      </w:r>
      <w:r w:rsidRPr="005B15D5">
        <w:rPr>
          <w:rFonts w:ascii="Times New Roman" w:eastAsia="Calibri" w:hAnsi="Times New Roman" w:cs="Times New Roman"/>
          <w:noProof/>
        </w:rPr>
        <w:t>žinoma ar natrio citratas, natrio laurilsulfoacetatas ir sorbitolis išsiskiria į motinos pieną.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keepNext/>
        <w:spacing w:after="0" w:line="240" w:lineRule="auto"/>
        <w:outlineLvl w:val="3"/>
        <w:rPr>
          <w:rFonts w:ascii="Times New Roman" w:eastAsia="Calibri" w:hAnsi="Times New Roman" w:cs="Times New Roman"/>
          <w:b/>
          <w:iCs/>
          <w:noProof/>
        </w:rPr>
      </w:pPr>
      <w:r w:rsidRPr="005B15D5">
        <w:rPr>
          <w:rFonts w:ascii="Times New Roman" w:eastAsia="Calibri" w:hAnsi="Times New Roman" w:cs="Times New Roman"/>
          <w:b/>
          <w:iCs/>
          <w:noProof/>
        </w:rPr>
        <w:t>Kiti vaistai ir microlax</w:t>
      </w:r>
    </w:p>
    <w:p w:rsidR="008B3381" w:rsidRPr="005B15D5" w:rsidRDefault="008B3381" w:rsidP="008B3381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Jeigu vartojate ar neseniai vartojote kitų vaistų arba dėl to nesate tikri, apie tai pasakykite gydytojui arba vaistininkui.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Sorbitolis vartojamas kartu su natrio polistireno sulfonatu (geriamuoju ar vartojamu į tiesiąją žarną) gali padidinti žarnyno nekrozės riziką.</w:t>
      </w:r>
    </w:p>
    <w:p w:rsidR="008B3381" w:rsidRPr="00485867" w:rsidRDefault="008B3381" w:rsidP="008B3381">
      <w:pPr>
        <w:spacing w:after="0" w:line="240" w:lineRule="auto"/>
        <w:rPr>
          <w:rFonts w:ascii="Times New Roman" w:eastAsia="Calibri" w:hAnsi="Times New Roman" w:cs="Times New Roman"/>
          <w:b/>
          <w:noProof/>
        </w:rPr>
      </w:pPr>
    </w:p>
    <w:p w:rsidR="008B3381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485867">
        <w:rPr>
          <w:rFonts w:ascii="Times New Roman" w:eastAsia="Calibri" w:hAnsi="Times New Roman" w:cs="Times New Roman"/>
          <w:b/>
          <w:noProof/>
        </w:rPr>
        <w:t>microlax sudėtyje yra sorbo rūgšties.</w:t>
      </w:r>
      <w:r w:rsidRPr="005B15D5">
        <w:rPr>
          <w:rFonts w:ascii="Times New Roman" w:eastAsia="Calibri" w:hAnsi="Times New Roman" w:cs="Times New Roman"/>
          <w:noProof/>
        </w:rPr>
        <w:t xml:space="preserve"> 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Gali sukelti lokalių odos reakcijų (pvz., kontaktinį dermatitą).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  <w:noProof/>
        </w:rPr>
      </w:pPr>
      <w:bookmarkStart w:id="6" w:name="_Toc129243141"/>
      <w:bookmarkStart w:id="7" w:name="_Toc129243266"/>
      <w:r w:rsidRPr="005B15D5">
        <w:rPr>
          <w:rFonts w:ascii="Times New Roman" w:eastAsia="Calibri" w:hAnsi="Times New Roman" w:cs="Times New Roman"/>
          <w:b/>
          <w:noProof/>
        </w:rPr>
        <w:t>3.</w:t>
      </w:r>
      <w:r w:rsidRPr="005B15D5">
        <w:rPr>
          <w:rFonts w:ascii="Times New Roman" w:eastAsia="Calibri" w:hAnsi="Times New Roman" w:cs="Times New Roman"/>
          <w:b/>
          <w:noProof/>
        </w:rPr>
        <w:tab/>
        <w:t>Kaip vartoti microlax</w:t>
      </w:r>
      <w:bookmarkEnd w:id="6"/>
      <w:bookmarkEnd w:id="7"/>
    </w:p>
    <w:p w:rsidR="008B3381" w:rsidRPr="005B15D5" w:rsidRDefault="008B3381" w:rsidP="008B3381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Visada vartokite šį vaistą tiksliai kaip</w:t>
      </w:r>
      <w:r>
        <w:rPr>
          <w:rFonts w:ascii="Times New Roman" w:eastAsia="Calibri" w:hAnsi="Times New Roman" w:cs="Times New Roman"/>
          <w:noProof/>
        </w:rPr>
        <w:t xml:space="preserve"> aprašyta šiame lapelyje arba kaip</w:t>
      </w:r>
      <w:r w:rsidRPr="005B15D5">
        <w:rPr>
          <w:rFonts w:ascii="Times New Roman" w:eastAsia="Calibri" w:hAnsi="Times New Roman" w:cs="Times New Roman"/>
          <w:noProof/>
        </w:rPr>
        <w:t xml:space="preserve"> nurodė gydytojas arba vaistininkas. Jeigu abejojate, kreipkitės į gydytoją arba vaistininką. 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keepNext/>
        <w:spacing w:after="0" w:line="240" w:lineRule="auto"/>
        <w:outlineLvl w:val="3"/>
        <w:rPr>
          <w:rFonts w:ascii="Times New Roman" w:eastAsia="Calibri" w:hAnsi="Times New Roman" w:cs="Times New Roman"/>
          <w:i/>
          <w:iCs/>
          <w:noProof/>
        </w:rPr>
      </w:pPr>
      <w:r w:rsidRPr="005B15D5">
        <w:rPr>
          <w:rFonts w:ascii="Times New Roman" w:eastAsia="Calibri" w:hAnsi="Times New Roman" w:cs="Times New Roman"/>
          <w:i/>
          <w:iCs/>
          <w:noProof/>
        </w:rPr>
        <w:t>Suaugusieji ir vyresni kaip 3 metų vaikai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 xml:space="preserve">microlax </w:t>
      </w:r>
      <w:r>
        <w:rPr>
          <w:rFonts w:ascii="Times New Roman" w:eastAsia="Calibri" w:hAnsi="Times New Roman" w:cs="Times New Roman"/>
          <w:noProof/>
        </w:rPr>
        <w:t xml:space="preserve">vienos tūbelės </w:t>
      </w:r>
      <w:r w:rsidRPr="005B15D5">
        <w:rPr>
          <w:rFonts w:ascii="Times New Roman" w:eastAsia="Calibri" w:hAnsi="Times New Roman" w:cs="Times New Roman"/>
          <w:noProof/>
        </w:rPr>
        <w:t>turinys suleidžiamas į tiesiąją žarną įkišus į ją visą antgalį. Lubrikanto nereikia, pakanka užlašinti lašą į tiesiąją žarną suleidžiamo tirpalo.</w:t>
      </w:r>
    </w:p>
    <w:p w:rsidR="008B3381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485867" w:rsidRDefault="008B3381" w:rsidP="008B3381">
      <w:pPr>
        <w:spacing w:after="0" w:line="240" w:lineRule="auto"/>
        <w:rPr>
          <w:rFonts w:ascii="Times New Roman" w:eastAsia="Calibri" w:hAnsi="Times New Roman" w:cs="Times New Roman"/>
          <w:b/>
          <w:noProof/>
        </w:rPr>
      </w:pPr>
      <w:r w:rsidRPr="00485867">
        <w:rPr>
          <w:rFonts w:ascii="Times New Roman" w:eastAsia="Times New Roman" w:hAnsi="Times New Roman" w:cs="Times New Roman"/>
          <w:b/>
          <w:snapToGrid w:val="0"/>
          <w:szCs w:val="20"/>
        </w:rPr>
        <w:t>Vartojimas vaikams</w:t>
      </w:r>
    </w:p>
    <w:p w:rsidR="008B3381" w:rsidRPr="005B15D5" w:rsidRDefault="008B3381" w:rsidP="008B3381">
      <w:pPr>
        <w:keepNext/>
        <w:spacing w:after="0" w:line="240" w:lineRule="auto"/>
        <w:outlineLvl w:val="3"/>
        <w:rPr>
          <w:rFonts w:ascii="Times New Roman" w:eastAsia="Calibri" w:hAnsi="Times New Roman" w:cs="Times New Roman"/>
          <w:i/>
          <w:iCs/>
          <w:noProof/>
        </w:rPr>
      </w:pPr>
      <w:r w:rsidRPr="005B15D5">
        <w:rPr>
          <w:rFonts w:ascii="Times New Roman" w:eastAsia="Calibri" w:hAnsi="Times New Roman" w:cs="Times New Roman"/>
          <w:i/>
          <w:iCs/>
          <w:noProof/>
        </w:rPr>
        <w:t>Jaunesni kaip 3 metų vaikai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DC2EF2">
        <w:rPr>
          <w:rFonts w:ascii="Times New Roman" w:eastAsia="Calibri" w:hAnsi="Times New Roman" w:cs="Times New Roman"/>
          <w:noProof/>
        </w:rPr>
        <w:t>microlax vienos tūbelės turinys suleidžiamas į</w:t>
      </w:r>
      <w:r>
        <w:rPr>
          <w:rFonts w:ascii="Times New Roman" w:eastAsia="Calibri" w:hAnsi="Times New Roman" w:cs="Times New Roman"/>
          <w:noProof/>
        </w:rPr>
        <w:t xml:space="preserve"> tiesiąją žarną įkišus į ją pusę antgalio</w:t>
      </w:r>
      <w:r w:rsidRPr="00DC2EF2">
        <w:rPr>
          <w:rFonts w:ascii="Times New Roman" w:eastAsia="Calibri" w:hAnsi="Times New Roman" w:cs="Times New Roman"/>
          <w:noProof/>
        </w:rPr>
        <w:t>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i/>
          <w:noProof/>
        </w:rPr>
      </w:pPr>
      <w:r w:rsidRPr="005B15D5">
        <w:rPr>
          <w:rFonts w:ascii="Times New Roman" w:eastAsia="Calibri" w:hAnsi="Times New Roman" w:cs="Times New Roman"/>
          <w:i/>
          <w:noProof/>
        </w:rPr>
        <w:t>Kaip naudoti microlax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i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i/>
          <w:noProof/>
          <w:u w:val="single"/>
        </w:rPr>
      </w:pPr>
      <w:r w:rsidRPr="005B15D5">
        <w:rPr>
          <w:rFonts w:ascii="Times New Roman" w:eastAsia="Calibri" w:hAnsi="Times New Roman" w:cs="Times New Roman"/>
          <w:i/>
          <w:noProof/>
          <w:u w:val="single"/>
        </w:rPr>
        <w:t>Paveikslėlis 1</w:t>
      </w:r>
    </w:p>
    <w:p w:rsidR="008B3381" w:rsidRPr="005B15D5" w:rsidRDefault="008B3381" w:rsidP="008B3381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noProof/>
          <w:color w:val="000000"/>
        </w:rPr>
      </w:pPr>
      <w:r w:rsidRPr="005B15D5">
        <w:rPr>
          <w:rFonts w:ascii="Times New Roman" w:eastAsia="Calibri" w:hAnsi="Times New Roman" w:cs="Times New Roman"/>
          <w:noProof/>
          <w:color w:val="000000"/>
        </w:rPr>
        <w:t>Nusukti antgalio dangtelį.</w:t>
      </w:r>
    </w:p>
    <w:p w:rsidR="008B3381" w:rsidRPr="005B15D5" w:rsidRDefault="008B3381" w:rsidP="008B3381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noProof/>
          <w:color w:val="000000"/>
        </w:rPr>
      </w:pPr>
      <w:r w:rsidRPr="005B15D5">
        <w:rPr>
          <w:rFonts w:ascii="Times New Roman" w:eastAsia="Calibri" w:hAnsi="Times New Roman" w:cs="Times New Roman"/>
          <w:noProof/>
          <w:color w:val="000000"/>
        </w:rPr>
        <w:t>Lengvai paspausti tūbelę, kad antgalio galiukas sudrėktų į tiesiąją žarną suleidžiamo tirpalo lašu.</w:t>
      </w:r>
    </w:p>
    <w:p w:rsidR="008B3381" w:rsidRPr="005B15D5" w:rsidRDefault="008B3381" w:rsidP="008B3381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noProof/>
          <w:color w:val="000000"/>
        </w:rPr>
      </w:pPr>
      <w:r w:rsidRPr="005B15D5">
        <w:rPr>
          <w:rFonts w:ascii="Times New Roman" w:eastAsia="Calibri" w:hAnsi="Times New Roman" w:cs="Times New Roman"/>
          <w:noProof/>
          <w:color w:val="000000"/>
        </w:rPr>
        <w:t xml:space="preserve">Įkišti į tiesiąją žarną visą antgalį. Jaunesniems kaip 3 metų vaikams įkišti tik pusę antgalio. 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  <w:color w:val="000000"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i/>
          <w:noProof/>
          <w:u w:val="single"/>
        </w:rPr>
      </w:pPr>
      <w:r w:rsidRPr="005B15D5">
        <w:rPr>
          <w:rFonts w:ascii="Times New Roman" w:eastAsia="Calibri" w:hAnsi="Times New Roman" w:cs="Times New Roman"/>
          <w:i/>
          <w:noProof/>
          <w:u w:val="single"/>
        </w:rPr>
        <w:t>Paveikslėlis 2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 xml:space="preserve">Spaudžiant tūbelę, visą jos turinį suleisti į tiesiąją žarną. 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Atsargiai ištraukti suspaustą tūbelę, kad neištekėtų į tiesiąją žarną suleistas turinys.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A0704B">
        <w:rPr>
          <w:rFonts w:ascii="Times New Roman" w:eastAsia="Calibri" w:hAnsi="Times New Roman" w:cs="Times New Roman"/>
          <w:noProof/>
          <w:lang w:eastAsia="lt-LT"/>
        </w:rPr>
        <w:drawing>
          <wp:inline distT="0" distB="0" distL="0" distR="0" wp14:anchorId="2F805EB9" wp14:editId="6ABEA21E">
            <wp:extent cx="2628900" cy="1057275"/>
            <wp:effectExtent l="0" t="0" r="0" b="9525"/>
            <wp:docPr id="1" name="Pictur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untitl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>
        <w:rPr>
          <w:rFonts w:ascii="Times New Roman" w:eastAsia="Calibri" w:hAnsi="Times New Roman" w:cs="Times New Roman"/>
          <w:noProof/>
        </w:rPr>
        <w:t>P</w:t>
      </w:r>
      <w:r w:rsidRPr="005B15D5">
        <w:rPr>
          <w:rFonts w:ascii="Times New Roman" w:eastAsia="Calibri" w:hAnsi="Times New Roman" w:cs="Times New Roman"/>
          <w:noProof/>
        </w:rPr>
        <w:t>oveikis pasireiškia po 5—15 minučių.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Jeigu kiltų daugiau klausimų dėl šio vaisto vartojimo, kreipkitės į gydytoją arba vaistininką.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  <w:bookmarkStart w:id="8" w:name="_Toc129243142"/>
      <w:bookmarkStart w:id="9" w:name="_Toc129243267"/>
      <w:r w:rsidRPr="005B15D5">
        <w:rPr>
          <w:rFonts w:ascii="Times New Roman" w:eastAsia="Calibri" w:hAnsi="Times New Roman" w:cs="Times New Roman"/>
          <w:b/>
          <w:noProof/>
        </w:rPr>
        <w:t>4.</w:t>
      </w:r>
      <w:r w:rsidRPr="005B15D5">
        <w:rPr>
          <w:rFonts w:ascii="Times New Roman" w:eastAsia="Calibri" w:hAnsi="Times New Roman" w:cs="Times New Roman"/>
          <w:b/>
          <w:noProof/>
        </w:rPr>
        <w:tab/>
        <w:t>Galimas šalutinis poveikis</w:t>
      </w:r>
      <w:bookmarkEnd w:id="8"/>
      <w:bookmarkEnd w:id="9"/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Šis vaistas, kaip ir visi kiti, gali sukelti šalutinį poveikį, nors jis pasireiškia ne visiems žmonėms.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Toliau išvardintų šalutinių reiškinių pasireiškimo dažnis nežinomas</w:t>
      </w:r>
      <w:r w:rsidRPr="00EF2257"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Cs w:val="20"/>
        </w:rPr>
        <w:t>(</w:t>
      </w:r>
      <w:r w:rsidRPr="00A0704B">
        <w:rPr>
          <w:rFonts w:ascii="Times New Roman" w:eastAsia="Times New Roman" w:hAnsi="Times New Roman" w:cs="Times New Roman"/>
          <w:snapToGrid w:val="0"/>
          <w:szCs w:val="20"/>
        </w:rPr>
        <w:t>negali būti apskaičiuotas pagal turimus duomenis</w:t>
      </w:r>
      <w:r>
        <w:rPr>
          <w:rFonts w:ascii="Times New Roman" w:eastAsia="Times New Roman" w:hAnsi="Times New Roman" w:cs="Times New Roman"/>
          <w:snapToGrid w:val="0"/>
          <w:szCs w:val="20"/>
        </w:rPr>
        <w:t>)</w:t>
      </w:r>
      <w:r w:rsidRPr="005B15D5">
        <w:rPr>
          <w:rFonts w:ascii="Times New Roman" w:eastAsia="Calibri" w:hAnsi="Times New Roman" w:cs="Times New Roman"/>
          <w:noProof/>
        </w:rPr>
        <w:t>: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i/>
          <w:noProof/>
        </w:rPr>
        <w:t>Virškinimo trakto sutrikimai</w:t>
      </w:r>
      <w:r w:rsidRPr="005B15D5">
        <w:rPr>
          <w:rFonts w:ascii="Times New Roman" w:eastAsia="Calibri" w:hAnsi="Times New Roman" w:cs="Times New Roman"/>
          <w:noProof/>
        </w:rPr>
        <w:t>: pilvo skausmas (įskaitant pilvo diskomfortą, pilvo skausmą, viršutinės pilvo dalies skausmą), išeinamosios angos diskomfortas, išmatų nelaikymas</w:t>
      </w:r>
      <w:r>
        <w:rPr>
          <w:rFonts w:ascii="Times New Roman" w:eastAsia="Calibri" w:hAnsi="Times New Roman" w:cs="Times New Roman"/>
          <w:noProof/>
        </w:rPr>
        <w:t>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i/>
          <w:noProof/>
        </w:rPr>
      </w:pPr>
      <w:r w:rsidRPr="005B15D5">
        <w:rPr>
          <w:rFonts w:ascii="Times New Roman" w:eastAsia="Calibri" w:hAnsi="Times New Roman" w:cs="Times New Roman"/>
          <w:bCs/>
          <w:i/>
          <w:noProof/>
        </w:rPr>
        <w:t>Imuninės sistemos sutrikimai</w:t>
      </w:r>
      <w:r>
        <w:rPr>
          <w:rFonts w:ascii="Times New Roman" w:eastAsia="Calibri" w:hAnsi="Times New Roman" w:cs="Times New Roman"/>
          <w:bCs/>
          <w:i/>
          <w:noProof/>
        </w:rPr>
        <w:t>:</w:t>
      </w:r>
      <w:r w:rsidRPr="005B15D5">
        <w:rPr>
          <w:rFonts w:ascii="Times New Roman" w:eastAsia="Calibri" w:hAnsi="Times New Roman" w:cs="Times New Roman"/>
          <w:bCs/>
          <w:i/>
          <w:noProof/>
        </w:rPr>
        <w:t xml:space="preserve"> </w:t>
      </w:r>
      <w:r w:rsidRPr="005B15D5">
        <w:rPr>
          <w:rFonts w:ascii="Times New Roman" w:eastAsia="Calibri" w:hAnsi="Times New Roman" w:cs="Times New Roman"/>
          <w:noProof/>
        </w:rPr>
        <w:t>padidėjusio jautrumo reakcijos (pvz., dilgėlinė)</w:t>
      </w:r>
      <w:r>
        <w:rPr>
          <w:rFonts w:ascii="Times New Roman" w:eastAsia="Calibri" w:hAnsi="Times New Roman" w:cs="Times New Roman"/>
          <w:noProof/>
        </w:rPr>
        <w:t>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A0704B" w:rsidRDefault="008B3381" w:rsidP="008B3381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A0704B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Pranešimas apie šalutinį poveikį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485867">
        <w:rPr>
          <w:rFonts w:ascii="Times New Roman" w:eastAsia="Times New Roman" w:hAnsi="Times New Roman" w:cs="Times New Roman"/>
          <w:snapToGrid w:val="0"/>
          <w:szCs w:val="20"/>
        </w:rPr>
        <w:t>Jeigu pasireiškė šalutinis poveikis, įskaitant šiame l</w:t>
      </w:r>
      <w:r w:rsidRPr="00A0704B">
        <w:rPr>
          <w:rFonts w:ascii="Times New Roman" w:eastAsia="Times New Roman" w:hAnsi="Times New Roman" w:cs="Times New Roman"/>
          <w:snapToGrid w:val="0"/>
          <w:szCs w:val="20"/>
        </w:rPr>
        <w:t xml:space="preserve">apelyje nenurodytą, pasakykite gydytojui arba </w:t>
      </w:r>
      <w:r w:rsidRPr="00485867">
        <w:rPr>
          <w:rFonts w:ascii="Times New Roman" w:eastAsia="Times New Roman" w:hAnsi="Times New Roman" w:cs="Times New Roman"/>
          <w:snapToGrid w:val="0"/>
          <w:szCs w:val="20"/>
        </w:rPr>
        <w:t>vaistininkui. Apie šalutinį poveikį taip pat galite pranešti Valstybinei vaistų kontrolės tarnybai prie Lietuvos Respublikos sveikatos apsaugos ministerijos nemokamu t</w:t>
      </w:r>
      <w:r w:rsidRPr="00485867">
        <w:rPr>
          <w:rFonts w:ascii="Times New Roman" w:eastAsia="Times New Roman" w:hAnsi="Times New Roman" w:cs="Times New Roman"/>
          <w:snapToGrid w:val="0"/>
          <w:szCs w:val="20"/>
          <w:lang w:eastAsia="zh-CN"/>
        </w:rPr>
        <w:t>elefonu 8 800 73568</w:t>
      </w:r>
      <w:r w:rsidRPr="00485867">
        <w:rPr>
          <w:rFonts w:ascii="Times New Roman" w:eastAsia="Times New Roman" w:hAnsi="Times New Roman" w:cs="Times New Roman"/>
          <w:snapToGrid w:val="0"/>
          <w:szCs w:val="20"/>
        </w:rPr>
        <w:t xml:space="preserve"> arba užpildyti interneto svetainėje </w:t>
      </w:r>
      <w:hyperlink r:id="rId6" w:history="1">
        <w:r w:rsidRPr="00485867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</w:rPr>
          <w:t>www.vvkt.lt</w:t>
        </w:r>
      </w:hyperlink>
      <w:r w:rsidRPr="00485867">
        <w:rPr>
          <w:rFonts w:ascii="Times New Roman" w:eastAsia="Times New Roman" w:hAnsi="Times New Roman" w:cs="Times New Roman"/>
          <w:snapToGrid w:val="0"/>
          <w:szCs w:val="20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485867">
        <w:rPr>
          <w:rFonts w:ascii="Times New Roman" w:eastAsia="Times New Roman" w:hAnsi="Times New Roman" w:cs="Times New Roman"/>
          <w:snapToGrid w:val="0"/>
          <w:szCs w:val="20"/>
          <w:lang w:eastAsia="zh-CN"/>
        </w:rPr>
        <w:t xml:space="preserve">nemokamu </w:t>
      </w:r>
      <w:r w:rsidRPr="00485867">
        <w:rPr>
          <w:rFonts w:ascii="Times New Roman" w:eastAsia="Times New Roman" w:hAnsi="Times New Roman" w:cs="Times New Roman"/>
          <w:snapToGrid w:val="0"/>
          <w:szCs w:val="20"/>
        </w:rPr>
        <w:t>fakso numeriu 8 800 20131</w:t>
      </w:r>
      <w:r w:rsidRPr="00485867">
        <w:rPr>
          <w:rFonts w:ascii="Times New Roman" w:eastAsia="Times New Roman" w:hAnsi="Times New Roman" w:cs="Times New Roman"/>
          <w:snapToGrid w:val="0"/>
          <w:szCs w:val="20"/>
          <w:lang w:eastAsia="zh-CN"/>
        </w:rPr>
        <w:t xml:space="preserve">, </w:t>
      </w:r>
      <w:r w:rsidRPr="00485867">
        <w:rPr>
          <w:rFonts w:ascii="Times New Roman" w:eastAsia="Times New Roman" w:hAnsi="Times New Roman" w:cs="Times New Roman"/>
          <w:snapToGrid w:val="0"/>
          <w:szCs w:val="20"/>
        </w:rPr>
        <w:t xml:space="preserve">el. paštu </w:t>
      </w:r>
      <w:hyperlink r:id="rId7" w:history="1">
        <w:r w:rsidRPr="00485867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</w:rPr>
          <w:t>NepageidaujamaR@vvkt.lt</w:t>
        </w:r>
      </w:hyperlink>
      <w:r w:rsidRPr="00485867">
        <w:rPr>
          <w:rFonts w:ascii="Times New Roman" w:eastAsia="Times New Roman" w:hAnsi="Times New Roman" w:cs="Times New Roman"/>
          <w:snapToGrid w:val="0"/>
          <w:szCs w:val="20"/>
        </w:rPr>
        <w:t xml:space="preserve">, taip pat per Valstybinės vaistų kontrolės tarnybos prie Lietuvos Respublikos sveikatos apsaugos ministerijos interneto svetainę (adresu </w:t>
      </w:r>
      <w:hyperlink r:id="rId8" w:history="1">
        <w:r w:rsidRPr="00485867">
          <w:rPr>
            <w:rFonts w:ascii="Times New Roman" w:eastAsia="SimSun" w:hAnsi="Times New Roman" w:cs="Times New Roman"/>
            <w:snapToGrid w:val="0"/>
            <w:color w:val="0000FF"/>
            <w:szCs w:val="20"/>
            <w:u w:val="single"/>
          </w:rPr>
          <w:t>http://www.vvkt.lt</w:t>
        </w:r>
      </w:hyperlink>
      <w:r w:rsidRPr="00485867">
        <w:rPr>
          <w:rFonts w:ascii="Times New Roman" w:eastAsia="Times New Roman" w:hAnsi="Times New Roman" w:cs="Times New Roman"/>
          <w:snapToGrid w:val="0"/>
          <w:szCs w:val="20"/>
        </w:rPr>
        <w:t>). Pranešdami apie šalutinį poveikį galite mums padėti gauti daugiau informacijos apie šio vaisto saugumą.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caps/>
          <w:noProof/>
        </w:rPr>
      </w:pPr>
      <w:bookmarkStart w:id="10" w:name="_Toc129243143"/>
      <w:bookmarkStart w:id="11" w:name="_Toc129243268"/>
      <w:r w:rsidRPr="005B15D5">
        <w:rPr>
          <w:rFonts w:ascii="Times New Roman" w:eastAsia="Calibri" w:hAnsi="Times New Roman" w:cs="Times New Roman"/>
          <w:b/>
          <w:noProof/>
        </w:rPr>
        <w:t>5.</w:t>
      </w:r>
      <w:r w:rsidRPr="005B15D5">
        <w:rPr>
          <w:rFonts w:ascii="Times New Roman" w:eastAsia="Calibri" w:hAnsi="Times New Roman" w:cs="Times New Roman"/>
          <w:b/>
          <w:noProof/>
        </w:rPr>
        <w:tab/>
        <w:t>Kaip laikyti microlax</w:t>
      </w:r>
      <w:bookmarkEnd w:id="10"/>
      <w:bookmarkEnd w:id="11"/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Šį vaistą laikykite</w:t>
      </w:r>
      <w:r>
        <w:rPr>
          <w:rFonts w:ascii="Times New Roman" w:eastAsia="Calibri" w:hAnsi="Times New Roman" w:cs="Times New Roman"/>
          <w:noProof/>
        </w:rPr>
        <w:t xml:space="preserve"> vaikams</w:t>
      </w:r>
      <w:r w:rsidRPr="005B15D5">
        <w:rPr>
          <w:rFonts w:ascii="Times New Roman" w:eastAsia="Calibri" w:hAnsi="Times New Roman" w:cs="Times New Roman"/>
          <w:noProof/>
        </w:rPr>
        <w:t xml:space="preserve"> nepastebimoje ir nepasiekiamoje vietoje.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Laikyti ne aukštesnėje kaip 25 </w:t>
      </w:r>
      <w:r w:rsidRPr="005B15D5">
        <w:rPr>
          <w:rFonts w:ascii="Times New Roman" w:eastAsia="Calibri" w:hAnsi="Times New Roman" w:cs="Times New Roman"/>
          <w:noProof/>
        </w:rPr>
        <w:sym w:font="Symbol" w:char="F0B0"/>
      </w:r>
      <w:r w:rsidRPr="005B15D5">
        <w:rPr>
          <w:rFonts w:ascii="Times New Roman" w:eastAsia="Calibri" w:hAnsi="Times New Roman" w:cs="Times New Roman"/>
          <w:noProof/>
        </w:rPr>
        <w:t>C temperatūroje. Negalima užšaldyti.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Ant dėžutės po „Tinka iki“ ar tūbelės po „</w:t>
      </w:r>
      <w:r>
        <w:rPr>
          <w:rFonts w:ascii="Times New Roman" w:eastAsia="Calibri" w:hAnsi="Times New Roman" w:cs="Times New Roman"/>
          <w:noProof/>
        </w:rPr>
        <w:t>EXP</w:t>
      </w:r>
      <w:r w:rsidRPr="005B15D5">
        <w:rPr>
          <w:rFonts w:ascii="Times New Roman" w:eastAsia="Calibri" w:hAnsi="Times New Roman" w:cs="Times New Roman"/>
          <w:noProof/>
        </w:rPr>
        <w:t>“ nurodytam tinkamumo laikui pasibaigus, šio vaisto vartoti negalima. Vaistas tinka</w:t>
      </w:r>
      <w:r>
        <w:rPr>
          <w:rFonts w:ascii="Times New Roman" w:eastAsia="Calibri" w:hAnsi="Times New Roman" w:cs="Times New Roman"/>
          <w:noProof/>
        </w:rPr>
        <w:t>mas</w:t>
      </w:r>
      <w:r w:rsidRPr="005B15D5">
        <w:rPr>
          <w:rFonts w:ascii="Times New Roman" w:eastAsia="Calibri" w:hAnsi="Times New Roman" w:cs="Times New Roman"/>
          <w:noProof/>
        </w:rPr>
        <w:t xml:space="preserve"> vartoti iki paskutinės nurodyto mėnesio dienos.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Vaistų negalima išmesti į kanalizaciją arba su buitinėmis atliekomis. Kaip išmesti nereikalingus vaistus, klauskite vaistininko. Šios priemonės padės apsaugoti aplinką.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Calibri" w:hAnsi="Times New Roman" w:cs="Times New Roman"/>
          <w:b/>
          <w:noProof/>
        </w:rPr>
      </w:pPr>
      <w:bookmarkStart w:id="12" w:name="_Toc129243144"/>
      <w:bookmarkStart w:id="13" w:name="_Toc129243269"/>
      <w:r w:rsidRPr="005B15D5">
        <w:rPr>
          <w:rFonts w:ascii="Times New Roman" w:eastAsia="Calibri" w:hAnsi="Times New Roman" w:cs="Times New Roman"/>
          <w:b/>
          <w:noProof/>
        </w:rPr>
        <w:t>6.</w:t>
      </w:r>
      <w:r w:rsidRPr="005B15D5">
        <w:rPr>
          <w:rFonts w:ascii="Times New Roman" w:eastAsia="Calibri" w:hAnsi="Times New Roman" w:cs="Times New Roman"/>
          <w:b/>
          <w:noProof/>
        </w:rPr>
        <w:tab/>
      </w:r>
      <w:r>
        <w:rPr>
          <w:rFonts w:ascii="Times New Roman" w:eastAsia="Calibri" w:hAnsi="Times New Roman" w:cs="Times New Roman"/>
          <w:b/>
          <w:noProof/>
        </w:rPr>
        <w:t>Pakuotės turinys ir kita informacija</w:t>
      </w:r>
      <w:bookmarkEnd w:id="12"/>
      <w:bookmarkEnd w:id="13"/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20" w:lineRule="exact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b/>
          <w:bCs/>
          <w:noProof/>
        </w:rPr>
        <w:t>microlax sudėtis</w:t>
      </w: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-</w:t>
      </w:r>
      <w:r>
        <w:rPr>
          <w:rFonts w:ascii="Times New Roman" w:eastAsia="Calibri" w:hAnsi="Times New Roman" w:cs="Times New Roman"/>
          <w:noProof/>
        </w:rPr>
        <w:tab/>
      </w:r>
      <w:r w:rsidRPr="005B15D5">
        <w:rPr>
          <w:rFonts w:ascii="Times New Roman" w:eastAsia="Calibri" w:hAnsi="Times New Roman" w:cs="Times New Roman"/>
          <w:noProof/>
        </w:rPr>
        <w:t xml:space="preserve">Veikliosios medžiagos yra natrio citratas, natrio laurilsulfoacetatas, sorbitolis. 1 ml </w:t>
      </w:r>
      <w:r>
        <w:rPr>
          <w:rFonts w:ascii="Times New Roman" w:eastAsia="Calibri" w:hAnsi="Times New Roman" w:cs="Times New Roman"/>
          <w:noProof/>
        </w:rPr>
        <w:t xml:space="preserve">tiesiosios žarnos </w:t>
      </w:r>
      <w:r w:rsidRPr="005B15D5">
        <w:rPr>
          <w:rFonts w:ascii="Times New Roman" w:eastAsia="Calibri" w:hAnsi="Times New Roman" w:cs="Times New Roman"/>
          <w:noProof/>
        </w:rPr>
        <w:t xml:space="preserve">tirpalo yra: 625 mg sorbitolio, 90 mg natrio citrato, 9 mg natrio laurilsulfoacetato. </w:t>
      </w:r>
    </w:p>
    <w:p w:rsidR="008B3381" w:rsidRPr="005B15D5" w:rsidRDefault="008B3381" w:rsidP="008B3381">
      <w:pPr>
        <w:spacing w:after="0" w:line="240" w:lineRule="auto"/>
        <w:ind w:left="567" w:hanging="567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-</w:t>
      </w:r>
      <w:r>
        <w:rPr>
          <w:rFonts w:ascii="Times New Roman" w:eastAsia="Calibri" w:hAnsi="Times New Roman" w:cs="Times New Roman"/>
          <w:noProof/>
        </w:rPr>
        <w:tab/>
      </w:r>
      <w:r w:rsidRPr="005B15D5">
        <w:rPr>
          <w:rFonts w:ascii="Times New Roman" w:eastAsia="Calibri" w:hAnsi="Times New Roman" w:cs="Times New Roman"/>
          <w:noProof/>
        </w:rPr>
        <w:t>Pagalbinės medžiagos yra sorbo rūgštis (E200), glicerolis, išgrynintas vanduo</w:t>
      </w:r>
      <w:r>
        <w:rPr>
          <w:rFonts w:ascii="Times New Roman" w:eastAsia="Calibri" w:hAnsi="Times New Roman" w:cs="Times New Roman"/>
          <w:noProof/>
        </w:rPr>
        <w:t>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20" w:lineRule="exact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b/>
          <w:bCs/>
          <w:noProof/>
        </w:rPr>
        <w:t>microlax išvaizda ir kiekis pakuotėje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 xml:space="preserve">Bespalvis, opalescuojantis tirštas </w:t>
      </w:r>
      <w:r>
        <w:rPr>
          <w:rFonts w:ascii="Times New Roman" w:eastAsia="Calibri" w:hAnsi="Times New Roman" w:cs="Times New Roman"/>
          <w:noProof/>
        </w:rPr>
        <w:t xml:space="preserve">tiesiosios žarnos </w:t>
      </w:r>
      <w:r w:rsidRPr="005B15D5">
        <w:rPr>
          <w:rFonts w:ascii="Times New Roman" w:eastAsia="Calibri" w:hAnsi="Times New Roman" w:cs="Times New Roman"/>
          <w:noProof/>
        </w:rPr>
        <w:t xml:space="preserve">tirpalas. Baltoje mažo tankio polietileno tūbelėje su antgaliu ir mažo tankio polietileno nuplėšiama apsaugine membrana yra 5 ml </w:t>
      </w:r>
      <w:r>
        <w:rPr>
          <w:rFonts w:ascii="Times New Roman" w:eastAsia="Calibri" w:hAnsi="Times New Roman" w:cs="Times New Roman"/>
          <w:noProof/>
        </w:rPr>
        <w:t xml:space="preserve">tiesiosios žarnos </w:t>
      </w:r>
      <w:r w:rsidRPr="005B15D5">
        <w:rPr>
          <w:rFonts w:ascii="Times New Roman" w:eastAsia="Calibri" w:hAnsi="Times New Roman" w:cs="Times New Roman"/>
          <w:noProof/>
        </w:rPr>
        <w:t>tirpalo.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Pakuotėje yra 4 ar 12 tūbelių.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Gali būti tiekiamos ne visų dydžių pakuotės.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20" w:lineRule="exact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b/>
          <w:bCs/>
          <w:noProof/>
        </w:rPr>
        <w:t>R</w:t>
      </w:r>
      <w:r>
        <w:rPr>
          <w:rFonts w:ascii="Times New Roman" w:eastAsia="Calibri" w:hAnsi="Times New Roman" w:cs="Times New Roman"/>
          <w:b/>
          <w:bCs/>
          <w:noProof/>
        </w:rPr>
        <w:t>egistruo</w:t>
      </w:r>
      <w:r w:rsidRPr="005B15D5">
        <w:rPr>
          <w:rFonts w:ascii="Times New Roman" w:eastAsia="Calibri" w:hAnsi="Times New Roman" w:cs="Times New Roman"/>
          <w:b/>
          <w:bCs/>
          <w:noProof/>
        </w:rPr>
        <w:t xml:space="preserve">tojas </w:t>
      </w:r>
    </w:p>
    <w:p w:rsidR="008B3381" w:rsidRPr="005B15D5" w:rsidRDefault="008B3381" w:rsidP="008B3381">
      <w:pPr>
        <w:spacing w:after="0" w:line="240" w:lineRule="auto"/>
        <w:jc w:val="both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McNeil AB</w:t>
      </w:r>
    </w:p>
    <w:p w:rsidR="008B3381" w:rsidRPr="005B15D5" w:rsidRDefault="008B3381" w:rsidP="008B3381">
      <w:pPr>
        <w:spacing w:after="0" w:line="240" w:lineRule="auto"/>
        <w:jc w:val="both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Norrbroplatsen 2, SE-251 09 Helsingborg, Švedija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b/>
          <w:noProof/>
        </w:rPr>
        <w:t>Gamintojas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>
        <w:rPr>
          <w:rFonts w:ascii="Times New Roman" w:eastAsia="Calibri" w:hAnsi="Times New Roman" w:cs="Times New Roman"/>
          <w:noProof/>
        </w:rPr>
        <w:t>Delpharm</w:t>
      </w:r>
      <w:r w:rsidRPr="005B15D5">
        <w:rPr>
          <w:rFonts w:ascii="Times New Roman" w:eastAsia="Calibri" w:hAnsi="Times New Roman" w:cs="Times New Roman"/>
          <w:noProof/>
        </w:rPr>
        <w:t xml:space="preserve"> Orleans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B15D5">
        <w:rPr>
          <w:rFonts w:ascii="Times New Roman" w:eastAsia="Calibri" w:hAnsi="Times New Roman" w:cs="Times New Roman"/>
          <w:noProof/>
        </w:rPr>
        <w:t>5, avenue de Concyr, 45 071 Orleans cedex 2, Prancūzija</w:t>
      </w:r>
    </w:p>
    <w:p w:rsidR="008B3381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4352F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  <w:highlight w:val="lightGray"/>
        </w:rPr>
      </w:pPr>
      <w:r w:rsidRPr="00222B2A">
        <w:rPr>
          <w:rFonts w:ascii="Times New Roman" w:eastAsia="Calibri" w:hAnsi="Times New Roman" w:cs="Times New Roman"/>
          <w:noProof/>
          <w:highlight w:val="lightGray"/>
        </w:rPr>
        <w:t>JNTL Consumer Health (France) SAS</w:t>
      </w:r>
    </w:p>
    <w:p w:rsidR="008B3381" w:rsidRPr="0054352F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  <w:highlight w:val="lightGray"/>
        </w:rPr>
      </w:pPr>
      <w:r w:rsidRPr="0054352F">
        <w:rPr>
          <w:rFonts w:ascii="Times New Roman" w:eastAsia="Calibri" w:hAnsi="Times New Roman" w:cs="Times New Roman"/>
          <w:noProof/>
          <w:highlight w:val="lightGray"/>
        </w:rPr>
        <w:t>Domaine de Maigremont</w:t>
      </w:r>
    </w:p>
    <w:p w:rsidR="008B3381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  <w:highlight w:val="lightGray"/>
        </w:rPr>
      </w:pPr>
      <w:r w:rsidRPr="0054352F">
        <w:rPr>
          <w:rFonts w:ascii="Times New Roman" w:eastAsia="Calibri" w:hAnsi="Times New Roman" w:cs="Times New Roman"/>
          <w:noProof/>
          <w:highlight w:val="lightGray"/>
        </w:rPr>
        <w:t>F27100 Val de Reuil</w:t>
      </w:r>
    </w:p>
    <w:p w:rsidR="008B3381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  <w:r w:rsidRPr="0054352F">
        <w:rPr>
          <w:rFonts w:ascii="Times New Roman" w:eastAsia="Calibri" w:hAnsi="Times New Roman" w:cs="Times New Roman"/>
          <w:noProof/>
          <w:highlight w:val="lightGray"/>
        </w:rPr>
        <w:t>Prancūzija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b/>
          <w:noProof/>
        </w:rPr>
      </w:pPr>
      <w:r w:rsidRPr="005B15D5">
        <w:rPr>
          <w:rFonts w:ascii="Times New Roman" w:eastAsia="Calibri" w:hAnsi="Times New Roman" w:cs="Times New Roman"/>
          <w:b/>
          <w:bCs/>
          <w:noProof/>
        </w:rPr>
        <w:t xml:space="preserve">Šis pakuotės </w:t>
      </w:r>
      <w:r w:rsidRPr="005B15D5">
        <w:rPr>
          <w:rFonts w:ascii="Times New Roman" w:eastAsia="Calibri" w:hAnsi="Times New Roman" w:cs="Times New Roman"/>
          <w:b/>
          <w:noProof/>
        </w:rPr>
        <w:t>lapelis paskutinį kartą peržiūrėtas</w:t>
      </w:r>
      <w:r>
        <w:rPr>
          <w:rFonts w:ascii="Times New Roman" w:eastAsia="Calibri" w:hAnsi="Times New Roman" w:cs="Times New Roman"/>
          <w:b/>
          <w:noProof/>
        </w:rPr>
        <w:t xml:space="preserve"> 2024-11-21.</w:t>
      </w:r>
    </w:p>
    <w:p w:rsidR="008B3381" w:rsidRPr="005B15D5" w:rsidRDefault="008B3381" w:rsidP="008B3381">
      <w:pPr>
        <w:spacing w:after="0" w:line="240" w:lineRule="auto"/>
        <w:rPr>
          <w:rFonts w:ascii="Times New Roman" w:eastAsia="Calibri" w:hAnsi="Times New Roman" w:cs="Times New Roman"/>
          <w:noProof/>
        </w:rPr>
      </w:pPr>
    </w:p>
    <w:p w:rsidR="00BA6577" w:rsidRDefault="008B3381" w:rsidP="008B3381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</w:pPr>
      <w:r w:rsidRPr="00A0704B">
        <w:rPr>
          <w:rFonts w:ascii="Times New Roman" w:eastAsia="Times New Roman" w:hAnsi="Times New Roman" w:cs="Times New Roman"/>
          <w:snapToGrid w:val="0"/>
          <w:szCs w:val="20"/>
        </w:rPr>
        <w:t xml:space="preserve">Išsami informacija apie šį </w:t>
      </w:r>
      <w:r w:rsidRPr="00A0704B">
        <w:rPr>
          <w:rFonts w:ascii="Times New Roman" w:eastAsia="Times New Roman" w:hAnsi="Times New Roman" w:cs="Times New Roman"/>
          <w:snapToGrid w:val="0"/>
          <w:szCs w:val="24"/>
        </w:rPr>
        <w:t>vaistą</w:t>
      </w:r>
      <w:r w:rsidRPr="00A0704B">
        <w:rPr>
          <w:rFonts w:ascii="Times New Roman" w:eastAsia="Times New Roman" w:hAnsi="Times New Roman" w:cs="Times New Roman"/>
          <w:snapToGrid w:val="0"/>
          <w:szCs w:val="20"/>
        </w:rPr>
        <w:t xml:space="preserve"> pateikiama Valstybinės vaistų kontrolės tarnybos prie Lietuvos Respublikos sveikatos apsaugos ministerijos tinklalapyje</w:t>
      </w:r>
      <w:r w:rsidRPr="00A0704B">
        <w:rPr>
          <w:rFonts w:ascii="Times New Roman" w:eastAsia="Times New Roman" w:hAnsi="Times New Roman" w:cs="Times New Roman"/>
          <w:i/>
          <w:snapToGrid w:val="0"/>
          <w:szCs w:val="24"/>
        </w:rPr>
        <w:t xml:space="preserve"> </w:t>
      </w:r>
      <w:hyperlink r:id="rId9" w:history="1">
        <w:r w:rsidRPr="00831889">
          <w:rPr>
            <w:rStyle w:val="Hipersaitas"/>
            <w:rFonts w:ascii="Times New Roman" w:hAnsi="Times New Roman"/>
          </w:rPr>
          <w:t>http://www.vvkt.lt/</w:t>
        </w:r>
      </w:hyperlink>
      <w:r>
        <w:rPr>
          <w:rStyle w:val="Hipersaitas"/>
          <w:rFonts w:ascii="Times New Roman" w:hAnsi="Times New Roman"/>
        </w:rPr>
        <w:t xml:space="preserve">.     </w:t>
      </w:r>
      <w:bookmarkStart w:id="14" w:name="_GoBack"/>
      <w:bookmarkEnd w:id="14"/>
    </w:p>
    <w:sectPr w:rsidR="00BA6577" w:rsidSect="00D118BF">
      <w:footerReference w:type="even" r:id="rId10"/>
      <w:footerReference w:type="default" r:id="rId11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58D4" w:rsidRDefault="008B3381" w:rsidP="00B1319C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B658D4" w:rsidRDefault="008B3381" w:rsidP="00B1319C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58D4" w:rsidRPr="005B67B0" w:rsidRDefault="008B3381" w:rsidP="00B1319C">
    <w:pPr>
      <w:pStyle w:val="Porat"/>
      <w:framePr w:wrap="around" w:vAnchor="text" w:hAnchor="margin" w:xAlign="right" w:y="1"/>
      <w:rPr>
        <w:rStyle w:val="Puslapionumeris"/>
        <w:sz w:val="22"/>
        <w:szCs w:val="22"/>
      </w:rPr>
    </w:pPr>
    <w:r w:rsidRPr="005B67B0">
      <w:rPr>
        <w:rStyle w:val="Puslapionumeris"/>
        <w:sz w:val="22"/>
        <w:szCs w:val="22"/>
      </w:rPr>
      <w:fldChar w:fldCharType="begin"/>
    </w:r>
    <w:r w:rsidRPr="005B67B0">
      <w:rPr>
        <w:rStyle w:val="Puslapionumeris"/>
        <w:sz w:val="22"/>
        <w:szCs w:val="22"/>
      </w:rPr>
      <w:instrText xml:space="preserve">PAGE  </w:instrText>
    </w:r>
    <w:r w:rsidRPr="005B67B0">
      <w:rPr>
        <w:rStyle w:val="Puslapionumeris"/>
        <w:sz w:val="22"/>
        <w:szCs w:val="22"/>
      </w:rPr>
      <w:fldChar w:fldCharType="separate"/>
    </w:r>
    <w:r>
      <w:rPr>
        <w:rStyle w:val="Puslapionumeris"/>
        <w:noProof/>
        <w:sz w:val="22"/>
        <w:szCs w:val="22"/>
      </w:rPr>
      <w:t>1</w:t>
    </w:r>
    <w:r w:rsidRPr="005B67B0">
      <w:rPr>
        <w:rStyle w:val="Puslapionumeris"/>
        <w:sz w:val="22"/>
        <w:szCs w:val="22"/>
      </w:rPr>
      <w:fldChar w:fldCharType="end"/>
    </w:r>
  </w:p>
  <w:p w:rsidR="00B658D4" w:rsidRDefault="008B3381" w:rsidP="00B1319C">
    <w:pPr>
      <w:pStyle w:val="Porat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689977A1"/>
    <w:multiLevelType w:val="hybridMultilevel"/>
    <w:tmpl w:val="27C2C7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381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8B3381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0C379D-2AAF-48BE-B899-0A5B13166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B3381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rsid w:val="008B3381"/>
    <w:pPr>
      <w:tabs>
        <w:tab w:val="center" w:pos="4819"/>
        <w:tab w:val="right" w:pos="9638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PoratDiagrama">
    <w:name w:val="Poraštė Diagrama"/>
    <w:basedOn w:val="Numatytasispastraiposriftas"/>
    <w:link w:val="Porat"/>
    <w:rsid w:val="008B3381"/>
    <w:rPr>
      <w:rFonts w:ascii="Times New Roman" w:eastAsia="Calibri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8B3381"/>
    <w:rPr>
      <w:rFonts w:cs="Times New Roman"/>
    </w:rPr>
  </w:style>
  <w:style w:type="character" w:styleId="Hipersaitas">
    <w:name w:val="Hyperlink"/>
    <w:rsid w:val="008B338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vkt.lt/" TargetMode="External"/><Relationship Id="rId11" Type="http://schemas.openxmlformats.org/officeDocument/2006/relationships/footer" Target="footer2.xml"/><Relationship Id="rId5" Type="http://schemas.openxmlformats.org/officeDocument/2006/relationships/image" Target="media/image1.png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4449</Words>
  <Characters>2536</Characters>
  <Application>Microsoft Office Word</Application>
  <DocSecurity>0</DocSecurity>
  <Lines>21</Lines>
  <Paragraphs>13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7</vt:i4>
      </vt:variant>
    </vt:vector>
  </HeadingPairs>
  <TitlesOfParts>
    <vt:vector size="8" baseType="lpstr">
      <vt:lpstr/>
      <vt:lpstr>Pakuotės lapelis: informacija pacientui</vt:lpstr>
      <vt:lpstr>    1.	Kas yra microlax ir kam jis vartojamas</vt:lpstr>
      <vt:lpstr>    2.	Kas žinotina prieš vartojant microlax</vt:lpstr>
      <vt:lpstr>    3.	Kaip vartoti microlax</vt:lpstr>
      <vt:lpstr>    4.	Galimas šalutinis poveikis</vt:lpstr>
      <vt:lpstr>    5.	Kaip laikyti microlax</vt:lpstr>
      <vt:lpstr>    6.	Pakuotės turinys ir kita informacija</vt:lpstr>
    </vt:vector>
  </TitlesOfParts>
  <Company/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2024-11-21T12:51:00Z</dcterms:created>
  <dcterms:modified xsi:type="dcterms:W3CDTF">2024-11-21T12:52:00Z</dcterms:modified>
</cp:coreProperties>
</file>