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3AE5" w:rsidRDefault="00343AE5" w:rsidP="00343AE5">
      <w:pPr>
        <w:tabs>
          <w:tab w:val="left" w:pos="567"/>
        </w:tabs>
        <w:spacing w:after="0" w:line="240" w:lineRule="auto"/>
        <w:ind w:left="567" w:hanging="567"/>
        <w:jc w:val="center"/>
        <w:outlineLvl w:val="0"/>
        <w:rPr>
          <w:rFonts w:ascii="Times New Roman" w:eastAsia="Times New Roman" w:hAnsi="Times New Roman"/>
          <w:b/>
          <w:caps/>
          <w:lang w:val="lt-LT"/>
        </w:rPr>
      </w:pPr>
      <w:r>
        <w:rPr>
          <w:rFonts w:ascii="Times New Roman" w:eastAsia="Times New Roman" w:hAnsi="Times New Roman"/>
          <w:b/>
          <w:lang w:val="lt-LT"/>
        </w:rPr>
        <w:t>Pakuotės lapelis: informacija vartotojui</w:t>
      </w:r>
    </w:p>
    <w:p w:rsidR="00343AE5" w:rsidRDefault="00343AE5" w:rsidP="00343AE5">
      <w:pPr>
        <w:spacing w:after="0" w:line="240" w:lineRule="auto"/>
        <w:jc w:val="center"/>
        <w:rPr>
          <w:rFonts w:ascii="Times New Roman" w:eastAsia="Times New Roman" w:hAnsi="Times New Roman"/>
          <w:b/>
          <w:lang w:val="lt-LT" w:eastAsia="lt-LT"/>
        </w:rPr>
      </w:pPr>
    </w:p>
    <w:p w:rsidR="00343AE5" w:rsidRDefault="00343AE5" w:rsidP="00343AE5">
      <w:pPr>
        <w:spacing w:after="0" w:line="240" w:lineRule="auto"/>
        <w:jc w:val="center"/>
        <w:rPr>
          <w:rFonts w:ascii="Times New Roman" w:eastAsia="Times New Roman" w:hAnsi="Times New Roman"/>
          <w:b/>
          <w:lang w:val="lt-LT"/>
        </w:rPr>
      </w:pPr>
      <w:r>
        <w:rPr>
          <w:rFonts w:ascii="Times New Roman" w:eastAsia="Times New Roman" w:hAnsi="Times New Roman"/>
          <w:b/>
          <w:lang w:val="lt-LT"/>
        </w:rPr>
        <w:t>Maxitrol akių lašai (suspensija)</w:t>
      </w:r>
    </w:p>
    <w:p w:rsidR="00343AE5" w:rsidRDefault="00343AE5" w:rsidP="00343AE5">
      <w:pPr>
        <w:spacing w:after="0" w:line="240" w:lineRule="auto"/>
        <w:jc w:val="center"/>
        <w:rPr>
          <w:rFonts w:ascii="Times New Roman" w:eastAsia="Times New Roman" w:hAnsi="Times New Roman"/>
          <w:lang w:val="lt-LT"/>
        </w:rPr>
      </w:pPr>
      <w:r w:rsidRPr="00397F4E">
        <w:rPr>
          <w:rFonts w:ascii="Times New Roman" w:eastAsia="Times New Roman" w:hAnsi="Times New Roman"/>
          <w:lang w:val="lt-LT"/>
        </w:rPr>
        <w:t>d</w:t>
      </w:r>
      <w:r>
        <w:rPr>
          <w:rFonts w:ascii="Times New Roman" w:eastAsia="Times New Roman" w:hAnsi="Times New Roman"/>
          <w:lang w:val="lt-LT"/>
        </w:rPr>
        <w:t>eksametazonas, neomicino sulfatas, polimiksino B sulfatas</w:t>
      </w:r>
    </w:p>
    <w:p w:rsidR="00343AE5" w:rsidRDefault="00343AE5" w:rsidP="00343AE5">
      <w:pPr>
        <w:spacing w:after="0" w:line="240" w:lineRule="auto"/>
        <w:jc w:val="center"/>
        <w:rPr>
          <w:rFonts w:ascii="Times New Roman" w:eastAsia="Times New Roman" w:hAnsi="Times New Roman"/>
          <w:b/>
          <w:lang w:val="lt-LT" w:eastAsia="lt-LT"/>
        </w:rPr>
      </w:pPr>
    </w:p>
    <w:p w:rsidR="00343AE5" w:rsidRDefault="00343AE5" w:rsidP="00343AE5">
      <w:pPr>
        <w:spacing w:after="0" w:line="240" w:lineRule="auto"/>
        <w:rPr>
          <w:rFonts w:ascii="Times New Roman" w:eastAsia="Times New Roman" w:hAnsi="Times New Roman"/>
          <w:b/>
          <w:lang w:val="lt-LT"/>
        </w:rPr>
      </w:pPr>
      <w:r>
        <w:rPr>
          <w:rFonts w:ascii="Times New Roman" w:eastAsia="Times New Roman" w:hAnsi="Times New Roman"/>
          <w:b/>
          <w:lang w:val="lt-LT"/>
        </w:rPr>
        <w:t>Atidžiai perskaitykite visą šį lapelį, prieš pradėdami vartoti vaistą, nes jame pateikiama Jums svarbi informacija.</w:t>
      </w:r>
    </w:p>
    <w:p w:rsidR="00343AE5" w:rsidRDefault="00343AE5" w:rsidP="00343AE5">
      <w:pPr>
        <w:numPr>
          <w:ilvl w:val="0"/>
          <w:numId w:val="1"/>
        </w:numPr>
        <w:spacing w:after="0" w:line="240" w:lineRule="auto"/>
        <w:ind w:left="567" w:hanging="567"/>
        <w:contextualSpacing/>
        <w:rPr>
          <w:rFonts w:ascii="Times New Roman" w:eastAsia="Times New Roman" w:hAnsi="Times New Roman"/>
          <w:szCs w:val="20"/>
          <w:lang w:val="lt-LT" w:eastAsia="lt-LT"/>
        </w:rPr>
      </w:pPr>
      <w:r>
        <w:rPr>
          <w:rFonts w:ascii="Times New Roman" w:eastAsia="Times New Roman" w:hAnsi="Times New Roman"/>
          <w:szCs w:val="20"/>
          <w:lang w:val="lt-LT" w:eastAsia="lt-LT"/>
        </w:rPr>
        <w:t>Neišmeskite šio lapelio, nes vėl gali prireikti jį perskaityti.</w:t>
      </w:r>
    </w:p>
    <w:p w:rsidR="00343AE5" w:rsidRDefault="00343AE5" w:rsidP="00343AE5">
      <w:pPr>
        <w:numPr>
          <w:ilvl w:val="0"/>
          <w:numId w:val="1"/>
        </w:numPr>
        <w:spacing w:after="0" w:line="240" w:lineRule="auto"/>
        <w:ind w:left="567" w:hanging="567"/>
        <w:contextualSpacing/>
        <w:rPr>
          <w:rFonts w:ascii="Times New Roman" w:eastAsia="Times New Roman" w:hAnsi="Times New Roman"/>
          <w:szCs w:val="20"/>
          <w:lang w:val="lt-LT" w:eastAsia="lt-LT"/>
        </w:rPr>
      </w:pPr>
      <w:r>
        <w:rPr>
          <w:rFonts w:ascii="Times New Roman" w:eastAsia="Times New Roman" w:hAnsi="Times New Roman"/>
          <w:szCs w:val="20"/>
          <w:lang w:val="lt-LT" w:eastAsia="lt-LT"/>
        </w:rPr>
        <w:t>Jeigu kiltų daugiau klausimų, kreipkitės į gydytoją arba vaistininką.</w:t>
      </w:r>
    </w:p>
    <w:p w:rsidR="00343AE5" w:rsidRDefault="00343AE5" w:rsidP="00343AE5">
      <w:pPr>
        <w:numPr>
          <w:ilvl w:val="0"/>
          <w:numId w:val="1"/>
        </w:numPr>
        <w:spacing w:after="0" w:line="240" w:lineRule="auto"/>
        <w:ind w:left="567" w:hanging="567"/>
        <w:contextualSpacing/>
        <w:rPr>
          <w:rFonts w:ascii="Times New Roman" w:eastAsia="Times New Roman" w:hAnsi="Times New Roman"/>
          <w:szCs w:val="20"/>
          <w:lang w:val="lt-LT" w:eastAsia="lt-LT"/>
        </w:rPr>
      </w:pPr>
      <w:r>
        <w:rPr>
          <w:rFonts w:ascii="Times New Roman" w:eastAsia="Times New Roman" w:hAnsi="Times New Roman"/>
          <w:szCs w:val="20"/>
          <w:lang w:val="lt-LT" w:eastAsia="lt-LT"/>
        </w:rPr>
        <w:t>Šis vaistas skirtas tik Jums, todėl kitiems žmonėms jo duoti negalima. Vaistas gali jiems pakenkti (net tiems, kurių ligos požymiai yra tokie patys kaip Jūsų).</w:t>
      </w:r>
    </w:p>
    <w:p w:rsidR="00343AE5" w:rsidRDefault="00343AE5" w:rsidP="00343AE5">
      <w:pPr>
        <w:numPr>
          <w:ilvl w:val="0"/>
          <w:numId w:val="1"/>
        </w:numPr>
        <w:spacing w:after="0" w:line="240" w:lineRule="auto"/>
        <w:ind w:left="567" w:hanging="567"/>
        <w:contextualSpacing/>
        <w:rPr>
          <w:rFonts w:ascii="Times New Roman" w:hAnsi="Times New Roman"/>
          <w:lang w:val="lt-LT"/>
        </w:rPr>
      </w:pPr>
      <w:r>
        <w:rPr>
          <w:rFonts w:ascii="Times New Roman" w:eastAsia="Times New Roman" w:hAnsi="Times New Roman"/>
          <w:noProof/>
          <w:lang w:val="lt-LT"/>
        </w:rPr>
        <w:t>Jeigu pasireiškė šalutinis poveikis (net jeigu jis šiame lapelyje nenurodytas), kreipkitės į gydytoją arba vaistininką.</w:t>
      </w:r>
      <w:r>
        <w:rPr>
          <w:rFonts w:ascii="Times New Roman" w:eastAsia="Times New Roman" w:hAnsi="Times New Roman"/>
          <w:lang w:val="lt-LT"/>
        </w:rPr>
        <w:t xml:space="preserve"> </w:t>
      </w:r>
      <w:r>
        <w:rPr>
          <w:rFonts w:ascii="Times New Roman" w:eastAsia="Times New Roman" w:hAnsi="Times New Roman"/>
          <w:noProof/>
          <w:lang w:val="lt-LT"/>
        </w:rPr>
        <w:t>Žr. 4 skyrių</w:t>
      </w:r>
      <w:r>
        <w:rPr>
          <w:rFonts w:ascii="Times New Roman" w:hAnsi="Times New Roman"/>
          <w:lang w:val="lt-LT"/>
        </w:rPr>
        <w:t>.</w:t>
      </w: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spacing w:after="0" w:line="240" w:lineRule="auto"/>
        <w:rPr>
          <w:rFonts w:ascii="Times New Roman" w:eastAsia="Times New Roman" w:hAnsi="Times New Roman"/>
          <w:b/>
          <w:lang w:val="lt-LT"/>
        </w:rPr>
      </w:pPr>
      <w:r>
        <w:rPr>
          <w:rFonts w:ascii="Times New Roman" w:eastAsia="Times New Roman" w:hAnsi="Times New Roman"/>
          <w:b/>
          <w:lang w:val="lt-LT"/>
        </w:rPr>
        <w:t>Apie ką rašoma šiame lapelyje?</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1.</w:t>
      </w:r>
      <w:r>
        <w:rPr>
          <w:rFonts w:ascii="Times New Roman" w:eastAsia="Times New Roman" w:hAnsi="Times New Roman"/>
          <w:lang w:val="lt-LT"/>
        </w:rPr>
        <w:tab/>
        <w:t>Kas yra Maxitrol ir kam jis vartojamas</w:t>
      </w:r>
    </w:p>
    <w:p w:rsidR="00343AE5" w:rsidRDefault="00343AE5" w:rsidP="00343AE5">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2.</w:t>
      </w:r>
      <w:r>
        <w:rPr>
          <w:rFonts w:ascii="Times New Roman" w:eastAsia="Times New Roman" w:hAnsi="Times New Roman"/>
          <w:lang w:val="lt-LT"/>
        </w:rPr>
        <w:tab/>
        <w:t>Kas žinotina prieš vartojant Maxitrol</w:t>
      </w:r>
    </w:p>
    <w:p w:rsidR="00343AE5" w:rsidRDefault="00343AE5" w:rsidP="00343AE5">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3.</w:t>
      </w:r>
      <w:r>
        <w:rPr>
          <w:rFonts w:ascii="Times New Roman" w:eastAsia="Times New Roman" w:hAnsi="Times New Roman"/>
          <w:lang w:val="lt-LT"/>
        </w:rPr>
        <w:tab/>
        <w:t>Kaip vartoti Maxitrol</w:t>
      </w:r>
    </w:p>
    <w:p w:rsidR="00343AE5" w:rsidRDefault="00343AE5" w:rsidP="00343AE5">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4.</w:t>
      </w:r>
      <w:r>
        <w:rPr>
          <w:rFonts w:ascii="Times New Roman" w:eastAsia="Times New Roman" w:hAnsi="Times New Roman"/>
          <w:lang w:val="lt-LT"/>
        </w:rPr>
        <w:tab/>
        <w:t>Galimas šalutinis poveikis</w:t>
      </w:r>
    </w:p>
    <w:p w:rsidR="00343AE5" w:rsidRDefault="00343AE5" w:rsidP="00343AE5">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5.</w:t>
      </w:r>
      <w:r>
        <w:rPr>
          <w:rFonts w:ascii="Times New Roman" w:eastAsia="Times New Roman" w:hAnsi="Times New Roman"/>
          <w:lang w:val="lt-LT"/>
        </w:rPr>
        <w:tab/>
        <w:t>Kaip laikyti Maxitrol</w:t>
      </w:r>
    </w:p>
    <w:p w:rsidR="00343AE5" w:rsidRDefault="00343AE5" w:rsidP="00343AE5">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6.</w:t>
      </w:r>
      <w:r>
        <w:rPr>
          <w:rFonts w:ascii="Times New Roman" w:eastAsia="Times New Roman" w:hAnsi="Times New Roman"/>
          <w:lang w:val="lt-LT"/>
        </w:rPr>
        <w:tab/>
        <w:t>Pakuotės turinys ir kita informacija</w:t>
      </w: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keepNext/>
        <w:tabs>
          <w:tab w:val="left" w:pos="567"/>
        </w:tabs>
        <w:spacing w:after="0" w:line="240" w:lineRule="auto"/>
        <w:ind w:left="567" w:hanging="567"/>
        <w:outlineLvl w:val="1"/>
        <w:rPr>
          <w:rFonts w:ascii="Times New Roman" w:eastAsia="Times New Roman" w:hAnsi="Times New Roman"/>
          <w:b/>
          <w:lang w:val="lt-LT"/>
        </w:rPr>
      </w:pPr>
      <w:r>
        <w:rPr>
          <w:rFonts w:ascii="Times New Roman" w:eastAsia="Times New Roman" w:hAnsi="Times New Roman"/>
          <w:b/>
          <w:lang w:val="lt-LT"/>
        </w:rPr>
        <w:t>1.</w:t>
      </w:r>
      <w:r>
        <w:rPr>
          <w:rFonts w:ascii="Times New Roman" w:eastAsia="Times New Roman" w:hAnsi="Times New Roman"/>
          <w:lang w:val="lt-LT" w:eastAsia="lt-LT"/>
        </w:rPr>
        <w:tab/>
      </w:r>
      <w:r>
        <w:rPr>
          <w:rFonts w:ascii="Times New Roman" w:eastAsia="Times New Roman" w:hAnsi="Times New Roman"/>
          <w:b/>
          <w:lang w:val="lt-LT"/>
        </w:rPr>
        <w:t>Kas yra Maxitrol ir kam jis vartojamas</w:t>
      </w: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Maxitrol sudėtyje yra trys komponentai: kortikosteroidas deksametazonas, kuris mažina akių uždegimo simptomus ir du antibiotikai - polimiksino B sulfatas ir neomicino sulfatas, kurie veikia prieš mikroorganizmus, galinčius infekuoti akis.</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Maxitrol vartojamas dėl akies infekcijos atsiradusiam lėtiniam blefaritui (akies voko uždegimui) gydyti, kurį sukėlė akies infekcija (mikroorganizmai, jautrūs neomicino sulfato ir polimiksino B deriniui).</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Maxitrol taip pat yra skiriamas gydyti akies uždegimą ir apsaugoti nuo infekcinio uždegimo po kataraktos operacijos ir intraokulinio lęšio implantavimo.</w:t>
      </w:r>
    </w:p>
    <w:p w:rsidR="00343AE5" w:rsidRDefault="00343AE5" w:rsidP="00343AE5">
      <w:pPr>
        <w:spacing w:after="0" w:line="240" w:lineRule="auto"/>
        <w:rPr>
          <w:rFonts w:ascii="Times New Roman" w:eastAsia="MS Mincho" w:hAnsi="Times New Roman"/>
          <w:lang w:val="lt-LT" w:eastAsia="ja-JP"/>
        </w:rPr>
      </w:pPr>
    </w:p>
    <w:p w:rsidR="00343AE5" w:rsidRDefault="00343AE5" w:rsidP="00343AE5">
      <w:pPr>
        <w:spacing w:after="0" w:line="240" w:lineRule="auto"/>
        <w:rPr>
          <w:rFonts w:ascii="Times New Roman" w:eastAsia="MS Mincho" w:hAnsi="Times New Roman"/>
          <w:lang w:val="lt-LT" w:eastAsia="ja-JP"/>
        </w:rPr>
      </w:pPr>
    </w:p>
    <w:p w:rsidR="00343AE5" w:rsidRDefault="00343AE5" w:rsidP="00343AE5">
      <w:pPr>
        <w:keepNext/>
        <w:tabs>
          <w:tab w:val="left" w:pos="567"/>
        </w:tabs>
        <w:spacing w:after="0" w:line="240" w:lineRule="auto"/>
        <w:ind w:left="567" w:hanging="567"/>
        <w:outlineLvl w:val="1"/>
        <w:rPr>
          <w:rFonts w:ascii="Times New Roman" w:eastAsia="Times New Roman" w:hAnsi="Times New Roman"/>
          <w:b/>
          <w:lang w:val="lt-LT"/>
        </w:rPr>
      </w:pPr>
      <w:r>
        <w:rPr>
          <w:rFonts w:ascii="Times New Roman" w:eastAsia="Times New Roman" w:hAnsi="Times New Roman"/>
          <w:b/>
          <w:lang w:val="lt-LT"/>
        </w:rPr>
        <w:t>2.</w:t>
      </w:r>
      <w:r>
        <w:rPr>
          <w:rFonts w:ascii="Times New Roman" w:eastAsia="Times New Roman" w:hAnsi="Times New Roman"/>
          <w:lang w:val="lt-LT" w:eastAsia="lt-LT"/>
        </w:rPr>
        <w:tab/>
      </w:r>
      <w:r>
        <w:rPr>
          <w:rFonts w:ascii="Times New Roman" w:eastAsia="Times New Roman" w:hAnsi="Times New Roman"/>
          <w:b/>
          <w:lang w:val="lt-LT"/>
        </w:rPr>
        <w:t>Kas žinotina prieš vartojant Maxitrol</w:t>
      </w:r>
    </w:p>
    <w:p w:rsidR="00343AE5" w:rsidRDefault="00343AE5" w:rsidP="00343AE5">
      <w:pPr>
        <w:keepNext/>
        <w:spacing w:after="0" w:line="240" w:lineRule="auto"/>
        <w:outlineLvl w:val="0"/>
        <w:rPr>
          <w:rFonts w:ascii="Times New Roman" w:eastAsia="Times New Roman" w:hAnsi="Times New Roman"/>
          <w:b/>
          <w:lang w:val="lt-LT" w:eastAsia="lt-LT"/>
        </w:rPr>
      </w:pPr>
    </w:p>
    <w:p w:rsidR="00343AE5" w:rsidRDefault="00343AE5" w:rsidP="00343AE5">
      <w:pPr>
        <w:spacing w:after="0" w:line="240" w:lineRule="auto"/>
        <w:rPr>
          <w:rFonts w:ascii="Times New Roman" w:eastAsia="Times New Roman" w:hAnsi="Times New Roman"/>
          <w:b/>
          <w:bCs/>
          <w:lang w:val="lt-LT"/>
        </w:rPr>
      </w:pPr>
      <w:r>
        <w:rPr>
          <w:rFonts w:ascii="Times New Roman" w:eastAsia="Times New Roman" w:hAnsi="Times New Roman"/>
          <w:b/>
          <w:bCs/>
          <w:lang w:val="lt-LT"/>
        </w:rPr>
        <w:t>Maxitrol vartoti draudžiama, jeigu yra:</w:t>
      </w:r>
    </w:p>
    <w:p w:rsidR="00343AE5" w:rsidRDefault="00343AE5" w:rsidP="00343AE5">
      <w:pPr>
        <w:numPr>
          <w:ilvl w:val="0"/>
          <w:numId w:val="2"/>
        </w:num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alergija veikliosioms medžiagoms arba bet kuriai pagalbinei šio vaisto medžiagai (jos išvardytos 6 skyriuje);</w:t>
      </w:r>
    </w:p>
    <w:p w:rsidR="00343AE5" w:rsidRDefault="00343AE5" w:rsidP="00343AE5">
      <w:pPr>
        <w:numPr>
          <w:ilvl w:val="0"/>
          <w:numId w:val="2"/>
        </w:numPr>
        <w:tabs>
          <w:tab w:val="left" w:pos="567"/>
        </w:tabs>
        <w:spacing w:after="0" w:line="240" w:lineRule="auto"/>
        <w:ind w:left="567" w:hanging="567"/>
        <w:rPr>
          <w:rFonts w:ascii="Times New Roman" w:eastAsia="Times New Roman" w:hAnsi="Times New Roman"/>
          <w:lang w:val="lt-LT"/>
        </w:rPr>
      </w:pPr>
      <w:r w:rsidRPr="005E7193">
        <w:rPr>
          <w:rFonts w:ascii="Times New Roman" w:eastAsia="Times New Roman" w:hAnsi="Times New Roman"/>
          <w:i/>
          <w:iCs/>
          <w:lang w:val="lt-LT"/>
        </w:rPr>
        <w:t>H</w:t>
      </w:r>
      <w:r>
        <w:rPr>
          <w:rFonts w:ascii="Times New Roman" w:eastAsia="Times New Roman" w:hAnsi="Times New Roman"/>
          <w:i/>
          <w:lang w:val="lt-LT"/>
        </w:rPr>
        <w:t>erpes simplex</w:t>
      </w:r>
      <w:r>
        <w:rPr>
          <w:rFonts w:ascii="Times New Roman" w:eastAsia="Times New Roman" w:hAnsi="Times New Roman"/>
          <w:lang w:val="lt-LT"/>
        </w:rPr>
        <w:t xml:space="preserve"> keratitas, galvijiniai raupai, vėjaraupiai ir kitos akies virusinės ligos, </w:t>
      </w:r>
    </w:p>
    <w:p w:rsidR="00343AE5" w:rsidRDefault="00343AE5" w:rsidP="00343AE5">
      <w:pPr>
        <w:numPr>
          <w:ilvl w:val="0"/>
          <w:numId w:val="2"/>
        </w:num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grybelinės akių audinių ligos arba yra negydyta parazitinė akių infekcija;</w:t>
      </w:r>
    </w:p>
    <w:p w:rsidR="00343AE5" w:rsidRDefault="00343AE5" w:rsidP="00343AE5">
      <w:pPr>
        <w:numPr>
          <w:ilvl w:val="0"/>
          <w:numId w:val="2"/>
        </w:num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akies tuberkuliozė;</w:t>
      </w:r>
    </w:p>
    <w:p w:rsidR="00343AE5" w:rsidRDefault="00343AE5" w:rsidP="00343AE5">
      <w:pPr>
        <w:numPr>
          <w:ilvl w:val="0"/>
          <w:numId w:val="2"/>
        </w:num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neišgydyta bakterinė akies infekcija;</w:t>
      </w:r>
    </w:p>
    <w:p w:rsidR="00343AE5" w:rsidRDefault="00343AE5" w:rsidP="00343AE5">
      <w:pPr>
        <w:numPr>
          <w:ilvl w:val="0"/>
          <w:numId w:val="2"/>
        </w:num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akies raudonio priežastis nežinoma.</w:t>
      </w: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spacing w:after="0" w:line="240" w:lineRule="auto"/>
        <w:rPr>
          <w:rFonts w:ascii="Times New Roman" w:eastAsia="Times New Roman" w:hAnsi="Times New Roman"/>
          <w:b/>
          <w:bCs/>
          <w:lang w:val="lt-LT"/>
        </w:rPr>
      </w:pPr>
      <w:r>
        <w:rPr>
          <w:rFonts w:ascii="Times New Roman" w:eastAsia="Times New Roman" w:hAnsi="Times New Roman"/>
          <w:b/>
          <w:bCs/>
          <w:lang w:val="lt-LT"/>
        </w:rPr>
        <w:t>Įspėjimai ir atsargumo priemonės</w:t>
      </w:r>
    </w:p>
    <w:p w:rsidR="00343AE5" w:rsidRDefault="00343AE5" w:rsidP="00343AE5">
      <w:pPr>
        <w:numPr>
          <w:ilvl w:val="12"/>
          <w:numId w:val="0"/>
        </w:numPr>
        <w:spacing w:after="0" w:line="240" w:lineRule="auto"/>
        <w:ind w:right="-2"/>
        <w:rPr>
          <w:rFonts w:ascii="Times New Roman" w:eastAsia="Times New Roman" w:hAnsi="Times New Roman"/>
          <w:b/>
          <w:lang w:val="lt-LT" w:eastAsia="lt-LT"/>
        </w:rPr>
      </w:pPr>
      <w:r>
        <w:rPr>
          <w:rFonts w:ascii="Times New Roman" w:hAnsi="Times New Roman"/>
          <w:noProof/>
          <w:lang w:val="lt-LT"/>
        </w:rPr>
        <w:t>Pasitarkite su gydytoju arba vaistininku, prieš pradėdami vartoti Maxitrol:</w:t>
      </w:r>
    </w:p>
    <w:p w:rsidR="00343AE5" w:rsidRDefault="00343AE5" w:rsidP="00343AE5">
      <w:pPr>
        <w:widowControl w:val="0"/>
        <w:numPr>
          <w:ilvl w:val="0"/>
          <w:numId w:val="3"/>
        </w:numPr>
        <w:tabs>
          <w:tab w:val="num" w:pos="567"/>
        </w:tabs>
        <w:spacing w:after="0" w:line="240" w:lineRule="auto"/>
        <w:ind w:left="567" w:hanging="567"/>
        <w:rPr>
          <w:rFonts w:ascii="Times New Roman" w:eastAsia="Times New Roman" w:hAnsi="Times New Roman"/>
          <w:snapToGrid w:val="0"/>
          <w:lang w:val="lt-LT"/>
        </w:rPr>
      </w:pPr>
      <w:r>
        <w:rPr>
          <w:rFonts w:ascii="Times New Roman" w:eastAsia="Times New Roman" w:hAnsi="Times New Roman"/>
          <w:snapToGrid w:val="0"/>
          <w:lang w:val="lt-LT"/>
        </w:rPr>
        <w:t xml:space="preserve">Jei vartojant Maxitrol pasireiškia alerginė reakcija, nutraukite vaisto vartojimą ir pasitarkite su gydytoju. Alerginė reakcija gali būti įvairi (nuo vietinio niežėjimo ar odos paraudimo iki sunkios alerginės reakcijos (anafilaksinės reakcijos) ar sunkios odos reakcijos. Tokių alerginių reakcijų gali </w:t>
      </w:r>
      <w:r>
        <w:rPr>
          <w:rFonts w:ascii="Times New Roman" w:eastAsia="Times New Roman" w:hAnsi="Times New Roman"/>
          <w:snapToGrid w:val="0"/>
          <w:lang w:val="lt-LT"/>
        </w:rPr>
        <w:lastRenderedPageBreak/>
        <w:t>atsirasti ir vartojant kitokių tos pačios grupės vietinio ar sisteminio poveikio antibiotikų (aminoglikozidų).</w:t>
      </w:r>
    </w:p>
    <w:p w:rsidR="00343AE5" w:rsidRDefault="00343AE5" w:rsidP="00343AE5">
      <w:pPr>
        <w:widowControl w:val="0"/>
        <w:numPr>
          <w:ilvl w:val="0"/>
          <w:numId w:val="3"/>
        </w:numPr>
        <w:tabs>
          <w:tab w:val="num" w:pos="0"/>
        </w:tabs>
        <w:spacing w:after="0" w:line="240" w:lineRule="auto"/>
        <w:ind w:left="567" w:hanging="567"/>
        <w:rPr>
          <w:rFonts w:ascii="Times New Roman" w:eastAsia="Times New Roman" w:hAnsi="Times New Roman"/>
          <w:snapToGrid w:val="0"/>
          <w:spacing w:val="-2"/>
          <w:lang w:val="lt-LT"/>
        </w:rPr>
      </w:pPr>
      <w:r>
        <w:rPr>
          <w:rFonts w:ascii="Times New Roman" w:eastAsia="Times New Roman" w:hAnsi="Times New Roman"/>
          <w:snapToGrid w:val="0"/>
          <w:spacing w:val="-2"/>
          <w:lang w:val="lt-LT"/>
        </w:rPr>
        <w:t>Vartojant šio vaisto, gali pasireikšti odos paraudimas, dirginimas ir nemalonus pojūtis.</w:t>
      </w:r>
    </w:p>
    <w:p w:rsidR="00343AE5" w:rsidRDefault="00343AE5" w:rsidP="00343AE5">
      <w:pPr>
        <w:widowControl w:val="0"/>
        <w:numPr>
          <w:ilvl w:val="0"/>
          <w:numId w:val="3"/>
        </w:numPr>
        <w:tabs>
          <w:tab w:val="num" w:pos="0"/>
        </w:tabs>
        <w:spacing w:after="0" w:line="240" w:lineRule="auto"/>
        <w:ind w:left="567" w:hanging="567"/>
        <w:rPr>
          <w:rFonts w:ascii="Times New Roman" w:eastAsia="Times New Roman" w:hAnsi="Times New Roman"/>
          <w:snapToGrid w:val="0"/>
          <w:spacing w:val="-2"/>
          <w:lang w:val="lt-LT"/>
        </w:rPr>
      </w:pPr>
      <w:r>
        <w:rPr>
          <w:rFonts w:ascii="Times New Roman" w:eastAsia="Times New Roman" w:hAnsi="Times New Roman"/>
          <w:snapToGrid w:val="0"/>
          <w:spacing w:val="-2"/>
          <w:lang w:val="lt-LT"/>
        </w:rPr>
        <w:t>Jei kartu su Maxitrol vartojate kitokių antibiotikų, pasitarkite su gydytoju.</w:t>
      </w:r>
    </w:p>
    <w:p w:rsidR="00343AE5" w:rsidRDefault="00343AE5" w:rsidP="00343AE5">
      <w:pPr>
        <w:widowControl w:val="0"/>
        <w:numPr>
          <w:ilvl w:val="0"/>
          <w:numId w:val="3"/>
        </w:numPr>
        <w:tabs>
          <w:tab w:val="num" w:pos="0"/>
        </w:tabs>
        <w:spacing w:after="0" w:line="240" w:lineRule="auto"/>
        <w:ind w:left="567" w:hanging="567"/>
        <w:rPr>
          <w:rFonts w:ascii="Times New Roman" w:eastAsia="Times New Roman" w:hAnsi="Times New Roman"/>
          <w:snapToGrid w:val="0"/>
          <w:spacing w:val="-2"/>
          <w:lang w:val="lt-LT"/>
        </w:rPr>
      </w:pPr>
      <w:r>
        <w:rPr>
          <w:rFonts w:ascii="Times New Roman" w:eastAsia="Times New Roman" w:hAnsi="Times New Roman"/>
          <w:snapToGrid w:val="0"/>
          <w:spacing w:val="-2"/>
          <w:lang w:val="lt-LT"/>
        </w:rPr>
        <w:t>Jei</w:t>
      </w:r>
      <w:r>
        <w:rPr>
          <w:rFonts w:ascii="Times New Roman" w:eastAsia="Times New Roman" w:hAnsi="Times New Roman"/>
          <w:snapToGrid w:val="0"/>
          <w:lang w:val="lt-LT"/>
        </w:rPr>
        <w:t xml:space="preserve"> Maxitrol vartojate ilgai, gali:</w:t>
      </w:r>
    </w:p>
    <w:p w:rsidR="00343AE5" w:rsidRDefault="00343AE5" w:rsidP="00343AE5">
      <w:pPr>
        <w:widowControl w:val="0"/>
        <w:numPr>
          <w:ilvl w:val="1"/>
          <w:numId w:val="3"/>
        </w:numPr>
        <w:tabs>
          <w:tab w:val="num" w:pos="567"/>
        </w:tabs>
        <w:spacing w:after="0" w:line="240" w:lineRule="auto"/>
        <w:ind w:left="1134" w:hanging="567"/>
        <w:rPr>
          <w:rFonts w:ascii="Times New Roman" w:eastAsia="Times New Roman" w:hAnsi="Times New Roman"/>
          <w:snapToGrid w:val="0"/>
          <w:spacing w:val="-2"/>
          <w:lang w:val="lt-LT"/>
        </w:rPr>
      </w:pPr>
      <w:r>
        <w:rPr>
          <w:rFonts w:ascii="Times New Roman" w:eastAsia="Times New Roman" w:hAnsi="Times New Roman"/>
          <w:snapToGrid w:val="0"/>
          <w:spacing w:val="-2"/>
          <w:lang w:val="lt-LT"/>
        </w:rPr>
        <w:t>padidėti akies (-ių) akispūdis.</w:t>
      </w:r>
      <w:r>
        <w:rPr>
          <w:rFonts w:ascii="Times New Roman" w:eastAsia="Times New Roman" w:hAnsi="Times New Roman"/>
          <w:snapToGrid w:val="0"/>
          <w:lang w:val="lt-LT"/>
        </w:rPr>
        <w:t xml:space="preserve"> Maxitrol vartojimo laikotarpiu turi būti reguliariai matuojamas akispūdis. Tai ypač svarbu vaikams ir paaugliams, nes jiems kortikosteroidų sukeltos glaukomos rizika yra didesnė ir šis sutrikimas gali pasireikšti anksčiau nei suaugusiems žmonėms; kortikosteroidų sukelto akispūdžio padidėjimo ir (arba) kataraktos rizika yra didesnė polinkį minėtų sutrikimų atsiradimui turintiems pacientams, pvz., sergantiems cukriniu diabetu;</w:t>
      </w:r>
    </w:p>
    <w:p w:rsidR="00343AE5" w:rsidRDefault="00343AE5" w:rsidP="00343AE5">
      <w:pPr>
        <w:widowControl w:val="0"/>
        <w:numPr>
          <w:ilvl w:val="1"/>
          <w:numId w:val="3"/>
        </w:numPr>
        <w:tabs>
          <w:tab w:val="left" w:pos="-1440"/>
          <w:tab w:val="left" w:pos="-720"/>
          <w:tab w:val="num" w:pos="1134"/>
          <w:tab w:val="left" w:pos="2736"/>
          <w:tab w:val="left" w:pos="3504"/>
          <w:tab w:val="left" w:pos="4896"/>
          <w:tab w:val="left" w:pos="6480"/>
          <w:tab w:val="left" w:pos="6947"/>
        </w:tabs>
        <w:suppressAutoHyphens/>
        <w:spacing w:after="0" w:line="240" w:lineRule="auto"/>
        <w:ind w:hanging="873"/>
        <w:jc w:val="both"/>
        <w:rPr>
          <w:rFonts w:ascii="Times New Roman" w:eastAsia="Times New Roman" w:hAnsi="Times New Roman"/>
          <w:snapToGrid w:val="0"/>
          <w:lang w:val="lt-LT"/>
        </w:rPr>
      </w:pPr>
      <w:r>
        <w:rPr>
          <w:rFonts w:ascii="Times New Roman" w:eastAsia="Times New Roman" w:hAnsi="Times New Roman"/>
          <w:snapToGrid w:val="0"/>
          <w:spacing w:val="-2"/>
          <w:lang w:val="lt-LT"/>
        </w:rPr>
        <w:t>pasireikšti katarakta;</w:t>
      </w:r>
    </w:p>
    <w:p w:rsidR="00343AE5" w:rsidRDefault="00343AE5" w:rsidP="00343AE5">
      <w:pPr>
        <w:widowControl w:val="0"/>
        <w:numPr>
          <w:ilvl w:val="0"/>
          <w:numId w:val="4"/>
        </w:numPr>
        <w:tabs>
          <w:tab w:val="num" w:pos="567"/>
        </w:tabs>
        <w:spacing w:after="0" w:line="240" w:lineRule="auto"/>
        <w:ind w:left="1134" w:hanging="567"/>
        <w:rPr>
          <w:rFonts w:ascii="Times New Roman" w:eastAsia="Times New Roman" w:hAnsi="Times New Roman"/>
          <w:snapToGrid w:val="0"/>
          <w:lang w:val="lt-LT"/>
        </w:rPr>
      </w:pPr>
      <w:r>
        <w:rPr>
          <w:rFonts w:ascii="Times New Roman" w:eastAsia="Times New Roman" w:hAnsi="Times New Roman"/>
          <w:snapToGrid w:val="0"/>
          <w:lang w:val="lt-LT"/>
        </w:rPr>
        <w:t>padidėti jautrumas akių infekcijoms;</w:t>
      </w:r>
    </w:p>
    <w:p w:rsidR="00343AE5" w:rsidRDefault="00343AE5" w:rsidP="00343AE5">
      <w:pPr>
        <w:widowControl w:val="0"/>
        <w:numPr>
          <w:ilvl w:val="0"/>
          <w:numId w:val="4"/>
        </w:numPr>
        <w:spacing w:after="0" w:line="240" w:lineRule="auto"/>
        <w:ind w:left="1134" w:hanging="567"/>
        <w:rPr>
          <w:rFonts w:ascii="Times New Roman" w:eastAsia="Times New Roman" w:hAnsi="Times New Roman"/>
          <w:snapToGrid w:val="0"/>
          <w:lang w:val="lt-LT"/>
        </w:rPr>
      </w:pPr>
      <w:r>
        <w:rPr>
          <w:rFonts w:ascii="Times New Roman" w:eastAsia="Times New Roman" w:hAnsi="Times New Roman"/>
          <w:snapToGrid w:val="0"/>
          <w:lang w:val="lt-LT"/>
        </w:rPr>
        <w:t>dėl vaisto patekimo į kraują pasireikšti Kušingo sindromas. Pasakykite gydytojui, jeigu atsiranda patinimas ir kūno svorio padidėjimas liemens ir veido srityje, kadangi parastai tai yra pirmieji sindromo, vadinamo Kušingo sindromu, požymiai. Nutraukus ilgalaikį arba intensyvų gydymą Maxitrol, gali pasireikšti antinksčių liaukų funkcijos slopinimas. Jeigu nuspręsite nutraukti gydymą, prieš tai pasitarkite su gydytoju. Tokia rizika yra ypač svarbi vaikams ir pacientams, kurie yra gydomi vaistais, vadinamais ritonaviru arba kobicistatu.</w:t>
      </w:r>
    </w:p>
    <w:p w:rsidR="00343AE5" w:rsidRDefault="00343AE5" w:rsidP="00343AE5">
      <w:pPr>
        <w:widowControl w:val="0"/>
        <w:numPr>
          <w:ilvl w:val="0"/>
          <w:numId w:val="3"/>
        </w:numPr>
        <w:tabs>
          <w:tab w:val="num" w:pos="0"/>
        </w:tabs>
        <w:spacing w:after="0" w:line="240" w:lineRule="auto"/>
        <w:ind w:left="567" w:hanging="567"/>
        <w:rPr>
          <w:rFonts w:ascii="Times New Roman" w:eastAsia="Times New Roman" w:hAnsi="Times New Roman"/>
          <w:snapToGrid w:val="0"/>
          <w:lang w:val="lt-LT"/>
        </w:rPr>
      </w:pPr>
      <w:r>
        <w:rPr>
          <w:rFonts w:ascii="Times New Roman" w:eastAsia="Times New Roman" w:hAnsi="Times New Roman"/>
          <w:snapToGrid w:val="0"/>
          <w:lang w:val="lt-LT"/>
        </w:rPr>
        <w:t>Jei Jūsų simptomai pasunkėja ar staiga atsinaujina, pasitarkite su gydytoju. Vartojant šį vaistą, galite tapti jautresnis akių infekcijai.</w:t>
      </w:r>
    </w:p>
    <w:p w:rsidR="00343AE5" w:rsidRDefault="00343AE5" w:rsidP="00343AE5">
      <w:pPr>
        <w:numPr>
          <w:ilvl w:val="0"/>
          <w:numId w:val="3"/>
        </w:numPr>
        <w:tabs>
          <w:tab w:val="num" w:pos="0"/>
        </w:tabs>
        <w:spacing w:after="0" w:line="240" w:lineRule="auto"/>
        <w:ind w:left="567" w:hanging="567"/>
        <w:rPr>
          <w:rFonts w:ascii="Times New Roman" w:eastAsia="Times New Roman" w:hAnsi="Times New Roman"/>
          <w:snapToGrid w:val="0"/>
          <w:lang w:val="lt-LT"/>
        </w:rPr>
      </w:pPr>
      <w:r>
        <w:rPr>
          <w:rFonts w:ascii="Times New Roman" w:eastAsia="Times New Roman" w:hAnsi="Times New Roman"/>
          <w:snapToGrid w:val="0"/>
          <w:lang w:val="lt-LT"/>
        </w:rPr>
        <w:t>Ant akių vartojami kortikosteroidai gali lėtinti akių žaizdų gijimą. Be to, žinoma, kad gijimą lėtina arba vėlina lokaliai vartojami nesteroidiniai vaistai nuo uždegimo (NVNU). Jei tuo pat metu vartojama lokalaus poveikio NVNU ir kortikosteroidų, gali didėti gijimo sutrikimų rizika.</w:t>
      </w:r>
    </w:p>
    <w:p w:rsidR="00343AE5" w:rsidRDefault="00343AE5" w:rsidP="00343AE5">
      <w:pPr>
        <w:widowControl w:val="0"/>
        <w:numPr>
          <w:ilvl w:val="0"/>
          <w:numId w:val="3"/>
        </w:numPr>
        <w:tabs>
          <w:tab w:val="num" w:pos="0"/>
        </w:tabs>
        <w:spacing w:after="0" w:line="240" w:lineRule="auto"/>
        <w:ind w:left="567" w:hanging="567"/>
        <w:rPr>
          <w:rFonts w:ascii="Times New Roman" w:eastAsia="Times New Roman" w:hAnsi="Times New Roman"/>
          <w:snapToGrid w:val="0"/>
          <w:lang w:val="lt-LT"/>
        </w:rPr>
      </w:pPr>
      <w:r>
        <w:rPr>
          <w:rFonts w:ascii="Times New Roman" w:eastAsia="Times New Roman" w:hAnsi="Times New Roman"/>
          <w:snapToGrid w:val="0"/>
          <w:lang w:val="lt-LT"/>
        </w:rPr>
        <w:t>Jei Jums yra sutrikimas, sukeliantis akies audinių suplonėjimą, prieš šio vaisto vartojimą pasitarkite su gydytoju arba vaistininku.</w:t>
      </w:r>
    </w:p>
    <w:p w:rsidR="00343AE5" w:rsidRDefault="00343AE5" w:rsidP="00343AE5">
      <w:pPr>
        <w:widowControl w:val="0"/>
        <w:numPr>
          <w:ilvl w:val="0"/>
          <w:numId w:val="3"/>
        </w:numPr>
        <w:tabs>
          <w:tab w:val="left" w:pos="0"/>
        </w:tabs>
        <w:spacing w:after="0" w:line="240" w:lineRule="auto"/>
        <w:ind w:left="567" w:hanging="567"/>
        <w:rPr>
          <w:rFonts w:ascii="Times New Roman" w:eastAsia="Times New Roman" w:hAnsi="Times New Roman"/>
          <w:snapToGrid w:val="0"/>
          <w:spacing w:val="-2"/>
          <w:lang w:val="lt-LT"/>
        </w:rPr>
      </w:pPr>
      <w:r>
        <w:rPr>
          <w:rFonts w:ascii="Times New Roman" w:eastAsia="Times New Roman" w:hAnsi="Times New Roman"/>
          <w:snapToGrid w:val="0"/>
          <w:spacing w:val="-2"/>
          <w:lang w:val="lt-LT"/>
        </w:rPr>
        <w:t>Jei nešiojate kontaktinius lęšius:</w:t>
      </w:r>
    </w:p>
    <w:p w:rsidR="00343AE5" w:rsidRDefault="00343AE5" w:rsidP="00343AE5">
      <w:pPr>
        <w:widowControl w:val="0"/>
        <w:numPr>
          <w:ilvl w:val="1"/>
          <w:numId w:val="3"/>
        </w:numPr>
        <w:tabs>
          <w:tab w:val="left" w:pos="426"/>
          <w:tab w:val="num" w:pos="567"/>
        </w:tabs>
        <w:spacing w:after="0" w:line="240" w:lineRule="auto"/>
        <w:ind w:left="1134" w:hanging="567"/>
        <w:rPr>
          <w:rFonts w:ascii="Times New Roman" w:eastAsia="Times New Roman" w:hAnsi="Times New Roman"/>
          <w:snapToGrid w:val="0"/>
          <w:spacing w:val="-2"/>
          <w:lang w:val="lt-LT"/>
        </w:rPr>
      </w:pPr>
      <w:r>
        <w:rPr>
          <w:rFonts w:ascii="Times New Roman" w:eastAsia="Times New Roman" w:hAnsi="Times New Roman"/>
          <w:snapToGrid w:val="0"/>
          <w:spacing w:val="-2"/>
          <w:lang w:val="lt-LT"/>
        </w:rPr>
        <w:t>akių uždegimo ar infekcinės ligos gydymo metu kontaktinių lęšių (kietųjų ar minkštųjų) nešioti nerekomenduojama.</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Jeigu pradėtumėte matyti lyg per miglą arba jums pasireikštų kitų regėjimo sutrikimų, kreipkitės į savo gydytoją.</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b/>
          <w:szCs w:val="20"/>
          <w:lang w:val="lt-LT" w:eastAsia="lt-LT"/>
        </w:rPr>
      </w:pPr>
      <w:r>
        <w:rPr>
          <w:rFonts w:ascii="Times New Roman" w:eastAsia="Times New Roman" w:hAnsi="Times New Roman"/>
          <w:b/>
          <w:szCs w:val="20"/>
          <w:lang w:val="lt-LT" w:eastAsia="lt-LT"/>
        </w:rPr>
        <w:t>Vaikams ir paaugliams</w:t>
      </w:r>
    </w:p>
    <w:p w:rsidR="00343AE5" w:rsidRDefault="00343AE5" w:rsidP="00343AE5">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Maxitrol nerekomenduojama vartoti vaikams ir paaugliams, kadangi yra abejonių dėl saugumo ir veiksmingumo.</w:t>
      </w: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spacing w:after="0" w:line="240" w:lineRule="auto"/>
        <w:rPr>
          <w:rFonts w:ascii="Times New Roman" w:eastAsia="Times New Roman" w:hAnsi="Times New Roman"/>
          <w:b/>
          <w:bCs/>
          <w:lang w:val="lt-LT"/>
        </w:rPr>
      </w:pPr>
      <w:r>
        <w:rPr>
          <w:rFonts w:ascii="Times New Roman" w:eastAsia="Times New Roman" w:hAnsi="Times New Roman"/>
          <w:b/>
          <w:bCs/>
          <w:lang w:val="lt-LT"/>
        </w:rPr>
        <w:t>Kiti vaistai ir Maxitrol</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 xml:space="preserve">Jeigu vartojate ar neseniai vartojote kitų vaistų arba dėl to nesate tikri, apie tai pasakykite gydytojui arba vaistininkui. </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Būtinai pasakykite savo gydytojui:</w:t>
      </w:r>
    </w:p>
    <w:p w:rsidR="00343AE5" w:rsidRDefault="00343AE5" w:rsidP="00343AE5">
      <w:pPr>
        <w:numPr>
          <w:ilvl w:val="0"/>
          <w:numId w:val="5"/>
        </w:numPr>
        <w:spacing w:after="0" w:line="240" w:lineRule="auto"/>
        <w:ind w:left="567" w:hanging="567"/>
        <w:contextualSpacing/>
        <w:rPr>
          <w:rFonts w:ascii="Times New Roman" w:eastAsia="Times New Roman" w:hAnsi="Times New Roman"/>
          <w:szCs w:val="20"/>
          <w:lang w:val="lt-LT" w:eastAsia="lt-LT"/>
        </w:rPr>
      </w:pPr>
      <w:r>
        <w:rPr>
          <w:rFonts w:ascii="Times New Roman" w:eastAsia="Times New Roman" w:hAnsi="Times New Roman"/>
          <w:szCs w:val="20"/>
          <w:lang w:val="lt-LT" w:eastAsia="lt-LT"/>
        </w:rPr>
        <w:t>jeigu vartojate kitą bendrinio poveikio geriamąjį ar lokaliai vartojamą vaistą, kuris gali pažeisti nervų sistemą, klausą ar inkstus;</w:t>
      </w:r>
    </w:p>
    <w:p w:rsidR="00343AE5" w:rsidRDefault="00343AE5" w:rsidP="00343AE5">
      <w:pPr>
        <w:numPr>
          <w:ilvl w:val="0"/>
          <w:numId w:val="5"/>
        </w:numPr>
        <w:spacing w:after="0" w:line="240" w:lineRule="auto"/>
        <w:ind w:left="567" w:hanging="567"/>
        <w:contextualSpacing/>
        <w:rPr>
          <w:rFonts w:ascii="Times New Roman" w:eastAsia="MS Mincho" w:hAnsi="Times New Roman"/>
          <w:szCs w:val="20"/>
          <w:lang w:val="lt-LT" w:eastAsia="ja-JP"/>
        </w:rPr>
      </w:pPr>
      <w:r>
        <w:rPr>
          <w:rFonts w:ascii="Times New Roman" w:eastAsia="Times New Roman" w:hAnsi="Times New Roman"/>
          <w:szCs w:val="20"/>
          <w:lang w:val="lt-LT" w:eastAsia="lt-LT"/>
        </w:rPr>
        <w:t>jeigu kartu vartojama lokalaus poveikio NVNU ir kortikosteroidų, gali didėti žaizdų gijimo sutrikimų rizika;</w:t>
      </w:r>
    </w:p>
    <w:p w:rsidR="00343AE5" w:rsidRDefault="00343AE5" w:rsidP="00343AE5">
      <w:pPr>
        <w:numPr>
          <w:ilvl w:val="0"/>
          <w:numId w:val="5"/>
        </w:numPr>
        <w:spacing w:after="0" w:line="240" w:lineRule="auto"/>
        <w:ind w:left="567" w:hanging="567"/>
        <w:contextualSpacing/>
        <w:rPr>
          <w:rFonts w:ascii="Times New Roman" w:eastAsia="Times New Roman" w:hAnsi="Times New Roman"/>
          <w:lang w:val="lt-LT"/>
        </w:rPr>
      </w:pPr>
      <w:r>
        <w:rPr>
          <w:rFonts w:ascii="Times New Roman" w:eastAsia="Times New Roman" w:hAnsi="Times New Roman"/>
          <w:lang w:val="lt-LT"/>
        </w:rPr>
        <w:t>jeigu vartojate ritonavirą arba kobicistatą, kadangi tai gali didinti deksametazono kiekį kraujyje.</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b/>
          <w:bCs/>
          <w:lang w:val="lt-LT"/>
        </w:rPr>
      </w:pPr>
      <w:r>
        <w:rPr>
          <w:rFonts w:ascii="Times New Roman" w:eastAsia="Times New Roman" w:hAnsi="Times New Roman"/>
          <w:b/>
          <w:bCs/>
          <w:lang w:val="lt-LT"/>
        </w:rPr>
        <w:t>Nėštumas ir žindymo laikotarpis</w:t>
      </w:r>
    </w:p>
    <w:p w:rsidR="00343AE5" w:rsidRDefault="00343AE5" w:rsidP="00343AE5">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Jeigu esate nėščia, žindote kūdikį, manote, kad galbūt esate nėščia arba planuojate pastoti, tai prieš vartodama šį vaistą pasitarkite su gydytoju arba vaistininku.</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MS Mincho" w:hAnsi="Times New Roman"/>
          <w:lang w:val="lt-LT" w:eastAsia="ja-JP"/>
        </w:rPr>
      </w:pPr>
      <w:r>
        <w:rPr>
          <w:rFonts w:ascii="Times New Roman" w:eastAsia="Times New Roman" w:hAnsi="Times New Roman"/>
          <w:lang w:val="lt-LT"/>
        </w:rPr>
        <w:t>Maxitrol nėštumo ir žindymo laikotarpiu vartoti nerekomenduojama</w:t>
      </w:r>
      <w:r>
        <w:rPr>
          <w:rFonts w:ascii="Times New Roman" w:eastAsia="MS Mincho" w:hAnsi="Times New Roman"/>
          <w:lang w:val="lt-LT" w:eastAsia="ja-JP"/>
        </w:rPr>
        <w:t>.</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b/>
          <w:bCs/>
          <w:lang w:val="lt-LT"/>
        </w:rPr>
      </w:pPr>
      <w:r>
        <w:rPr>
          <w:rFonts w:ascii="Times New Roman" w:eastAsia="Times New Roman" w:hAnsi="Times New Roman"/>
          <w:b/>
          <w:bCs/>
          <w:lang w:val="lt-LT"/>
        </w:rPr>
        <w:t>Vairavimas ir mechanizmų valdymas</w:t>
      </w:r>
    </w:p>
    <w:p w:rsidR="00343AE5" w:rsidRDefault="00343AE5" w:rsidP="00343AE5">
      <w:pPr>
        <w:keepNext/>
        <w:keepLines/>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Maxitrol gebėjimo vairuoti ir valdyti mechanizmus neveikia arba veikia nereikšmingai.</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 xml:space="preserve">Įsilašinus Maxitrol regėjimas kuriam laikui gali pasidaryti miglotas. Nevairuokite automobilio ir nedirbkite su mechanizmais, kol regėjimas pagerės. </w:t>
      </w: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keepNext/>
        <w:keepLines/>
        <w:spacing w:after="0" w:line="240" w:lineRule="auto"/>
        <w:rPr>
          <w:rFonts w:ascii="Times New Roman" w:eastAsia="Times New Roman" w:hAnsi="Times New Roman"/>
          <w:b/>
          <w:bCs/>
          <w:lang w:val="lt-LT"/>
        </w:rPr>
      </w:pPr>
      <w:r>
        <w:rPr>
          <w:rFonts w:ascii="Times New Roman" w:eastAsia="Times New Roman" w:hAnsi="Times New Roman"/>
          <w:b/>
          <w:bCs/>
          <w:lang w:val="lt-LT"/>
        </w:rPr>
        <w:t>Maxitrol sudėtyje yra benzalkonio chlorido</w:t>
      </w:r>
    </w:p>
    <w:p w:rsidR="00343AE5" w:rsidRDefault="00343AE5" w:rsidP="00343AE5">
      <w:pPr>
        <w:keepNext/>
        <w:keepLines/>
        <w:spacing w:after="0" w:line="240" w:lineRule="auto"/>
        <w:rPr>
          <w:rFonts w:ascii="Times New Roman" w:eastAsia="Times New Roman" w:hAnsi="Times New Roman"/>
          <w:bCs/>
          <w:lang w:val="lt-LT"/>
        </w:rPr>
      </w:pPr>
      <w:r>
        <w:rPr>
          <w:rFonts w:ascii="Times New Roman" w:eastAsia="Times New Roman" w:hAnsi="Times New Roman"/>
          <w:bCs/>
          <w:lang w:val="lt-LT"/>
        </w:rPr>
        <w:t>5 ml šio vaisto yra 0,</w:t>
      </w:r>
      <w:r>
        <w:rPr>
          <w:rFonts w:ascii="Times New Roman" w:eastAsia="Times New Roman" w:hAnsi="Times New Roman"/>
          <w:bCs/>
        </w:rPr>
        <w:t>2</w:t>
      </w:r>
      <w:r>
        <w:rPr>
          <w:rFonts w:ascii="Times New Roman" w:eastAsia="Times New Roman" w:hAnsi="Times New Roman"/>
          <w:bCs/>
          <w:lang w:val="lt-LT"/>
        </w:rPr>
        <w:t> mg benzalkonio chlorido, tai atitinka 0,04 mg/ml.</w:t>
      </w:r>
    </w:p>
    <w:p w:rsidR="00343AE5" w:rsidRDefault="00343AE5" w:rsidP="00343AE5">
      <w:pPr>
        <w:keepNext/>
        <w:keepLines/>
        <w:spacing w:after="0" w:line="240" w:lineRule="auto"/>
        <w:rPr>
          <w:rFonts w:ascii="Times New Roman" w:eastAsia="Times New Roman" w:hAnsi="Times New Roman"/>
          <w:bCs/>
          <w:lang w:val="lt-LT"/>
        </w:rPr>
      </w:pPr>
      <w:r>
        <w:rPr>
          <w:rFonts w:ascii="Times New Roman" w:eastAsia="Times New Roman" w:hAnsi="Times New Roman"/>
          <w:bCs/>
          <w:lang w:val="lt-LT"/>
        </w:rPr>
        <w:t>Minkštieji kontaktiniai lęšiai gali absorbuoti benzalkonio chloridą ir gali pasikeisti kontaktinių lęšių spalva. Prieš šio vaisto vartojimą kontaktinius lęšius reikia išimti ir vėl juos galima įdėti ne anksčiau kaip po 15 min.</w:t>
      </w:r>
    </w:p>
    <w:p w:rsidR="00343AE5" w:rsidRDefault="00343AE5" w:rsidP="00343AE5">
      <w:pPr>
        <w:keepNext/>
        <w:keepLines/>
        <w:spacing w:after="0" w:line="240" w:lineRule="auto"/>
        <w:rPr>
          <w:rFonts w:ascii="Times New Roman" w:eastAsia="Times New Roman" w:hAnsi="Times New Roman"/>
          <w:bCs/>
          <w:lang w:val="lt-LT"/>
        </w:rPr>
      </w:pPr>
      <w:r>
        <w:rPr>
          <w:rFonts w:ascii="Times New Roman" w:eastAsia="Times New Roman" w:hAnsi="Times New Roman"/>
          <w:bCs/>
          <w:lang w:val="lt-LT"/>
        </w:rPr>
        <w:t>Benzalkonio chloridas gali sudirginti akis, ypač jei Jums yra akių sausmė ar ragenos (akies priekinę dalį gaubiančio skaidraus sluoksnio) pažeidimų. Jeigu pavartojus šio vaisto jaučiate nenormalų pojūtį akyje, deginimą ar skausmą, pasitarkite su gydytoju.</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MS Mincho" w:hAnsi="Times New Roman"/>
          <w:lang w:val="lt-LT" w:eastAsia="ja-JP"/>
        </w:rPr>
      </w:pPr>
    </w:p>
    <w:p w:rsidR="00343AE5" w:rsidRDefault="00343AE5" w:rsidP="00343AE5">
      <w:pPr>
        <w:keepNext/>
        <w:tabs>
          <w:tab w:val="left" w:pos="567"/>
        </w:tabs>
        <w:spacing w:after="0" w:line="240" w:lineRule="auto"/>
        <w:ind w:left="567" w:hanging="567"/>
        <w:outlineLvl w:val="1"/>
        <w:rPr>
          <w:rFonts w:ascii="Times New Roman" w:eastAsia="Times New Roman" w:hAnsi="Times New Roman"/>
          <w:b/>
          <w:lang w:val="lt-LT"/>
        </w:rPr>
      </w:pPr>
      <w:r>
        <w:rPr>
          <w:rFonts w:ascii="Times New Roman" w:eastAsia="Times New Roman" w:hAnsi="Times New Roman"/>
          <w:b/>
          <w:lang w:val="lt-LT"/>
        </w:rPr>
        <w:t>3.</w:t>
      </w:r>
      <w:r>
        <w:rPr>
          <w:rFonts w:ascii="Times New Roman" w:eastAsia="Times New Roman" w:hAnsi="Times New Roman"/>
          <w:b/>
          <w:lang w:val="lt-LT"/>
        </w:rPr>
        <w:tab/>
        <w:t>Kaip vartoti Maxitrol</w:t>
      </w: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 xml:space="preserve">Visada vartokite šį vaistą tiksliai, kaip nurodė gydytojas arba vaistininkas. Jeigu abejojate, kreipkitės į gydytoją arba vaistininką. </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i/>
          <w:lang w:val="lt-LT"/>
        </w:rPr>
      </w:pPr>
      <w:r>
        <w:rPr>
          <w:rFonts w:ascii="Times New Roman" w:eastAsia="Times New Roman" w:hAnsi="Times New Roman"/>
          <w:i/>
          <w:lang w:val="lt-LT"/>
        </w:rPr>
        <w:t>Suaugusiesiems, įskaitant senyvus pacientus</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 xml:space="preserve">Į kiekvieną nesveiką akį lašinti po vieną arba du lašus iki 4–6 kartų per parą (jei liga sunki, lašinti po vieną arba du lašus kas valandą; uždegimui rimstant lašinimą laipsniškai retinti ir nutraukti). </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i/>
          <w:lang w:val="lt-LT"/>
        </w:rPr>
      </w:pPr>
      <w:r>
        <w:rPr>
          <w:rFonts w:ascii="Times New Roman" w:eastAsia="Times New Roman" w:hAnsi="Times New Roman"/>
          <w:i/>
          <w:lang w:val="lt-LT"/>
        </w:rPr>
        <w:t>Pacientams, kurių kepenų ir inkstų veikla sutrikusi</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Šių pacientų gydymas Maxitrol lašais netirtas.</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Jūsų gydytojas pasakys, kaip ilgai Jums vartoti vaistą.</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Jeigu kartu vartojama kitokių akių lašų ar tepalo, tarp jų vartojimo reikia daryti mažiausiai 5 min. pertrauką. Akių tepalą reikia vartoti paskiausiai.</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Maxitrol lašinkite tik ant akių.</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Įsilašinus vaisto rekomenduojama užsimerkti ir pirštu užspausti nosinį ašarų lataką, kad sumažėtų po akių lašų pavartojimo į kraują patenkantis vaisto kiekis.</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keepNext/>
        <w:tabs>
          <w:tab w:val="left" w:pos="567"/>
        </w:tabs>
        <w:spacing w:after="0" w:line="240" w:lineRule="auto"/>
        <w:ind w:left="567" w:hanging="567"/>
        <w:outlineLvl w:val="1"/>
        <w:rPr>
          <w:rFonts w:ascii="Times New Roman" w:eastAsia="Times New Roman" w:hAnsi="Times New Roman"/>
          <w:lang w:val="lt-LT"/>
        </w:rPr>
      </w:pPr>
      <w:r>
        <w:rPr>
          <w:rFonts w:ascii="Times New Roman" w:eastAsia="Times New Roman" w:hAnsi="Times New Roman"/>
          <w:lang w:val="lt-LT"/>
        </w:rPr>
        <w:t>DAUGIAU PATARIMŲ – KITOJE LAPELIO PUSĖJE</w:t>
      </w: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Apverskite lapelį.</w:t>
      </w:r>
    </w:p>
    <w:p w:rsidR="00343AE5" w:rsidRDefault="00343AE5" w:rsidP="00343AE5">
      <w:pPr>
        <w:keepNext/>
        <w:tabs>
          <w:tab w:val="left" w:pos="567"/>
        </w:tabs>
        <w:spacing w:after="0" w:line="240" w:lineRule="auto"/>
        <w:outlineLvl w:val="1"/>
        <w:rPr>
          <w:rFonts w:ascii="Times New Roman" w:eastAsia="Times New Roman" w:hAnsi="Times New Roman"/>
          <w:b/>
          <w:lang w:val="lt-LT"/>
        </w:rPr>
      </w:pPr>
      <w:r>
        <w:rPr>
          <w:noProof/>
          <w:lang w:val="lt-LT" w:eastAsia="lt-LT"/>
        </w:rPr>
        <w:drawing>
          <wp:anchor distT="0" distB="0" distL="114300" distR="114300" simplePos="0" relativeHeight="251659264" behindDoc="0" locked="0" layoutInCell="1" allowOverlap="1" wp14:anchorId="1919A8DD" wp14:editId="086FEFDE">
            <wp:simplePos x="0" y="0"/>
            <wp:positionH relativeFrom="column">
              <wp:posOffset>4737735</wp:posOffset>
            </wp:positionH>
            <wp:positionV relativeFrom="paragraph">
              <wp:posOffset>413385</wp:posOffset>
            </wp:positionV>
            <wp:extent cx="1005840" cy="1002030"/>
            <wp:effectExtent l="0" t="0" r="3810" b="7620"/>
            <wp:wrapTopAndBottom/>
            <wp:docPr id="3" name="Picture 3" descr="pic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descr="pict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05840" cy="1002030"/>
                    </a:xfrm>
                    <a:prstGeom prst="rect">
                      <a:avLst/>
                    </a:prstGeom>
                    <a:noFill/>
                  </pic:spPr>
                </pic:pic>
              </a:graphicData>
            </a:graphic>
            <wp14:sizeRelH relativeFrom="page">
              <wp14:pctWidth>0</wp14:pctWidth>
            </wp14:sizeRelH>
            <wp14:sizeRelV relativeFrom="page">
              <wp14:pctHeight>0</wp14:pctHeight>
            </wp14:sizeRelV>
          </wp:anchor>
        </w:drawing>
      </w: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4.05pt;margin-top:32.55pt;width:89.6pt;height:90.25pt;z-index:-251654144;visibility:visible;mso-wrap-edited:f;mso-position-horizontal-relative:text;mso-position-vertical-relative:text" wrapcoords="-140 0 -140 21461 21600 21461 21600 0 -140 0" fillcolor="window">
            <v:imagedata r:id="rId6" o:title=""/>
          </v:shape>
          <o:OLEObject Type="Embed" ProgID="Word.Picture.8" ShapeID="_x0000_s1026" DrawAspect="Content" ObjectID="_1801375861" r:id="rId7"/>
        </w:object>
      </w:r>
    </w:p>
    <w:p w:rsidR="00343AE5" w:rsidRDefault="00343AE5" w:rsidP="00343AE5">
      <w:pPr>
        <w:spacing w:after="0" w:line="240" w:lineRule="auto"/>
        <w:rPr>
          <w:rFonts w:ascii="Times New Roman" w:eastAsia="Times New Roman" w:hAnsi="Times New Roman"/>
          <w:lang w:val="lt-LT" w:eastAsia="lt-LT"/>
        </w:rPr>
      </w:pPr>
      <w:r>
        <w:rPr>
          <w:noProof/>
          <w:lang w:val="lt-LT" w:eastAsia="lt-LT"/>
        </w:rPr>
        <w:drawing>
          <wp:anchor distT="0" distB="0" distL="114300" distR="114300" simplePos="0" relativeHeight="251660288" behindDoc="1" locked="0" layoutInCell="1" allowOverlap="1" wp14:anchorId="4951D95C" wp14:editId="640C83B9">
            <wp:simplePos x="0" y="0"/>
            <wp:positionH relativeFrom="column">
              <wp:posOffset>2908935</wp:posOffset>
            </wp:positionH>
            <wp:positionV relativeFrom="paragraph">
              <wp:posOffset>138430</wp:posOffset>
            </wp:positionV>
            <wp:extent cx="1737360" cy="1370330"/>
            <wp:effectExtent l="0" t="0" r="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37360" cy="1370330"/>
                    </a:xfrm>
                    <a:prstGeom prst="rect">
                      <a:avLst/>
                    </a:prstGeom>
                    <a:noFill/>
                  </pic:spPr>
                </pic:pic>
              </a:graphicData>
            </a:graphic>
            <wp14:sizeRelH relativeFrom="page">
              <wp14:pctWidth>0</wp14:pctWidth>
            </wp14:sizeRelH>
            <wp14:sizeRelV relativeFrom="page">
              <wp14:pctHeight>0</wp14:pctHeight>
            </wp14:sizeRelV>
          </wp:anchor>
        </w:drawing>
      </w:r>
      <w:r>
        <w:rPr>
          <w:noProof/>
          <w:lang w:val="lt-LT" w:eastAsia="lt-LT"/>
        </w:rPr>
        <w:drawing>
          <wp:anchor distT="0" distB="0" distL="114300" distR="114300" simplePos="0" relativeHeight="251661312" behindDoc="1" locked="0" layoutInCell="1" allowOverlap="1" wp14:anchorId="4F264039" wp14:editId="097AB9C1">
            <wp:simplePos x="0" y="0"/>
            <wp:positionH relativeFrom="column">
              <wp:posOffset>1194435</wp:posOffset>
            </wp:positionH>
            <wp:positionV relativeFrom="paragraph">
              <wp:posOffset>24130</wp:posOffset>
            </wp:positionV>
            <wp:extent cx="1828800" cy="1503045"/>
            <wp:effectExtent l="0" t="0" r="0"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0" cy="1503045"/>
                    </a:xfrm>
                    <a:prstGeom prst="rect">
                      <a:avLst/>
                    </a:prstGeom>
                    <a:noFill/>
                  </pic:spPr>
                </pic:pic>
              </a:graphicData>
            </a:graphic>
            <wp14:sizeRelH relativeFrom="page">
              <wp14:pctWidth>0</wp14:pctWidth>
            </wp14:sizeRelH>
            <wp14:sizeRelV relativeFrom="page">
              <wp14:pctHeight>0</wp14:pctHeight>
            </wp14:sizeRelV>
          </wp:anchor>
        </w:drawing>
      </w: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spacing w:after="0" w:line="240" w:lineRule="auto"/>
        <w:ind w:firstLine="720"/>
        <w:rPr>
          <w:rFonts w:ascii="Times New Roman" w:eastAsia="Times New Roman" w:hAnsi="Times New Roman"/>
          <w:lang w:val="lt-LT" w:eastAsia="lt-LT"/>
        </w:rPr>
      </w:pPr>
      <w:r>
        <w:rPr>
          <w:rFonts w:ascii="Times New Roman" w:eastAsia="Times New Roman" w:hAnsi="Times New Roman"/>
          <w:lang w:val="lt-LT" w:eastAsia="lt-LT"/>
        </w:rPr>
        <w:t>1</w:t>
      </w:r>
      <w:r>
        <w:rPr>
          <w:rFonts w:ascii="Times New Roman" w:eastAsia="Times New Roman" w:hAnsi="Times New Roman"/>
          <w:lang w:val="lt-LT" w:eastAsia="lt-LT"/>
        </w:rPr>
        <w:tab/>
      </w:r>
      <w:r>
        <w:rPr>
          <w:rFonts w:ascii="Times New Roman" w:eastAsia="Times New Roman" w:hAnsi="Times New Roman"/>
          <w:lang w:val="lt-LT" w:eastAsia="lt-LT"/>
        </w:rPr>
        <w:tab/>
      </w:r>
      <w:r>
        <w:rPr>
          <w:rFonts w:ascii="Times New Roman" w:eastAsia="Times New Roman" w:hAnsi="Times New Roman"/>
          <w:lang w:val="lt-LT" w:eastAsia="lt-LT"/>
        </w:rPr>
        <w:tab/>
        <w:t>2</w:t>
      </w:r>
      <w:r>
        <w:rPr>
          <w:rFonts w:ascii="Times New Roman" w:eastAsia="Times New Roman" w:hAnsi="Times New Roman"/>
          <w:lang w:val="lt-LT" w:eastAsia="lt-LT"/>
        </w:rPr>
        <w:tab/>
      </w:r>
      <w:r>
        <w:rPr>
          <w:rFonts w:ascii="Times New Roman" w:eastAsia="Times New Roman" w:hAnsi="Times New Roman"/>
          <w:lang w:val="lt-LT" w:eastAsia="lt-LT"/>
        </w:rPr>
        <w:tab/>
      </w:r>
      <w:r>
        <w:rPr>
          <w:rFonts w:ascii="Times New Roman" w:eastAsia="Times New Roman" w:hAnsi="Times New Roman"/>
          <w:lang w:val="lt-LT" w:eastAsia="lt-LT"/>
        </w:rPr>
        <w:tab/>
      </w:r>
      <w:r>
        <w:rPr>
          <w:rFonts w:ascii="Times New Roman" w:eastAsia="Times New Roman" w:hAnsi="Times New Roman"/>
          <w:lang w:val="lt-LT" w:eastAsia="lt-LT"/>
        </w:rPr>
        <w:tab/>
        <w:t>3</w:t>
      </w:r>
      <w:r>
        <w:rPr>
          <w:rFonts w:ascii="Times New Roman" w:eastAsia="Times New Roman" w:hAnsi="Times New Roman"/>
          <w:lang w:val="lt-LT" w:eastAsia="lt-LT"/>
        </w:rPr>
        <w:tab/>
      </w:r>
      <w:r>
        <w:rPr>
          <w:rFonts w:ascii="Times New Roman" w:eastAsia="Times New Roman" w:hAnsi="Times New Roman"/>
          <w:lang w:val="lt-LT" w:eastAsia="lt-LT"/>
        </w:rPr>
        <w:tab/>
      </w:r>
      <w:r>
        <w:rPr>
          <w:rFonts w:ascii="Times New Roman" w:eastAsia="Times New Roman" w:hAnsi="Times New Roman"/>
          <w:lang w:val="lt-LT" w:eastAsia="lt-LT"/>
        </w:rPr>
        <w:tab/>
        <w:t>4</w:t>
      </w: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numPr>
          <w:ilvl w:val="0"/>
          <w:numId w:val="6"/>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Paimkite Maxitrol talpyklę ir veidrodį.</w:t>
      </w:r>
    </w:p>
    <w:p w:rsidR="00343AE5" w:rsidRDefault="00343AE5" w:rsidP="00343AE5">
      <w:pPr>
        <w:numPr>
          <w:ilvl w:val="0"/>
          <w:numId w:val="6"/>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Nusiplaukite rankas.</w:t>
      </w:r>
    </w:p>
    <w:p w:rsidR="00343AE5" w:rsidRDefault="00343AE5" w:rsidP="00343AE5">
      <w:pPr>
        <w:numPr>
          <w:ilvl w:val="0"/>
          <w:numId w:val="6"/>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Gerai supurtykite talpyklę.</w:t>
      </w:r>
    </w:p>
    <w:p w:rsidR="00343AE5" w:rsidRDefault="00343AE5" w:rsidP="00343AE5">
      <w:pPr>
        <w:numPr>
          <w:ilvl w:val="0"/>
          <w:numId w:val="6"/>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Atsukite talpyklės dangtelį. Pirmą kartą atidarę buteliuką prieš vartojimą nuimkite dangtelio žiedelį, jei jis atsilaisvina.</w:t>
      </w:r>
    </w:p>
    <w:p w:rsidR="00343AE5" w:rsidRDefault="00343AE5" w:rsidP="00343AE5">
      <w:pPr>
        <w:numPr>
          <w:ilvl w:val="0"/>
          <w:numId w:val="6"/>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Laikykite apverstą talpyklę nykščiu ir didžiuoju pirštu (1 pav.).</w:t>
      </w:r>
    </w:p>
    <w:p w:rsidR="00343AE5" w:rsidRDefault="00343AE5" w:rsidP="00343AE5">
      <w:pPr>
        <w:numPr>
          <w:ilvl w:val="0"/>
          <w:numId w:val="6"/>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Atloškite galvą. Švariu pirštu patraukite žemyn voką, kad tarp voko ir akies obuolio susidarytų kišenėlė; į ją lašinsite vaisto (2 pav.).</w:t>
      </w:r>
    </w:p>
    <w:p w:rsidR="00343AE5" w:rsidRDefault="00343AE5" w:rsidP="00343AE5">
      <w:pPr>
        <w:numPr>
          <w:ilvl w:val="0"/>
          <w:numId w:val="6"/>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Laikykite lašintuvo galą prie pat akies. Naudokitės veidrodžiu, jei tai padeda.</w:t>
      </w:r>
    </w:p>
    <w:p w:rsidR="00343AE5" w:rsidRDefault="00343AE5" w:rsidP="00343AE5">
      <w:pPr>
        <w:numPr>
          <w:ilvl w:val="0"/>
          <w:numId w:val="6"/>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Nelieskite lašintuvo galu akies, voko ar kito paviršiaus, nes lašai gali užsiteršti.</w:t>
      </w:r>
    </w:p>
    <w:p w:rsidR="00343AE5" w:rsidRDefault="00343AE5" w:rsidP="00343AE5">
      <w:pPr>
        <w:numPr>
          <w:ilvl w:val="0"/>
          <w:numId w:val="6"/>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Lengvai paspaudus smiliumi apverstos talpyklės dugną išlašės vienas Maxitrol lašas (3 pav.).</w:t>
      </w:r>
    </w:p>
    <w:p w:rsidR="00343AE5" w:rsidRDefault="00343AE5" w:rsidP="00343AE5">
      <w:pPr>
        <w:numPr>
          <w:ilvl w:val="0"/>
          <w:numId w:val="6"/>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Įsilašinę Maxitrol atleiskite apatinį voką, užsimerkite ir nestipriai užspauskite pirštu akies kampą prie nosies (4 pav.), kad mažiau Maxitrol patektų į visą organizmą.</w:t>
      </w:r>
    </w:p>
    <w:p w:rsidR="00343AE5" w:rsidRDefault="00343AE5" w:rsidP="00343AE5">
      <w:pPr>
        <w:numPr>
          <w:ilvl w:val="0"/>
          <w:numId w:val="6"/>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 xml:space="preserve">Jei reikia, tokiu pačiu būdu įsilašinkite vaisto į kitą akį. </w:t>
      </w:r>
    </w:p>
    <w:p w:rsidR="00343AE5" w:rsidRDefault="00343AE5" w:rsidP="00343AE5">
      <w:pPr>
        <w:numPr>
          <w:ilvl w:val="0"/>
          <w:numId w:val="6"/>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Tuoj pat uždėkite ir sandariai užsukite talpyklės dangtelį.</w:t>
      </w:r>
    </w:p>
    <w:p w:rsidR="00343AE5" w:rsidRDefault="00343AE5" w:rsidP="00343AE5">
      <w:pPr>
        <w:numPr>
          <w:ilvl w:val="0"/>
          <w:numId w:val="6"/>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Vienu metu lašinkitės tik iš vienos talpyklės.</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Jei nepataikėte įsilašinti, lašinkitės dar kartą.</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b/>
          <w:bCs/>
          <w:lang w:val="lt-LT"/>
        </w:rPr>
      </w:pPr>
      <w:r>
        <w:rPr>
          <w:rFonts w:ascii="Times New Roman" w:eastAsia="Times New Roman" w:hAnsi="Times New Roman"/>
          <w:b/>
          <w:bCs/>
          <w:lang w:val="lt-LT"/>
        </w:rPr>
        <w:t>Ką daryti pavartojus per didelę Maxitrol dozę</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 xml:space="preserve">Nuplaukite akis drungnu vandeniu. Lašų daugiau nelašinkite tol, kol neateis laikas vartoti kitą įprastą dozę. </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b/>
          <w:lang w:val="lt-LT"/>
        </w:rPr>
      </w:pPr>
      <w:r>
        <w:rPr>
          <w:rFonts w:ascii="Times New Roman" w:eastAsia="Times New Roman" w:hAnsi="Times New Roman"/>
          <w:b/>
          <w:lang w:val="lt-LT"/>
        </w:rPr>
        <w:t>Pamiršus pavartoti Maxitrol</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 xml:space="preserve">Negalima vartoti dvigubos dozės norint kompensuoti praleistą dozę. </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 xml:space="preserve">Jei pamiršote įsilašinti Maxitrol, kitą dozę vartokite taip, kaip suplanavę. Vis dėlto, jei beveik atėjęs laikas lašintis kitą kartą, praleiskite užmirštąją dozę ir toliau vartokite vaistą įprastu laiku. </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b/>
          <w:lang w:val="lt-LT"/>
        </w:rPr>
      </w:pPr>
      <w:r>
        <w:rPr>
          <w:rFonts w:ascii="Times New Roman" w:eastAsia="Times New Roman" w:hAnsi="Times New Roman"/>
          <w:b/>
          <w:lang w:val="lt-LT"/>
        </w:rPr>
        <w:t>Nustojus vartoti Maxitrol</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Jeigu kiltų daugiau klausimų dėl šio vaisto vartojimo, kreipkitės į gydytoją arba vaistininką.</w:t>
      </w: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keepNext/>
        <w:tabs>
          <w:tab w:val="left" w:pos="567"/>
        </w:tabs>
        <w:spacing w:after="0" w:line="240" w:lineRule="auto"/>
        <w:ind w:left="567" w:hanging="567"/>
        <w:outlineLvl w:val="1"/>
        <w:rPr>
          <w:rFonts w:ascii="Times New Roman" w:eastAsia="Times New Roman" w:hAnsi="Times New Roman"/>
          <w:b/>
          <w:lang w:val="lt-LT"/>
        </w:rPr>
      </w:pPr>
      <w:r>
        <w:rPr>
          <w:rFonts w:ascii="Times New Roman" w:eastAsia="Times New Roman" w:hAnsi="Times New Roman"/>
          <w:b/>
          <w:lang w:val="lt-LT"/>
        </w:rPr>
        <w:t>4.</w:t>
      </w:r>
      <w:r>
        <w:rPr>
          <w:rFonts w:ascii="Times New Roman" w:eastAsia="Times New Roman" w:hAnsi="Times New Roman"/>
          <w:b/>
          <w:lang w:val="lt-LT"/>
        </w:rPr>
        <w:tab/>
        <w:t>Galimas šalutinis poveikis</w:t>
      </w: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Šis vaistas, kaip ir visi kiti, gali sukelti šalutinį poveikį, nors jis pasireiškia ne visiems žmonėms.</w:t>
      </w:r>
      <w:r>
        <w:rPr>
          <w:rFonts w:ascii="Times New Roman" w:eastAsia="Times New Roman" w:hAnsi="Times New Roman"/>
          <w:snapToGrid w:val="0"/>
          <w:lang w:val="lt-LT"/>
        </w:rPr>
        <w:t xml:space="preserve"> </w:t>
      </w:r>
      <w:r>
        <w:rPr>
          <w:rFonts w:ascii="Times New Roman" w:eastAsia="Times New Roman" w:hAnsi="Times New Roman"/>
          <w:lang w:val="lt-LT"/>
        </w:rPr>
        <w:t xml:space="preserve">Vartojant </w:t>
      </w:r>
      <w:r>
        <w:rPr>
          <w:rFonts w:ascii="Times New Roman" w:eastAsia="Times New Roman" w:hAnsi="Times New Roman"/>
          <w:bCs/>
          <w:lang w:val="lt-LT"/>
        </w:rPr>
        <w:t>Maxitrol</w:t>
      </w:r>
      <w:r>
        <w:rPr>
          <w:rFonts w:ascii="Times New Roman" w:eastAsia="Times New Roman" w:hAnsi="Times New Roman"/>
          <w:lang w:val="lt-LT"/>
        </w:rPr>
        <w:t>, pastebėtas toliau išvardytas šalutinis poveikis.</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i/>
          <w:szCs w:val="20"/>
          <w:lang w:val="lt-LT" w:eastAsia="lt-LT"/>
        </w:rPr>
      </w:pPr>
      <w:r w:rsidRPr="006547B1">
        <w:rPr>
          <w:rFonts w:ascii="Times New Roman" w:eastAsia="Times New Roman" w:hAnsi="Times New Roman"/>
          <w:b/>
          <w:bCs/>
          <w:iCs/>
          <w:szCs w:val="20"/>
          <w:lang w:val="lt-LT" w:eastAsia="lt-LT"/>
        </w:rPr>
        <w:t>Nedažni šalutinio poveikio reiškiniai (gali pasireikšti rečiau kaip 1 iš 100</w:t>
      </w:r>
      <w:r>
        <w:rPr>
          <w:rFonts w:ascii="Times New Roman" w:eastAsia="Times New Roman" w:hAnsi="Times New Roman"/>
          <w:b/>
          <w:bCs/>
          <w:iCs/>
          <w:szCs w:val="20"/>
          <w:lang w:val="lt-LT" w:eastAsia="lt-LT"/>
        </w:rPr>
        <w:t> </w:t>
      </w:r>
      <w:r w:rsidRPr="006547B1">
        <w:rPr>
          <w:rFonts w:ascii="Times New Roman" w:eastAsia="Times New Roman" w:hAnsi="Times New Roman"/>
          <w:b/>
          <w:bCs/>
          <w:iCs/>
          <w:szCs w:val="20"/>
          <w:lang w:val="lt-LT" w:eastAsia="lt-LT"/>
        </w:rPr>
        <w:t>asmenų):</w:t>
      </w:r>
    </w:p>
    <w:p w:rsidR="00343AE5" w:rsidRDefault="00343AE5" w:rsidP="00343AE5">
      <w:pPr>
        <w:numPr>
          <w:ilvl w:val="0"/>
          <w:numId w:val="7"/>
        </w:numPr>
        <w:spacing w:after="0" w:line="240" w:lineRule="auto"/>
        <w:ind w:left="567" w:hanging="567"/>
        <w:contextualSpacing/>
        <w:rPr>
          <w:rFonts w:ascii="Times New Roman" w:eastAsia="Times New Roman" w:hAnsi="Times New Roman"/>
          <w:szCs w:val="20"/>
          <w:lang w:val="lt-LT" w:eastAsia="lt-LT"/>
        </w:rPr>
      </w:pPr>
      <w:r>
        <w:rPr>
          <w:rFonts w:ascii="Times New Roman" w:eastAsia="Times New Roman" w:hAnsi="Times New Roman"/>
          <w:szCs w:val="20"/>
          <w:lang w:val="lt-LT" w:eastAsia="lt-LT"/>
        </w:rPr>
        <w:t>Poveikis akims: akies ragenos uždegimas, akispūdžio padidėjimas, akies niežėjimas, nemalonus pojūtis akyje, akies dirginimas.</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Papildomas šalutinis poveikis, apie kurį duomenų gauta po vaisto pateikimo į rinką.</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 xml:space="preserve"> </w:t>
      </w:r>
    </w:p>
    <w:p w:rsidR="00343AE5" w:rsidRDefault="00343AE5" w:rsidP="00343AE5">
      <w:pPr>
        <w:spacing w:after="0" w:line="240" w:lineRule="auto"/>
        <w:rPr>
          <w:rFonts w:ascii="Times New Roman" w:eastAsia="Times New Roman" w:hAnsi="Times New Roman"/>
          <w:b/>
          <w:bCs/>
          <w:noProof/>
          <w:snapToGrid w:val="0"/>
          <w:lang w:val="lt-LT"/>
        </w:rPr>
      </w:pPr>
      <w:r w:rsidRPr="00EE6C63">
        <w:rPr>
          <w:rFonts w:ascii="Times New Roman" w:eastAsia="Times New Roman" w:hAnsi="Times New Roman"/>
          <w:b/>
          <w:bCs/>
          <w:noProof/>
          <w:snapToGrid w:val="0"/>
          <w:lang w:val="lt-LT"/>
        </w:rPr>
        <w:t>Šalutin</w:t>
      </w:r>
      <w:r>
        <w:rPr>
          <w:rFonts w:ascii="Times New Roman" w:eastAsia="Times New Roman" w:hAnsi="Times New Roman"/>
          <w:b/>
          <w:bCs/>
          <w:noProof/>
          <w:snapToGrid w:val="0"/>
          <w:lang w:val="lt-LT"/>
        </w:rPr>
        <w:t>io poveikio reiškiniai, kurių</w:t>
      </w:r>
      <w:r w:rsidRPr="00EE6C63">
        <w:rPr>
          <w:rFonts w:ascii="Times New Roman" w:eastAsia="Times New Roman" w:hAnsi="Times New Roman"/>
          <w:b/>
          <w:bCs/>
          <w:noProof/>
          <w:snapToGrid w:val="0"/>
          <w:lang w:val="lt-LT"/>
        </w:rPr>
        <w:t xml:space="preserve"> dažnis nežinomas (negali būti apskaičiuotas pagal turimus duomenis): </w:t>
      </w:r>
    </w:p>
    <w:p w:rsidR="00343AE5" w:rsidRDefault="00343AE5" w:rsidP="00343AE5">
      <w:pPr>
        <w:numPr>
          <w:ilvl w:val="0"/>
          <w:numId w:val="8"/>
        </w:num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Poveikis akims: akies ragenos opa, matomo vaizdo neryškumas, jautrumas šviesai, vyzdžių padidėjimas, voko nusileidimas, akies skausmas, akies patinimas, neįprastas pojūtis akyje, akies dirginimas, akies paraudimas, sustiprėjęs ašarojimas, regos nervo pažeidimas, miglotas matymas.</w:t>
      </w:r>
    </w:p>
    <w:p w:rsidR="00343AE5" w:rsidRDefault="00343AE5" w:rsidP="00343AE5">
      <w:pPr>
        <w:numPr>
          <w:ilvl w:val="0"/>
          <w:numId w:val="8"/>
        </w:num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Hormoniniai sutrikimai: papildomų kūno plaukų augimas (ypač moterims), raumenų silpnumas ir nykimas, violetinės tempimo žymės kūno odoje, padidėjęs kraujospūdis, nereguliarios menstruacijos arba jų išnykimas, baltymo ir kalcio kiekio organizme pokytis, sulėtėjęs vaikų bei paauglių augimas ir kūno svorio padidėjimas bei viso kūno ir veido patinimas (vadinamasis Kušingo sindromas) (žr. 2 skyrių „Įspėjimai ir atsargumo priemonės“).</w:t>
      </w:r>
    </w:p>
    <w:p w:rsidR="00343AE5" w:rsidRDefault="00343AE5" w:rsidP="00343AE5">
      <w:pPr>
        <w:numPr>
          <w:ilvl w:val="0"/>
          <w:numId w:val="8"/>
        </w:num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Bendrasis šalutinis poveikis: alergija, galvos skausmas, sunki odos reakcija (</w:t>
      </w:r>
      <w:r>
        <w:rPr>
          <w:rFonts w:ascii="Times New Roman" w:eastAsia="Times New Roman" w:hAnsi="Times New Roman"/>
          <w:i/>
          <w:lang w:val="lt-LT"/>
        </w:rPr>
        <w:t>Stevens-Johnson</w:t>
      </w:r>
      <w:r>
        <w:rPr>
          <w:rFonts w:ascii="Times New Roman" w:eastAsia="Times New Roman" w:hAnsi="Times New Roman"/>
          <w:lang w:val="lt-LT"/>
        </w:rPr>
        <w:t xml:space="preserve"> sindromas).</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tabs>
          <w:tab w:val="left" w:pos="567"/>
        </w:tabs>
        <w:spacing w:after="0" w:line="240" w:lineRule="auto"/>
        <w:rPr>
          <w:rFonts w:ascii="Times New Roman" w:eastAsia="Times New Roman" w:hAnsi="Times New Roman"/>
          <w:b/>
          <w:snapToGrid w:val="0"/>
          <w:lang w:val="lt-LT"/>
        </w:rPr>
      </w:pPr>
      <w:r>
        <w:rPr>
          <w:rFonts w:ascii="Times New Roman" w:eastAsia="Times New Roman" w:hAnsi="Times New Roman"/>
          <w:b/>
          <w:noProof/>
          <w:snapToGrid w:val="0"/>
          <w:lang w:val="lt-LT"/>
        </w:rPr>
        <w:t>Pranešimas apie šalutinį poveikį</w:t>
      </w:r>
    </w:p>
    <w:p w:rsidR="00343AE5" w:rsidRPr="00EC327C" w:rsidRDefault="00343AE5" w:rsidP="00343AE5">
      <w:pPr>
        <w:tabs>
          <w:tab w:val="left" w:pos="567"/>
        </w:tabs>
        <w:spacing w:after="0" w:line="240" w:lineRule="auto"/>
        <w:rPr>
          <w:rFonts w:ascii="Times New Roman" w:eastAsia="Times New Roman" w:hAnsi="Times New Roman"/>
          <w:noProof/>
          <w:snapToGrid w:val="0"/>
          <w:lang w:val="lt-LT"/>
        </w:rPr>
      </w:pPr>
      <w:r w:rsidRPr="00EC327C">
        <w:rPr>
          <w:rFonts w:ascii="Times New Roman" w:eastAsia="Times New Roman" w:hAnsi="Times New Roman"/>
          <w:noProof/>
          <w:snapToGrid w:val="0"/>
          <w:lang w:val="lt-LT"/>
        </w:rPr>
        <w:t>Jeigu pasireiškė šalutinis poveikis, įskaitant šiame lapelyje nenurodytą, pasakykite gydytojui arba vaistininkui</w:t>
      </w:r>
      <w:r w:rsidRPr="00EC327C">
        <w:rPr>
          <w:rFonts w:ascii="Times New Roman" w:eastAsia="Times New Roman" w:hAnsi="Times New Roman"/>
          <w:snapToGrid w:val="0"/>
          <w:lang w:val="lt-LT"/>
        </w:rPr>
        <w:t>.</w:t>
      </w:r>
      <w:r w:rsidRPr="00EC327C">
        <w:rPr>
          <w:rFonts w:ascii="Times New Roman" w:eastAsia="Times New Roman" w:hAnsi="Times New Roman"/>
          <w:noProof/>
          <w:snapToGrid w:val="0"/>
          <w:lang w:val="lt-LT"/>
        </w:rPr>
        <w:t xml:space="preserve"> </w:t>
      </w:r>
      <w:r w:rsidRPr="00FA723C">
        <w:rPr>
          <w:rFonts w:ascii="Times New Roman" w:eastAsia="Times New Roman" w:hAnsi="Times New Roman"/>
          <w:noProof/>
          <w:snapToGrid w:val="0"/>
          <w:lang w:val="lt-LT"/>
        </w:rPr>
        <w:t>Pranešimą apie</w:t>
      </w:r>
      <w:r w:rsidRPr="005E7193">
        <w:rPr>
          <w:rFonts w:ascii="Times New Roman" w:eastAsia="Times New Roman" w:hAnsi="Times New Roman"/>
          <w:noProof/>
          <w:snapToGrid w:val="0"/>
          <w:lang w:val="lt-LT"/>
        </w:rPr>
        <w:t xml:space="preserve"> šalutinį poveikį galite</w:t>
      </w:r>
      <w:r>
        <w:rPr>
          <w:rFonts w:ascii="Times New Roman" w:eastAsia="Times New Roman" w:hAnsi="Times New Roman"/>
          <w:noProof/>
          <w:snapToGrid w:val="0"/>
          <w:lang w:val="lt-LT"/>
        </w:rPr>
        <w:t xml:space="preserve"> užpildyti ir</w:t>
      </w:r>
      <w:r w:rsidRPr="005E7193">
        <w:rPr>
          <w:rFonts w:ascii="Times New Roman" w:eastAsia="Times New Roman" w:hAnsi="Times New Roman"/>
          <w:noProof/>
          <w:snapToGrid w:val="0"/>
          <w:lang w:val="lt-LT"/>
        </w:rPr>
        <w:t xml:space="preserve"> pateikti  Valstybinės vaistų kontrolės tarnybos prie Lietuvos Respublikos sveikatos apsaugos ministerijos </w:t>
      </w:r>
      <w:r w:rsidRPr="00D25F6B">
        <w:rPr>
          <w:rFonts w:ascii="Times New Roman" w:eastAsia="Times New Roman" w:hAnsi="Times New Roman"/>
          <w:noProof/>
          <w:snapToGrid w:val="0"/>
          <w:lang w:val="lt-LT"/>
        </w:rPr>
        <w:t xml:space="preserve">tinklalapyje </w:t>
      </w:r>
      <w:hyperlink r:id="rId10" w:history="1">
        <w:r w:rsidRPr="008E7327">
          <w:rPr>
            <w:rStyle w:val="Hipersaitas"/>
            <w:rFonts w:ascii="Times New Roman" w:eastAsia="Times New Roman" w:hAnsi="Times New Roman"/>
            <w:noProof/>
            <w:snapToGrid w:val="0"/>
            <w:lang w:val="lt-LT"/>
          </w:rPr>
          <w:t>https://vvkt.lrv.lt/lt/</w:t>
        </w:r>
      </w:hyperlink>
      <w:r>
        <w:rPr>
          <w:rFonts w:ascii="Times New Roman" w:eastAsia="Times New Roman" w:hAnsi="Times New Roman"/>
          <w:noProof/>
          <w:snapToGrid w:val="0"/>
          <w:lang w:val="lt-LT"/>
        </w:rPr>
        <w:t xml:space="preserve"> </w:t>
      </w:r>
      <w:r w:rsidRPr="00D25F6B">
        <w:rPr>
          <w:rFonts w:ascii="Times New Roman" w:eastAsia="Times New Roman" w:hAnsi="Times New Roman"/>
          <w:noProof/>
          <w:snapToGrid w:val="0"/>
          <w:lang w:val="lt-LT"/>
        </w:rPr>
        <w:t xml:space="preserve">nurodytais būdais arba paskambinti </w:t>
      </w:r>
      <w:r w:rsidRPr="00FA723C">
        <w:rPr>
          <w:rFonts w:ascii="Times New Roman" w:eastAsia="Times New Roman" w:hAnsi="Times New Roman"/>
          <w:noProof/>
          <w:snapToGrid w:val="0"/>
          <w:lang w:val="lt-LT"/>
        </w:rPr>
        <w:t>nemokamu telefonu 8</w:t>
      </w:r>
      <w:r>
        <w:rPr>
          <w:rFonts w:ascii="Times New Roman" w:eastAsia="Times New Roman" w:hAnsi="Times New Roman"/>
          <w:noProof/>
          <w:snapToGrid w:val="0"/>
          <w:lang w:val="lt-LT"/>
        </w:rPr>
        <w:t> </w:t>
      </w:r>
      <w:r w:rsidRPr="00FA723C">
        <w:rPr>
          <w:rFonts w:ascii="Times New Roman" w:eastAsia="Times New Roman" w:hAnsi="Times New Roman"/>
          <w:noProof/>
          <w:snapToGrid w:val="0"/>
          <w:lang w:val="lt-LT"/>
        </w:rPr>
        <w:t>800</w:t>
      </w:r>
      <w:r>
        <w:rPr>
          <w:rFonts w:ascii="Times New Roman" w:eastAsia="Times New Roman" w:hAnsi="Times New Roman"/>
          <w:noProof/>
          <w:snapToGrid w:val="0"/>
          <w:lang w:val="lt-LT"/>
        </w:rPr>
        <w:t> </w:t>
      </w:r>
      <w:r w:rsidRPr="00FA723C">
        <w:rPr>
          <w:rFonts w:ascii="Times New Roman" w:eastAsia="Times New Roman" w:hAnsi="Times New Roman"/>
          <w:noProof/>
          <w:snapToGrid w:val="0"/>
          <w:lang w:val="lt-LT"/>
        </w:rPr>
        <w:t>73</w:t>
      </w:r>
      <w:r>
        <w:rPr>
          <w:rFonts w:ascii="Times New Roman" w:eastAsia="Times New Roman" w:hAnsi="Times New Roman"/>
          <w:noProof/>
          <w:snapToGrid w:val="0"/>
          <w:lang w:val="lt-LT"/>
        </w:rPr>
        <w:t> </w:t>
      </w:r>
      <w:r w:rsidRPr="00FA723C">
        <w:rPr>
          <w:rFonts w:ascii="Times New Roman" w:eastAsia="Times New Roman" w:hAnsi="Times New Roman"/>
          <w:noProof/>
          <w:snapToGrid w:val="0"/>
          <w:lang w:val="lt-LT"/>
        </w:rPr>
        <w:t>568.</w:t>
      </w:r>
      <w:r w:rsidRPr="005E7193">
        <w:rPr>
          <w:rFonts w:ascii="Times New Roman" w:eastAsia="Times New Roman" w:hAnsi="Times New Roman"/>
          <w:noProof/>
          <w:snapToGrid w:val="0"/>
          <w:lang w:val="lt-LT"/>
        </w:rPr>
        <w:t xml:space="preserve"> Pranešdami apie šalutinį poveikį galite mums padėti gauti daugiau informacijos apie šio vaisto saugumą</w:t>
      </w:r>
      <w:r w:rsidRPr="00EC327C">
        <w:rPr>
          <w:rFonts w:ascii="Times New Roman" w:eastAsia="Times New Roman" w:hAnsi="Times New Roman"/>
          <w:noProof/>
          <w:snapToGrid w:val="0"/>
          <w:lang w:val="lt-LT"/>
        </w:rPr>
        <w:t>.</w:t>
      </w: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keepNext/>
        <w:tabs>
          <w:tab w:val="left" w:pos="567"/>
        </w:tabs>
        <w:spacing w:after="0" w:line="240" w:lineRule="auto"/>
        <w:ind w:left="567" w:hanging="567"/>
        <w:outlineLvl w:val="1"/>
        <w:rPr>
          <w:rFonts w:ascii="Times New Roman" w:eastAsia="Times New Roman" w:hAnsi="Times New Roman"/>
          <w:b/>
          <w:lang w:val="lt-LT"/>
        </w:rPr>
      </w:pPr>
      <w:r>
        <w:rPr>
          <w:rFonts w:ascii="Times New Roman" w:eastAsia="Times New Roman" w:hAnsi="Times New Roman"/>
          <w:b/>
          <w:lang w:val="lt-LT"/>
        </w:rPr>
        <w:t>5.</w:t>
      </w:r>
      <w:r>
        <w:rPr>
          <w:rFonts w:ascii="Times New Roman" w:eastAsia="Times New Roman" w:hAnsi="Times New Roman"/>
          <w:b/>
          <w:lang w:val="lt-LT"/>
        </w:rPr>
        <w:tab/>
        <w:t>Kaip laikyti Maxitrol</w:t>
      </w: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numPr>
          <w:ilvl w:val="12"/>
          <w:numId w:val="0"/>
        </w:numPr>
        <w:spacing w:after="0" w:line="240" w:lineRule="auto"/>
        <w:ind w:right="-2"/>
        <w:rPr>
          <w:rFonts w:ascii="Times New Roman" w:eastAsia="Times New Roman" w:hAnsi="Times New Roman"/>
          <w:snapToGrid w:val="0"/>
          <w:lang w:val="lt-LT"/>
        </w:rPr>
      </w:pPr>
      <w:r>
        <w:rPr>
          <w:rFonts w:ascii="Times New Roman" w:eastAsia="Times New Roman" w:hAnsi="Times New Roman"/>
          <w:noProof/>
          <w:snapToGrid w:val="0"/>
          <w:lang w:val="lt-LT"/>
        </w:rPr>
        <w:t>Šį vaistą laikykite vaikams nepastebimoje ir nepasiekiamoje vietoje.</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MS Mincho" w:hAnsi="Times New Roman"/>
          <w:lang w:val="lt-LT" w:eastAsia="ja-JP"/>
        </w:rPr>
      </w:pPr>
      <w:r>
        <w:rPr>
          <w:rFonts w:ascii="Times New Roman" w:eastAsia="Times New Roman" w:hAnsi="Times New Roman"/>
          <w:lang w:val="lt-LT"/>
        </w:rPr>
        <w:t xml:space="preserve">Ant dėžutės ir buteliuko po „EXP“ nurodytam tinkamumo laikui pasibaigus, šio vaisto vartoti negalima. </w:t>
      </w:r>
      <w:r>
        <w:rPr>
          <w:rFonts w:ascii="Times New Roman" w:eastAsia="MS Mincho" w:hAnsi="Times New Roman"/>
          <w:lang w:val="lt-LT" w:eastAsia="ja-JP"/>
        </w:rPr>
        <w:t>Vaistas tinkamas vartoti iki paskutinės nurodyto mėnesio dienos.</w:t>
      </w:r>
    </w:p>
    <w:p w:rsidR="00343AE5" w:rsidRDefault="00343AE5" w:rsidP="00343AE5">
      <w:pPr>
        <w:spacing w:after="0" w:line="240" w:lineRule="auto"/>
        <w:rPr>
          <w:rFonts w:ascii="Times New Roman" w:eastAsia="MS Mincho" w:hAnsi="Times New Roman"/>
          <w:lang w:val="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noProof/>
          <w:lang w:val="lt-LT"/>
        </w:rPr>
        <w:t>Laikyti ne aukštesnėje kaip 25 </w:t>
      </w:r>
      <w:r>
        <w:rPr>
          <w:rFonts w:ascii="Times New Roman" w:eastAsia="Times New Roman" w:hAnsi="Times New Roman"/>
          <w:noProof/>
          <w:lang w:val="lt-LT"/>
        </w:rPr>
        <w:sym w:font="Symbol" w:char="F0B0"/>
      </w:r>
      <w:r>
        <w:rPr>
          <w:rFonts w:ascii="Times New Roman" w:eastAsia="Times New Roman" w:hAnsi="Times New Roman"/>
          <w:noProof/>
          <w:lang w:val="lt-LT"/>
        </w:rPr>
        <w:t>C temperatūroje.</w:t>
      </w:r>
      <w:r>
        <w:rPr>
          <w:rFonts w:ascii="Times New Roman" w:eastAsia="Times New Roman" w:hAnsi="Times New Roman"/>
          <w:lang w:val="lt-LT"/>
        </w:rPr>
        <w:t xml:space="preserve"> </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Negalima šaldyti.</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Buteliuką laikyti stačią.</w:t>
      </w:r>
    </w:p>
    <w:p w:rsidR="00343AE5" w:rsidRDefault="00343AE5" w:rsidP="00343AE5">
      <w:pPr>
        <w:spacing w:after="0" w:line="240" w:lineRule="auto"/>
        <w:rPr>
          <w:rFonts w:ascii="Times New Roman" w:eastAsia="Times New Roman" w:hAnsi="Times New Roman"/>
          <w:noProof/>
          <w:lang w:val="lt-LT"/>
        </w:rPr>
      </w:pPr>
      <w:r>
        <w:rPr>
          <w:rFonts w:ascii="Times New Roman" w:eastAsia="Times New Roman" w:hAnsi="Times New Roman"/>
          <w:noProof/>
          <w:lang w:val="lt-LT"/>
        </w:rPr>
        <w:t>Buteliuką laikyti sandarų.</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bidi="he-IL"/>
        </w:rPr>
        <w:t>Praėjus 28 dienoms po buteliuko pirmo atidarymo, išmeskite jį ir naudokite naują.</w:t>
      </w:r>
    </w:p>
    <w:p w:rsidR="00343AE5" w:rsidRDefault="00343AE5" w:rsidP="00343AE5">
      <w:pPr>
        <w:spacing w:after="0" w:line="240" w:lineRule="auto"/>
        <w:rPr>
          <w:rFonts w:ascii="Times New Roman" w:eastAsia="Times New Roman" w:hAnsi="Times New Roman"/>
          <w:lang w:val="lt-LT" w:bidi="he-IL"/>
        </w:rPr>
      </w:pPr>
    </w:p>
    <w:p w:rsidR="00343AE5" w:rsidRDefault="00343AE5" w:rsidP="00343AE5">
      <w:pPr>
        <w:spacing w:after="0" w:line="240" w:lineRule="auto"/>
        <w:rPr>
          <w:rFonts w:ascii="Times New Roman" w:eastAsia="Times New Roman" w:hAnsi="Times New Roman"/>
          <w:lang w:val="lt-LT" w:bidi="he-IL"/>
        </w:rPr>
      </w:pPr>
      <w:r>
        <w:rPr>
          <w:rFonts w:ascii="Times New Roman" w:eastAsia="Times New Roman" w:hAnsi="Times New Roman"/>
          <w:lang w:val="lt-LT" w:bidi="he-IL"/>
        </w:rPr>
        <w:t>Vaistų negalima išmesti į kanalizaciją arba kartu su buitinėmis atliekomis. Kaip išmesti nereikalingus vaistus, klauskite vaistininko. Šios priemonės padės apsaugoti aplinką.</w:t>
      </w:r>
    </w:p>
    <w:p w:rsidR="00343AE5" w:rsidRDefault="00343AE5" w:rsidP="00343AE5">
      <w:pPr>
        <w:tabs>
          <w:tab w:val="left" w:pos="567"/>
        </w:tabs>
        <w:spacing w:after="0" w:line="240" w:lineRule="auto"/>
        <w:rPr>
          <w:rFonts w:ascii="Times New Roman" w:eastAsia="Times New Roman" w:hAnsi="Times New Roman"/>
          <w:lang w:val="lt-LT" w:eastAsia="lt-LT" w:bidi="he-IL"/>
        </w:rPr>
      </w:pPr>
    </w:p>
    <w:p w:rsidR="00343AE5" w:rsidRDefault="00343AE5" w:rsidP="00343AE5">
      <w:pPr>
        <w:spacing w:after="0" w:line="240" w:lineRule="auto"/>
        <w:rPr>
          <w:rFonts w:ascii="Times New Roman" w:eastAsia="Times New Roman" w:hAnsi="Times New Roman"/>
          <w:b/>
          <w:lang w:val="lt-LT" w:eastAsia="lt-LT"/>
        </w:rPr>
      </w:pPr>
    </w:p>
    <w:p w:rsidR="00343AE5" w:rsidRDefault="00343AE5" w:rsidP="00343AE5">
      <w:pPr>
        <w:keepNext/>
        <w:tabs>
          <w:tab w:val="left" w:pos="567"/>
        </w:tabs>
        <w:spacing w:after="0" w:line="240" w:lineRule="auto"/>
        <w:ind w:left="567" w:hanging="567"/>
        <w:outlineLvl w:val="1"/>
        <w:rPr>
          <w:rFonts w:ascii="Times New Roman" w:eastAsia="Times New Roman" w:hAnsi="Times New Roman"/>
          <w:b/>
          <w:lang w:val="lt-LT"/>
        </w:rPr>
      </w:pPr>
      <w:r>
        <w:rPr>
          <w:rFonts w:ascii="Times New Roman" w:eastAsia="Times New Roman" w:hAnsi="Times New Roman"/>
          <w:b/>
          <w:lang w:val="lt-LT"/>
        </w:rPr>
        <w:t>6.</w:t>
      </w:r>
      <w:r>
        <w:rPr>
          <w:rFonts w:ascii="Times New Roman" w:eastAsia="Times New Roman" w:hAnsi="Times New Roman"/>
          <w:b/>
          <w:lang w:val="lt-LT"/>
        </w:rPr>
        <w:tab/>
        <w:t>Pakuotės turinys ir kita informacija</w:t>
      </w:r>
    </w:p>
    <w:p w:rsidR="00343AE5" w:rsidRDefault="00343AE5" w:rsidP="00343AE5">
      <w:pPr>
        <w:spacing w:after="0" w:line="240" w:lineRule="auto"/>
        <w:rPr>
          <w:rFonts w:ascii="Times New Roman" w:eastAsia="Times New Roman" w:hAnsi="Times New Roman"/>
          <w:b/>
          <w:lang w:val="lt-LT" w:eastAsia="lt-LT"/>
        </w:rPr>
      </w:pPr>
    </w:p>
    <w:p w:rsidR="00343AE5" w:rsidRDefault="00343AE5" w:rsidP="00343AE5">
      <w:pPr>
        <w:spacing w:after="0" w:line="240" w:lineRule="auto"/>
        <w:rPr>
          <w:rFonts w:ascii="Times New Roman" w:eastAsia="Times New Roman" w:hAnsi="Times New Roman"/>
          <w:b/>
          <w:bCs/>
          <w:lang w:val="lt-LT"/>
        </w:rPr>
      </w:pPr>
      <w:r>
        <w:rPr>
          <w:rFonts w:ascii="Times New Roman" w:eastAsia="Times New Roman" w:hAnsi="Times New Roman"/>
          <w:b/>
          <w:bCs/>
          <w:lang w:val="lt-LT"/>
        </w:rPr>
        <w:t>Maxitrol sudėtis</w:t>
      </w:r>
    </w:p>
    <w:p w:rsidR="00343AE5" w:rsidRDefault="00343AE5" w:rsidP="00343AE5">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 xml:space="preserve">Veikliosios medžiagos yra: 1 mg/ml deksametazono, 3500 TV/ml neomicino sulfato ir 6000 TV/ml polimiksino B sulfato. </w:t>
      </w:r>
    </w:p>
    <w:p w:rsidR="00343AE5" w:rsidRDefault="00343AE5" w:rsidP="00343AE5">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 xml:space="preserve">Pagalbinės medžiagos yra: natrio chloridas, polisorbatas 20 (E432), benzalkonio chloridas, hipromeliozė (E464), vandenilio chlorido rūgštis ir (arba) natrio hidroksidas tinkamam rūgštingumui (pH) palaikyti ir išgrynintas vanduo. </w:t>
      </w:r>
    </w:p>
    <w:p w:rsidR="00343AE5" w:rsidRDefault="00343AE5" w:rsidP="00343AE5">
      <w:pPr>
        <w:spacing w:after="0" w:line="240" w:lineRule="auto"/>
        <w:ind w:left="720" w:hanging="360"/>
        <w:rPr>
          <w:rFonts w:ascii="Times New Roman" w:eastAsia="Times New Roman" w:hAnsi="Times New Roman"/>
          <w:lang w:val="lt-LT" w:eastAsia="lt-LT"/>
        </w:rPr>
      </w:pPr>
    </w:p>
    <w:p w:rsidR="00343AE5" w:rsidRDefault="00343AE5" w:rsidP="00343AE5">
      <w:pPr>
        <w:spacing w:after="0" w:line="240" w:lineRule="auto"/>
        <w:rPr>
          <w:rFonts w:ascii="Times New Roman" w:eastAsia="Times New Roman" w:hAnsi="Times New Roman"/>
          <w:b/>
          <w:bCs/>
          <w:lang w:val="lt-LT"/>
        </w:rPr>
      </w:pPr>
      <w:r>
        <w:rPr>
          <w:rFonts w:ascii="Times New Roman" w:eastAsia="Times New Roman" w:hAnsi="Times New Roman"/>
          <w:b/>
          <w:bCs/>
          <w:lang w:val="lt-LT"/>
        </w:rPr>
        <w:t>Maxitrol išvaizda ir kiekis pakuotėje</w:t>
      </w:r>
    </w:p>
    <w:p w:rsidR="00343AE5" w:rsidRDefault="00343AE5" w:rsidP="00343AE5">
      <w:pPr>
        <w:spacing w:after="0" w:line="240" w:lineRule="auto"/>
        <w:rPr>
          <w:rFonts w:ascii="Times New Roman" w:eastAsia="Times New Roman" w:hAnsi="Times New Roman"/>
          <w:b/>
          <w:lang w:val="lt-LT" w:eastAsia="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Maxitrol yra skystis (balta arba gelsva neskaidri suspensija). Pakuotėje yra 5 ml plastiko buteliukas su lašintuvu, užsuktas dangteliu, kurio nepažeidus neįmanoma atsukti.</w:t>
      </w:r>
    </w:p>
    <w:p w:rsidR="00343AE5" w:rsidRDefault="00343AE5" w:rsidP="00343AE5">
      <w:pPr>
        <w:spacing w:after="0" w:line="240" w:lineRule="auto"/>
        <w:rPr>
          <w:rFonts w:ascii="Times New Roman" w:eastAsia="Times New Roman" w:hAnsi="Times New Roman"/>
          <w:b/>
          <w:lang w:val="lt-LT" w:eastAsia="lt-LT"/>
        </w:rPr>
      </w:pPr>
    </w:p>
    <w:p w:rsidR="00343AE5" w:rsidRDefault="00343AE5" w:rsidP="00343AE5">
      <w:pPr>
        <w:spacing w:after="0" w:line="240" w:lineRule="auto"/>
        <w:rPr>
          <w:rFonts w:ascii="Times New Roman" w:eastAsia="Times New Roman" w:hAnsi="Times New Roman"/>
          <w:b/>
          <w:bCs/>
          <w:lang w:val="lt-LT"/>
        </w:rPr>
      </w:pPr>
      <w:r>
        <w:rPr>
          <w:rFonts w:ascii="Times New Roman" w:eastAsia="Times New Roman" w:hAnsi="Times New Roman"/>
          <w:b/>
          <w:bCs/>
          <w:lang w:val="lt-LT"/>
        </w:rPr>
        <w:t xml:space="preserve">Registruotojas </w:t>
      </w:r>
    </w:p>
    <w:p w:rsidR="00343AE5" w:rsidRDefault="00343AE5" w:rsidP="00343AE5">
      <w:pPr>
        <w:spacing w:after="0" w:line="240" w:lineRule="auto"/>
        <w:rPr>
          <w:rFonts w:ascii="Times New Roman" w:eastAsia="Times New Roman" w:hAnsi="Times New Roman"/>
          <w:b/>
          <w:bCs/>
          <w:lang w:val="lt-LT"/>
        </w:rPr>
      </w:pPr>
    </w:p>
    <w:p w:rsidR="00343AE5" w:rsidRDefault="00343AE5" w:rsidP="00343AE5">
      <w:pPr>
        <w:spacing w:after="0" w:line="240" w:lineRule="auto"/>
        <w:rPr>
          <w:rFonts w:ascii="Times New Roman" w:eastAsia="Times New Roman" w:hAnsi="Times New Roman"/>
          <w:lang w:val="it-IT"/>
        </w:rPr>
      </w:pPr>
      <w:r>
        <w:rPr>
          <w:rFonts w:ascii="Times New Roman" w:eastAsia="Times New Roman" w:hAnsi="Times New Roman"/>
          <w:lang w:val="it-IT"/>
        </w:rPr>
        <w:t>SIA Novartis Baltics</w:t>
      </w:r>
    </w:p>
    <w:p w:rsidR="00343AE5" w:rsidRDefault="00343AE5" w:rsidP="00343AE5">
      <w:pPr>
        <w:spacing w:after="0" w:line="240" w:lineRule="auto"/>
        <w:rPr>
          <w:rFonts w:ascii="Times New Roman" w:eastAsia="Times New Roman" w:hAnsi="Times New Roman"/>
          <w:lang w:val="it-IT"/>
        </w:rPr>
      </w:pPr>
      <w:r w:rsidRPr="0073168F">
        <w:rPr>
          <w:rFonts w:ascii="Times New Roman" w:eastAsia="Times New Roman" w:hAnsi="Times New Roman"/>
          <w:lang w:val="it-IT"/>
        </w:rPr>
        <w:t>Skanstes iela 25</w:t>
      </w:r>
    </w:p>
    <w:p w:rsidR="00343AE5" w:rsidRDefault="00343AE5" w:rsidP="00343AE5">
      <w:pPr>
        <w:spacing w:after="0" w:line="240" w:lineRule="auto"/>
        <w:rPr>
          <w:rFonts w:ascii="Times New Roman" w:eastAsia="Times New Roman" w:hAnsi="Times New Roman"/>
          <w:lang w:val="it-IT"/>
        </w:rPr>
      </w:pPr>
      <w:r>
        <w:rPr>
          <w:rFonts w:ascii="Times New Roman" w:eastAsia="Times New Roman" w:hAnsi="Times New Roman"/>
          <w:lang w:val="it-IT"/>
        </w:rPr>
        <w:t>LV-1013, Rīga</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it-IT"/>
        </w:rPr>
        <w:t>Latvija</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b/>
          <w:lang w:val="lt-LT"/>
        </w:rPr>
      </w:pPr>
      <w:r>
        <w:rPr>
          <w:rFonts w:ascii="Times New Roman" w:eastAsia="Times New Roman" w:hAnsi="Times New Roman"/>
          <w:b/>
          <w:lang w:val="lt-LT"/>
        </w:rPr>
        <w:t>Gamintojai</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lang w:val="lt-LT"/>
        </w:rPr>
      </w:pPr>
      <w:r w:rsidRPr="008D6BA2">
        <w:rPr>
          <w:rFonts w:ascii="Times New Roman" w:eastAsia="Times New Roman" w:hAnsi="Times New Roman"/>
          <w:lang w:val="lt-LT"/>
        </w:rPr>
        <w:t>Novartis Manufacturing NV</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Rijksweg 14</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2870 Puurs-Sint-Amands</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Belgija</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arba</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lang w:val="lt-LT"/>
        </w:rPr>
      </w:pPr>
      <w:r w:rsidRPr="002C6369">
        <w:rPr>
          <w:rFonts w:ascii="Times New Roman" w:eastAsia="Times New Roman" w:hAnsi="Times New Roman"/>
          <w:lang w:val="lt-LT"/>
        </w:rPr>
        <w:t>Siegfried El Masnou</w:t>
      </w:r>
      <w:r>
        <w:rPr>
          <w:rFonts w:ascii="Times New Roman" w:eastAsia="Times New Roman" w:hAnsi="Times New Roman"/>
          <w:lang w:val="lt-LT"/>
        </w:rPr>
        <w:t>, S.A.</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Camil Fabra, 58</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El Masnou</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 xml:space="preserve">08320 Barcelona </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Ispanija</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arba</w:t>
      </w:r>
    </w:p>
    <w:p w:rsidR="00343AE5" w:rsidRDefault="00343AE5" w:rsidP="00343AE5">
      <w:pPr>
        <w:spacing w:after="0" w:line="240" w:lineRule="auto"/>
        <w:rPr>
          <w:rFonts w:ascii="Times New Roman" w:eastAsia="Times New Roman" w:hAnsi="Times New Roman"/>
          <w:lang w:val="lt-LT"/>
        </w:rPr>
      </w:pPr>
    </w:p>
    <w:p w:rsidR="00343AE5" w:rsidRPr="002C6369" w:rsidRDefault="00343AE5" w:rsidP="00343AE5">
      <w:pPr>
        <w:spacing w:after="0" w:line="240" w:lineRule="auto"/>
        <w:rPr>
          <w:rFonts w:ascii="Times New Roman" w:eastAsia="Times New Roman" w:hAnsi="Times New Roman"/>
          <w:lang w:val="lt-LT"/>
        </w:rPr>
      </w:pPr>
      <w:r w:rsidRPr="002C6369">
        <w:rPr>
          <w:rFonts w:ascii="Times New Roman" w:eastAsia="Times New Roman" w:hAnsi="Times New Roman"/>
          <w:lang w:val="lt-LT"/>
        </w:rPr>
        <w:t>Novartis Pharma GmbH</w:t>
      </w:r>
    </w:p>
    <w:p w:rsidR="00343AE5" w:rsidRPr="002C6369" w:rsidRDefault="00343AE5" w:rsidP="00343AE5">
      <w:pPr>
        <w:spacing w:after="0" w:line="240" w:lineRule="auto"/>
        <w:rPr>
          <w:rFonts w:ascii="Times New Roman" w:eastAsia="Times New Roman" w:hAnsi="Times New Roman"/>
          <w:lang w:val="lt-LT"/>
        </w:rPr>
      </w:pPr>
      <w:r w:rsidRPr="002C6369">
        <w:rPr>
          <w:rFonts w:ascii="Times New Roman" w:eastAsia="Times New Roman" w:hAnsi="Times New Roman"/>
          <w:lang w:val="lt-LT"/>
        </w:rPr>
        <w:t>Roonstrasse 25</w:t>
      </w:r>
    </w:p>
    <w:p w:rsidR="00343AE5" w:rsidRPr="002C6369" w:rsidRDefault="00343AE5" w:rsidP="00343AE5">
      <w:pPr>
        <w:spacing w:after="0" w:line="240" w:lineRule="auto"/>
        <w:rPr>
          <w:rFonts w:ascii="Times New Roman" w:eastAsia="Times New Roman" w:hAnsi="Times New Roman"/>
          <w:lang w:val="lt-LT"/>
        </w:rPr>
      </w:pPr>
      <w:r w:rsidRPr="002C6369">
        <w:rPr>
          <w:rFonts w:ascii="Times New Roman" w:eastAsia="Times New Roman" w:hAnsi="Times New Roman"/>
          <w:lang w:val="lt-LT"/>
        </w:rPr>
        <w:t>90429 Nürnberg</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Vokietija</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arba</w:t>
      </w:r>
    </w:p>
    <w:p w:rsidR="00343AE5" w:rsidRDefault="00343AE5" w:rsidP="00343AE5">
      <w:pPr>
        <w:spacing w:after="0" w:line="240" w:lineRule="auto"/>
        <w:rPr>
          <w:rFonts w:ascii="Times New Roman" w:eastAsia="Times New Roman" w:hAnsi="Times New Roman"/>
          <w:lang w:val="lt-LT"/>
        </w:rPr>
      </w:pPr>
    </w:p>
    <w:p w:rsidR="00343AE5" w:rsidRPr="002C6369" w:rsidRDefault="00343AE5" w:rsidP="00343AE5">
      <w:pPr>
        <w:spacing w:after="0" w:line="240" w:lineRule="auto"/>
        <w:rPr>
          <w:rFonts w:ascii="Times New Roman" w:eastAsia="Times New Roman" w:hAnsi="Times New Roman"/>
          <w:lang w:val="lt-LT"/>
        </w:rPr>
      </w:pPr>
      <w:r w:rsidRPr="002C6369">
        <w:rPr>
          <w:rFonts w:ascii="Times New Roman" w:eastAsia="Times New Roman" w:hAnsi="Times New Roman"/>
          <w:lang w:val="lt-LT"/>
        </w:rPr>
        <w:t>Novartis Farmacéutica, S.A.</w:t>
      </w:r>
    </w:p>
    <w:p w:rsidR="00343AE5" w:rsidRPr="002C6369" w:rsidRDefault="00343AE5" w:rsidP="00343AE5">
      <w:pPr>
        <w:spacing w:after="0" w:line="240" w:lineRule="auto"/>
        <w:rPr>
          <w:rFonts w:ascii="Times New Roman" w:eastAsia="Times New Roman" w:hAnsi="Times New Roman"/>
          <w:lang w:val="lt-LT"/>
        </w:rPr>
      </w:pPr>
      <w:r w:rsidRPr="002C6369">
        <w:rPr>
          <w:rFonts w:ascii="Times New Roman" w:eastAsia="Times New Roman" w:hAnsi="Times New Roman"/>
          <w:lang w:val="lt-LT"/>
        </w:rPr>
        <w:t>Gran Via de les Corts Catalanes, 764</w:t>
      </w:r>
    </w:p>
    <w:p w:rsidR="00343AE5" w:rsidRPr="002C6369" w:rsidRDefault="00343AE5" w:rsidP="00343AE5">
      <w:pPr>
        <w:spacing w:after="0" w:line="240" w:lineRule="auto"/>
        <w:rPr>
          <w:rFonts w:ascii="Times New Roman" w:eastAsia="Times New Roman" w:hAnsi="Times New Roman"/>
          <w:lang w:val="lt-LT"/>
        </w:rPr>
      </w:pPr>
      <w:r w:rsidRPr="002C6369">
        <w:rPr>
          <w:rFonts w:ascii="Times New Roman" w:eastAsia="Times New Roman" w:hAnsi="Times New Roman"/>
          <w:lang w:val="lt-LT"/>
        </w:rPr>
        <w:t>08013 Barcelona</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Ispanija</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Jeigu apie šį vaistą norite sužinoti daugiau, kreipkitės į vietinį registruotojo atstovą.</w:t>
      </w:r>
    </w:p>
    <w:p w:rsidR="00343AE5" w:rsidRDefault="00343AE5" w:rsidP="00343AE5">
      <w:pPr>
        <w:spacing w:after="0" w:line="240" w:lineRule="auto"/>
        <w:rPr>
          <w:rFonts w:ascii="Times New Roman" w:eastAsia="Times New Roman" w:hAnsi="Times New Roman"/>
          <w:lang w:val="lt-LT"/>
        </w:rPr>
      </w:pP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lang w:val="lt-LT"/>
        </w:rPr>
        <w:t>SIA Novartis Baltics Lietuvos filialas</w:t>
      </w:r>
    </w:p>
    <w:p w:rsidR="00343AE5" w:rsidRDefault="00343AE5" w:rsidP="00343AE5">
      <w:pPr>
        <w:spacing w:after="0" w:line="240" w:lineRule="auto"/>
        <w:rPr>
          <w:rFonts w:ascii="Times New Roman" w:eastAsia="Times New Roman" w:hAnsi="Times New Roman"/>
          <w:bCs/>
          <w:iCs/>
          <w:lang w:val="lt-LT"/>
        </w:rPr>
      </w:pPr>
      <w:r>
        <w:rPr>
          <w:rFonts w:ascii="Times New Roman" w:eastAsia="Times New Roman" w:hAnsi="Times New Roman"/>
          <w:bCs/>
          <w:iCs/>
          <w:lang w:val="lt-LT"/>
        </w:rPr>
        <w:t>Upės g. 19-1</w:t>
      </w:r>
    </w:p>
    <w:p w:rsidR="00343AE5" w:rsidRDefault="00343AE5" w:rsidP="00343AE5">
      <w:pPr>
        <w:spacing w:after="0" w:line="240" w:lineRule="auto"/>
        <w:rPr>
          <w:rFonts w:ascii="Times New Roman" w:eastAsia="Times New Roman" w:hAnsi="Times New Roman"/>
          <w:bCs/>
          <w:iCs/>
          <w:lang w:val="lt-LT"/>
        </w:rPr>
      </w:pPr>
      <w:r>
        <w:rPr>
          <w:rFonts w:ascii="Times New Roman" w:eastAsia="Times New Roman" w:hAnsi="Times New Roman"/>
          <w:bCs/>
          <w:iCs/>
          <w:lang w:val="lt-LT"/>
        </w:rPr>
        <w:t>LT-</w:t>
      </w:r>
      <w:r>
        <w:rPr>
          <w:rFonts w:ascii="Times New Roman" w:eastAsia="Times New Roman" w:hAnsi="Times New Roman"/>
          <w:bCs/>
          <w:iCs/>
        </w:rPr>
        <w:t xml:space="preserve">08128 </w:t>
      </w:r>
      <w:r>
        <w:rPr>
          <w:rFonts w:ascii="Times New Roman" w:eastAsia="Times New Roman" w:hAnsi="Times New Roman"/>
          <w:bCs/>
          <w:iCs/>
          <w:lang w:val="lt-LT"/>
        </w:rPr>
        <w:t>Vilnius</w:t>
      </w:r>
    </w:p>
    <w:p w:rsidR="00343AE5" w:rsidRDefault="00343AE5" w:rsidP="00343AE5">
      <w:pPr>
        <w:spacing w:after="0" w:line="240" w:lineRule="auto"/>
        <w:rPr>
          <w:rFonts w:ascii="Times New Roman" w:eastAsia="Times New Roman" w:hAnsi="Times New Roman"/>
          <w:lang w:val="lt-LT"/>
        </w:rPr>
      </w:pPr>
      <w:r>
        <w:rPr>
          <w:rFonts w:ascii="Times New Roman" w:eastAsia="Times New Roman" w:hAnsi="Times New Roman"/>
          <w:bCs/>
          <w:iCs/>
          <w:lang w:val="lt-LT"/>
        </w:rPr>
        <w:t>Tel. + 370 5 269 1650</w:t>
      </w:r>
    </w:p>
    <w:p w:rsidR="00343AE5" w:rsidRDefault="00343AE5" w:rsidP="00343AE5">
      <w:pPr>
        <w:spacing w:after="0" w:line="240" w:lineRule="auto"/>
        <w:rPr>
          <w:rFonts w:ascii="Times New Roman" w:eastAsia="Times New Roman" w:hAnsi="Times New Roman"/>
          <w:lang w:val="lt-LT" w:eastAsia="lt-LT"/>
        </w:rPr>
      </w:pPr>
    </w:p>
    <w:p w:rsidR="00343AE5" w:rsidRDefault="00343AE5" w:rsidP="00343AE5">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Šis pakuotės lapelis paskutinį kartą peržiūrėtas 2025-02-01. </w:t>
      </w:r>
    </w:p>
    <w:p w:rsidR="00343AE5" w:rsidRDefault="00343AE5" w:rsidP="00343AE5">
      <w:pPr>
        <w:spacing w:after="0" w:line="240" w:lineRule="auto"/>
        <w:jc w:val="both"/>
        <w:rPr>
          <w:rFonts w:ascii="Times New Roman" w:eastAsia="Times New Roman" w:hAnsi="Times New Roman"/>
          <w:b/>
          <w:lang w:val="lt-LT" w:eastAsia="lt-LT"/>
        </w:rPr>
      </w:pPr>
    </w:p>
    <w:p w:rsidR="00343AE5" w:rsidRDefault="00343AE5" w:rsidP="00343AE5">
      <w:pPr>
        <w:tabs>
          <w:tab w:val="left" w:pos="567"/>
        </w:tabs>
        <w:spacing w:after="0" w:line="240" w:lineRule="auto"/>
        <w:rPr>
          <w:rFonts w:ascii="Times New Roman" w:eastAsia="Times New Roman" w:hAnsi="Times New Roman"/>
          <w:color w:val="0000FF"/>
          <w:lang w:val="lt-LT"/>
        </w:rPr>
      </w:pPr>
      <w:r w:rsidRPr="00933A99">
        <w:rPr>
          <w:rFonts w:ascii="Times New Roman" w:eastAsia="Times New Roman" w:hAnsi="Times New Roman"/>
          <w:lang w:val="lt-LT"/>
        </w:rPr>
        <w:t xml:space="preserve">Išsami informacija apie šį vaistą </w:t>
      </w:r>
      <w:r w:rsidRPr="00F436AF">
        <w:rPr>
          <w:rFonts w:ascii="Times New Roman" w:eastAsia="Times New Roman" w:hAnsi="Times New Roman"/>
          <w:lang w:val="lt-LT"/>
        </w:rPr>
        <w:t>pateikiama Valstybinės vaistų kontrolės tarnybos prie Lietuvos Respublikos sveikatos apsaugos ministerijos tinklalapyje</w:t>
      </w:r>
      <w:r w:rsidRPr="00F436AF">
        <w:rPr>
          <w:rFonts w:ascii="Times New Roman" w:eastAsia="Times New Roman" w:hAnsi="Times New Roman"/>
          <w:i/>
          <w:lang w:val="lt-LT"/>
        </w:rPr>
        <w:t xml:space="preserve"> </w:t>
      </w:r>
      <w:hyperlink r:id="rId11" w:history="1">
        <w:r w:rsidRPr="008E7327">
          <w:rPr>
            <w:rStyle w:val="Hipersaitas"/>
            <w:rFonts w:ascii="Times New Roman" w:eastAsia="Times New Roman" w:hAnsi="Times New Roman"/>
            <w:lang w:val="lt-LT"/>
          </w:rPr>
          <w:t>https://vvkt.lrv.lt/lt/</w:t>
        </w:r>
      </w:hyperlink>
      <w:r w:rsidRPr="0073168F">
        <w:rPr>
          <w:rFonts w:ascii="Times New Roman" w:eastAsia="Times New Roman" w:hAnsi="Times New Roman"/>
          <w:color w:val="0000FF"/>
          <w:lang w:val="lt-LT"/>
        </w:rPr>
        <w:t>.</w:t>
      </w:r>
    </w:p>
    <w:p w:rsidR="00343AE5" w:rsidRPr="00933A99" w:rsidRDefault="00343AE5" w:rsidP="00343AE5">
      <w:pPr>
        <w:tabs>
          <w:tab w:val="left" w:pos="567"/>
        </w:tabs>
        <w:spacing w:after="0" w:line="240" w:lineRule="auto"/>
        <w:rPr>
          <w:rFonts w:ascii="Times New Roman" w:eastAsia="Times New Roman" w:hAnsi="Times New Roman"/>
          <w:color w:val="0000FF"/>
          <w:lang w:val="lt-LT"/>
        </w:rPr>
      </w:pP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udir MT">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E8492E"/>
    <w:multiLevelType w:val="hybridMultilevel"/>
    <w:tmpl w:val="9D58D0CE"/>
    <w:lvl w:ilvl="0" w:tplc="04090003">
      <w:start w:val="1"/>
      <w:numFmt w:val="bullet"/>
      <w:lvlText w:val="o"/>
      <w:lvlJc w:val="left"/>
      <w:pPr>
        <w:tabs>
          <w:tab w:val="num" w:pos="1428"/>
        </w:tabs>
        <w:ind w:left="1428" w:hanging="360"/>
      </w:pPr>
      <w:rPr>
        <w:rFonts w:ascii="Courier New" w:hAnsi="Courier New" w:cs="Courier New" w:hint="default"/>
      </w:rPr>
    </w:lvl>
    <w:lvl w:ilvl="1" w:tplc="04090003">
      <w:start w:val="1"/>
      <w:numFmt w:val="bullet"/>
      <w:lvlText w:val="o"/>
      <w:lvlJc w:val="left"/>
      <w:pPr>
        <w:tabs>
          <w:tab w:val="num" w:pos="2148"/>
        </w:tabs>
        <w:ind w:left="2148" w:hanging="360"/>
      </w:pPr>
      <w:rPr>
        <w:rFonts w:ascii="Courier New" w:hAnsi="Courier New" w:cs="Courier New" w:hint="default"/>
      </w:rPr>
    </w:lvl>
    <w:lvl w:ilvl="2" w:tplc="04090005">
      <w:start w:val="1"/>
      <w:numFmt w:val="bullet"/>
      <w:lvlText w:val=""/>
      <w:lvlJc w:val="left"/>
      <w:pPr>
        <w:tabs>
          <w:tab w:val="num" w:pos="2868"/>
        </w:tabs>
        <w:ind w:left="2868" w:hanging="360"/>
      </w:pPr>
      <w:rPr>
        <w:rFonts w:ascii="Wingdings" w:hAnsi="Wingdings" w:hint="default"/>
      </w:rPr>
    </w:lvl>
    <w:lvl w:ilvl="3" w:tplc="04090001">
      <w:start w:val="1"/>
      <w:numFmt w:val="bullet"/>
      <w:lvlText w:val=""/>
      <w:lvlJc w:val="left"/>
      <w:pPr>
        <w:tabs>
          <w:tab w:val="num" w:pos="3588"/>
        </w:tabs>
        <w:ind w:left="3588" w:hanging="360"/>
      </w:pPr>
      <w:rPr>
        <w:rFonts w:ascii="Symbol" w:hAnsi="Symbol" w:hint="default"/>
      </w:rPr>
    </w:lvl>
    <w:lvl w:ilvl="4" w:tplc="04090003">
      <w:start w:val="1"/>
      <w:numFmt w:val="bullet"/>
      <w:lvlText w:val="o"/>
      <w:lvlJc w:val="left"/>
      <w:pPr>
        <w:tabs>
          <w:tab w:val="num" w:pos="4308"/>
        </w:tabs>
        <w:ind w:left="4308" w:hanging="360"/>
      </w:pPr>
      <w:rPr>
        <w:rFonts w:ascii="Courier New" w:hAnsi="Courier New" w:cs="Courier New" w:hint="default"/>
      </w:rPr>
    </w:lvl>
    <w:lvl w:ilvl="5" w:tplc="04090005">
      <w:start w:val="1"/>
      <w:numFmt w:val="bullet"/>
      <w:lvlText w:val=""/>
      <w:lvlJc w:val="left"/>
      <w:pPr>
        <w:tabs>
          <w:tab w:val="num" w:pos="5028"/>
        </w:tabs>
        <w:ind w:left="5028" w:hanging="360"/>
      </w:pPr>
      <w:rPr>
        <w:rFonts w:ascii="Wingdings" w:hAnsi="Wingdings" w:hint="default"/>
      </w:rPr>
    </w:lvl>
    <w:lvl w:ilvl="6" w:tplc="04090001">
      <w:start w:val="1"/>
      <w:numFmt w:val="bullet"/>
      <w:lvlText w:val=""/>
      <w:lvlJc w:val="left"/>
      <w:pPr>
        <w:tabs>
          <w:tab w:val="num" w:pos="5748"/>
        </w:tabs>
        <w:ind w:left="5748" w:hanging="360"/>
      </w:pPr>
      <w:rPr>
        <w:rFonts w:ascii="Symbol" w:hAnsi="Symbol" w:hint="default"/>
      </w:rPr>
    </w:lvl>
    <w:lvl w:ilvl="7" w:tplc="04090003">
      <w:start w:val="1"/>
      <w:numFmt w:val="bullet"/>
      <w:lvlText w:val="o"/>
      <w:lvlJc w:val="left"/>
      <w:pPr>
        <w:tabs>
          <w:tab w:val="num" w:pos="6468"/>
        </w:tabs>
        <w:ind w:left="6468" w:hanging="360"/>
      </w:pPr>
      <w:rPr>
        <w:rFonts w:ascii="Courier New" w:hAnsi="Courier New" w:cs="Courier New" w:hint="default"/>
      </w:rPr>
    </w:lvl>
    <w:lvl w:ilvl="8" w:tplc="04090005">
      <w:start w:val="1"/>
      <w:numFmt w:val="bullet"/>
      <w:lvlText w:val=""/>
      <w:lvlJc w:val="left"/>
      <w:pPr>
        <w:tabs>
          <w:tab w:val="num" w:pos="7188"/>
        </w:tabs>
        <w:ind w:left="7188" w:hanging="360"/>
      </w:pPr>
      <w:rPr>
        <w:rFonts w:ascii="Wingdings" w:hAnsi="Wingdings" w:hint="default"/>
      </w:rPr>
    </w:lvl>
  </w:abstractNum>
  <w:abstractNum w:abstractNumId="1" w15:restartNumberingAfterBreak="0">
    <w:nsid w:val="0A3956F1"/>
    <w:multiLevelType w:val="hybridMultilevel"/>
    <w:tmpl w:val="5BFA163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DD77088"/>
    <w:multiLevelType w:val="hybridMultilevel"/>
    <w:tmpl w:val="DE8409C2"/>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3400C46"/>
    <w:multiLevelType w:val="hybridMultilevel"/>
    <w:tmpl w:val="2EE8C990"/>
    <w:lvl w:ilvl="0" w:tplc="0807000F">
      <w:start w:val="1"/>
      <w:numFmt w:val="decimal"/>
      <w:lvlText w:val="%1."/>
      <w:lvlJc w:val="left"/>
      <w:pPr>
        <w:tabs>
          <w:tab w:val="num" w:pos="720"/>
        </w:tabs>
        <w:ind w:left="720" w:hanging="360"/>
      </w:pPr>
    </w:lvl>
    <w:lvl w:ilvl="1" w:tplc="08070019">
      <w:start w:val="1"/>
      <w:numFmt w:val="lowerLetter"/>
      <w:lvlText w:val="%2."/>
      <w:lvlJc w:val="left"/>
      <w:pPr>
        <w:tabs>
          <w:tab w:val="num" w:pos="1440"/>
        </w:tabs>
        <w:ind w:left="1440" w:hanging="360"/>
      </w:pPr>
    </w:lvl>
    <w:lvl w:ilvl="2" w:tplc="0807001B">
      <w:start w:val="1"/>
      <w:numFmt w:val="lowerRoman"/>
      <w:lvlText w:val="%3."/>
      <w:lvlJc w:val="right"/>
      <w:pPr>
        <w:tabs>
          <w:tab w:val="num" w:pos="2160"/>
        </w:tabs>
        <w:ind w:left="2160" w:hanging="180"/>
      </w:pPr>
    </w:lvl>
    <w:lvl w:ilvl="3" w:tplc="0807000F">
      <w:start w:val="1"/>
      <w:numFmt w:val="decimal"/>
      <w:lvlText w:val="%4."/>
      <w:lvlJc w:val="left"/>
      <w:pPr>
        <w:tabs>
          <w:tab w:val="num" w:pos="2880"/>
        </w:tabs>
        <w:ind w:left="2880" w:hanging="360"/>
      </w:pPr>
    </w:lvl>
    <w:lvl w:ilvl="4" w:tplc="08070019">
      <w:start w:val="1"/>
      <w:numFmt w:val="lowerLetter"/>
      <w:lvlText w:val="%5."/>
      <w:lvlJc w:val="left"/>
      <w:pPr>
        <w:tabs>
          <w:tab w:val="num" w:pos="3600"/>
        </w:tabs>
        <w:ind w:left="3600" w:hanging="360"/>
      </w:pPr>
    </w:lvl>
    <w:lvl w:ilvl="5" w:tplc="0807001B">
      <w:start w:val="1"/>
      <w:numFmt w:val="lowerRoman"/>
      <w:lvlText w:val="%6."/>
      <w:lvlJc w:val="right"/>
      <w:pPr>
        <w:tabs>
          <w:tab w:val="num" w:pos="4320"/>
        </w:tabs>
        <w:ind w:left="4320" w:hanging="180"/>
      </w:pPr>
    </w:lvl>
    <w:lvl w:ilvl="6" w:tplc="0807000F">
      <w:start w:val="1"/>
      <w:numFmt w:val="decimal"/>
      <w:lvlText w:val="%7."/>
      <w:lvlJc w:val="left"/>
      <w:pPr>
        <w:tabs>
          <w:tab w:val="num" w:pos="5040"/>
        </w:tabs>
        <w:ind w:left="5040" w:hanging="360"/>
      </w:pPr>
    </w:lvl>
    <w:lvl w:ilvl="7" w:tplc="08070019">
      <w:start w:val="1"/>
      <w:numFmt w:val="lowerLetter"/>
      <w:lvlText w:val="%8."/>
      <w:lvlJc w:val="left"/>
      <w:pPr>
        <w:tabs>
          <w:tab w:val="num" w:pos="5760"/>
        </w:tabs>
        <w:ind w:left="5760" w:hanging="360"/>
      </w:pPr>
    </w:lvl>
    <w:lvl w:ilvl="8" w:tplc="0807001B">
      <w:start w:val="1"/>
      <w:numFmt w:val="lowerRoman"/>
      <w:lvlText w:val="%9."/>
      <w:lvlJc w:val="right"/>
      <w:pPr>
        <w:tabs>
          <w:tab w:val="num" w:pos="6480"/>
        </w:tabs>
        <w:ind w:left="6480" w:hanging="180"/>
      </w:pPr>
    </w:lvl>
  </w:abstractNum>
  <w:abstractNum w:abstractNumId="4" w15:restartNumberingAfterBreak="0">
    <w:nsid w:val="2CF0361A"/>
    <w:multiLevelType w:val="hybridMultilevel"/>
    <w:tmpl w:val="223263BE"/>
    <w:lvl w:ilvl="0" w:tplc="0C0A0001">
      <w:start w:val="1"/>
      <w:numFmt w:val="bullet"/>
      <w:lvlText w:val=""/>
      <w:lvlJc w:val="left"/>
      <w:pPr>
        <w:ind w:left="720" w:hanging="360"/>
      </w:pPr>
      <w:rPr>
        <w:rFonts w:ascii="Symbol" w:hAnsi="Symbol" w:hint="default"/>
      </w:rPr>
    </w:lvl>
    <w:lvl w:ilvl="1" w:tplc="8900299E">
      <w:start w:val="1"/>
      <w:numFmt w:val="bullet"/>
      <w:lvlText w:val=""/>
      <w:lvlJc w:val="left"/>
      <w:pPr>
        <w:ind w:left="1440" w:hanging="360"/>
      </w:pPr>
      <w:rPr>
        <w:rFonts w:ascii="Mudir MT" w:hAnsi="Mudir MT"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5" w15:restartNumberingAfterBreak="0">
    <w:nsid w:val="4F107103"/>
    <w:multiLevelType w:val="hybridMultilevel"/>
    <w:tmpl w:val="ADE6CED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534D0761"/>
    <w:multiLevelType w:val="hybridMultilevel"/>
    <w:tmpl w:val="85B88228"/>
    <w:lvl w:ilvl="0" w:tplc="FACE4EE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6F740296"/>
    <w:multiLevelType w:val="hybridMultilevel"/>
    <w:tmpl w:val="B09CC28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2"/>
  </w:num>
  <w:num w:numId="4">
    <w:abstractNumId w:val="0"/>
  </w:num>
  <w:num w:numId="5">
    <w:abstractNumId w:val="5"/>
  </w:num>
  <w:num w:numId="6">
    <w:abstractNumId w:val="3"/>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AE5"/>
    <w:rsid w:val="00072F85"/>
    <w:rsid w:val="000A5E72"/>
    <w:rsid w:val="000A7B60"/>
    <w:rsid w:val="00181364"/>
    <w:rsid w:val="002945D9"/>
    <w:rsid w:val="00305C48"/>
    <w:rsid w:val="003362C6"/>
    <w:rsid w:val="00343AE5"/>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98910459-EC75-4163-8A7E-D9E74E2F5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43AE5"/>
    <w:pPr>
      <w:spacing w:after="200" w:line="27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nhideWhenUsed/>
    <w:rsid w:val="00343AE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vvkt.lrv.lt/lt/" TargetMode="External"/><Relationship Id="rId5" Type="http://schemas.openxmlformats.org/officeDocument/2006/relationships/image" Target="media/image1.png"/><Relationship Id="rId10"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8405</Words>
  <Characters>4792</Characters>
  <Application>Microsoft Office Word</Application>
  <DocSecurity>0</DocSecurity>
  <Lines>39</Lines>
  <Paragraphs>26</Paragraphs>
  <ScaleCrop>false</ScaleCrop>
  <HeadingPairs>
    <vt:vector size="4" baseType="variant">
      <vt:variant>
        <vt:lpstr>Pavadinimas</vt:lpstr>
      </vt:variant>
      <vt:variant>
        <vt:i4>1</vt:i4>
      </vt:variant>
      <vt:variant>
        <vt:lpstr>Antraštės</vt:lpstr>
      </vt:variant>
      <vt:variant>
        <vt:i4>10</vt:i4>
      </vt:variant>
    </vt:vector>
  </HeadingPairs>
  <TitlesOfParts>
    <vt:vector size="11" baseType="lpstr">
      <vt:lpstr/>
      <vt:lpstr>Pakuotės lapelis: informacija vartotojui</vt:lpstr>
      <vt:lpstr>    1.	Kas yra Maxitrol ir kam jis vartojamas</vt:lpstr>
      <vt:lpstr>    2.	Kas žinotina prieš vartojant Maxitrol</vt:lpstr>
      <vt:lpstr/>
      <vt:lpstr>    3.	Kaip vartoti Maxitrol</vt:lpstr>
      <vt:lpstr>    DAUGIAU PATARIMŲ – KITOJE LAPELIO PUSĖJE</vt:lpstr>
      <vt:lpstr>    / </vt:lpstr>
      <vt:lpstr>    4.	Galimas šalutinis poveikis</vt:lpstr>
      <vt:lpstr>    5.	Kaip laikyti Maxitrol</vt:lpstr>
      <vt:lpstr>    6.	Pakuotės turinys ir kita informacija</vt:lpstr>
    </vt:vector>
  </TitlesOfParts>
  <Company/>
  <LinksUpToDate>false</LinksUpToDate>
  <CharactersWithSpaces>13171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2025-02-18T07:24:00Z</dcterms:created>
  <dcterms:modified xsi:type="dcterms:W3CDTF">2025-02-18T07:25:00Z</dcterms:modified>
</cp:coreProperties>
</file>