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F641B" w14:textId="77777777" w:rsidR="004B5565" w:rsidRPr="00E82419" w:rsidRDefault="004B5565" w:rsidP="004B5565">
      <w:pPr>
        <w:spacing w:after="0" w:line="240" w:lineRule="auto"/>
        <w:rPr>
          <w:rFonts w:ascii="Times New Roman" w:eastAsia="Times New Roman" w:hAnsi="Times New Roman" w:cs="Times New Roman"/>
          <w:lang w:val="lt-LT" w:eastAsia="en-US"/>
        </w:rPr>
      </w:pPr>
      <w:bookmarkStart w:id="0" w:name="_Toc129243263"/>
      <w:bookmarkStart w:id="1" w:name="_Toc129243138"/>
    </w:p>
    <w:p w14:paraId="5840347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22A0FE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2B0D3C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4B86DD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25B1CC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C6B332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795BEC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6C5865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2BF25C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A18EDE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6C847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323EF7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4A5FD8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EFBC2F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B743E6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8B9F4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86981A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29F422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2BA8AC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6A79E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4D3D16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D14927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943AE5C" w14:textId="77777777" w:rsidR="004B5565" w:rsidRPr="00E82419" w:rsidRDefault="004B5565" w:rsidP="004B5565">
      <w:pPr>
        <w:tabs>
          <w:tab w:val="left" w:pos="567"/>
        </w:tabs>
        <w:spacing w:after="0" w:line="240" w:lineRule="auto"/>
        <w:jc w:val="center"/>
        <w:outlineLvl w:val="0"/>
        <w:rPr>
          <w:rFonts w:ascii="Times New Roman" w:eastAsia="Times New Roman" w:hAnsi="Times New Roman" w:cs="Times New Roman"/>
          <w:b/>
          <w:caps/>
          <w:lang w:val="lt-LT" w:eastAsia="en-US"/>
        </w:rPr>
      </w:pPr>
      <w:bookmarkStart w:id="2" w:name="_Toc129243096"/>
      <w:bookmarkStart w:id="3" w:name="_Toc129243221"/>
      <w:r w:rsidRPr="00E82419">
        <w:rPr>
          <w:rFonts w:ascii="Times New Roman" w:eastAsia="Times New Roman" w:hAnsi="Times New Roman" w:cs="Times New Roman"/>
          <w:b/>
          <w:caps/>
          <w:lang w:val="lt-LT" w:eastAsia="en-US"/>
        </w:rPr>
        <w:t>I PRIEDAS</w:t>
      </w:r>
      <w:bookmarkEnd w:id="2"/>
      <w:bookmarkEnd w:id="3"/>
    </w:p>
    <w:p w14:paraId="0484ABB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0BBFFA4" w14:textId="77777777" w:rsidR="004B5565" w:rsidRPr="00E82419" w:rsidRDefault="004B5565" w:rsidP="004B556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4" w:name="_Toc129243097"/>
      <w:bookmarkStart w:id="5" w:name="_Toc129243222"/>
      <w:r w:rsidRPr="00E82419">
        <w:rPr>
          <w:rFonts w:ascii="Times New Roman" w:eastAsia="Times New Roman" w:hAnsi="Times New Roman" w:cs="Times New Roman"/>
          <w:b/>
          <w:caps/>
          <w:lang w:val="lt-LT" w:eastAsia="en-US"/>
        </w:rPr>
        <w:t>PREPARATO CHARAKTERISTIKŲ SANTRAUKA</w:t>
      </w:r>
      <w:bookmarkEnd w:id="4"/>
      <w:bookmarkEnd w:id="5"/>
    </w:p>
    <w:p w14:paraId="774B1BF4" w14:textId="77777777" w:rsidR="004B5565" w:rsidRPr="00E82419" w:rsidRDefault="004B5565" w:rsidP="004B5565">
      <w:pPr>
        <w:keepNext/>
        <w:tabs>
          <w:tab w:val="left" w:pos="567"/>
        </w:tabs>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br w:type="page"/>
      </w:r>
    </w:p>
    <w:p w14:paraId="177C56B4"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lastRenderedPageBreak/>
        <w:t>1.</w:t>
      </w:r>
      <w:r w:rsidRPr="00E82419">
        <w:rPr>
          <w:rFonts w:ascii="Times New Roman" w:eastAsia="Times New Roman" w:hAnsi="Times New Roman" w:cs="Times New Roman"/>
          <w:b/>
          <w:caps/>
          <w:lang w:val="lt-LT" w:eastAsia="en-US"/>
        </w:rPr>
        <w:tab/>
        <w:t>VAISTINIO PREPARATO PAVADINIMAS</w:t>
      </w:r>
    </w:p>
    <w:p w14:paraId="181702F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DAAEA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250 mg/5 ml milteliai geriamajai suspensijai</w:t>
      </w:r>
    </w:p>
    <w:p w14:paraId="716C0BF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14233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49844E7"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2.</w:t>
      </w:r>
      <w:r w:rsidRPr="00E82419">
        <w:rPr>
          <w:rFonts w:ascii="Times New Roman" w:eastAsia="Times New Roman" w:hAnsi="Times New Roman" w:cs="Times New Roman"/>
          <w:b/>
          <w:caps/>
          <w:lang w:val="lt-LT" w:eastAsia="en-US"/>
        </w:rPr>
        <w:tab/>
        <w:t>KOKYBINĖ IR KIEKYBINĖ SUDĖTIS</w:t>
      </w:r>
    </w:p>
    <w:p w14:paraId="1098542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EE0DD9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 ml (1 matavimo šaukšte) paruoštos geriamosios suspensijos yra 250 mg cefadroksilio (monohidrato pavidalu).</w:t>
      </w:r>
    </w:p>
    <w:p w14:paraId="53A1D50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75577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u w:val="single"/>
          <w:lang w:val="lt-LT" w:eastAsia="en-US"/>
        </w:rPr>
        <w:t>Pagalbinė medžiaga, kurios poveikis žinomas</w:t>
      </w:r>
      <w:r w:rsidRPr="00E82419">
        <w:rPr>
          <w:rFonts w:ascii="Times New Roman" w:eastAsia="Times New Roman" w:hAnsi="Times New Roman" w:cs="Times New Roman"/>
          <w:lang w:val="lt-LT" w:eastAsia="en-US"/>
        </w:rPr>
        <w:t>: 5 ml paruoštos suspensijos yra 3,3855 g sacharozės</w:t>
      </w:r>
      <w:r w:rsidR="00FF3A23">
        <w:rPr>
          <w:rFonts w:ascii="Times New Roman" w:eastAsia="Times New Roman" w:hAnsi="Times New Roman" w:cs="Times New Roman"/>
          <w:lang w:val="lt-LT" w:eastAsia="en-US"/>
        </w:rPr>
        <w:t>, 0,86 mg sorbitolio, 0,64 mikrogramų sieros dioksido ir 3,83 mg etanolio.</w:t>
      </w:r>
    </w:p>
    <w:p w14:paraId="6AA92A5F"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Visos pagalbinės medžiagos išvardytos 6.1 skyriuje.</w:t>
      </w:r>
    </w:p>
    <w:p w14:paraId="76CB7CE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7841E4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289B08E"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3.</w:t>
      </w:r>
      <w:r w:rsidRPr="00E82419">
        <w:rPr>
          <w:rFonts w:ascii="Times New Roman" w:eastAsia="Times New Roman" w:hAnsi="Times New Roman" w:cs="Times New Roman"/>
          <w:b/>
          <w:caps/>
          <w:lang w:val="lt-LT" w:eastAsia="en-US"/>
        </w:rPr>
        <w:tab/>
        <w:t>FARMACINĖ FORMA</w:t>
      </w:r>
    </w:p>
    <w:p w14:paraId="174704B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A8BAA4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Milteliai geriamajai suspensijai.</w:t>
      </w:r>
    </w:p>
    <w:p w14:paraId="7B0F630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Balti ar šviesiai gelsvi milteliai.</w:t>
      </w:r>
    </w:p>
    <w:p w14:paraId="1857784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Paruošta suspensija yra baltos ar šviesiai gelsvos spalvos.</w:t>
      </w:r>
    </w:p>
    <w:p w14:paraId="6EAD5F1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C26749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A528590"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4.</w:t>
      </w:r>
      <w:r w:rsidRPr="00E82419">
        <w:rPr>
          <w:rFonts w:ascii="Times New Roman" w:eastAsia="Times New Roman" w:hAnsi="Times New Roman" w:cs="Times New Roman"/>
          <w:b/>
          <w:caps/>
          <w:lang w:val="lt-LT" w:eastAsia="en-US"/>
        </w:rPr>
        <w:tab/>
        <w:t>KLINIKINĖ INFORMACIJA</w:t>
      </w:r>
    </w:p>
    <w:p w14:paraId="0ADAC99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6739ADE"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4.1</w:t>
      </w:r>
      <w:r w:rsidRPr="00E82419">
        <w:rPr>
          <w:rFonts w:ascii="Times New Roman" w:eastAsia="Times New Roman" w:hAnsi="Times New Roman" w:cs="Times New Roman"/>
          <w:b/>
          <w:lang w:val="lt-LT" w:eastAsia="en-US"/>
        </w:rPr>
        <w:tab/>
        <w:t>Terapinės indikacijos</w:t>
      </w:r>
    </w:p>
    <w:p w14:paraId="1C08EC4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D5DFB8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Cefadroksiliui jautrių mikroorganizmų (žr. 5.1 skyrių) sukeltų infekcinių ligų gydymas:</w:t>
      </w:r>
    </w:p>
    <w:p w14:paraId="3987FED4" w14:textId="77777777" w:rsidR="004B5565" w:rsidRPr="00E82419" w:rsidRDefault="004B5565" w:rsidP="004B5565">
      <w:pPr>
        <w:numPr>
          <w:ilvl w:val="0"/>
          <w:numId w:val="9"/>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viršutinių kvėpavimo takų: faringito ir tonzilito;</w:t>
      </w:r>
    </w:p>
    <w:p w14:paraId="3147E41B" w14:textId="77777777" w:rsidR="004B5565" w:rsidRPr="00E82419" w:rsidRDefault="004B5565" w:rsidP="004B5565">
      <w:pPr>
        <w:numPr>
          <w:ilvl w:val="0"/>
          <w:numId w:val="9"/>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inkstų ir šlapimo takų: pielonefrito, cistito;</w:t>
      </w:r>
    </w:p>
    <w:p w14:paraId="2E06B886" w14:textId="77777777" w:rsidR="004B5565" w:rsidRPr="00E82419" w:rsidRDefault="004B5565" w:rsidP="004B5565">
      <w:pPr>
        <w:numPr>
          <w:ilvl w:val="0"/>
          <w:numId w:val="9"/>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odos ir poodinio audinio: absceso, furunkulo, impetigos, piodermijos.</w:t>
      </w:r>
    </w:p>
    <w:p w14:paraId="52E1C8E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AE5A9D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Reikia atsižvelgti į oficialias vietines tinkamo antimikrobinių preparatų vartojimo rekomendacijas.</w:t>
      </w:r>
    </w:p>
    <w:p w14:paraId="17B1D8C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CD70AB0"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4.2</w:t>
      </w:r>
      <w:r w:rsidRPr="00E82419">
        <w:rPr>
          <w:rFonts w:ascii="Times New Roman" w:eastAsia="Times New Roman" w:hAnsi="Times New Roman" w:cs="Times New Roman"/>
          <w:b/>
          <w:lang w:val="lt-LT" w:eastAsia="en-US"/>
        </w:rPr>
        <w:tab/>
        <w:t>Dozavimas ir vartojimo metodas</w:t>
      </w:r>
    </w:p>
    <w:p w14:paraId="00C1D01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658C724"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Dozavimas</w:t>
      </w:r>
    </w:p>
    <w:p w14:paraId="36DC802E"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Dozavimas priklauso nuo</w:t>
      </w:r>
      <w:r w:rsidRPr="00E82419">
        <w:rPr>
          <w:rFonts w:ascii="Times New Roman" w:eastAsia="Times New Roman" w:hAnsi="Times New Roman" w:cs="Times New Roman"/>
          <w:lang w:val="lt-LT" w:eastAsia="en-US"/>
        </w:rPr>
        <w:t xml:space="preserve"> infekcinės ligos rūšies ir sunkumo, ligos sukėlėjo jautrumo, paciento amžiaus, kūno svorio ir inkstų veiklos.</w:t>
      </w:r>
    </w:p>
    <w:p w14:paraId="442E2A5B"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686"/>
        <w:gridCol w:w="3118"/>
      </w:tblGrid>
      <w:tr w:rsidR="004B5565" w:rsidRPr="00A4553D" w14:paraId="07F98E93" w14:textId="77777777" w:rsidTr="00520788">
        <w:tc>
          <w:tcPr>
            <w:tcW w:w="1951" w:type="dxa"/>
          </w:tcPr>
          <w:p w14:paraId="3A1BCBB6"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5762D91C"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Indikacijos</w:t>
            </w:r>
          </w:p>
        </w:tc>
        <w:tc>
          <w:tcPr>
            <w:tcW w:w="3686" w:type="dxa"/>
          </w:tcPr>
          <w:p w14:paraId="062FF8C4"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 xml:space="preserve">Pacientai (suaugę žmonės ir daugiau kaip 40 kg sveriantys paaugliai), kurių normali inkstų veikla </w:t>
            </w:r>
          </w:p>
        </w:tc>
        <w:tc>
          <w:tcPr>
            <w:tcW w:w="3118" w:type="dxa"/>
          </w:tcPr>
          <w:p w14:paraId="796738C3"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Mažiau kaip 40 kg sveriantys vaikai, kurių normali inkstų veikla</w:t>
            </w:r>
          </w:p>
        </w:tc>
      </w:tr>
      <w:tr w:rsidR="004B5565" w:rsidRPr="00A4553D" w14:paraId="1E785F04" w14:textId="77777777" w:rsidTr="00520788">
        <w:tc>
          <w:tcPr>
            <w:tcW w:w="1951" w:type="dxa"/>
          </w:tcPr>
          <w:p w14:paraId="0BDF491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Inkstų ir šlapimo takų infekcinės ligos</w:t>
            </w:r>
          </w:p>
        </w:tc>
        <w:tc>
          <w:tcPr>
            <w:tcW w:w="3686" w:type="dxa"/>
          </w:tcPr>
          <w:p w14:paraId="1003A6D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2 g per parą. Ji padalijama į 2 lygias vienkartines. Įprasta dozė nekomplikuotoms apatinių šlapimo takų infekcinėms ligoms (t.y. cistitui) gydyti yra 1 g arba 2 g per parą. Ji išgeriama iš karto arba padalijama į 2 lygias vienkartines.</w:t>
            </w:r>
          </w:p>
          <w:p w14:paraId="772525E7"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p>
        </w:tc>
        <w:tc>
          <w:tcPr>
            <w:tcW w:w="3118" w:type="dxa"/>
          </w:tcPr>
          <w:p w14:paraId="672C02E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Paros dozė yra 25 – 50 mg /kg kūno svorio. Ją reikia gerti per du kartus. </w:t>
            </w:r>
          </w:p>
        </w:tc>
      </w:tr>
      <w:tr w:rsidR="004B5565" w:rsidRPr="00A4553D" w14:paraId="24BCE17C" w14:textId="77777777" w:rsidTr="00520788">
        <w:tc>
          <w:tcPr>
            <w:tcW w:w="1951" w:type="dxa"/>
          </w:tcPr>
          <w:p w14:paraId="0AE1E30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Odos ir poodinio audinio infekcinės ligos </w:t>
            </w:r>
          </w:p>
        </w:tc>
        <w:tc>
          <w:tcPr>
            <w:tcW w:w="3686" w:type="dxa"/>
          </w:tcPr>
          <w:p w14:paraId="16CFAE2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1 g per parą. Ji išgeriama iš karto arba padalijama į 2 lygias vienkartines.</w:t>
            </w:r>
          </w:p>
          <w:p w14:paraId="3858FEDC"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p>
        </w:tc>
        <w:tc>
          <w:tcPr>
            <w:tcW w:w="3118" w:type="dxa"/>
          </w:tcPr>
          <w:p w14:paraId="49361EF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Paros dozė yra 25 – 50 mg /kg kūno svorio. Ji išgeriama iš karto arba padalijama į 2 lygias vienkartines.</w:t>
            </w:r>
          </w:p>
          <w:p w14:paraId="3C4E5919" w14:textId="77777777" w:rsidR="004B5565" w:rsidRPr="00E82419" w:rsidRDefault="004B5565" w:rsidP="004B5565">
            <w:pPr>
              <w:spacing w:after="0" w:line="240" w:lineRule="auto"/>
              <w:rPr>
                <w:rFonts w:ascii="Times New Roman" w:eastAsia="Times New Roman" w:hAnsi="Times New Roman" w:cs="Times New Roman"/>
                <w:lang w:val="lt-LT" w:eastAsia="en-US"/>
              </w:rPr>
            </w:pPr>
          </w:p>
        </w:tc>
      </w:tr>
      <w:tr w:rsidR="004B5565" w:rsidRPr="00E82419" w14:paraId="3D5C8FE9" w14:textId="77777777" w:rsidTr="00520788">
        <w:tc>
          <w:tcPr>
            <w:tcW w:w="1951" w:type="dxa"/>
          </w:tcPr>
          <w:p w14:paraId="7D231DDF"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lastRenderedPageBreak/>
              <w:t>Streptokokų sukeltas faringitas ar tonzilitas</w:t>
            </w:r>
          </w:p>
        </w:tc>
        <w:tc>
          <w:tcPr>
            <w:tcW w:w="3686" w:type="dxa"/>
          </w:tcPr>
          <w:p w14:paraId="473DED5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A grupės β hemolizinių streptokokų sukeltam faringitui ir tonzilitui gydyti yra 1 g per parą. Ji išgeriama iš karto arba padalijama į 2 lygias vienkartines. Vaistinis preparatas vartojamas 10 parų.</w:t>
            </w:r>
          </w:p>
        </w:tc>
        <w:tc>
          <w:tcPr>
            <w:tcW w:w="3118" w:type="dxa"/>
          </w:tcPr>
          <w:p w14:paraId="2DC63FA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Gerti ne mažiau kaip 10 parų. Paros dozė yra 25 – 50 mg /kg kūno svorio. Ji išgeriama iš karto arba padalijama į 2 lygias vienkartines.</w:t>
            </w:r>
          </w:p>
          <w:p w14:paraId="2983B8FD" w14:textId="77777777" w:rsidR="004B5565" w:rsidRPr="00E82419" w:rsidRDefault="004B5565" w:rsidP="004B5565">
            <w:pPr>
              <w:spacing w:after="0" w:line="240" w:lineRule="auto"/>
              <w:rPr>
                <w:rFonts w:ascii="Times New Roman" w:eastAsia="Times New Roman" w:hAnsi="Times New Roman" w:cs="Times New Roman"/>
                <w:lang w:val="lt-LT" w:eastAsia="en-US"/>
              </w:rPr>
            </w:pPr>
          </w:p>
        </w:tc>
      </w:tr>
    </w:tbl>
    <w:p w14:paraId="2309BADB" w14:textId="77777777" w:rsidR="00D403F8" w:rsidRPr="00E82419" w:rsidRDefault="00D403F8" w:rsidP="00157E61">
      <w:pPr>
        <w:spacing w:after="0" w:line="240" w:lineRule="auto"/>
        <w:rPr>
          <w:rFonts w:ascii="Times New Roman" w:eastAsia="Times New Roman" w:hAnsi="Times New Roman" w:cs="Times New Roman"/>
          <w:u w:val="single"/>
          <w:lang w:val="lt-LT" w:eastAsia="en-US"/>
        </w:rPr>
      </w:pPr>
    </w:p>
    <w:p w14:paraId="47523BE6" w14:textId="77777777" w:rsidR="004B5565" w:rsidRPr="00E82419" w:rsidRDefault="004B5565" w:rsidP="00157E61">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Dozavimo rekomendacijos matavimo šaukštais (MŠ)*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686"/>
      </w:tblGrid>
      <w:tr w:rsidR="004B5565" w:rsidRPr="00E82419" w14:paraId="1BDBDA8A" w14:textId="77777777" w:rsidTr="00520788">
        <w:tc>
          <w:tcPr>
            <w:tcW w:w="2126" w:type="dxa"/>
          </w:tcPr>
          <w:p w14:paraId="38D0C650"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Kūno svoris (kg)</w:t>
            </w:r>
          </w:p>
        </w:tc>
        <w:tc>
          <w:tcPr>
            <w:tcW w:w="3686" w:type="dxa"/>
          </w:tcPr>
          <w:p w14:paraId="3C54CA26"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250 mg/5 ml</w:t>
            </w:r>
          </w:p>
        </w:tc>
      </w:tr>
      <w:tr w:rsidR="004B5565" w:rsidRPr="00E82419" w14:paraId="051CE41F" w14:textId="77777777" w:rsidTr="00520788">
        <w:tc>
          <w:tcPr>
            <w:tcW w:w="2126" w:type="dxa"/>
          </w:tcPr>
          <w:p w14:paraId="5C5BA597"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9 - 17</w:t>
            </w:r>
          </w:p>
        </w:tc>
        <w:tc>
          <w:tcPr>
            <w:tcW w:w="3686" w:type="dxa"/>
          </w:tcPr>
          <w:p w14:paraId="42EC7A4E"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 x 1 - 1½ MŠ</w:t>
            </w:r>
          </w:p>
        </w:tc>
      </w:tr>
      <w:tr w:rsidR="004B5565" w:rsidRPr="00E82419" w14:paraId="6E70E5F8" w14:textId="77777777" w:rsidTr="00520788">
        <w:tc>
          <w:tcPr>
            <w:tcW w:w="2126" w:type="dxa"/>
          </w:tcPr>
          <w:p w14:paraId="40682E50"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18 - 26</w:t>
            </w:r>
          </w:p>
        </w:tc>
        <w:tc>
          <w:tcPr>
            <w:tcW w:w="3686" w:type="dxa"/>
          </w:tcPr>
          <w:p w14:paraId="77C57D9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 x 2 - 2½ MŠ</w:t>
            </w:r>
          </w:p>
        </w:tc>
      </w:tr>
      <w:tr w:rsidR="004B5565" w:rsidRPr="00E82419" w14:paraId="31115CBE" w14:textId="77777777" w:rsidTr="00520788">
        <w:tc>
          <w:tcPr>
            <w:tcW w:w="2126" w:type="dxa"/>
          </w:tcPr>
          <w:p w14:paraId="7C3357B2"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27 - 35</w:t>
            </w:r>
          </w:p>
        </w:tc>
        <w:tc>
          <w:tcPr>
            <w:tcW w:w="3686" w:type="dxa"/>
          </w:tcPr>
          <w:p w14:paraId="58B84A90"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 x 3 - 3½ MŠ</w:t>
            </w:r>
          </w:p>
        </w:tc>
      </w:tr>
      <w:tr w:rsidR="004B5565" w:rsidRPr="00E82419" w14:paraId="605BE66D" w14:textId="77777777" w:rsidTr="00520788">
        <w:tc>
          <w:tcPr>
            <w:tcW w:w="2126" w:type="dxa"/>
          </w:tcPr>
          <w:p w14:paraId="021FA41E"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&gt;36</w:t>
            </w:r>
          </w:p>
        </w:tc>
        <w:tc>
          <w:tcPr>
            <w:tcW w:w="3686" w:type="dxa"/>
          </w:tcPr>
          <w:p w14:paraId="12E7C421"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 x 4 MŠ</w:t>
            </w:r>
          </w:p>
        </w:tc>
      </w:tr>
    </w:tbl>
    <w:p w14:paraId="40A3DC88" w14:textId="77777777" w:rsidR="004B5565" w:rsidRPr="00E82419" w:rsidRDefault="004B5565" w:rsidP="004B5565">
      <w:pPr>
        <w:spacing w:after="0" w:line="240" w:lineRule="auto"/>
        <w:ind w:left="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remiantis 50 mg/kg kūno svorio paros doze</w:t>
      </w:r>
    </w:p>
    <w:p w14:paraId="69502DB0" w14:textId="77777777" w:rsidR="00D403F8" w:rsidRPr="00E82419" w:rsidRDefault="00D403F8" w:rsidP="00157E61">
      <w:pPr>
        <w:spacing w:after="0" w:line="240" w:lineRule="auto"/>
        <w:rPr>
          <w:rFonts w:ascii="Times New Roman" w:eastAsia="Times New Roman" w:hAnsi="Times New Roman" w:cs="Times New Roman"/>
          <w:lang w:val="lt-LT" w:eastAsia="en-US"/>
        </w:rPr>
      </w:pPr>
    </w:p>
    <w:p w14:paraId="43F5A270" w14:textId="77777777" w:rsidR="004B5565" w:rsidRPr="00157E61" w:rsidRDefault="004B5565" w:rsidP="00157E61">
      <w:pPr>
        <w:spacing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Senyviems pacientams</w:t>
      </w:r>
    </w:p>
    <w:p w14:paraId="416572F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Kadangi cefadroksilis yra šalinamas pro inkstus, jei būtina, dozę reikia koreguoti taip, kaip nurodyta poskyryje „Pacientams, kurių inkstų funkcija sutrikusi“.</w:t>
      </w:r>
    </w:p>
    <w:p w14:paraId="6BF72944" w14:textId="77777777" w:rsidR="005242E8" w:rsidRPr="00E82419" w:rsidRDefault="005242E8" w:rsidP="00157E61">
      <w:pPr>
        <w:spacing w:after="0" w:line="240" w:lineRule="auto"/>
        <w:rPr>
          <w:rFonts w:ascii="Times New Roman" w:eastAsia="Times New Roman" w:hAnsi="Times New Roman" w:cs="Times New Roman"/>
          <w:lang w:val="lt-LT" w:eastAsia="en-US"/>
        </w:rPr>
      </w:pPr>
    </w:p>
    <w:p w14:paraId="03F70BDE" w14:textId="77777777" w:rsidR="004B5565" w:rsidRPr="00157E61" w:rsidRDefault="004B5565" w:rsidP="00157E61">
      <w:pPr>
        <w:spacing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Pacientams, kurių inkstų funkcija sutrikusi</w:t>
      </w:r>
    </w:p>
    <w:p w14:paraId="378F085C" w14:textId="77777777" w:rsidR="004B5565" w:rsidRPr="00E82419" w:rsidRDefault="004B5565" w:rsidP="004B5565">
      <w:pPr>
        <w:spacing w:after="12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Kad cefadroksilio organizme nesikauptų, jo dozę reikia nustatyti pagal kreatinino klirenso rodmenis. Pacientams, kurių kreatinino klirensas yra 50 ml/min., rekomenduojama vadovautis šia sumažinto dozavimo schema.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0"/>
        <w:gridCol w:w="1984"/>
        <w:gridCol w:w="1701"/>
        <w:gridCol w:w="2057"/>
      </w:tblGrid>
      <w:tr w:rsidR="004B5565" w:rsidRPr="00E82419" w14:paraId="6DD25A1C" w14:textId="77777777" w:rsidTr="00520788">
        <w:trPr>
          <w:jc w:val="center"/>
        </w:trPr>
        <w:tc>
          <w:tcPr>
            <w:tcW w:w="2060" w:type="dxa"/>
          </w:tcPr>
          <w:p w14:paraId="05407A8E"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lang w:val="lt-LT" w:eastAsia="en-US"/>
              </w:rPr>
              <w:t>Kreatinino klirensas (ml/min/1,73</w:t>
            </w:r>
            <w:r w:rsidR="00122F67">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w:t>
            </w:r>
            <w:r w:rsidRPr="00E82419">
              <w:rPr>
                <w:rFonts w:ascii="Times New Roman" w:eastAsia="Times New Roman" w:hAnsi="Times New Roman" w:cs="Times New Roman"/>
                <w:vertAlign w:val="superscript"/>
                <w:lang w:val="lt-LT" w:eastAsia="en-US"/>
              </w:rPr>
              <w:t>2</w:t>
            </w:r>
            <w:r w:rsidRPr="00E82419">
              <w:rPr>
                <w:rFonts w:ascii="Times New Roman" w:eastAsia="Times New Roman" w:hAnsi="Times New Roman" w:cs="Times New Roman"/>
                <w:lang w:val="lt-LT" w:eastAsia="en-US"/>
              </w:rPr>
              <w:t>)</w:t>
            </w:r>
          </w:p>
        </w:tc>
        <w:tc>
          <w:tcPr>
            <w:tcW w:w="1984" w:type="dxa"/>
          </w:tcPr>
          <w:p w14:paraId="15AA57DB"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Pradinė dozė</w:t>
            </w:r>
          </w:p>
        </w:tc>
        <w:tc>
          <w:tcPr>
            <w:tcW w:w="1701" w:type="dxa"/>
          </w:tcPr>
          <w:p w14:paraId="42F91DD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Palaikomoji dozė</w:t>
            </w:r>
          </w:p>
        </w:tc>
        <w:tc>
          <w:tcPr>
            <w:tcW w:w="2057" w:type="dxa"/>
          </w:tcPr>
          <w:p w14:paraId="69FB6EB1"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Dozavimo intervalas</w:t>
            </w:r>
          </w:p>
        </w:tc>
      </w:tr>
      <w:tr w:rsidR="004B5565" w:rsidRPr="00E82419" w14:paraId="31484E94" w14:textId="77777777" w:rsidTr="00520788">
        <w:trPr>
          <w:jc w:val="center"/>
        </w:trPr>
        <w:tc>
          <w:tcPr>
            <w:tcW w:w="2060" w:type="dxa"/>
          </w:tcPr>
          <w:p w14:paraId="39D7CDE5"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50 - 25</w:t>
            </w:r>
          </w:p>
        </w:tc>
        <w:tc>
          <w:tcPr>
            <w:tcW w:w="1984" w:type="dxa"/>
          </w:tcPr>
          <w:p w14:paraId="2702AF6C"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w:t>
            </w:r>
          </w:p>
        </w:tc>
        <w:tc>
          <w:tcPr>
            <w:tcW w:w="1701" w:type="dxa"/>
          </w:tcPr>
          <w:p w14:paraId="2D1084EC"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w:t>
            </w:r>
          </w:p>
        </w:tc>
        <w:tc>
          <w:tcPr>
            <w:tcW w:w="2057" w:type="dxa"/>
          </w:tcPr>
          <w:p w14:paraId="6DC81E89"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Kas 12 val.</w:t>
            </w:r>
          </w:p>
        </w:tc>
      </w:tr>
      <w:tr w:rsidR="004B5565" w:rsidRPr="00E82419" w14:paraId="270DFE99" w14:textId="77777777" w:rsidTr="00520788">
        <w:trPr>
          <w:jc w:val="center"/>
        </w:trPr>
        <w:tc>
          <w:tcPr>
            <w:tcW w:w="2060" w:type="dxa"/>
          </w:tcPr>
          <w:p w14:paraId="3DFB5151"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10 - 25</w:t>
            </w:r>
          </w:p>
        </w:tc>
        <w:tc>
          <w:tcPr>
            <w:tcW w:w="1984" w:type="dxa"/>
          </w:tcPr>
          <w:p w14:paraId="6D6B6A30"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w:t>
            </w:r>
          </w:p>
        </w:tc>
        <w:tc>
          <w:tcPr>
            <w:tcW w:w="1701" w:type="dxa"/>
          </w:tcPr>
          <w:p w14:paraId="4CD5A481"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w:t>
            </w:r>
          </w:p>
        </w:tc>
        <w:tc>
          <w:tcPr>
            <w:tcW w:w="2057" w:type="dxa"/>
          </w:tcPr>
          <w:p w14:paraId="3B14C673"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Kas 24 val.</w:t>
            </w:r>
          </w:p>
        </w:tc>
      </w:tr>
      <w:tr w:rsidR="004B5565" w:rsidRPr="00E82419" w14:paraId="709DD38B" w14:textId="77777777" w:rsidTr="00520788">
        <w:trPr>
          <w:jc w:val="center"/>
        </w:trPr>
        <w:tc>
          <w:tcPr>
            <w:tcW w:w="2060" w:type="dxa"/>
          </w:tcPr>
          <w:p w14:paraId="5EECFEBC"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0 - 10</w:t>
            </w:r>
          </w:p>
        </w:tc>
        <w:tc>
          <w:tcPr>
            <w:tcW w:w="1984" w:type="dxa"/>
          </w:tcPr>
          <w:p w14:paraId="44F55341"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w:t>
            </w:r>
          </w:p>
        </w:tc>
        <w:tc>
          <w:tcPr>
            <w:tcW w:w="1701" w:type="dxa"/>
          </w:tcPr>
          <w:p w14:paraId="1287C01B"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w:t>
            </w:r>
          </w:p>
        </w:tc>
        <w:tc>
          <w:tcPr>
            <w:tcW w:w="2057" w:type="dxa"/>
          </w:tcPr>
          <w:p w14:paraId="7CE176F7"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Kas 36 val.</w:t>
            </w:r>
          </w:p>
        </w:tc>
      </w:tr>
    </w:tbl>
    <w:p w14:paraId="71C97866" w14:textId="77777777" w:rsidR="00D403F8" w:rsidRPr="00E82419" w:rsidRDefault="00D403F8" w:rsidP="00157E61">
      <w:pPr>
        <w:spacing w:after="0" w:line="240" w:lineRule="auto"/>
        <w:rPr>
          <w:rFonts w:ascii="Times New Roman" w:eastAsia="Times New Roman" w:hAnsi="Times New Roman" w:cs="Times New Roman"/>
          <w:lang w:val="lt-LT" w:eastAsia="en-US"/>
        </w:rPr>
      </w:pPr>
    </w:p>
    <w:p w14:paraId="591CD977" w14:textId="77777777" w:rsidR="004B5565" w:rsidRPr="00157E61" w:rsidRDefault="004B5565" w:rsidP="00157E61">
      <w:pPr>
        <w:spacing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Hemodializuojamiems pacientams</w:t>
      </w:r>
    </w:p>
    <w:p w14:paraId="42CF802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Suvartojus 1 g cefalosporino, per 6 – 8 hemodializės valandas pašalinama 63 % dozės.</w:t>
      </w:r>
    </w:p>
    <w:p w14:paraId="2D74FEF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Pacientai kuriems atliekama hemodializė, šios procedūros pabaigoje turi suvartoti vieną papildomą 500 – 1000 mg dozę.</w:t>
      </w:r>
    </w:p>
    <w:p w14:paraId="7C6506B0" w14:textId="77777777" w:rsidR="004B5565" w:rsidRPr="00157E61" w:rsidRDefault="004B5565" w:rsidP="004B5565">
      <w:pPr>
        <w:spacing w:before="120"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Pacientams, kurių kepenų funkcija sutrikusi</w:t>
      </w:r>
    </w:p>
    <w:p w14:paraId="4ABE956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Dozavimo priderinimas nebūtinas.</w:t>
      </w:r>
    </w:p>
    <w:p w14:paraId="0C76A03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DECDA89" w14:textId="31162528" w:rsidR="004B5565"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Vartojimo metodas</w:t>
      </w:r>
    </w:p>
    <w:p w14:paraId="399C49AC" w14:textId="463784CF" w:rsidR="00A02CBC" w:rsidRDefault="00A02CBC" w:rsidP="004B5565">
      <w:pPr>
        <w:spacing w:after="0" w:line="240" w:lineRule="auto"/>
        <w:rPr>
          <w:rFonts w:ascii="Times New Roman" w:eastAsia="Times New Roman" w:hAnsi="Times New Roman" w:cs="Times New Roman"/>
          <w:u w:val="single"/>
          <w:lang w:val="lt-LT" w:eastAsia="en-US"/>
        </w:rPr>
      </w:pPr>
    </w:p>
    <w:p w14:paraId="5AEEE133" w14:textId="5A81D3FD" w:rsidR="00A02CBC" w:rsidRPr="002444E1" w:rsidRDefault="00A02CBC" w:rsidP="004B5565">
      <w:pPr>
        <w:spacing w:after="0" w:line="240" w:lineRule="auto"/>
        <w:rPr>
          <w:rFonts w:ascii="Times New Roman" w:eastAsia="Times New Roman" w:hAnsi="Times New Roman" w:cs="Times New Roman"/>
          <w:lang w:val="lt-LT" w:eastAsia="en-US"/>
        </w:rPr>
      </w:pPr>
      <w:r w:rsidRPr="002444E1">
        <w:rPr>
          <w:rFonts w:ascii="Times New Roman" w:eastAsia="Times New Roman" w:hAnsi="Times New Roman" w:cs="Times New Roman"/>
          <w:lang w:val="lt-LT" w:eastAsia="en-US"/>
        </w:rPr>
        <w:t>Biodroxil 250 mg/5 ml suspensijos paruošimas</w:t>
      </w:r>
    </w:p>
    <w:tbl>
      <w:tblPr>
        <w:tblW w:w="0" w:type="auto"/>
        <w:tblLayout w:type="fixed"/>
        <w:tblLook w:val="04A0" w:firstRow="1" w:lastRow="0" w:firstColumn="1" w:lastColumn="0" w:noHBand="0" w:noVBand="1"/>
      </w:tblPr>
      <w:tblGrid>
        <w:gridCol w:w="1384"/>
        <w:gridCol w:w="7655"/>
      </w:tblGrid>
      <w:tr w:rsidR="00A02CBC" w:rsidRPr="00E82419" w14:paraId="11A34DC8" w14:textId="77777777" w:rsidTr="00DC1037">
        <w:trPr>
          <w:trHeight w:val="1833"/>
        </w:trPr>
        <w:tc>
          <w:tcPr>
            <w:tcW w:w="1384" w:type="dxa"/>
            <w:hideMark/>
          </w:tcPr>
          <w:p w14:paraId="10CCEECC" w14:textId="77777777" w:rsidR="00A02CBC" w:rsidRDefault="00A02CBC" w:rsidP="00DC1037">
            <w:pPr>
              <w:spacing w:after="0" w:line="240" w:lineRule="auto"/>
            </w:pPr>
          </w:p>
          <w:p w14:paraId="20F1B0CC" w14:textId="77777777" w:rsidR="00A02CBC" w:rsidRPr="00E82419" w:rsidRDefault="00A02CBC" w:rsidP="00DC1037">
            <w:pPr>
              <w:spacing w:after="0" w:line="240" w:lineRule="auto"/>
              <w:rPr>
                <w:rFonts w:ascii="Times New Roman" w:eastAsia="Times New Roman" w:hAnsi="Times New Roman" w:cs="Times New Roman"/>
                <w:lang w:val="lt-LT" w:eastAsia="en-US"/>
              </w:rPr>
            </w:pPr>
            <w:r>
              <w:rPr>
                <w:noProof/>
                <w:lang w:val="lt-LT" w:eastAsia="lt-LT"/>
              </w:rPr>
              <w:drawing>
                <wp:inline distT="0" distB="0" distL="0" distR="0" wp14:anchorId="40EBB89D" wp14:editId="2E163966">
                  <wp:extent cx="723900" cy="1130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130935"/>
                          </a:xfrm>
                          <a:prstGeom prst="rect">
                            <a:avLst/>
                          </a:prstGeom>
                          <a:noFill/>
                        </pic:spPr>
                      </pic:pic>
                    </a:graphicData>
                  </a:graphic>
                </wp:inline>
              </w:drawing>
            </w:r>
          </w:p>
        </w:tc>
        <w:tc>
          <w:tcPr>
            <w:tcW w:w="7655" w:type="dxa"/>
          </w:tcPr>
          <w:p w14:paraId="73184DC9" w14:textId="77777777" w:rsidR="00A02CBC" w:rsidRDefault="00A02CBC" w:rsidP="00DC1037">
            <w:pPr>
              <w:spacing w:after="0" w:line="240" w:lineRule="auto"/>
              <w:rPr>
                <w:rFonts w:ascii="Times New Roman" w:eastAsia="Times New Roman" w:hAnsi="Times New Roman" w:cs="Times New Roman"/>
                <w:lang w:val="lt-LT" w:eastAsia="en-US"/>
              </w:rPr>
            </w:pPr>
          </w:p>
          <w:p w14:paraId="066D0365" w14:textId="77777777" w:rsidR="00A02CBC" w:rsidRDefault="00A02CBC" w:rsidP="00DC1037">
            <w:pPr>
              <w:spacing w:after="0" w:line="240" w:lineRule="auto"/>
              <w:rPr>
                <w:rFonts w:ascii="Times New Roman" w:eastAsia="Times New Roman" w:hAnsi="Times New Roman" w:cs="Times New Roman"/>
                <w:lang w:val="lt-LT" w:eastAsia="en-US"/>
              </w:rPr>
            </w:pPr>
          </w:p>
          <w:p w14:paraId="1F27F869" w14:textId="0BB159AB" w:rsidR="00A02CBC" w:rsidRPr="00E82419" w:rsidRDefault="00A02CBC" w:rsidP="00DC1037">
            <w:pPr>
              <w:spacing w:after="0" w:line="240" w:lineRule="auto"/>
              <w:rPr>
                <w:rFonts w:ascii="Times New Roman" w:eastAsia="Times New Roman" w:hAnsi="Times New Roman" w:cs="Times New Roman"/>
                <w:lang w:val="lt-LT" w:eastAsia="en-US"/>
              </w:rPr>
            </w:pPr>
            <w:r w:rsidRPr="004148A8">
              <w:rPr>
                <w:rFonts w:ascii="Times New Roman" w:eastAsia="Times New Roman" w:hAnsi="Times New Roman" w:cs="Times New Roman"/>
                <w:lang w:val="lt-LT" w:eastAsia="en-US"/>
              </w:rPr>
              <w:t xml:space="preserve">Įpilkite į buteliuką geriamojo vandens tiek, kad nesiektų </w:t>
            </w:r>
            <w:r>
              <w:rPr>
                <w:rFonts w:ascii="Times New Roman" w:eastAsia="Times New Roman" w:hAnsi="Times New Roman" w:cs="Times New Roman"/>
                <w:lang w:val="lt-LT" w:eastAsia="en-US"/>
              </w:rPr>
              <w:t xml:space="preserve">ant </w:t>
            </w:r>
            <w:r w:rsidR="001E79DA">
              <w:rPr>
                <w:rFonts w:ascii="Times New Roman" w:eastAsia="Times New Roman" w:hAnsi="Times New Roman" w:cs="Times New Roman"/>
                <w:lang w:val="lt-LT" w:eastAsia="en-US"/>
              </w:rPr>
              <w:t>etiketės</w:t>
            </w:r>
            <w:r>
              <w:rPr>
                <w:rFonts w:ascii="Times New Roman" w:eastAsia="Times New Roman" w:hAnsi="Times New Roman" w:cs="Times New Roman"/>
                <w:lang w:val="lt-LT" w:eastAsia="en-US"/>
              </w:rPr>
              <w:t xml:space="preserve"> atspausdintos</w:t>
            </w:r>
            <w:r w:rsidRPr="004148A8">
              <w:rPr>
                <w:rFonts w:ascii="Times New Roman" w:eastAsia="Times New Roman" w:hAnsi="Times New Roman" w:cs="Times New Roman"/>
                <w:lang w:val="lt-LT" w:eastAsia="en-US"/>
              </w:rPr>
              <w:t xml:space="preserve"> žymos ir stipriai pakratykite, po to įpilkite vandens tiksliai iki </w:t>
            </w:r>
            <w:r>
              <w:rPr>
                <w:rFonts w:ascii="Times New Roman" w:eastAsia="Times New Roman" w:hAnsi="Times New Roman" w:cs="Times New Roman"/>
                <w:lang w:val="lt-LT" w:eastAsia="en-US"/>
              </w:rPr>
              <w:t xml:space="preserve">ant </w:t>
            </w:r>
            <w:r w:rsidR="001E79DA">
              <w:rPr>
                <w:rFonts w:ascii="Times New Roman" w:eastAsia="Times New Roman" w:hAnsi="Times New Roman" w:cs="Times New Roman"/>
                <w:lang w:val="lt-LT" w:eastAsia="en-US"/>
              </w:rPr>
              <w:t>etiketės</w:t>
            </w:r>
            <w:r w:rsidR="003E654D">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 xml:space="preserve">atspausdintos </w:t>
            </w:r>
            <w:r w:rsidRPr="004148A8">
              <w:rPr>
                <w:rFonts w:ascii="Times New Roman" w:eastAsia="Times New Roman" w:hAnsi="Times New Roman" w:cs="Times New Roman"/>
                <w:lang w:val="lt-LT" w:eastAsia="en-US"/>
              </w:rPr>
              <w:t>žymos ir dar kartą energingai pakratykite.</w:t>
            </w:r>
          </w:p>
          <w:p w14:paraId="5B7188E5" w14:textId="77777777" w:rsidR="00A02CBC" w:rsidRDefault="00A02CBC" w:rsidP="00DC1037">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Buteliuką būtina stipriai pakratyti prieš kiekvieną vartojimą. </w:t>
            </w:r>
          </w:p>
          <w:p w14:paraId="2D9D8E3D" w14:textId="77777777" w:rsidR="00A02CBC" w:rsidRPr="00E82419" w:rsidRDefault="00A02CBC" w:rsidP="00DC1037">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Paruošta suspensija yra baltos ar švelniai gelsvos spalvos.</w:t>
            </w:r>
          </w:p>
          <w:p w14:paraId="106673DC" w14:textId="77777777" w:rsidR="00A02CBC" w:rsidRPr="00E82419" w:rsidRDefault="00A02CBC" w:rsidP="00DC1037">
            <w:pPr>
              <w:spacing w:after="0" w:line="240" w:lineRule="auto"/>
              <w:rPr>
                <w:rFonts w:ascii="Times New Roman" w:eastAsia="Times New Roman" w:hAnsi="Times New Roman" w:cs="Times New Roman"/>
                <w:lang w:val="lt-LT" w:eastAsia="en-US"/>
              </w:rPr>
            </w:pPr>
          </w:p>
          <w:p w14:paraId="45776D27" w14:textId="77777777" w:rsidR="00A02CBC" w:rsidRPr="00E82419" w:rsidRDefault="00A02CBC" w:rsidP="00DC1037">
            <w:pPr>
              <w:spacing w:after="0" w:line="240" w:lineRule="auto"/>
              <w:rPr>
                <w:rFonts w:ascii="Times New Roman" w:eastAsia="Times New Roman" w:hAnsi="Times New Roman" w:cs="Times New Roman"/>
                <w:lang w:val="lt-LT" w:eastAsia="en-US"/>
              </w:rPr>
            </w:pPr>
          </w:p>
        </w:tc>
      </w:tr>
    </w:tbl>
    <w:p w14:paraId="7E59B3EA" w14:textId="10B77D4F" w:rsidR="00A02CBC" w:rsidRDefault="00A02CBC" w:rsidP="004B5565">
      <w:pPr>
        <w:spacing w:after="0" w:line="240" w:lineRule="auto"/>
        <w:rPr>
          <w:rFonts w:ascii="Times New Roman" w:eastAsia="Times New Roman" w:hAnsi="Times New Roman" w:cs="Times New Roman"/>
          <w:u w:val="single"/>
          <w:lang w:val="lt-LT" w:eastAsia="en-US"/>
        </w:rPr>
      </w:pPr>
    </w:p>
    <w:p w14:paraId="6A4EF186" w14:textId="7F543A3F" w:rsidR="00A02CBC" w:rsidRDefault="00A02CBC" w:rsidP="004B5565">
      <w:pPr>
        <w:spacing w:after="0" w:line="240" w:lineRule="auto"/>
        <w:rPr>
          <w:rFonts w:ascii="Times New Roman" w:eastAsia="Times New Roman" w:hAnsi="Times New Roman" w:cs="Times New Roman"/>
          <w:u w:val="single"/>
          <w:lang w:val="lt-LT" w:eastAsia="en-US"/>
        </w:rPr>
      </w:pPr>
    </w:p>
    <w:p w14:paraId="5D4B863C" w14:textId="77777777" w:rsidR="00A02CBC" w:rsidRPr="00E82419" w:rsidRDefault="00A02CBC" w:rsidP="004B5565">
      <w:pPr>
        <w:spacing w:after="0" w:line="240" w:lineRule="auto"/>
        <w:rPr>
          <w:rFonts w:ascii="Times New Roman" w:eastAsia="Times New Roman" w:hAnsi="Times New Roman" w:cs="Times New Roman"/>
          <w:b/>
          <w:lang w:val="lt-LT" w:eastAsia="en-US"/>
        </w:rPr>
      </w:pPr>
    </w:p>
    <w:p w14:paraId="428885F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Maistas nekeičia nei biologinio prieinamumo, nei veiksmingumo, todėl cefadroksilio galima vartoti nepriklausomai nuo valgymo laiko. Jeigu virškinimo trakto veikla sutrikusi, vaist</w:t>
      </w:r>
      <w:r w:rsidR="00D403F8" w:rsidRPr="00E82419">
        <w:rPr>
          <w:rFonts w:ascii="Times New Roman" w:eastAsia="Times New Roman" w:hAnsi="Times New Roman" w:cs="Times New Roman"/>
          <w:lang w:val="lt-LT" w:eastAsia="en-US"/>
        </w:rPr>
        <w:t>inio preparat</w:t>
      </w:r>
      <w:r w:rsidRPr="00E82419">
        <w:rPr>
          <w:rFonts w:ascii="Times New Roman" w:eastAsia="Times New Roman" w:hAnsi="Times New Roman" w:cs="Times New Roman"/>
          <w:lang w:val="lt-LT" w:eastAsia="en-US"/>
        </w:rPr>
        <w:t>o galima gerti valgant.</w:t>
      </w:r>
    </w:p>
    <w:p w14:paraId="0A8870E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Paruoštą suspensiją reikia išgerti užsigeriant dideliu kiekiu skysčio.</w:t>
      </w:r>
    </w:p>
    <w:p w14:paraId="2F5F564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77CF8BE"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Vaistinio preparato ruošimo prieš vartojant instrukcija pateikiama 6.6 skyriuje.</w:t>
      </w:r>
    </w:p>
    <w:p w14:paraId="105F77E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9879B88"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u w:val="single"/>
          <w:lang w:val="lt-LT" w:eastAsia="en-US"/>
        </w:rPr>
        <w:t>Gydymo trukmė</w:t>
      </w:r>
    </w:p>
    <w:p w14:paraId="2266763E"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Gydymą reikia tęsti mažiausiai dar 2 – 3 paras po to, kai išnyksta ūmūs klinikiniai simptomai ar atsiranda požymių, jog infekcija sunaikinta. </w:t>
      </w:r>
      <w:r w:rsidRPr="00E82419">
        <w:rPr>
          <w:rFonts w:ascii="Times New Roman" w:eastAsia="Times New Roman" w:hAnsi="Times New Roman" w:cs="Times New Roman"/>
          <w:i/>
          <w:lang w:val="lt-LT" w:eastAsia="en-US"/>
        </w:rPr>
        <w:t>Streptococcus pyogenes</w:t>
      </w:r>
      <w:r w:rsidRPr="00E82419">
        <w:rPr>
          <w:rFonts w:ascii="Times New Roman" w:eastAsia="Times New Roman" w:hAnsi="Times New Roman" w:cs="Times New Roman"/>
          <w:lang w:val="lt-LT" w:eastAsia="en-US"/>
        </w:rPr>
        <w:t xml:space="preserve"> sukeltą infekcinę ligą būtina gydyti ne trumpiau kaip 10 parų.</w:t>
      </w:r>
    </w:p>
    <w:p w14:paraId="4FD2E717"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68F82A88"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4.3</w:t>
      </w:r>
      <w:r w:rsidRPr="00E82419">
        <w:rPr>
          <w:rFonts w:ascii="Times New Roman" w:eastAsia="Times New Roman" w:hAnsi="Times New Roman" w:cs="Times New Roman"/>
          <w:b/>
          <w:lang w:val="lt-LT" w:eastAsia="en-US"/>
        </w:rPr>
        <w:tab/>
        <w:t>Kontraindikacijos</w:t>
      </w:r>
    </w:p>
    <w:p w14:paraId="138480B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D49E59C" w14:textId="77777777" w:rsidR="004B5565" w:rsidRPr="00E82419" w:rsidRDefault="004B5565" w:rsidP="004B5565">
      <w:pPr>
        <w:numPr>
          <w:ilvl w:val="0"/>
          <w:numId w:val="4"/>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Padidėjęs jautrumas veikliajai arba bet kuriai 6.1 skyriuje nurodytai pagalbinei medžiagai</w:t>
      </w:r>
      <w:r w:rsidR="004D4C15" w:rsidRPr="00E82419">
        <w:rPr>
          <w:rFonts w:ascii="Times New Roman" w:eastAsia="Times New Roman" w:hAnsi="Times New Roman" w:cs="Times New Roman"/>
          <w:lang w:val="lt-LT" w:eastAsia="en-US"/>
        </w:rPr>
        <w:t>.</w:t>
      </w:r>
    </w:p>
    <w:p w14:paraId="76FA6D4E" w14:textId="77777777" w:rsidR="004B5565" w:rsidRPr="00E82419" w:rsidRDefault="004B5565" w:rsidP="004B5565">
      <w:pPr>
        <w:numPr>
          <w:ilvl w:val="0"/>
          <w:numId w:val="4"/>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Padidėjęs jautrumas cefalosporinų grupės antibiotikams.</w:t>
      </w:r>
    </w:p>
    <w:p w14:paraId="00404F29" w14:textId="77777777" w:rsidR="004B5565" w:rsidRPr="00E82419" w:rsidRDefault="004B5565" w:rsidP="004B5565">
      <w:pPr>
        <w:numPr>
          <w:ilvl w:val="0"/>
          <w:numId w:val="4"/>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Yra buvusi sunki penicilinų ar kitų beta laktaminių vaist</w:t>
      </w:r>
      <w:r w:rsidR="00D403F8" w:rsidRPr="00E82419">
        <w:rPr>
          <w:rFonts w:ascii="Times New Roman" w:eastAsia="Times New Roman" w:hAnsi="Times New Roman" w:cs="Times New Roman"/>
          <w:lang w:val="lt-LT" w:eastAsia="en-US"/>
        </w:rPr>
        <w:t>inių preparat</w:t>
      </w:r>
      <w:r w:rsidRPr="00E82419">
        <w:rPr>
          <w:rFonts w:ascii="Times New Roman" w:eastAsia="Times New Roman" w:hAnsi="Times New Roman" w:cs="Times New Roman"/>
          <w:lang w:val="lt-LT" w:eastAsia="en-US"/>
        </w:rPr>
        <w:t>ų sukelta alerginė reakcija.</w:t>
      </w:r>
    </w:p>
    <w:p w14:paraId="3E299B41" w14:textId="77777777" w:rsidR="004B5565" w:rsidRDefault="004B5565" w:rsidP="004B5565">
      <w:pPr>
        <w:spacing w:after="0" w:line="240" w:lineRule="auto"/>
        <w:rPr>
          <w:rFonts w:ascii="Times New Roman" w:eastAsia="Times New Roman" w:hAnsi="Times New Roman" w:cs="Times New Roman"/>
          <w:b/>
          <w:lang w:val="lt-LT" w:eastAsia="en-US"/>
        </w:rPr>
      </w:pPr>
    </w:p>
    <w:p w14:paraId="5D35F1C4" w14:textId="77777777" w:rsidR="00122F67" w:rsidRPr="007A7B3E" w:rsidRDefault="00122F67" w:rsidP="007A7B3E">
      <w:pPr>
        <w:spacing w:after="0" w:line="240" w:lineRule="auto"/>
        <w:rPr>
          <w:rFonts w:ascii="Times New Roman" w:hAnsi="Times New Roman"/>
          <w:b/>
          <w:lang w:val="lt-LT"/>
        </w:rPr>
      </w:pPr>
    </w:p>
    <w:p w14:paraId="7988DCAB" w14:textId="77777777" w:rsidR="00122F67" w:rsidRPr="00E82419" w:rsidRDefault="00122F67" w:rsidP="004B5565">
      <w:pPr>
        <w:spacing w:after="0" w:line="240" w:lineRule="auto"/>
        <w:rPr>
          <w:rFonts w:ascii="Times New Roman" w:eastAsia="Times New Roman" w:hAnsi="Times New Roman" w:cs="Times New Roman"/>
          <w:b/>
          <w:lang w:val="lt-LT" w:eastAsia="en-US"/>
        </w:rPr>
      </w:pPr>
    </w:p>
    <w:p w14:paraId="12867E9D"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4.4</w:t>
      </w:r>
      <w:r w:rsidRPr="00E82419">
        <w:rPr>
          <w:rFonts w:ascii="Times New Roman" w:eastAsia="Times New Roman" w:hAnsi="Times New Roman" w:cs="Times New Roman"/>
          <w:b/>
          <w:lang w:val="lt-LT" w:eastAsia="en-US"/>
        </w:rPr>
        <w:tab/>
        <w:t>Specialūs įspėjimai ir atsargumo priemonės</w:t>
      </w:r>
    </w:p>
    <w:p w14:paraId="4CB4157E" w14:textId="77777777" w:rsidR="004B5565" w:rsidRDefault="004B5565" w:rsidP="004B5565">
      <w:pPr>
        <w:spacing w:after="0" w:line="240" w:lineRule="auto"/>
        <w:rPr>
          <w:rFonts w:ascii="Times New Roman" w:eastAsia="Times New Roman" w:hAnsi="Times New Roman" w:cs="Times New Roman"/>
          <w:lang w:val="lt-LT" w:eastAsia="en-US"/>
        </w:rPr>
      </w:pPr>
    </w:p>
    <w:p w14:paraId="15C6007E" w14:textId="2689B2B9" w:rsidR="007D115B" w:rsidRPr="007D115B" w:rsidRDefault="007D115B" w:rsidP="007D115B">
      <w:pPr>
        <w:spacing w:after="0" w:line="240" w:lineRule="auto"/>
        <w:rPr>
          <w:rFonts w:ascii="Times New Roman" w:eastAsia="Times New Roman" w:hAnsi="Times New Roman" w:cs="Times New Roman"/>
          <w:lang w:eastAsia="en-US"/>
        </w:rPr>
      </w:pPr>
      <w:bookmarkStart w:id="6" w:name="_Hlk163224582"/>
      <w:r w:rsidRPr="007D115B">
        <w:rPr>
          <w:rFonts w:ascii="Times New Roman" w:eastAsia="Times New Roman" w:hAnsi="Times New Roman" w:cs="Times New Roman"/>
          <w:lang w:eastAsia="en-US"/>
        </w:rPr>
        <w:t xml:space="preserve">- </w:t>
      </w:r>
      <w:r w:rsidRPr="007D115B">
        <w:rPr>
          <w:rFonts w:ascii="Times New Roman" w:eastAsia="Times New Roman" w:hAnsi="Times New Roman" w:cs="Times New Roman"/>
          <w:u w:val="single"/>
          <w:lang w:eastAsia="en-US"/>
        </w:rPr>
        <w:t>Sunkios odos nepageidaujamos reakcijos (S</w:t>
      </w:r>
      <w:r>
        <w:rPr>
          <w:rFonts w:ascii="Times New Roman" w:eastAsia="Times New Roman" w:hAnsi="Times New Roman" w:cs="Times New Roman"/>
          <w:u w:val="single"/>
          <w:lang w:eastAsia="en-US"/>
        </w:rPr>
        <w:t>ON</w:t>
      </w:r>
      <w:r w:rsidRPr="007D115B">
        <w:rPr>
          <w:rFonts w:ascii="Times New Roman" w:eastAsia="Times New Roman" w:hAnsi="Times New Roman" w:cs="Times New Roman"/>
          <w:u w:val="single"/>
          <w:lang w:eastAsia="en-US"/>
        </w:rPr>
        <w:t>R</w:t>
      </w:r>
      <w:r w:rsidRPr="007D115B">
        <w:rPr>
          <w:rFonts w:ascii="Times New Roman" w:eastAsia="Times New Roman" w:hAnsi="Times New Roman" w:cs="Times New Roman"/>
          <w:lang w:eastAsia="en-US"/>
        </w:rPr>
        <w:t>).</w:t>
      </w:r>
    </w:p>
    <w:p w14:paraId="2E954942" w14:textId="72C3DD84" w:rsidR="00807757" w:rsidRDefault="007D115B" w:rsidP="007D115B">
      <w:pPr>
        <w:spacing w:after="0" w:line="240" w:lineRule="auto"/>
        <w:rPr>
          <w:rFonts w:ascii="Times New Roman" w:eastAsia="Times New Roman" w:hAnsi="Times New Roman" w:cs="Times New Roman"/>
          <w:lang w:eastAsia="en-US"/>
        </w:rPr>
      </w:pPr>
      <w:r w:rsidRPr="007D115B">
        <w:rPr>
          <w:rFonts w:ascii="Times New Roman" w:eastAsia="Times New Roman" w:hAnsi="Times New Roman" w:cs="Times New Roman"/>
          <w:lang w:eastAsia="en-US"/>
        </w:rPr>
        <w:t>Pacientams, vartojantiems cefadroksil</w:t>
      </w:r>
      <w:r w:rsidR="00F70AB1">
        <w:rPr>
          <w:rFonts w:ascii="Times New Roman" w:eastAsia="Times New Roman" w:hAnsi="Times New Roman" w:cs="Times New Roman"/>
          <w:lang w:eastAsia="en-US"/>
        </w:rPr>
        <w:t>io</w:t>
      </w:r>
      <w:r w:rsidRPr="007D115B">
        <w:rPr>
          <w:rFonts w:ascii="Times New Roman" w:eastAsia="Times New Roman" w:hAnsi="Times New Roman" w:cs="Times New Roman"/>
          <w:lang w:eastAsia="en-US"/>
        </w:rPr>
        <w:t>, buvo pranešta apie sunkias odos nepageidaujamas reakcijas (S</w:t>
      </w:r>
      <w:r>
        <w:rPr>
          <w:rFonts w:ascii="Times New Roman" w:eastAsia="Times New Roman" w:hAnsi="Times New Roman" w:cs="Times New Roman"/>
          <w:lang w:eastAsia="en-US"/>
        </w:rPr>
        <w:t>ON</w:t>
      </w:r>
      <w:r w:rsidRPr="007D115B">
        <w:rPr>
          <w:rFonts w:ascii="Times New Roman" w:eastAsia="Times New Roman" w:hAnsi="Times New Roman" w:cs="Times New Roman"/>
          <w:lang w:eastAsia="en-US"/>
        </w:rPr>
        <w:t>R), tokias kaip Stivenso Džonsono sindromas (S</w:t>
      </w:r>
      <w:r>
        <w:rPr>
          <w:rFonts w:ascii="Times New Roman" w:eastAsia="Times New Roman" w:hAnsi="Times New Roman" w:cs="Times New Roman"/>
          <w:lang w:eastAsia="en-US"/>
        </w:rPr>
        <w:t>D</w:t>
      </w:r>
      <w:r w:rsidRPr="007D115B">
        <w:rPr>
          <w:rFonts w:ascii="Times New Roman" w:eastAsia="Times New Roman" w:hAnsi="Times New Roman" w:cs="Times New Roman"/>
          <w:lang w:eastAsia="en-US"/>
        </w:rPr>
        <w:t xml:space="preserve">S), toksinė epidermio nekrolizė (TEN), </w:t>
      </w:r>
      <w:r w:rsidR="00144925">
        <w:rPr>
          <w:rFonts w:ascii="Times New Roman" w:eastAsia="Times New Roman" w:hAnsi="Times New Roman" w:cs="Times New Roman"/>
          <w:lang w:eastAsia="en-US"/>
        </w:rPr>
        <w:t>vaisto sukelta reakcija</w:t>
      </w:r>
      <w:r w:rsidRPr="007D115B">
        <w:rPr>
          <w:rFonts w:ascii="Times New Roman" w:eastAsia="Times New Roman" w:hAnsi="Times New Roman" w:cs="Times New Roman"/>
          <w:lang w:eastAsia="en-US"/>
        </w:rPr>
        <w:t xml:space="preserve"> su eozinofilija ir sisteminiais simptomais (</w:t>
      </w:r>
      <w:r w:rsidR="00C65CEA">
        <w:rPr>
          <w:rFonts w:ascii="Times New Roman" w:eastAsia="Times New Roman" w:hAnsi="Times New Roman" w:cs="Times New Roman"/>
          <w:lang w:eastAsia="en-US"/>
        </w:rPr>
        <w:t>V</w:t>
      </w:r>
      <w:r w:rsidRPr="007D115B">
        <w:rPr>
          <w:rFonts w:ascii="Times New Roman" w:eastAsia="Times New Roman" w:hAnsi="Times New Roman" w:cs="Times New Roman"/>
          <w:lang w:eastAsia="en-US"/>
        </w:rPr>
        <w:t>RESS), daugiaformė eritema (</w:t>
      </w:r>
      <w:r>
        <w:rPr>
          <w:rFonts w:ascii="Times New Roman" w:eastAsia="Times New Roman" w:hAnsi="Times New Roman" w:cs="Times New Roman"/>
          <w:lang w:eastAsia="en-US"/>
        </w:rPr>
        <w:t>DE</w:t>
      </w:r>
      <w:r w:rsidRPr="007D115B">
        <w:rPr>
          <w:rFonts w:ascii="Times New Roman" w:eastAsia="Times New Roman" w:hAnsi="Times New Roman" w:cs="Times New Roman"/>
          <w:lang w:eastAsia="en-US"/>
        </w:rPr>
        <w:t>) ir ūminė generalizuota egzanteminė pustuliozė (</w:t>
      </w:r>
      <w:r>
        <w:rPr>
          <w:rFonts w:ascii="Times New Roman" w:eastAsia="Times New Roman" w:hAnsi="Times New Roman" w:cs="Times New Roman"/>
          <w:lang w:eastAsia="en-US"/>
        </w:rPr>
        <w:t>Ū</w:t>
      </w:r>
      <w:r w:rsidRPr="007D115B">
        <w:rPr>
          <w:rFonts w:ascii="Times New Roman" w:eastAsia="Times New Roman" w:hAnsi="Times New Roman" w:cs="Times New Roman"/>
          <w:lang w:eastAsia="en-US"/>
        </w:rPr>
        <w:t>GEP).</w:t>
      </w:r>
      <w:r w:rsidR="00C325BF">
        <w:rPr>
          <w:rFonts w:ascii="Times New Roman" w:eastAsia="Times New Roman" w:hAnsi="Times New Roman" w:cs="Times New Roman"/>
          <w:lang w:eastAsia="en-US"/>
        </w:rPr>
        <w:t xml:space="preserve"> Apie šias gyvybei pavojingas ar net mirtinas reakcijas</w:t>
      </w:r>
      <w:r w:rsidR="00224B8F">
        <w:rPr>
          <w:rFonts w:ascii="Times New Roman" w:eastAsia="Times New Roman" w:hAnsi="Times New Roman" w:cs="Times New Roman"/>
          <w:lang w:eastAsia="en-US"/>
        </w:rPr>
        <w:t>, vartojant beta</w:t>
      </w:r>
      <w:r w:rsidR="00C325BF">
        <w:rPr>
          <w:rFonts w:ascii="Times New Roman" w:eastAsia="Times New Roman" w:hAnsi="Times New Roman" w:cs="Times New Roman"/>
          <w:lang w:eastAsia="en-US"/>
        </w:rPr>
        <w:t xml:space="preserve"> </w:t>
      </w:r>
      <w:r w:rsidR="00CC4273">
        <w:rPr>
          <w:rFonts w:ascii="Times New Roman" w:eastAsia="Times New Roman" w:hAnsi="Times New Roman" w:cs="Times New Roman"/>
          <w:lang w:eastAsia="en-US"/>
        </w:rPr>
        <w:t>laktaminių antibiotikų</w:t>
      </w:r>
      <w:r w:rsidR="001C79FB">
        <w:rPr>
          <w:rFonts w:ascii="Times New Roman" w:eastAsia="Times New Roman" w:hAnsi="Times New Roman" w:cs="Times New Roman"/>
          <w:lang w:eastAsia="en-US"/>
        </w:rPr>
        <w:t xml:space="preserve">, </w:t>
      </w:r>
      <w:r w:rsidR="00C325BF">
        <w:rPr>
          <w:rFonts w:ascii="Times New Roman" w:eastAsia="Times New Roman" w:hAnsi="Times New Roman" w:cs="Times New Roman"/>
          <w:lang w:eastAsia="en-US"/>
        </w:rPr>
        <w:t>buvo pranešta po vaistinio preparato pa</w:t>
      </w:r>
      <w:r w:rsidR="00480B0F">
        <w:rPr>
          <w:rFonts w:ascii="Times New Roman" w:eastAsia="Times New Roman" w:hAnsi="Times New Roman" w:cs="Times New Roman"/>
          <w:lang w:eastAsia="en-US"/>
        </w:rPr>
        <w:t>te</w:t>
      </w:r>
      <w:r w:rsidR="008C7AD3">
        <w:rPr>
          <w:rFonts w:ascii="Times New Roman" w:eastAsia="Times New Roman" w:hAnsi="Times New Roman" w:cs="Times New Roman"/>
          <w:lang w:eastAsia="en-US"/>
        </w:rPr>
        <w:t>i</w:t>
      </w:r>
      <w:r w:rsidR="00480B0F">
        <w:rPr>
          <w:rFonts w:ascii="Times New Roman" w:eastAsia="Times New Roman" w:hAnsi="Times New Roman" w:cs="Times New Roman"/>
          <w:lang w:eastAsia="en-US"/>
        </w:rPr>
        <w:t>kimo į rinką</w:t>
      </w:r>
      <w:r w:rsidR="001C79FB">
        <w:rPr>
          <w:rFonts w:ascii="Times New Roman" w:eastAsia="Times New Roman" w:hAnsi="Times New Roman" w:cs="Times New Roman"/>
          <w:lang w:eastAsia="en-US"/>
        </w:rPr>
        <w:t>.</w:t>
      </w:r>
      <w:r w:rsidRPr="007D115B">
        <w:rPr>
          <w:rFonts w:ascii="Times New Roman" w:eastAsia="Times New Roman" w:hAnsi="Times New Roman" w:cs="Times New Roman"/>
          <w:lang w:eastAsia="en-US"/>
        </w:rPr>
        <w:t xml:space="preserve"> </w:t>
      </w:r>
    </w:p>
    <w:p w14:paraId="488BF238" w14:textId="24E57AC7" w:rsidR="00807757" w:rsidRDefault="00C43E6F" w:rsidP="007D115B">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Vaistinio preparato</w:t>
      </w:r>
      <w:r w:rsidRPr="00C43E6F">
        <w:rPr>
          <w:rFonts w:ascii="Times New Roman" w:eastAsia="Times New Roman" w:hAnsi="Times New Roman" w:cs="Times New Roman"/>
          <w:lang w:eastAsia="en-US"/>
        </w:rPr>
        <w:t xml:space="preserve"> išrašymo metu pacientai turi būti informuoti apie odos reakcijų požymius ir simptomus.</w:t>
      </w:r>
    </w:p>
    <w:p w14:paraId="4A0FA5CC" w14:textId="684A4F24" w:rsidR="007D115B" w:rsidRDefault="007D115B" w:rsidP="004B5565">
      <w:pPr>
        <w:spacing w:after="0" w:line="240" w:lineRule="auto"/>
        <w:rPr>
          <w:rFonts w:ascii="Times New Roman" w:eastAsia="Times New Roman" w:hAnsi="Times New Roman" w:cs="Times New Roman"/>
          <w:lang w:eastAsia="en-US"/>
        </w:rPr>
      </w:pPr>
      <w:r w:rsidRPr="007D115B">
        <w:rPr>
          <w:rFonts w:ascii="Times New Roman" w:eastAsia="Times New Roman" w:hAnsi="Times New Roman" w:cs="Times New Roman"/>
          <w:lang w:eastAsia="en-US"/>
        </w:rPr>
        <w:t>Jei atsiranda šių reakcijų požymių ir simptomų, cefadroksil</w:t>
      </w:r>
      <w:r w:rsidR="00A905C4">
        <w:rPr>
          <w:rFonts w:ascii="Times New Roman" w:eastAsia="Times New Roman" w:hAnsi="Times New Roman" w:cs="Times New Roman"/>
          <w:lang w:eastAsia="en-US"/>
        </w:rPr>
        <w:t>io vartojimą</w:t>
      </w:r>
      <w:r w:rsidRPr="007D115B">
        <w:rPr>
          <w:rFonts w:ascii="Times New Roman" w:eastAsia="Times New Roman" w:hAnsi="Times New Roman" w:cs="Times New Roman"/>
          <w:lang w:eastAsia="en-US"/>
        </w:rPr>
        <w:t xml:space="preserve"> reikia nedelsiant nutraukti ir apsvarstyti alternatyvų gydymą.</w:t>
      </w:r>
      <w:bookmarkEnd w:id="6"/>
      <w:r w:rsidR="00C13568" w:rsidRPr="00C13568">
        <w:rPr>
          <w:rFonts w:ascii="Times New Roman" w:eastAsia="Times New Roman" w:hAnsi="Times New Roman" w:cs="Times New Roman"/>
          <w:lang w:eastAsia="en-US"/>
        </w:rPr>
        <w:t>Jei vartojant cefadroksil</w:t>
      </w:r>
      <w:r w:rsidR="00C13568">
        <w:rPr>
          <w:rFonts w:ascii="Times New Roman" w:eastAsia="Times New Roman" w:hAnsi="Times New Roman" w:cs="Times New Roman"/>
          <w:lang w:eastAsia="en-US"/>
        </w:rPr>
        <w:t>i</w:t>
      </w:r>
      <w:r w:rsidR="00C13568" w:rsidRPr="00C13568">
        <w:rPr>
          <w:rFonts w:ascii="Times New Roman" w:eastAsia="Times New Roman" w:hAnsi="Times New Roman" w:cs="Times New Roman"/>
          <w:lang w:eastAsia="en-US"/>
        </w:rPr>
        <w:t xml:space="preserve"> pacientui išsivystė S</w:t>
      </w:r>
      <w:r w:rsidR="00C13568">
        <w:rPr>
          <w:rFonts w:ascii="Times New Roman" w:eastAsia="Times New Roman" w:hAnsi="Times New Roman" w:cs="Times New Roman"/>
          <w:lang w:eastAsia="en-US"/>
        </w:rPr>
        <w:t>D</w:t>
      </w:r>
      <w:r w:rsidR="00C13568" w:rsidRPr="00C13568">
        <w:rPr>
          <w:rFonts w:ascii="Times New Roman" w:eastAsia="Times New Roman" w:hAnsi="Times New Roman" w:cs="Times New Roman"/>
          <w:lang w:eastAsia="en-US"/>
        </w:rPr>
        <w:t xml:space="preserve">S, TEN, </w:t>
      </w:r>
      <w:r w:rsidR="00C13568">
        <w:rPr>
          <w:rFonts w:ascii="Times New Roman" w:eastAsia="Times New Roman" w:hAnsi="Times New Roman" w:cs="Times New Roman"/>
          <w:lang w:eastAsia="en-US"/>
        </w:rPr>
        <w:t>Ū</w:t>
      </w:r>
      <w:r w:rsidR="00C13568" w:rsidRPr="00C13568">
        <w:rPr>
          <w:rFonts w:ascii="Times New Roman" w:eastAsia="Times New Roman" w:hAnsi="Times New Roman" w:cs="Times New Roman"/>
          <w:lang w:eastAsia="en-US"/>
        </w:rPr>
        <w:t xml:space="preserve">GEP arba </w:t>
      </w:r>
      <w:r w:rsidR="00C13568">
        <w:rPr>
          <w:rFonts w:ascii="Times New Roman" w:eastAsia="Times New Roman" w:hAnsi="Times New Roman" w:cs="Times New Roman"/>
          <w:lang w:eastAsia="en-US"/>
        </w:rPr>
        <w:t>V</w:t>
      </w:r>
      <w:r w:rsidR="00C13568" w:rsidRPr="00C13568">
        <w:rPr>
          <w:rFonts w:ascii="Times New Roman" w:eastAsia="Times New Roman" w:hAnsi="Times New Roman" w:cs="Times New Roman"/>
          <w:lang w:eastAsia="en-US"/>
        </w:rPr>
        <w:t>RESS, gydymo cefadroksiliu atnaujinti negalima ir jį reikia nutraukti visam laikui.</w:t>
      </w:r>
    </w:p>
    <w:p w14:paraId="7C5BCE9F" w14:textId="77777777" w:rsidR="00C13568" w:rsidRPr="00E82419" w:rsidRDefault="00C13568" w:rsidP="004B5565">
      <w:pPr>
        <w:spacing w:after="0" w:line="240" w:lineRule="auto"/>
        <w:rPr>
          <w:rFonts w:ascii="Times New Roman" w:eastAsia="Times New Roman" w:hAnsi="Times New Roman" w:cs="Times New Roman"/>
          <w:lang w:val="lt-LT" w:eastAsia="en-US"/>
        </w:rPr>
      </w:pPr>
    </w:p>
    <w:p w14:paraId="33A94F0D" w14:textId="77777777" w:rsidR="004B5565" w:rsidRPr="00E82419"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Cefadroksilis neprasiskverbia į smegenų skystį, todėl nerekomenduojamas smegenų dangalų uždegimui gydyti (žr. 5.2 skyrių).</w:t>
      </w:r>
    </w:p>
    <w:p w14:paraId="014A7C1E" w14:textId="77777777" w:rsidR="00D403F8" w:rsidRPr="00E82419" w:rsidRDefault="00D403F8" w:rsidP="00157E61">
      <w:pPr>
        <w:spacing w:after="0" w:line="240" w:lineRule="auto"/>
        <w:rPr>
          <w:rFonts w:ascii="Times New Roman" w:eastAsia="Times New Roman" w:hAnsi="Times New Roman" w:cs="Times New Roman"/>
          <w:lang w:val="lt-LT" w:eastAsia="en-US"/>
        </w:rPr>
      </w:pPr>
    </w:p>
    <w:p w14:paraId="21884EEF" w14:textId="77777777" w:rsidR="004B5565" w:rsidRPr="00E82419" w:rsidRDefault="004B5565" w:rsidP="00157E61">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Penicilinas yra pirmiausiai pasirenkamas vaistinis preparatas </w:t>
      </w:r>
      <w:r w:rsidRPr="00E82419">
        <w:rPr>
          <w:rFonts w:ascii="Times New Roman" w:eastAsia="Times New Roman" w:hAnsi="Times New Roman" w:cs="Times New Roman"/>
          <w:i/>
          <w:lang w:val="lt-LT" w:eastAsia="en-US"/>
        </w:rPr>
        <w:t>Streptoccocus pyogenes</w:t>
      </w:r>
      <w:r w:rsidRPr="00E82419">
        <w:rPr>
          <w:rFonts w:ascii="Times New Roman" w:eastAsia="Times New Roman" w:hAnsi="Times New Roman" w:cs="Times New Roman"/>
          <w:lang w:val="lt-LT" w:eastAsia="en-US"/>
        </w:rPr>
        <w:t xml:space="preserve"> sukeltai infekcinei ligai gydyti. Duomenys apie cefadroksilio vartojimą profilaktiniam gydymui nėra pakankamai svarūs. </w:t>
      </w:r>
    </w:p>
    <w:p w14:paraId="0548FDF9" w14:textId="77777777" w:rsidR="00D403F8" w:rsidRPr="00E82419" w:rsidRDefault="00D403F8" w:rsidP="00157E61">
      <w:pPr>
        <w:spacing w:after="0" w:line="240" w:lineRule="auto"/>
        <w:rPr>
          <w:rFonts w:ascii="Times New Roman" w:eastAsia="Times New Roman" w:hAnsi="Times New Roman" w:cs="Times New Roman"/>
          <w:lang w:val="lt-LT" w:eastAsia="en-US"/>
        </w:rPr>
      </w:pPr>
    </w:p>
    <w:p w14:paraId="5C43DB96" w14:textId="77777777" w:rsidR="004B5565" w:rsidRPr="00E82419" w:rsidRDefault="004B5565" w:rsidP="00157E61">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Vartoti vaistinio preparato pacientams, kuriems buvo astma ar sunki alerginė reakcija, būtina labai atsargiai.</w:t>
      </w:r>
    </w:p>
    <w:p w14:paraId="324BEC70" w14:textId="77777777" w:rsidR="00D403F8" w:rsidRPr="00E82419" w:rsidRDefault="00D403F8" w:rsidP="00157E61">
      <w:pPr>
        <w:spacing w:after="0" w:line="240" w:lineRule="auto"/>
        <w:rPr>
          <w:rFonts w:ascii="Times New Roman" w:eastAsia="Times New Roman" w:hAnsi="Times New Roman" w:cs="Times New Roman"/>
          <w:lang w:val="lt-LT" w:eastAsia="en-US"/>
        </w:rPr>
      </w:pPr>
    </w:p>
    <w:p w14:paraId="25BA45E1" w14:textId="77777777" w:rsidR="004B5565" w:rsidRPr="00E82419" w:rsidRDefault="004B5565" w:rsidP="00157E61">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Penicilinui alergiškus žmones cefadroksiliu, kaip ir kitokiais cefalosporinais, reikia gydyti labai atsargiai, kadangi galima kryžminė padidėjusio jautrumo reakcija (5-10 % atvejų).</w:t>
      </w:r>
    </w:p>
    <w:p w14:paraId="76177D43" w14:textId="77777777" w:rsidR="00D403F8" w:rsidRPr="00E82419" w:rsidRDefault="00D403F8" w:rsidP="00157E61">
      <w:pPr>
        <w:spacing w:after="0" w:line="240" w:lineRule="auto"/>
        <w:rPr>
          <w:rFonts w:ascii="Times New Roman" w:eastAsia="Times New Roman" w:hAnsi="Times New Roman" w:cs="Times New Roman"/>
          <w:i/>
          <w:lang w:val="lt-LT" w:eastAsia="en-US"/>
        </w:rPr>
      </w:pPr>
    </w:p>
    <w:p w14:paraId="7E2D59D7" w14:textId="77777777" w:rsidR="004B5565" w:rsidRPr="00E82419" w:rsidRDefault="004B5565" w:rsidP="00157E61">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Inkstų veiklos sutrikimas</w:t>
      </w:r>
    </w:p>
    <w:p w14:paraId="2CDC7987" w14:textId="77777777" w:rsidR="004B5565" w:rsidRPr="00E82419"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Ligoniams, kurių inkstų veikla sutrikusi, vaistinio preparato reikia vartoti atsargiai, t. y. dozę būtina nustatyti atsižvelgiant į inkstų veiklos sutrikimo laipsnį (žr. 4.2 skyrių).</w:t>
      </w:r>
    </w:p>
    <w:p w14:paraId="212F0397" w14:textId="77777777" w:rsidR="00D403F8" w:rsidRPr="00E82419" w:rsidRDefault="00D403F8" w:rsidP="00157E61">
      <w:pPr>
        <w:spacing w:after="0" w:line="240" w:lineRule="auto"/>
        <w:rPr>
          <w:rFonts w:ascii="Times New Roman" w:eastAsia="Times New Roman" w:hAnsi="Times New Roman" w:cs="Times New Roman"/>
          <w:i/>
          <w:lang w:val="lt-LT" w:eastAsia="en-US"/>
        </w:rPr>
      </w:pPr>
    </w:p>
    <w:p w14:paraId="23A97FA4" w14:textId="77777777" w:rsidR="004B5565" w:rsidRPr="00E82419" w:rsidRDefault="004B5565" w:rsidP="00157E61">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i/>
          <w:lang w:val="lt-LT" w:eastAsia="en-US"/>
        </w:rPr>
        <w:t>Neišnešioti kūdikiai ir naujagimiai</w:t>
      </w:r>
    </w:p>
    <w:p w14:paraId="38926A81" w14:textId="77777777" w:rsidR="004B5565" w:rsidRPr="00E82419"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Cefadroksiliu gydyti neišnešiotus kūdikius ir naujagimius reikia atsargiai.</w:t>
      </w:r>
    </w:p>
    <w:p w14:paraId="640CABFB" w14:textId="77777777" w:rsidR="00D403F8" w:rsidRPr="00E82419" w:rsidRDefault="00D403F8" w:rsidP="00157E61">
      <w:pPr>
        <w:spacing w:after="0" w:line="240" w:lineRule="auto"/>
        <w:rPr>
          <w:rFonts w:ascii="Times New Roman" w:eastAsia="Times New Roman" w:hAnsi="Times New Roman" w:cs="Times New Roman"/>
          <w:i/>
          <w:lang w:val="lt-LT" w:eastAsia="en-US"/>
        </w:rPr>
      </w:pPr>
    </w:p>
    <w:p w14:paraId="552EA336" w14:textId="77777777" w:rsidR="004B5565" w:rsidRPr="00E82419" w:rsidRDefault="004B5565" w:rsidP="00157E61">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Buvę virškinimo trakto sutrikimai</w:t>
      </w:r>
    </w:p>
    <w:p w14:paraId="79381F16" w14:textId="77777777" w:rsidR="00A4553D"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Pacientams, kuriems yra buvę virškinimo trakto sutrikimų, ypač kolitas, cefadroksilio reikia vartoti atsargiai. </w:t>
      </w:r>
    </w:p>
    <w:p w14:paraId="790D9257" w14:textId="77777777" w:rsidR="00A4553D" w:rsidRDefault="00A4553D" w:rsidP="00D403F8">
      <w:pPr>
        <w:spacing w:after="0" w:line="240" w:lineRule="auto"/>
        <w:rPr>
          <w:rFonts w:ascii="Times New Roman" w:eastAsia="Times New Roman" w:hAnsi="Times New Roman" w:cs="Times New Roman"/>
          <w:lang w:val="lt-LT" w:eastAsia="en-US"/>
        </w:rPr>
      </w:pPr>
    </w:p>
    <w:p w14:paraId="18B3FD7B" w14:textId="77777777" w:rsidR="004B5565" w:rsidRPr="00E82419" w:rsidRDefault="00A4553D" w:rsidP="00D403F8">
      <w:pPr>
        <w:spacing w:after="0" w:line="240" w:lineRule="auto"/>
        <w:rPr>
          <w:rFonts w:ascii="Times New Roman" w:eastAsia="Times New Roman" w:hAnsi="Times New Roman" w:cs="Times New Roman"/>
          <w:lang w:val="lt-LT" w:eastAsia="en-US"/>
        </w:rPr>
      </w:pPr>
      <w:r w:rsidRPr="00A4553D">
        <w:rPr>
          <w:rFonts w:ascii="Times New Roman" w:eastAsia="Times New Roman" w:hAnsi="Times New Roman" w:cs="Times New Roman"/>
          <w:lang w:val="lt-LT" w:eastAsia="en-US"/>
        </w:rPr>
        <w:t>Jeigu viduriuojate, gali mažėti Biodroxil pasisavinimas organizme ir dėl to vaisto poveikis gali būti silpnesnis.</w:t>
      </w:r>
    </w:p>
    <w:p w14:paraId="4C10247C" w14:textId="77777777" w:rsidR="00D403F8" w:rsidRPr="00E82419" w:rsidRDefault="00D403F8" w:rsidP="00157E61">
      <w:pPr>
        <w:spacing w:after="0" w:line="240" w:lineRule="auto"/>
        <w:rPr>
          <w:rFonts w:ascii="Times New Roman" w:eastAsia="Times New Roman" w:hAnsi="Times New Roman" w:cs="Times New Roman"/>
          <w:i/>
          <w:lang w:val="lt-LT" w:eastAsia="en-US"/>
        </w:rPr>
      </w:pPr>
    </w:p>
    <w:p w14:paraId="225489DB" w14:textId="77777777" w:rsidR="004B5565" w:rsidRPr="00E82419" w:rsidRDefault="004B5565" w:rsidP="00157E61">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lastRenderedPageBreak/>
        <w:t>Alerginės reakcijos</w:t>
      </w:r>
    </w:p>
    <w:p w14:paraId="2039641D" w14:textId="77777777" w:rsidR="004B5565" w:rsidRPr="00E82419"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Alerginės reakcijos (dilgėlinės, išbėrimo, niežėjimo, kraujospūdžio sumažėjimo ir širdies plakimo padažnėjimo, kvėpavimo sutrikimo, kolapso ir kt.) atveju gydymą būtina nedelsiant nutraukti ir imtis reikiamų priemonių (vartoti simpatikomimetikų, kortikosteroidų ir </w:t>
      </w:r>
      <w:r w:rsidR="00D403F8" w:rsidRPr="00E82419">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ar</w:t>
      </w:r>
      <w:r w:rsidR="00D403F8" w:rsidRPr="00E82419">
        <w:rPr>
          <w:rFonts w:ascii="Times New Roman" w:eastAsia="Times New Roman" w:hAnsi="Times New Roman" w:cs="Times New Roman"/>
          <w:lang w:val="lt-LT" w:eastAsia="en-US"/>
        </w:rPr>
        <w:t>ba)</w:t>
      </w:r>
      <w:r w:rsidRPr="00E82419">
        <w:rPr>
          <w:rFonts w:ascii="Times New Roman" w:eastAsia="Times New Roman" w:hAnsi="Times New Roman" w:cs="Times New Roman"/>
          <w:lang w:val="lt-LT" w:eastAsia="en-US"/>
        </w:rPr>
        <w:t xml:space="preserve"> antihistamininių preparatų).</w:t>
      </w:r>
    </w:p>
    <w:p w14:paraId="54C25FEF" w14:textId="77777777" w:rsidR="00D403F8" w:rsidRPr="00E82419" w:rsidRDefault="00D403F8" w:rsidP="00157E61">
      <w:pPr>
        <w:spacing w:after="0" w:line="240" w:lineRule="auto"/>
        <w:rPr>
          <w:rFonts w:ascii="Times New Roman" w:eastAsia="Times New Roman" w:hAnsi="Times New Roman" w:cs="Times New Roman"/>
          <w:i/>
          <w:lang w:val="lt-LT" w:eastAsia="en-US"/>
        </w:rPr>
      </w:pPr>
    </w:p>
    <w:p w14:paraId="3FE744E4" w14:textId="77777777" w:rsidR="004B5565" w:rsidRPr="00E82419" w:rsidRDefault="004B5565" w:rsidP="00157E61">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Užsitęsęs vartojimas</w:t>
      </w:r>
    </w:p>
    <w:p w14:paraId="264ABC57" w14:textId="77777777" w:rsidR="004B5565" w:rsidRPr="00E82419"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Vartojant, ypač ilgai, cefadroksilio, kaip ir visų kitų antibiotikų, rekomenduojama atidžiai stebėti hemogramos rodmenis ir reguliariai tirti kepenų bei inkstų veiklą. Cefadroksiliu gydant ilgai, gali atsirasti grybelių (pvz., </w:t>
      </w:r>
      <w:r w:rsidRPr="00E82419">
        <w:rPr>
          <w:rFonts w:ascii="Times New Roman" w:eastAsia="Times New Roman" w:hAnsi="Times New Roman" w:cs="Times New Roman"/>
          <w:i/>
          <w:lang w:val="lt-LT" w:eastAsia="en-US"/>
        </w:rPr>
        <w:t>Candida</w:t>
      </w:r>
      <w:r w:rsidR="00122F67">
        <w:rPr>
          <w:rFonts w:ascii="Times New Roman" w:eastAsia="Times New Roman" w:hAnsi="Times New Roman" w:cs="Times New Roman"/>
          <w:i/>
          <w:lang w:val="lt-LT" w:eastAsia="en-US"/>
        </w:rPr>
        <w:t xml:space="preserve"> </w:t>
      </w:r>
      <w:r w:rsidRPr="00E82419">
        <w:rPr>
          <w:rFonts w:ascii="Times New Roman" w:eastAsia="Times New Roman" w:hAnsi="Times New Roman" w:cs="Times New Roman"/>
          <w:lang w:val="lt-LT" w:eastAsia="en-US"/>
        </w:rPr>
        <w:t>genties) superinfekcija.</w:t>
      </w:r>
    </w:p>
    <w:p w14:paraId="1C282375" w14:textId="77777777" w:rsidR="00D403F8" w:rsidRPr="00E82419" w:rsidRDefault="00D403F8" w:rsidP="00157E61">
      <w:pPr>
        <w:spacing w:after="0" w:line="240" w:lineRule="auto"/>
        <w:rPr>
          <w:rFonts w:ascii="Times New Roman" w:eastAsia="Times New Roman" w:hAnsi="Times New Roman" w:cs="Times New Roman"/>
          <w:i/>
          <w:lang w:val="lt-LT" w:eastAsia="en-US"/>
        </w:rPr>
      </w:pPr>
    </w:p>
    <w:p w14:paraId="4AE50EC7" w14:textId="77777777" w:rsidR="004B5565" w:rsidRPr="00E82419" w:rsidRDefault="004B5565" w:rsidP="00157E61">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Sunkaus ar nuolatinio viduriavimo atveju</w:t>
      </w:r>
    </w:p>
    <w:p w14:paraId="5074C8E0" w14:textId="77777777" w:rsidR="004B5565" w:rsidRPr="00E82419" w:rsidRDefault="004B5565" w:rsidP="00D403F8">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Reikia apsvarstyti, ar nėra antibiotiko sukelto pseudomembraninio kolito. Jam pasireiškus, cefadroksilio vartojimą būtina tuoj pat nutraukti ir pradėti pacientą gydyti tinkamais preparatais (pvz., skirti gerti 4 kartus per parą po 250 mg vankomicino). Peristaltiką slopinančių vaistinių preparatų tokiu atveju vartoti draudžiama.</w:t>
      </w:r>
    </w:p>
    <w:p w14:paraId="2B4B1863"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7AF34DBA"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Sunkių, gyvybei pavojingų ar tokių infekcinių ligų, kurioms gydyti reikia didesnių dozių arba vaistinio preparato vartoti kelis kartus per parą, atveju gali būti naudingas cefalosporinų vartojimas parenteriniu būdu.</w:t>
      </w:r>
    </w:p>
    <w:p w14:paraId="62F9C883"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238E31D1"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Gydymo cefadroksiliu metu ir po jo gali būti tariamai teigiami tiesioginės Kumbso reakcijos tyrimo rodmenys. Tai tinka ir naujagimių, kurių motinos prieš gimdymą buvo gydomos cefalosporinais, Kumbso reakcijos tyrimo rodmenims. </w:t>
      </w:r>
    </w:p>
    <w:p w14:paraId="2119EBCE"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7A77FF3F"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Intensyvi diurezė skatina cefadroksilio kiekio kraujo serume mažėjimą.</w:t>
      </w:r>
    </w:p>
    <w:p w14:paraId="688803AD"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4502045A" w14:textId="77777777" w:rsidR="004B5565"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Gydymo cefadroksiliu metu cukraus kiekį šlapime reikia nustatinėti fermentiniu metodu (pvz., testavimo juostelėmis), kadangi redukcijos metodu nustatyti rodmenys gali būti didesni, negu yra iš tikrųjų. </w:t>
      </w:r>
    </w:p>
    <w:p w14:paraId="796DB7E0" w14:textId="77777777" w:rsidR="007C778E" w:rsidRPr="00E82419" w:rsidRDefault="007C778E" w:rsidP="004B5565">
      <w:pPr>
        <w:tabs>
          <w:tab w:val="left" w:pos="567"/>
        </w:tabs>
        <w:spacing w:after="0" w:line="240" w:lineRule="auto"/>
        <w:rPr>
          <w:rFonts w:ascii="Times New Roman" w:eastAsia="Times New Roman" w:hAnsi="Times New Roman" w:cs="Times New Roman"/>
          <w:lang w:val="lt-LT" w:eastAsia="en-US"/>
        </w:rPr>
      </w:pPr>
    </w:p>
    <w:p w14:paraId="0133FBA6" w14:textId="77777777" w:rsidR="004B5565" w:rsidRPr="00680A7F" w:rsidRDefault="007C778E" w:rsidP="004B5565">
      <w:pPr>
        <w:autoSpaceDE w:val="0"/>
        <w:autoSpaceDN w:val="0"/>
        <w:adjustRightInd w:val="0"/>
        <w:spacing w:after="0" w:line="240" w:lineRule="auto"/>
        <w:rPr>
          <w:rFonts w:ascii="Times New Roman" w:eastAsia="Times New Roman" w:hAnsi="Times New Roman" w:cs="Times New Roman"/>
          <w:i/>
          <w:lang w:val="lt-LT" w:eastAsia="en-US"/>
        </w:rPr>
      </w:pPr>
      <w:r w:rsidRPr="00680A7F">
        <w:rPr>
          <w:rFonts w:ascii="Times New Roman" w:eastAsia="Times New Roman" w:hAnsi="Times New Roman" w:cs="Times New Roman"/>
          <w:i/>
          <w:lang w:val="lt-LT" w:eastAsia="en-US"/>
        </w:rPr>
        <w:t>Pagalbinės medžiagos</w:t>
      </w:r>
    </w:p>
    <w:p w14:paraId="4249B8BD" w14:textId="77777777" w:rsidR="007C778E" w:rsidRPr="00E82419" w:rsidRDefault="007C778E" w:rsidP="004B5565">
      <w:pPr>
        <w:autoSpaceDE w:val="0"/>
        <w:autoSpaceDN w:val="0"/>
        <w:adjustRightInd w:val="0"/>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Sacharozė</w:t>
      </w:r>
    </w:p>
    <w:p w14:paraId="214115A9" w14:textId="77777777" w:rsidR="004B5565" w:rsidRPr="00E82419" w:rsidRDefault="004B5565" w:rsidP="00680A7F">
      <w:pPr>
        <w:autoSpaceDE w:val="0"/>
        <w:autoSpaceDN w:val="0"/>
        <w:adjustRightInd w:val="0"/>
        <w:spacing w:after="0" w:line="240" w:lineRule="auto"/>
        <w:rPr>
          <w:rFonts w:ascii="Times New Roman" w:eastAsia="Times New Roman" w:hAnsi="Times New Roman" w:cs="Times New Roman"/>
          <w:iCs/>
          <w:highlight w:val="green"/>
          <w:lang w:val="lt-LT" w:eastAsia="en-US"/>
        </w:rPr>
      </w:pPr>
      <w:r w:rsidRPr="00E82419">
        <w:rPr>
          <w:rFonts w:ascii="Times New Roman" w:eastAsia="Times New Roman" w:hAnsi="Times New Roman" w:cs="Times New Roman"/>
          <w:iCs/>
          <w:lang w:val="lt-LT" w:eastAsia="en-US"/>
        </w:rPr>
        <w:t xml:space="preserve">Biodroxil geriamosios suspensijos sudėtyje yra sacharozės. </w:t>
      </w:r>
      <w:r w:rsidRPr="00E82419">
        <w:rPr>
          <w:rFonts w:ascii="Times New Roman" w:eastAsia="Times New Roman" w:hAnsi="Times New Roman" w:cs="Times New Roman"/>
          <w:lang w:val="lt-LT" w:eastAsia="lt-LT"/>
        </w:rPr>
        <w:t>Šio vaistinio preparato negalima skirti pacientams, kuriems nustatytas retas paveldimas sutrikimas – fruktozės netoleravimas, gliukozės ir galaktozės malabsorbcija arba sacharazės ir izomaltazės stygius.</w:t>
      </w:r>
    </w:p>
    <w:p w14:paraId="58E8C205" w14:textId="77777777" w:rsidR="004B5565" w:rsidRDefault="004B5565" w:rsidP="004B5565">
      <w:pPr>
        <w:spacing w:after="0" w:line="240" w:lineRule="auto"/>
        <w:rPr>
          <w:rFonts w:ascii="Times New Roman" w:eastAsia="Times New Roman" w:hAnsi="Times New Roman" w:cs="Times New Roman"/>
          <w:iCs/>
          <w:lang w:val="lt-LT" w:eastAsia="en-US"/>
        </w:rPr>
      </w:pPr>
      <w:r w:rsidRPr="00E82419">
        <w:rPr>
          <w:rFonts w:ascii="Times New Roman" w:eastAsia="Times New Roman" w:hAnsi="Times New Roman" w:cs="Times New Roman"/>
          <w:iCs/>
          <w:lang w:val="lt-LT" w:eastAsia="en-US"/>
        </w:rPr>
        <w:t>Pastaba diabetikams. Reikia atsižvelgti, kad viename Biodroxil 250 mg/5 ml matavimo šaukšte yra 3,3855 g cukraus (sacharozės).</w:t>
      </w:r>
    </w:p>
    <w:p w14:paraId="74681A8C" w14:textId="77777777" w:rsidR="00680A7F" w:rsidRDefault="00680A7F" w:rsidP="004B5565">
      <w:pPr>
        <w:spacing w:after="0" w:line="240" w:lineRule="auto"/>
        <w:rPr>
          <w:rFonts w:ascii="Times New Roman" w:hAnsi="Times New Roman"/>
          <w:lang w:val="lt-LT"/>
        </w:rPr>
      </w:pPr>
    </w:p>
    <w:p w14:paraId="58CF59CE" w14:textId="77777777" w:rsidR="007E433E" w:rsidRPr="00680A7F" w:rsidRDefault="007C778E" w:rsidP="004B5565">
      <w:pPr>
        <w:spacing w:after="0" w:line="240" w:lineRule="auto"/>
        <w:rPr>
          <w:rFonts w:ascii="Times New Roman" w:hAnsi="Times New Roman"/>
          <w:lang w:val="lt-LT"/>
        </w:rPr>
      </w:pPr>
      <w:r>
        <w:rPr>
          <w:rFonts w:ascii="Times New Roman" w:hAnsi="Times New Roman"/>
          <w:lang w:val="lt-LT"/>
        </w:rPr>
        <w:t>Natris</w:t>
      </w:r>
    </w:p>
    <w:p w14:paraId="25B511DF" w14:textId="77777777" w:rsidR="007E433E" w:rsidRDefault="007E433E"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Šio vaistinio preparato </w:t>
      </w:r>
      <w:r w:rsidRPr="007E433E">
        <w:rPr>
          <w:rFonts w:ascii="Times New Roman" w:eastAsia="Times New Roman" w:hAnsi="Times New Roman" w:cs="Times New Roman"/>
          <w:lang w:val="lt-LT" w:eastAsia="en-US"/>
        </w:rPr>
        <w:t xml:space="preserve">5 ml paruoštos suspensijos </w:t>
      </w:r>
      <w:r>
        <w:rPr>
          <w:rFonts w:ascii="Times New Roman" w:eastAsia="Times New Roman" w:hAnsi="Times New Roman" w:cs="Times New Roman"/>
          <w:lang w:val="lt-LT" w:eastAsia="en-US"/>
        </w:rPr>
        <w:t xml:space="preserve">yra </w:t>
      </w:r>
      <w:r w:rsidRPr="007E433E">
        <w:rPr>
          <w:rFonts w:ascii="Times New Roman" w:eastAsia="Times New Roman" w:hAnsi="Times New Roman" w:cs="Times New Roman"/>
          <w:lang w:val="lt-LT" w:eastAsia="en-US"/>
        </w:rPr>
        <w:t xml:space="preserve">mažiau kaip 1 mmol </w:t>
      </w:r>
      <w:r>
        <w:rPr>
          <w:rFonts w:ascii="Times New Roman" w:eastAsia="Times New Roman" w:hAnsi="Times New Roman" w:cs="Times New Roman"/>
          <w:lang w:val="lt-LT" w:eastAsia="en-US"/>
        </w:rPr>
        <w:t xml:space="preserve">(23 mg) natrio, t.y. jis beveik </w:t>
      </w:r>
      <w:r w:rsidRPr="007E433E">
        <w:rPr>
          <w:rFonts w:ascii="Times New Roman" w:eastAsia="Times New Roman" w:hAnsi="Times New Roman" w:cs="Times New Roman"/>
          <w:lang w:val="lt-LT" w:eastAsia="en-US"/>
        </w:rPr>
        <w:t>neturi reikšmės.</w:t>
      </w:r>
    </w:p>
    <w:p w14:paraId="2E7B7047" w14:textId="77777777" w:rsidR="00680A7F" w:rsidRDefault="00680A7F" w:rsidP="007E433E">
      <w:pPr>
        <w:spacing w:after="0" w:line="240" w:lineRule="auto"/>
        <w:rPr>
          <w:rFonts w:ascii="Times New Roman" w:eastAsia="Times New Roman" w:hAnsi="Times New Roman" w:cs="Times New Roman"/>
          <w:lang w:val="lt-LT" w:eastAsia="en-US"/>
        </w:rPr>
      </w:pPr>
    </w:p>
    <w:p w14:paraId="508F2C95" w14:textId="77777777" w:rsidR="007E433E" w:rsidRDefault="007C778E"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Sorbitolis</w:t>
      </w:r>
    </w:p>
    <w:p w14:paraId="1FAE3356" w14:textId="77777777" w:rsidR="007E433E" w:rsidRDefault="007E433E"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Šio vaistinio preparato </w:t>
      </w:r>
      <w:r w:rsidRPr="007E433E">
        <w:rPr>
          <w:rFonts w:ascii="Times New Roman" w:eastAsia="Times New Roman" w:hAnsi="Times New Roman" w:cs="Times New Roman"/>
          <w:lang w:val="lt-LT" w:eastAsia="en-US"/>
        </w:rPr>
        <w:t xml:space="preserve">5 ml paruoštos suspensijos </w:t>
      </w:r>
      <w:r>
        <w:rPr>
          <w:rFonts w:ascii="Times New Roman" w:eastAsia="Times New Roman" w:hAnsi="Times New Roman" w:cs="Times New Roman"/>
          <w:lang w:val="lt-LT" w:eastAsia="en-US"/>
        </w:rPr>
        <w:t>yra 0,86 mg sorbitolio.</w:t>
      </w:r>
      <w:r w:rsidR="00572563">
        <w:rPr>
          <w:rFonts w:ascii="Times New Roman" w:eastAsia="Times New Roman" w:hAnsi="Times New Roman" w:cs="Times New Roman"/>
          <w:lang w:val="lt-LT" w:eastAsia="en-US"/>
        </w:rPr>
        <w:t xml:space="preserve"> Reikia atsižvelgti į adityvų kartu vartojamų vaistinių preparatų, kurių sudėtyje yra sorbitolio (ar fruktozės), ir su maistu vartojamo sorbitolio (ar fruktozės) poveikį.</w:t>
      </w:r>
    </w:p>
    <w:p w14:paraId="78F43099" w14:textId="77777777" w:rsidR="00572563" w:rsidRDefault="00572563"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Geriamojo vaistinio preparato sudėtyje esantis sorbitolis gali paveikti kitų kartu vartojimų geriamųjų vaistinių preparatų biologinį prieinamumą.</w:t>
      </w:r>
    </w:p>
    <w:p w14:paraId="4AF94CED" w14:textId="77777777" w:rsidR="007E433E" w:rsidRDefault="007C778E"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Sieros dioksidas</w:t>
      </w:r>
    </w:p>
    <w:p w14:paraId="5908F6F0" w14:textId="77777777" w:rsidR="007E433E" w:rsidRDefault="007E433E"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Šio vaistinio preparato </w:t>
      </w:r>
      <w:r w:rsidRPr="007E433E">
        <w:rPr>
          <w:rFonts w:ascii="Times New Roman" w:eastAsia="Times New Roman" w:hAnsi="Times New Roman" w:cs="Times New Roman"/>
          <w:lang w:val="lt-LT" w:eastAsia="en-US"/>
        </w:rPr>
        <w:t xml:space="preserve">5 ml paruoštos suspensijos </w:t>
      </w:r>
      <w:r>
        <w:rPr>
          <w:rFonts w:ascii="Times New Roman" w:eastAsia="Times New Roman" w:hAnsi="Times New Roman" w:cs="Times New Roman"/>
          <w:lang w:val="lt-LT" w:eastAsia="en-US"/>
        </w:rPr>
        <w:t xml:space="preserve">yra 0,64 mikrogramų sieros dioksido. </w:t>
      </w:r>
      <w:r w:rsidRPr="007E433E">
        <w:rPr>
          <w:rFonts w:ascii="Times New Roman" w:eastAsia="Times New Roman" w:hAnsi="Times New Roman" w:cs="Times New Roman"/>
          <w:lang w:val="lt-LT" w:eastAsia="en-US"/>
        </w:rPr>
        <w:t xml:space="preserve">Retais atvejais </w:t>
      </w:r>
      <w:r>
        <w:rPr>
          <w:rFonts w:ascii="Times New Roman" w:eastAsia="Times New Roman" w:hAnsi="Times New Roman" w:cs="Times New Roman"/>
          <w:lang w:val="lt-LT" w:eastAsia="en-US"/>
        </w:rPr>
        <w:t xml:space="preserve">gali sukelti sunkių padidėjusio </w:t>
      </w:r>
      <w:r w:rsidRPr="007E433E">
        <w:rPr>
          <w:rFonts w:ascii="Times New Roman" w:eastAsia="Times New Roman" w:hAnsi="Times New Roman" w:cs="Times New Roman"/>
          <w:lang w:val="lt-LT" w:eastAsia="en-US"/>
        </w:rPr>
        <w:t>jautrumo reakcijų ir bronchų spazmą.</w:t>
      </w:r>
    </w:p>
    <w:p w14:paraId="47F64308" w14:textId="77777777" w:rsidR="00680A7F" w:rsidRDefault="00680A7F" w:rsidP="007E433E">
      <w:pPr>
        <w:spacing w:after="0" w:line="240" w:lineRule="auto"/>
        <w:rPr>
          <w:rFonts w:ascii="Times New Roman" w:eastAsia="Times New Roman" w:hAnsi="Times New Roman" w:cs="Times New Roman"/>
          <w:lang w:val="lt-LT" w:eastAsia="en-US"/>
        </w:rPr>
      </w:pPr>
    </w:p>
    <w:p w14:paraId="4D766EAF" w14:textId="77777777" w:rsidR="007E433E" w:rsidRDefault="00572563" w:rsidP="007E433E">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Etanolis</w:t>
      </w:r>
    </w:p>
    <w:p w14:paraId="5381152D" w14:textId="77777777" w:rsidR="007E433E" w:rsidRDefault="007E433E" w:rsidP="007E433E">
      <w:pPr>
        <w:spacing w:after="0" w:line="240" w:lineRule="auto"/>
        <w:rPr>
          <w:rFonts w:ascii="Times New Roman" w:eastAsia="Times New Roman" w:hAnsi="Times New Roman" w:cs="Times New Roman"/>
          <w:lang w:val="lt-LT" w:eastAsia="en-US"/>
        </w:rPr>
      </w:pPr>
      <w:r w:rsidRPr="007E433E">
        <w:rPr>
          <w:rFonts w:ascii="Times New Roman" w:eastAsia="Times New Roman" w:hAnsi="Times New Roman" w:cs="Times New Roman"/>
          <w:lang w:val="lt-LT" w:eastAsia="en-US"/>
        </w:rPr>
        <w:t xml:space="preserve">Šio vaistinio preparato 5 ml suspensijoje yra iki 3,83 </w:t>
      </w:r>
      <w:r>
        <w:rPr>
          <w:rFonts w:ascii="Times New Roman" w:eastAsia="Times New Roman" w:hAnsi="Times New Roman" w:cs="Times New Roman"/>
          <w:lang w:val="lt-LT" w:eastAsia="en-US"/>
        </w:rPr>
        <w:t>mg alkoholio (etanolio). Kiekviename</w:t>
      </w:r>
      <w:r w:rsidRPr="007E433E">
        <w:rPr>
          <w:rFonts w:ascii="Times New Roman" w:eastAsia="Times New Roman" w:hAnsi="Times New Roman" w:cs="Times New Roman"/>
          <w:lang w:val="lt-LT" w:eastAsia="en-US"/>
        </w:rPr>
        <w:t xml:space="preserve"> šio vaistinio preparato </w:t>
      </w:r>
      <w:r>
        <w:rPr>
          <w:rFonts w:ascii="Times New Roman" w:eastAsia="Times New Roman" w:hAnsi="Times New Roman" w:cs="Times New Roman"/>
          <w:lang w:val="lt-LT" w:eastAsia="en-US"/>
        </w:rPr>
        <w:t xml:space="preserve">5 ml </w:t>
      </w:r>
      <w:r w:rsidRPr="007E433E">
        <w:rPr>
          <w:rFonts w:ascii="Times New Roman" w:eastAsia="Times New Roman" w:hAnsi="Times New Roman" w:cs="Times New Roman"/>
          <w:lang w:val="lt-LT" w:eastAsia="en-US"/>
        </w:rPr>
        <w:t>suspensijos atitinka mažiau</w:t>
      </w:r>
      <w:r>
        <w:rPr>
          <w:rFonts w:ascii="Times New Roman" w:eastAsia="Times New Roman" w:hAnsi="Times New Roman" w:cs="Times New Roman"/>
          <w:lang w:val="lt-LT" w:eastAsia="en-US"/>
        </w:rPr>
        <w:t xml:space="preserve"> kaip 1 ml alaus ar 1 ml vyno. </w:t>
      </w:r>
      <w:r w:rsidRPr="007E433E">
        <w:rPr>
          <w:rFonts w:ascii="Times New Roman" w:eastAsia="Times New Roman" w:hAnsi="Times New Roman" w:cs="Times New Roman"/>
          <w:lang w:val="lt-LT" w:eastAsia="en-US"/>
        </w:rPr>
        <w:t>Mažas alkoholio kieki</w:t>
      </w:r>
      <w:r>
        <w:rPr>
          <w:rFonts w:ascii="Times New Roman" w:eastAsia="Times New Roman" w:hAnsi="Times New Roman" w:cs="Times New Roman"/>
          <w:lang w:val="lt-LT" w:eastAsia="en-US"/>
        </w:rPr>
        <w:t>s, esantis šio vaist</w:t>
      </w:r>
      <w:r w:rsidR="007C778E">
        <w:rPr>
          <w:rFonts w:ascii="Times New Roman" w:eastAsia="Times New Roman" w:hAnsi="Times New Roman" w:cs="Times New Roman"/>
          <w:lang w:val="lt-LT" w:eastAsia="en-US"/>
        </w:rPr>
        <w:t xml:space="preserve">inio preparato </w:t>
      </w:r>
      <w:r>
        <w:rPr>
          <w:rFonts w:ascii="Times New Roman" w:eastAsia="Times New Roman" w:hAnsi="Times New Roman" w:cs="Times New Roman"/>
          <w:lang w:val="lt-LT" w:eastAsia="en-US"/>
        </w:rPr>
        <w:t xml:space="preserve">sudėtyje, </w:t>
      </w:r>
      <w:r w:rsidRPr="007E433E">
        <w:rPr>
          <w:rFonts w:ascii="Times New Roman" w:eastAsia="Times New Roman" w:hAnsi="Times New Roman" w:cs="Times New Roman"/>
          <w:lang w:val="lt-LT" w:eastAsia="en-US"/>
        </w:rPr>
        <w:t>nesukelia pastebimo poveikio.</w:t>
      </w:r>
    </w:p>
    <w:p w14:paraId="1A1644E1" w14:textId="77777777" w:rsidR="007E433E" w:rsidRPr="00E82419" w:rsidRDefault="007E433E" w:rsidP="007E433E">
      <w:pPr>
        <w:spacing w:after="0" w:line="240" w:lineRule="auto"/>
        <w:rPr>
          <w:rFonts w:ascii="Times New Roman" w:eastAsia="Times New Roman" w:hAnsi="Times New Roman" w:cs="Times New Roman"/>
          <w:lang w:val="lt-LT" w:eastAsia="en-US"/>
        </w:rPr>
      </w:pPr>
    </w:p>
    <w:p w14:paraId="635D23EF"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07386A82"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4.5</w:t>
      </w:r>
      <w:r w:rsidRPr="00E82419">
        <w:rPr>
          <w:rFonts w:ascii="Times New Roman" w:eastAsia="Times New Roman" w:hAnsi="Times New Roman" w:cs="Times New Roman"/>
          <w:b/>
          <w:lang w:val="lt-LT" w:eastAsia="en-US"/>
        </w:rPr>
        <w:tab/>
        <w:t>Sąveika su kitais vaistiniais preparatais ir kitokia sąveika</w:t>
      </w:r>
    </w:p>
    <w:p w14:paraId="1A5AB92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57E8C73"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Kartu vartoti draudžiama</w:t>
      </w:r>
    </w:p>
    <w:p w14:paraId="02DEEBD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Cefadroksilio turi būti nevartojama kartu su antibiotikais, sukeliančiais bakteriostatinį poveikį, pvz., tetraciklinais, eritromicinu, sulfamidais, chloramfenikoliu, kadangi gali pasireikšti antagonistinis poveikis. </w:t>
      </w:r>
    </w:p>
    <w:p w14:paraId="3D0AB60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Būtina vengti gydymo cefadroksiliu kartu su aminoglikozidų grupės antibiotikais, polimiksinu B, kolistinu ar didelėmis Henlės kilpoje veikiančių diuretikų dozėmis, kadangi tokiu atveju gali pasireikšti stipresnis toksinis poveikis inkstams.</w:t>
      </w:r>
    </w:p>
    <w:p w14:paraId="5EF60E59" w14:textId="77777777" w:rsidR="004B5565" w:rsidRPr="00E82419" w:rsidRDefault="004B5565" w:rsidP="004B5565">
      <w:pPr>
        <w:spacing w:after="0" w:line="240" w:lineRule="auto"/>
        <w:rPr>
          <w:rFonts w:ascii="Times New Roman" w:eastAsia="Times New Roman" w:hAnsi="Times New Roman" w:cs="Times New Roman"/>
          <w:b/>
          <w:i/>
          <w:lang w:val="lt-LT" w:eastAsia="en-US"/>
        </w:rPr>
      </w:pPr>
    </w:p>
    <w:p w14:paraId="20915B14"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Kartu vartoti nerekomenduojama</w:t>
      </w:r>
    </w:p>
    <w:p w14:paraId="035FD39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Antikoaguliantų ar trombocitų agregaciją slopinančių vaistinių preparatų vartojančius pacientus ilgai gydant didele cefadroksilio doze, būtina dažnai nustatinėti kraujo krešėjimo rodmenis tam, kad išvengti kraujavimo komplikacijų.</w:t>
      </w:r>
    </w:p>
    <w:p w14:paraId="0E4488EB" w14:textId="77777777" w:rsidR="004B5565" w:rsidRPr="00E82419" w:rsidRDefault="004B5565" w:rsidP="004B5565">
      <w:pPr>
        <w:spacing w:after="0" w:line="240" w:lineRule="auto"/>
        <w:rPr>
          <w:rFonts w:ascii="Times New Roman" w:eastAsia="Times New Roman" w:hAnsi="Times New Roman" w:cs="Times New Roman"/>
          <w:b/>
          <w:i/>
          <w:lang w:val="lt-LT" w:eastAsia="en-US"/>
        </w:rPr>
      </w:pPr>
    </w:p>
    <w:p w14:paraId="76456307"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Įspėjimai</w:t>
      </w:r>
    </w:p>
    <w:p w14:paraId="5EF5049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Kartu vartojant probenecido ir cefadroksilio, ilgiau gali išlikti didesnė pastarojo vaistinio preparato koncentracija kraujo serume ir tulžyje.</w:t>
      </w:r>
    </w:p>
    <w:p w14:paraId="78BD26C8" w14:textId="77777777" w:rsidR="00261365" w:rsidRDefault="00261365" w:rsidP="004B5565">
      <w:pPr>
        <w:spacing w:after="0" w:line="240" w:lineRule="auto"/>
        <w:rPr>
          <w:rFonts w:ascii="Times New Roman" w:eastAsia="Times New Roman" w:hAnsi="Times New Roman" w:cs="Times New Roman"/>
          <w:lang w:val="lt-LT" w:eastAsia="en-US"/>
        </w:rPr>
      </w:pPr>
    </w:p>
    <w:p w14:paraId="0B85CD61" w14:textId="77777777" w:rsidR="004B5565" w:rsidRDefault="00261365" w:rsidP="004B5565">
      <w:pPr>
        <w:spacing w:after="0" w:line="240" w:lineRule="auto"/>
        <w:rPr>
          <w:rFonts w:ascii="Times New Roman" w:eastAsia="Times New Roman" w:hAnsi="Times New Roman" w:cs="Times New Roman"/>
          <w:lang w:val="lt-LT" w:eastAsia="en-US"/>
        </w:rPr>
      </w:pPr>
      <w:r w:rsidRPr="00261365">
        <w:rPr>
          <w:rFonts w:ascii="Times New Roman" w:eastAsia="Times New Roman" w:hAnsi="Times New Roman" w:cs="Times New Roman"/>
          <w:lang w:val="lt-LT" w:eastAsia="en-US"/>
        </w:rPr>
        <w:t>Tuo pat metu vartojamas probenecidas slopina cefadroksilio eliminaciją per inkstus, todėl kartu su probenecidu vartojamo cefadroksilio koncentracija plazmoje gali padidėti.</w:t>
      </w:r>
    </w:p>
    <w:p w14:paraId="2724CC7E" w14:textId="77777777" w:rsidR="00261365" w:rsidRPr="00E82419" w:rsidRDefault="00261365" w:rsidP="004B5565">
      <w:pPr>
        <w:spacing w:after="0" w:line="240" w:lineRule="auto"/>
        <w:rPr>
          <w:rFonts w:ascii="Times New Roman" w:eastAsia="Times New Roman" w:hAnsi="Times New Roman" w:cs="Times New Roman"/>
          <w:lang w:val="lt-LT" w:eastAsia="en-US"/>
        </w:rPr>
      </w:pPr>
    </w:p>
    <w:p w14:paraId="49C5D7D6" w14:textId="77777777" w:rsidR="00814FDA" w:rsidRPr="00E82419" w:rsidRDefault="00814FDA" w:rsidP="00814FDA">
      <w:pPr>
        <w:widowControl w:val="0"/>
        <w:tabs>
          <w:tab w:val="left" w:pos="1180"/>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Įrodyta, kad cefadroksilis nesąveikauja su geriamaisiais kontraceptikais.</w:t>
      </w:r>
    </w:p>
    <w:p w14:paraId="45F6135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C4FFDD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Kolestiraminas prisijungia cefadroksilį, todėl gali sumažėti pastarojo vaistinio preparato biologinis prieinamumas.</w:t>
      </w:r>
    </w:p>
    <w:p w14:paraId="73C90A46"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029C06FC"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4.6</w:t>
      </w:r>
      <w:r w:rsidRPr="00E82419">
        <w:rPr>
          <w:rFonts w:ascii="Times New Roman" w:eastAsia="Times New Roman" w:hAnsi="Times New Roman" w:cs="Times New Roman"/>
          <w:b/>
          <w:lang w:val="lt-LT" w:eastAsia="en-US"/>
        </w:rPr>
        <w:tab/>
        <w:t>Vaisingumas, nėštumo ir žindymo laikotarpis</w:t>
      </w:r>
    </w:p>
    <w:p w14:paraId="36C4A63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129A6C9" w14:textId="77777777" w:rsidR="004B5565" w:rsidRPr="00157E61" w:rsidRDefault="004B5565" w:rsidP="004B5565">
      <w:pPr>
        <w:spacing w:after="0" w:line="240" w:lineRule="auto"/>
        <w:rPr>
          <w:rFonts w:ascii="Times New Roman" w:eastAsia="Times New Roman" w:hAnsi="Times New Roman" w:cs="Times New Roman"/>
          <w:u w:val="single"/>
          <w:lang w:val="lt-LT" w:eastAsia="en-US"/>
        </w:rPr>
      </w:pPr>
      <w:r w:rsidRPr="00157E61">
        <w:rPr>
          <w:rFonts w:ascii="Times New Roman" w:eastAsia="Times New Roman" w:hAnsi="Times New Roman" w:cs="Times New Roman"/>
          <w:u w:val="single"/>
          <w:lang w:val="lt-LT" w:eastAsia="en-US"/>
        </w:rPr>
        <w:t>Nėštumas</w:t>
      </w:r>
    </w:p>
    <w:p w14:paraId="25F041D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Nors tyrimų su gyvūnais duomenys ir klinikinė patirtis teratogeninio poveikio nerodo, ar šio vaistinio preparato vartoti nėštumo metu saugu, iki šiol nenustatyta.</w:t>
      </w:r>
    </w:p>
    <w:p w14:paraId="0D1AA04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182E4EF" w14:textId="77777777" w:rsidR="004B5565" w:rsidRPr="00157E61" w:rsidRDefault="004B5565" w:rsidP="004B5565">
      <w:pPr>
        <w:spacing w:after="0" w:line="240" w:lineRule="auto"/>
        <w:rPr>
          <w:rFonts w:ascii="Times New Roman" w:eastAsia="Times New Roman" w:hAnsi="Times New Roman" w:cs="Times New Roman"/>
          <w:u w:val="single"/>
          <w:lang w:val="lt-LT" w:eastAsia="en-US"/>
        </w:rPr>
      </w:pPr>
      <w:r w:rsidRPr="00157E61">
        <w:rPr>
          <w:rFonts w:ascii="Times New Roman" w:eastAsia="Times New Roman" w:hAnsi="Times New Roman" w:cs="Times New Roman"/>
          <w:u w:val="single"/>
          <w:lang w:val="lt-LT" w:eastAsia="en-US"/>
        </w:rPr>
        <w:t>Žindymas</w:t>
      </w:r>
    </w:p>
    <w:p w14:paraId="2595805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Žindyvės piene yra šiek tiek cefadroksilio, kuris gali skatinti kūdikio jautrumo padidėjimą, viduriavimą ar gleivinės kolonizavimą grybeliais.</w:t>
      </w:r>
    </w:p>
    <w:p w14:paraId="73684E95" w14:textId="77777777" w:rsidR="004B5565" w:rsidRPr="00E82419" w:rsidRDefault="004B5565" w:rsidP="004B5565">
      <w:pPr>
        <w:spacing w:after="0" w:line="240" w:lineRule="auto"/>
        <w:rPr>
          <w:rFonts w:ascii="Times New Roman" w:eastAsia="Times New Roman" w:hAnsi="Times New Roman" w:cs="Times New Roman"/>
          <w:highlight w:val="green"/>
          <w:lang w:val="lt-LT" w:eastAsia="en-US"/>
        </w:rPr>
      </w:pPr>
    </w:p>
    <w:p w14:paraId="039B9BF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Nėštumo ir žindymo metu cefadroksilio reikia vartoti labai atsargiai.</w:t>
      </w:r>
    </w:p>
    <w:p w14:paraId="03BA6976"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216C7F7A"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4.7</w:t>
      </w:r>
      <w:r w:rsidRPr="00E82419">
        <w:rPr>
          <w:rFonts w:ascii="Times New Roman" w:eastAsia="Times New Roman" w:hAnsi="Times New Roman" w:cs="Times New Roman"/>
          <w:b/>
          <w:lang w:val="lt-LT" w:eastAsia="en-US"/>
        </w:rPr>
        <w:tab/>
        <w:t>Poveikis gebėjimui vairuoti ir valdyti mechanizmus</w:t>
      </w:r>
    </w:p>
    <w:p w14:paraId="5A633A3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BBD5A7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Cefadroksilis gali sukelti galvos skausmą, svaigulį, nervingumą, nemigą ir nuovargį, todėl gali daryti įtaką gebėjimui vairuoti ir valdyti mechanizmus.</w:t>
      </w:r>
    </w:p>
    <w:p w14:paraId="1A43BB0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36ADFCC"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4.8</w:t>
      </w:r>
      <w:r w:rsidRPr="00E82419">
        <w:rPr>
          <w:rFonts w:ascii="Times New Roman" w:eastAsia="Times New Roman" w:hAnsi="Times New Roman" w:cs="Times New Roman"/>
          <w:b/>
          <w:lang w:val="lt-LT" w:eastAsia="en-US"/>
        </w:rPr>
        <w:tab/>
        <w:t>Nepageidaujamas poveikis</w:t>
      </w:r>
    </w:p>
    <w:p w14:paraId="2618704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298EFA0"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102D82B4"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3CFBE1FF"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Nepageidaujam</w:t>
      </w:r>
      <w:r w:rsidR="008C5DAD">
        <w:rPr>
          <w:rFonts w:ascii="Times New Roman" w:eastAsia="Times New Roman" w:hAnsi="Times New Roman" w:cs="Times New Roman"/>
          <w:lang w:val="lt-LT" w:eastAsia="en-US"/>
        </w:rPr>
        <w:t>o</w:t>
      </w:r>
      <w:r w:rsidRPr="00E82419">
        <w:rPr>
          <w:rFonts w:ascii="Times New Roman" w:eastAsia="Times New Roman" w:hAnsi="Times New Roman" w:cs="Times New Roman"/>
          <w:lang w:val="lt-LT" w:eastAsia="en-US"/>
        </w:rPr>
        <w:t>s reakcijos į vaist</w:t>
      </w:r>
      <w:r w:rsidR="005242E8" w:rsidRPr="00E82419">
        <w:rPr>
          <w:rFonts w:ascii="Times New Roman" w:eastAsia="Times New Roman" w:hAnsi="Times New Roman" w:cs="Times New Roman"/>
          <w:lang w:val="lt-LT" w:eastAsia="en-US"/>
        </w:rPr>
        <w:t>inį preparat</w:t>
      </w:r>
      <w:r w:rsidRPr="00E82419">
        <w:rPr>
          <w:rFonts w:ascii="Times New Roman" w:eastAsia="Times New Roman" w:hAnsi="Times New Roman" w:cs="Times New Roman"/>
          <w:lang w:val="lt-LT" w:eastAsia="en-US"/>
        </w:rPr>
        <w:t>ą pasireiškė maždaug 6 – 7</w:t>
      </w:r>
      <w:r w:rsidR="004D4C15"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 gydytų pacientų.</w:t>
      </w:r>
    </w:p>
    <w:p w14:paraId="2619CCBA" w14:textId="77777777" w:rsidR="004B5565" w:rsidRPr="00E82419" w:rsidRDefault="004B5565" w:rsidP="004B5565">
      <w:pPr>
        <w:tabs>
          <w:tab w:val="left" w:pos="567"/>
        </w:tabs>
        <w:spacing w:after="0" w:line="240" w:lineRule="auto"/>
        <w:rPr>
          <w:rFonts w:ascii="Times New Roman" w:eastAsia="Times New Roman" w:hAnsi="Times New Roman" w:cs="Times New Roman"/>
          <w:b/>
          <w:lang w:val="lt-LT" w:eastAsia="en-US"/>
        </w:rPr>
      </w:pPr>
    </w:p>
    <w:p w14:paraId="46CFD449"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Infekcijos ir infestacijos</w:t>
      </w:r>
    </w:p>
    <w:p w14:paraId="2E0FD0C2"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Nedažnas</w:t>
      </w:r>
    </w:p>
    <w:p w14:paraId="2FC86CF5"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Oportunistinių organizmų (grybelių) dauginimosi klinikinis pasireiškimas, pvz., makšties mikozė, burnos pienligė (žr. 4.4 skyrių).</w:t>
      </w:r>
    </w:p>
    <w:p w14:paraId="3708BB9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651229E2"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Kraujo ir limfinės sistemos sutrikimai</w:t>
      </w:r>
    </w:p>
    <w:p w14:paraId="04DDB79E"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48D9ED2F"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Eozinofilija, trombocitopenija, leukopenija, neutropenija, agranulocitozė: reti atvejai užsitęsusio vartojimo metu, kurie nutraukus gydymą išnyko.</w:t>
      </w:r>
    </w:p>
    <w:p w14:paraId="6B6CF42C"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4DE01C7E"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Imunologinės kilmės hemolizinė anemija.</w:t>
      </w:r>
    </w:p>
    <w:p w14:paraId="29B1E5D1"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28CA46D0"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Imuninės sistemos sutrikimai</w:t>
      </w:r>
    </w:p>
    <w:p w14:paraId="730B62C4"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16D8E4CE"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 seruminę ligą panašios reakcijos</w:t>
      </w:r>
      <w:r w:rsidR="00E82419" w:rsidRPr="00E82419">
        <w:rPr>
          <w:rFonts w:ascii="Times New Roman" w:eastAsia="Times New Roman" w:hAnsi="Times New Roman" w:cs="Times New Roman"/>
          <w:lang w:val="lt-LT" w:eastAsia="en-US"/>
        </w:rPr>
        <w:t>.</w:t>
      </w:r>
    </w:p>
    <w:p w14:paraId="19CE6005"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1D46679A"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Ūmi alerginė reakcija (anafilaksinis šokas) (žr. 4.4 skyrių).</w:t>
      </w:r>
    </w:p>
    <w:p w14:paraId="310132DF"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16096A22"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Nervų sistemos sutrikimai</w:t>
      </w:r>
    </w:p>
    <w:p w14:paraId="02395B05"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6D6578E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Galvos skausmas, nemiga, svaigulys, nervingumas.</w:t>
      </w:r>
    </w:p>
    <w:p w14:paraId="68DCF915"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004C9B6F"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Virškinimo trakto sutrikimai</w:t>
      </w:r>
    </w:p>
    <w:p w14:paraId="15F3AE05"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Dažnas</w:t>
      </w:r>
    </w:p>
    <w:p w14:paraId="4067AE3D"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Pykinimas, vėmimas, viduriavimas, virškinimo sutrikimas, pilvo skausmas, liežuvio uždegimas (žr. 4.4 skyrių).</w:t>
      </w:r>
    </w:p>
    <w:p w14:paraId="649439BF"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257853C4"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Pastebėta pseudomembraninio kolito atvejų (pagal sunkumą gali svyruoti nuo lengvo iki pavojingo gyvybei) (žr. 4.4 skyrių).</w:t>
      </w:r>
    </w:p>
    <w:p w14:paraId="143257F4"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6A64E5A2"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Kepenų, tulžies pūslės ir latakų sutrikimai</w:t>
      </w:r>
    </w:p>
    <w:p w14:paraId="3BCA6852"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5F10DDEA"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Pastebėta tulžies stazės ir idiosinkrazinio kepenų veiklos nepakankamumo atvejų</w:t>
      </w:r>
      <w:r w:rsidR="00E82419" w:rsidRPr="00E82419">
        <w:rPr>
          <w:rFonts w:ascii="Times New Roman" w:eastAsia="Times New Roman" w:hAnsi="Times New Roman" w:cs="Times New Roman"/>
          <w:lang w:val="lt-LT" w:eastAsia="en-US"/>
        </w:rPr>
        <w:t>.</w:t>
      </w:r>
    </w:p>
    <w:p w14:paraId="251E48D4"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Nedidelio laipsnio transaminazių (AST, ALT) ir šarminės fosfatazės padaugėjimas kraujo serume.</w:t>
      </w:r>
    </w:p>
    <w:p w14:paraId="15DCB94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4FBD48A3"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Odos ir poodinio audinio sutrikimai</w:t>
      </w:r>
    </w:p>
    <w:p w14:paraId="2B987F9D"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Dažnas</w:t>
      </w:r>
    </w:p>
    <w:p w14:paraId="1464812E"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Niežulys, išbėrimas, alerginė egzantema, dilgėlinė.</w:t>
      </w:r>
    </w:p>
    <w:p w14:paraId="6EBC7EB3"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505593AF"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Angioneurozinė edema.</w:t>
      </w:r>
    </w:p>
    <w:p w14:paraId="7E0F87BF"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34D7AF29"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Pastebėta Stivenso ir Džonsono sindromo bei daugiaformės eritemos atvejų.</w:t>
      </w:r>
    </w:p>
    <w:p w14:paraId="51678CA3"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0C8B33C4"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Skeleto, raumenų ir jungiamojo audinio sutrikimai</w:t>
      </w:r>
    </w:p>
    <w:p w14:paraId="534DA4EB"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64BCA67B"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Sąnarių skausmas.</w:t>
      </w:r>
    </w:p>
    <w:p w14:paraId="344BB817"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p>
    <w:p w14:paraId="57E22A6A"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Inkstų ir šlapimo takų sutrikimai</w:t>
      </w:r>
    </w:p>
    <w:p w14:paraId="1A81F91B"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073E370F"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Intersticinis nefritas (žr. 4.4 skyrių).</w:t>
      </w:r>
    </w:p>
    <w:p w14:paraId="78D30167"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51E9CD25"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Bendrieji sutrikimai ir vartojimo vietos pažeidimai</w:t>
      </w:r>
    </w:p>
    <w:p w14:paraId="116FE0AE"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Retas</w:t>
      </w:r>
    </w:p>
    <w:p w14:paraId="0C0B3DB1"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Vaistinių preparatų sukeltas karščiavimas.</w:t>
      </w:r>
    </w:p>
    <w:p w14:paraId="264A77E8" w14:textId="77777777" w:rsidR="008B2893" w:rsidRDefault="008B2893" w:rsidP="004B5565">
      <w:pPr>
        <w:tabs>
          <w:tab w:val="left" w:pos="567"/>
        </w:tabs>
        <w:spacing w:after="0" w:line="240" w:lineRule="auto"/>
        <w:rPr>
          <w:rFonts w:ascii="Times New Roman" w:eastAsia="Times New Roman" w:hAnsi="Times New Roman" w:cs="Times New Roman"/>
          <w:i/>
          <w:lang w:val="lt-LT" w:eastAsia="en-US"/>
        </w:rPr>
      </w:pPr>
    </w:p>
    <w:p w14:paraId="11E6D980"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6032AB49"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Nuovargis.</w:t>
      </w:r>
    </w:p>
    <w:p w14:paraId="12E1FAA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025A4239" w14:textId="77777777" w:rsidR="004B5565" w:rsidRPr="00E82419" w:rsidRDefault="004B5565" w:rsidP="004B5565">
      <w:pPr>
        <w:tabs>
          <w:tab w:val="left" w:pos="567"/>
        </w:tabs>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Tyrimai</w:t>
      </w:r>
    </w:p>
    <w:p w14:paraId="5BAB3EDA"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Labai retas</w:t>
      </w:r>
    </w:p>
    <w:p w14:paraId="5397093D"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Teigiami tiesioginės ir netiesioginės Kumbso reakcijos tyrimo rodmenys (žr. 4.4 skyrių).</w:t>
      </w:r>
    </w:p>
    <w:p w14:paraId="644A440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102166DD"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*Įtariamų nepageidaujamų reakcijų atvejai stebimojo tyrimo, kuriame dalyvavo 904 pacientai, metu po vaistinio preparato patekimo į rinką.</w:t>
      </w:r>
    </w:p>
    <w:p w14:paraId="6C73F257" w14:textId="77777777" w:rsidR="004B5565" w:rsidRPr="00E82419" w:rsidRDefault="004B5565" w:rsidP="004B5565">
      <w:pPr>
        <w:autoSpaceDE w:val="0"/>
        <w:autoSpaceDN w:val="0"/>
        <w:adjustRightInd w:val="0"/>
        <w:spacing w:after="0" w:line="240" w:lineRule="auto"/>
        <w:jc w:val="both"/>
        <w:rPr>
          <w:rFonts w:ascii="Times New Roman" w:eastAsia="Times New Roman" w:hAnsi="Times New Roman" w:cs="Times New Roman"/>
          <w:u w:val="single"/>
          <w:lang w:val="lt-LT" w:eastAsia="en-US"/>
        </w:rPr>
      </w:pPr>
    </w:p>
    <w:p w14:paraId="3724ED71" w14:textId="77777777" w:rsidR="004B5565" w:rsidRPr="00E82419" w:rsidRDefault="004B5565" w:rsidP="004B5565">
      <w:pPr>
        <w:autoSpaceDE w:val="0"/>
        <w:autoSpaceDN w:val="0"/>
        <w:adjustRightInd w:val="0"/>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Pranešimas apie įtariamas nepageidaujamas reakcijas</w:t>
      </w:r>
    </w:p>
    <w:p w14:paraId="3EED6470" w14:textId="41F01F95" w:rsidR="004B5565" w:rsidRPr="00E82419" w:rsidRDefault="004502D6" w:rsidP="004B5565">
      <w:pPr>
        <w:spacing w:after="0" w:line="240" w:lineRule="auto"/>
        <w:rPr>
          <w:rFonts w:ascii="Times New Roman" w:eastAsia="Times New Roman" w:hAnsi="Times New Roman" w:cs="Times New Roman"/>
          <w:lang w:val="lt-LT" w:eastAsia="en-US"/>
        </w:rPr>
      </w:pPr>
      <w:bookmarkStart w:id="7" w:name="_Hlk163224609"/>
      <w:r w:rsidRPr="004502D6">
        <w:rPr>
          <w:rFonts w:ascii="Times New Roman" w:eastAsia="Times New Roman" w:hAnsi="Times New Roman" w:cs="Times New Roman"/>
          <w:lang w:val="lt-LT"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7"/>
    </w:p>
    <w:p w14:paraId="3432E931"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4.9</w:t>
      </w:r>
      <w:r w:rsidRPr="00E82419">
        <w:rPr>
          <w:rFonts w:ascii="Times New Roman" w:eastAsia="Times New Roman" w:hAnsi="Times New Roman" w:cs="Times New Roman"/>
          <w:b/>
          <w:lang w:val="lt-LT" w:eastAsia="en-US"/>
        </w:rPr>
        <w:tab/>
        <w:t>Perdozavimas</w:t>
      </w:r>
    </w:p>
    <w:p w14:paraId="2028C1B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69D275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Klinikinių pranešimų apie cefadroksilio perdozavimą iki šiol negauta. Manoma, jog perdozavimo atveju gali pasireikšti tokie pat simptomai, kaip ir perdozavus kitų cefalosporinų: pykinimas, haliucinacijos, hiperrefleksija, ekstrapiramidiniai simptomai, sąmonės pritemimas ar net koma ir inkstų veiklos sutrikimas. Pirmoji pagalba nurijus toksinę dozę: būtina nedelsiant sukelti vėmimą ar išplauti skrandį, prireikus daryti kraujo dializę. Būtina sekti inkstų veiklą bei vandens ir elektrolitų kiekio pusiausvyrą organizme, prireikus ją sunormalinti.</w:t>
      </w:r>
    </w:p>
    <w:p w14:paraId="65FAC02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FAA243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D3CCEA4"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5.</w:t>
      </w:r>
      <w:r w:rsidRPr="00E82419">
        <w:rPr>
          <w:rFonts w:ascii="Times New Roman" w:eastAsia="Times New Roman" w:hAnsi="Times New Roman" w:cs="Times New Roman"/>
          <w:b/>
          <w:caps/>
          <w:lang w:val="lt-LT" w:eastAsia="en-US"/>
        </w:rPr>
        <w:tab/>
        <w:t>FARMAKOLOGINĖS SAVYBĖS</w:t>
      </w:r>
    </w:p>
    <w:p w14:paraId="40D02FF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DCBD32C"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5.1</w:t>
      </w:r>
      <w:r w:rsidRPr="00E82419">
        <w:rPr>
          <w:rFonts w:ascii="Times New Roman" w:eastAsia="Times New Roman" w:hAnsi="Times New Roman" w:cs="Times New Roman"/>
          <w:b/>
          <w:lang w:val="lt-LT" w:eastAsia="en-US"/>
        </w:rPr>
        <w:tab/>
        <w:t>Farmakodinaminės savybės</w:t>
      </w:r>
    </w:p>
    <w:p w14:paraId="5F70EF5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A99AFF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Farmakoterapinė grupė</w:t>
      </w:r>
      <w:r w:rsidR="004D4C15"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 xml:space="preserve"> </w:t>
      </w:r>
      <w:r w:rsidR="004D4C15" w:rsidRPr="00E82419">
        <w:rPr>
          <w:rFonts w:ascii="Times New Roman" w:eastAsia="Times New Roman" w:hAnsi="Times New Roman" w:cs="Times New Roman"/>
          <w:lang w:val="lt-LT" w:eastAsia="en-US"/>
        </w:rPr>
        <w:t>k</w:t>
      </w:r>
      <w:r w:rsidRPr="00E82419">
        <w:rPr>
          <w:rFonts w:ascii="Times New Roman" w:eastAsia="Times New Roman" w:hAnsi="Times New Roman" w:cs="Times New Roman"/>
          <w:lang w:val="lt-LT" w:eastAsia="en-US"/>
        </w:rPr>
        <w:t>iti beta laktaminiai antibakteriniai preparatai, pirmos kartos cefalosporinai</w:t>
      </w:r>
      <w:r w:rsidR="004D4C15"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ATC kodas</w:t>
      </w:r>
      <w:r w:rsidR="004D4C15"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 xml:space="preserve"> J01DB05</w:t>
      </w:r>
      <w:r w:rsidR="004D4C15" w:rsidRPr="00E82419">
        <w:rPr>
          <w:rFonts w:ascii="Times New Roman" w:eastAsia="Times New Roman" w:hAnsi="Times New Roman" w:cs="Times New Roman"/>
          <w:lang w:val="lt-LT" w:eastAsia="en-US"/>
        </w:rPr>
        <w:t>.</w:t>
      </w:r>
    </w:p>
    <w:p w14:paraId="4500AA1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8AFF63" w14:textId="77777777" w:rsidR="004B5565" w:rsidRPr="00157E61" w:rsidRDefault="004B5565" w:rsidP="004B5565">
      <w:pPr>
        <w:spacing w:after="0" w:line="240" w:lineRule="auto"/>
        <w:rPr>
          <w:rFonts w:ascii="Times New Roman" w:eastAsia="Times New Roman" w:hAnsi="Times New Roman" w:cs="Times New Roman"/>
          <w:u w:val="single"/>
          <w:lang w:val="lt-LT" w:eastAsia="en-US"/>
        </w:rPr>
      </w:pPr>
      <w:r w:rsidRPr="00157E61">
        <w:rPr>
          <w:rFonts w:ascii="Times New Roman" w:eastAsia="Times New Roman" w:hAnsi="Times New Roman" w:cs="Times New Roman"/>
          <w:u w:val="single"/>
          <w:lang w:val="lt-LT" w:eastAsia="en-US"/>
        </w:rPr>
        <w:t>Veikimo mechanizmas</w:t>
      </w:r>
    </w:p>
    <w:p w14:paraId="0074658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Cefadroksilis yra geriamasis cefalosporinas, kuris slopina aktyviai besidalijančių ląstelių sienelės sintezę, prisijungdamas prie vieno ar daugiau peniciliną surišančių baltymų. To pasekmėje formuojasi osmosiškai nestabili, su trūkumais ląstelės sienelė ir bakterijos ląstelė suyra.</w:t>
      </w:r>
    </w:p>
    <w:p w14:paraId="0C681A2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0C10F49" w14:textId="77777777" w:rsidR="004B5565" w:rsidRPr="00157E61" w:rsidRDefault="004B5565" w:rsidP="004B5565">
      <w:pPr>
        <w:spacing w:after="0" w:line="240" w:lineRule="auto"/>
        <w:rPr>
          <w:rFonts w:ascii="Times New Roman" w:eastAsia="Times New Roman" w:hAnsi="Times New Roman" w:cs="Times New Roman"/>
          <w:u w:val="single"/>
          <w:lang w:val="lt-LT" w:eastAsia="en-US"/>
        </w:rPr>
      </w:pPr>
      <w:r w:rsidRPr="00157E61">
        <w:rPr>
          <w:rFonts w:ascii="Times New Roman" w:eastAsia="Times New Roman" w:hAnsi="Times New Roman" w:cs="Times New Roman"/>
          <w:u w:val="single"/>
          <w:lang w:val="lt-LT" w:eastAsia="en-US"/>
        </w:rPr>
        <w:t>Atsparumo mechanizmai</w:t>
      </w:r>
    </w:p>
    <w:p w14:paraId="597427D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Cefadroksilis gali veikti mikroorganizmus, kurie mažais ar nedideliais kiekiais gamina kelių tipų beta laktamazes, pvz., TEM-1. Vis dėlto, jį inaktyvuoja beta laktamazės, kurios efektyviai hidrolizuoja cefalosporinus, pvz., daugelis platesnio spektro beta laktamazių ir chromosominės cefalosporinazės, pvz., AmpC grupės fermentai.</w:t>
      </w:r>
    </w:p>
    <w:p w14:paraId="5828594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Manoma, kad cefadroksilis neveikia bakterijų su penicilinus surišančiais baltymais, kurių afinitetas beta laktamo grupės vaistiniams preparatams yra sumažėjęs. Be to, atsparumas gali būti susijęs su bakterijų nepralaidumu ar vaistinio preparato šalinimo iš ląstelės siurblio buvimu. Viename organizme gali būti daugiau negu vienas iš 4 minėtų atsparumo mechanizmų.</w:t>
      </w:r>
    </w:p>
    <w:p w14:paraId="1EF5BA95"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p>
    <w:p w14:paraId="0502912E" w14:textId="77777777" w:rsidR="00CC7536" w:rsidRPr="003E7B9B" w:rsidRDefault="00CC7536" w:rsidP="004B5565">
      <w:pPr>
        <w:spacing w:after="0" w:line="240" w:lineRule="auto"/>
        <w:rPr>
          <w:rFonts w:ascii="Times New Roman" w:eastAsia="Times New Roman" w:hAnsi="Times New Roman" w:cs="Times New Roman"/>
          <w:u w:val="single"/>
          <w:lang w:val="lt-LT" w:eastAsia="en-US"/>
        </w:rPr>
      </w:pPr>
    </w:p>
    <w:p w14:paraId="0BF0E475" w14:textId="7C038593" w:rsidR="00EC33E2" w:rsidRPr="003E7B9B" w:rsidRDefault="00EC33E2" w:rsidP="00EC33E2">
      <w:pPr>
        <w:spacing w:after="0" w:line="240" w:lineRule="auto"/>
        <w:rPr>
          <w:rFonts w:ascii="Times New Roman" w:eastAsia="Times New Roman" w:hAnsi="Times New Roman" w:cs="Times New Roman"/>
          <w:u w:val="single"/>
          <w:lang w:val="lt-LT" w:eastAsia="en-US"/>
        </w:rPr>
      </w:pPr>
      <w:r w:rsidRPr="003E7B9B">
        <w:rPr>
          <w:rFonts w:ascii="Times New Roman" w:eastAsia="Times New Roman" w:hAnsi="Times New Roman" w:cs="Times New Roman"/>
          <w:u w:val="single"/>
          <w:lang w:val="lt-LT" w:eastAsia="en-US"/>
        </w:rPr>
        <w:t>Jautrumo tyrimo</w:t>
      </w:r>
      <w:r w:rsidR="0053496F">
        <w:rPr>
          <w:rFonts w:ascii="Times New Roman" w:eastAsia="Times New Roman" w:hAnsi="Times New Roman" w:cs="Times New Roman"/>
          <w:u w:val="single"/>
          <w:lang w:val="lt-LT" w:eastAsia="en-US"/>
        </w:rPr>
        <w:t xml:space="preserve"> ribinės reikšmės</w:t>
      </w:r>
      <w:r w:rsidRPr="003E7B9B">
        <w:rPr>
          <w:rFonts w:ascii="Times New Roman" w:eastAsia="Times New Roman" w:hAnsi="Times New Roman" w:cs="Times New Roman"/>
          <w:u w:val="single"/>
          <w:lang w:val="lt-LT" w:eastAsia="en-US"/>
        </w:rPr>
        <w:t xml:space="preserve"> </w:t>
      </w:r>
    </w:p>
    <w:p w14:paraId="3379172D" w14:textId="2E284D38" w:rsidR="00EC33E2" w:rsidRPr="00EC33E2" w:rsidRDefault="00EC33E2" w:rsidP="00EC33E2">
      <w:pPr>
        <w:spacing w:after="0" w:line="240" w:lineRule="auto"/>
        <w:rPr>
          <w:rFonts w:ascii="Times New Roman" w:eastAsia="Times New Roman" w:hAnsi="Times New Roman" w:cs="Times New Roman"/>
          <w:lang w:val="lt-LT" w:eastAsia="en-US"/>
        </w:rPr>
      </w:pPr>
      <w:r w:rsidRPr="00EC33E2">
        <w:rPr>
          <w:rFonts w:ascii="Times New Roman" w:eastAsia="Times New Roman" w:hAnsi="Times New Roman" w:cs="Times New Roman"/>
          <w:lang w:val="lt-LT" w:eastAsia="en-US"/>
        </w:rPr>
        <w:t xml:space="preserve">Europos antimikrobinio jautrumo tyrimų komitetas (EUCAST) nustatė jautrumo tyrimui skirtus MIC (mažiausios </w:t>
      </w:r>
      <w:r w:rsidR="00532479">
        <w:rPr>
          <w:rFonts w:ascii="Times New Roman" w:eastAsia="Times New Roman" w:hAnsi="Times New Roman" w:cs="Times New Roman"/>
          <w:lang w:val="lt-LT" w:eastAsia="en-US"/>
        </w:rPr>
        <w:t>slopinančio</w:t>
      </w:r>
      <w:r w:rsidR="001A630A">
        <w:rPr>
          <w:rFonts w:ascii="Times New Roman" w:eastAsia="Times New Roman" w:hAnsi="Times New Roman" w:cs="Times New Roman"/>
          <w:lang w:val="lt-LT" w:eastAsia="en-US"/>
        </w:rPr>
        <w:t>s</w:t>
      </w:r>
      <w:r w:rsidRPr="00EC33E2">
        <w:rPr>
          <w:rFonts w:ascii="Times New Roman" w:eastAsia="Times New Roman" w:hAnsi="Times New Roman" w:cs="Times New Roman"/>
          <w:lang w:val="lt-LT" w:eastAsia="en-US"/>
        </w:rPr>
        <w:t xml:space="preserve"> koncentracijos</w:t>
      </w:r>
      <w:r w:rsidR="00225385">
        <w:rPr>
          <w:rFonts w:ascii="Times New Roman" w:eastAsia="Times New Roman" w:hAnsi="Times New Roman" w:cs="Times New Roman"/>
          <w:lang w:val="lt-LT" w:eastAsia="en-US"/>
        </w:rPr>
        <w:t xml:space="preserve">, angl. </w:t>
      </w:r>
      <w:r w:rsidR="00225385" w:rsidRPr="003E7B9B">
        <w:rPr>
          <w:rFonts w:ascii="Times New Roman" w:eastAsia="Times New Roman" w:hAnsi="Times New Roman" w:cs="Times New Roman"/>
          <w:i/>
          <w:iCs/>
          <w:lang w:val="lt-LT" w:eastAsia="en-US"/>
        </w:rPr>
        <w:t>minimum inhibitory concentration</w:t>
      </w:r>
      <w:r w:rsidRPr="00EC33E2">
        <w:rPr>
          <w:rFonts w:ascii="Times New Roman" w:eastAsia="Times New Roman" w:hAnsi="Times New Roman" w:cs="Times New Roman"/>
          <w:lang w:val="lt-LT" w:eastAsia="en-US"/>
        </w:rPr>
        <w:t>) interpretacinius kriterijus Cefadroksil</w:t>
      </w:r>
      <w:r w:rsidR="00A61EE0">
        <w:rPr>
          <w:rFonts w:ascii="Times New Roman" w:eastAsia="Times New Roman" w:hAnsi="Times New Roman" w:cs="Times New Roman"/>
          <w:lang w:val="lt-LT" w:eastAsia="en-US"/>
        </w:rPr>
        <w:t>i</w:t>
      </w:r>
      <w:r w:rsidRPr="00EC33E2">
        <w:rPr>
          <w:rFonts w:ascii="Times New Roman" w:eastAsia="Times New Roman" w:hAnsi="Times New Roman" w:cs="Times New Roman"/>
          <w:lang w:val="lt-LT" w:eastAsia="en-US"/>
        </w:rPr>
        <w:t xml:space="preserve">ui, kurie yra išvardyti čia: </w:t>
      </w:r>
    </w:p>
    <w:p w14:paraId="191DB06D" w14:textId="5B2717B6" w:rsidR="00EC33E2" w:rsidRPr="00E82419" w:rsidRDefault="00865552" w:rsidP="00EC33E2">
      <w:pPr>
        <w:spacing w:after="0" w:line="240" w:lineRule="auto"/>
        <w:rPr>
          <w:rFonts w:ascii="Times New Roman" w:eastAsia="Times New Roman" w:hAnsi="Times New Roman" w:cs="Times New Roman"/>
          <w:lang w:val="lt-LT" w:eastAsia="en-US"/>
        </w:rPr>
      </w:pPr>
      <w:hyperlink r:id="rId9" w:history="1">
        <w:r w:rsidR="00EC33E2" w:rsidRPr="001764C3">
          <w:rPr>
            <w:rStyle w:val="Hipersaitas"/>
            <w:rFonts w:eastAsia="Times New Roman"/>
            <w:lang w:val="lt-LT" w:eastAsia="en-US"/>
          </w:rPr>
          <w:t>https://www.ema.europa.eu/documents/other/minimum-inhibitory-concentration-mic-breakpoints_en.xlsx</w:t>
        </w:r>
      </w:hyperlink>
      <w:r w:rsidR="00EC33E2" w:rsidRPr="00EC33E2">
        <w:rPr>
          <w:rFonts w:ascii="Times New Roman" w:eastAsia="Times New Roman" w:hAnsi="Times New Roman" w:cs="Times New Roman"/>
          <w:lang w:val="lt-LT" w:eastAsia="en-US"/>
        </w:rPr>
        <w:t>.</w:t>
      </w:r>
    </w:p>
    <w:p w14:paraId="6FB5CC82" w14:textId="77777777" w:rsidR="004B5565" w:rsidRPr="00E82419" w:rsidRDefault="004B5565" w:rsidP="004B5565">
      <w:pPr>
        <w:autoSpaceDE w:val="0"/>
        <w:autoSpaceDN w:val="0"/>
        <w:adjustRightInd w:val="0"/>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Mikroorganizmų, įgijusių atsparumą paplitimas gali priklausyti nuo geografinės vietos ir laiko, todėl reikia susipažinti su vietine informacija apie atsparumą, ypač gydant sunkias užkrečiamąsias ligas. Atsparių mikroorganizmų paplitimas yra toks, kad jei preparato veiksmingumas bent kai kurių mikroorganizmų rūšių atveju yra abejotinas, patarimo reikia kreiptis į ekspertą.</w:t>
      </w:r>
    </w:p>
    <w:p w14:paraId="2C738EF7" w14:textId="77777777" w:rsidR="004B5565" w:rsidRPr="00E82419" w:rsidRDefault="004B5565" w:rsidP="004B5565">
      <w:pPr>
        <w:autoSpaceDE w:val="0"/>
        <w:autoSpaceDN w:val="0"/>
        <w:adjustRightInd w:val="0"/>
        <w:spacing w:after="0" w:line="240" w:lineRule="auto"/>
        <w:rPr>
          <w:rFonts w:ascii="Times New Roman" w:eastAsia="Times New Roman" w:hAnsi="Times New Roman" w:cs="Times New Roman"/>
          <w:lang w:val="lt-LT"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B5565" w:rsidRPr="00E82419" w14:paraId="0765AA57" w14:textId="77777777" w:rsidTr="00520788">
        <w:tc>
          <w:tcPr>
            <w:tcW w:w="5000" w:type="pct"/>
            <w:tcBorders>
              <w:left w:val="nil"/>
              <w:right w:val="nil"/>
            </w:tcBorders>
          </w:tcPr>
          <w:p w14:paraId="68405765" w14:textId="77777777" w:rsidR="004B5565" w:rsidRPr="00E82419" w:rsidRDefault="004B5565" w:rsidP="004B5565">
            <w:pPr>
              <w:tabs>
                <w:tab w:val="left" w:pos="1120"/>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
                <w:lang w:val="lt-LT" w:eastAsia="en-US"/>
              </w:rPr>
              <w:t>Rūšys</w:t>
            </w:r>
          </w:p>
        </w:tc>
      </w:tr>
    </w:tbl>
    <w:p w14:paraId="62448D9E"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Dažniausiai jautrios rūšys</w:t>
      </w:r>
    </w:p>
    <w:p w14:paraId="7AF9C13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Gramteigiami aerobai</w:t>
      </w:r>
    </w:p>
    <w:p w14:paraId="5A761426"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lastRenderedPageBreak/>
        <w:t>B, C ir G grupių streptokokai</w:t>
      </w:r>
    </w:p>
    <w:p w14:paraId="7EEFE66B"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Streptococcus pyogenes *</w:t>
      </w:r>
    </w:p>
    <w:p w14:paraId="5467974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524255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Gramneigiami aerobai</w:t>
      </w:r>
    </w:p>
    <w:p w14:paraId="76B92F34"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Moraxella catarrhalis *</w:t>
      </w:r>
    </w:p>
    <w:p w14:paraId="3954CB5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50A70CD"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 xml:space="preserve">Rūšys, </w:t>
      </w:r>
      <w:r w:rsidRPr="00E82419">
        <w:rPr>
          <w:rFonts w:ascii="Times New Roman" w:eastAsia="Times New Roman" w:hAnsi="Times New Roman" w:cs="Times New Roman"/>
          <w:bCs/>
          <w:u w:val="single"/>
          <w:lang w:val="lt-LT" w:eastAsia="en-US"/>
        </w:rPr>
        <w:t>kurių įgytas atsparumas gali kelti problemų</w:t>
      </w:r>
    </w:p>
    <w:p w14:paraId="7C961CE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Gramteigiami aerobai</w:t>
      </w:r>
    </w:p>
    <w:p w14:paraId="25E0694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i/>
          <w:lang w:val="lt-LT" w:eastAsia="en-US"/>
        </w:rPr>
        <w:t xml:space="preserve">Staphylococcus aureus </w:t>
      </w:r>
      <w:r w:rsidRPr="00E82419">
        <w:rPr>
          <w:rFonts w:ascii="Times New Roman" w:eastAsia="Times New Roman" w:hAnsi="Times New Roman" w:cs="Times New Roman"/>
          <w:lang w:val="lt-LT" w:eastAsia="en-US"/>
        </w:rPr>
        <w:t>(jautrūs meticilinui) *</w:t>
      </w:r>
    </w:p>
    <w:p w14:paraId="2D33465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i/>
          <w:lang w:val="lt-LT" w:eastAsia="en-US"/>
        </w:rPr>
        <w:t>Staphylococcus epidermidis</w:t>
      </w:r>
    </w:p>
    <w:p w14:paraId="231D91DB"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Streptococcus pneumoniae *</w:t>
      </w:r>
    </w:p>
    <w:p w14:paraId="40713EC6" w14:textId="77777777" w:rsidR="004B5565" w:rsidRPr="00E82419" w:rsidRDefault="004B5565" w:rsidP="004B5565">
      <w:pPr>
        <w:spacing w:after="0" w:line="240" w:lineRule="auto"/>
        <w:rPr>
          <w:rFonts w:ascii="Times New Roman" w:eastAsia="Times New Roman" w:hAnsi="Times New Roman" w:cs="Times New Roman"/>
          <w:i/>
          <w:lang w:val="lt-LT" w:eastAsia="en-US"/>
        </w:rPr>
      </w:pPr>
    </w:p>
    <w:p w14:paraId="5381FEF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Gramneigiami aerobai</w:t>
      </w:r>
    </w:p>
    <w:p w14:paraId="3D1ECC5A"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Citrobacter diversus </w:t>
      </w:r>
      <w:r w:rsidRPr="00E82419">
        <w:rPr>
          <w:rFonts w:ascii="Times New Roman" w:eastAsia="Times New Roman" w:hAnsi="Times New Roman" w:cs="Times New Roman"/>
          <w:i/>
          <w:vertAlign w:val="superscript"/>
          <w:lang w:val="lt-LT" w:eastAsia="en-US"/>
        </w:rPr>
        <w:t>$</w:t>
      </w:r>
    </w:p>
    <w:p w14:paraId="6192803F"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Escherichia coli * </w:t>
      </w:r>
      <w:r w:rsidRPr="00E82419">
        <w:rPr>
          <w:rFonts w:ascii="Times New Roman" w:eastAsia="Times New Roman" w:hAnsi="Times New Roman" w:cs="Times New Roman"/>
          <w:i/>
          <w:vertAlign w:val="superscript"/>
          <w:lang w:val="lt-LT" w:eastAsia="en-US"/>
        </w:rPr>
        <w:t>$</w:t>
      </w:r>
    </w:p>
    <w:p w14:paraId="4C4ECBC6"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Haemophilus influenzae </w:t>
      </w:r>
      <w:r w:rsidRPr="00E82419">
        <w:rPr>
          <w:rFonts w:ascii="Times New Roman" w:eastAsia="Times New Roman" w:hAnsi="Times New Roman" w:cs="Times New Roman"/>
          <w:i/>
          <w:vertAlign w:val="superscript"/>
          <w:lang w:val="lt-LT" w:eastAsia="en-US"/>
        </w:rPr>
        <w:t>$</w:t>
      </w:r>
    </w:p>
    <w:p w14:paraId="05EC516F"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Klebsiella pneumoniae </w:t>
      </w:r>
      <w:r w:rsidRPr="00E82419">
        <w:rPr>
          <w:rFonts w:ascii="Times New Roman" w:eastAsia="Times New Roman" w:hAnsi="Times New Roman" w:cs="Times New Roman"/>
          <w:i/>
          <w:vertAlign w:val="superscript"/>
          <w:lang w:val="lt-LT" w:eastAsia="en-US"/>
        </w:rPr>
        <w:t xml:space="preserve"> $</w:t>
      </w:r>
    </w:p>
    <w:p w14:paraId="55FCD562"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Klebsiella oxytoca </w:t>
      </w:r>
      <w:r w:rsidRPr="00E82419">
        <w:rPr>
          <w:rFonts w:ascii="Times New Roman" w:eastAsia="Times New Roman" w:hAnsi="Times New Roman" w:cs="Times New Roman"/>
          <w:i/>
          <w:vertAlign w:val="superscript"/>
          <w:lang w:val="lt-LT" w:eastAsia="en-US"/>
        </w:rPr>
        <w:t>$</w:t>
      </w:r>
    </w:p>
    <w:p w14:paraId="5F92E412" w14:textId="77777777" w:rsidR="004B5565" w:rsidRPr="00E82419" w:rsidRDefault="004B5565" w:rsidP="004B5565">
      <w:pPr>
        <w:spacing w:after="0" w:line="240" w:lineRule="auto"/>
        <w:rPr>
          <w:rFonts w:ascii="Times New Roman" w:eastAsia="Times New Roman" w:hAnsi="Times New Roman" w:cs="Times New Roman"/>
          <w:i/>
          <w:vertAlign w:val="superscript"/>
          <w:lang w:val="lt-LT" w:eastAsia="en-US"/>
        </w:rPr>
      </w:pPr>
      <w:r w:rsidRPr="00E82419">
        <w:rPr>
          <w:rFonts w:ascii="Times New Roman" w:eastAsia="Times New Roman" w:hAnsi="Times New Roman" w:cs="Times New Roman"/>
          <w:i/>
          <w:lang w:val="lt-LT" w:eastAsia="en-US"/>
        </w:rPr>
        <w:t xml:space="preserve">Proteus mirabilis * </w:t>
      </w:r>
      <w:r w:rsidRPr="00E82419">
        <w:rPr>
          <w:rFonts w:ascii="Times New Roman" w:eastAsia="Times New Roman" w:hAnsi="Times New Roman" w:cs="Times New Roman"/>
          <w:i/>
          <w:vertAlign w:val="superscript"/>
          <w:lang w:val="lt-LT" w:eastAsia="en-US"/>
        </w:rPr>
        <w:t xml:space="preserve"> $</w:t>
      </w:r>
    </w:p>
    <w:p w14:paraId="21446DB8" w14:textId="77777777" w:rsidR="004B5565" w:rsidRPr="00E82419" w:rsidRDefault="004B5565" w:rsidP="004B5565">
      <w:pPr>
        <w:spacing w:after="0" w:line="240" w:lineRule="auto"/>
        <w:rPr>
          <w:rFonts w:ascii="Times New Roman" w:eastAsia="Times New Roman" w:hAnsi="Times New Roman" w:cs="Times New Roman"/>
          <w:i/>
          <w:lang w:val="lt-LT" w:eastAsia="en-US"/>
        </w:rPr>
      </w:pPr>
    </w:p>
    <w:p w14:paraId="5931E3E4"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bCs/>
          <w:u w:val="single"/>
          <w:lang w:val="lt-LT" w:eastAsia="en-US"/>
        </w:rPr>
        <w:t>Iš prigimties atsparios rūšys</w:t>
      </w:r>
    </w:p>
    <w:p w14:paraId="6A00769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Gramteigiami aerobai</w:t>
      </w:r>
    </w:p>
    <w:p w14:paraId="2ED1A99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i/>
          <w:lang w:val="lt-LT" w:eastAsia="en-US"/>
        </w:rPr>
        <w:t xml:space="preserve">Enterococcus </w:t>
      </w:r>
      <w:r w:rsidRPr="00E82419">
        <w:rPr>
          <w:rFonts w:ascii="Times New Roman" w:eastAsia="Times New Roman" w:hAnsi="Times New Roman" w:cs="Times New Roman"/>
          <w:lang w:val="lt-LT" w:eastAsia="en-US"/>
        </w:rPr>
        <w:t>rūšys</w:t>
      </w:r>
    </w:p>
    <w:p w14:paraId="3C63C492"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Staphylococcus aureus</w:t>
      </w:r>
      <w:r w:rsidRPr="00E82419">
        <w:rPr>
          <w:rFonts w:ascii="Times New Roman" w:eastAsia="Times New Roman" w:hAnsi="Times New Roman" w:cs="Times New Roman"/>
          <w:lang w:val="lt-LT" w:eastAsia="en-US"/>
        </w:rPr>
        <w:t xml:space="preserve"> (atsparūs meticilinui)</w:t>
      </w:r>
    </w:p>
    <w:p w14:paraId="5A78F027"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Staphylococcus epidermidis </w:t>
      </w:r>
      <w:r w:rsidRPr="00E82419">
        <w:rPr>
          <w:rFonts w:ascii="Times New Roman" w:eastAsia="Times New Roman" w:hAnsi="Times New Roman" w:cs="Times New Roman"/>
          <w:lang w:val="lt-LT" w:eastAsia="en-US"/>
        </w:rPr>
        <w:t>(atsparūs meticilinui)</w:t>
      </w:r>
    </w:p>
    <w:p w14:paraId="6CA1DD3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i/>
          <w:lang w:val="lt-LT" w:eastAsia="en-US"/>
        </w:rPr>
        <w:t xml:space="preserve">Streptococcus pneumoniae </w:t>
      </w:r>
      <w:r w:rsidRPr="00E82419">
        <w:rPr>
          <w:rFonts w:ascii="Times New Roman" w:eastAsia="Times New Roman" w:hAnsi="Times New Roman" w:cs="Times New Roman"/>
          <w:lang w:val="lt-LT" w:eastAsia="en-US"/>
        </w:rPr>
        <w:t>(atsparūs penicilin</w:t>
      </w:r>
      <w:r w:rsidR="00EB71A7">
        <w:rPr>
          <w:rFonts w:ascii="Times New Roman" w:eastAsia="Times New Roman" w:hAnsi="Times New Roman" w:cs="Times New Roman"/>
          <w:lang w:val="lt-LT" w:eastAsia="en-US"/>
        </w:rPr>
        <w:t>u</w:t>
      </w:r>
      <w:r w:rsidRPr="00E82419">
        <w:rPr>
          <w:rFonts w:ascii="Times New Roman" w:eastAsia="Times New Roman" w:hAnsi="Times New Roman" w:cs="Times New Roman"/>
          <w:lang w:val="lt-LT" w:eastAsia="en-US"/>
        </w:rPr>
        <w:t>i)</w:t>
      </w:r>
    </w:p>
    <w:p w14:paraId="18B040AE" w14:textId="77777777" w:rsidR="004B5565" w:rsidRPr="00E82419" w:rsidRDefault="004B5565" w:rsidP="004B5565">
      <w:pPr>
        <w:spacing w:after="0" w:line="240" w:lineRule="auto"/>
        <w:rPr>
          <w:rFonts w:ascii="Times New Roman" w:eastAsia="Times New Roman" w:hAnsi="Times New Roman" w:cs="Times New Roman"/>
          <w:i/>
          <w:lang w:val="lt-LT" w:eastAsia="en-US"/>
        </w:rPr>
      </w:pPr>
    </w:p>
    <w:p w14:paraId="3CAE019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Gramneigiami aerobai</w:t>
      </w:r>
    </w:p>
    <w:p w14:paraId="7A7FE866"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Acinetobacter </w:t>
      </w:r>
      <w:r w:rsidRPr="00E82419">
        <w:rPr>
          <w:rFonts w:ascii="Times New Roman" w:eastAsia="Times New Roman" w:hAnsi="Times New Roman" w:cs="Times New Roman"/>
          <w:lang w:val="lt-LT" w:eastAsia="en-US"/>
        </w:rPr>
        <w:t>rūšys</w:t>
      </w:r>
    </w:p>
    <w:p w14:paraId="18039C80"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Citrobacter freundii</w:t>
      </w:r>
    </w:p>
    <w:p w14:paraId="5D978F53"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Enterobacter </w:t>
      </w:r>
      <w:r w:rsidRPr="00E82419">
        <w:rPr>
          <w:rFonts w:ascii="Times New Roman" w:eastAsia="Times New Roman" w:hAnsi="Times New Roman" w:cs="Times New Roman"/>
          <w:lang w:val="lt-LT" w:eastAsia="en-US"/>
        </w:rPr>
        <w:t>rūšys</w:t>
      </w:r>
    </w:p>
    <w:p w14:paraId="1A623F2B"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Morganella morganii</w:t>
      </w:r>
    </w:p>
    <w:p w14:paraId="461E0A32"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Proteus vulgaris</w:t>
      </w:r>
    </w:p>
    <w:p w14:paraId="0979F523"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Providencia rettgeri</w:t>
      </w:r>
    </w:p>
    <w:p w14:paraId="26BDF271"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Providencia stuartii</w:t>
      </w:r>
    </w:p>
    <w:p w14:paraId="600AB1C4"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Pseudomonas aeruginosa</w:t>
      </w:r>
    </w:p>
    <w:p w14:paraId="15528871"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Serratia marcescens</w:t>
      </w:r>
    </w:p>
    <w:p w14:paraId="1A492188" w14:textId="77777777" w:rsidR="004B5565" w:rsidRPr="00E82419" w:rsidRDefault="004B5565" w:rsidP="004B5565">
      <w:pPr>
        <w:spacing w:after="0" w:line="240" w:lineRule="auto"/>
        <w:rPr>
          <w:rFonts w:ascii="Times New Roman" w:eastAsia="Times New Roman" w:hAnsi="Times New Roman" w:cs="Times New Roman"/>
          <w:i/>
          <w:lang w:val="lt-LT" w:eastAsia="en-US"/>
        </w:rPr>
      </w:pPr>
    </w:p>
    <w:p w14:paraId="02982704"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Kitos rūšys</w:t>
      </w:r>
    </w:p>
    <w:p w14:paraId="221D784E"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Chlamydia </w:t>
      </w:r>
      <w:r w:rsidRPr="00E82419">
        <w:rPr>
          <w:rFonts w:ascii="Times New Roman" w:eastAsia="Times New Roman" w:hAnsi="Times New Roman" w:cs="Times New Roman"/>
          <w:lang w:val="lt-LT" w:eastAsia="en-US"/>
        </w:rPr>
        <w:t>rūšys</w:t>
      </w:r>
    </w:p>
    <w:p w14:paraId="5F9D167D"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Mykoplasma </w:t>
      </w:r>
      <w:r w:rsidRPr="00E82419">
        <w:rPr>
          <w:rFonts w:ascii="Times New Roman" w:eastAsia="Times New Roman" w:hAnsi="Times New Roman" w:cs="Times New Roman"/>
          <w:lang w:val="lt-LT" w:eastAsia="en-US"/>
        </w:rPr>
        <w:t>rūšys</w:t>
      </w:r>
    </w:p>
    <w:p w14:paraId="28749533"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i/>
          <w:lang w:val="lt-LT" w:eastAsia="en-US"/>
        </w:rPr>
        <w:t xml:space="preserve">Legionella </w:t>
      </w:r>
      <w:r w:rsidRPr="00E82419">
        <w:rPr>
          <w:rFonts w:ascii="Times New Roman" w:eastAsia="Times New Roman" w:hAnsi="Times New Roman" w:cs="Times New Roman"/>
          <w:lang w:val="lt-LT" w:eastAsia="en-US"/>
        </w:rPr>
        <w:t>rūšys</w:t>
      </w:r>
    </w:p>
    <w:p w14:paraId="1B8C8C9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9F92B4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Klinikinis veiksmingumas įrodytas jautriems izoliatams patvirtintoms klinikinėms indikacijoms.</w:t>
      </w:r>
    </w:p>
    <w:p w14:paraId="66FE411F"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vertAlign w:val="superscript"/>
          <w:lang w:val="lt-LT" w:eastAsia="en-US"/>
        </w:rPr>
        <w:t>$</w:t>
      </w:r>
      <w:r w:rsidRPr="00E82419">
        <w:rPr>
          <w:rFonts w:ascii="Times New Roman" w:eastAsia="Times New Roman" w:hAnsi="Times New Roman" w:cs="Times New Roman"/>
          <w:lang w:val="lt-LT" w:eastAsia="en-US"/>
        </w:rPr>
        <w:t xml:space="preserve"> Iš prigimties vidutiniškai jautrios rūšys.</w:t>
      </w:r>
    </w:p>
    <w:p w14:paraId="431525B1" w14:textId="77777777" w:rsidR="004B5565" w:rsidRPr="00E82419" w:rsidRDefault="004B5565" w:rsidP="004B5565">
      <w:pPr>
        <w:spacing w:after="0" w:line="240" w:lineRule="auto"/>
        <w:rPr>
          <w:rFonts w:ascii="Times New Roman" w:eastAsia="Times New Roman" w:hAnsi="Times New Roman" w:cs="Times New Roman"/>
          <w:color w:val="000000"/>
          <w:lang w:val="lt-LT" w:eastAsia="en-US"/>
        </w:rPr>
      </w:pPr>
    </w:p>
    <w:p w14:paraId="1D53D291"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5.2</w:t>
      </w:r>
      <w:r w:rsidRPr="00E82419">
        <w:rPr>
          <w:rFonts w:ascii="Times New Roman" w:eastAsia="Times New Roman" w:hAnsi="Times New Roman" w:cs="Times New Roman"/>
          <w:b/>
          <w:lang w:val="lt-LT" w:eastAsia="en-US"/>
        </w:rPr>
        <w:tab/>
        <w:t>Farmakokinetinės savybės</w:t>
      </w:r>
    </w:p>
    <w:p w14:paraId="33C1C14B" w14:textId="77777777" w:rsidR="004B5565" w:rsidRPr="00E82419" w:rsidRDefault="004B5565" w:rsidP="004B5565">
      <w:pPr>
        <w:spacing w:after="0" w:line="240" w:lineRule="auto"/>
        <w:jc w:val="both"/>
        <w:rPr>
          <w:rFonts w:ascii="Times New Roman" w:eastAsia="Times New Roman" w:hAnsi="Times New Roman" w:cs="Times New Roman"/>
          <w:lang w:val="lt-LT" w:eastAsia="en-US"/>
        </w:rPr>
      </w:pPr>
    </w:p>
    <w:p w14:paraId="2B213210" w14:textId="77777777" w:rsidR="004B5565" w:rsidRPr="00157E61" w:rsidRDefault="004B5565" w:rsidP="004B5565">
      <w:pPr>
        <w:spacing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Absorbcija</w:t>
      </w:r>
    </w:p>
    <w:p w14:paraId="338A652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Išgertas cefadroksilis beveik visiškai absorbuojamas. Kartu vartojamas maistas beveik nedaro įtakos vaist</w:t>
      </w:r>
      <w:r w:rsidR="00AF4217">
        <w:rPr>
          <w:rFonts w:ascii="Times New Roman" w:eastAsia="Times New Roman" w:hAnsi="Times New Roman" w:cs="Times New Roman"/>
          <w:lang w:val="lt-LT" w:eastAsia="en-US"/>
        </w:rPr>
        <w:t>inio preparat</w:t>
      </w:r>
      <w:r w:rsidRPr="00E82419">
        <w:rPr>
          <w:rFonts w:ascii="Times New Roman" w:eastAsia="Times New Roman" w:hAnsi="Times New Roman" w:cs="Times New Roman"/>
          <w:lang w:val="lt-LT" w:eastAsia="en-US"/>
        </w:rPr>
        <w:t>o absorbcijai (AUC).</w:t>
      </w:r>
    </w:p>
    <w:p w14:paraId="5F57851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B99FA8E" w14:textId="77777777" w:rsidR="004B5565" w:rsidRPr="00157E61" w:rsidRDefault="004B5565" w:rsidP="004B5565">
      <w:pPr>
        <w:spacing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Pasiskirstymas</w:t>
      </w:r>
    </w:p>
    <w:p w14:paraId="1D2DF7B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Išgėrus 500 mg (1000 mg) dozę, didžiausia koncentracija kraujo serume, t. y. maždaug 16 (30) mikrogramų/ml, atsiranda po 1 – 1,3</w:t>
      </w:r>
      <w:r w:rsidR="00EB71A7">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val. Prie kraujo plazmos baltymų prisijungia 18­20</w:t>
      </w:r>
      <w:r w:rsidR="00EB71A7">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 cefadroksilio. Cefalosporinai neprasiskverbia į smegenų skystį, todėl smegenų dangalų uždegimo gydymui netinka (žr. 4.1 skyrių).</w:t>
      </w:r>
    </w:p>
    <w:p w14:paraId="078446E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8A0BA38" w14:textId="77777777" w:rsidR="004B5565" w:rsidRPr="00157E61" w:rsidRDefault="004B5565" w:rsidP="004B5565">
      <w:pPr>
        <w:spacing w:after="0" w:line="240" w:lineRule="auto"/>
        <w:rPr>
          <w:rFonts w:ascii="Times New Roman" w:eastAsia="Times New Roman" w:hAnsi="Times New Roman" w:cs="Times New Roman"/>
          <w:i/>
          <w:u w:val="single"/>
          <w:lang w:val="lt-LT" w:eastAsia="en-US"/>
        </w:rPr>
      </w:pPr>
      <w:r w:rsidRPr="00157E61">
        <w:rPr>
          <w:rFonts w:ascii="Times New Roman" w:eastAsia="Times New Roman" w:hAnsi="Times New Roman" w:cs="Times New Roman"/>
          <w:i/>
          <w:lang w:val="lt-LT" w:eastAsia="en-US"/>
        </w:rPr>
        <w:t>Biotransformacija</w:t>
      </w:r>
    </w:p>
    <w:p w14:paraId="4915004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Cefadroksilis yra nemetabolizuojamas.</w:t>
      </w:r>
    </w:p>
    <w:p w14:paraId="45B8D9C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F882273" w14:textId="77777777" w:rsidR="004B5565" w:rsidRPr="00157E61" w:rsidRDefault="004B5565" w:rsidP="004B5565">
      <w:pPr>
        <w:spacing w:after="0" w:line="240" w:lineRule="auto"/>
        <w:rPr>
          <w:rFonts w:ascii="Times New Roman" w:eastAsia="Times New Roman" w:hAnsi="Times New Roman" w:cs="Times New Roman"/>
          <w:i/>
          <w:lang w:val="lt-LT" w:eastAsia="en-US"/>
        </w:rPr>
      </w:pPr>
      <w:r w:rsidRPr="00157E61">
        <w:rPr>
          <w:rFonts w:ascii="Times New Roman" w:eastAsia="Times New Roman" w:hAnsi="Times New Roman" w:cs="Times New Roman"/>
          <w:i/>
          <w:lang w:val="lt-LT" w:eastAsia="en-US"/>
        </w:rPr>
        <w:t>Eliminacija</w:t>
      </w:r>
    </w:p>
    <w:p w14:paraId="049E909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Cefadroksilis šalinamas daug lėčiau už kitus geriamuosius cefalosporinus (pusinis eliminacijos laikas yra maždaug 1,4 – 2 val.), todėl intervalą tarp vienkartinių dozių vartojimo galima didinti iki 12­24 val. Per 24 valandas maždaug 90 % antibiotiko dozės išsiskiria pro inkstus nepakitusiu pavidalu.</w:t>
      </w:r>
    </w:p>
    <w:p w14:paraId="521D992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Cefadroksilį galima pašalinti iš organizmo kraujo dialize.</w:t>
      </w:r>
    </w:p>
    <w:p w14:paraId="5489D5D2"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46DCB2E7" w14:textId="77777777" w:rsidR="004B5565" w:rsidRPr="00157E61" w:rsidRDefault="004B5565" w:rsidP="004B5565">
      <w:pPr>
        <w:spacing w:after="0" w:line="240" w:lineRule="auto"/>
        <w:rPr>
          <w:rFonts w:ascii="Times New Roman" w:eastAsia="Times New Roman" w:hAnsi="Times New Roman" w:cs="Times New Roman"/>
          <w:i/>
          <w:u w:val="single"/>
          <w:lang w:val="lt-LT" w:eastAsia="en-US"/>
        </w:rPr>
      </w:pPr>
      <w:r w:rsidRPr="00157E61">
        <w:rPr>
          <w:rFonts w:ascii="Times New Roman" w:eastAsia="Times New Roman" w:hAnsi="Times New Roman" w:cs="Times New Roman"/>
          <w:i/>
          <w:u w:val="single"/>
          <w:lang w:val="lt-LT" w:eastAsia="en-US"/>
        </w:rPr>
        <w:t>Charakteristika pacientams, kuriems sumažėjęs kreatinino klirensas (inkstų funkcijos pakenkimo požymis)</w:t>
      </w:r>
    </w:p>
    <w:p w14:paraId="1BC82B0D"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Eliminacija yra lėtesnė, todėl turi būti pailgintas intervalas tarp dozių vartojimo (žr. 4.2 skyrių).</w:t>
      </w:r>
    </w:p>
    <w:p w14:paraId="6928511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ABC92A3"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5.3</w:t>
      </w:r>
      <w:r w:rsidRPr="00E82419">
        <w:rPr>
          <w:rFonts w:ascii="Times New Roman" w:eastAsia="Times New Roman" w:hAnsi="Times New Roman" w:cs="Times New Roman"/>
          <w:b/>
          <w:lang w:val="lt-LT" w:eastAsia="en-US"/>
        </w:rPr>
        <w:tab/>
        <w:t>Ikiklinikinių saugumo tyrimų duomenys</w:t>
      </w:r>
    </w:p>
    <w:p w14:paraId="3F524D8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3753DD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Įprastų farmakologinio saugumo, kartotinių dozių toksiškumo, genotoksiškumo, galimo kancerogeniškumo, toksinio poveikio reprodukcijai ir vystymuisi ikiklinikinių tyrimų duomenys specifinio pavojaus žmogui nerodo.</w:t>
      </w:r>
    </w:p>
    <w:p w14:paraId="53D2160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DA30758"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325D92C9"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w:t>
      </w:r>
      <w:r w:rsidRPr="00E82419">
        <w:rPr>
          <w:rFonts w:ascii="Times New Roman" w:eastAsia="Times New Roman" w:hAnsi="Times New Roman" w:cs="Times New Roman"/>
          <w:b/>
          <w:lang w:val="lt-LT" w:eastAsia="en-US"/>
        </w:rPr>
        <w:tab/>
        <w:t>FARMACINĖ INFORMACIJA</w:t>
      </w:r>
    </w:p>
    <w:p w14:paraId="4AD4FE5D"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682F0B5A"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6.1</w:t>
      </w:r>
      <w:r w:rsidRPr="00E82419">
        <w:rPr>
          <w:rFonts w:ascii="Times New Roman" w:eastAsia="Times New Roman" w:hAnsi="Times New Roman" w:cs="Times New Roman"/>
          <w:b/>
          <w:lang w:val="lt-LT" w:eastAsia="en-US"/>
        </w:rPr>
        <w:tab/>
        <w:t>Pagalbinių medžiagų sąrašas</w:t>
      </w:r>
    </w:p>
    <w:p w14:paraId="6FD3662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C035DB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Guarogalaktomananas</w:t>
      </w:r>
    </w:p>
    <w:p w14:paraId="482FAE2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Magnio stearatas</w:t>
      </w:r>
    </w:p>
    <w:p w14:paraId="68397C4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Koloidinis bevandenis silicio dioksidas</w:t>
      </w:r>
    </w:p>
    <w:p w14:paraId="0062067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Titano dioksidas (E171)</w:t>
      </w:r>
    </w:p>
    <w:p w14:paraId="4B9EC61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Talkas</w:t>
      </w:r>
    </w:p>
    <w:p w14:paraId="252154E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Sacharinas</w:t>
      </w:r>
    </w:p>
    <w:p w14:paraId="0AC37BF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Sacharozė</w:t>
      </w:r>
    </w:p>
    <w:p w14:paraId="087755E0" w14:textId="77777777" w:rsidR="004B5565" w:rsidRPr="00E82419" w:rsidRDefault="004B5565" w:rsidP="00923B97">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Persikų ir abrikosų skonio kvapioji medžiaga</w:t>
      </w:r>
      <w:r w:rsidR="00923B97">
        <w:rPr>
          <w:rFonts w:ascii="Times New Roman" w:eastAsia="Times New Roman" w:hAnsi="Times New Roman" w:cs="Times New Roman"/>
          <w:lang w:val="lt-LT" w:eastAsia="en-US"/>
        </w:rPr>
        <w:t xml:space="preserve"> (</w:t>
      </w:r>
      <w:r w:rsidR="00923B97" w:rsidRPr="00923B97">
        <w:rPr>
          <w:rFonts w:ascii="Times New Roman" w:eastAsia="Times New Roman" w:hAnsi="Times New Roman" w:cs="Times New Roman"/>
          <w:lang w:val="lt-LT" w:eastAsia="en-US"/>
        </w:rPr>
        <w:t>natūralios kvapiosios medžiagos, natūraliai</w:t>
      </w:r>
      <w:r w:rsidR="00923B97">
        <w:rPr>
          <w:rFonts w:ascii="Times New Roman" w:eastAsia="Times New Roman" w:hAnsi="Times New Roman" w:cs="Times New Roman"/>
          <w:lang w:val="lt-LT" w:eastAsia="en-US"/>
        </w:rPr>
        <w:t xml:space="preserve"> tapačios kvapiosios medžiagos, natris,</w:t>
      </w:r>
      <w:r w:rsidR="00923B97" w:rsidRPr="00923B97">
        <w:rPr>
          <w:rFonts w:ascii="Times New Roman" w:eastAsia="Times New Roman" w:hAnsi="Times New Roman" w:cs="Times New Roman"/>
          <w:lang w:val="lt-LT" w:eastAsia="en-US"/>
        </w:rPr>
        <w:t xml:space="preserve"> maltodekstrinas, </w:t>
      </w:r>
      <w:r w:rsidR="00923B97">
        <w:rPr>
          <w:rFonts w:ascii="Times New Roman" w:eastAsia="Times New Roman" w:hAnsi="Times New Roman" w:cs="Times New Roman"/>
          <w:lang w:val="lt-LT" w:eastAsia="en-US"/>
        </w:rPr>
        <w:t>b</w:t>
      </w:r>
      <w:r w:rsidR="00923B97" w:rsidRPr="00923B97">
        <w:rPr>
          <w:rFonts w:ascii="Times New Roman" w:eastAsia="Times New Roman" w:hAnsi="Times New Roman" w:cs="Times New Roman"/>
          <w:lang w:val="lt-LT" w:eastAsia="en-US"/>
        </w:rPr>
        <w:t>utilhidroksianizolas</w:t>
      </w:r>
      <w:r w:rsidR="00923B97">
        <w:rPr>
          <w:rFonts w:ascii="Times New Roman" w:eastAsia="Times New Roman" w:hAnsi="Times New Roman" w:cs="Times New Roman"/>
          <w:lang w:val="lt-LT" w:eastAsia="en-US"/>
        </w:rPr>
        <w:t xml:space="preserve"> E320, sorbitolio </w:t>
      </w:r>
      <w:r w:rsidR="00923B97" w:rsidRPr="00923B97">
        <w:rPr>
          <w:rFonts w:ascii="Times New Roman" w:eastAsia="Times New Roman" w:hAnsi="Times New Roman" w:cs="Times New Roman"/>
          <w:lang w:val="lt-LT" w:eastAsia="en-US"/>
        </w:rPr>
        <w:t>sirupas E420, sieros dioksidas, etanolis).</w:t>
      </w:r>
    </w:p>
    <w:p w14:paraId="65262D1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49DC154"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6.2</w:t>
      </w:r>
      <w:r w:rsidRPr="00E82419">
        <w:rPr>
          <w:rFonts w:ascii="Times New Roman" w:eastAsia="Times New Roman" w:hAnsi="Times New Roman" w:cs="Times New Roman"/>
          <w:b/>
          <w:lang w:val="lt-LT" w:eastAsia="en-US"/>
        </w:rPr>
        <w:tab/>
        <w:t>Nesuderinamumas</w:t>
      </w:r>
    </w:p>
    <w:p w14:paraId="330E566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816AC8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Duomenys nebūtini.</w:t>
      </w:r>
    </w:p>
    <w:p w14:paraId="28E5867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86471C1"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6.3</w:t>
      </w:r>
      <w:r w:rsidRPr="00E82419">
        <w:rPr>
          <w:rFonts w:ascii="Times New Roman" w:eastAsia="Times New Roman" w:hAnsi="Times New Roman" w:cs="Times New Roman"/>
          <w:b/>
          <w:lang w:val="lt-LT" w:eastAsia="en-US"/>
        </w:rPr>
        <w:tab/>
        <w:t>Tinkamumo laikas</w:t>
      </w:r>
    </w:p>
    <w:p w14:paraId="106CA98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3B013D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 metai.</w:t>
      </w:r>
    </w:p>
    <w:p w14:paraId="04F594E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C5EBA3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Paruoštos suspensijos tinkamumo laikas yra 14 parų.</w:t>
      </w:r>
    </w:p>
    <w:p w14:paraId="391B78D9" w14:textId="77777777" w:rsidR="004B5565" w:rsidRDefault="009E70E3"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Paruoštą suspensiją reikia laikyti </w:t>
      </w:r>
      <w:r w:rsidR="007931B0">
        <w:rPr>
          <w:rFonts w:ascii="Times New Roman" w:eastAsia="Times New Roman" w:hAnsi="Times New Roman" w:cs="Times New Roman"/>
          <w:lang w:val="lt-LT" w:eastAsia="en-US"/>
        </w:rPr>
        <w:t>šaldytuve (</w:t>
      </w:r>
      <w:r>
        <w:rPr>
          <w:rFonts w:ascii="Times New Roman" w:eastAsia="Times New Roman" w:hAnsi="Times New Roman" w:cs="Times New Roman"/>
          <w:lang w:val="lt-LT" w:eastAsia="en-US"/>
        </w:rPr>
        <w:t>2</w:t>
      </w:r>
      <w:r w:rsidR="007931B0">
        <w:rPr>
          <w:rFonts w:ascii="Times New Roman" w:eastAsia="Times New Roman" w:hAnsi="Times New Roman" w:cs="Times New Roman"/>
          <w:lang w:val="lt-LT" w:eastAsia="en-US"/>
        </w:rPr>
        <w:t>º C</w:t>
      </w:r>
      <w:r>
        <w:rPr>
          <w:rFonts w:ascii="Times New Roman" w:eastAsia="Times New Roman" w:hAnsi="Times New Roman" w:cs="Times New Roman"/>
          <w:lang w:val="lt-LT" w:eastAsia="en-US"/>
        </w:rPr>
        <w:t xml:space="preserve"> - 8</w:t>
      </w:r>
      <w:r w:rsidRPr="00E82419">
        <w:rPr>
          <w:rFonts w:ascii="Times New Roman" w:eastAsia="Times New Roman" w:hAnsi="Times New Roman" w:cs="Times New Roman"/>
          <w:lang w:val="lt-LT" w:eastAsia="en-US"/>
        </w:rPr>
        <w:t> °C</w:t>
      </w:r>
      <w:r w:rsidR="007931B0">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6DF7E9A2" w14:textId="77777777" w:rsidR="009E70E3" w:rsidRPr="00E82419" w:rsidRDefault="009E70E3" w:rsidP="004B5565">
      <w:pPr>
        <w:spacing w:after="0" w:line="240" w:lineRule="auto"/>
        <w:rPr>
          <w:rFonts w:ascii="Times New Roman" w:eastAsia="Times New Roman" w:hAnsi="Times New Roman" w:cs="Times New Roman"/>
          <w:lang w:val="lt-LT" w:eastAsia="en-US"/>
        </w:rPr>
      </w:pPr>
    </w:p>
    <w:p w14:paraId="5ACACCA8"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6.4</w:t>
      </w:r>
      <w:r w:rsidRPr="00E82419">
        <w:rPr>
          <w:rFonts w:ascii="Times New Roman" w:eastAsia="Times New Roman" w:hAnsi="Times New Roman" w:cs="Times New Roman"/>
          <w:b/>
          <w:lang w:val="lt-LT" w:eastAsia="en-US"/>
        </w:rPr>
        <w:tab/>
        <w:t>Specialios laikymo sąlygos</w:t>
      </w:r>
    </w:p>
    <w:p w14:paraId="311A3CF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6A0E9AD" w14:textId="77777777" w:rsidR="00933B10" w:rsidRDefault="00DD296B" w:rsidP="004B5565">
      <w:pPr>
        <w:spacing w:after="0" w:line="240" w:lineRule="auto"/>
        <w:rPr>
          <w:rFonts w:ascii="Times New Roman" w:eastAsia="Times New Roman" w:hAnsi="Times New Roman" w:cs="Times New Roman"/>
          <w:lang w:val="lt-LT" w:eastAsia="en-US"/>
        </w:rPr>
      </w:pPr>
      <w:r w:rsidRPr="00DD296B">
        <w:rPr>
          <w:rFonts w:ascii="Times New Roman" w:eastAsia="Times New Roman" w:hAnsi="Times New Roman" w:cs="Times New Roman"/>
          <w:lang w:val="lt-LT" w:eastAsia="en-US"/>
        </w:rPr>
        <w:t>Laikyti ne aukštesnėje kaip 30°C temperatūroje</w:t>
      </w:r>
      <w:r>
        <w:rPr>
          <w:rFonts w:ascii="Times New Roman" w:eastAsia="Times New Roman" w:hAnsi="Times New Roman" w:cs="Times New Roman"/>
          <w:lang w:val="lt-LT" w:eastAsia="en-US"/>
        </w:rPr>
        <w:t>.</w:t>
      </w:r>
    </w:p>
    <w:p w14:paraId="763182E9" w14:textId="77777777" w:rsidR="00DD296B" w:rsidRPr="00E82419" w:rsidRDefault="00DD296B" w:rsidP="004B5565">
      <w:pPr>
        <w:spacing w:after="0" w:line="240" w:lineRule="auto"/>
        <w:rPr>
          <w:rFonts w:ascii="Times New Roman" w:eastAsia="Times New Roman" w:hAnsi="Times New Roman" w:cs="Times New Roman"/>
          <w:lang w:val="lt-LT" w:eastAsia="en-US"/>
        </w:rPr>
      </w:pPr>
      <w:r w:rsidRPr="00DD296B">
        <w:rPr>
          <w:rFonts w:ascii="Times New Roman" w:eastAsia="Times New Roman" w:hAnsi="Times New Roman" w:cs="Times New Roman"/>
          <w:lang w:val="lt-LT" w:eastAsia="en-US"/>
        </w:rPr>
        <w:t>Buteliuką laikyti sandarų, kad vaistinis preparatas būtų apsaugotas nuo šviesos ir drėgmės</w:t>
      </w:r>
      <w:r>
        <w:rPr>
          <w:rFonts w:ascii="Times New Roman" w:eastAsia="Times New Roman" w:hAnsi="Times New Roman" w:cs="Times New Roman"/>
          <w:lang w:val="lt-LT" w:eastAsia="en-US"/>
        </w:rPr>
        <w:t>.</w:t>
      </w:r>
    </w:p>
    <w:p w14:paraId="6478288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Paruošto vaistinio preparato laikymo sąlygos nurodytos 6.3 skyriuje.</w:t>
      </w:r>
    </w:p>
    <w:p w14:paraId="70B7442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1BEF4E5"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6.5</w:t>
      </w:r>
      <w:r w:rsidRPr="00E82419">
        <w:rPr>
          <w:rFonts w:ascii="Times New Roman" w:eastAsia="Times New Roman" w:hAnsi="Times New Roman" w:cs="Times New Roman"/>
          <w:b/>
          <w:lang w:val="lt-LT" w:eastAsia="en-US"/>
        </w:rPr>
        <w:tab/>
      </w:r>
      <w:r w:rsidR="004D4C15" w:rsidRPr="00E82419">
        <w:rPr>
          <w:rFonts w:ascii="Times New Roman" w:eastAsia="Times New Roman" w:hAnsi="Times New Roman" w:cs="Times New Roman"/>
          <w:b/>
          <w:lang w:val="lt-LT" w:eastAsia="en-US"/>
        </w:rPr>
        <w:t xml:space="preserve">Talpyklės pobūdis </w:t>
      </w:r>
      <w:r w:rsidRPr="00E82419">
        <w:rPr>
          <w:rFonts w:ascii="Times New Roman" w:eastAsia="Times New Roman" w:hAnsi="Times New Roman" w:cs="Times New Roman"/>
          <w:b/>
          <w:lang w:val="lt-LT" w:eastAsia="en-US"/>
        </w:rPr>
        <w:t>ir jos turinys</w:t>
      </w:r>
    </w:p>
    <w:p w14:paraId="55C5D5E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1ACABAF"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Kartono dėžutėje yra gintaro spalvos III tipo stiklo buteliukas, kuriame yra milteliai 60 ml geriamosios suspensijos paruošimui, užsuktas </w:t>
      </w:r>
      <w:r w:rsidR="00D1261A">
        <w:rPr>
          <w:rFonts w:ascii="Times New Roman" w:eastAsia="Times New Roman" w:hAnsi="Times New Roman" w:cs="Times New Roman"/>
          <w:lang w:val="lt-LT" w:eastAsia="en-US"/>
        </w:rPr>
        <w:t xml:space="preserve">vaikų sunkiai atidaromu </w:t>
      </w:r>
      <w:r w:rsidRPr="00E82419">
        <w:rPr>
          <w:rFonts w:ascii="Times New Roman" w:eastAsia="Times New Roman" w:hAnsi="Times New Roman" w:cs="Times New Roman"/>
          <w:lang w:val="lt-LT" w:eastAsia="en-US"/>
        </w:rPr>
        <w:t>PE</w:t>
      </w:r>
      <w:r w:rsidR="00D1261A">
        <w:rPr>
          <w:rFonts w:ascii="Times New Roman" w:eastAsia="Times New Roman" w:hAnsi="Times New Roman" w:cs="Times New Roman"/>
          <w:lang w:val="lt-LT" w:eastAsia="en-US"/>
        </w:rPr>
        <w:t>/PP</w:t>
      </w:r>
      <w:r w:rsidRPr="00E82419">
        <w:rPr>
          <w:rFonts w:ascii="Times New Roman" w:eastAsia="Times New Roman" w:hAnsi="Times New Roman" w:cs="Times New Roman"/>
          <w:lang w:val="lt-LT" w:eastAsia="en-US"/>
        </w:rPr>
        <w:t xml:space="preserve"> dangteliu.</w:t>
      </w:r>
    </w:p>
    <w:p w14:paraId="7843101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lastRenderedPageBreak/>
        <w:t>Kartono dėžutėje yra PP matavimo šaukštas, sugraduotas 1,25 ml, 2,5 ml ir 5 ml žymomis.</w:t>
      </w:r>
    </w:p>
    <w:p w14:paraId="3FCD596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3EBF22D" w14:textId="77777777" w:rsidR="004B5565" w:rsidRPr="00E82419" w:rsidRDefault="004B5565" w:rsidP="004B5565">
      <w:pPr>
        <w:keepNext/>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6.6</w:t>
      </w:r>
      <w:r w:rsidRPr="00E82419">
        <w:rPr>
          <w:rFonts w:ascii="Times New Roman" w:eastAsia="Times New Roman" w:hAnsi="Times New Roman" w:cs="Times New Roman"/>
          <w:b/>
          <w:lang w:val="lt-LT" w:eastAsia="en-US"/>
        </w:rPr>
        <w:tab/>
        <w:t>Specialūs reikalavimai atliekoms tvarkyti ir vaistiniam preparatui ruošti</w:t>
      </w:r>
    </w:p>
    <w:p w14:paraId="4DB68AC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176337E" w14:textId="2E6A33D9" w:rsidR="00603B73" w:rsidRPr="00E82419" w:rsidRDefault="00603B73" w:rsidP="00603B73">
      <w:pPr>
        <w:spacing w:after="0" w:line="240" w:lineRule="auto"/>
        <w:rPr>
          <w:rFonts w:ascii="Times New Roman" w:eastAsia="Times New Roman" w:hAnsi="Times New Roman" w:cs="Times New Roman"/>
          <w:lang w:val="lt-LT" w:eastAsia="en-US"/>
        </w:rPr>
      </w:pPr>
      <w:r w:rsidRPr="004148A8">
        <w:rPr>
          <w:rFonts w:ascii="Times New Roman" w:eastAsia="Times New Roman" w:hAnsi="Times New Roman" w:cs="Times New Roman"/>
          <w:lang w:val="lt-LT" w:eastAsia="en-US"/>
        </w:rPr>
        <w:t xml:space="preserve">Įpilkite į buteliuką geriamojo vandens tiek, kad nesiektų </w:t>
      </w:r>
      <w:r>
        <w:rPr>
          <w:rFonts w:ascii="Times New Roman" w:eastAsia="Times New Roman" w:hAnsi="Times New Roman" w:cs="Times New Roman"/>
          <w:lang w:val="lt-LT" w:eastAsia="en-US"/>
        </w:rPr>
        <w:t xml:space="preserve">ant </w:t>
      </w:r>
      <w:r w:rsidR="00C66B2B">
        <w:rPr>
          <w:rFonts w:ascii="Times New Roman" w:eastAsia="Times New Roman" w:hAnsi="Times New Roman" w:cs="Times New Roman"/>
          <w:lang w:val="lt-LT" w:eastAsia="en-US"/>
        </w:rPr>
        <w:t>etiketės</w:t>
      </w:r>
      <w:r>
        <w:rPr>
          <w:rFonts w:ascii="Times New Roman" w:eastAsia="Times New Roman" w:hAnsi="Times New Roman" w:cs="Times New Roman"/>
          <w:lang w:val="lt-LT" w:eastAsia="en-US"/>
        </w:rPr>
        <w:t xml:space="preserve"> atspausdintos</w:t>
      </w:r>
      <w:r w:rsidRPr="004148A8">
        <w:rPr>
          <w:rFonts w:ascii="Times New Roman" w:eastAsia="Times New Roman" w:hAnsi="Times New Roman" w:cs="Times New Roman"/>
          <w:lang w:val="lt-LT" w:eastAsia="en-US"/>
        </w:rPr>
        <w:t xml:space="preserve"> žymos ir stipriai pakratykite, po to įpilkite vandens tiksliai iki </w:t>
      </w:r>
      <w:r>
        <w:rPr>
          <w:rFonts w:ascii="Times New Roman" w:eastAsia="Times New Roman" w:hAnsi="Times New Roman" w:cs="Times New Roman"/>
          <w:lang w:val="lt-LT" w:eastAsia="en-US"/>
        </w:rPr>
        <w:t xml:space="preserve">ant </w:t>
      </w:r>
      <w:r w:rsidR="00C66B2B">
        <w:rPr>
          <w:rFonts w:ascii="Times New Roman" w:eastAsia="Times New Roman" w:hAnsi="Times New Roman" w:cs="Times New Roman"/>
          <w:lang w:val="lt-LT" w:eastAsia="en-US"/>
        </w:rPr>
        <w:t>etiketės</w:t>
      </w:r>
      <w:r>
        <w:rPr>
          <w:rFonts w:ascii="Times New Roman" w:eastAsia="Times New Roman" w:hAnsi="Times New Roman" w:cs="Times New Roman"/>
          <w:lang w:val="lt-LT" w:eastAsia="en-US"/>
        </w:rPr>
        <w:t xml:space="preserve"> atspausdintos </w:t>
      </w:r>
      <w:r w:rsidRPr="004148A8">
        <w:rPr>
          <w:rFonts w:ascii="Times New Roman" w:eastAsia="Times New Roman" w:hAnsi="Times New Roman" w:cs="Times New Roman"/>
          <w:lang w:val="lt-LT" w:eastAsia="en-US"/>
        </w:rPr>
        <w:t>žymos ir dar kartą energingai pakratykite.</w:t>
      </w:r>
    </w:p>
    <w:p w14:paraId="7EA23353" w14:textId="77777777" w:rsidR="00603B73" w:rsidRDefault="00603B73" w:rsidP="00603B73">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Buteliuką būtina stipriai pakratyti prieš kiekvieną vartojimą. </w:t>
      </w:r>
    </w:p>
    <w:p w14:paraId="33AFC5F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Gauta suspensija yra baltos ar švelniai gelsvos spalvos.</w:t>
      </w:r>
    </w:p>
    <w:p w14:paraId="794B4DD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8F6A75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Nesuvartotą vaistinį preparatą ar atliekas reikia tvarkyti laikantis vietinių reikalavimų.</w:t>
      </w:r>
    </w:p>
    <w:p w14:paraId="097DC9D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9B4D07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8AD2D48"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7.</w:t>
      </w:r>
      <w:r w:rsidRPr="00E82419">
        <w:rPr>
          <w:rFonts w:ascii="Times New Roman" w:eastAsia="Times New Roman" w:hAnsi="Times New Roman" w:cs="Times New Roman"/>
          <w:b/>
          <w:caps/>
          <w:lang w:val="lt-LT" w:eastAsia="en-US"/>
        </w:rPr>
        <w:tab/>
      </w:r>
      <w:r w:rsidR="004D4C15" w:rsidRPr="00E82419">
        <w:rPr>
          <w:rFonts w:ascii="Times New Roman" w:eastAsia="Times New Roman" w:hAnsi="Times New Roman" w:cs="Times New Roman"/>
          <w:b/>
          <w:caps/>
          <w:lang w:val="lt-LT" w:eastAsia="en-US"/>
        </w:rPr>
        <w:t>REGISTRUOTOJAS</w:t>
      </w:r>
    </w:p>
    <w:p w14:paraId="56AEFFC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296EF8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w:t>
      </w:r>
      <w:r w:rsidR="00B744FF">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GmbH</w:t>
      </w:r>
    </w:p>
    <w:p w14:paraId="436FC20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Biochemiestrasse10</w:t>
      </w:r>
    </w:p>
    <w:p w14:paraId="3173FC1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A-6250 Kundl</w:t>
      </w:r>
    </w:p>
    <w:p w14:paraId="499A948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Austrija</w:t>
      </w:r>
    </w:p>
    <w:p w14:paraId="4A411C9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EF3B2D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6219D7B"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8.</w:t>
      </w:r>
      <w:r w:rsidRPr="00E82419">
        <w:rPr>
          <w:rFonts w:ascii="Times New Roman" w:eastAsia="Times New Roman" w:hAnsi="Times New Roman" w:cs="Times New Roman"/>
          <w:b/>
          <w:caps/>
          <w:lang w:val="lt-LT" w:eastAsia="en-US"/>
        </w:rPr>
        <w:tab/>
      </w:r>
      <w:r w:rsidR="004D4C15" w:rsidRPr="00E82419">
        <w:rPr>
          <w:rFonts w:ascii="Times New Roman" w:eastAsia="Times New Roman" w:hAnsi="Times New Roman" w:cs="Times New Roman"/>
          <w:b/>
          <w:caps/>
          <w:lang w:val="lt-LT" w:eastAsia="en-US"/>
        </w:rPr>
        <w:t xml:space="preserve">REGISTRACIJOS </w:t>
      </w:r>
      <w:r w:rsidRPr="00E82419">
        <w:rPr>
          <w:rFonts w:ascii="Times New Roman" w:eastAsia="Times New Roman" w:hAnsi="Times New Roman" w:cs="Times New Roman"/>
          <w:b/>
          <w:caps/>
          <w:lang w:val="lt-LT" w:eastAsia="en-US"/>
        </w:rPr>
        <w:t>pažymėjimo NUMERIS</w:t>
      </w:r>
    </w:p>
    <w:p w14:paraId="72A33F5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BC0D2C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LT/1/97/3479/001</w:t>
      </w:r>
    </w:p>
    <w:p w14:paraId="2F62F9B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31341E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4D3A232"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9.</w:t>
      </w:r>
      <w:r w:rsidRPr="00E82419">
        <w:rPr>
          <w:rFonts w:ascii="Times New Roman" w:eastAsia="Times New Roman" w:hAnsi="Times New Roman" w:cs="Times New Roman"/>
          <w:b/>
          <w:caps/>
          <w:lang w:val="lt-LT" w:eastAsia="en-US"/>
        </w:rPr>
        <w:tab/>
      </w:r>
      <w:r w:rsidR="004D4C15" w:rsidRPr="00E82419">
        <w:rPr>
          <w:rFonts w:ascii="Times New Roman" w:eastAsia="Times New Roman" w:hAnsi="Times New Roman" w:cs="Times New Roman"/>
          <w:b/>
          <w:caps/>
          <w:lang w:val="lt-LT" w:eastAsia="en-US"/>
        </w:rPr>
        <w:t>REGISTRAVIMO</w:t>
      </w:r>
      <w:r w:rsidRPr="00E82419">
        <w:rPr>
          <w:rFonts w:ascii="Times New Roman" w:eastAsia="Times New Roman" w:hAnsi="Times New Roman" w:cs="Times New Roman"/>
          <w:b/>
          <w:caps/>
          <w:lang w:val="lt-LT" w:eastAsia="en-US"/>
        </w:rPr>
        <w:t xml:space="preserve"> / </w:t>
      </w:r>
      <w:r w:rsidR="004D4C15" w:rsidRPr="00E82419">
        <w:rPr>
          <w:rFonts w:ascii="Times New Roman" w:eastAsia="Times New Roman" w:hAnsi="Times New Roman" w:cs="Times New Roman"/>
          <w:b/>
          <w:caps/>
          <w:lang w:val="lt-LT" w:eastAsia="en-US"/>
        </w:rPr>
        <w:t xml:space="preserve">PERREGISTRAVIMO </w:t>
      </w:r>
      <w:r w:rsidRPr="00E82419">
        <w:rPr>
          <w:rFonts w:ascii="Times New Roman" w:eastAsia="Times New Roman" w:hAnsi="Times New Roman" w:cs="Times New Roman"/>
          <w:b/>
          <w:caps/>
          <w:lang w:val="lt-LT" w:eastAsia="en-US"/>
        </w:rPr>
        <w:t>DATA</w:t>
      </w:r>
    </w:p>
    <w:p w14:paraId="16020DE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7DBB75F" w14:textId="77777777" w:rsidR="004B5565" w:rsidRPr="00E82419" w:rsidRDefault="004D4C1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Registravimo data</w:t>
      </w:r>
      <w:r w:rsidR="004B5565" w:rsidRPr="00E82419">
        <w:rPr>
          <w:rFonts w:ascii="Times New Roman" w:eastAsia="Times New Roman" w:hAnsi="Times New Roman" w:cs="Times New Roman"/>
          <w:lang w:val="lt-LT" w:eastAsia="en-US"/>
        </w:rPr>
        <w:t xml:space="preserve"> 2003 m. sausio 29 d.</w:t>
      </w:r>
    </w:p>
    <w:p w14:paraId="7316A5A7" w14:textId="77777777" w:rsidR="004B5565" w:rsidRPr="00E82419" w:rsidRDefault="004D4C1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Paskutinio perregistravimo data</w:t>
      </w:r>
      <w:r w:rsidR="004B5565" w:rsidRPr="00E82419">
        <w:rPr>
          <w:rFonts w:ascii="Times New Roman" w:eastAsia="Times New Roman" w:hAnsi="Times New Roman" w:cs="Times New Roman"/>
          <w:lang w:val="lt-LT" w:eastAsia="en-US"/>
        </w:rPr>
        <w:t xml:space="preserve"> 2013 m. gruodžio 31 d.</w:t>
      </w:r>
    </w:p>
    <w:p w14:paraId="46DDF85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C8C36F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A26292E" w14:textId="77777777" w:rsidR="004B5565" w:rsidRPr="00E82419" w:rsidRDefault="004B5565" w:rsidP="004B5565">
      <w:pPr>
        <w:keepNext/>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t>10.</w:t>
      </w:r>
      <w:r w:rsidRPr="00E82419">
        <w:rPr>
          <w:rFonts w:ascii="Times New Roman" w:eastAsia="Times New Roman" w:hAnsi="Times New Roman" w:cs="Times New Roman"/>
          <w:b/>
          <w:caps/>
          <w:lang w:val="lt-LT" w:eastAsia="en-US"/>
        </w:rPr>
        <w:tab/>
        <w:t>TEKSTO PERŽIŪROS DATA</w:t>
      </w:r>
    </w:p>
    <w:p w14:paraId="6506961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8B7C12C" w14:textId="751B3977" w:rsidR="004B5565" w:rsidRPr="004A771B" w:rsidRDefault="00C66B2B" w:rsidP="004B5565">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val="lt-LT" w:eastAsia="en-US"/>
        </w:rPr>
        <w:t>202</w:t>
      </w:r>
      <w:r w:rsidR="00277DC8">
        <w:rPr>
          <w:rFonts w:ascii="Times New Roman" w:eastAsia="Times New Roman" w:hAnsi="Times New Roman" w:cs="Times New Roman"/>
          <w:lang w:val="lt-LT" w:eastAsia="en-US"/>
        </w:rPr>
        <w:t xml:space="preserve">5 m. vasario </w:t>
      </w:r>
      <w:r w:rsidR="00865552">
        <w:rPr>
          <w:rFonts w:ascii="Times New Roman" w:eastAsia="Times New Roman" w:hAnsi="Times New Roman" w:cs="Times New Roman"/>
          <w:lang w:val="lt-LT" w:eastAsia="en-US"/>
        </w:rPr>
        <w:t>7</w:t>
      </w:r>
      <w:r w:rsidR="00277DC8">
        <w:rPr>
          <w:rFonts w:ascii="Times New Roman" w:eastAsia="Times New Roman" w:hAnsi="Times New Roman" w:cs="Times New Roman"/>
          <w:lang w:val="lt-LT" w:eastAsia="en-US"/>
        </w:rPr>
        <w:t xml:space="preserve"> d.</w:t>
      </w:r>
    </w:p>
    <w:p w14:paraId="4C7A9B4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6A330DC" w14:textId="0797725C" w:rsidR="004B5565" w:rsidRPr="00E82419" w:rsidRDefault="004B5565" w:rsidP="004B5565">
      <w:pPr>
        <w:tabs>
          <w:tab w:val="left" w:pos="567"/>
        </w:tabs>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lang w:val="lt-LT" w:eastAsia="en-US"/>
        </w:rPr>
        <w:t>Išsami informacija apie šį vaistinį preparatą pateikiama Valstybinės vaistų kontrolės tarnybos prie Lietuvos Respublikos sveikatos apsaugos ministerijos tinklalapyje</w:t>
      </w:r>
      <w:r w:rsidR="004D4C15" w:rsidRPr="00E82419">
        <w:rPr>
          <w:rFonts w:ascii="Times New Roman" w:eastAsia="Times New Roman" w:hAnsi="Times New Roman" w:cs="Times New Roman"/>
          <w:lang w:val="lt-LT" w:eastAsia="en-US"/>
        </w:rPr>
        <w:t xml:space="preserve"> </w:t>
      </w:r>
      <w:r w:rsidR="009C31BD" w:rsidRPr="009C31BD">
        <w:rPr>
          <w:rFonts w:ascii="Times New Roman" w:eastAsia="Times New Roman" w:hAnsi="Times New Roman" w:cs="Times New Roman"/>
          <w:color w:val="0000EE"/>
          <w:u w:val="single"/>
          <w:lang w:val="lt-LT" w:eastAsia="lt-LT"/>
        </w:rPr>
        <w:t>https://vvkt.lrv.lt/lt/</w:t>
      </w:r>
      <w:r w:rsidR="007A0981">
        <w:rPr>
          <w:rFonts w:ascii="Times New Roman" w:eastAsia="Times New Roman" w:hAnsi="Times New Roman" w:cs="Times New Roman"/>
          <w:color w:val="0000EE"/>
          <w:u w:val="single"/>
          <w:lang w:val="lt-LT" w:eastAsia="lt-LT"/>
        </w:rPr>
        <w:t>.</w:t>
      </w:r>
    </w:p>
    <w:p w14:paraId="0D96216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38BDF61" w14:textId="77777777" w:rsidR="004B5565" w:rsidRPr="00E82419" w:rsidRDefault="004B5565" w:rsidP="004B5565">
      <w:pP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br w:type="page"/>
      </w:r>
    </w:p>
    <w:p w14:paraId="3805753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46E84D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EEA047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2BB22F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038A18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79AF09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E0DDF6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5402B8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D22A2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EA8647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D23604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1317A6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231AFD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734811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448EDA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CD0FBA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852F80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203088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96AFBF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851BD5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D8FDA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86F99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A2198C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5EEFE5B" w14:textId="77777777" w:rsidR="004B5565" w:rsidRPr="00E82419" w:rsidRDefault="004B5565" w:rsidP="004B5565">
      <w:pPr>
        <w:spacing w:after="0" w:line="240" w:lineRule="auto"/>
        <w:jc w:val="center"/>
        <w:outlineLvl w:val="0"/>
        <w:rPr>
          <w:rFonts w:ascii="Times New Roman" w:eastAsia="Times New Roman" w:hAnsi="Times New Roman" w:cs="Times New Roman"/>
          <w:b/>
          <w:kern w:val="28"/>
          <w:lang w:val="lt-LT" w:eastAsia="en-US"/>
        </w:rPr>
      </w:pPr>
      <w:r w:rsidRPr="00E82419">
        <w:rPr>
          <w:rFonts w:ascii="Times New Roman" w:eastAsia="Times New Roman" w:hAnsi="Times New Roman" w:cs="Times New Roman"/>
          <w:b/>
          <w:kern w:val="28"/>
          <w:lang w:val="lt-LT" w:eastAsia="en-US"/>
        </w:rPr>
        <w:t>II PRIEDAS</w:t>
      </w:r>
    </w:p>
    <w:p w14:paraId="1CA0D0C3" w14:textId="77777777" w:rsidR="004B5565" w:rsidRPr="00E82419" w:rsidRDefault="004B5565" w:rsidP="004B5565">
      <w:pPr>
        <w:spacing w:after="0" w:line="240" w:lineRule="auto"/>
        <w:jc w:val="center"/>
        <w:outlineLvl w:val="0"/>
        <w:rPr>
          <w:rFonts w:ascii="Times New Roman" w:eastAsia="Times New Roman" w:hAnsi="Times New Roman" w:cs="Times New Roman"/>
          <w:b/>
          <w:kern w:val="28"/>
          <w:lang w:val="lt-LT" w:eastAsia="en-US"/>
        </w:rPr>
      </w:pPr>
    </w:p>
    <w:p w14:paraId="60758B4D" w14:textId="77777777" w:rsidR="004B5565" w:rsidRPr="00E82419" w:rsidRDefault="004D4C15" w:rsidP="004B5565">
      <w:pPr>
        <w:spacing w:after="0" w:line="240" w:lineRule="auto"/>
        <w:jc w:val="center"/>
        <w:outlineLvl w:val="0"/>
        <w:rPr>
          <w:rFonts w:ascii="Times New Roman" w:eastAsia="Times New Roman" w:hAnsi="Times New Roman" w:cs="Times New Roman"/>
          <w:b/>
          <w:kern w:val="28"/>
          <w:lang w:val="lt-LT" w:eastAsia="en-US"/>
        </w:rPr>
      </w:pPr>
      <w:r w:rsidRPr="00E82419">
        <w:rPr>
          <w:rFonts w:ascii="Times New Roman" w:eastAsia="Times New Roman" w:hAnsi="Times New Roman" w:cs="Times New Roman"/>
          <w:b/>
          <w:kern w:val="28"/>
          <w:lang w:val="lt-LT" w:eastAsia="en-US"/>
        </w:rPr>
        <w:t xml:space="preserve">REGISTRACIJOS </w:t>
      </w:r>
      <w:r w:rsidR="004B5565" w:rsidRPr="00E82419">
        <w:rPr>
          <w:rFonts w:ascii="Times New Roman" w:eastAsia="Times New Roman" w:hAnsi="Times New Roman" w:cs="Times New Roman"/>
          <w:b/>
          <w:kern w:val="28"/>
          <w:lang w:val="lt-LT" w:eastAsia="en-US"/>
        </w:rPr>
        <w:t>SĄLYGOS</w:t>
      </w:r>
    </w:p>
    <w:p w14:paraId="186DE73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B4CAF9B" w14:textId="77777777" w:rsidR="004B5565" w:rsidRPr="00E82419" w:rsidRDefault="004B5565" w:rsidP="004B5565">
      <w:pPr>
        <w:tabs>
          <w:tab w:val="left" w:pos="1701"/>
        </w:tabs>
        <w:spacing w:after="0" w:line="240" w:lineRule="auto"/>
        <w:ind w:left="1701"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A.</w:t>
      </w:r>
      <w:r w:rsidRPr="00E82419">
        <w:rPr>
          <w:rFonts w:ascii="Times New Roman" w:eastAsia="Times New Roman" w:hAnsi="Times New Roman" w:cs="Times New Roman"/>
          <w:b/>
          <w:lang w:val="lt-LT" w:eastAsia="en-US"/>
        </w:rPr>
        <w:tab/>
        <w:t>GAMINTOJAS (-AI), ATSAKINGAS (-I) UŽ SERIJŲ IŠLEIDIMĄ</w:t>
      </w:r>
    </w:p>
    <w:p w14:paraId="57F999B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D8BA5A1" w14:textId="77777777" w:rsidR="004B5565" w:rsidRPr="00E82419" w:rsidRDefault="004B5565" w:rsidP="004B5565">
      <w:pPr>
        <w:tabs>
          <w:tab w:val="left" w:pos="1701"/>
        </w:tabs>
        <w:spacing w:after="0" w:line="240" w:lineRule="auto"/>
        <w:ind w:left="1701"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w:t>
      </w:r>
      <w:r w:rsidRPr="00E82419">
        <w:rPr>
          <w:rFonts w:ascii="Times New Roman" w:eastAsia="Times New Roman" w:hAnsi="Times New Roman" w:cs="Times New Roman"/>
          <w:b/>
          <w:lang w:val="lt-LT" w:eastAsia="en-US"/>
        </w:rPr>
        <w:tab/>
        <w:t>TIEKIMO IR VARTOJIMO SĄLYGOS AR APRIBOJIMAI</w:t>
      </w:r>
    </w:p>
    <w:p w14:paraId="115DCD4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6991B0C" w14:textId="77777777" w:rsidR="004B5565" w:rsidRPr="00E82419" w:rsidRDefault="004B5565" w:rsidP="004B5565">
      <w:pPr>
        <w:keepNext/>
        <w:tabs>
          <w:tab w:val="left" w:pos="567"/>
        </w:tabs>
        <w:spacing w:after="0" w:line="240" w:lineRule="auto"/>
        <w:ind w:left="567" w:hanging="567"/>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br w:type="page"/>
      </w:r>
      <w:r w:rsidRPr="00E82419">
        <w:rPr>
          <w:rFonts w:ascii="Times New Roman" w:eastAsia="Times New Roman" w:hAnsi="Times New Roman" w:cs="Times New Roman"/>
          <w:b/>
          <w:caps/>
          <w:lang w:val="lt-LT" w:eastAsia="en-US"/>
        </w:rPr>
        <w:lastRenderedPageBreak/>
        <w:t>A.</w:t>
      </w:r>
      <w:r w:rsidRPr="00E82419">
        <w:rPr>
          <w:rFonts w:ascii="Times New Roman" w:eastAsia="Times New Roman" w:hAnsi="Times New Roman" w:cs="Times New Roman"/>
          <w:b/>
          <w:caps/>
          <w:lang w:val="lt-LT" w:eastAsia="en-US"/>
        </w:rPr>
        <w:tab/>
        <w:t>GAMINTOJAS (-AI), ATSAKINGAS (-I) UŽ SERIJŲ IŠLEIDIMĄ</w:t>
      </w:r>
    </w:p>
    <w:p w14:paraId="4AAF77A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88ED2EE"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Gamintojo, atsakingo už serijų išleidimą, pavadinimas ir adresas</w:t>
      </w:r>
    </w:p>
    <w:p w14:paraId="2A3EDF4F" w14:textId="77777777" w:rsidR="004B5565" w:rsidRPr="00E82419" w:rsidRDefault="004B5565" w:rsidP="004B5565">
      <w:pPr>
        <w:spacing w:after="0" w:line="220" w:lineRule="exact"/>
        <w:rPr>
          <w:rFonts w:ascii="Times New Roman" w:eastAsia="Times New Roman" w:hAnsi="Times New Roman" w:cs="Times New Roman"/>
          <w:b/>
          <w:bCs/>
          <w:lang w:val="lt-LT" w:eastAsia="en-US"/>
        </w:rPr>
      </w:pPr>
    </w:p>
    <w:p w14:paraId="4909B44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w:t>
      </w:r>
      <w:r w:rsidR="004D4C15"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GmbH</w:t>
      </w:r>
    </w:p>
    <w:p w14:paraId="1456458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Biochemiestrasse10</w:t>
      </w:r>
    </w:p>
    <w:p w14:paraId="4CB5892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A-6250 Kundl</w:t>
      </w:r>
    </w:p>
    <w:p w14:paraId="6B5AAF5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Austrija</w:t>
      </w:r>
    </w:p>
    <w:p w14:paraId="1104D20E" w14:textId="77777777" w:rsidR="004B5565" w:rsidRPr="00E82419" w:rsidRDefault="004B5565" w:rsidP="004B5565">
      <w:pPr>
        <w:spacing w:after="0" w:line="220" w:lineRule="exact"/>
        <w:rPr>
          <w:rFonts w:ascii="Times New Roman" w:eastAsia="Times New Roman" w:hAnsi="Times New Roman" w:cs="Times New Roman"/>
          <w:b/>
          <w:bCs/>
          <w:highlight w:val="green"/>
          <w:lang w:val="lt-LT" w:eastAsia="en-US"/>
        </w:rPr>
      </w:pPr>
    </w:p>
    <w:p w14:paraId="00FB20E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D2A1223" w14:textId="77777777" w:rsidR="004B5565" w:rsidRPr="00E82419" w:rsidRDefault="004B5565" w:rsidP="004B5565">
      <w:pPr>
        <w:keepNext/>
        <w:tabs>
          <w:tab w:val="left" w:pos="567"/>
        </w:tabs>
        <w:spacing w:after="0" w:line="240" w:lineRule="auto"/>
        <w:ind w:left="567" w:hanging="567"/>
        <w:outlineLvl w:val="1"/>
        <w:rPr>
          <w:rFonts w:ascii="Times New Roman" w:eastAsia="Times New Roman" w:hAnsi="Times New Roman" w:cs="Times New Roman"/>
          <w:b/>
          <w:caps/>
          <w:lang w:val="lt-LT" w:eastAsia="en-US"/>
        </w:rPr>
      </w:pPr>
      <w:bookmarkStart w:id="8" w:name="_Toc129243129"/>
      <w:bookmarkStart w:id="9" w:name="_Toc129243254"/>
      <w:r w:rsidRPr="00E82419">
        <w:rPr>
          <w:rFonts w:ascii="Times New Roman" w:eastAsia="Times New Roman" w:hAnsi="Times New Roman" w:cs="Times New Roman"/>
          <w:b/>
          <w:caps/>
          <w:lang w:val="lt-LT" w:eastAsia="en-US"/>
        </w:rPr>
        <w:t>B.</w:t>
      </w:r>
      <w:r w:rsidRPr="00E82419">
        <w:rPr>
          <w:rFonts w:ascii="Times New Roman" w:eastAsia="Times New Roman" w:hAnsi="Times New Roman" w:cs="Times New Roman"/>
          <w:b/>
          <w:caps/>
          <w:lang w:val="lt-LT" w:eastAsia="en-US"/>
        </w:rPr>
        <w:tab/>
        <w:t>TIEKIMO IR VARTOJIMO SĄLYGOS AR APRIBOJIMAI</w:t>
      </w:r>
      <w:bookmarkEnd w:id="8"/>
      <w:bookmarkEnd w:id="9"/>
    </w:p>
    <w:p w14:paraId="1206A8D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48873D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Receptinis vaistinis preparatas</w:t>
      </w:r>
      <w:r w:rsidR="004D4C15" w:rsidRPr="00E82419">
        <w:rPr>
          <w:rFonts w:ascii="Times New Roman" w:eastAsia="Times New Roman" w:hAnsi="Times New Roman" w:cs="Times New Roman"/>
          <w:lang w:val="lt-LT" w:eastAsia="en-US"/>
        </w:rPr>
        <w:t>.</w:t>
      </w:r>
    </w:p>
    <w:p w14:paraId="21D18F6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F76F2A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br w:type="page"/>
      </w:r>
    </w:p>
    <w:p w14:paraId="1148C0A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F13661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63F51C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630EA3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D968FF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41E730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F2F2A6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F7ABC5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297FFF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C428C1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004B8B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02E985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69768B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99850C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35EB8B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3E1B5B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5065C1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007DA5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850ECD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39BB44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75FC10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F7D6DC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9E960B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92FCB6F" w14:textId="77777777" w:rsidR="004B5565" w:rsidRPr="00E82419" w:rsidRDefault="004B5565" w:rsidP="004B5565">
      <w:pPr>
        <w:spacing w:after="0" w:line="240" w:lineRule="auto"/>
        <w:jc w:val="center"/>
        <w:outlineLvl w:val="0"/>
        <w:rPr>
          <w:rFonts w:ascii="Times New Roman" w:eastAsia="Times New Roman" w:hAnsi="Times New Roman" w:cs="Times New Roman"/>
          <w:b/>
          <w:kern w:val="28"/>
          <w:lang w:val="lt-LT" w:eastAsia="en-US"/>
        </w:rPr>
      </w:pPr>
      <w:r w:rsidRPr="00E82419">
        <w:rPr>
          <w:rFonts w:ascii="Times New Roman" w:eastAsia="Times New Roman" w:hAnsi="Times New Roman" w:cs="Times New Roman"/>
          <w:b/>
          <w:kern w:val="28"/>
          <w:lang w:val="lt-LT" w:eastAsia="en-US"/>
        </w:rPr>
        <w:t>III PRIEDAS</w:t>
      </w:r>
    </w:p>
    <w:p w14:paraId="099C267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67D2FA0"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ŽENKLINIMAS IR PAKUOTĖS LAPELIS</w:t>
      </w:r>
    </w:p>
    <w:p w14:paraId="4B98D90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br w:type="page"/>
      </w:r>
    </w:p>
    <w:p w14:paraId="41CABB7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986502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0BD70B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E99C4B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C1C8F1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EA9A9A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DDDB4F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D74775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81432D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9EFD00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00B851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4FE7FB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75F1E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1CD4E9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C4D728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300DF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89590C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CDF20E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6FDC76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0D86DD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FB021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D8BE12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A4A7DB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6C5FE25" w14:textId="77777777" w:rsidR="004B5565" w:rsidRPr="00E82419" w:rsidRDefault="004B5565" w:rsidP="004B5565">
      <w:pPr>
        <w:spacing w:after="0" w:line="240" w:lineRule="auto"/>
        <w:jc w:val="center"/>
        <w:outlineLvl w:val="0"/>
        <w:rPr>
          <w:rFonts w:ascii="Times New Roman" w:eastAsia="Times New Roman" w:hAnsi="Times New Roman" w:cs="Times New Roman"/>
          <w:b/>
          <w:kern w:val="28"/>
          <w:lang w:val="lt-LT" w:eastAsia="en-US"/>
        </w:rPr>
      </w:pPr>
      <w:r w:rsidRPr="00E82419">
        <w:rPr>
          <w:rFonts w:ascii="Times New Roman" w:eastAsia="Times New Roman" w:hAnsi="Times New Roman" w:cs="Times New Roman"/>
          <w:b/>
          <w:kern w:val="28"/>
          <w:lang w:val="lt-LT" w:eastAsia="en-US"/>
        </w:rPr>
        <w:t>A. ŽENKLINIMAS</w:t>
      </w:r>
    </w:p>
    <w:p w14:paraId="14B3A66A"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br w:type="page"/>
      </w:r>
      <w:r w:rsidRPr="00E82419">
        <w:rPr>
          <w:rFonts w:ascii="Times New Roman" w:eastAsia="Times New Roman" w:hAnsi="Times New Roman" w:cs="Times New Roman"/>
          <w:b/>
          <w:caps/>
          <w:lang w:val="lt-LT" w:eastAsia="en-US"/>
        </w:rPr>
        <w:lastRenderedPageBreak/>
        <w:t xml:space="preserve">INFORMACIJA ANT IŠORINĖS PAKUOTĖS </w:t>
      </w:r>
    </w:p>
    <w:p w14:paraId="4B03E33C" w14:textId="77777777" w:rsidR="004B5565" w:rsidRPr="00E82419" w:rsidRDefault="004B5565" w:rsidP="004B556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US"/>
        </w:rPr>
      </w:pPr>
    </w:p>
    <w:p w14:paraId="6F314D82" w14:textId="77777777" w:rsidR="004B5565" w:rsidRPr="00157E61" w:rsidRDefault="004B5565" w:rsidP="004B556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US"/>
        </w:rPr>
      </w:pPr>
      <w:r w:rsidRPr="00157E61">
        <w:rPr>
          <w:rFonts w:ascii="Times New Roman" w:eastAsia="Times New Roman" w:hAnsi="Times New Roman" w:cs="Times New Roman"/>
          <w:b/>
          <w:lang w:val="lt-LT" w:eastAsia="en-US"/>
        </w:rPr>
        <w:t>KARTONO DĖŽUTĖ</w:t>
      </w:r>
    </w:p>
    <w:p w14:paraId="517776D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F166D9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A76499D"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w:t>
      </w:r>
      <w:r w:rsidRPr="00E82419">
        <w:rPr>
          <w:rFonts w:ascii="Times New Roman" w:eastAsia="Times New Roman" w:hAnsi="Times New Roman" w:cs="Times New Roman"/>
          <w:b/>
          <w:lang w:val="lt-LT" w:eastAsia="en-US"/>
        </w:rPr>
        <w:tab/>
        <w:t>VAISTINIO PREPARATO PAVADINIMAS</w:t>
      </w:r>
    </w:p>
    <w:p w14:paraId="36F2E24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EDF9A4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250 mg/5 ml milteliai geriamajai suspensijai</w:t>
      </w:r>
    </w:p>
    <w:p w14:paraId="032D8F00" w14:textId="5C037489" w:rsidR="004B5565" w:rsidRPr="00E82419" w:rsidRDefault="008C6687" w:rsidP="004B5565">
      <w:pPr>
        <w:spacing w:after="0" w:line="240" w:lineRule="auto"/>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c</w:t>
      </w:r>
      <w:r w:rsidR="004B5565" w:rsidRPr="00E82419">
        <w:rPr>
          <w:rFonts w:ascii="Times New Roman" w:eastAsia="Times New Roman" w:hAnsi="Times New Roman" w:cs="Times New Roman"/>
          <w:lang w:val="lt-LT" w:eastAsia="en-US"/>
        </w:rPr>
        <w:t>efadro</w:t>
      </w:r>
      <w:r w:rsidR="00D7100D">
        <w:rPr>
          <w:rFonts w:ascii="Times New Roman" w:eastAsia="Times New Roman" w:hAnsi="Times New Roman" w:cs="Times New Roman"/>
          <w:lang w:val="lt-LT" w:eastAsia="en-US"/>
        </w:rPr>
        <w:t>ks</w:t>
      </w:r>
      <w:r w:rsidR="004B5565" w:rsidRPr="00E82419">
        <w:rPr>
          <w:rFonts w:ascii="Times New Roman" w:eastAsia="Times New Roman" w:hAnsi="Times New Roman" w:cs="Times New Roman"/>
          <w:lang w:val="lt-LT" w:eastAsia="en-US"/>
        </w:rPr>
        <w:t>il</w:t>
      </w:r>
      <w:r w:rsidR="00D7100D">
        <w:rPr>
          <w:rFonts w:ascii="Times New Roman" w:eastAsia="Times New Roman" w:hAnsi="Times New Roman" w:cs="Times New Roman"/>
          <w:lang w:val="lt-LT" w:eastAsia="en-US"/>
        </w:rPr>
        <w:t>is</w:t>
      </w:r>
    </w:p>
    <w:p w14:paraId="05D3AF3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4F6B8D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81ED0DE" w14:textId="77777777" w:rsidR="004B5565" w:rsidRPr="00E82419" w:rsidRDefault="004B5565" w:rsidP="00157E6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157E61">
        <w:rPr>
          <w:rFonts w:ascii="Times New Roman" w:eastAsia="Times New Roman" w:hAnsi="Times New Roman" w:cs="Times New Roman"/>
          <w:b/>
          <w:lang w:val="lt-LT" w:eastAsia="en-US"/>
        </w:rPr>
        <w:t>2.</w:t>
      </w:r>
      <w:r w:rsidRPr="00157E61">
        <w:rPr>
          <w:rFonts w:ascii="Times New Roman" w:eastAsia="Times New Roman" w:hAnsi="Times New Roman" w:cs="Times New Roman"/>
          <w:b/>
          <w:lang w:val="lt-LT" w:eastAsia="en-US"/>
        </w:rPr>
        <w:tab/>
        <w:t>VEIKLIOJI MEDŽIAGA IR JOS KIEKIS</w:t>
      </w:r>
      <w:r w:rsidRPr="00E82419">
        <w:rPr>
          <w:rFonts w:ascii="Times New Roman" w:eastAsia="Times New Roman" w:hAnsi="Times New Roman" w:cs="Times New Roman"/>
          <w:b/>
          <w:bdr w:val="single" w:sz="4" w:space="0" w:color="auto"/>
          <w:lang w:val="lt-LT" w:eastAsia="en-US"/>
        </w:rPr>
        <w:t xml:space="preserve"> </w:t>
      </w:r>
    </w:p>
    <w:p w14:paraId="413F900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E8547A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 ml (1 matavimo šaukšte) paruoštos geriamosios suspensijos yra 250 mg cefadroksilio (monohidrato pavidalu).</w:t>
      </w:r>
    </w:p>
    <w:p w14:paraId="1A1AB16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D1581A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D1CDD4F"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3.</w:t>
      </w:r>
      <w:r w:rsidRPr="00E82419">
        <w:rPr>
          <w:rFonts w:ascii="Times New Roman" w:eastAsia="Times New Roman" w:hAnsi="Times New Roman" w:cs="Times New Roman"/>
          <w:b/>
          <w:lang w:val="lt-LT" w:eastAsia="en-US"/>
        </w:rPr>
        <w:tab/>
        <w:t>PAGALBINIŲ MEDŽIAGŲ SĄRAŠAS</w:t>
      </w:r>
    </w:p>
    <w:p w14:paraId="2762E52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7FE17F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5171CA">
        <w:rPr>
          <w:rFonts w:ascii="Times New Roman" w:eastAsia="Times New Roman" w:hAnsi="Times New Roman" w:cs="Times New Roman"/>
          <w:lang w:val="lt-LT" w:eastAsia="en-US"/>
        </w:rPr>
        <w:t>Sudėtyje yra sacharozės</w:t>
      </w:r>
      <w:r w:rsidR="00FF3A23" w:rsidRPr="005171CA">
        <w:rPr>
          <w:rFonts w:ascii="Times New Roman" w:eastAsia="Times New Roman" w:hAnsi="Times New Roman" w:cs="Times New Roman"/>
          <w:lang w:val="lt-LT" w:eastAsia="en-US"/>
        </w:rPr>
        <w:t>, sorbitolio, sieros dioksido, etanolio.</w:t>
      </w:r>
    </w:p>
    <w:p w14:paraId="09EAD9F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1B8B42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5E3B9FE"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w:t>
      </w:r>
      <w:r w:rsidRPr="00E82419">
        <w:rPr>
          <w:rFonts w:ascii="Times New Roman" w:eastAsia="Times New Roman" w:hAnsi="Times New Roman" w:cs="Times New Roman"/>
          <w:b/>
          <w:lang w:val="lt-LT" w:eastAsia="en-US"/>
        </w:rPr>
        <w:tab/>
        <w:t>FARMACINĖ FORMA IR KIEKIS PAKUOTĖJE</w:t>
      </w:r>
    </w:p>
    <w:p w14:paraId="3C633B3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E35CD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45</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g miltelių 60</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geriamosios suspensijos ruošti</w:t>
      </w:r>
    </w:p>
    <w:p w14:paraId="3E6E406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6A8CEF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5197C27"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5.</w:t>
      </w:r>
      <w:r w:rsidRPr="00E82419">
        <w:rPr>
          <w:rFonts w:ascii="Times New Roman" w:eastAsia="Times New Roman" w:hAnsi="Times New Roman" w:cs="Times New Roman"/>
          <w:b/>
          <w:lang w:val="lt-LT" w:eastAsia="en-US"/>
        </w:rPr>
        <w:tab/>
        <w:t>VARTOJIMO METODAS IR BŪDAS</w:t>
      </w:r>
    </w:p>
    <w:p w14:paraId="2DBCBF82" w14:textId="77777777" w:rsidR="004B5565" w:rsidRPr="00E82419" w:rsidRDefault="004B5565" w:rsidP="004B5565">
      <w:pPr>
        <w:spacing w:after="0" w:line="240" w:lineRule="auto"/>
        <w:rPr>
          <w:rFonts w:ascii="Times New Roman" w:eastAsia="Times New Roman" w:hAnsi="Times New Roman" w:cs="Times New Roman"/>
          <w:highlight w:val="green"/>
          <w:lang w:val="lt-LT" w:eastAsia="en-US"/>
        </w:rPr>
      </w:pPr>
    </w:p>
    <w:p w14:paraId="3D0BA1D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Vartoti per burną.</w:t>
      </w:r>
    </w:p>
    <w:p w14:paraId="024B7C4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Prieš vartojimą perskaitykite pakuotės lapelį.</w:t>
      </w:r>
    </w:p>
    <w:p w14:paraId="24EAC5B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Prieš vartojimą gerai suplakti.</w:t>
      </w:r>
    </w:p>
    <w:p w14:paraId="5DAF0FB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FFAA5F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DBEB1D3"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w:t>
      </w:r>
      <w:r w:rsidRPr="00E82419">
        <w:rPr>
          <w:rFonts w:ascii="Times New Roman" w:eastAsia="Times New Roman" w:hAnsi="Times New Roman" w:cs="Times New Roman"/>
          <w:b/>
          <w:lang w:val="lt-LT" w:eastAsia="en-US"/>
        </w:rPr>
        <w:tab/>
        <w:t>SPECIALUS ĮSPĖJIMAS, KAD VAISTINĮ PREPARATĄ BŪTINA LAIKYTI VAIKAMS NEPASTEBIMOJE IR NEPASIEKIAMOJE VIETOJE</w:t>
      </w:r>
    </w:p>
    <w:p w14:paraId="47B8E07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A8815F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Laikyti vaikams nepastebimoje ir nepasiekiamoje vietoje.</w:t>
      </w:r>
    </w:p>
    <w:p w14:paraId="71BF6B4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784B9F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9DE69AF"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7.</w:t>
      </w:r>
      <w:r w:rsidRPr="00E82419">
        <w:rPr>
          <w:rFonts w:ascii="Times New Roman" w:eastAsia="Times New Roman" w:hAnsi="Times New Roman" w:cs="Times New Roman"/>
          <w:b/>
          <w:lang w:val="lt-LT" w:eastAsia="en-US"/>
        </w:rPr>
        <w:tab/>
        <w:t>KITAS SPECIALUS ĮSPĖJIMAS (JEI REIKIA)</w:t>
      </w:r>
    </w:p>
    <w:p w14:paraId="0489203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BA595F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A767F6B"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8.</w:t>
      </w:r>
      <w:r w:rsidRPr="00E82419">
        <w:rPr>
          <w:rFonts w:ascii="Times New Roman" w:eastAsia="Times New Roman" w:hAnsi="Times New Roman" w:cs="Times New Roman"/>
          <w:b/>
          <w:lang w:val="lt-LT" w:eastAsia="en-US"/>
        </w:rPr>
        <w:tab/>
        <w:t>TINKAMUMO LAIKAS</w:t>
      </w:r>
    </w:p>
    <w:p w14:paraId="6F02F42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F5E470D" w14:textId="77777777" w:rsidR="004B5565" w:rsidRPr="00E82419" w:rsidRDefault="00C53201" w:rsidP="004B5565">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EXP</w:t>
      </w:r>
      <w:r w:rsidR="004B5565" w:rsidRPr="00E82419">
        <w:rPr>
          <w:rFonts w:ascii="Times New Roman" w:eastAsia="Times New Roman" w:hAnsi="Times New Roman" w:cs="Times New Roman"/>
          <w:lang w:val="lt-LT" w:eastAsia="en-US"/>
        </w:rPr>
        <w:t xml:space="preserve"> </w:t>
      </w:r>
      <w:r w:rsidR="004B5565" w:rsidRPr="00E82419">
        <w:rPr>
          <w:rFonts w:ascii="Times New Roman" w:eastAsia="Times New Roman" w:hAnsi="Times New Roman" w:cs="Times New Roman"/>
          <w:lang w:val="lt-LT" w:eastAsia="en-US" w:bidi="he-IL"/>
        </w:rPr>
        <w:t>{mm</w:t>
      </w:r>
      <w:r w:rsidR="00000F67">
        <w:rPr>
          <w:rFonts w:ascii="Times New Roman" w:eastAsia="Times New Roman" w:hAnsi="Times New Roman" w:cs="Times New Roman"/>
          <w:lang w:val="lt-LT" w:eastAsia="en-US" w:bidi="he-IL"/>
        </w:rPr>
        <w:t>_</w:t>
      </w:r>
      <w:r w:rsidR="004B5565" w:rsidRPr="00E82419">
        <w:rPr>
          <w:rFonts w:ascii="Times New Roman" w:eastAsia="Times New Roman" w:hAnsi="Times New Roman" w:cs="Times New Roman"/>
          <w:lang w:val="lt-LT" w:eastAsia="en-US"/>
        </w:rPr>
        <w:t>MMMM</w:t>
      </w:r>
      <w:r w:rsidR="004B5565" w:rsidRPr="00E82419">
        <w:rPr>
          <w:rFonts w:ascii="Times New Roman" w:eastAsia="Times New Roman" w:hAnsi="Times New Roman" w:cs="Times New Roman"/>
          <w:lang w:val="lt-LT" w:eastAsia="en-US" w:bidi="he-IL"/>
        </w:rPr>
        <w:t>}</w:t>
      </w:r>
    </w:p>
    <w:p w14:paraId="3ED89C5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5171CA">
        <w:rPr>
          <w:rFonts w:ascii="Times New Roman" w:eastAsia="Times New Roman" w:hAnsi="Times New Roman" w:cs="Times New Roman"/>
          <w:lang w:val="lt-LT" w:eastAsia="en-US"/>
        </w:rPr>
        <w:t>Paruoštos suspensijos tinkamumo laikas – 14 parų.</w:t>
      </w:r>
    </w:p>
    <w:p w14:paraId="0AE9ACEF" w14:textId="77777777" w:rsidR="00261192" w:rsidRDefault="00261192" w:rsidP="00261192">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Paruoštą suspensiją reikia laikyti </w:t>
      </w:r>
      <w:r>
        <w:rPr>
          <w:rFonts w:ascii="Times New Roman" w:eastAsia="Times New Roman" w:hAnsi="Times New Roman" w:cs="Times New Roman"/>
          <w:lang w:val="lt-LT" w:eastAsia="en-US"/>
        </w:rPr>
        <w:t>šaldytuve (2º C - 8</w:t>
      </w:r>
      <w:r w:rsidRPr="00E82419">
        <w:rPr>
          <w:rFonts w:ascii="Times New Roman" w:eastAsia="Times New Roman" w:hAnsi="Times New Roman" w:cs="Times New Roman"/>
          <w:lang w:val="lt-LT" w:eastAsia="en-US"/>
        </w:rPr>
        <w:t> °C</w:t>
      </w:r>
      <w:r>
        <w:rPr>
          <w:rFonts w:ascii="Times New Roman" w:eastAsia="Times New Roman" w:hAnsi="Times New Roman" w:cs="Times New Roman"/>
          <w:lang w:val="lt-LT" w:eastAsia="en-US"/>
        </w:rPr>
        <w:t>).</w:t>
      </w:r>
    </w:p>
    <w:p w14:paraId="16F338B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BD355F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94BE64"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9.</w:t>
      </w:r>
      <w:r w:rsidRPr="00E82419">
        <w:rPr>
          <w:rFonts w:ascii="Times New Roman" w:eastAsia="Times New Roman" w:hAnsi="Times New Roman" w:cs="Times New Roman"/>
          <w:b/>
          <w:lang w:val="lt-LT" w:eastAsia="en-US"/>
        </w:rPr>
        <w:tab/>
        <w:t>SPECIALIOS LAIKYMO SĄLYGOS</w:t>
      </w:r>
    </w:p>
    <w:p w14:paraId="7658D2E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89EBF54" w14:textId="77777777" w:rsidR="00EA62A5" w:rsidRDefault="00EA62A5" w:rsidP="004B5565">
      <w:pPr>
        <w:spacing w:after="0" w:line="240" w:lineRule="auto"/>
        <w:rPr>
          <w:rFonts w:ascii="Times New Roman" w:eastAsia="Times New Roman" w:hAnsi="Times New Roman" w:cs="Times New Roman"/>
          <w:lang w:val="lt-LT" w:eastAsia="en-US"/>
        </w:rPr>
      </w:pPr>
      <w:r w:rsidRPr="00EA62A5">
        <w:rPr>
          <w:rFonts w:ascii="Times New Roman" w:eastAsia="Times New Roman" w:hAnsi="Times New Roman" w:cs="Times New Roman"/>
          <w:lang w:val="lt-LT" w:eastAsia="en-US"/>
        </w:rPr>
        <w:t xml:space="preserve">Laikyti ne aukštesnėje kaip 30°C temperatūroje. </w:t>
      </w:r>
    </w:p>
    <w:p w14:paraId="0D1EDF59" w14:textId="77777777" w:rsidR="00EA62A5" w:rsidRDefault="00EA62A5" w:rsidP="004B5565">
      <w:pPr>
        <w:spacing w:after="0" w:line="240" w:lineRule="auto"/>
        <w:rPr>
          <w:rFonts w:ascii="Times New Roman" w:eastAsia="Times New Roman" w:hAnsi="Times New Roman" w:cs="Times New Roman"/>
          <w:lang w:val="lt-LT" w:eastAsia="en-US"/>
        </w:rPr>
      </w:pPr>
      <w:r w:rsidRPr="00EA62A5">
        <w:rPr>
          <w:rFonts w:ascii="Times New Roman" w:eastAsia="Times New Roman" w:hAnsi="Times New Roman" w:cs="Times New Roman"/>
          <w:lang w:val="lt-LT" w:eastAsia="en-US"/>
        </w:rPr>
        <w:t xml:space="preserve">Buteliuką laikyti sandarų, kad </w:t>
      </w:r>
      <w:r>
        <w:rPr>
          <w:rFonts w:ascii="Times New Roman" w:eastAsia="Times New Roman" w:hAnsi="Times New Roman" w:cs="Times New Roman"/>
          <w:lang w:val="lt-LT" w:eastAsia="en-US"/>
        </w:rPr>
        <w:t>vaistas</w:t>
      </w:r>
      <w:r w:rsidRPr="00EA62A5">
        <w:rPr>
          <w:rFonts w:ascii="Times New Roman" w:eastAsia="Times New Roman" w:hAnsi="Times New Roman" w:cs="Times New Roman"/>
          <w:lang w:val="lt-LT" w:eastAsia="en-US"/>
        </w:rPr>
        <w:t xml:space="preserve"> būtų apsaugotas nuo šviesos ir drėgmės</w:t>
      </w:r>
      <w:r>
        <w:rPr>
          <w:rFonts w:ascii="Times New Roman" w:eastAsia="Times New Roman" w:hAnsi="Times New Roman" w:cs="Times New Roman"/>
          <w:lang w:val="lt-LT" w:eastAsia="en-US"/>
        </w:rPr>
        <w:t>.</w:t>
      </w:r>
    </w:p>
    <w:p w14:paraId="48F9DCD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49994E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F1F3E8"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10.</w:t>
      </w:r>
      <w:r w:rsidRPr="00E82419">
        <w:rPr>
          <w:rFonts w:ascii="Times New Roman" w:eastAsia="Times New Roman" w:hAnsi="Times New Roman" w:cs="Times New Roman"/>
          <w:b/>
          <w:lang w:val="lt-LT" w:eastAsia="en-US"/>
        </w:rPr>
        <w:tab/>
        <w:t xml:space="preserve">SPECIALIOS ATSARGUMO PRIEMONĖS DĖL NESUVARTOTO </w:t>
      </w:r>
      <w:r w:rsidRPr="00E82419">
        <w:rPr>
          <w:rFonts w:ascii="Times New Roman" w:eastAsia="Times New Roman" w:hAnsi="Times New Roman" w:cs="Times New Roman"/>
          <w:b/>
          <w:bCs/>
          <w:lang w:val="lt-LT" w:eastAsia="en-US"/>
        </w:rPr>
        <w:t xml:space="preserve">VAISTINIO PREPARATO AR JO ATLIEKŲ </w:t>
      </w:r>
      <w:r w:rsidRPr="00E82419">
        <w:rPr>
          <w:rFonts w:ascii="Times New Roman" w:eastAsia="Times New Roman" w:hAnsi="Times New Roman" w:cs="Times New Roman"/>
          <w:b/>
          <w:lang w:val="lt-LT" w:eastAsia="en-US"/>
        </w:rPr>
        <w:t>TVARKYMO (JEI REIKIA)</w:t>
      </w:r>
    </w:p>
    <w:p w14:paraId="1726AF2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21B050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19D9AF1" w14:textId="77777777" w:rsidR="004B5565" w:rsidRPr="00E82419" w:rsidRDefault="004B5565" w:rsidP="00157E6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157E61">
        <w:rPr>
          <w:rFonts w:ascii="Times New Roman" w:eastAsia="Times New Roman" w:hAnsi="Times New Roman" w:cs="Times New Roman"/>
          <w:b/>
          <w:lang w:val="lt-LT" w:eastAsia="en-US"/>
        </w:rPr>
        <w:t>11.</w:t>
      </w:r>
      <w:r w:rsidRPr="00157E61">
        <w:rPr>
          <w:rFonts w:ascii="Times New Roman" w:eastAsia="Times New Roman" w:hAnsi="Times New Roman" w:cs="Times New Roman"/>
          <w:b/>
          <w:lang w:val="lt-LT" w:eastAsia="en-US"/>
        </w:rPr>
        <w:tab/>
      </w:r>
      <w:r w:rsidR="004D4C15" w:rsidRPr="00E82419">
        <w:rPr>
          <w:rFonts w:ascii="Times New Roman" w:eastAsia="Times New Roman" w:hAnsi="Times New Roman" w:cs="Times New Roman"/>
          <w:b/>
          <w:lang w:val="lt-LT" w:eastAsia="en-US"/>
        </w:rPr>
        <w:t>REGISTRUOTOJO</w:t>
      </w:r>
      <w:r w:rsidRPr="00157E61">
        <w:rPr>
          <w:rFonts w:ascii="Times New Roman" w:eastAsia="Times New Roman" w:hAnsi="Times New Roman" w:cs="Times New Roman"/>
          <w:b/>
          <w:lang w:val="lt-LT" w:eastAsia="en-US"/>
        </w:rPr>
        <w:t xml:space="preserve"> PAVADINIMAS IR ADRESAS</w:t>
      </w:r>
    </w:p>
    <w:p w14:paraId="364DD38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2B818C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w:t>
      </w:r>
      <w:r w:rsidR="00B744FF">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GmbH</w:t>
      </w:r>
    </w:p>
    <w:p w14:paraId="4B9AD85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Biochemiestrasse10</w:t>
      </w:r>
    </w:p>
    <w:p w14:paraId="0E696F5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A-6250 Kundl</w:t>
      </w:r>
    </w:p>
    <w:p w14:paraId="7DE16D9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Austrija</w:t>
      </w:r>
    </w:p>
    <w:p w14:paraId="4C3625E7" w14:textId="77777777" w:rsidR="004B5565" w:rsidRPr="00E82419" w:rsidRDefault="004B5565" w:rsidP="004B5565">
      <w:pPr>
        <w:widowControl w:val="0"/>
        <w:spacing w:after="0" w:line="240" w:lineRule="auto"/>
        <w:rPr>
          <w:rFonts w:ascii="Times New Roman" w:eastAsia="Times New Roman" w:hAnsi="Times New Roman" w:cs="Times New Roman"/>
          <w:lang w:val="lt-LT" w:eastAsia="en-US"/>
        </w:rPr>
      </w:pPr>
    </w:p>
    <w:p w14:paraId="5458E60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17EB0CD"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12.</w:t>
      </w:r>
      <w:r w:rsidRPr="00E82419">
        <w:rPr>
          <w:rFonts w:ascii="Times New Roman" w:eastAsia="Times New Roman" w:hAnsi="Times New Roman" w:cs="Times New Roman"/>
          <w:b/>
          <w:lang w:val="lt-LT" w:eastAsia="en-US"/>
        </w:rPr>
        <w:tab/>
      </w:r>
      <w:r w:rsidR="004D4C15" w:rsidRPr="00E82419">
        <w:rPr>
          <w:rFonts w:ascii="Times New Roman" w:eastAsia="Times New Roman" w:hAnsi="Times New Roman" w:cs="Times New Roman"/>
          <w:b/>
          <w:lang w:val="lt-LT" w:eastAsia="en-US"/>
        </w:rPr>
        <w:t xml:space="preserve">REGISTRACIJOS </w:t>
      </w:r>
      <w:r w:rsidRPr="00E82419">
        <w:rPr>
          <w:rFonts w:ascii="Times New Roman" w:eastAsia="Times New Roman" w:hAnsi="Times New Roman" w:cs="Times New Roman"/>
          <w:b/>
          <w:lang w:val="lt-LT" w:eastAsia="en-US"/>
        </w:rPr>
        <w:t>PAŽYMĖJIMO NUMERIS</w:t>
      </w:r>
    </w:p>
    <w:p w14:paraId="2451A32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AEC102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LT/1/97/3479/001</w:t>
      </w:r>
    </w:p>
    <w:p w14:paraId="7D34F9A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45AE9D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ECAADE8"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13.</w:t>
      </w:r>
      <w:r w:rsidRPr="00E82419">
        <w:rPr>
          <w:rFonts w:ascii="Times New Roman" w:eastAsia="Times New Roman" w:hAnsi="Times New Roman" w:cs="Times New Roman"/>
          <w:b/>
          <w:lang w:val="lt-LT" w:eastAsia="en-US"/>
        </w:rPr>
        <w:tab/>
        <w:t>SERIJOS NUMERIS</w:t>
      </w:r>
    </w:p>
    <w:p w14:paraId="207E896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16A1261" w14:textId="77777777" w:rsidR="004B5565" w:rsidRPr="00E82419" w:rsidRDefault="00C53201" w:rsidP="004B5565">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Lot</w:t>
      </w:r>
      <w:r w:rsidRPr="00E82419">
        <w:rPr>
          <w:rFonts w:ascii="Times New Roman" w:eastAsia="Times New Roman" w:hAnsi="Times New Roman" w:cs="Times New Roman"/>
          <w:lang w:val="lt-LT" w:eastAsia="en-US"/>
        </w:rPr>
        <w:t xml:space="preserve"> </w:t>
      </w:r>
      <w:r w:rsidR="004B5565" w:rsidRPr="00E82419">
        <w:rPr>
          <w:rFonts w:ascii="Times New Roman" w:eastAsia="Times New Roman" w:hAnsi="Times New Roman" w:cs="Times New Roman"/>
          <w:lang w:val="lt-LT" w:eastAsia="en-US" w:bidi="he-IL"/>
        </w:rPr>
        <w:t>{numeris}</w:t>
      </w:r>
    </w:p>
    <w:p w14:paraId="4D4FE48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CFF38A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62E4E0B"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14.</w:t>
      </w:r>
      <w:r w:rsidRPr="00E82419">
        <w:rPr>
          <w:rFonts w:ascii="Times New Roman" w:eastAsia="Times New Roman" w:hAnsi="Times New Roman" w:cs="Times New Roman"/>
          <w:b/>
          <w:lang w:val="lt-LT" w:eastAsia="en-US"/>
        </w:rPr>
        <w:tab/>
        <w:t>PARDAVIMO (IŠDAVIMO) TVARKA</w:t>
      </w:r>
    </w:p>
    <w:p w14:paraId="2974C5E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FD7FFF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Receptinis vaist</w:t>
      </w:r>
      <w:r w:rsidR="00C53201">
        <w:rPr>
          <w:rFonts w:ascii="Times New Roman" w:eastAsia="Times New Roman" w:hAnsi="Times New Roman" w:cs="Times New Roman"/>
          <w:lang w:val="lt-LT" w:eastAsia="en-US"/>
        </w:rPr>
        <w:t>as</w:t>
      </w:r>
      <w:r w:rsidRPr="00E82419">
        <w:rPr>
          <w:rFonts w:ascii="Times New Roman" w:eastAsia="Times New Roman" w:hAnsi="Times New Roman" w:cs="Times New Roman"/>
          <w:lang w:val="lt-LT" w:eastAsia="en-US"/>
        </w:rPr>
        <w:t>.</w:t>
      </w:r>
    </w:p>
    <w:p w14:paraId="1C83553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567DD9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CACCAD0"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15.</w:t>
      </w:r>
      <w:r w:rsidRPr="00E82419">
        <w:rPr>
          <w:rFonts w:ascii="Times New Roman" w:eastAsia="Times New Roman" w:hAnsi="Times New Roman" w:cs="Times New Roman"/>
          <w:b/>
          <w:lang w:val="lt-LT" w:eastAsia="en-US"/>
        </w:rPr>
        <w:tab/>
        <w:t>VARTOJIMO INSTRUKCIJA</w:t>
      </w:r>
    </w:p>
    <w:p w14:paraId="7BED6932" w14:textId="77777777" w:rsidR="004B5565" w:rsidRPr="00E82419" w:rsidRDefault="004B5565" w:rsidP="004B5565">
      <w:pPr>
        <w:spacing w:after="0" w:line="240" w:lineRule="auto"/>
        <w:rPr>
          <w:rFonts w:ascii="Times New Roman" w:eastAsia="Times New Roman" w:hAnsi="Times New Roman" w:cs="Times New Roman"/>
          <w:color w:val="000000"/>
          <w:lang w:val="lt-LT" w:eastAsia="en-US"/>
        </w:rPr>
      </w:pPr>
    </w:p>
    <w:p w14:paraId="5DE9A8FC" w14:textId="77777777" w:rsidR="004B5565" w:rsidRPr="00E82419" w:rsidRDefault="004B5565" w:rsidP="004B5565">
      <w:pPr>
        <w:spacing w:after="0" w:line="240" w:lineRule="auto"/>
        <w:rPr>
          <w:rFonts w:ascii="Times New Roman" w:eastAsia="Times New Roman" w:hAnsi="Times New Roman" w:cs="Times New Roman"/>
          <w:color w:val="000000"/>
          <w:lang w:val="lt-LT" w:eastAsia="en-US"/>
        </w:rPr>
      </w:pPr>
    </w:p>
    <w:p w14:paraId="6804B545" w14:textId="77777777" w:rsidR="004B5565" w:rsidRPr="00E82419" w:rsidRDefault="004B5565" w:rsidP="004B55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olor w:val="000000"/>
          <w:lang w:val="lt-LT" w:eastAsia="en-US"/>
        </w:rPr>
      </w:pPr>
      <w:r w:rsidRPr="00E82419">
        <w:rPr>
          <w:rFonts w:ascii="Times New Roman" w:eastAsia="Times New Roman" w:hAnsi="Times New Roman" w:cs="Times New Roman"/>
          <w:b/>
          <w:color w:val="000000"/>
          <w:lang w:val="lt-LT" w:eastAsia="en-US"/>
        </w:rPr>
        <w:t>16.</w:t>
      </w:r>
      <w:r w:rsidRPr="00E82419">
        <w:rPr>
          <w:rFonts w:ascii="Times New Roman" w:eastAsia="Times New Roman" w:hAnsi="Times New Roman" w:cs="Times New Roman"/>
          <w:b/>
          <w:color w:val="000000"/>
          <w:lang w:val="lt-LT" w:eastAsia="en-US"/>
        </w:rPr>
        <w:tab/>
        <w:t>INFORMACIJA BRAILIO RAŠTU</w:t>
      </w:r>
    </w:p>
    <w:p w14:paraId="17AAFD39" w14:textId="77777777" w:rsidR="004B5565" w:rsidRPr="00E82419" w:rsidRDefault="004B5565" w:rsidP="004B5565">
      <w:pPr>
        <w:spacing w:after="0" w:line="240" w:lineRule="auto"/>
        <w:rPr>
          <w:rFonts w:ascii="Times New Roman" w:eastAsia="Times New Roman" w:hAnsi="Times New Roman" w:cs="Times New Roman"/>
          <w:color w:val="000000"/>
          <w:lang w:val="lt-LT" w:eastAsia="en-US"/>
        </w:rPr>
      </w:pPr>
    </w:p>
    <w:p w14:paraId="15C12F6E"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250 mg/5 ml</w:t>
      </w:r>
    </w:p>
    <w:p w14:paraId="2F45398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DBC83C1" w14:textId="77777777" w:rsidR="00F31F20" w:rsidRPr="00E82419" w:rsidRDefault="00F31F20" w:rsidP="00F31F20">
      <w:pPr>
        <w:spacing w:after="0" w:line="240" w:lineRule="auto"/>
        <w:rPr>
          <w:rFonts w:ascii="Times New Roman" w:eastAsia="Times New Roman" w:hAnsi="Times New Roman" w:cs="Times New Roman"/>
          <w:shd w:val="clear" w:color="auto" w:fill="CCCCCC"/>
          <w:lang w:val="lt-LT" w:eastAsia="lt-LT"/>
        </w:rPr>
      </w:pPr>
    </w:p>
    <w:p w14:paraId="14172DD3" w14:textId="77777777" w:rsidR="00F31F20" w:rsidRPr="00E82419" w:rsidRDefault="00F31F20" w:rsidP="00F31F2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szCs w:val="20"/>
          <w:lang w:val="lt-LT" w:eastAsia="lt-LT"/>
        </w:rPr>
      </w:pPr>
      <w:r w:rsidRPr="00E82419">
        <w:rPr>
          <w:rFonts w:ascii="Times New Roman" w:eastAsia="Times New Roman" w:hAnsi="Times New Roman" w:cs="Times New Roman"/>
          <w:b/>
          <w:szCs w:val="20"/>
          <w:lang w:val="lt-LT" w:eastAsia="lt-LT"/>
        </w:rPr>
        <w:t>17.</w:t>
      </w:r>
      <w:r w:rsidRPr="00E82419">
        <w:rPr>
          <w:rFonts w:ascii="Times New Roman" w:eastAsia="Times New Roman" w:hAnsi="Times New Roman" w:cs="Times New Roman"/>
          <w:b/>
          <w:szCs w:val="20"/>
          <w:lang w:val="lt-LT" w:eastAsia="lt-LT"/>
        </w:rPr>
        <w:tab/>
        <w:t>UNIKALUS IDENTIFIKATORIUS – 2D BRŪKŠNINIS KODAS</w:t>
      </w:r>
    </w:p>
    <w:p w14:paraId="5845BFA8" w14:textId="77777777" w:rsidR="00F31F20" w:rsidRPr="00C3267E" w:rsidRDefault="00F31F20" w:rsidP="00F31F20">
      <w:pPr>
        <w:spacing w:after="0" w:line="240" w:lineRule="auto"/>
        <w:rPr>
          <w:rFonts w:ascii="Times New Roman" w:hAnsi="Times New Roman"/>
          <w:lang w:val="lt-LT"/>
        </w:rPr>
      </w:pPr>
    </w:p>
    <w:p w14:paraId="06D67F3B" w14:textId="77777777" w:rsidR="00D61DF6" w:rsidRPr="00E82419" w:rsidRDefault="00D61DF6" w:rsidP="00D61DF6">
      <w:pPr>
        <w:spacing w:after="0" w:line="240" w:lineRule="auto"/>
        <w:rPr>
          <w:rFonts w:ascii="Times New Roman" w:eastAsia="Times New Roman" w:hAnsi="Times New Roman" w:cs="Times New Roman"/>
          <w:szCs w:val="20"/>
          <w:lang w:val="lt-LT" w:eastAsia="lt-LT"/>
        </w:rPr>
      </w:pPr>
      <w:r w:rsidRPr="00DC3365">
        <w:rPr>
          <w:rFonts w:ascii="Times New Roman" w:eastAsia="Times New Roman" w:hAnsi="Times New Roman" w:cs="Times New Roman"/>
          <w:highlight w:val="lightGray"/>
          <w:lang w:val="lt-LT" w:eastAsia="lt-LT" w:bidi="lt-LT"/>
        </w:rPr>
        <w:t>2D brūkšninis kodas su nurodytu unikaliu identifikatoriumi</w:t>
      </w:r>
    </w:p>
    <w:p w14:paraId="6DDB9CD3" w14:textId="77777777" w:rsidR="00F31F20" w:rsidRPr="00E82419" w:rsidRDefault="00F31F20" w:rsidP="00F31F20">
      <w:pPr>
        <w:spacing w:after="0" w:line="240" w:lineRule="auto"/>
        <w:rPr>
          <w:rFonts w:ascii="Times New Roman" w:eastAsia="Times New Roman" w:hAnsi="Times New Roman" w:cs="Times New Roman"/>
          <w:szCs w:val="20"/>
          <w:lang w:val="lt-LT" w:eastAsia="lt-LT"/>
        </w:rPr>
      </w:pPr>
    </w:p>
    <w:p w14:paraId="1D1C32CE" w14:textId="77777777" w:rsidR="00F31F20" w:rsidRPr="00E82419" w:rsidRDefault="00F31F20" w:rsidP="00F31F20">
      <w:pPr>
        <w:spacing w:after="0" w:line="240" w:lineRule="auto"/>
        <w:rPr>
          <w:rFonts w:ascii="Times New Roman" w:eastAsia="Times New Roman" w:hAnsi="Times New Roman" w:cs="Times New Roman"/>
          <w:szCs w:val="20"/>
          <w:lang w:val="lt-LT" w:eastAsia="lt-LT"/>
        </w:rPr>
      </w:pPr>
    </w:p>
    <w:p w14:paraId="5DD5CEE4" w14:textId="77777777" w:rsidR="00F31F20" w:rsidRPr="00E82419" w:rsidRDefault="00F31F20" w:rsidP="00F31F2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szCs w:val="20"/>
          <w:lang w:val="lt-LT" w:eastAsia="lt-LT"/>
        </w:rPr>
      </w:pPr>
      <w:r w:rsidRPr="00E82419">
        <w:rPr>
          <w:rFonts w:ascii="Times New Roman" w:eastAsia="Times New Roman" w:hAnsi="Times New Roman" w:cs="Times New Roman"/>
          <w:b/>
          <w:szCs w:val="20"/>
          <w:lang w:val="lt-LT" w:eastAsia="lt-LT"/>
        </w:rPr>
        <w:t>18.</w:t>
      </w:r>
      <w:r w:rsidRPr="00E82419">
        <w:rPr>
          <w:rFonts w:ascii="Times New Roman" w:eastAsia="Times New Roman" w:hAnsi="Times New Roman" w:cs="Times New Roman"/>
          <w:b/>
          <w:szCs w:val="20"/>
          <w:lang w:val="lt-LT" w:eastAsia="lt-LT"/>
        </w:rPr>
        <w:tab/>
        <w:t>UNIKALUS IDENTIFIKATORIUS – ŽMONĖMS SUPRANTAMI DUOMENYS</w:t>
      </w:r>
    </w:p>
    <w:p w14:paraId="6E6EFAA9" w14:textId="77777777" w:rsidR="00F31F20" w:rsidRPr="00C3267E" w:rsidRDefault="00F31F20" w:rsidP="00F31F20">
      <w:pPr>
        <w:spacing w:after="0" w:line="240" w:lineRule="auto"/>
        <w:rPr>
          <w:rFonts w:ascii="Times New Roman" w:hAnsi="Times New Roman"/>
          <w:lang w:val="lt-LT"/>
        </w:rPr>
      </w:pPr>
    </w:p>
    <w:p w14:paraId="32930C92" w14:textId="77777777" w:rsidR="00D61DF6" w:rsidRPr="003C7579" w:rsidRDefault="00D61DF6" w:rsidP="00D61DF6">
      <w:pPr>
        <w:tabs>
          <w:tab w:val="left" w:pos="567"/>
        </w:tabs>
        <w:spacing w:after="0" w:line="240" w:lineRule="auto"/>
        <w:contextualSpacing/>
        <w:rPr>
          <w:rFonts w:ascii="Times New Roman" w:eastAsia="Times New Roman" w:hAnsi="Times New Roman" w:cs="Times New Roman"/>
          <w:color w:val="008000"/>
          <w:lang w:val="lt-LT" w:eastAsia="lt-LT" w:bidi="lt-LT"/>
        </w:rPr>
      </w:pPr>
      <w:r w:rsidRPr="003C7579">
        <w:rPr>
          <w:rFonts w:ascii="Times New Roman" w:eastAsia="Times New Roman" w:hAnsi="Times New Roman" w:cs="Times New Roman"/>
          <w:lang w:val="lt-LT" w:eastAsia="lt-LT" w:bidi="lt-LT"/>
        </w:rPr>
        <w:t xml:space="preserve">PC: {numeris} </w:t>
      </w:r>
    </w:p>
    <w:p w14:paraId="4E561B86" w14:textId="77777777" w:rsidR="00D61DF6" w:rsidRPr="003C7579" w:rsidRDefault="00D61DF6" w:rsidP="00D61DF6">
      <w:pPr>
        <w:tabs>
          <w:tab w:val="left" w:pos="567"/>
        </w:tabs>
        <w:spacing w:after="0" w:line="240" w:lineRule="auto"/>
        <w:contextualSpacing/>
        <w:rPr>
          <w:rFonts w:ascii="Times New Roman" w:eastAsia="Times New Roman" w:hAnsi="Times New Roman" w:cs="Times New Roman"/>
          <w:lang w:val="lt-LT" w:eastAsia="lt-LT" w:bidi="lt-LT"/>
        </w:rPr>
      </w:pPr>
      <w:r w:rsidRPr="003C7579">
        <w:rPr>
          <w:rFonts w:ascii="Times New Roman" w:eastAsia="Times New Roman" w:hAnsi="Times New Roman" w:cs="Times New Roman"/>
          <w:lang w:val="lt-LT" w:eastAsia="lt-LT" w:bidi="lt-LT"/>
        </w:rPr>
        <w:t>SN: {numeris}</w:t>
      </w:r>
    </w:p>
    <w:p w14:paraId="586ABF64" w14:textId="77777777" w:rsidR="00D61DF6" w:rsidRPr="003C7579" w:rsidRDefault="00D61DF6" w:rsidP="00D61DF6">
      <w:pPr>
        <w:spacing w:after="0" w:line="240" w:lineRule="auto"/>
        <w:contextualSpacing/>
        <w:rPr>
          <w:rFonts w:ascii="Times New Roman" w:eastAsia="Times New Roman" w:hAnsi="Times New Roman" w:cs="Times New Roman"/>
          <w:lang w:val="lt-LT" w:eastAsia="en-US"/>
        </w:rPr>
      </w:pPr>
      <w:r w:rsidRPr="003C7579">
        <w:rPr>
          <w:rFonts w:ascii="Times New Roman" w:eastAsia="Times New Roman" w:hAnsi="Times New Roman" w:cs="Times New Roman"/>
          <w:highlight w:val="lightGray"/>
          <w:lang w:val="lt-LT" w:eastAsia="lt-LT" w:bidi="lt-LT"/>
        </w:rPr>
        <w:t>NN: {numeris}</w:t>
      </w:r>
    </w:p>
    <w:p w14:paraId="123D45C2" w14:textId="77777777" w:rsidR="00D61DF6" w:rsidRPr="00E82419" w:rsidRDefault="00D61DF6" w:rsidP="00D61DF6">
      <w:pPr>
        <w:spacing w:after="0" w:line="240" w:lineRule="auto"/>
        <w:rPr>
          <w:rFonts w:ascii="Times New Roman" w:eastAsia="Times New Roman" w:hAnsi="Times New Roman" w:cs="Times New Roman"/>
          <w:vanish/>
          <w:lang w:val="lt-LT" w:eastAsia="lt-LT"/>
        </w:rPr>
      </w:pPr>
    </w:p>
    <w:p w14:paraId="53A9E291"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br w:type="page"/>
      </w:r>
    </w:p>
    <w:p w14:paraId="3765AC45"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caps/>
          <w:lang w:val="lt-LT" w:eastAsia="en-US"/>
        </w:rPr>
      </w:pPr>
      <w:r w:rsidRPr="00E82419">
        <w:rPr>
          <w:rFonts w:ascii="Times New Roman" w:eastAsia="Times New Roman" w:hAnsi="Times New Roman" w:cs="Times New Roman"/>
          <w:b/>
          <w:caps/>
          <w:lang w:val="lt-LT" w:eastAsia="en-US"/>
        </w:rPr>
        <w:lastRenderedPageBreak/>
        <w:t xml:space="preserve">INFORMACIJA ANT VIDINĖS PAKUOTĖS </w:t>
      </w:r>
    </w:p>
    <w:p w14:paraId="528E9381" w14:textId="77777777" w:rsidR="004B5565" w:rsidRPr="00E82419" w:rsidRDefault="004B5565" w:rsidP="004B556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US"/>
        </w:rPr>
      </w:pPr>
    </w:p>
    <w:p w14:paraId="42BD9DCB" w14:textId="77777777" w:rsidR="004B5565" w:rsidRPr="00E82419" w:rsidRDefault="004B5565" w:rsidP="004B556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BUTELIUKO ETIKETĖ</w:t>
      </w:r>
    </w:p>
    <w:p w14:paraId="7F5B5E1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F35A76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8639E16"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w:t>
      </w:r>
      <w:r w:rsidRPr="00E82419">
        <w:rPr>
          <w:rFonts w:ascii="Times New Roman" w:eastAsia="Times New Roman" w:hAnsi="Times New Roman" w:cs="Times New Roman"/>
          <w:b/>
          <w:lang w:val="lt-LT" w:eastAsia="en-US"/>
        </w:rPr>
        <w:tab/>
        <w:t>VAISTINIO PREPARATO PAVADINIMAS</w:t>
      </w:r>
    </w:p>
    <w:p w14:paraId="20B4AE7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E95406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250 mg/5 ml milteliai geriamajai suspensijai</w:t>
      </w:r>
    </w:p>
    <w:p w14:paraId="4ED39178" w14:textId="37310E6A" w:rsidR="004B5565" w:rsidRPr="00E82419" w:rsidRDefault="008C6687" w:rsidP="004B5565">
      <w:pPr>
        <w:spacing w:after="0" w:line="240" w:lineRule="auto"/>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c</w:t>
      </w:r>
      <w:r w:rsidR="004B5565" w:rsidRPr="00E82419">
        <w:rPr>
          <w:rFonts w:ascii="Times New Roman" w:eastAsia="Times New Roman" w:hAnsi="Times New Roman" w:cs="Times New Roman"/>
          <w:lang w:val="lt-LT" w:eastAsia="en-US"/>
        </w:rPr>
        <w:t>efadro</w:t>
      </w:r>
      <w:r w:rsidR="00D7100D">
        <w:rPr>
          <w:rFonts w:ascii="Times New Roman" w:eastAsia="Times New Roman" w:hAnsi="Times New Roman" w:cs="Times New Roman"/>
          <w:lang w:val="lt-LT" w:eastAsia="en-US"/>
        </w:rPr>
        <w:t>ks</w:t>
      </w:r>
      <w:r w:rsidR="004B5565" w:rsidRPr="00E82419">
        <w:rPr>
          <w:rFonts w:ascii="Times New Roman" w:eastAsia="Times New Roman" w:hAnsi="Times New Roman" w:cs="Times New Roman"/>
          <w:lang w:val="lt-LT" w:eastAsia="en-US"/>
        </w:rPr>
        <w:t>il</w:t>
      </w:r>
      <w:r w:rsidR="00D7100D">
        <w:rPr>
          <w:rFonts w:ascii="Times New Roman" w:eastAsia="Times New Roman" w:hAnsi="Times New Roman" w:cs="Times New Roman"/>
          <w:lang w:val="lt-LT" w:eastAsia="en-US"/>
        </w:rPr>
        <w:t>is</w:t>
      </w:r>
    </w:p>
    <w:p w14:paraId="2580865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EAE2745" w14:textId="77777777" w:rsidR="004B5565" w:rsidRPr="00E82419" w:rsidRDefault="004B5565" w:rsidP="004B5565">
      <w:pPr>
        <w:keepNext/>
        <w:spacing w:after="0" w:line="240" w:lineRule="auto"/>
        <w:outlineLvl w:val="2"/>
        <w:rPr>
          <w:rFonts w:ascii="Times New Roman" w:eastAsia="Times New Roman" w:hAnsi="Times New Roman" w:cs="Times New Roman"/>
          <w:lang w:val="lt-LT" w:eastAsia="en-US"/>
        </w:rPr>
      </w:pPr>
    </w:p>
    <w:p w14:paraId="0A256B58" w14:textId="77777777" w:rsidR="004B5565" w:rsidRPr="00E82419" w:rsidRDefault="004B5565" w:rsidP="00157E6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157E61">
        <w:rPr>
          <w:rFonts w:ascii="Times New Roman" w:eastAsia="Times New Roman" w:hAnsi="Times New Roman" w:cs="Times New Roman"/>
          <w:b/>
          <w:lang w:val="lt-LT" w:eastAsia="en-US"/>
        </w:rPr>
        <w:t>2.</w:t>
      </w:r>
      <w:r w:rsidRPr="00157E61">
        <w:rPr>
          <w:rFonts w:ascii="Times New Roman" w:eastAsia="Times New Roman" w:hAnsi="Times New Roman" w:cs="Times New Roman"/>
          <w:b/>
          <w:lang w:val="lt-LT" w:eastAsia="en-US"/>
        </w:rPr>
        <w:tab/>
        <w:t>VEIKLIOJI MEDŽIAGA IR JOS KIEKIS</w:t>
      </w:r>
      <w:r w:rsidRPr="00E82419">
        <w:rPr>
          <w:rFonts w:ascii="Times New Roman" w:eastAsia="Times New Roman" w:hAnsi="Times New Roman" w:cs="Times New Roman"/>
          <w:b/>
          <w:bdr w:val="single" w:sz="4" w:space="0" w:color="auto"/>
          <w:lang w:val="lt-LT" w:eastAsia="en-US"/>
        </w:rPr>
        <w:t xml:space="preserve"> </w:t>
      </w:r>
    </w:p>
    <w:p w14:paraId="5893CA5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8C5338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055D0E8"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3.</w:t>
      </w:r>
      <w:r w:rsidRPr="00E82419">
        <w:rPr>
          <w:rFonts w:ascii="Times New Roman" w:eastAsia="Times New Roman" w:hAnsi="Times New Roman" w:cs="Times New Roman"/>
          <w:b/>
          <w:lang w:val="lt-LT" w:eastAsia="en-US"/>
        </w:rPr>
        <w:tab/>
        <w:t>PAGALBINIŲ MEDŽIAGŲ SĄRAŠAS</w:t>
      </w:r>
    </w:p>
    <w:p w14:paraId="773BFD1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36A418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E60301C"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w:t>
      </w:r>
      <w:r w:rsidRPr="00E82419">
        <w:rPr>
          <w:rFonts w:ascii="Times New Roman" w:eastAsia="Times New Roman" w:hAnsi="Times New Roman" w:cs="Times New Roman"/>
          <w:b/>
          <w:lang w:val="lt-LT" w:eastAsia="en-US"/>
        </w:rPr>
        <w:tab/>
        <w:t>FARMACINĖ FORMA IR KIEKIS PAKUOTĖJE</w:t>
      </w:r>
    </w:p>
    <w:p w14:paraId="3B225CC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04DA6B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45</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g miltelių 60</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geriamosios suspensijos ruošti</w:t>
      </w:r>
    </w:p>
    <w:p w14:paraId="2E00A5D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9E65B1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41F147"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5.</w:t>
      </w:r>
      <w:r w:rsidRPr="00E82419">
        <w:rPr>
          <w:rFonts w:ascii="Times New Roman" w:eastAsia="Times New Roman" w:hAnsi="Times New Roman" w:cs="Times New Roman"/>
          <w:b/>
          <w:lang w:val="lt-LT" w:eastAsia="en-US"/>
        </w:rPr>
        <w:tab/>
        <w:t>VARTOJIMO METODAS IR BŪDAS</w:t>
      </w:r>
    </w:p>
    <w:p w14:paraId="0DD1FBCD" w14:textId="77777777" w:rsidR="004B5565" w:rsidRPr="00E82419" w:rsidRDefault="004B5565" w:rsidP="004B5565">
      <w:pPr>
        <w:spacing w:after="0" w:line="240" w:lineRule="auto"/>
        <w:rPr>
          <w:rFonts w:ascii="Times New Roman" w:eastAsia="Times New Roman" w:hAnsi="Times New Roman" w:cs="Times New Roman"/>
          <w:highlight w:val="green"/>
          <w:lang w:val="lt-LT" w:eastAsia="en-US"/>
        </w:rPr>
      </w:pPr>
    </w:p>
    <w:p w14:paraId="4BB5942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Vartoti per burną.</w:t>
      </w:r>
    </w:p>
    <w:p w14:paraId="100099B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Prieš vartojimą perskaitykite pakuotės lapelį.</w:t>
      </w:r>
    </w:p>
    <w:p w14:paraId="0215F89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FEF97E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5A30582"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6.</w:t>
      </w:r>
      <w:r w:rsidRPr="00E82419">
        <w:rPr>
          <w:rFonts w:ascii="Times New Roman" w:eastAsia="Times New Roman" w:hAnsi="Times New Roman" w:cs="Times New Roman"/>
          <w:b/>
          <w:lang w:val="lt-LT" w:eastAsia="en-US"/>
        </w:rPr>
        <w:tab/>
        <w:t>SPECIALUS ĮSPĖJIMAS, KAD VAISTINĮ PREPARATĄ BŪTINA LAIKYTI VAIKAMS NEPASTEBIMOJE IR NEPASIEKIAMOJE VIETOJE</w:t>
      </w:r>
    </w:p>
    <w:p w14:paraId="1A172A7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5C5C43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F0564C6"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7.</w:t>
      </w:r>
      <w:r w:rsidRPr="00E82419">
        <w:rPr>
          <w:rFonts w:ascii="Times New Roman" w:eastAsia="Times New Roman" w:hAnsi="Times New Roman" w:cs="Times New Roman"/>
          <w:b/>
          <w:lang w:val="lt-LT" w:eastAsia="en-US"/>
        </w:rPr>
        <w:tab/>
        <w:t>KITAS SPECIALUS ĮSPĖJIMAS (JEI REIKIA)</w:t>
      </w:r>
    </w:p>
    <w:p w14:paraId="5CF7BDE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73CDC5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4DE1A39"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8.</w:t>
      </w:r>
      <w:r w:rsidRPr="00E82419">
        <w:rPr>
          <w:rFonts w:ascii="Times New Roman" w:eastAsia="Times New Roman" w:hAnsi="Times New Roman" w:cs="Times New Roman"/>
          <w:b/>
          <w:lang w:val="lt-LT" w:eastAsia="en-US"/>
        </w:rPr>
        <w:tab/>
        <w:t>TINKAMUMO LAIKAS</w:t>
      </w:r>
    </w:p>
    <w:p w14:paraId="37A0D90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0B26644" w14:textId="77777777" w:rsidR="004B5565" w:rsidRPr="00E82419" w:rsidRDefault="00C53201" w:rsidP="004B5565">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EXP</w:t>
      </w:r>
      <w:r w:rsidR="004B5565" w:rsidRPr="00E82419">
        <w:rPr>
          <w:rFonts w:ascii="Times New Roman" w:eastAsia="Times New Roman" w:hAnsi="Times New Roman" w:cs="Times New Roman"/>
          <w:lang w:val="lt-LT" w:eastAsia="en-US"/>
        </w:rPr>
        <w:t xml:space="preserve"> </w:t>
      </w:r>
      <w:r w:rsidR="004B5565" w:rsidRPr="00E82419">
        <w:rPr>
          <w:rFonts w:ascii="Times New Roman" w:eastAsia="Times New Roman" w:hAnsi="Times New Roman" w:cs="Times New Roman"/>
          <w:lang w:val="lt-LT" w:eastAsia="en-US" w:bidi="he-IL"/>
        </w:rPr>
        <w:t>{mm</w:t>
      </w:r>
      <w:r w:rsidR="00000F67">
        <w:rPr>
          <w:rFonts w:ascii="Times New Roman" w:eastAsia="Times New Roman" w:hAnsi="Times New Roman" w:cs="Times New Roman"/>
          <w:lang w:val="lt-LT" w:eastAsia="en-US" w:bidi="he-IL"/>
        </w:rPr>
        <w:t>_</w:t>
      </w:r>
      <w:r w:rsidR="004B5565" w:rsidRPr="00E82419">
        <w:rPr>
          <w:rFonts w:ascii="Times New Roman" w:eastAsia="Times New Roman" w:hAnsi="Times New Roman" w:cs="Times New Roman"/>
          <w:lang w:val="lt-LT" w:eastAsia="en-US"/>
        </w:rPr>
        <w:t>MMMM</w:t>
      </w:r>
      <w:r w:rsidR="004B5565" w:rsidRPr="00E82419">
        <w:rPr>
          <w:rFonts w:ascii="Times New Roman" w:eastAsia="Times New Roman" w:hAnsi="Times New Roman" w:cs="Times New Roman"/>
          <w:lang w:val="lt-LT" w:eastAsia="en-US" w:bidi="he-IL"/>
        </w:rPr>
        <w:t>}</w:t>
      </w:r>
    </w:p>
    <w:p w14:paraId="470A033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629230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3318E2C" w14:textId="77777777" w:rsidR="004B5565" w:rsidRPr="00E82419" w:rsidRDefault="004B5565" w:rsidP="00157E6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157E61">
        <w:rPr>
          <w:rFonts w:ascii="Times New Roman" w:eastAsia="Times New Roman" w:hAnsi="Times New Roman" w:cs="Times New Roman"/>
          <w:b/>
          <w:lang w:val="lt-LT" w:eastAsia="en-US"/>
        </w:rPr>
        <w:t>9.</w:t>
      </w:r>
      <w:r w:rsidRPr="00157E61">
        <w:rPr>
          <w:rFonts w:ascii="Times New Roman" w:eastAsia="Times New Roman" w:hAnsi="Times New Roman" w:cs="Times New Roman"/>
          <w:b/>
          <w:lang w:val="lt-LT" w:eastAsia="en-US"/>
        </w:rPr>
        <w:tab/>
        <w:t>SPECIALIOS LAIKYMO SĄLYGOS</w:t>
      </w:r>
    </w:p>
    <w:p w14:paraId="2F28048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D42810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B5C455A"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10.</w:t>
      </w:r>
      <w:r w:rsidRPr="00E82419">
        <w:rPr>
          <w:rFonts w:ascii="Times New Roman" w:eastAsia="Times New Roman" w:hAnsi="Times New Roman" w:cs="Times New Roman"/>
          <w:b/>
          <w:lang w:val="lt-LT" w:eastAsia="en-US"/>
        </w:rPr>
        <w:tab/>
        <w:t xml:space="preserve">SPECIALIOS ATSARGUMO PRIEMONĖS DĖL NESUVARTOTO </w:t>
      </w:r>
      <w:r w:rsidRPr="00E82419">
        <w:rPr>
          <w:rFonts w:ascii="Times New Roman" w:eastAsia="Times New Roman" w:hAnsi="Times New Roman" w:cs="Times New Roman"/>
          <w:b/>
          <w:bCs/>
          <w:lang w:val="lt-LT" w:eastAsia="en-US"/>
        </w:rPr>
        <w:t xml:space="preserve">VAISTINIO PREPARATO AR JO ATLIEKŲ </w:t>
      </w:r>
      <w:r w:rsidRPr="00E82419">
        <w:rPr>
          <w:rFonts w:ascii="Times New Roman" w:eastAsia="Times New Roman" w:hAnsi="Times New Roman" w:cs="Times New Roman"/>
          <w:b/>
          <w:lang w:val="lt-LT" w:eastAsia="en-US"/>
        </w:rPr>
        <w:t>TVARKYMO (JEI REIKIA)</w:t>
      </w:r>
    </w:p>
    <w:p w14:paraId="4DDD71C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36392B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E00A776" w14:textId="77777777" w:rsidR="004B5565" w:rsidRPr="00E82419" w:rsidRDefault="004B5565" w:rsidP="00157E6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157E61">
        <w:rPr>
          <w:rFonts w:ascii="Times New Roman" w:eastAsia="Times New Roman" w:hAnsi="Times New Roman" w:cs="Times New Roman"/>
          <w:b/>
          <w:lang w:val="lt-LT" w:eastAsia="en-US"/>
        </w:rPr>
        <w:t>11.</w:t>
      </w:r>
      <w:r w:rsidRPr="00157E61">
        <w:rPr>
          <w:rFonts w:ascii="Times New Roman" w:eastAsia="Times New Roman" w:hAnsi="Times New Roman" w:cs="Times New Roman"/>
          <w:b/>
          <w:lang w:val="lt-LT" w:eastAsia="en-US"/>
        </w:rPr>
        <w:tab/>
      </w:r>
      <w:r w:rsidR="004D4C15" w:rsidRPr="00E82419">
        <w:rPr>
          <w:rFonts w:ascii="Times New Roman" w:eastAsia="Times New Roman" w:hAnsi="Times New Roman" w:cs="Times New Roman"/>
          <w:b/>
          <w:lang w:val="lt-LT" w:eastAsia="en-US"/>
        </w:rPr>
        <w:t>REGISTRUOTOJO</w:t>
      </w:r>
      <w:r w:rsidRPr="00157E61">
        <w:rPr>
          <w:rFonts w:ascii="Times New Roman" w:eastAsia="Times New Roman" w:hAnsi="Times New Roman" w:cs="Times New Roman"/>
          <w:b/>
          <w:lang w:val="lt-LT" w:eastAsia="en-US"/>
        </w:rPr>
        <w:t xml:space="preserve"> PAVADINIMAS IR ADRESAS</w:t>
      </w:r>
    </w:p>
    <w:p w14:paraId="5A25350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071361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w:t>
      </w:r>
    </w:p>
    <w:p w14:paraId="72353904" w14:textId="77777777" w:rsidR="004B5565" w:rsidRPr="00E82419" w:rsidRDefault="004B5565" w:rsidP="004B5565">
      <w:pPr>
        <w:widowControl w:val="0"/>
        <w:spacing w:after="0" w:line="240" w:lineRule="auto"/>
        <w:rPr>
          <w:rFonts w:ascii="Times New Roman" w:eastAsia="Times New Roman" w:hAnsi="Times New Roman" w:cs="Times New Roman"/>
          <w:lang w:val="lt-LT" w:eastAsia="en-US"/>
        </w:rPr>
      </w:pPr>
    </w:p>
    <w:p w14:paraId="7ED949C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0F07D42"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12.</w:t>
      </w:r>
      <w:r w:rsidRPr="00E82419">
        <w:rPr>
          <w:rFonts w:ascii="Times New Roman" w:eastAsia="Times New Roman" w:hAnsi="Times New Roman" w:cs="Times New Roman"/>
          <w:b/>
          <w:lang w:val="lt-LT" w:eastAsia="en-US"/>
        </w:rPr>
        <w:tab/>
      </w:r>
      <w:r w:rsidR="004D4C15" w:rsidRPr="00E82419">
        <w:rPr>
          <w:rFonts w:ascii="Times New Roman" w:eastAsia="Times New Roman" w:hAnsi="Times New Roman" w:cs="Times New Roman"/>
          <w:b/>
          <w:lang w:val="lt-LT" w:eastAsia="en-US"/>
        </w:rPr>
        <w:t xml:space="preserve">REGISTRACIJOS </w:t>
      </w:r>
      <w:r w:rsidRPr="00E82419">
        <w:rPr>
          <w:rFonts w:ascii="Times New Roman" w:eastAsia="Times New Roman" w:hAnsi="Times New Roman" w:cs="Times New Roman"/>
          <w:b/>
          <w:lang w:val="lt-LT" w:eastAsia="en-US"/>
        </w:rPr>
        <w:t>PAŽYMĖJIMO NUMERIS</w:t>
      </w:r>
    </w:p>
    <w:p w14:paraId="550233B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0865B6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D6E5909"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13.</w:t>
      </w:r>
      <w:r w:rsidRPr="00E82419">
        <w:rPr>
          <w:rFonts w:ascii="Times New Roman" w:eastAsia="Times New Roman" w:hAnsi="Times New Roman" w:cs="Times New Roman"/>
          <w:b/>
          <w:lang w:val="lt-LT" w:eastAsia="en-US"/>
        </w:rPr>
        <w:tab/>
        <w:t>SERIJOS NUMERIS</w:t>
      </w:r>
    </w:p>
    <w:p w14:paraId="1D5A927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6B119FF" w14:textId="77777777" w:rsidR="004B5565" w:rsidRPr="00E82419" w:rsidRDefault="00C53201" w:rsidP="004B5565">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Lot</w:t>
      </w:r>
      <w:r w:rsidRPr="00E82419">
        <w:rPr>
          <w:rFonts w:ascii="Times New Roman" w:eastAsia="Times New Roman" w:hAnsi="Times New Roman" w:cs="Times New Roman"/>
          <w:lang w:val="lt-LT" w:eastAsia="en-US"/>
        </w:rPr>
        <w:t xml:space="preserve"> </w:t>
      </w:r>
      <w:r w:rsidR="004B5565" w:rsidRPr="00E82419">
        <w:rPr>
          <w:rFonts w:ascii="Times New Roman" w:eastAsia="Times New Roman" w:hAnsi="Times New Roman" w:cs="Times New Roman"/>
          <w:lang w:val="lt-LT" w:eastAsia="en-US" w:bidi="he-IL"/>
        </w:rPr>
        <w:t>{numeris}</w:t>
      </w:r>
    </w:p>
    <w:p w14:paraId="433F2BC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97F002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834CA7A"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14.</w:t>
      </w:r>
      <w:r w:rsidRPr="00E82419">
        <w:rPr>
          <w:rFonts w:ascii="Times New Roman" w:eastAsia="Times New Roman" w:hAnsi="Times New Roman" w:cs="Times New Roman"/>
          <w:b/>
          <w:lang w:val="lt-LT" w:eastAsia="en-US"/>
        </w:rPr>
        <w:tab/>
        <w:t>PARDAVIMO (IŠDAVIMO) TVARKA</w:t>
      </w:r>
    </w:p>
    <w:p w14:paraId="2C48980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7FCA84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2D13318" w14:textId="77777777" w:rsidR="004B5565" w:rsidRPr="00E82419" w:rsidRDefault="004B5565" w:rsidP="004B556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15.</w:t>
      </w:r>
      <w:r w:rsidRPr="00E82419">
        <w:rPr>
          <w:rFonts w:ascii="Times New Roman" w:eastAsia="Times New Roman" w:hAnsi="Times New Roman" w:cs="Times New Roman"/>
          <w:b/>
          <w:lang w:val="lt-LT" w:eastAsia="en-US"/>
        </w:rPr>
        <w:tab/>
        <w:t>VARTOJIMO INSTRUKCIJA</w:t>
      </w:r>
    </w:p>
    <w:p w14:paraId="1EA1DE4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br w:type="page"/>
      </w:r>
    </w:p>
    <w:p w14:paraId="42D963B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8D280F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EA9C99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2A75B2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95FE07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E325EF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D72E72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C19A0F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E405A7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5DAD54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733F28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EEC360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6E1969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75AF5D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7965B4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E3782C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2A13F5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F08FE2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70ABB1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1B83F8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46A776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373CEB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CCEE91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8D14604" w14:textId="77777777" w:rsidR="004B5565" w:rsidRPr="00E82419" w:rsidRDefault="004B5565" w:rsidP="004B556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10" w:name="_Toc129243137"/>
      <w:bookmarkStart w:id="11" w:name="_Toc129243262"/>
      <w:r w:rsidRPr="00E82419">
        <w:rPr>
          <w:rFonts w:ascii="Times New Roman" w:eastAsia="Times New Roman" w:hAnsi="Times New Roman" w:cs="Times New Roman"/>
          <w:b/>
          <w:caps/>
          <w:lang w:val="lt-LT" w:eastAsia="en-US"/>
        </w:rPr>
        <w:t>B. PAKUOTĖS LAPELIS</w:t>
      </w:r>
      <w:bookmarkEnd w:id="10"/>
      <w:bookmarkEnd w:id="11"/>
    </w:p>
    <w:p w14:paraId="4F77CA70"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lang w:val="lt-LT" w:eastAsia="en-US"/>
        </w:rPr>
        <w:br w:type="page"/>
      </w:r>
      <w:r w:rsidRPr="00E82419">
        <w:rPr>
          <w:rFonts w:ascii="Times New Roman" w:eastAsia="Times New Roman" w:hAnsi="Times New Roman" w:cs="Times New Roman"/>
          <w:b/>
          <w:lang w:val="lt-LT" w:eastAsia="en-US"/>
        </w:rPr>
        <w:lastRenderedPageBreak/>
        <w:t>Pakuotės lapelis: informacija vartotojui</w:t>
      </w:r>
      <w:bookmarkEnd w:id="0"/>
      <w:bookmarkEnd w:id="1"/>
    </w:p>
    <w:p w14:paraId="419E135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p>
    <w:p w14:paraId="6859A71B"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250 mg/5 ml milteliai geriamajai suspensijai</w:t>
      </w:r>
    </w:p>
    <w:p w14:paraId="526CAC38" w14:textId="5FCECA75" w:rsidR="004B5565" w:rsidRPr="00E82419" w:rsidRDefault="008C6687" w:rsidP="004B5565">
      <w:pPr>
        <w:spacing w:after="0" w:line="240" w:lineRule="auto"/>
        <w:jc w:val="center"/>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c</w:t>
      </w:r>
      <w:r w:rsidR="004B5565" w:rsidRPr="00E82419">
        <w:rPr>
          <w:rFonts w:ascii="Times New Roman" w:eastAsia="Times New Roman" w:hAnsi="Times New Roman" w:cs="Times New Roman"/>
          <w:lang w:val="lt-LT" w:eastAsia="en-US"/>
        </w:rPr>
        <w:t>efadroksilis</w:t>
      </w:r>
    </w:p>
    <w:p w14:paraId="2E17D26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2EEE4F9" w14:textId="77777777" w:rsidR="004B5565" w:rsidRPr="00E82419" w:rsidRDefault="004B5565" w:rsidP="004B5565">
      <w:pPr>
        <w:spacing w:after="0" w:line="240" w:lineRule="auto"/>
        <w:rPr>
          <w:rFonts w:ascii="Times New Roman" w:eastAsiaTheme="minorHAnsi" w:hAnsi="Times New Roman" w:cs="Times New Roman"/>
          <w:b/>
          <w:lang w:val="lt-LT" w:eastAsia="en-US"/>
        </w:rPr>
      </w:pPr>
      <w:r w:rsidRPr="00E82419">
        <w:rPr>
          <w:rFonts w:ascii="Times New Roman" w:eastAsiaTheme="minorHAnsi" w:hAnsi="Times New Roman" w:cs="Times New Roman"/>
          <w:b/>
          <w:lang w:val="lt-LT" w:eastAsia="en-US"/>
        </w:rPr>
        <w:t>Atidžiai perskaitykite visą šį lapelį, prieš pradėdami vartoti vaistą</w:t>
      </w:r>
      <w:r w:rsidR="004D4C15" w:rsidRPr="00E82419">
        <w:rPr>
          <w:rFonts w:ascii="Times New Roman" w:eastAsiaTheme="minorHAnsi" w:hAnsi="Times New Roman" w:cs="Times New Roman"/>
          <w:b/>
          <w:lang w:val="lt-LT" w:eastAsia="en-US"/>
        </w:rPr>
        <w:t>,</w:t>
      </w:r>
      <w:r w:rsidRPr="00E82419">
        <w:rPr>
          <w:rFonts w:ascii="Times New Roman" w:eastAsiaTheme="minorHAnsi" w:hAnsi="Times New Roman" w:cs="Times New Roman"/>
          <w:b/>
          <w:lang w:val="lt-LT" w:eastAsia="en-US"/>
        </w:rPr>
        <w:t xml:space="preserve"> nes jame pateikiama Jums svarbi informacija.</w:t>
      </w:r>
    </w:p>
    <w:p w14:paraId="01D30977" w14:textId="77777777" w:rsidR="004B5565" w:rsidRPr="00157E61" w:rsidRDefault="004B5565" w:rsidP="00157E61">
      <w:pPr>
        <w:pStyle w:val="Sraopastraipa"/>
        <w:numPr>
          <w:ilvl w:val="0"/>
          <w:numId w:val="10"/>
        </w:numPr>
        <w:ind w:left="567" w:hanging="567"/>
        <w:rPr>
          <w:rFonts w:eastAsiaTheme="minorHAnsi"/>
        </w:rPr>
      </w:pPr>
      <w:r w:rsidRPr="00157E61">
        <w:rPr>
          <w:rFonts w:eastAsiaTheme="minorHAnsi"/>
        </w:rPr>
        <w:t>Neišmeskite šio lapelio, nes vėl gali prireikti jį perskaityti.</w:t>
      </w:r>
    </w:p>
    <w:p w14:paraId="181EC804" w14:textId="77777777" w:rsidR="004B5565" w:rsidRPr="00157E61" w:rsidRDefault="004B5565" w:rsidP="00157E61">
      <w:pPr>
        <w:pStyle w:val="Sraopastraipa"/>
        <w:numPr>
          <w:ilvl w:val="0"/>
          <w:numId w:val="10"/>
        </w:numPr>
        <w:ind w:left="567" w:hanging="567"/>
        <w:rPr>
          <w:rFonts w:eastAsiaTheme="minorHAnsi"/>
        </w:rPr>
      </w:pPr>
      <w:r w:rsidRPr="00157E61">
        <w:rPr>
          <w:rFonts w:eastAsiaTheme="minorHAnsi"/>
        </w:rPr>
        <w:t>Jeigu kiltų daugiau klausimų, kreipkitės į gydytoją arba vaistininką.</w:t>
      </w:r>
    </w:p>
    <w:p w14:paraId="6FEBF441" w14:textId="77777777" w:rsidR="004B5565" w:rsidRPr="00157E61" w:rsidRDefault="004B5565" w:rsidP="00157E61">
      <w:pPr>
        <w:pStyle w:val="Sraopastraipa"/>
        <w:numPr>
          <w:ilvl w:val="0"/>
          <w:numId w:val="10"/>
        </w:numPr>
        <w:ind w:left="567" w:hanging="567"/>
        <w:rPr>
          <w:rFonts w:eastAsiaTheme="minorHAnsi"/>
        </w:rPr>
      </w:pPr>
      <w:r w:rsidRPr="00157E61">
        <w:rPr>
          <w:rFonts w:eastAsiaTheme="minorHAnsi"/>
        </w:rPr>
        <w:t>Šis vaistas skirtas tik Jums, todėl kitiems žmonėms jo duoti negalima. Vaistas gali jiems pakenkti (net tiems, kurių ligos požymiai yra tokie patys kaip Jūsų).</w:t>
      </w:r>
    </w:p>
    <w:p w14:paraId="4A06584D" w14:textId="77777777" w:rsidR="004B5565" w:rsidRPr="00157E61" w:rsidRDefault="004B5565" w:rsidP="00157E61">
      <w:pPr>
        <w:pStyle w:val="Sraopastraipa"/>
        <w:numPr>
          <w:ilvl w:val="0"/>
          <w:numId w:val="10"/>
        </w:numPr>
        <w:ind w:left="567" w:hanging="567"/>
        <w:rPr>
          <w:rFonts w:eastAsiaTheme="minorHAnsi"/>
        </w:rPr>
      </w:pPr>
      <w:r w:rsidRPr="00157E61">
        <w:rPr>
          <w:rFonts w:eastAsiaTheme="minorHAnsi"/>
        </w:rPr>
        <w:t>Jeigu pasireiškė šalutinis poveikis (net jeigu jis šiame lapelyje nenurodytas), kreipkitės į gydytoją arba vaistininką. Žr. 4 skyrių.</w:t>
      </w:r>
    </w:p>
    <w:p w14:paraId="70765105" w14:textId="77777777" w:rsidR="004B5565" w:rsidRPr="00E82419" w:rsidRDefault="004B5565" w:rsidP="004B5565">
      <w:pPr>
        <w:tabs>
          <w:tab w:val="left" w:pos="1296"/>
        </w:tabs>
        <w:spacing w:after="0" w:line="240" w:lineRule="auto"/>
        <w:rPr>
          <w:rFonts w:ascii="Times New Roman" w:eastAsiaTheme="minorHAnsi" w:hAnsi="Times New Roman" w:cs="Times New Roman"/>
          <w:lang w:val="lt-LT" w:eastAsia="en-US"/>
        </w:rPr>
      </w:pPr>
    </w:p>
    <w:p w14:paraId="060F1EDC" w14:textId="77777777" w:rsidR="004B5565" w:rsidRPr="00E82419" w:rsidRDefault="004B5565" w:rsidP="004B5565">
      <w:pPr>
        <w:tabs>
          <w:tab w:val="left" w:pos="567"/>
        </w:tabs>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Apie ką rašoma šiame lapelyje?</w:t>
      </w:r>
    </w:p>
    <w:p w14:paraId="0D1FA316" w14:textId="77777777" w:rsidR="004B5565" w:rsidRPr="00E82419" w:rsidRDefault="004B5565" w:rsidP="004B5565">
      <w:pPr>
        <w:tabs>
          <w:tab w:val="left" w:pos="567"/>
        </w:tabs>
        <w:spacing w:after="0" w:line="240" w:lineRule="auto"/>
        <w:rPr>
          <w:rFonts w:ascii="Times New Roman" w:eastAsia="Times New Roman" w:hAnsi="Times New Roman" w:cs="Times New Roman"/>
          <w:b/>
          <w:lang w:val="lt-LT" w:eastAsia="en-US"/>
        </w:rPr>
      </w:pPr>
    </w:p>
    <w:p w14:paraId="11C02935"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w:t>
      </w:r>
      <w:r w:rsidRPr="00E82419">
        <w:rPr>
          <w:rFonts w:ascii="Times New Roman" w:eastAsia="Times New Roman" w:hAnsi="Times New Roman" w:cs="Times New Roman"/>
          <w:lang w:val="lt-LT" w:eastAsia="en-US"/>
        </w:rPr>
        <w:tab/>
        <w:t>Kas yra Biodroxil ir kam jis vartojamas</w:t>
      </w:r>
    </w:p>
    <w:p w14:paraId="13F9A229"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r w:rsidRPr="00E82419">
        <w:rPr>
          <w:rFonts w:ascii="Times New Roman" w:eastAsia="Times New Roman" w:hAnsi="Times New Roman" w:cs="Times New Roman"/>
          <w:lang w:val="lt-LT" w:eastAsia="en-US"/>
        </w:rPr>
        <w:tab/>
        <w:t>Kas žinotina prieš vartojant Biodroxil</w:t>
      </w:r>
    </w:p>
    <w:p w14:paraId="6ACEB271"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w:t>
      </w:r>
      <w:r w:rsidRPr="00E82419">
        <w:rPr>
          <w:rFonts w:ascii="Times New Roman" w:eastAsia="Times New Roman" w:hAnsi="Times New Roman" w:cs="Times New Roman"/>
          <w:lang w:val="lt-LT" w:eastAsia="en-US"/>
        </w:rPr>
        <w:tab/>
        <w:t>Kaip vartoti Biodroxil</w:t>
      </w:r>
    </w:p>
    <w:p w14:paraId="16A0980F"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4.</w:t>
      </w:r>
      <w:r w:rsidRPr="00E82419">
        <w:rPr>
          <w:rFonts w:ascii="Times New Roman" w:eastAsia="Times New Roman" w:hAnsi="Times New Roman" w:cs="Times New Roman"/>
          <w:lang w:val="lt-LT" w:eastAsia="en-US"/>
        </w:rPr>
        <w:tab/>
        <w:t>Galimas šalutinis poveikis</w:t>
      </w:r>
    </w:p>
    <w:p w14:paraId="29F6266E"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w:t>
      </w:r>
      <w:r w:rsidRPr="00E82419">
        <w:rPr>
          <w:rFonts w:ascii="Times New Roman" w:eastAsia="Times New Roman" w:hAnsi="Times New Roman" w:cs="Times New Roman"/>
          <w:lang w:val="lt-LT" w:eastAsia="en-US"/>
        </w:rPr>
        <w:tab/>
        <w:t>Kaip laikyti Biodroxil</w:t>
      </w:r>
    </w:p>
    <w:p w14:paraId="632D1F87"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6.</w:t>
      </w:r>
      <w:r w:rsidRPr="00E82419">
        <w:rPr>
          <w:rFonts w:ascii="Times New Roman" w:eastAsia="Times New Roman" w:hAnsi="Times New Roman" w:cs="Times New Roman"/>
          <w:lang w:val="lt-LT" w:eastAsia="en-US"/>
        </w:rPr>
        <w:tab/>
        <w:t>Pakuotės turinys ir kita informacija</w:t>
      </w:r>
    </w:p>
    <w:p w14:paraId="551F688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0F96E10"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C003B0B"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w:t>
      </w:r>
      <w:r w:rsidRPr="00E82419">
        <w:rPr>
          <w:rFonts w:ascii="Times New Roman" w:eastAsia="Times New Roman" w:hAnsi="Times New Roman" w:cs="Times New Roman"/>
          <w:b/>
          <w:lang w:val="lt-LT" w:eastAsia="en-US"/>
        </w:rPr>
        <w:tab/>
        <w:t>Kas yra Biodroxil ir kam jis vartojamas</w:t>
      </w:r>
    </w:p>
    <w:p w14:paraId="5FE6100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801C04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 xml:space="preserve">Biodroxil veiklioji medžiaga yra cefadroksilis, </w:t>
      </w:r>
      <w:r w:rsidRPr="00E82419">
        <w:rPr>
          <w:rFonts w:ascii="Times New Roman" w:eastAsia="Times New Roman" w:hAnsi="Times New Roman" w:cs="Times New Roman"/>
          <w:lang w:val="lt-LT" w:eastAsia="en-US"/>
        </w:rPr>
        <w:t>cefalosporinų grupės antibiotikas. Cefalosporinai pažeidžia bakterijų ląstelių membranas ir tokiu būdu suardo augančias bakterijas.</w:t>
      </w:r>
    </w:p>
    <w:p w14:paraId="163A0E35" w14:textId="77777777" w:rsidR="004B5565" w:rsidRPr="00E82419" w:rsidRDefault="004B5565" w:rsidP="004B5565">
      <w:pPr>
        <w:spacing w:after="0" w:line="240" w:lineRule="auto"/>
        <w:rPr>
          <w:rFonts w:ascii="Times New Roman" w:eastAsia="Times New Roman" w:hAnsi="Times New Roman" w:cs="Times New Roman"/>
          <w:iCs/>
          <w:lang w:val="lt-LT" w:eastAsia="en-US"/>
        </w:rPr>
      </w:pPr>
    </w:p>
    <w:p w14:paraId="4C3FB363" w14:textId="77777777" w:rsidR="004B5565" w:rsidRPr="00E82419" w:rsidRDefault="004B5565" w:rsidP="004B5565">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lang w:val="lt-LT" w:eastAsia="en-US"/>
        </w:rPr>
        <w:t>Biodroxil vartojamas šioms jam jautrių bakterijų sukeltoms infekcinėms ligoms gydyti:</w:t>
      </w:r>
    </w:p>
    <w:p w14:paraId="42D1B648" w14:textId="77777777" w:rsidR="004B5565" w:rsidRPr="00E82419" w:rsidRDefault="004B5565" w:rsidP="004B5565">
      <w:pPr>
        <w:numPr>
          <w:ilvl w:val="0"/>
          <w:numId w:val="2"/>
        </w:numPr>
        <w:tabs>
          <w:tab w:val="left" w:pos="426"/>
        </w:tabs>
        <w:spacing w:after="0" w:line="240" w:lineRule="auto"/>
        <w:ind w:left="993"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kvėpavimo takų (tonzilių ir gerklės uždegimui);</w:t>
      </w:r>
    </w:p>
    <w:p w14:paraId="024AAF6B" w14:textId="77777777" w:rsidR="004B5565" w:rsidRPr="00E82419" w:rsidRDefault="004B5565" w:rsidP="007A7B3E">
      <w:pPr>
        <w:numPr>
          <w:ilvl w:val="0"/>
          <w:numId w:val="2"/>
        </w:numPr>
        <w:tabs>
          <w:tab w:val="left" w:pos="426"/>
        </w:tabs>
        <w:spacing w:after="0" w:line="240" w:lineRule="auto"/>
        <w:ind w:left="709" w:hanging="283"/>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odos ir minkštųjų audinių pūlinėms ligoms (jos vadinamos piodermija, impetiga, pūliniu, šunvote);</w:t>
      </w:r>
    </w:p>
    <w:p w14:paraId="06384563" w14:textId="77777777" w:rsidR="004B5565" w:rsidRPr="00E82419" w:rsidRDefault="004B5565" w:rsidP="004B5565">
      <w:pPr>
        <w:numPr>
          <w:ilvl w:val="0"/>
          <w:numId w:val="2"/>
        </w:numPr>
        <w:tabs>
          <w:tab w:val="left" w:pos="426"/>
        </w:tabs>
        <w:spacing w:after="0" w:line="240" w:lineRule="auto"/>
        <w:ind w:left="993"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šlapimo takų (šlapimo pūslės uždegimui, inkstų geldelių uždegimui).</w:t>
      </w:r>
    </w:p>
    <w:p w14:paraId="37CA8C35"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7071A24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Prireikus gydytojas prieš gydymą šiuo antibiotiku bei gydymo metu nustatys infekcinės ligos sukėlėjo jautrumą cefadroksiliui, ištirs Jūsų inkstų veiklą.</w:t>
      </w:r>
    </w:p>
    <w:p w14:paraId="526BC1A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AF11CA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EE60019" w14:textId="77777777" w:rsidR="004B5565" w:rsidRPr="00E82419" w:rsidRDefault="004B5565" w:rsidP="004B5565">
      <w:pPr>
        <w:spacing w:after="0" w:line="240" w:lineRule="auto"/>
        <w:ind w:left="567" w:hanging="567"/>
        <w:jc w:val="both"/>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2.</w:t>
      </w:r>
      <w:r w:rsidRPr="00E82419">
        <w:rPr>
          <w:rFonts w:ascii="Times New Roman" w:eastAsia="Times New Roman" w:hAnsi="Times New Roman" w:cs="Times New Roman"/>
          <w:b/>
          <w:lang w:val="lt-LT" w:eastAsia="en-US"/>
        </w:rPr>
        <w:tab/>
        <w:t>Kas žinotina prieš vartojant Biodroxil</w:t>
      </w:r>
    </w:p>
    <w:p w14:paraId="389EA476"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3918137E" w14:textId="1B39E53D"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 xml:space="preserve">Biodroxil vartoti </w:t>
      </w:r>
      <w:r w:rsidR="0072376C" w:rsidRPr="0072376C">
        <w:rPr>
          <w:rFonts w:ascii="Times New Roman" w:eastAsia="Times New Roman" w:hAnsi="Times New Roman" w:cs="Times New Roman"/>
          <w:b/>
          <w:lang w:val="lt-LT" w:eastAsia="en-US"/>
        </w:rPr>
        <w:t>draudžiama</w:t>
      </w:r>
      <w:r w:rsidRPr="00E82419">
        <w:rPr>
          <w:rFonts w:ascii="Times New Roman" w:eastAsia="Times New Roman" w:hAnsi="Times New Roman" w:cs="Times New Roman"/>
          <w:b/>
          <w:lang w:val="lt-LT" w:eastAsia="en-US"/>
        </w:rPr>
        <w:t>:</w:t>
      </w:r>
    </w:p>
    <w:p w14:paraId="6BB08D55" w14:textId="77777777" w:rsidR="004B5565" w:rsidRPr="00E82419" w:rsidRDefault="004B5565" w:rsidP="004B5565">
      <w:pPr>
        <w:tabs>
          <w:tab w:val="left" w:pos="567"/>
        </w:tabs>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ab/>
        <w:t>jeigu yra alergija cefadroksiliui arba bet kuriai pagalbinei šio vaisto medžiagai (jos išvardytos 6 skyriuje);</w:t>
      </w:r>
    </w:p>
    <w:p w14:paraId="6F2AD76F" w14:textId="77777777" w:rsidR="004B5565" w:rsidRPr="00E82419" w:rsidRDefault="004B5565" w:rsidP="004B5565">
      <w:pPr>
        <w:numPr>
          <w:ilvl w:val="0"/>
          <w:numId w:val="3"/>
        </w:numPr>
        <w:tabs>
          <w:tab w:val="left" w:pos="567"/>
        </w:tabs>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yra alergija bet kuriam kitam cefalosporinų grupės antibiotikui;</w:t>
      </w:r>
    </w:p>
    <w:p w14:paraId="5997AA58" w14:textId="77777777" w:rsidR="004B5565" w:rsidRPr="00E82419" w:rsidRDefault="004B5565" w:rsidP="004B5565">
      <w:pPr>
        <w:numPr>
          <w:ilvl w:val="0"/>
          <w:numId w:val="4"/>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yra buvusi sunki alerginė reakcija, kurią sukėlė penicilinai ar kiti beta laktaminiai antibiotikai.</w:t>
      </w:r>
    </w:p>
    <w:p w14:paraId="2A6ED6E6"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793702BA" w14:textId="77777777" w:rsidR="004B5565" w:rsidRPr="00E82419" w:rsidRDefault="004B5565" w:rsidP="004B5565">
      <w:pPr>
        <w:tabs>
          <w:tab w:val="left" w:pos="567"/>
        </w:tabs>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Įspėjimai ir atsargumo priemonės</w:t>
      </w:r>
    </w:p>
    <w:p w14:paraId="4E709D38"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Pasitarkite su gydytoju arba</w:t>
      </w:r>
      <w:r w:rsidR="00AF4217">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vaistininku, prieš pradėdami vartoti Biodroxil. Tai ypač svarbu, jeigu:</w:t>
      </w:r>
    </w:p>
    <w:p w14:paraId="514C4CBA" w14:textId="77777777" w:rsidR="004B5565" w:rsidRPr="00E82419" w:rsidRDefault="004B5565" w:rsidP="004B5565">
      <w:pPr>
        <w:numPr>
          <w:ilvl w:val="0"/>
          <w:numId w:val="6"/>
        </w:numPr>
        <w:tabs>
          <w:tab w:val="left" w:pos="567"/>
        </w:tabs>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praeityje yra buvusi astma arba sunki alerginė reakcija;</w:t>
      </w:r>
    </w:p>
    <w:p w14:paraId="77285E2C" w14:textId="77777777" w:rsidR="004B5565" w:rsidRPr="00E82419" w:rsidRDefault="004B5565" w:rsidP="007A7B3E">
      <w:pPr>
        <w:numPr>
          <w:ilvl w:val="0"/>
          <w:numId w:val="6"/>
        </w:numPr>
        <w:tabs>
          <w:tab w:val="left" w:pos="567"/>
        </w:tabs>
        <w:spacing w:after="0" w:line="240" w:lineRule="auto"/>
        <w:ind w:left="567" w:hanging="20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yra alergija penicilinų grupės antibiotikams, kadangi gali pasireikšti kryžminė alergija (ji galima 5-10</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 pacientų);</w:t>
      </w:r>
    </w:p>
    <w:p w14:paraId="62B1BFAF" w14:textId="77777777" w:rsidR="004B5565" w:rsidRPr="00E82419" w:rsidRDefault="004B5565" w:rsidP="007A7B3E">
      <w:pPr>
        <w:numPr>
          <w:ilvl w:val="0"/>
          <w:numId w:val="6"/>
        </w:numPr>
        <w:tabs>
          <w:tab w:val="left" w:pos="567"/>
        </w:tabs>
        <w:spacing w:after="0" w:line="240" w:lineRule="auto"/>
        <w:ind w:left="567" w:hanging="20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sergate sunkiu inkstų veiklos sutrikimu. Tokiu atveju reikia ilginti intervalus tarp dozių vartojimo (žr. skyriuje “Kaip vartoti Biodroxil“ pateiktą lentelę);</w:t>
      </w:r>
    </w:p>
    <w:p w14:paraId="58138699" w14:textId="77777777" w:rsidR="004B5565" w:rsidRPr="00E82419" w:rsidRDefault="004B5565" w:rsidP="007A7B3E">
      <w:pPr>
        <w:numPr>
          <w:ilvl w:val="0"/>
          <w:numId w:val="6"/>
        </w:numPr>
        <w:spacing w:after="0" w:line="240" w:lineRule="auto"/>
        <w:ind w:left="567" w:hanging="20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sergate sunkia, gyvybei pavojinga infekcine liga. Iš pradžių Jums turi būti skiriami leidžiami antibiotikai;</w:t>
      </w:r>
    </w:p>
    <w:p w14:paraId="001F7640" w14:textId="77777777" w:rsidR="004B5565" w:rsidRPr="00E82419" w:rsidRDefault="004B5565" w:rsidP="007A7B3E">
      <w:pPr>
        <w:numPr>
          <w:ilvl w:val="0"/>
          <w:numId w:val="6"/>
        </w:numPr>
        <w:spacing w:after="0" w:line="240" w:lineRule="auto"/>
        <w:ind w:left="56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lastRenderedPageBreak/>
        <w:t>praeityje sirgote sunkiu virškinimo trakto veiklos sutrikimu.</w:t>
      </w:r>
    </w:p>
    <w:p w14:paraId="5208207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1CD30779"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Vartojant, ypač ilgai, Biodroxil, kaip ir kitokių antibiotikų, gydytojas gali dažnai tirti kraujo ląstelių kiekį ir kepenų bei inkstų veiklą.</w:t>
      </w:r>
    </w:p>
    <w:p w14:paraId="66D26753"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30D2C81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Jei </w:t>
      </w:r>
      <w:r w:rsidRPr="00E82419">
        <w:rPr>
          <w:rFonts w:ascii="Times New Roman" w:eastAsia="Times New Roman" w:hAnsi="Times New Roman" w:cs="Times New Roman"/>
          <w:b/>
          <w:lang w:val="lt-LT" w:eastAsia="en-US"/>
        </w:rPr>
        <w:t>atsiranda alergijos požymių</w:t>
      </w:r>
      <w:r w:rsidRPr="00E82419">
        <w:rPr>
          <w:rFonts w:ascii="Times New Roman" w:eastAsia="Times New Roman" w:hAnsi="Times New Roman" w:cs="Times New Roman"/>
          <w:lang w:val="lt-LT" w:eastAsia="en-US"/>
        </w:rPr>
        <w:t xml:space="preserve"> (dilgėlinė, egzantema (išbėrimas), niežulys, kraujospūdžio mažėjimas, širdies ritmo padažnėjimas, kvėpavimo sutrikimas, kolapsas ar kt.), vaisto vartojimą būtina nutraukti ir kreiptis į gydytoją.</w:t>
      </w:r>
    </w:p>
    <w:p w14:paraId="215344F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289A86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viduriuojate, gali mažėti Biodroxil pasisavinimas organizme ir dėl to vaisto poveikis gali būti silpnesnis.</w:t>
      </w:r>
    </w:p>
    <w:p w14:paraId="460F184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C22CB2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Jeigu prasideda </w:t>
      </w:r>
      <w:r w:rsidRPr="00E82419">
        <w:rPr>
          <w:rFonts w:ascii="Times New Roman" w:eastAsia="Times New Roman" w:hAnsi="Times New Roman" w:cs="Times New Roman"/>
          <w:b/>
          <w:lang w:val="lt-LT" w:eastAsia="en-US"/>
        </w:rPr>
        <w:t>sunkus ir nepraeinantis viduriavimas</w:t>
      </w:r>
      <w:r w:rsidRPr="00E82419">
        <w:rPr>
          <w:rFonts w:ascii="Times New Roman" w:eastAsia="Times New Roman" w:hAnsi="Times New Roman" w:cs="Times New Roman"/>
          <w:lang w:val="lt-LT" w:eastAsia="en-US"/>
        </w:rPr>
        <w:t>, kreipkitės į gydytoją. Gydytojas ištirs, ar nėra pseudomembraninio kolito (infekcinio žarnyno uždegimo). Kadangi jis gali būti net pavojingas gyvybei, Biodroxil vartojimą būtina tuoj pat nutraukti ir pradėti vartoti tinkamų vaistų (pvz., kitokių antibiotikų). Žarnų veiklą slopinančių vaistų vartoti draudžiama.</w:t>
      </w:r>
    </w:p>
    <w:p w14:paraId="6DD8B14B" w14:textId="77777777" w:rsidR="004B5565" w:rsidRDefault="004B5565" w:rsidP="004B5565">
      <w:pPr>
        <w:spacing w:after="0" w:line="240" w:lineRule="auto"/>
        <w:rPr>
          <w:rFonts w:ascii="Times New Roman" w:eastAsia="Times New Roman" w:hAnsi="Times New Roman" w:cs="Times New Roman"/>
          <w:lang w:val="lt-LT" w:eastAsia="en-US"/>
        </w:rPr>
      </w:pPr>
    </w:p>
    <w:p w14:paraId="52B6A9D3" w14:textId="77777777" w:rsidR="003B6AC8" w:rsidRPr="003E7B9B" w:rsidRDefault="003B6AC8" w:rsidP="004B5565">
      <w:pPr>
        <w:spacing w:after="0" w:line="240" w:lineRule="auto"/>
        <w:rPr>
          <w:rFonts w:ascii="Times New Roman" w:eastAsia="Times New Roman" w:hAnsi="Times New Roman" w:cs="Times New Roman"/>
          <w:u w:val="single"/>
          <w:lang w:val="lt-LT" w:eastAsia="en-US"/>
        </w:rPr>
      </w:pPr>
      <w:bookmarkStart w:id="12" w:name="_Hlk163224690"/>
      <w:r w:rsidRPr="003E7B9B">
        <w:rPr>
          <w:rFonts w:ascii="Times New Roman" w:eastAsia="Times New Roman" w:hAnsi="Times New Roman" w:cs="Times New Roman"/>
          <w:u w:val="single"/>
          <w:lang w:val="lt-LT" w:eastAsia="en-US"/>
        </w:rPr>
        <w:t xml:space="preserve">Ypač atsargiai elkitės su Biodroxil: </w:t>
      </w:r>
    </w:p>
    <w:p w14:paraId="50FF4582" w14:textId="05C4838A" w:rsidR="003B6AC8" w:rsidRDefault="003B6AC8" w:rsidP="004B5565">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w:t>
      </w:r>
      <w:r w:rsidRPr="003B6AC8">
        <w:rPr>
          <w:rFonts w:ascii="Times New Roman" w:eastAsia="Times New Roman" w:hAnsi="Times New Roman" w:cs="Times New Roman"/>
          <w:lang w:val="lt-LT" w:eastAsia="en-US"/>
        </w:rPr>
        <w:t xml:space="preserve">ydant </w:t>
      </w:r>
      <w:r w:rsidR="00082870">
        <w:rPr>
          <w:rFonts w:ascii="Times New Roman" w:eastAsia="Times New Roman" w:hAnsi="Times New Roman" w:cs="Times New Roman"/>
          <w:lang w:val="lt-LT" w:eastAsia="en-US"/>
        </w:rPr>
        <w:t>beta laktamini</w:t>
      </w:r>
      <w:r w:rsidR="0010236A">
        <w:rPr>
          <w:rFonts w:ascii="Times New Roman" w:eastAsia="Times New Roman" w:hAnsi="Times New Roman" w:cs="Times New Roman"/>
          <w:lang w:val="lt-LT" w:eastAsia="en-US"/>
        </w:rPr>
        <w:t xml:space="preserve">ų grupės antibiotikais </w:t>
      </w:r>
      <w:r>
        <w:rPr>
          <w:rFonts w:ascii="Times New Roman" w:eastAsia="Times New Roman" w:hAnsi="Times New Roman" w:cs="Times New Roman"/>
          <w:lang w:val="lt-LT" w:eastAsia="en-US"/>
        </w:rPr>
        <w:t xml:space="preserve"> </w:t>
      </w:r>
      <w:r w:rsidRPr="003B6AC8">
        <w:rPr>
          <w:rFonts w:ascii="Times New Roman" w:eastAsia="Times New Roman" w:hAnsi="Times New Roman" w:cs="Times New Roman"/>
          <w:lang w:val="lt-LT" w:eastAsia="en-US"/>
        </w:rPr>
        <w:t xml:space="preserve">buvo pranešta apie sunkias odos reakcijas, įskaitant Stivenso-Džonsono sindromą, toksinę epidermio nekrolizę, vaistų </w:t>
      </w:r>
      <w:r w:rsidR="00630B06">
        <w:rPr>
          <w:rFonts w:ascii="Times New Roman" w:eastAsia="Times New Roman" w:hAnsi="Times New Roman" w:cs="Times New Roman"/>
          <w:lang w:val="lt-LT" w:eastAsia="en-US"/>
        </w:rPr>
        <w:t xml:space="preserve">sukeltą </w:t>
      </w:r>
      <w:r w:rsidRPr="003B6AC8">
        <w:rPr>
          <w:rFonts w:ascii="Times New Roman" w:eastAsia="Times New Roman" w:hAnsi="Times New Roman" w:cs="Times New Roman"/>
          <w:lang w:val="lt-LT" w:eastAsia="en-US"/>
        </w:rPr>
        <w:t>reakciją su eozinofilija ir sisteminiais simptomais (</w:t>
      </w:r>
      <w:r w:rsidR="00F3403B">
        <w:rPr>
          <w:rFonts w:ascii="Times New Roman" w:eastAsia="Times New Roman" w:hAnsi="Times New Roman" w:cs="Times New Roman"/>
          <w:lang w:val="lt-LT" w:eastAsia="en-US"/>
        </w:rPr>
        <w:t>V</w:t>
      </w:r>
      <w:r w:rsidRPr="003B6AC8">
        <w:rPr>
          <w:rFonts w:ascii="Times New Roman" w:eastAsia="Times New Roman" w:hAnsi="Times New Roman" w:cs="Times New Roman"/>
          <w:lang w:val="lt-LT" w:eastAsia="en-US"/>
        </w:rPr>
        <w:t>RESS)</w:t>
      </w:r>
      <w:r w:rsidR="00800DD0">
        <w:rPr>
          <w:rFonts w:ascii="Times New Roman" w:eastAsia="Times New Roman" w:hAnsi="Times New Roman" w:cs="Times New Roman"/>
          <w:lang w:val="lt-LT" w:eastAsia="en-US"/>
        </w:rPr>
        <w:t xml:space="preserve"> </w:t>
      </w:r>
      <w:r w:rsidR="00800DD0" w:rsidRPr="007D115B">
        <w:rPr>
          <w:rFonts w:ascii="Times New Roman" w:eastAsia="Times New Roman" w:hAnsi="Times New Roman" w:cs="Times New Roman"/>
          <w:lang w:eastAsia="en-US"/>
        </w:rPr>
        <w:t>ir ūmin</w:t>
      </w:r>
      <w:r w:rsidR="000E4293">
        <w:rPr>
          <w:rFonts w:ascii="Times New Roman" w:eastAsia="Times New Roman" w:hAnsi="Times New Roman" w:cs="Times New Roman"/>
          <w:lang w:eastAsia="en-US"/>
        </w:rPr>
        <w:t>ę</w:t>
      </w:r>
      <w:r w:rsidR="00800DD0" w:rsidRPr="007D115B">
        <w:rPr>
          <w:rFonts w:ascii="Times New Roman" w:eastAsia="Times New Roman" w:hAnsi="Times New Roman" w:cs="Times New Roman"/>
          <w:lang w:eastAsia="en-US"/>
        </w:rPr>
        <w:t xml:space="preserve"> generalizuot</w:t>
      </w:r>
      <w:r w:rsidR="000E4293">
        <w:rPr>
          <w:rFonts w:ascii="Times New Roman" w:eastAsia="Times New Roman" w:hAnsi="Times New Roman" w:cs="Times New Roman"/>
          <w:lang w:eastAsia="en-US"/>
        </w:rPr>
        <w:t>ą</w:t>
      </w:r>
      <w:r w:rsidR="00800DD0" w:rsidRPr="007D115B">
        <w:rPr>
          <w:rFonts w:ascii="Times New Roman" w:eastAsia="Times New Roman" w:hAnsi="Times New Roman" w:cs="Times New Roman"/>
          <w:lang w:eastAsia="en-US"/>
        </w:rPr>
        <w:t xml:space="preserve"> egzantemin</w:t>
      </w:r>
      <w:r w:rsidR="000E4293">
        <w:rPr>
          <w:rFonts w:ascii="Times New Roman" w:eastAsia="Times New Roman" w:hAnsi="Times New Roman" w:cs="Times New Roman"/>
          <w:lang w:eastAsia="en-US"/>
        </w:rPr>
        <w:t>ę</w:t>
      </w:r>
      <w:r w:rsidR="00800DD0" w:rsidRPr="007D115B">
        <w:rPr>
          <w:rFonts w:ascii="Times New Roman" w:eastAsia="Times New Roman" w:hAnsi="Times New Roman" w:cs="Times New Roman"/>
          <w:lang w:eastAsia="en-US"/>
        </w:rPr>
        <w:t xml:space="preserve"> pustulioz</w:t>
      </w:r>
      <w:r w:rsidR="000E4293">
        <w:rPr>
          <w:rFonts w:ascii="Times New Roman" w:eastAsia="Times New Roman" w:hAnsi="Times New Roman" w:cs="Times New Roman"/>
          <w:lang w:eastAsia="en-US"/>
        </w:rPr>
        <w:t>ę</w:t>
      </w:r>
      <w:r w:rsidR="00800DD0" w:rsidRPr="007D115B">
        <w:rPr>
          <w:rFonts w:ascii="Times New Roman" w:eastAsia="Times New Roman" w:hAnsi="Times New Roman" w:cs="Times New Roman"/>
          <w:lang w:eastAsia="en-US"/>
        </w:rPr>
        <w:t xml:space="preserve"> (</w:t>
      </w:r>
      <w:r w:rsidR="00800DD0">
        <w:rPr>
          <w:rFonts w:ascii="Times New Roman" w:eastAsia="Times New Roman" w:hAnsi="Times New Roman" w:cs="Times New Roman"/>
          <w:lang w:eastAsia="en-US"/>
        </w:rPr>
        <w:t>Ū</w:t>
      </w:r>
      <w:r w:rsidR="00800DD0" w:rsidRPr="007D115B">
        <w:rPr>
          <w:rFonts w:ascii="Times New Roman" w:eastAsia="Times New Roman" w:hAnsi="Times New Roman" w:cs="Times New Roman"/>
          <w:lang w:eastAsia="en-US"/>
        </w:rPr>
        <w:t>GEP)</w:t>
      </w:r>
      <w:r w:rsidRPr="003B6AC8">
        <w:rPr>
          <w:rFonts w:ascii="Times New Roman" w:eastAsia="Times New Roman" w:hAnsi="Times New Roman" w:cs="Times New Roman"/>
          <w:lang w:val="lt-LT" w:eastAsia="en-US"/>
        </w:rPr>
        <w:t xml:space="preserve">. </w:t>
      </w:r>
      <w:r w:rsidR="00EC33E2">
        <w:rPr>
          <w:rFonts w:ascii="Times New Roman" w:eastAsia="Times New Roman" w:hAnsi="Times New Roman" w:cs="Times New Roman"/>
          <w:lang w:val="lt-LT" w:eastAsia="en-US"/>
        </w:rPr>
        <w:t>Nustokite vartoti cefadroksilio ir n</w:t>
      </w:r>
      <w:r w:rsidRPr="003B6AC8">
        <w:rPr>
          <w:rFonts w:ascii="Times New Roman" w:eastAsia="Times New Roman" w:hAnsi="Times New Roman" w:cs="Times New Roman"/>
          <w:lang w:val="lt-LT" w:eastAsia="en-US"/>
        </w:rPr>
        <w:t>edelsdami kreipkitės į gydytoją, jei pastebėjote bet kurį su šiomis sunkiomis odos reakcijomis susijusį simptomą</w:t>
      </w:r>
      <w:r w:rsidR="00EC33E2">
        <w:rPr>
          <w:rFonts w:ascii="Times New Roman" w:eastAsia="Times New Roman" w:hAnsi="Times New Roman" w:cs="Times New Roman"/>
          <w:lang w:val="lt-LT" w:eastAsia="en-US"/>
        </w:rPr>
        <w:t xml:space="preserve"> (žr. skyrių 4)</w:t>
      </w:r>
      <w:r w:rsidRPr="003B6AC8">
        <w:rPr>
          <w:rFonts w:ascii="Times New Roman" w:eastAsia="Times New Roman" w:hAnsi="Times New Roman" w:cs="Times New Roman"/>
          <w:lang w:val="lt-LT" w:eastAsia="en-US"/>
        </w:rPr>
        <w:t>.</w:t>
      </w:r>
    </w:p>
    <w:bookmarkEnd w:id="12"/>
    <w:p w14:paraId="26561B80" w14:textId="77777777" w:rsidR="003B6AC8" w:rsidRPr="00E82419" w:rsidRDefault="003B6AC8" w:rsidP="004B5565">
      <w:pPr>
        <w:spacing w:after="0" w:line="240" w:lineRule="auto"/>
        <w:rPr>
          <w:rFonts w:ascii="Times New Roman" w:eastAsia="Times New Roman" w:hAnsi="Times New Roman" w:cs="Times New Roman"/>
          <w:lang w:val="lt-LT" w:eastAsia="en-US"/>
        </w:rPr>
      </w:pPr>
    </w:p>
    <w:p w14:paraId="2D167C70"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Kiti vaistai ir Biodroxil</w:t>
      </w:r>
    </w:p>
    <w:p w14:paraId="52B0A7A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vartojate ar neseniai vartojote kitų vaistų arba dėl to nesate tikri, pasakykite gydytojui arba vaistininkui.</w:t>
      </w:r>
    </w:p>
    <w:p w14:paraId="5E1BCE9C"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6BD231E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Biodroxil</w:t>
      </w:r>
      <w:r w:rsidRPr="00E82419">
        <w:rPr>
          <w:rFonts w:ascii="Times New Roman" w:eastAsia="Times New Roman" w:hAnsi="Times New Roman" w:cs="Times New Roman"/>
          <w:lang w:val="lt-LT" w:eastAsia="en-US"/>
        </w:rPr>
        <w:t xml:space="preserve"> negalima vartoti kartu šiais vaistais:</w:t>
      </w:r>
    </w:p>
    <w:p w14:paraId="79D24994" w14:textId="77777777" w:rsidR="004B5565" w:rsidRPr="00E82419" w:rsidRDefault="004B5565" w:rsidP="004B5565">
      <w:pPr>
        <w:numPr>
          <w:ilvl w:val="0"/>
          <w:numId w:val="7"/>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antibiotikais, kurie slopina bakterijų dauginimąsi (pvz., tetraciklinais, eritromicinu, sulfamidais, chloramfenikoliu). Kartu vartojami šie vaistai gali sutrikdyti vieni kitų veikimą.</w:t>
      </w:r>
    </w:p>
    <w:p w14:paraId="135DB5F8" w14:textId="77777777" w:rsidR="004B5565" w:rsidRPr="00E82419" w:rsidRDefault="004B5565" w:rsidP="004B5565">
      <w:pPr>
        <w:numPr>
          <w:ilvl w:val="0"/>
          <w:numId w:val="7"/>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kai kuriais kitais antibiotikais (aminoglikozidais, polimiksinu B, kolistinu). Gali sustiprėti toksinis poveikis inkstams.</w:t>
      </w:r>
    </w:p>
    <w:p w14:paraId="0D1AA0AC" w14:textId="77777777" w:rsidR="004B5565" w:rsidRPr="00E82419" w:rsidRDefault="004B5565" w:rsidP="004B5565">
      <w:pPr>
        <w:numPr>
          <w:ilvl w:val="0"/>
          <w:numId w:val="7"/>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kai kuriais diuretikais (šlapimą varančiais vaistais), vartojamais didelėmis dozėmis. </w:t>
      </w:r>
      <w:r w:rsidRPr="00E82419">
        <w:rPr>
          <w:rFonts w:ascii="Times New Roman" w:eastAsia="Times New Roman" w:hAnsi="Times New Roman" w:cs="Times New Roman"/>
          <w:bCs/>
          <w:lang w:val="lt-LT" w:eastAsia="en-US"/>
        </w:rPr>
        <w:t>G</w:t>
      </w:r>
      <w:r w:rsidRPr="00E82419">
        <w:rPr>
          <w:rFonts w:ascii="Times New Roman" w:eastAsia="Times New Roman" w:hAnsi="Times New Roman" w:cs="Times New Roman"/>
          <w:lang w:val="lt-LT" w:eastAsia="en-US"/>
        </w:rPr>
        <w:t>ali sustiprėti toksinis poveikis inkstams.</w:t>
      </w:r>
    </w:p>
    <w:p w14:paraId="5192951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F6E6C71"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Pasakykite gydytojui arba vaistininkui, jeigu vartojate kurio nors iš šių vaistų:</w:t>
      </w:r>
    </w:p>
    <w:p w14:paraId="4A432A21" w14:textId="77777777" w:rsidR="004B5565" w:rsidRPr="00E82419" w:rsidRDefault="004B5565" w:rsidP="004B5565">
      <w:pPr>
        <w:numPr>
          <w:ilvl w:val="0"/>
          <w:numId w:val="8"/>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probenecido (</w:t>
      </w:r>
      <w:r w:rsidR="00261365">
        <w:rPr>
          <w:rFonts w:ascii="Times New Roman" w:eastAsia="Times New Roman" w:hAnsi="Times New Roman" w:cs="Times New Roman"/>
          <w:lang w:val="lt-LT" w:eastAsia="en-US"/>
        </w:rPr>
        <w:t xml:space="preserve">nuo </w:t>
      </w:r>
      <w:r w:rsidRPr="00E82419">
        <w:rPr>
          <w:rFonts w:ascii="Times New Roman" w:eastAsia="Times New Roman" w:hAnsi="Times New Roman" w:cs="Times New Roman"/>
          <w:lang w:val="lt-LT" w:eastAsia="en-US"/>
        </w:rPr>
        <w:t>podagr</w:t>
      </w:r>
      <w:r w:rsidR="00261365">
        <w:rPr>
          <w:rFonts w:ascii="Times New Roman" w:eastAsia="Times New Roman" w:hAnsi="Times New Roman" w:cs="Times New Roman"/>
          <w:lang w:val="lt-LT" w:eastAsia="en-US"/>
        </w:rPr>
        <w:t>os</w:t>
      </w:r>
      <w:r w:rsidRPr="00E82419">
        <w:rPr>
          <w:rFonts w:ascii="Times New Roman" w:eastAsia="Times New Roman" w:hAnsi="Times New Roman" w:cs="Times New Roman"/>
          <w:lang w:val="lt-LT" w:eastAsia="en-US"/>
        </w:rPr>
        <w:t>). Gali išlikti didesnė Biodroxil koncentracija kraujyje</w:t>
      </w:r>
      <w:r w:rsidR="00D26613">
        <w:rPr>
          <w:rFonts w:ascii="Times New Roman" w:eastAsia="Times New Roman" w:hAnsi="Times New Roman" w:cs="Times New Roman"/>
          <w:lang w:val="lt-LT" w:eastAsia="en-US"/>
        </w:rPr>
        <w:t>;</w:t>
      </w:r>
    </w:p>
    <w:p w14:paraId="0DB4103A" w14:textId="77777777" w:rsidR="004B5565" w:rsidRPr="00E82419" w:rsidRDefault="004B5565" w:rsidP="004B5565">
      <w:pPr>
        <w:numPr>
          <w:ilvl w:val="0"/>
          <w:numId w:val="8"/>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geriamųjų kraujo krešėjimą slopinančių vaistų. Gali sustiprėti šių vaistų poveikis</w:t>
      </w:r>
      <w:r w:rsidR="00D26613">
        <w:rPr>
          <w:rFonts w:ascii="Times New Roman" w:eastAsia="Times New Roman" w:hAnsi="Times New Roman" w:cs="Times New Roman"/>
          <w:lang w:val="lt-LT" w:eastAsia="en-US"/>
        </w:rPr>
        <w:t>;</w:t>
      </w:r>
    </w:p>
    <w:p w14:paraId="4FDF4B8C" w14:textId="77777777" w:rsidR="004B5565" w:rsidRPr="00E82419" w:rsidRDefault="004B5565" w:rsidP="004B5565">
      <w:pPr>
        <w:numPr>
          <w:ilvl w:val="0"/>
          <w:numId w:val="8"/>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kolestiramino (vaisto cholesterolio kiekiui kraujyje mažinti). Biodroxil poveikis gali susilpnėti.</w:t>
      </w:r>
    </w:p>
    <w:p w14:paraId="446228D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4C5273C" w14:textId="77777777" w:rsidR="004B5565" w:rsidRPr="00157E61" w:rsidRDefault="004B5565" w:rsidP="004B5565">
      <w:pPr>
        <w:spacing w:after="0" w:line="240" w:lineRule="auto"/>
        <w:rPr>
          <w:rFonts w:ascii="Times New Roman" w:eastAsia="Times New Roman" w:hAnsi="Times New Roman" w:cs="Times New Roman"/>
          <w:b/>
          <w:iCs/>
          <w:lang w:val="lt-LT" w:eastAsia="en-US"/>
        </w:rPr>
      </w:pPr>
      <w:r w:rsidRPr="00157E61">
        <w:rPr>
          <w:rFonts w:ascii="Times New Roman" w:eastAsia="Times New Roman" w:hAnsi="Times New Roman" w:cs="Times New Roman"/>
          <w:b/>
          <w:iCs/>
          <w:lang w:val="lt-LT" w:eastAsia="en-US"/>
        </w:rPr>
        <w:t>Įtaka laboratorinių tyrimų rezultatams</w:t>
      </w:r>
    </w:p>
    <w:p w14:paraId="1A7ED09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Vartojant Biodroxil, gali būti klaidingai teigiamas gliukozės kiekio šlapime tyrimo rezultatas. Jeigu Jums reikia atlikti tokį tyrimą, pasakykite gydytojui, kad vartojate Biodroxil. Atsižvelgdamas į tai, gydytojas paskirs kitą tyrimo metodą (pvz., testo juostele).</w:t>
      </w:r>
    </w:p>
    <w:p w14:paraId="0E14CF4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F60A6E4"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bCs/>
          <w:lang w:val="lt-LT" w:eastAsia="en-US"/>
        </w:rPr>
        <w:t>Biodroxil</w:t>
      </w:r>
      <w:r w:rsidRPr="00E82419">
        <w:rPr>
          <w:rFonts w:ascii="Times New Roman" w:eastAsia="Times New Roman" w:hAnsi="Times New Roman" w:cs="Times New Roman"/>
          <w:b/>
          <w:lang w:val="lt-LT" w:eastAsia="en-US"/>
        </w:rPr>
        <w:t xml:space="preserve"> vartojimas su maistu ir gėrimais</w:t>
      </w:r>
    </w:p>
    <w:p w14:paraId="49EF595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Maistas neturi įtakos vaisto pasisavinimui organizme, todėl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galima vartoti nepriklausomai nuo valgymo laiko.</w:t>
      </w:r>
    </w:p>
    <w:p w14:paraId="7E431048"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6DD48467"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Nėštumas ir žindymo laikotarpis</w:t>
      </w:r>
    </w:p>
    <w:p w14:paraId="0CE8532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 arba vaistininku.</w:t>
      </w:r>
    </w:p>
    <w:p w14:paraId="47CA38F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Nėščioms moterims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galima vartoti tik gydytojo leidimu.</w:t>
      </w:r>
    </w:p>
    <w:p w14:paraId="33F807A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Veikliosios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medžiagos cefadroksilio išs</w:t>
      </w:r>
      <w:r w:rsidR="00AF4217">
        <w:rPr>
          <w:rFonts w:ascii="Times New Roman" w:eastAsia="Times New Roman" w:hAnsi="Times New Roman" w:cs="Times New Roman"/>
          <w:lang w:val="lt-LT" w:eastAsia="en-US"/>
        </w:rPr>
        <w:t>is</w:t>
      </w:r>
      <w:r w:rsidRPr="00E82419">
        <w:rPr>
          <w:rFonts w:ascii="Times New Roman" w:eastAsia="Times New Roman" w:hAnsi="Times New Roman" w:cs="Times New Roman"/>
          <w:lang w:val="lt-LT" w:eastAsia="en-US"/>
        </w:rPr>
        <w:t xml:space="preserve">kiria su motinos pienu. Žindyvėms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galima vartoti tik gydytojo leidimu.</w:t>
      </w:r>
    </w:p>
    <w:p w14:paraId="4D49E2F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695D788"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Vairavimas ir mechanizmų valdymas</w:t>
      </w:r>
    </w:p>
    <w:p w14:paraId="5D7A4B2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 sukelti galvos skausmą, svaigulį, nervingumą, nemigą ir nuovargį, todėl gali daryti įtaką gebėjimui vairuoti ir valdyti mechanizmus.</w:t>
      </w:r>
    </w:p>
    <w:p w14:paraId="37A213B3" w14:textId="77777777" w:rsidR="004B5565" w:rsidRDefault="004B5565" w:rsidP="004B5565">
      <w:pPr>
        <w:spacing w:after="0" w:line="240" w:lineRule="auto"/>
        <w:rPr>
          <w:rFonts w:ascii="Times New Roman" w:eastAsia="Times New Roman" w:hAnsi="Times New Roman" w:cs="Times New Roman"/>
          <w:lang w:val="lt-LT" w:eastAsia="en-US"/>
        </w:rPr>
      </w:pPr>
    </w:p>
    <w:p w14:paraId="5FDA8F85" w14:textId="77777777" w:rsidR="00D26613" w:rsidRPr="00E82419" w:rsidRDefault="00D26613" w:rsidP="004B5565">
      <w:pPr>
        <w:spacing w:after="0" w:line="240" w:lineRule="auto"/>
        <w:rPr>
          <w:rFonts w:ascii="Times New Roman" w:eastAsia="Times New Roman" w:hAnsi="Times New Roman" w:cs="Times New Roman"/>
          <w:lang w:val="lt-LT" w:eastAsia="en-US"/>
        </w:rPr>
      </w:pPr>
    </w:p>
    <w:p w14:paraId="5EC0C4D2" w14:textId="77777777" w:rsidR="004B5565" w:rsidRPr="00E82419" w:rsidRDefault="004B5565" w:rsidP="004B5565">
      <w:pPr>
        <w:spacing w:after="0" w:line="240" w:lineRule="auto"/>
        <w:rPr>
          <w:rFonts w:ascii="Times New Roman" w:eastAsia="Times New Roman" w:hAnsi="Times New Roman" w:cs="Times New Roman"/>
          <w:b/>
          <w:bCs/>
          <w:lang w:val="lt-LT" w:eastAsia="en-US"/>
        </w:rPr>
      </w:pPr>
      <w:r w:rsidRPr="005171CA">
        <w:rPr>
          <w:rFonts w:ascii="Times New Roman" w:eastAsia="Times New Roman" w:hAnsi="Times New Roman" w:cs="Times New Roman"/>
          <w:b/>
          <w:bCs/>
          <w:lang w:val="lt-LT" w:eastAsia="en-US"/>
        </w:rPr>
        <w:t>Biodroxil sudėtyje yra sacharozės</w:t>
      </w:r>
      <w:r w:rsidR="00E204BB" w:rsidRPr="005171CA">
        <w:rPr>
          <w:rFonts w:ascii="Times New Roman" w:eastAsia="Times New Roman" w:hAnsi="Times New Roman" w:cs="Times New Roman"/>
          <w:b/>
          <w:bCs/>
          <w:lang w:val="lt-LT" w:eastAsia="en-US"/>
        </w:rPr>
        <w:t>, natrio, sorbitolio, sieros dioksido, etanolio.</w:t>
      </w:r>
    </w:p>
    <w:p w14:paraId="244B8E8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 ml paruoštos geriamosios suspensijos yra maždaug 3,4 g cukraus (sacharozės). Cukriniu diabetu sergantiems žmonėms būtina į tai atsižvelgti.</w:t>
      </w:r>
    </w:p>
    <w:p w14:paraId="01A7632E"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Gali kenkti dantims.</w:t>
      </w:r>
    </w:p>
    <w:p w14:paraId="0D948D8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gydytojas Jums yra sakęs, kad netoleruojate kokių nors angliavandenių, kreipkitės į jį prieš pradėdami vartoti šį vaistą.</w:t>
      </w:r>
    </w:p>
    <w:p w14:paraId="1706B8F5" w14:textId="77777777" w:rsidR="00E204BB" w:rsidRDefault="00E204BB" w:rsidP="00E204BB">
      <w:pPr>
        <w:spacing w:after="0" w:line="240" w:lineRule="auto"/>
        <w:rPr>
          <w:rFonts w:ascii="Times New Roman" w:eastAsia="Times New Roman" w:hAnsi="Times New Roman" w:cs="Times New Roman"/>
          <w:lang w:val="lt-LT" w:eastAsia="en-US"/>
        </w:rPr>
      </w:pPr>
    </w:p>
    <w:p w14:paraId="77F25B77" w14:textId="77777777" w:rsidR="00E204BB" w:rsidRPr="00E204BB" w:rsidRDefault="00E204BB" w:rsidP="00E204BB">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paruoštos suspensijos yra mažiau kaip 1 mmol (23 mg) natrio, t.y. jis beveik neturi reikšmės.</w:t>
      </w:r>
    </w:p>
    <w:p w14:paraId="27ABDF3A" w14:textId="77777777" w:rsidR="00E204BB" w:rsidRPr="00E204BB" w:rsidRDefault="00E204BB" w:rsidP="00E204BB">
      <w:pPr>
        <w:spacing w:after="0" w:line="240" w:lineRule="auto"/>
        <w:rPr>
          <w:rFonts w:ascii="Times New Roman" w:eastAsia="Times New Roman" w:hAnsi="Times New Roman" w:cs="Times New Roman"/>
          <w:lang w:val="lt-LT" w:eastAsia="en-US"/>
        </w:rPr>
      </w:pPr>
    </w:p>
    <w:p w14:paraId="079F8107" w14:textId="77777777" w:rsidR="00E204BB" w:rsidRPr="00E204BB" w:rsidRDefault="00E204BB" w:rsidP="00E204BB">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paruoštos suspensijos yra 0,86 mg sorbitolio.</w:t>
      </w:r>
    </w:p>
    <w:p w14:paraId="0D258B90" w14:textId="77777777" w:rsidR="00E204BB" w:rsidRPr="00E204BB" w:rsidRDefault="00E204BB" w:rsidP="00E204BB">
      <w:pPr>
        <w:spacing w:after="0" w:line="240" w:lineRule="auto"/>
        <w:rPr>
          <w:rFonts w:ascii="Times New Roman" w:eastAsia="Times New Roman" w:hAnsi="Times New Roman" w:cs="Times New Roman"/>
          <w:lang w:val="lt-LT" w:eastAsia="en-US"/>
        </w:rPr>
      </w:pPr>
    </w:p>
    <w:p w14:paraId="7467D89E" w14:textId="77777777" w:rsidR="00E204BB" w:rsidRPr="00E204BB" w:rsidRDefault="00E204BB" w:rsidP="00E204BB">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paruoštos suspensijos yra 0,64 mikrogramų sieros dioksido. Retais atvejais gali sukelti sunkių padidėjusio jautrumo reakcijų ir bronchų spazmą.</w:t>
      </w:r>
    </w:p>
    <w:p w14:paraId="4EEE2646" w14:textId="77777777" w:rsidR="00E204BB" w:rsidRPr="00E204BB" w:rsidRDefault="00E204BB" w:rsidP="00E204BB">
      <w:pPr>
        <w:spacing w:after="0" w:line="240" w:lineRule="auto"/>
        <w:rPr>
          <w:rFonts w:ascii="Times New Roman" w:eastAsia="Times New Roman" w:hAnsi="Times New Roman" w:cs="Times New Roman"/>
          <w:lang w:val="lt-LT" w:eastAsia="en-US"/>
        </w:rPr>
      </w:pPr>
    </w:p>
    <w:p w14:paraId="213F3575" w14:textId="77777777" w:rsidR="004B5565" w:rsidRPr="00E82419" w:rsidRDefault="00E204BB" w:rsidP="00E204BB">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suspensijoje yra iki 3,83 mg alkoholio (etanolio). Kiekviename šio vaistinio preparato 5 ml suspensijos atitinka mažiau kaip 1 ml alaus ar 1 ml vyno. Mažas alkoholio kiekis, esantis šio vaisto sudėtyje, nesukelia pastebimo poveikio.</w:t>
      </w:r>
    </w:p>
    <w:p w14:paraId="10F27DCF" w14:textId="77777777" w:rsidR="004B5565" w:rsidRDefault="004B5565" w:rsidP="00680A7F">
      <w:pPr>
        <w:numPr>
          <w:ilvl w:val="12"/>
          <w:numId w:val="0"/>
        </w:numPr>
        <w:spacing w:after="0" w:line="240" w:lineRule="auto"/>
        <w:ind w:right="-2"/>
        <w:rPr>
          <w:rFonts w:ascii="Times New Roman" w:eastAsia="Times New Roman" w:hAnsi="Times New Roman" w:cs="Times New Roman"/>
          <w:lang w:val="lt-LT" w:eastAsia="en-US"/>
        </w:rPr>
      </w:pPr>
    </w:p>
    <w:p w14:paraId="41D1196F" w14:textId="77777777" w:rsidR="00204F3A" w:rsidRPr="00E82419" w:rsidRDefault="00204F3A" w:rsidP="004B5565">
      <w:pPr>
        <w:numPr>
          <w:ilvl w:val="12"/>
          <w:numId w:val="0"/>
        </w:numPr>
        <w:spacing w:after="0" w:line="240" w:lineRule="auto"/>
        <w:ind w:right="-2"/>
        <w:rPr>
          <w:rFonts w:ascii="Times New Roman" w:eastAsia="Times New Roman" w:hAnsi="Times New Roman" w:cs="Times New Roman"/>
          <w:lang w:val="lt-LT" w:eastAsia="en-US"/>
        </w:rPr>
      </w:pPr>
    </w:p>
    <w:p w14:paraId="0DC989C0"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3.</w:t>
      </w:r>
      <w:r w:rsidRPr="00E82419">
        <w:rPr>
          <w:rFonts w:ascii="Times New Roman" w:eastAsia="Times New Roman" w:hAnsi="Times New Roman" w:cs="Times New Roman"/>
          <w:b/>
          <w:lang w:val="lt-LT" w:eastAsia="en-US"/>
        </w:rPr>
        <w:tab/>
        <w:t>Kaip vartoti Biodroxil</w:t>
      </w:r>
    </w:p>
    <w:p w14:paraId="07B636B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45E95AC"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Visada vartokite šį vaistą tiksliai kaip nurodė gydytojas arba vaistininkas. Jeigu abejojate, kreipkitės į gydytoją arba vaistininką.</w:t>
      </w:r>
    </w:p>
    <w:p w14:paraId="6BA0DD58"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p>
    <w:p w14:paraId="15586E89"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Tiksliam dozavimui pakuotėje yra matavimo šaukštas (paženklintas 1,25</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2,5</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ir 5</w:t>
      </w:r>
      <w:r w:rsidR="00C53201">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žymomis).</w:t>
      </w:r>
    </w:p>
    <w:p w14:paraId="7C95311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894FD2"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Paruošta suspensija nuryjama užsigeriant didesniu kiekiu skysčio.</w:t>
      </w:r>
    </w:p>
    <w:p w14:paraId="68C7E68E"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lang w:val="lt-LT" w:eastAsia="en-US"/>
        </w:rPr>
        <w:t>Maistas gydomajam Biodroxil poveikiui įtakos nedaro.</w:t>
      </w:r>
    </w:p>
    <w:p w14:paraId="57E4C96D"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7F104465"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Geriamosios suspensijos ruošimas</w:t>
      </w:r>
    </w:p>
    <w:p w14:paraId="2E1CC2D0" w14:textId="77777777" w:rsidR="004B5565" w:rsidRPr="00E82419" w:rsidRDefault="004B5565" w:rsidP="004B5565">
      <w:pPr>
        <w:spacing w:after="0" w:line="240" w:lineRule="auto"/>
        <w:rPr>
          <w:rFonts w:ascii="Times New Roman" w:eastAsia="Times New Roman" w:hAnsi="Times New Roman" w:cs="Times New Roman"/>
          <w:lang w:val="lt-LT" w:eastAsia="en-US"/>
        </w:rPr>
      </w:pPr>
    </w:p>
    <w:tbl>
      <w:tblPr>
        <w:tblW w:w="0" w:type="auto"/>
        <w:tblLayout w:type="fixed"/>
        <w:tblLook w:val="04A0" w:firstRow="1" w:lastRow="0" w:firstColumn="1" w:lastColumn="0" w:noHBand="0" w:noVBand="1"/>
      </w:tblPr>
      <w:tblGrid>
        <w:gridCol w:w="1384"/>
        <w:gridCol w:w="7655"/>
      </w:tblGrid>
      <w:tr w:rsidR="004B5565" w:rsidRPr="00A4553D" w14:paraId="2AE42E1F" w14:textId="77777777" w:rsidTr="00520788">
        <w:trPr>
          <w:trHeight w:val="1833"/>
        </w:trPr>
        <w:tc>
          <w:tcPr>
            <w:tcW w:w="1384" w:type="dxa"/>
            <w:hideMark/>
          </w:tcPr>
          <w:p w14:paraId="63AE1F98" w14:textId="171C1CDF" w:rsidR="004B5565" w:rsidRDefault="004B5565" w:rsidP="004B5565">
            <w:pPr>
              <w:spacing w:after="0" w:line="240" w:lineRule="auto"/>
            </w:pPr>
            <w:bookmarkStart w:id="13" w:name="_Hlk136333026"/>
          </w:p>
          <w:p w14:paraId="206A839A" w14:textId="3297C5F2" w:rsidR="00C6078D" w:rsidRPr="00E82419" w:rsidRDefault="007B102B" w:rsidP="004B5565">
            <w:pPr>
              <w:spacing w:after="0" w:line="240" w:lineRule="auto"/>
              <w:rPr>
                <w:rFonts w:ascii="Times New Roman" w:eastAsia="Times New Roman" w:hAnsi="Times New Roman" w:cs="Times New Roman"/>
                <w:lang w:val="lt-LT" w:eastAsia="en-US"/>
              </w:rPr>
            </w:pPr>
            <w:r>
              <w:rPr>
                <w:noProof/>
                <w:lang w:val="lt-LT" w:eastAsia="lt-LT"/>
              </w:rPr>
              <w:drawing>
                <wp:inline distT="0" distB="0" distL="0" distR="0" wp14:anchorId="6FF2BF70" wp14:editId="68CA43CC">
                  <wp:extent cx="723900" cy="1130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130935"/>
                          </a:xfrm>
                          <a:prstGeom prst="rect">
                            <a:avLst/>
                          </a:prstGeom>
                          <a:noFill/>
                        </pic:spPr>
                      </pic:pic>
                    </a:graphicData>
                  </a:graphic>
                </wp:inline>
              </w:drawing>
            </w:r>
          </w:p>
        </w:tc>
        <w:tc>
          <w:tcPr>
            <w:tcW w:w="7655" w:type="dxa"/>
          </w:tcPr>
          <w:p w14:paraId="2599418D" w14:textId="77777777" w:rsidR="007B102B" w:rsidRDefault="007B102B" w:rsidP="004B5565">
            <w:pPr>
              <w:spacing w:after="0" w:line="240" w:lineRule="auto"/>
              <w:rPr>
                <w:rFonts w:ascii="Times New Roman" w:eastAsia="Times New Roman" w:hAnsi="Times New Roman" w:cs="Times New Roman"/>
                <w:lang w:val="lt-LT" w:eastAsia="en-US"/>
              </w:rPr>
            </w:pPr>
          </w:p>
          <w:p w14:paraId="66404F57" w14:textId="77777777" w:rsidR="007B102B" w:rsidRDefault="007B102B" w:rsidP="004B5565">
            <w:pPr>
              <w:spacing w:after="0" w:line="240" w:lineRule="auto"/>
              <w:rPr>
                <w:rFonts w:ascii="Times New Roman" w:eastAsia="Times New Roman" w:hAnsi="Times New Roman" w:cs="Times New Roman"/>
                <w:lang w:val="lt-LT" w:eastAsia="en-US"/>
              </w:rPr>
            </w:pPr>
          </w:p>
          <w:p w14:paraId="3C5B635A" w14:textId="0A358E18" w:rsidR="00C6078D" w:rsidRPr="00E82419" w:rsidRDefault="004148A8" w:rsidP="004B5565">
            <w:pPr>
              <w:spacing w:after="0" w:line="240" w:lineRule="auto"/>
              <w:rPr>
                <w:rFonts w:ascii="Times New Roman" w:eastAsia="Times New Roman" w:hAnsi="Times New Roman" w:cs="Times New Roman"/>
                <w:lang w:val="lt-LT" w:eastAsia="en-US"/>
              </w:rPr>
            </w:pPr>
            <w:r w:rsidRPr="004148A8">
              <w:rPr>
                <w:rFonts w:ascii="Times New Roman" w:eastAsia="Times New Roman" w:hAnsi="Times New Roman" w:cs="Times New Roman"/>
                <w:lang w:val="lt-LT" w:eastAsia="en-US"/>
              </w:rPr>
              <w:t xml:space="preserve">Įpilkite į buteliuką geriamojo vandens tiek, kad nesiektų </w:t>
            </w:r>
            <w:r>
              <w:rPr>
                <w:rFonts w:ascii="Times New Roman" w:eastAsia="Times New Roman" w:hAnsi="Times New Roman" w:cs="Times New Roman"/>
                <w:lang w:val="lt-LT" w:eastAsia="en-US"/>
              </w:rPr>
              <w:t xml:space="preserve">ant </w:t>
            </w:r>
            <w:r w:rsidR="00C66B2B">
              <w:rPr>
                <w:rFonts w:ascii="Times New Roman" w:eastAsia="Times New Roman" w:hAnsi="Times New Roman" w:cs="Times New Roman"/>
                <w:lang w:val="lt-LT" w:eastAsia="en-US"/>
              </w:rPr>
              <w:t>etiketės</w:t>
            </w:r>
            <w:r>
              <w:rPr>
                <w:rFonts w:ascii="Times New Roman" w:eastAsia="Times New Roman" w:hAnsi="Times New Roman" w:cs="Times New Roman"/>
                <w:lang w:val="lt-LT" w:eastAsia="en-US"/>
              </w:rPr>
              <w:t xml:space="preserve"> atspausdintos</w:t>
            </w:r>
            <w:r w:rsidRPr="004148A8">
              <w:rPr>
                <w:rFonts w:ascii="Times New Roman" w:eastAsia="Times New Roman" w:hAnsi="Times New Roman" w:cs="Times New Roman"/>
                <w:lang w:val="lt-LT" w:eastAsia="en-US"/>
              </w:rPr>
              <w:t xml:space="preserve"> žymos ir stipriai pakratykite, po to įpilkite vandens tiksliai iki </w:t>
            </w:r>
            <w:r w:rsidR="00C6078D">
              <w:rPr>
                <w:rFonts w:ascii="Times New Roman" w:eastAsia="Times New Roman" w:hAnsi="Times New Roman" w:cs="Times New Roman"/>
                <w:lang w:val="lt-LT" w:eastAsia="en-US"/>
              </w:rPr>
              <w:t xml:space="preserve">ant </w:t>
            </w:r>
            <w:r w:rsidR="00C66B2B">
              <w:rPr>
                <w:rFonts w:ascii="Times New Roman" w:eastAsia="Times New Roman" w:hAnsi="Times New Roman" w:cs="Times New Roman"/>
                <w:lang w:val="lt-LT" w:eastAsia="en-US"/>
              </w:rPr>
              <w:t>etiketės</w:t>
            </w:r>
            <w:r w:rsidR="00C6078D">
              <w:rPr>
                <w:rFonts w:ascii="Times New Roman" w:eastAsia="Times New Roman" w:hAnsi="Times New Roman" w:cs="Times New Roman"/>
                <w:lang w:val="lt-LT" w:eastAsia="en-US"/>
              </w:rPr>
              <w:t xml:space="preserve"> atspausdintos </w:t>
            </w:r>
            <w:r w:rsidRPr="004148A8">
              <w:rPr>
                <w:rFonts w:ascii="Times New Roman" w:eastAsia="Times New Roman" w:hAnsi="Times New Roman" w:cs="Times New Roman"/>
                <w:lang w:val="lt-LT" w:eastAsia="en-US"/>
              </w:rPr>
              <w:t>žymos ir dar kartą energingai pakratykite.</w:t>
            </w:r>
          </w:p>
          <w:p w14:paraId="4FC8924D" w14:textId="77777777" w:rsidR="00C6078D" w:rsidRDefault="00C6078D"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Buteliuką būtina stipriai pakratyti prieš kiekvieną vartojimą. </w:t>
            </w:r>
          </w:p>
          <w:p w14:paraId="19C1C9A0" w14:textId="1031564D"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Paruošta suspensija yra baltos ar švelniai gelsvos spalvos.</w:t>
            </w:r>
          </w:p>
          <w:p w14:paraId="3A60BBF8"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C17DF74" w14:textId="4398D8E7" w:rsidR="004B5565" w:rsidRPr="00E82419" w:rsidRDefault="004B5565" w:rsidP="004B5565">
            <w:pPr>
              <w:spacing w:after="0" w:line="240" w:lineRule="auto"/>
              <w:rPr>
                <w:rFonts w:ascii="Times New Roman" w:eastAsia="Times New Roman" w:hAnsi="Times New Roman" w:cs="Times New Roman"/>
                <w:lang w:val="lt-LT" w:eastAsia="en-US"/>
              </w:rPr>
            </w:pPr>
          </w:p>
        </w:tc>
      </w:tr>
      <w:bookmarkEnd w:id="13"/>
    </w:tbl>
    <w:p w14:paraId="0ECA31F5"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7DEB3D8C"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Suaugusiesiems ir vaikams, sveriantiems daugiau kaip 40 kg</w:t>
      </w:r>
    </w:p>
    <w:p w14:paraId="44A510E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B856CAC"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Tonzilių ir gerklės uždegimas</w:t>
      </w:r>
    </w:p>
    <w:p w14:paraId="18A6A94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1 g</w:t>
      </w:r>
      <w:r w:rsidR="00AF4217">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(4 matavimo šaukštai) per parą. Ji išgeriama iš karto arba padalijama į 2 lygias dozes. Vaistas vartojamas 10 parų.</w:t>
      </w:r>
    </w:p>
    <w:p w14:paraId="4CB9A5E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91E2181"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Odos ir poodinio audinio infekcinės ligos</w:t>
      </w:r>
    </w:p>
    <w:p w14:paraId="63F8072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1 g</w:t>
      </w:r>
      <w:r w:rsidR="00AF4217">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(4 matavimo šaukštai) per parą. Ji išgeriama iš karto arba padalijama į 2 lygias vienkartines dozes.</w:t>
      </w:r>
    </w:p>
    <w:p w14:paraId="3D36A92D"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504E68E" w14:textId="77777777" w:rsidR="004B5565" w:rsidRPr="00E82419" w:rsidRDefault="004B5565" w:rsidP="004B5565">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Šlapimo takų infekcinės ligos</w:t>
      </w:r>
    </w:p>
    <w:p w14:paraId="580DD32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2 g (8 matavimo šaukštai) per parą. Ji padalijama į 2 lygias vienkartines dozes.</w:t>
      </w:r>
    </w:p>
    <w:p w14:paraId="256ADC9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nekomplikuotoms apatinių šlapimo takų infekcinėms ligoms (t.y. šlapimo pūslės uždegimui) gydyti yra 1 g (4 matavimo šaukštai) arba 2 g (8 matavimo šaukštai) per parą. Ji išgeriama iš karto arba padalijama į 2 lygias vienkartines dozes.</w:t>
      </w:r>
    </w:p>
    <w:p w14:paraId="0F9D104E"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7874174"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Vaikams, sveriantiems mažiau kaip 40 kg</w:t>
      </w:r>
    </w:p>
    <w:p w14:paraId="3AE6ACB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Rekomenduojama įprasta paros dozė yra 25 – 50 mg/kg kūno svorio. Ji lygiomis dalimis išgeriama per du kartus (kas 12 val.).</w:t>
      </w:r>
    </w:p>
    <w:p w14:paraId="3E7C134A"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Gydant tonzilių ar gerklės uždegimą arba impetigą (pūlinėlinę), visą rekomenduojamą paros dozę galima išgerti vienu kartu.</w:t>
      </w:r>
    </w:p>
    <w:p w14:paraId="38FCC391" w14:textId="77777777" w:rsidR="004B5565"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Vaikams negalima vartoti didesnės paros dozės už didžiausią nurodytą suaugusiesiems.</w:t>
      </w:r>
    </w:p>
    <w:p w14:paraId="53E768AB" w14:textId="77777777" w:rsidR="00AF4217" w:rsidRPr="00E82419" w:rsidRDefault="00AF4217" w:rsidP="004B5565">
      <w:pPr>
        <w:spacing w:after="0" w:line="240" w:lineRule="auto"/>
        <w:rPr>
          <w:rFonts w:ascii="Times New Roman" w:eastAsia="Times New Roman" w:hAnsi="Times New Roman" w:cs="Times New Roman"/>
          <w:lang w:val="lt-LT" w:eastAsia="en-US"/>
        </w:rPr>
      </w:pPr>
    </w:p>
    <w:p w14:paraId="6FA73D89" w14:textId="77777777" w:rsidR="004B5565" w:rsidRPr="00E82419" w:rsidRDefault="004B5565" w:rsidP="00157E61">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Dozavimo rekomendacijos matavimo šaukštais (MŠ)*: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392"/>
        <w:gridCol w:w="3323"/>
      </w:tblGrid>
      <w:tr w:rsidR="004B5565" w:rsidRPr="00A4553D" w14:paraId="4462C986" w14:textId="77777777" w:rsidTr="00520788">
        <w:tc>
          <w:tcPr>
            <w:tcW w:w="2118" w:type="dxa"/>
            <w:tcBorders>
              <w:top w:val="single" w:sz="4" w:space="0" w:color="auto"/>
              <w:left w:val="single" w:sz="4" w:space="0" w:color="auto"/>
              <w:bottom w:val="single" w:sz="4" w:space="0" w:color="auto"/>
              <w:right w:val="single" w:sz="4" w:space="0" w:color="auto"/>
            </w:tcBorders>
            <w:hideMark/>
          </w:tcPr>
          <w:p w14:paraId="7DF0B3AA"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Kūno svoris (kg)</w:t>
            </w:r>
          </w:p>
        </w:tc>
        <w:tc>
          <w:tcPr>
            <w:tcW w:w="3677" w:type="dxa"/>
            <w:tcBorders>
              <w:top w:val="single" w:sz="4" w:space="0" w:color="auto"/>
              <w:left w:val="single" w:sz="4" w:space="0" w:color="auto"/>
              <w:bottom w:val="single" w:sz="4" w:space="0" w:color="auto"/>
              <w:right w:val="single" w:sz="4" w:space="0" w:color="auto"/>
            </w:tcBorders>
            <w:hideMark/>
          </w:tcPr>
          <w:p w14:paraId="16298D8D" w14:textId="77777777" w:rsidR="004B5565" w:rsidRPr="00E82419"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Vienkartinė dozė</w:t>
            </w:r>
          </w:p>
        </w:tc>
        <w:tc>
          <w:tcPr>
            <w:tcW w:w="3667" w:type="dxa"/>
            <w:tcBorders>
              <w:top w:val="single" w:sz="4" w:space="0" w:color="auto"/>
              <w:left w:val="single" w:sz="4" w:space="0" w:color="auto"/>
              <w:bottom w:val="single" w:sz="4" w:space="0" w:color="auto"/>
              <w:right w:val="single" w:sz="4" w:space="0" w:color="auto"/>
            </w:tcBorders>
          </w:tcPr>
          <w:p w14:paraId="53281963" w14:textId="77777777" w:rsidR="004B5565" w:rsidRPr="00E82419" w:rsidDel="002C47A0" w:rsidRDefault="004B5565" w:rsidP="004B5565">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Kiek kartų per parą vartoti</w:t>
            </w:r>
          </w:p>
        </w:tc>
      </w:tr>
      <w:tr w:rsidR="004B5565" w:rsidRPr="00E82419" w14:paraId="247ADD33" w14:textId="77777777" w:rsidTr="00520788">
        <w:tc>
          <w:tcPr>
            <w:tcW w:w="2118" w:type="dxa"/>
            <w:tcBorders>
              <w:top w:val="single" w:sz="4" w:space="0" w:color="auto"/>
              <w:left w:val="single" w:sz="4" w:space="0" w:color="auto"/>
              <w:bottom w:val="single" w:sz="4" w:space="0" w:color="auto"/>
              <w:right w:val="single" w:sz="4" w:space="0" w:color="auto"/>
            </w:tcBorders>
            <w:hideMark/>
          </w:tcPr>
          <w:p w14:paraId="1CD9FC5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9 - 17</w:t>
            </w:r>
          </w:p>
        </w:tc>
        <w:tc>
          <w:tcPr>
            <w:tcW w:w="3677" w:type="dxa"/>
            <w:tcBorders>
              <w:top w:val="single" w:sz="4" w:space="0" w:color="auto"/>
              <w:left w:val="single" w:sz="4" w:space="0" w:color="auto"/>
              <w:bottom w:val="single" w:sz="4" w:space="0" w:color="auto"/>
              <w:right w:val="single" w:sz="4" w:space="0" w:color="auto"/>
            </w:tcBorders>
            <w:hideMark/>
          </w:tcPr>
          <w:p w14:paraId="71B337BA"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 – 1,5 MŠ</w:t>
            </w:r>
          </w:p>
        </w:tc>
        <w:tc>
          <w:tcPr>
            <w:tcW w:w="3667" w:type="dxa"/>
            <w:tcBorders>
              <w:top w:val="single" w:sz="4" w:space="0" w:color="auto"/>
              <w:left w:val="single" w:sz="4" w:space="0" w:color="auto"/>
              <w:bottom w:val="single" w:sz="4" w:space="0" w:color="auto"/>
              <w:right w:val="single" w:sz="4" w:space="0" w:color="auto"/>
            </w:tcBorders>
          </w:tcPr>
          <w:p w14:paraId="036DC067"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r w:rsidR="004B5565" w:rsidRPr="00E82419" w14:paraId="2951BE9D" w14:textId="77777777" w:rsidTr="00520788">
        <w:tc>
          <w:tcPr>
            <w:tcW w:w="2118" w:type="dxa"/>
            <w:tcBorders>
              <w:top w:val="single" w:sz="4" w:space="0" w:color="auto"/>
              <w:left w:val="single" w:sz="4" w:space="0" w:color="auto"/>
              <w:bottom w:val="single" w:sz="4" w:space="0" w:color="auto"/>
              <w:right w:val="single" w:sz="4" w:space="0" w:color="auto"/>
            </w:tcBorders>
            <w:hideMark/>
          </w:tcPr>
          <w:p w14:paraId="1884C6B2"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18 - 26</w:t>
            </w:r>
          </w:p>
        </w:tc>
        <w:tc>
          <w:tcPr>
            <w:tcW w:w="3677" w:type="dxa"/>
            <w:tcBorders>
              <w:top w:val="single" w:sz="4" w:space="0" w:color="auto"/>
              <w:left w:val="single" w:sz="4" w:space="0" w:color="auto"/>
              <w:bottom w:val="single" w:sz="4" w:space="0" w:color="auto"/>
              <w:right w:val="single" w:sz="4" w:space="0" w:color="auto"/>
            </w:tcBorders>
            <w:hideMark/>
          </w:tcPr>
          <w:p w14:paraId="38C753FC"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 – 2,5 MŠ</w:t>
            </w:r>
          </w:p>
        </w:tc>
        <w:tc>
          <w:tcPr>
            <w:tcW w:w="3667" w:type="dxa"/>
            <w:tcBorders>
              <w:top w:val="single" w:sz="4" w:space="0" w:color="auto"/>
              <w:left w:val="single" w:sz="4" w:space="0" w:color="auto"/>
              <w:bottom w:val="single" w:sz="4" w:space="0" w:color="auto"/>
              <w:right w:val="single" w:sz="4" w:space="0" w:color="auto"/>
            </w:tcBorders>
          </w:tcPr>
          <w:p w14:paraId="51EDC2A9"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r w:rsidR="004B5565" w:rsidRPr="00E82419" w14:paraId="6FCD75CE" w14:textId="77777777" w:rsidTr="00520788">
        <w:tc>
          <w:tcPr>
            <w:tcW w:w="2118" w:type="dxa"/>
            <w:tcBorders>
              <w:top w:val="single" w:sz="4" w:space="0" w:color="auto"/>
              <w:left w:val="single" w:sz="4" w:space="0" w:color="auto"/>
              <w:bottom w:val="single" w:sz="4" w:space="0" w:color="auto"/>
              <w:right w:val="single" w:sz="4" w:space="0" w:color="auto"/>
            </w:tcBorders>
            <w:hideMark/>
          </w:tcPr>
          <w:p w14:paraId="400A521F"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27 - 35</w:t>
            </w:r>
          </w:p>
        </w:tc>
        <w:tc>
          <w:tcPr>
            <w:tcW w:w="3677" w:type="dxa"/>
            <w:tcBorders>
              <w:top w:val="single" w:sz="4" w:space="0" w:color="auto"/>
              <w:left w:val="single" w:sz="4" w:space="0" w:color="auto"/>
              <w:bottom w:val="single" w:sz="4" w:space="0" w:color="auto"/>
              <w:right w:val="single" w:sz="4" w:space="0" w:color="auto"/>
            </w:tcBorders>
            <w:hideMark/>
          </w:tcPr>
          <w:p w14:paraId="66FD34DE"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 – 3,5 MŠ</w:t>
            </w:r>
          </w:p>
        </w:tc>
        <w:tc>
          <w:tcPr>
            <w:tcW w:w="3667" w:type="dxa"/>
            <w:tcBorders>
              <w:top w:val="single" w:sz="4" w:space="0" w:color="auto"/>
              <w:left w:val="single" w:sz="4" w:space="0" w:color="auto"/>
              <w:bottom w:val="single" w:sz="4" w:space="0" w:color="auto"/>
              <w:right w:val="single" w:sz="4" w:space="0" w:color="auto"/>
            </w:tcBorders>
          </w:tcPr>
          <w:p w14:paraId="1AE21F0A"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r w:rsidR="004B5565" w:rsidRPr="00E82419" w14:paraId="452075DD" w14:textId="77777777" w:rsidTr="00520788">
        <w:tc>
          <w:tcPr>
            <w:tcW w:w="2118" w:type="dxa"/>
            <w:tcBorders>
              <w:top w:val="single" w:sz="4" w:space="0" w:color="auto"/>
              <w:left w:val="single" w:sz="4" w:space="0" w:color="auto"/>
              <w:bottom w:val="single" w:sz="4" w:space="0" w:color="auto"/>
              <w:right w:val="single" w:sz="4" w:space="0" w:color="auto"/>
            </w:tcBorders>
            <w:hideMark/>
          </w:tcPr>
          <w:p w14:paraId="382D625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&gt;36</w:t>
            </w:r>
          </w:p>
        </w:tc>
        <w:tc>
          <w:tcPr>
            <w:tcW w:w="3677" w:type="dxa"/>
            <w:tcBorders>
              <w:top w:val="single" w:sz="4" w:space="0" w:color="auto"/>
              <w:left w:val="single" w:sz="4" w:space="0" w:color="auto"/>
              <w:bottom w:val="single" w:sz="4" w:space="0" w:color="auto"/>
              <w:right w:val="single" w:sz="4" w:space="0" w:color="auto"/>
            </w:tcBorders>
            <w:hideMark/>
          </w:tcPr>
          <w:p w14:paraId="40234D72"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4 MŠ</w:t>
            </w:r>
          </w:p>
        </w:tc>
        <w:tc>
          <w:tcPr>
            <w:tcW w:w="3667" w:type="dxa"/>
            <w:tcBorders>
              <w:top w:val="single" w:sz="4" w:space="0" w:color="auto"/>
              <w:left w:val="single" w:sz="4" w:space="0" w:color="auto"/>
              <w:bottom w:val="single" w:sz="4" w:space="0" w:color="auto"/>
              <w:right w:val="single" w:sz="4" w:space="0" w:color="auto"/>
            </w:tcBorders>
          </w:tcPr>
          <w:p w14:paraId="255EE914"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bl>
    <w:p w14:paraId="095671B6" w14:textId="77777777" w:rsidR="004B5565" w:rsidRPr="00E82419" w:rsidRDefault="004B5565" w:rsidP="004B5565">
      <w:pPr>
        <w:spacing w:after="0" w:line="240" w:lineRule="auto"/>
        <w:ind w:left="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remiantis 50</w:t>
      </w:r>
      <w:r w:rsidR="00E97732">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mg/kg kūno svorio paros doze</w:t>
      </w:r>
    </w:p>
    <w:p w14:paraId="5454FF19"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BCB53D2" w14:textId="77777777" w:rsidR="004B5565" w:rsidRPr="00E82419" w:rsidRDefault="004B5565" w:rsidP="004B5565">
      <w:pPr>
        <w:tabs>
          <w:tab w:val="left" w:pos="567"/>
        </w:tabs>
        <w:spacing w:before="120"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Ligoniams, kurių inkstų veikla sutrikusi</w:t>
      </w:r>
    </w:p>
    <w:p w14:paraId="225B9527" w14:textId="77777777" w:rsidR="004B5565" w:rsidRPr="00E82419" w:rsidRDefault="004B5565" w:rsidP="00157E61">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dozę nustato gydytojas, įvertinęs inkstų veiklos sutrikimo sunkumą pagal kreatinino klirenso (tam tikro inkstų veiklą atspindinčio rodiklio) rodmenis.</w:t>
      </w:r>
    </w:p>
    <w:p w14:paraId="2E75C84B" w14:textId="77777777" w:rsidR="004B5565" w:rsidRPr="00E82419" w:rsidRDefault="004B5565" w:rsidP="00157E61">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Ligoniams, kurių kreatinino klirensas yra 50</w:t>
      </w:r>
      <w:r w:rsidR="00E97732">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ml/min., rekomenduojama vadovautis šia sumažinto dozavimo schema: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4"/>
        <w:gridCol w:w="1985"/>
        <w:gridCol w:w="1559"/>
      </w:tblGrid>
      <w:tr w:rsidR="004B5565" w:rsidRPr="00E82419" w14:paraId="6ED74D7F" w14:textId="77777777" w:rsidTr="00520788">
        <w:tc>
          <w:tcPr>
            <w:tcW w:w="2835" w:type="dxa"/>
            <w:tcBorders>
              <w:top w:val="single" w:sz="4" w:space="0" w:color="auto"/>
              <w:left w:val="single" w:sz="4" w:space="0" w:color="auto"/>
              <w:bottom w:val="single" w:sz="4" w:space="0" w:color="auto"/>
              <w:right w:val="single" w:sz="4" w:space="0" w:color="auto"/>
            </w:tcBorders>
            <w:hideMark/>
          </w:tcPr>
          <w:p w14:paraId="7791B7E4"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Kreatinino klirensas</w:t>
            </w:r>
          </w:p>
          <w:p w14:paraId="2C488D15"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(ml/min./1,73</w:t>
            </w:r>
            <w:r w:rsidR="00E97732">
              <w:rPr>
                <w:rFonts w:ascii="Times New Roman" w:eastAsia="Times New Roman" w:hAnsi="Times New Roman" w:cs="Times New Roman"/>
                <w:b/>
                <w:lang w:val="lt-LT" w:eastAsia="en-US"/>
              </w:rPr>
              <w:t> </w:t>
            </w:r>
            <w:r w:rsidRPr="00E82419">
              <w:rPr>
                <w:rFonts w:ascii="Times New Roman" w:eastAsia="Times New Roman" w:hAnsi="Times New Roman" w:cs="Times New Roman"/>
                <w:b/>
                <w:lang w:val="lt-LT" w:eastAsia="en-US"/>
              </w:rPr>
              <w:t>m</w:t>
            </w:r>
            <w:r w:rsidRPr="00E82419">
              <w:rPr>
                <w:rFonts w:ascii="Times New Roman" w:eastAsia="Times New Roman" w:hAnsi="Times New Roman" w:cs="Times New Roman"/>
                <w:b/>
                <w:vertAlign w:val="superscript"/>
                <w:lang w:val="lt-LT" w:eastAsia="en-US"/>
              </w:rPr>
              <w:t>2</w:t>
            </w:r>
            <w:r w:rsidRPr="00E82419">
              <w:rPr>
                <w:rFonts w:ascii="Times New Roman" w:eastAsia="Times New Roman" w:hAnsi="Times New Roman" w:cs="Times New Roman"/>
                <w:b/>
                <w:lang w:val="lt-LT" w:eastAsia="en-US"/>
              </w:rPr>
              <w:t>)</w:t>
            </w:r>
          </w:p>
        </w:tc>
        <w:tc>
          <w:tcPr>
            <w:tcW w:w="1984" w:type="dxa"/>
            <w:tcBorders>
              <w:top w:val="single" w:sz="4" w:space="0" w:color="auto"/>
              <w:left w:val="single" w:sz="4" w:space="0" w:color="auto"/>
              <w:bottom w:val="single" w:sz="4" w:space="0" w:color="auto"/>
              <w:right w:val="single" w:sz="4" w:space="0" w:color="auto"/>
            </w:tcBorders>
            <w:hideMark/>
          </w:tcPr>
          <w:p w14:paraId="76591DCA" w14:textId="77777777" w:rsidR="004B5565" w:rsidRPr="00E82419" w:rsidRDefault="004B5565" w:rsidP="004B5565">
            <w:pPr>
              <w:spacing w:after="0" w:line="240" w:lineRule="auto"/>
              <w:jc w:val="both"/>
              <w:outlineLvl w:val="6"/>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Pradinė dozė</w:t>
            </w:r>
          </w:p>
        </w:tc>
        <w:tc>
          <w:tcPr>
            <w:tcW w:w="1985" w:type="dxa"/>
            <w:tcBorders>
              <w:top w:val="single" w:sz="4" w:space="0" w:color="auto"/>
              <w:left w:val="single" w:sz="4" w:space="0" w:color="auto"/>
              <w:bottom w:val="single" w:sz="4" w:space="0" w:color="auto"/>
              <w:right w:val="single" w:sz="4" w:space="0" w:color="auto"/>
            </w:tcBorders>
            <w:hideMark/>
          </w:tcPr>
          <w:p w14:paraId="53D8D34E" w14:textId="77777777" w:rsidR="004B5565" w:rsidRPr="00E82419" w:rsidRDefault="004B5565" w:rsidP="004B5565">
            <w:pPr>
              <w:spacing w:after="0" w:line="240" w:lineRule="auto"/>
              <w:jc w:val="both"/>
              <w:outlineLvl w:val="6"/>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Palaikomoji dozė</w:t>
            </w:r>
          </w:p>
        </w:tc>
        <w:tc>
          <w:tcPr>
            <w:tcW w:w="1559" w:type="dxa"/>
            <w:tcBorders>
              <w:top w:val="single" w:sz="4" w:space="0" w:color="auto"/>
              <w:left w:val="single" w:sz="4" w:space="0" w:color="auto"/>
              <w:bottom w:val="single" w:sz="4" w:space="0" w:color="auto"/>
              <w:right w:val="single" w:sz="4" w:space="0" w:color="auto"/>
            </w:tcBorders>
            <w:hideMark/>
          </w:tcPr>
          <w:p w14:paraId="402F3A2B"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Intervalai tarp dozių</w:t>
            </w:r>
          </w:p>
        </w:tc>
      </w:tr>
      <w:tr w:rsidR="004B5565" w:rsidRPr="00E82419" w14:paraId="165D8833" w14:textId="77777777" w:rsidTr="00520788">
        <w:tc>
          <w:tcPr>
            <w:tcW w:w="2835" w:type="dxa"/>
            <w:tcBorders>
              <w:top w:val="single" w:sz="4" w:space="0" w:color="auto"/>
              <w:left w:val="single" w:sz="4" w:space="0" w:color="auto"/>
              <w:bottom w:val="single" w:sz="4" w:space="0" w:color="auto"/>
              <w:right w:val="single" w:sz="4" w:space="0" w:color="auto"/>
            </w:tcBorders>
            <w:hideMark/>
          </w:tcPr>
          <w:p w14:paraId="54C50516"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50-25</w:t>
            </w:r>
          </w:p>
          <w:p w14:paraId="2560F1E3"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10-25</w:t>
            </w:r>
          </w:p>
          <w:p w14:paraId="132C6397"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w:t>
            </w:r>
          </w:p>
        </w:tc>
        <w:tc>
          <w:tcPr>
            <w:tcW w:w="1984" w:type="dxa"/>
            <w:tcBorders>
              <w:top w:val="single" w:sz="4" w:space="0" w:color="auto"/>
              <w:left w:val="single" w:sz="4" w:space="0" w:color="auto"/>
              <w:bottom w:val="single" w:sz="4" w:space="0" w:color="auto"/>
              <w:right w:val="single" w:sz="4" w:space="0" w:color="auto"/>
            </w:tcBorders>
            <w:hideMark/>
          </w:tcPr>
          <w:p w14:paraId="28F54E54"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w:t>
            </w:r>
            <w:r w:rsidR="00E97732">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mg (4 MŠ)</w:t>
            </w:r>
          </w:p>
          <w:p w14:paraId="65CAC860"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 (4 MŠ)</w:t>
            </w:r>
          </w:p>
          <w:p w14:paraId="2F75FF3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 (4 MŠ)</w:t>
            </w:r>
          </w:p>
        </w:tc>
        <w:tc>
          <w:tcPr>
            <w:tcW w:w="1985" w:type="dxa"/>
            <w:tcBorders>
              <w:top w:val="single" w:sz="4" w:space="0" w:color="auto"/>
              <w:left w:val="single" w:sz="4" w:space="0" w:color="auto"/>
              <w:bottom w:val="single" w:sz="4" w:space="0" w:color="auto"/>
              <w:right w:val="single" w:sz="4" w:space="0" w:color="auto"/>
            </w:tcBorders>
            <w:hideMark/>
          </w:tcPr>
          <w:p w14:paraId="5CCDA45F"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 (2 MŠ)</w:t>
            </w:r>
          </w:p>
          <w:p w14:paraId="5827A8DA"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 (2 MŠ)</w:t>
            </w:r>
          </w:p>
          <w:p w14:paraId="048592F5"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 (2 MŠ)</w:t>
            </w:r>
          </w:p>
        </w:tc>
        <w:tc>
          <w:tcPr>
            <w:tcW w:w="1559" w:type="dxa"/>
            <w:tcBorders>
              <w:top w:val="single" w:sz="4" w:space="0" w:color="auto"/>
              <w:left w:val="single" w:sz="4" w:space="0" w:color="auto"/>
              <w:bottom w:val="single" w:sz="4" w:space="0" w:color="auto"/>
              <w:right w:val="single" w:sz="4" w:space="0" w:color="auto"/>
            </w:tcBorders>
            <w:hideMark/>
          </w:tcPr>
          <w:p w14:paraId="136379BA"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12 val.</w:t>
            </w:r>
          </w:p>
          <w:p w14:paraId="6A419B4D"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24 val.</w:t>
            </w:r>
          </w:p>
          <w:p w14:paraId="71EFC4CB" w14:textId="77777777" w:rsidR="004B5565" w:rsidRPr="00E82419" w:rsidRDefault="004B5565" w:rsidP="004B5565">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36 val.</w:t>
            </w:r>
          </w:p>
        </w:tc>
      </w:tr>
    </w:tbl>
    <w:p w14:paraId="1D3EC819" w14:textId="77777777" w:rsidR="004B5565" w:rsidRPr="00E82419" w:rsidRDefault="004B5565" w:rsidP="004B5565">
      <w:pPr>
        <w:spacing w:after="0" w:line="240" w:lineRule="auto"/>
        <w:rPr>
          <w:rFonts w:ascii="Times New Roman" w:eastAsia="Times New Roman" w:hAnsi="Times New Roman" w:cs="Times New Roman"/>
          <w:i/>
          <w:u w:val="single"/>
          <w:lang w:val="lt-LT" w:eastAsia="en-US"/>
        </w:rPr>
      </w:pPr>
    </w:p>
    <w:p w14:paraId="0C8F2A12"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Ligoniams, kuriems atliekama inkstų dializė</w:t>
      </w:r>
    </w:p>
    <w:p w14:paraId="6B4DB6D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Tokiems ligoniams</w:t>
      </w:r>
      <w:r w:rsidR="00AF4217">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500 mg dozę (2 matavimo šaukštus) reikia gerti likus 48 val. iki dializės ir 500 mg dozę (2 matavimo šaukštus) ją baigus. Tokia pat dozę reikia gerti ir likus 48 valandoms iki kitos dializės, jei dializė atliekama du ar tris kartus per savaitę.</w:t>
      </w:r>
    </w:p>
    <w:p w14:paraId="1F6C9985" w14:textId="77777777" w:rsidR="004B5565" w:rsidRPr="00E82419" w:rsidRDefault="004B5565" w:rsidP="004B5565">
      <w:pPr>
        <w:spacing w:before="120"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Gydymo trukmė</w:t>
      </w:r>
    </w:p>
    <w:p w14:paraId="244A525E"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paprastai gydoma 7-10 parų, tačiau jo patariama vartoti dar 2-3 paras po to, kai išnyksta ligos simptomai. Tam tikros bakterijos (</w:t>
      </w:r>
      <w:r w:rsidRPr="00E82419">
        <w:rPr>
          <w:rFonts w:ascii="Times New Roman" w:eastAsia="Times New Roman" w:hAnsi="Times New Roman" w:cs="Times New Roman"/>
          <w:i/>
          <w:lang w:val="lt-LT" w:eastAsia="en-US"/>
        </w:rPr>
        <w:t>Streptococcus pyogenes)</w:t>
      </w:r>
      <w:r w:rsidRPr="00E82419">
        <w:rPr>
          <w:rFonts w:ascii="Times New Roman" w:eastAsia="Times New Roman" w:hAnsi="Times New Roman" w:cs="Times New Roman"/>
          <w:lang w:val="lt-LT" w:eastAsia="en-US"/>
        </w:rPr>
        <w:t xml:space="preserve"> sukeltą infekcinę ligą reikia gydyti ne trumpiau kaip 10 parų.</w:t>
      </w:r>
    </w:p>
    <w:p w14:paraId="5246ABD3"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7C3AA905" w14:textId="77777777" w:rsidR="004B5565" w:rsidRPr="00E82419" w:rsidRDefault="004B5565" w:rsidP="004B5565">
      <w:pPr>
        <w:spacing w:after="0" w:line="240" w:lineRule="auto"/>
        <w:rPr>
          <w:rFonts w:ascii="Times New Roman" w:eastAsia="Times New Roman" w:hAnsi="Times New Roman" w:cs="Times New Roman"/>
          <w:b/>
          <w:u w:val="single"/>
          <w:lang w:val="lt-LT" w:eastAsia="en-US"/>
        </w:rPr>
      </w:pPr>
      <w:r w:rsidRPr="00E82419">
        <w:rPr>
          <w:rFonts w:ascii="Times New Roman" w:eastAsia="Times New Roman" w:hAnsi="Times New Roman" w:cs="Times New Roman"/>
          <w:b/>
          <w:lang w:val="lt-LT" w:eastAsia="en-US"/>
        </w:rPr>
        <w:t>Ką daryti pavartojus per didelę Biodroxil dozę?</w:t>
      </w:r>
    </w:p>
    <w:p w14:paraId="7173302E" w14:textId="77777777" w:rsidR="004B5565" w:rsidRPr="00E82419" w:rsidRDefault="004B5565" w:rsidP="004B5565">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lang w:val="lt-LT" w:eastAsia="en-US"/>
        </w:rPr>
        <w:t>Jeigu įtariate, kad išgėrėte per didelę vaisto dozę arba manote, kad jo nurijo vaikas, nedelsdami kvieskite gydytoją. Gali sutrikti inkstų veikla, virškinimas, pritemti sąmonė, sustiprėti refleksai, išberti odą. Vaisto perdozavus, tuoj pat būtina sukelti vėmimą arba išplauti skrandį, gerti daug skysčių.</w:t>
      </w:r>
    </w:p>
    <w:p w14:paraId="6B0C4F37"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247F095"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Pamiršus pavartoti Biodroxil</w:t>
      </w:r>
    </w:p>
    <w:p w14:paraId="2CE56AD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įprastiniu laiku vaisto išgerti pamiršite, gerkite jo tuoj pat, kai tik prisiminsite, tačiau jeigu iki kitos dozės vartojimo laiko bus likę mažiau negu 4 valandos, užmirštosios dozės negerkite, o toliau vaisto vartokite įprastu laiku. Negalima vartoti dvigubos dozės norint kompensuoti praleistą dozę.</w:t>
      </w:r>
    </w:p>
    <w:p w14:paraId="78412E85" w14:textId="77777777" w:rsidR="004B5565" w:rsidRPr="00E82419" w:rsidRDefault="004B5565" w:rsidP="004B5565">
      <w:pPr>
        <w:spacing w:after="0" w:line="240" w:lineRule="auto"/>
        <w:rPr>
          <w:rFonts w:ascii="Times New Roman" w:eastAsia="Times New Roman" w:hAnsi="Times New Roman" w:cs="Times New Roman"/>
          <w:b/>
          <w:bCs/>
          <w:lang w:val="lt-LT" w:eastAsia="en-US"/>
        </w:rPr>
      </w:pPr>
    </w:p>
    <w:p w14:paraId="77A291C9"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Nustojus vartoti Biodroxil</w:t>
      </w:r>
    </w:p>
    <w:p w14:paraId="32BFB46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Jūs nutrauksite Biodroxil vartojimą nebaigę viso gydymo kurso, gali vėl atsirasti ligos simptomų, kadangi Jūs esate ne visiškai pasveikę. Jeigu Jūs norite nutraukti Biodroxil vartojimą nebaigę viso gydymo kurso, prieš tai reikia pasitarti su gydytoju ar vaistininku.</w:t>
      </w:r>
    </w:p>
    <w:p w14:paraId="7F786193" w14:textId="77777777" w:rsidR="004D4C15" w:rsidRPr="00E82419" w:rsidRDefault="004D4C15" w:rsidP="00157E61">
      <w:pPr>
        <w:spacing w:after="0" w:line="240" w:lineRule="auto"/>
        <w:rPr>
          <w:rFonts w:ascii="Times New Roman" w:eastAsia="Times New Roman" w:hAnsi="Times New Roman" w:cs="Times New Roman"/>
          <w:lang w:val="lt-LT" w:eastAsia="en-US"/>
        </w:rPr>
      </w:pPr>
    </w:p>
    <w:p w14:paraId="48445144" w14:textId="77777777" w:rsidR="004B5565" w:rsidRPr="00E82419" w:rsidRDefault="004B5565" w:rsidP="00157E61">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kiltų daugiau klausimų dėl šio vaisto vartojimo, kreipkitės į gydytoją arba vaistininką.</w:t>
      </w:r>
    </w:p>
    <w:p w14:paraId="7FEE8A1F"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D35C117" w14:textId="77777777" w:rsidR="004D4C15" w:rsidRPr="00E82419" w:rsidRDefault="004D4C15" w:rsidP="004B5565">
      <w:pPr>
        <w:spacing w:after="0" w:line="240" w:lineRule="auto"/>
        <w:rPr>
          <w:rFonts w:ascii="Times New Roman" w:eastAsia="Times New Roman" w:hAnsi="Times New Roman" w:cs="Times New Roman"/>
          <w:lang w:val="lt-LT" w:eastAsia="en-US"/>
        </w:rPr>
      </w:pPr>
    </w:p>
    <w:p w14:paraId="123D9D0C"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w:t>
      </w:r>
      <w:r w:rsidRPr="00E82419">
        <w:rPr>
          <w:rFonts w:ascii="Times New Roman" w:eastAsia="Times New Roman" w:hAnsi="Times New Roman" w:cs="Times New Roman"/>
          <w:b/>
          <w:lang w:val="lt-LT" w:eastAsia="en-US"/>
        </w:rPr>
        <w:tab/>
        <w:t>Galimas šalutinis poveikis</w:t>
      </w:r>
    </w:p>
    <w:p w14:paraId="60BE9B6A"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B5D2B58"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Šis vaistas, kaip ir visi kiti, gali sukelti šalutinį poveikį, nors jis pasireiškia ne visiems žmonėms.</w:t>
      </w:r>
    </w:p>
    <w:p w14:paraId="10548FC9"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Šis antibiotikas, kaip ir kiti cefalosporinai, paprastai toleruojamas gerai. Šalutinis poveikis pasireiškia maždaug 6</w:t>
      </w:r>
      <w:r w:rsidR="00E97732">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 ligonių.</w:t>
      </w:r>
    </w:p>
    <w:p w14:paraId="171CCA1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2D1C1FD" w14:textId="3B76ABFA" w:rsidR="00C66B2B" w:rsidRPr="00E82419" w:rsidRDefault="00C66B2B" w:rsidP="004B5565">
      <w:pPr>
        <w:spacing w:after="0" w:line="240" w:lineRule="auto"/>
        <w:rPr>
          <w:rFonts w:ascii="Times New Roman" w:eastAsia="Times New Roman" w:hAnsi="Times New Roman" w:cs="Times New Roman"/>
          <w:lang w:val="lt-LT" w:eastAsia="en-US"/>
        </w:rPr>
      </w:pPr>
      <w:r w:rsidRPr="00C66B2B">
        <w:rPr>
          <w:rFonts w:ascii="Times New Roman" w:eastAsia="Times New Roman" w:hAnsi="Times New Roman" w:cs="Times New Roman"/>
          <w:b/>
          <w:lang w:val="lt-LT" w:eastAsia="en-US"/>
        </w:rPr>
        <w:t>Dažni šalutinio poveikio reiškiniai (gali pasireikšti rečiau kaip 1 iš 10 asmenų)</w:t>
      </w:r>
      <w:r>
        <w:rPr>
          <w:rFonts w:ascii="Times New Roman" w:eastAsia="Times New Roman" w:hAnsi="Times New Roman" w:cs="Times New Roman"/>
          <w:b/>
          <w:lang w:val="lt-LT" w:eastAsia="en-US"/>
        </w:rPr>
        <w:t>:</w:t>
      </w:r>
    </w:p>
    <w:p w14:paraId="54C29BE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Viduriavimas, sutrikęs virškinimas, pykinimas, vėmimas ir karščiavimas, pilvo skausmas, liežuvio uždegimas, dilgėlinė, išbėrimas, niežulys.</w:t>
      </w:r>
    </w:p>
    <w:p w14:paraId="48E46B7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E4D380B" w14:textId="17416C24" w:rsidR="00C66B2B" w:rsidRPr="00E82419" w:rsidRDefault="00C66B2B" w:rsidP="004B5565">
      <w:pPr>
        <w:tabs>
          <w:tab w:val="left" w:pos="567"/>
        </w:tabs>
        <w:spacing w:after="0" w:line="240" w:lineRule="auto"/>
        <w:rPr>
          <w:rFonts w:ascii="Times New Roman" w:eastAsia="Times New Roman" w:hAnsi="Times New Roman" w:cs="Times New Roman"/>
          <w:b/>
          <w:lang w:val="lt-LT" w:eastAsia="en-US"/>
        </w:rPr>
      </w:pPr>
      <w:r w:rsidRPr="00C66B2B">
        <w:rPr>
          <w:rFonts w:ascii="Times New Roman" w:eastAsia="Times New Roman" w:hAnsi="Times New Roman" w:cs="Times New Roman"/>
          <w:b/>
          <w:lang w:val="lt-LT" w:eastAsia="en-US"/>
        </w:rPr>
        <w:t>Nedažni šalutinio poveikio reiškiniai (gali pasireikšti rečiau kaip 1 iš 100 asmenų):</w:t>
      </w:r>
    </w:p>
    <w:p w14:paraId="1FB800E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Makšties grybelinė infekcija, burnos pienligė.</w:t>
      </w:r>
    </w:p>
    <w:p w14:paraId="71064B2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AD007F1" w14:textId="44A16239" w:rsidR="00C66B2B" w:rsidRPr="00E82419" w:rsidRDefault="00C66B2B" w:rsidP="004B5565">
      <w:pPr>
        <w:spacing w:after="0" w:line="240" w:lineRule="auto"/>
        <w:rPr>
          <w:rFonts w:ascii="Times New Roman" w:eastAsia="Times New Roman" w:hAnsi="Times New Roman" w:cs="Times New Roman"/>
          <w:lang w:val="lt-LT" w:eastAsia="en-US"/>
        </w:rPr>
      </w:pPr>
      <w:r w:rsidRPr="00C66B2B">
        <w:rPr>
          <w:rFonts w:ascii="Times New Roman" w:eastAsia="Times New Roman" w:hAnsi="Times New Roman" w:cs="Times New Roman"/>
          <w:b/>
          <w:lang w:val="lt-LT" w:eastAsia="en-US"/>
        </w:rPr>
        <w:t xml:space="preserve">Reti šalutinio poveikio reiškiniai (gali pasireikšti rečiau kaip 1 iš 1 000 asmenų): </w:t>
      </w:r>
    </w:p>
    <w:p w14:paraId="04564D02" w14:textId="77777777" w:rsidR="004B5565" w:rsidRPr="00E82419" w:rsidRDefault="004B5565" w:rsidP="004B5565">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Kraujo ląstelių kiekio pokyčiai</w:t>
      </w:r>
      <w:r w:rsidR="005456C8">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(eozinofilija, leukopenija, agranulocitozė, neutropenija, trombocitopenija), alergija (angioneurozinis patinimas, seruminė liga), kepenų sutrikimai (kepenų nepakankamumas, tulžies sąstovis, padidėjęs kepenų fermentų (transaminazių) aktyvumas), sąnarių skausmas, vaistų sukeltas karščiavimas, inkstų uždegimas.</w:t>
      </w:r>
    </w:p>
    <w:p w14:paraId="7DD4F4A1"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15188F83" w14:textId="60DA3764" w:rsidR="00C66B2B" w:rsidRPr="00E82419" w:rsidRDefault="00C66B2B" w:rsidP="004B5565">
      <w:pPr>
        <w:spacing w:after="0" w:line="240" w:lineRule="auto"/>
        <w:rPr>
          <w:rFonts w:ascii="Times New Roman" w:eastAsia="Times New Roman" w:hAnsi="Times New Roman" w:cs="Times New Roman"/>
          <w:b/>
          <w:lang w:val="lt-LT" w:eastAsia="en-US"/>
        </w:rPr>
      </w:pPr>
      <w:r w:rsidRPr="00C66B2B">
        <w:rPr>
          <w:rFonts w:ascii="Times New Roman" w:eastAsia="Times New Roman" w:hAnsi="Times New Roman" w:cs="Times New Roman"/>
          <w:b/>
          <w:lang w:val="lt-LT" w:eastAsia="en-US"/>
        </w:rPr>
        <w:t>Labai reti šalutinio poveikio reiškiniai (gali pasireikšti rečiau kaip 1 iš 10 000 asmenų</w:t>
      </w:r>
      <w:r>
        <w:rPr>
          <w:rFonts w:ascii="Times New Roman" w:eastAsia="Times New Roman" w:hAnsi="Times New Roman" w:cs="Times New Roman"/>
          <w:b/>
          <w:lang w:val="lt-LT" w:eastAsia="en-US"/>
        </w:rPr>
        <w:t>):</w:t>
      </w:r>
    </w:p>
    <w:p w14:paraId="090C5F7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Kraujo sutrikimas (hemolizinė anemija), ūmi alerginė reakcija (anafilaksinis šokas)</w:t>
      </w:r>
      <w:r w:rsidR="005456C8">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 xml:space="preserve"> galvos skausmas, nemiga, svaigulys, nervingumas, tam tikros rūšies viduriavimas (pseudomembraninis kolitas), odos sutrikimai (St</w:t>
      </w:r>
      <w:r w:rsidR="00AF4217">
        <w:rPr>
          <w:rFonts w:ascii="Times New Roman" w:eastAsia="Times New Roman" w:hAnsi="Times New Roman" w:cs="Times New Roman"/>
          <w:lang w:val="lt-LT" w:eastAsia="en-US"/>
        </w:rPr>
        <w:t>i</w:t>
      </w:r>
      <w:r w:rsidRPr="00E82419">
        <w:rPr>
          <w:rFonts w:ascii="Times New Roman" w:eastAsia="Times New Roman" w:hAnsi="Times New Roman" w:cs="Times New Roman"/>
          <w:lang w:val="lt-LT" w:eastAsia="en-US"/>
        </w:rPr>
        <w:t>vens</w:t>
      </w:r>
      <w:r w:rsidR="00AF4217">
        <w:rPr>
          <w:rFonts w:ascii="Times New Roman" w:eastAsia="Times New Roman" w:hAnsi="Times New Roman" w:cs="Times New Roman"/>
          <w:lang w:val="lt-LT" w:eastAsia="en-US"/>
        </w:rPr>
        <w:t>o</w:t>
      </w:r>
      <w:r w:rsidRPr="00E82419">
        <w:rPr>
          <w:rFonts w:ascii="Times New Roman" w:eastAsia="Times New Roman" w:hAnsi="Times New Roman" w:cs="Times New Roman"/>
          <w:lang w:val="lt-LT" w:eastAsia="en-US"/>
        </w:rPr>
        <w:t>-</w:t>
      </w:r>
      <w:r w:rsidR="00AF4217">
        <w:rPr>
          <w:rFonts w:ascii="Times New Roman" w:eastAsia="Times New Roman" w:hAnsi="Times New Roman" w:cs="Times New Roman"/>
          <w:lang w:val="lt-LT" w:eastAsia="en-US"/>
        </w:rPr>
        <w:t>Dž</w:t>
      </w:r>
      <w:r w:rsidRPr="00E82419">
        <w:rPr>
          <w:rFonts w:ascii="Times New Roman" w:eastAsia="Times New Roman" w:hAnsi="Times New Roman" w:cs="Times New Roman"/>
          <w:lang w:val="lt-LT" w:eastAsia="en-US"/>
        </w:rPr>
        <w:t>onson</w:t>
      </w:r>
      <w:r w:rsidR="00AF4217">
        <w:rPr>
          <w:rFonts w:ascii="Times New Roman" w:eastAsia="Times New Roman" w:hAnsi="Times New Roman" w:cs="Times New Roman"/>
          <w:lang w:val="lt-LT" w:eastAsia="en-US"/>
        </w:rPr>
        <w:t>o</w:t>
      </w:r>
      <w:r w:rsidRPr="00E82419">
        <w:rPr>
          <w:rFonts w:ascii="Times New Roman" w:eastAsia="Times New Roman" w:hAnsi="Times New Roman" w:cs="Times New Roman"/>
          <w:lang w:val="lt-LT" w:eastAsia="en-US"/>
        </w:rPr>
        <w:t xml:space="preserve"> sindromas, daugiaformė eritema), nuovargis, pakitę kai kurių tyrimų duomenys (Kumbso reakcijų tyrimo rodmenys).</w:t>
      </w:r>
    </w:p>
    <w:p w14:paraId="3AB67D31" w14:textId="77777777" w:rsidR="004B5565" w:rsidRPr="00E82419" w:rsidRDefault="004B5565" w:rsidP="004B5565">
      <w:pPr>
        <w:spacing w:after="0" w:line="240" w:lineRule="auto"/>
        <w:ind w:left="567" w:hanging="567"/>
        <w:rPr>
          <w:rFonts w:ascii="Times New Roman" w:eastAsia="Times New Roman" w:hAnsi="Times New Roman" w:cs="Times New Roman"/>
          <w:lang w:val="lt-LT" w:eastAsia="en-US"/>
        </w:rPr>
      </w:pPr>
    </w:p>
    <w:p w14:paraId="05EDA668"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Pranešimas apie šalutinį poveikį</w:t>
      </w:r>
    </w:p>
    <w:p w14:paraId="0915A2F3" w14:textId="75F6C5C0" w:rsidR="004B5565" w:rsidRPr="00E82419" w:rsidRDefault="00E0459D" w:rsidP="004B5565">
      <w:pPr>
        <w:spacing w:after="0" w:line="240" w:lineRule="auto"/>
        <w:ind w:right="-2"/>
        <w:rPr>
          <w:rFonts w:ascii="Times New Roman" w:eastAsia="Times New Roman" w:hAnsi="Times New Roman" w:cs="Times New Roman"/>
          <w:lang w:val="lt-LT" w:eastAsia="en-US"/>
        </w:rPr>
      </w:pPr>
      <w:bookmarkStart w:id="14" w:name="_Hlk163224713"/>
      <w:r w:rsidRPr="00E0459D">
        <w:rPr>
          <w:rFonts w:ascii="Times New Roman" w:eastAsia="Times New Roman" w:hAnsi="Times New Roman" w:cs="Times New Roman"/>
          <w:lang w:val="lt-LT" w:eastAsia="en-US"/>
        </w:rPr>
        <w:t>Jeigu pasireiškė šalutinis poveikis, įskaitant šiame lapelyje nenurodytą, pasakykite gydytojui, vaistininkui</w:t>
      </w:r>
      <w:r w:rsidR="003B5547">
        <w:rPr>
          <w:rFonts w:ascii="Times New Roman" w:eastAsia="Times New Roman" w:hAnsi="Times New Roman" w:cs="Times New Roman"/>
          <w:lang w:val="lt-LT" w:eastAsia="en-US"/>
        </w:rPr>
        <w:t xml:space="preserve"> </w:t>
      </w:r>
      <w:r w:rsidRPr="00E0459D">
        <w:rPr>
          <w:rFonts w:ascii="Times New Roman" w:eastAsia="Times New Roman" w:hAnsi="Times New Roman" w:cs="Times New Roman"/>
          <w:lang w:val="lt-LT" w:eastAsia="en-US"/>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bookmarkEnd w:id="14"/>
    <w:p w14:paraId="1E18FC7A" w14:textId="77777777" w:rsidR="004B5565" w:rsidRPr="00E82419" w:rsidRDefault="004B5565" w:rsidP="004B5565">
      <w:pPr>
        <w:spacing w:after="0" w:line="240" w:lineRule="auto"/>
        <w:ind w:right="-2"/>
        <w:rPr>
          <w:rFonts w:ascii="Times New Roman" w:eastAsia="Times New Roman" w:hAnsi="Times New Roman" w:cs="Times New Roman"/>
          <w:lang w:val="lt-LT" w:eastAsia="en-US"/>
        </w:rPr>
      </w:pPr>
    </w:p>
    <w:p w14:paraId="3F9A90A3" w14:textId="77777777" w:rsidR="004B5565" w:rsidRPr="00E82419" w:rsidRDefault="004B5565" w:rsidP="004B5565">
      <w:pPr>
        <w:spacing w:after="0" w:line="240" w:lineRule="auto"/>
        <w:rPr>
          <w:rFonts w:ascii="Times New Roman" w:eastAsia="Times New Roman" w:hAnsi="Times New Roman" w:cs="Times New Roman"/>
          <w:bCs/>
          <w:lang w:val="lt-LT" w:eastAsia="en-US"/>
        </w:rPr>
      </w:pPr>
    </w:p>
    <w:p w14:paraId="27AB9F86" w14:textId="77777777" w:rsidR="004B5565" w:rsidRPr="00E82419" w:rsidRDefault="004B5565" w:rsidP="004B5565">
      <w:pPr>
        <w:spacing w:after="0" w:line="240" w:lineRule="auto"/>
        <w:ind w:left="567" w:hanging="567"/>
        <w:rPr>
          <w:rFonts w:ascii="Times New Roman" w:eastAsia="Times New Roman" w:hAnsi="Times New Roman" w:cs="Times New Roman"/>
          <w:b/>
          <w:bCs/>
          <w:lang w:val="lt-LT" w:eastAsia="en-US"/>
        </w:rPr>
      </w:pPr>
      <w:r w:rsidRPr="00E82419">
        <w:rPr>
          <w:rFonts w:ascii="Times New Roman" w:eastAsia="Times New Roman" w:hAnsi="Times New Roman" w:cs="Times New Roman"/>
          <w:b/>
          <w:bCs/>
          <w:lang w:val="lt-LT" w:eastAsia="en-US"/>
        </w:rPr>
        <w:t>5.</w:t>
      </w:r>
      <w:r w:rsidRPr="00E82419">
        <w:rPr>
          <w:rFonts w:ascii="Times New Roman" w:eastAsia="Times New Roman" w:hAnsi="Times New Roman" w:cs="Times New Roman"/>
          <w:b/>
          <w:bCs/>
          <w:lang w:val="lt-LT" w:eastAsia="en-US"/>
        </w:rPr>
        <w:tab/>
        <w:t>Kaip laikyti Biodroxil</w:t>
      </w:r>
    </w:p>
    <w:p w14:paraId="7E139724"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09A3A83"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Šį vaistą laikykite vaikams nepastebimoje ir nepasiekiamoje vietoje.</w:t>
      </w:r>
    </w:p>
    <w:p w14:paraId="47C385F0" w14:textId="77777777" w:rsidR="00EA62A5" w:rsidRDefault="00EA62A5" w:rsidP="004B5565">
      <w:pPr>
        <w:spacing w:after="0" w:line="240" w:lineRule="auto"/>
        <w:rPr>
          <w:rFonts w:ascii="Times New Roman" w:eastAsia="Times New Roman" w:hAnsi="Times New Roman" w:cs="Times New Roman"/>
          <w:lang w:val="lt-LT" w:eastAsia="en-US"/>
        </w:rPr>
      </w:pPr>
      <w:r w:rsidRPr="00EA62A5">
        <w:rPr>
          <w:rFonts w:ascii="Times New Roman" w:eastAsia="Times New Roman" w:hAnsi="Times New Roman" w:cs="Times New Roman"/>
          <w:lang w:val="lt-LT" w:eastAsia="en-US"/>
        </w:rPr>
        <w:t xml:space="preserve">Laikyti ne aukštesnėje kaip 30°C temperatūroje. </w:t>
      </w:r>
    </w:p>
    <w:p w14:paraId="32F61391" w14:textId="77777777" w:rsidR="004B5565" w:rsidRPr="00E82419" w:rsidRDefault="00EA62A5" w:rsidP="004B5565">
      <w:pPr>
        <w:spacing w:after="0" w:line="240" w:lineRule="auto"/>
        <w:rPr>
          <w:rFonts w:ascii="Times New Roman" w:eastAsia="Times New Roman" w:hAnsi="Times New Roman" w:cs="Times New Roman"/>
          <w:lang w:val="lt-LT" w:eastAsia="en-US"/>
        </w:rPr>
      </w:pPr>
      <w:r w:rsidRPr="00EA62A5">
        <w:rPr>
          <w:rFonts w:ascii="Times New Roman" w:eastAsia="Times New Roman" w:hAnsi="Times New Roman" w:cs="Times New Roman"/>
          <w:lang w:val="lt-LT" w:eastAsia="en-US"/>
        </w:rPr>
        <w:t xml:space="preserve">Buteliuką laikyti sandarų, kad </w:t>
      </w:r>
      <w:r>
        <w:rPr>
          <w:rFonts w:ascii="Times New Roman" w:eastAsia="Times New Roman" w:hAnsi="Times New Roman" w:cs="Times New Roman"/>
          <w:lang w:val="lt-LT" w:eastAsia="en-US"/>
        </w:rPr>
        <w:t>vaistas</w:t>
      </w:r>
      <w:r w:rsidRPr="00EA62A5">
        <w:rPr>
          <w:rFonts w:ascii="Times New Roman" w:eastAsia="Times New Roman" w:hAnsi="Times New Roman" w:cs="Times New Roman"/>
          <w:lang w:val="lt-LT" w:eastAsia="en-US"/>
        </w:rPr>
        <w:t xml:space="preserve"> būtų apsaugotas nuo šviesos ir drėgmės</w:t>
      </w:r>
      <w:r>
        <w:rPr>
          <w:rFonts w:ascii="Times New Roman" w:eastAsia="Times New Roman" w:hAnsi="Times New Roman" w:cs="Times New Roman"/>
          <w:lang w:val="lt-LT" w:eastAsia="en-US"/>
        </w:rPr>
        <w:t>.</w:t>
      </w:r>
      <w:r w:rsidRPr="00EA62A5" w:rsidDel="00EA62A5">
        <w:rPr>
          <w:rFonts w:ascii="Times New Roman" w:eastAsia="Times New Roman" w:hAnsi="Times New Roman" w:cs="Times New Roman"/>
          <w:lang w:val="lt-LT" w:eastAsia="en-US"/>
        </w:rPr>
        <w:t xml:space="preserve"> </w:t>
      </w:r>
    </w:p>
    <w:p w14:paraId="2559712D"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Paruoštos suspensijos tinkamumo laikas yra 14 parų.</w:t>
      </w:r>
    </w:p>
    <w:p w14:paraId="73579A78" w14:textId="77777777" w:rsidR="004B5565" w:rsidRPr="00E82419" w:rsidRDefault="009E70E3"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Paruoštą suspensiją reikia laikyti </w:t>
      </w:r>
      <w:r w:rsidR="007931B0">
        <w:rPr>
          <w:rFonts w:ascii="Times New Roman" w:eastAsia="Times New Roman" w:hAnsi="Times New Roman" w:cs="Times New Roman"/>
          <w:lang w:val="lt-LT" w:eastAsia="en-US"/>
        </w:rPr>
        <w:t>šaldytuve (</w:t>
      </w:r>
      <w:r>
        <w:rPr>
          <w:rFonts w:ascii="Times New Roman" w:eastAsia="Times New Roman" w:hAnsi="Times New Roman" w:cs="Times New Roman"/>
          <w:lang w:val="lt-LT" w:eastAsia="en-US"/>
        </w:rPr>
        <w:t>2 - 8</w:t>
      </w:r>
      <w:r w:rsidRPr="00E82419">
        <w:rPr>
          <w:rFonts w:ascii="Times New Roman" w:eastAsia="Times New Roman" w:hAnsi="Times New Roman" w:cs="Times New Roman"/>
          <w:lang w:val="lt-LT" w:eastAsia="en-US"/>
        </w:rPr>
        <w:t> °C</w:t>
      </w:r>
      <w:r w:rsidR="007931B0">
        <w:rPr>
          <w:rFonts w:ascii="Times New Roman" w:eastAsia="Times New Roman" w:hAnsi="Times New Roman" w:cs="Times New Roman"/>
          <w:lang w:val="lt-LT" w:eastAsia="en-US"/>
        </w:rPr>
        <w:t>)</w:t>
      </w:r>
      <w:r w:rsidR="004B5565" w:rsidRPr="00E82419">
        <w:rPr>
          <w:rFonts w:ascii="Times New Roman" w:eastAsia="Times New Roman" w:hAnsi="Times New Roman" w:cs="Times New Roman"/>
          <w:lang w:val="lt-LT" w:eastAsia="en-US"/>
        </w:rPr>
        <w:t>.</w:t>
      </w:r>
    </w:p>
    <w:p w14:paraId="02CDE69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0148946"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Ant dėžutės ir buteliuko etiketės po „</w:t>
      </w:r>
      <w:r w:rsidR="00E97732">
        <w:rPr>
          <w:rFonts w:ascii="Times New Roman" w:eastAsia="Times New Roman" w:hAnsi="Times New Roman" w:cs="Times New Roman"/>
          <w:lang w:val="lt-LT" w:eastAsia="en-US"/>
        </w:rPr>
        <w:t>EXP</w:t>
      </w:r>
      <w:r w:rsidRPr="00E82419">
        <w:rPr>
          <w:rFonts w:ascii="Times New Roman" w:eastAsia="Times New Roman" w:hAnsi="Times New Roman" w:cs="Times New Roman"/>
          <w:lang w:val="lt-LT" w:eastAsia="en-US"/>
        </w:rPr>
        <w:t>“ nurodytam tinkamumo laikui pasibaigus, šio vaisto vartoti negalima. Vaistas tinkamas vartoti iki paskutinės nurodyto mėnesio dienos</w:t>
      </w:r>
      <w:r w:rsidR="005456C8">
        <w:rPr>
          <w:rFonts w:ascii="Times New Roman" w:eastAsia="Times New Roman" w:hAnsi="Times New Roman" w:cs="Times New Roman"/>
          <w:lang w:val="lt-LT" w:eastAsia="en-US"/>
        </w:rPr>
        <w:t>.</w:t>
      </w:r>
    </w:p>
    <w:p w14:paraId="1EE3086B"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06C6AE04"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Vaistų negalima išmesti į kanalizaciją arba su buitinėmis atliekomis. Kaip išmesti nereikalingus vaistus, klauskite vaistininko. Šios priemonės padės apsaugoti aplinką.</w:t>
      </w:r>
    </w:p>
    <w:p w14:paraId="0F0E8B53"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3C03A7A6"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7343637E" w14:textId="77777777" w:rsidR="004B5565" w:rsidRPr="00E82419" w:rsidRDefault="004B5565" w:rsidP="004B5565">
      <w:pPr>
        <w:spacing w:after="0" w:line="240" w:lineRule="auto"/>
        <w:ind w:left="567" w:hanging="567"/>
        <w:rPr>
          <w:rFonts w:ascii="Times New Roman" w:eastAsia="Times New Roman" w:hAnsi="Times New Roman" w:cs="Times New Roman"/>
          <w:b/>
          <w:lang w:val="lt-LT" w:eastAsia="en-US"/>
        </w:rPr>
      </w:pPr>
      <w:bookmarkStart w:id="15" w:name="_Toc129243269"/>
      <w:bookmarkStart w:id="16" w:name="_Toc129243144"/>
      <w:r w:rsidRPr="00E82419">
        <w:rPr>
          <w:rFonts w:ascii="Times New Roman" w:eastAsia="Times New Roman" w:hAnsi="Times New Roman" w:cs="Times New Roman"/>
          <w:b/>
          <w:lang w:val="lt-LT" w:eastAsia="en-US"/>
        </w:rPr>
        <w:t>6.</w:t>
      </w:r>
      <w:r w:rsidRPr="00E82419">
        <w:rPr>
          <w:rFonts w:ascii="Times New Roman" w:eastAsia="Times New Roman" w:hAnsi="Times New Roman" w:cs="Times New Roman"/>
          <w:b/>
          <w:lang w:val="lt-LT" w:eastAsia="en-US"/>
        </w:rPr>
        <w:tab/>
        <w:t>Pakuotės turinys ir kita informacija</w:t>
      </w:r>
      <w:bookmarkEnd w:id="15"/>
      <w:bookmarkEnd w:id="16"/>
    </w:p>
    <w:p w14:paraId="7B4CD0F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4CF92E54"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sudėtis</w:t>
      </w:r>
    </w:p>
    <w:p w14:paraId="0E7338F1" w14:textId="77777777" w:rsidR="004B5565" w:rsidRPr="00E82419" w:rsidRDefault="004B5565" w:rsidP="004B5565">
      <w:pPr>
        <w:numPr>
          <w:ilvl w:val="0"/>
          <w:numId w:val="5"/>
        </w:numPr>
        <w:spacing w:after="0" w:line="240" w:lineRule="auto"/>
        <w:ind w:hanging="283"/>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Veiklioji medžiaga yra cefadroksilis. 5  ml paruoštos suspensijos (1 matavimo šaukšte) yra 250 mg cefadroksilio (monohidrato pavidalu).</w:t>
      </w:r>
    </w:p>
    <w:p w14:paraId="755C22A8" w14:textId="77777777" w:rsidR="004B5565" w:rsidRPr="00E82419" w:rsidRDefault="004B5565" w:rsidP="004B5565">
      <w:pPr>
        <w:numPr>
          <w:ilvl w:val="0"/>
          <w:numId w:val="5"/>
        </w:numPr>
        <w:spacing w:after="0" w:line="240" w:lineRule="auto"/>
        <w:ind w:hanging="283"/>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lastRenderedPageBreak/>
        <w:t>Pagalbinės medžiagos yra guarogalaktomananas, magnio stearatas, koloidinis bevandenis silicio dioksidas, titano dioksidas (E171), talkas, sacharinas, cukrus, persikų ir abrikosų skonio kvapioji medžiaga.</w:t>
      </w:r>
    </w:p>
    <w:p w14:paraId="6AAA6E35"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2752C5BE"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išvaizda ir kiekis pakuotėje</w:t>
      </w:r>
    </w:p>
    <w:p w14:paraId="2D78BF60"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Balti ar šviesiai gelsvi milteliai. Paruošta suspensija yra baltos ar šviesiai gelsvos spalvos.</w:t>
      </w:r>
    </w:p>
    <w:p w14:paraId="0C5285F1" w14:textId="77777777" w:rsidR="004B5565" w:rsidRPr="00E82419" w:rsidRDefault="004B5565"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lang w:val="lt-LT" w:eastAsia="en-US"/>
        </w:rPr>
        <w:t xml:space="preserve">Kartono dėžutėje yra vienas gintaro spalvos stiklinis </w:t>
      </w:r>
      <w:r w:rsidR="00FD6479" w:rsidRPr="00E82419">
        <w:rPr>
          <w:rFonts w:ascii="Times New Roman" w:eastAsia="Times New Roman" w:hAnsi="Times New Roman" w:cs="Times New Roman"/>
          <w:lang w:val="lt-LT" w:eastAsia="en-US"/>
        </w:rPr>
        <w:t xml:space="preserve">buteliukas </w:t>
      </w:r>
      <w:r w:rsidRPr="00E82419">
        <w:rPr>
          <w:rFonts w:ascii="Times New Roman" w:eastAsia="Times New Roman" w:hAnsi="Times New Roman" w:cs="Times New Roman"/>
          <w:lang w:val="lt-LT" w:eastAsia="en-US"/>
        </w:rPr>
        <w:t xml:space="preserve">60 ml </w:t>
      </w:r>
      <w:r w:rsidR="00FD6479">
        <w:rPr>
          <w:rFonts w:ascii="Times New Roman" w:eastAsia="Times New Roman" w:hAnsi="Times New Roman" w:cs="Times New Roman"/>
          <w:lang w:val="lt-LT" w:eastAsia="en-US"/>
        </w:rPr>
        <w:t>geriamosios suspensijos</w:t>
      </w:r>
      <w:r w:rsidR="00D1261A">
        <w:rPr>
          <w:rFonts w:ascii="Times New Roman" w:eastAsia="Times New Roman" w:hAnsi="Times New Roman" w:cs="Times New Roman"/>
          <w:lang w:val="lt-LT" w:eastAsia="en-US"/>
        </w:rPr>
        <w:t xml:space="preserve"> pa</w:t>
      </w:r>
      <w:r w:rsidR="00FD6479">
        <w:rPr>
          <w:rFonts w:ascii="Times New Roman" w:eastAsia="Times New Roman" w:hAnsi="Times New Roman" w:cs="Times New Roman"/>
          <w:lang w:val="lt-LT" w:eastAsia="en-US"/>
        </w:rPr>
        <w:t>ruoš</w:t>
      </w:r>
      <w:r w:rsidR="00D1261A">
        <w:rPr>
          <w:rFonts w:ascii="Times New Roman" w:eastAsia="Times New Roman" w:hAnsi="Times New Roman" w:cs="Times New Roman"/>
          <w:lang w:val="lt-LT" w:eastAsia="en-US"/>
        </w:rPr>
        <w:t>imui</w:t>
      </w:r>
      <w:r w:rsidR="007931B0">
        <w:rPr>
          <w:rFonts w:ascii="Times New Roman" w:eastAsia="Times New Roman" w:hAnsi="Times New Roman" w:cs="Times New Roman"/>
          <w:lang w:val="lt-LT" w:eastAsia="en-US"/>
        </w:rPr>
        <w:t>, užsuktas vaikų sunkiai atidaromu uždoriu,</w:t>
      </w:r>
      <w:r w:rsidR="00FD647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ir PP matavimo šaukštas (paženklintas 1,25 ml, 2,5 ml ir 5 ml žymomis).</w:t>
      </w:r>
    </w:p>
    <w:p w14:paraId="54E92DA4" w14:textId="77777777" w:rsidR="004B5565" w:rsidRPr="00E82419" w:rsidRDefault="004B5565" w:rsidP="004B5565">
      <w:pPr>
        <w:spacing w:after="0" w:line="240" w:lineRule="auto"/>
        <w:rPr>
          <w:rFonts w:ascii="Times New Roman" w:eastAsia="Times New Roman" w:hAnsi="Times New Roman" w:cs="Times New Roman"/>
          <w:b/>
          <w:lang w:val="lt-LT" w:eastAsia="en-US"/>
        </w:rPr>
      </w:pPr>
    </w:p>
    <w:p w14:paraId="1088C42C" w14:textId="77777777" w:rsidR="004B5565" w:rsidRPr="00E82419" w:rsidRDefault="004B3932" w:rsidP="004B5565">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Registruotojas</w:t>
      </w:r>
      <w:r w:rsidR="004B5565" w:rsidRPr="00E82419">
        <w:rPr>
          <w:rFonts w:ascii="Times New Roman" w:eastAsia="Times New Roman" w:hAnsi="Times New Roman" w:cs="Times New Roman"/>
          <w:b/>
          <w:lang w:val="lt-LT" w:eastAsia="en-US"/>
        </w:rPr>
        <w:t xml:space="preserve"> ir gamintojas</w:t>
      </w:r>
    </w:p>
    <w:p w14:paraId="69DA8C6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w:t>
      </w:r>
      <w:r w:rsidR="004B3932"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GmbH</w:t>
      </w:r>
    </w:p>
    <w:p w14:paraId="0049ED2B"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Biochemiestrasse 10</w:t>
      </w:r>
    </w:p>
    <w:p w14:paraId="2F1C4D9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A-6250</w:t>
      </w:r>
      <w:r w:rsidR="005456C8">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Kundl</w:t>
      </w:r>
    </w:p>
    <w:p w14:paraId="6BDA1BFC"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Austrija</w:t>
      </w:r>
    </w:p>
    <w:p w14:paraId="29707142" w14:textId="77777777" w:rsidR="004B5565" w:rsidRPr="00E82419" w:rsidRDefault="004B5565" w:rsidP="004B5565">
      <w:pPr>
        <w:spacing w:after="0" w:line="240" w:lineRule="auto"/>
        <w:rPr>
          <w:rFonts w:ascii="Times New Roman" w:eastAsia="Times New Roman" w:hAnsi="Times New Roman" w:cs="Times New Roman"/>
          <w:lang w:val="lt-LT" w:eastAsia="en-US"/>
        </w:rPr>
      </w:pPr>
    </w:p>
    <w:p w14:paraId="59B5BB3B" w14:textId="77777777" w:rsidR="004B5565" w:rsidRPr="00E82419" w:rsidRDefault="004B5565" w:rsidP="004B5565">
      <w:pPr>
        <w:spacing w:after="0" w:line="240" w:lineRule="auto"/>
        <w:rPr>
          <w:rFonts w:ascii="Times New Roman" w:eastAsiaTheme="minorHAnsi" w:hAnsi="Times New Roman" w:cs="Times New Roman"/>
          <w:lang w:val="lt-LT" w:eastAsia="en-US"/>
        </w:rPr>
      </w:pPr>
      <w:r w:rsidRPr="00E82419">
        <w:rPr>
          <w:rFonts w:ascii="Times New Roman" w:eastAsiaTheme="minorHAnsi" w:hAnsi="Times New Roman" w:cs="Times New Roman"/>
          <w:lang w:val="lt-LT" w:eastAsia="en-US"/>
        </w:rPr>
        <w:t xml:space="preserve">Jeigu apie šį vaistą norite sužinoti daugiau, kreipkitės į vietinį </w:t>
      </w:r>
      <w:r w:rsidR="00AF4217">
        <w:rPr>
          <w:rFonts w:ascii="Times New Roman" w:eastAsiaTheme="minorHAnsi" w:hAnsi="Times New Roman" w:cs="Times New Roman"/>
          <w:lang w:val="lt-LT" w:eastAsia="en-US"/>
        </w:rPr>
        <w:t>registruotojo</w:t>
      </w:r>
      <w:r w:rsidRPr="00E82419">
        <w:rPr>
          <w:rFonts w:ascii="Times New Roman" w:eastAsiaTheme="minorHAnsi" w:hAnsi="Times New Roman" w:cs="Times New Roman"/>
          <w:lang w:val="lt-LT" w:eastAsia="en-US"/>
        </w:rPr>
        <w:t xml:space="preserve"> atstovą.</w:t>
      </w:r>
    </w:p>
    <w:p w14:paraId="2BDCA080" w14:textId="77777777" w:rsidR="004B5565" w:rsidRPr="00E82419" w:rsidRDefault="004B5565" w:rsidP="004B5565">
      <w:pPr>
        <w:spacing w:after="0" w:line="240" w:lineRule="auto"/>
        <w:rPr>
          <w:rFonts w:ascii="Times New Roman" w:eastAsiaTheme="minorHAnsi" w:hAnsi="Times New Roman" w:cs="Times New Roman"/>
          <w:lang w:val="lt-LT" w:eastAsia="en-US"/>
        </w:rPr>
      </w:pPr>
    </w:p>
    <w:p w14:paraId="4A060EB7"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w:t>
      </w:r>
      <w:r w:rsidR="004B3932"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Pharmaceuticals</w:t>
      </w:r>
      <w:r w:rsidR="004B3932" w:rsidRPr="00E82419">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d.d. filialas</w:t>
      </w:r>
    </w:p>
    <w:p w14:paraId="0391D7F5" w14:textId="77777777" w:rsidR="004B5565" w:rsidRPr="00E82419" w:rsidRDefault="004B5565" w:rsidP="004B5565">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Tel. </w:t>
      </w:r>
      <w:r w:rsidR="004B3932" w:rsidRPr="00E82419">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370 5 2636 037</w:t>
      </w:r>
    </w:p>
    <w:p w14:paraId="1F3AC7B3" w14:textId="77777777" w:rsidR="00AF4217" w:rsidRPr="00AF4217" w:rsidRDefault="00AF4217" w:rsidP="00AF4217">
      <w:pPr>
        <w:numPr>
          <w:ilvl w:val="12"/>
          <w:numId w:val="0"/>
        </w:numPr>
        <w:tabs>
          <w:tab w:val="left" w:pos="567"/>
        </w:tabs>
        <w:spacing w:after="0" w:line="240" w:lineRule="auto"/>
        <w:ind w:left="567" w:hanging="567"/>
        <w:jc w:val="both"/>
        <w:rPr>
          <w:rFonts w:ascii="Times New Roman" w:eastAsia="Times New Roman" w:hAnsi="Times New Roman" w:cs="Times New Roman"/>
          <w:lang w:val="lt-LT" w:eastAsia="en-US"/>
        </w:rPr>
      </w:pPr>
      <w:r w:rsidRPr="00AF4217">
        <w:rPr>
          <w:rFonts w:ascii="Times New Roman" w:eastAsia="Times New Roman" w:hAnsi="Times New Roman" w:cs="Times New Roman"/>
          <w:lang w:val="lt-LT" w:eastAsia="en-US"/>
        </w:rPr>
        <w:t>El.</w:t>
      </w:r>
      <w:r w:rsidR="005456C8">
        <w:rPr>
          <w:rFonts w:ascii="Times New Roman" w:eastAsia="Times New Roman" w:hAnsi="Times New Roman" w:cs="Times New Roman"/>
          <w:lang w:val="lt-LT" w:eastAsia="en-US"/>
        </w:rPr>
        <w:t xml:space="preserve"> </w:t>
      </w:r>
      <w:r w:rsidRPr="00AF4217">
        <w:rPr>
          <w:rFonts w:ascii="Times New Roman" w:eastAsia="Times New Roman" w:hAnsi="Times New Roman" w:cs="Times New Roman"/>
          <w:lang w:val="lt-LT" w:eastAsia="en-US"/>
        </w:rPr>
        <w:t>pašto adresas: info.lithuania@sandoz.com</w:t>
      </w:r>
    </w:p>
    <w:p w14:paraId="2D0BF240" w14:textId="77777777" w:rsidR="004B5565" w:rsidRPr="00E82419" w:rsidRDefault="004B5565" w:rsidP="004B5565">
      <w:pPr>
        <w:numPr>
          <w:ilvl w:val="12"/>
          <w:numId w:val="0"/>
        </w:numPr>
        <w:spacing w:after="0" w:line="240" w:lineRule="auto"/>
        <w:ind w:left="567" w:hanging="567"/>
        <w:jc w:val="both"/>
        <w:rPr>
          <w:rFonts w:ascii="Times New Roman" w:eastAsia="Times New Roman" w:hAnsi="Times New Roman" w:cs="Times New Roman"/>
          <w:lang w:val="lt-LT" w:eastAsia="en-US"/>
        </w:rPr>
      </w:pPr>
    </w:p>
    <w:p w14:paraId="268F4DDB" w14:textId="1A9D3F12" w:rsidR="00C66B2B" w:rsidRDefault="004B5565" w:rsidP="00795410">
      <w:pPr>
        <w:spacing w:after="0" w:line="240" w:lineRule="auto"/>
        <w:rPr>
          <w:rFonts w:ascii="Times New Roman" w:eastAsiaTheme="minorHAnsi" w:hAnsi="Times New Roman" w:cs="Times New Roman"/>
          <w:b/>
          <w:lang w:val="lt-LT" w:eastAsia="en-US"/>
        </w:rPr>
      </w:pPr>
      <w:r w:rsidRPr="00E82419">
        <w:rPr>
          <w:rFonts w:ascii="Times New Roman" w:eastAsiaTheme="minorHAnsi" w:hAnsi="Times New Roman" w:cs="Times New Roman"/>
          <w:b/>
          <w:bCs/>
          <w:lang w:val="lt-LT" w:eastAsia="en-US"/>
        </w:rPr>
        <w:t>Šis pakuotės lapelis</w:t>
      </w:r>
      <w:r w:rsidRPr="00E82419">
        <w:rPr>
          <w:rFonts w:ascii="Times New Roman" w:eastAsiaTheme="minorHAnsi" w:hAnsi="Times New Roman" w:cs="Times New Roman"/>
          <w:b/>
          <w:lang w:val="lt-LT" w:eastAsia="en-US"/>
        </w:rPr>
        <w:t xml:space="preserve"> paskutinį kartą peržiūrėtas</w:t>
      </w:r>
      <w:r w:rsidR="00C66B2B">
        <w:rPr>
          <w:rFonts w:ascii="Times New Roman" w:eastAsiaTheme="minorHAnsi" w:hAnsi="Times New Roman" w:cs="Times New Roman"/>
          <w:b/>
          <w:lang w:val="lt-LT" w:eastAsia="en-US"/>
        </w:rPr>
        <w:t xml:space="preserve"> 202</w:t>
      </w:r>
      <w:r w:rsidR="00277DC8">
        <w:rPr>
          <w:rFonts w:ascii="Times New Roman" w:eastAsiaTheme="minorHAnsi" w:hAnsi="Times New Roman" w:cs="Times New Roman"/>
          <w:b/>
          <w:lang w:val="lt-LT" w:eastAsia="en-US"/>
        </w:rPr>
        <w:t>5-02-0</w:t>
      </w:r>
      <w:r w:rsidR="00865552">
        <w:rPr>
          <w:rFonts w:ascii="Times New Roman" w:eastAsiaTheme="minorHAnsi" w:hAnsi="Times New Roman" w:cs="Times New Roman"/>
          <w:b/>
          <w:lang w:val="lt-LT" w:eastAsia="en-US"/>
        </w:rPr>
        <w:t>7</w:t>
      </w:r>
      <w:r w:rsidR="00277DC8">
        <w:rPr>
          <w:rFonts w:ascii="Times New Roman" w:eastAsiaTheme="minorHAnsi" w:hAnsi="Times New Roman" w:cs="Times New Roman"/>
          <w:b/>
          <w:lang w:val="lt-LT" w:eastAsia="en-US"/>
        </w:rPr>
        <w:t>.</w:t>
      </w:r>
    </w:p>
    <w:p w14:paraId="58A096C4" w14:textId="77777777" w:rsidR="009B3703" w:rsidRDefault="009B3703" w:rsidP="00795410">
      <w:pPr>
        <w:spacing w:after="0" w:line="240" w:lineRule="auto"/>
        <w:rPr>
          <w:rFonts w:ascii="Times New Roman" w:eastAsiaTheme="minorHAnsi" w:hAnsi="Times New Roman" w:cs="Times New Roman"/>
          <w:lang w:val="lt-LT" w:eastAsia="en-US"/>
        </w:rPr>
      </w:pPr>
    </w:p>
    <w:p w14:paraId="4DAD03BA" w14:textId="0766B2A8" w:rsidR="00795410" w:rsidRDefault="004B5565" w:rsidP="00795410">
      <w:pPr>
        <w:spacing w:after="0" w:line="240" w:lineRule="auto"/>
        <w:rPr>
          <w:rFonts w:ascii="Times New Roman" w:eastAsiaTheme="minorHAnsi" w:hAnsi="Times New Roman" w:cs="Times New Roman"/>
          <w:color w:val="0000FF"/>
          <w:u w:val="single"/>
          <w:lang w:val="lt-LT" w:eastAsia="en-US"/>
        </w:rPr>
      </w:pPr>
      <w:r w:rsidRPr="00E82419">
        <w:rPr>
          <w:rFonts w:ascii="Times New Roman" w:eastAsiaTheme="minorHAnsi" w:hAnsi="Times New Roman" w:cs="Times New Roman"/>
          <w:lang w:val="lt-LT" w:eastAsia="en-US"/>
        </w:rPr>
        <w:t xml:space="preserve">Išsami informacija apie šį vaistą pateikiama Valstybinės vaistų kontrolės tarnybos prie Lietuvos Respublikos sveikatos apsaugos ministerijos tinklalapyje </w:t>
      </w:r>
      <w:r w:rsidR="00C7102D" w:rsidRPr="00C7102D">
        <w:rPr>
          <w:rFonts w:ascii="Times New Roman" w:eastAsia="Times New Roman" w:hAnsi="Times New Roman" w:cs="Times New Roman"/>
          <w:color w:val="0000EE"/>
          <w:u w:val="single"/>
          <w:lang w:val="lt-LT" w:eastAsia="lt-LT"/>
        </w:rPr>
        <w:t>https://vvkt.lrv.lt/lt/</w:t>
      </w:r>
      <w:r w:rsidR="00AE05B0">
        <w:rPr>
          <w:rFonts w:ascii="Times New Roman" w:eastAsia="Times New Roman" w:hAnsi="Times New Roman" w:cs="Times New Roman"/>
          <w:color w:val="0000EE"/>
          <w:u w:val="single"/>
          <w:lang w:val="lt-LT" w:eastAsia="lt-LT"/>
        </w:rPr>
        <w:t>.</w:t>
      </w:r>
    </w:p>
    <w:p w14:paraId="0174E445" w14:textId="77777777" w:rsidR="003A396B" w:rsidRDefault="003A396B" w:rsidP="00795410">
      <w:pPr>
        <w:spacing w:after="0" w:line="240" w:lineRule="auto"/>
        <w:rPr>
          <w:rFonts w:ascii="Times New Roman" w:eastAsiaTheme="minorHAnsi" w:hAnsi="Times New Roman" w:cs="Times New Roman"/>
          <w:color w:val="0000FF"/>
          <w:u w:val="single"/>
          <w:lang w:val="lt-LT" w:eastAsia="en-US"/>
        </w:rPr>
      </w:pPr>
      <w:bookmarkStart w:id="17" w:name="_GoBack"/>
      <w:bookmarkEnd w:id="17"/>
    </w:p>
    <w:p w14:paraId="7C65E9EE" w14:textId="77777777" w:rsidR="003A396B" w:rsidRPr="00795410" w:rsidRDefault="003A396B" w:rsidP="00795410">
      <w:pPr>
        <w:spacing w:after="0" w:line="240" w:lineRule="auto"/>
        <w:rPr>
          <w:rFonts w:ascii="Times New Roman" w:eastAsiaTheme="minorHAnsi" w:hAnsi="Times New Roman" w:cs="Times New Roman"/>
          <w:lang w:val="lt-LT" w:eastAsia="en-US"/>
        </w:rPr>
      </w:pPr>
    </w:p>
    <w:sectPr w:rsidR="003A396B" w:rsidRPr="00795410" w:rsidSect="004D4C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E2BD" w14:textId="77777777" w:rsidR="00B706F0" w:rsidRDefault="00B706F0" w:rsidP="00B706F0">
      <w:pPr>
        <w:spacing w:after="0" w:line="240" w:lineRule="auto"/>
      </w:pPr>
      <w:r>
        <w:separator/>
      </w:r>
    </w:p>
  </w:endnote>
  <w:endnote w:type="continuationSeparator" w:id="0">
    <w:p w14:paraId="0C5839F2" w14:textId="77777777" w:rsidR="00B706F0" w:rsidRDefault="00B706F0" w:rsidP="00B7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F252D" w14:textId="77777777" w:rsidR="00B706F0" w:rsidRDefault="00B706F0" w:rsidP="00B706F0">
      <w:pPr>
        <w:spacing w:after="0" w:line="240" w:lineRule="auto"/>
      </w:pPr>
      <w:r>
        <w:separator/>
      </w:r>
    </w:p>
  </w:footnote>
  <w:footnote w:type="continuationSeparator" w:id="0">
    <w:p w14:paraId="77D12B1A" w14:textId="77777777" w:rsidR="00B706F0" w:rsidRDefault="00B706F0" w:rsidP="00B70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FC9"/>
    <w:multiLevelType w:val="hybridMultilevel"/>
    <w:tmpl w:val="D2ACB75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7D8E2E7E"/>
    <w:lvl w:ilvl="0" w:tplc="F9E695B0">
      <w:start w:val="1"/>
      <w:numFmt w:val="bullet"/>
      <w:pStyle w:val="BT-EMEASMCA"/>
      <w:lvlText w:val="-"/>
      <w:lvlJc w:val="left"/>
      <w:pPr>
        <w:tabs>
          <w:tab w:val="num" w:pos="647"/>
        </w:tabs>
        <w:ind w:left="647"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A3685"/>
    <w:multiLevelType w:val="hybridMultilevel"/>
    <w:tmpl w:val="7A5805D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D77986"/>
    <w:multiLevelType w:val="hybridMultilevel"/>
    <w:tmpl w:val="D96CBD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0331D3"/>
    <w:multiLevelType w:val="hybridMultilevel"/>
    <w:tmpl w:val="34FAC5A4"/>
    <w:lvl w:ilvl="0" w:tplc="4A341CFE">
      <w:start w:val="1"/>
      <w:numFmt w:val="bullet"/>
      <w:lvlText w:val="-"/>
      <w:lvlJc w:val="left"/>
      <w:pPr>
        <w:ind w:left="1004" w:hanging="360"/>
      </w:pPr>
      <w:rPr>
        <w:rFonts w:ascii="Tahoma" w:hAnsi="Tahoma"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B5925"/>
    <w:multiLevelType w:val="hybridMultilevel"/>
    <w:tmpl w:val="4C7EED3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09E31F5"/>
    <w:multiLevelType w:val="hybridMultilevel"/>
    <w:tmpl w:val="580C57A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79A2B77"/>
    <w:multiLevelType w:val="hybridMultilevel"/>
    <w:tmpl w:val="8214D8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6"/>
  </w:num>
  <w:num w:numId="5">
    <w:abstractNumId w:val="3"/>
  </w:num>
  <w:num w:numId="6">
    <w:abstractNumId w:val="7"/>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hyphenationZone w:val="396"/>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65"/>
    <w:rsid w:val="00000F67"/>
    <w:rsid w:val="00003ED1"/>
    <w:rsid w:val="000176A8"/>
    <w:rsid w:val="00026E4D"/>
    <w:rsid w:val="00057E63"/>
    <w:rsid w:val="00082870"/>
    <w:rsid w:val="00092F02"/>
    <w:rsid w:val="000E4084"/>
    <w:rsid w:val="000E4293"/>
    <w:rsid w:val="0010236A"/>
    <w:rsid w:val="00104CA7"/>
    <w:rsid w:val="00116339"/>
    <w:rsid w:val="00122F67"/>
    <w:rsid w:val="00144925"/>
    <w:rsid w:val="00150F96"/>
    <w:rsid w:val="00157E61"/>
    <w:rsid w:val="001A329F"/>
    <w:rsid w:val="001A630A"/>
    <w:rsid w:val="001A77F2"/>
    <w:rsid w:val="001C79FB"/>
    <w:rsid w:val="001E3934"/>
    <w:rsid w:val="001E79DA"/>
    <w:rsid w:val="001F6F23"/>
    <w:rsid w:val="00204F3A"/>
    <w:rsid w:val="00224B8F"/>
    <w:rsid w:val="00225385"/>
    <w:rsid w:val="002444E1"/>
    <w:rsid w:val="00261192"/>
    <w:rsid w:val="00261365"/>
    <w:rsid w:val="00277DC8"/>
    <w:rsid w:val="0028486F"/>
    <w:rsid w:val="002D6D12"/>
    <w:rsid w:val="00356FE9"/>
    <w:rsid w:val="003A396B"/>
    <w:rsid w:val="003B5547"/>
    <w:rsid w:val="003B6AC8"/>
    <w:rsid w:val="003E654D"/>
    <w:rsid w:val="003E7B9B"/>
    <w:rsid w:val="004148A8"/>
    <w:rsid w:val="004502D6"/>
    <w:rsid w:val="00456ACA"/>
    <w:rsid w:val="00471812"/>
    <w:rsid w:val="00480B0F"/>
    <w:rsid w:val="004A3D25"/>
    <w:rsid w:val="004A6179"/>
    <w:rsid w:val="004A771B"/>
    <w:rsid w:val="004B3932"/>
    <w:rsid w:val="004B5565"/>
    <w:rsid w:val="004C21D6"/>
    <w:rsid w:val="004C37FC"/>
    <w:rsid w:val="004D4C15"/>
    <w:rsid w:val="0050653E"/>
    <w:rsid w:val="005171CA"/>
    <w:rsid w:val="00520788"/>
    <w:rsid w:val="005242E8"/>
    <w:rsid w:val="00532479"/>
    <w:rsid w:val="0053496F"/>
    <w:rsid w:val="005456C8"/>
    <w:rsid w:val="00572563"/>
    <w:rsid w:val="005C26FD"/>
    <w:rsid w:val="005C49C2"/>
    <w:rsid w:val="00600964"/>
    <w:rsid w:val="00603B73"/>
    <w:rsid w:val="00630B06"/>
    <w:rsid w:val="00680A7F"/>
    <w:rsid w:val="006D5D29"/>
    <w:rsid w:val="0072376C"/>
    <w:rsid w:val="007931B0"/>
    <w:rsid w:val="00795410"/>
    <w:rsid w:val="007A0981"/>
    <w:rsid w:val="007A7B3E"/>
    <w:rsid w:val="007B102B"/>
    <w:rsid w:val="007B7235"/>
    <w:rsid w:val="007C778E"/>
    <w:rsid w:val="007D115B"/>
    <w:rsid w:val="007E433E"/>
    <w:rsid w:val="007E7300"/>
    <w:rsid w:val="00800A0D"/>
    <w:rsid w:val="00800DD0"/>
    <w:rsid w:val="00807757"/>
    <w:rsid w:val="00814FDA"/>
    <w:rsid w:val="008341DB"/>
    <w:rsid w:val="00865552"/>
    <w:rsid w:val="00891BFE"/>
    <w:rsid w:val="008B1115"/>
    <w:rsid w:val="008B2893"/>
    <w:rsid w:val="008C007F"/>
    <w:rsid w:val="008C5DAD"/>
    <w:rsid w:val="008C6687"/>
    <w:rsid w:val="008C7AD3"/>
    <w:rsid w:val="008F3916"/>
    <w:rsid w:val="0091338C"/>
    <w:rsid w:val="00923B97"/>
    <w:rsid w:val="009264B8"/>
    <w:rsid w:val="00927BF4"/>
    <w:rsid w:val="00932D18"/>
    <w:rsid w:val="0093321A"/>
    <w:rsid w:val="00933B10"/>
    <w:rsid w:val="00966EA0"/>
    <w:rsid w:val="0097303A"/>
    <w:rsid w:val="009B3703"/>
    <w:rsid w:val="009C31BD"/>
    <w:rsid w:val="009E70E3"/>
    <w:rsid w:val="00A02CBC"/>
    <w:rsid w:val="00A043AA"/>
    <w:rsid w:val="00A35011"/>
    <w:rsid w:val="00A4553D"/>
    <w:rsid w:val="00A61EE0"/>
    <w:rsid w:val="00A72D1C"/>
    <w:rsid w:val="00A905C4"/>
    <w:rsid w:val="00AC0EF2"/>
    <w:rsid w:val="00AE05B0"/>
    <w:rsid w:val="00AE5761"/>
    <w:rsid w:val="00AF4217"/>
    <w:rsid w:val="00B32FB7"/>
    <w:rsid w:val="00B44C9D"/>
    <w:rsid w:val="00B706F0"/>
    <w:rsid w:val="00B744FF"/>
    <w:rsid w:val="00C0495C"/>
    <w:rsid w:val="00C06B35"/>
    <w:rsid w:val="00C13568"/>
    <w:rsid w:val="00C30C6A"/>
    <w:rsid w:val="00C325BF"/>
    <w:rsid w:val="00C3267E"/>
    <w:rsid w:val="00C43E6F"/>
    <w:rsid w:val="00C5130E"/>
    <w:rsid w:val="00C53201"/>
    <w:rsid w:val="00C6078D"/>
    <w:rsid w:val="00C65CEA"/>
    <w:rsid w:val="00C66B2B"/>
    <w:rsid w:val="00C7102D"/>
    <w:rsid w:val="00CB5772"/>
    <w:rsid w:val="00CC4273"/>
    <w:rsid w:val="00CC6181"/>
    <w:rsid w:val="00CC7536"/>
    <w:rsid w:val="00CD2D54"/>
    <w:rsid w:val="00CD6262"/>
    <w:rsid w:val="00D11BDF"/>
    <w:rsid w:val="00D1261A"/>
    <w:rsid w:val="00D26613"/>
    <w:rsid w:val="00D403F8"/>
    <w:rsid w:val="00D52CA6"/>
    <w:rsid w:val="00D61DF6"/>
    <w:rsid w:val="00D7100D"/>
    <w:rsid w:val="00D85F40"/>
    <w:rsid w:val="00D92C3C"/>
    <w:rsid w:val="00DC08EA"/>
    <w:rsid w:val="00DC3365"/>
    <w:rsid w:val="00DC65AD"/>
    <w:rsid w:val="00DD296B"/>
    <w:rsid w:val="00E0459D"/>
    <w:rsid w:val="00E204BB"/>
    <w:rsid w:val="00E82419"/>
    <w:rsid w:val="00E97732"/>
    <w:rsid w:val="00EA62A5"/>
    <w:rsid w:val="00EA6B46"/>
    <w:rsid w:val="00EB5485"/>
    <w:rsid w:val="00EB71A7"/>
    <w:rsid w:val="00EC33E2"/>
    <w:rsid w:val="00EC687E"/>
    <w:rsid w:val="00F31F20"/>
    <w:rsid w:val="00F3403B"/>
    <w:rsid w:val="00F578BC"/>
    <w:rsid w:val="00F70AB1"/>
    <w:rsid w:val="00F831C9"/>
    <w:rsid w:val="00FA0A06"/>
    <w:rsid w:val="00FB6FF8"/>
    <w:rsid w:val="00FD6479"/>
    <w:rsid w:val="00FF1A12"/>
    <w:rsid w:val="00FF3A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A2774B"/>
  <w15:docId w15:val="{52A8ED9B-E4DE-46BE-819E-AD7F899D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2CBC"/>
  </w:style>
  <w:style w:type="paragraph" w:styleId="Antrat2">
    <w:name w:val="heading 2"/>
    <w:basedOn w:val="prastasis"/>
    <w:next w:val="prastasis"/>
    <w:link w:val="Antrat2Diagrama"/>
    <w:uiPriority w:val="9"/>
    <w:semiHidden/>
    <w:unhideWhenUsed/>
    <w:qFormat/>
    <w:rsid w:val="004B556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lt-LT" w:eastAsia="en-US"/>
    </w:rPr>
  </w:style>
  <w:style w:type="paragraph" w:styleId="Antrat3">
    <w:name w:val="heading 3"/>
    <w:basedOn w:val="prastasis"/>
    <w:next w:val="prastasis"/>
    <w:link w:val="Antrat3Diagrama"/>
    <w:uiPriority w:val="9"/>
    <w:semiHidden/>
    <w:unhideWhenUsed/>
    <w:qFormat/>
    <w:rsid w:val="004B5565"/>
    <w:pPr>
      <w:keepNext/>
      <w:keepLines/>
      <w:spacing w:before="200" w:after="0" w:line="240" w:lineRule="auto"/>
      <w:outlineLvl w:val="2"/>
    </w:pPr>
    <w:rPr>
      <w:rFonts w:asciiTheme="majorHAnsi" w:eastAsiaTheme="majorEastAsia" w:hAnsiTheme="majorHAnsi" w:cstheme="majorBidi"/>
      <w:b/>
      <w:bCs/>
      <w:color w:val="4F81BD" w:themeColor="accent1"/>
      <w:szCs w:val="20"/>
      <w:lang w:val="lt-LT" w:eastAsia="en-US"/>
    </w:rPr>
  </w:style>
  <w:style w:type="paragraph" w:styleId="Antrat7">
    <w:name w:val="heading 7"/>
    <w:basedOn w:val="prastasis"/>
    <w:next w:val="prastasis"/>
    <w:link w:val="Antrat7Diagrama"/>
    <w:uiPriority w:val="99"/>
    <w:unhideWhenUsed/>
    <w:qFormat/>
    <w:rsid w:val="004B5565"/>
    <w:pPr>
      <w:spacing w:before="240" w:after="60" w:line="240" w:lineRule="auto"/>
      <w:outlineLvl w:val="6"/>
    </w:pPr>
    <w:rPr>
      <w:rFonts w:ascii="Times New Roman" w:eastAsia="Times New Roman" w:hAnsi="Times New Roman" w:cs="Times New Roman"/>
      <w:sz w:val="24"/>
      <w:szCs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B5565"/>
    <w:rPr>
      <w:rFonts w:asciiTheme="majorHAnsi" w:eastAsiaTheme="majorEastAsia" w:hAnsiTheme="majorHAnsi" w:cstheme="majorBidi"/>
      <w:b/>
      <w:bCs/>
      <w:color w:val="4F81BD" w:themeColor="accent1"/>
      <w:sz w:val="26"/>
      <w:szCs w:val="26"/>
      <w:lang w:val="lt-LT" w:eastAsia="en-US"/>
    </w:rPr>
  </w:style>
  <w:style w:type="character" w:customStyle="1" w:styleId="Antrat3Diagrama">
    <w:name w:val="Antraštė 3 Diagrama"/>
    <w:basedOn w:val="Numatytasispastraiposriftas"/>
    <w:link w:val="Antrat3"/>
    <w:uiPriority w:val="9"/>
    <w:semiHidden/>
    <w:rsid w:val="004B5565"/>
    <w:rPr>
      <w:rFonts w:asciiTheme="majorHAnsi" w:eastAsiaTheme="majorEastAsia" w:hAnsiTheme="majorHAnsi" w:cstheme="majorBidi"/>
      <w:b/>
      <w:bCs/>
      <w:color w:val="4F81BD" w:themeColor="accent1"/>
      <w:szCs w:val="20"/>
      <w:lang w:val="lt-LT" w:eastAsia="en-US"/>
    </w:rPr>
  </w:style>
  <w:style w:type="character" w:customStyle="1" w:styleId="Antrat7Diagrama">
    <w:name w:val="Antraštė 7 Diagrama"/>
    <w:basedOn w:val="Numatytasispastraiposriftas"/>
    <w:link w:val="Antrat7"/>
    <w:uiPriority w:val="99"/>
    <w:rsid w:val="004B5565"/>
    <w:rPr>
      <w:rFonts w:ascii="Times New Roman" w:eastAsia="Times New Roman" w:hAnsi="Times New Roman" w:cs="Times New Roman"/>
      <w:sz w:val="24"/>
      <w:szCs w:val="24"/>
      <w:lang w:val="lt-LT" w:eastAsia="en-US"/>
    </w:rPr>
  </w:style>
  <w:style w:type="numbering" w:customStyle="1" w:styleId="NoList1">
    <w:name w:val="No List1"/>
    <w:next w:val="Sraonra"/>
    <w:uiPriority w:val="99"/>
    <w:semiHidden/>
    <w:unhideWhenUsed/>
    <w:rsid w:val="004B5565"/>
  </w:style>
  <w:style w:type="character" w:styleId="Hipersaitas">
    <w:name w:val="Hyperlink"/>
    <w:basedOn w:val="Numatytasispastraiposriftas"/>
    <w:uiPriority w:val="99"/>
    <w:unhideWhenUsed/>
    <w:rsid w:val="004B5565"/>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4B5565"/>
    <w:pPr>
      <w:spacing w:after="120" w:line="240" w:lineRule="auto"/>
    </w:pPr>
    <w:rPr>
      <w:rFonts w:ascii="Times New Roman" w:eastAsia="Times New Roman" w:hAnsi="Times New Roman" w:cs="Times New Roman"/>
      <w:szCs w:val="20"/>
      <w:lang w:val="lt-LT" w:eastAsia="en-US"/>
    </w:rPr>
  </w:style>
  <w:style w:type="character" w:customStyle="1" w:styleId="PagrindinistekstasDiagrama">
    <w:name w:val="Pagrindinis tekstas Diagrama"/>
    <w:basedOn w:val="Numatytasispastraiposriftas"/>
    <w:link w:val="Pagrindinistekstas"/>
    <w:rsid w:val="004B5565"/>
    <w:rPr>
      <w:rFonts w:ascii="Times New Roman" w:eastAsia="Times New Roman" w:hAnsi="Times New Roman" w:cs="Times New Roman"/>
      <w:szCs w:val="20"/>
      <w:lang w:val="lt-LT" w:eastAsia="en-US"/>
    </w:rPr>
  </w:style>
  <w:style w:type="paragraph" w:styleId="Pagrindinistekstas2">
    <w:name w:val="Body Text 2"/>
    <w:basedOn w:val="prastasis"/>
    <w:link w:val="Pagrindinistekstas2Diagrama"/>
    <w:uiPriority w:val="99"/>
    <w:unhideWhenUsed/>
    <w:rsid w:val="004B5565"/>
    <w:pPr>
      <w:spacing w:after="120" w:line="480" w:lineRule="auto"/>
    </w:pPr>
    <w:rPr>
      <w:rFonts w:ascii="Times New Roman" w:eastAsia="Times New Roman" w:hAnsi="Times New Roman" w:cs="Times New Roman"/>
      <w:szCs w:val="20"/>
      <w:lang w:val="lt-LT" w:eastAsia="en-US"/>
    </w:rPr>
  </w:style>
  <w:style w:type="character" w:customStyle="1" w:styleId="Pagrindinistekstas2Diagrama">
    <w:name w:val="Pagrindinis tekstas 2 Diagrama"/>
    <w:basedOn w:val="Numatytasispastraiposriftas"/>
    <w:link w:val="Pagrindinistekstas2"/>
    <w:uiPriority w:val="99"/>
    <w:rsid w:val="004B5565"/>
    <w:rPr>
      <w:rFonts w:ascii="Times New Roman" w:eastAsia="Times New Roman" w:hAnsi="Times New Roman" w:cs="Times New Roman"/>
      <w:szCs w:val="20"/>
      <w:lang w:val="lt-LT" w:eastAsia="en-US"/>
    </w:rPr>
  </w:style>
  <w:style w:type="character" w:customStyle="1" w:styleId="BTEMEASMCAChar">
    <w:name w:val="BT EMEA_SMCA Char"/>
    <w:basedOn w:val="Numatytasispastraiposriftas"/>
    <w:link w:val="BTEMEASMCA"/>
    <w:uiPriority w:val="99"/>
    <w:locked/>
    <w:rsid w:val="004B5565"/>
    <w:rPr>
      <w:noProof/>
    </w:rPr>
  </w:style>
  <w:style w:type="paragraph" w:customStyle="1" w:styleId="BTEMEASMCA">
    <w:name w:val="BT EMEA_SMCA"/>
    <w:basedOn w:val="prastasis"/>
    <w:link w:val="BTEMEASMCAChar"/>
    <w:autoRedefine/>
    <w:uiPriority w:val="99"/>
    <w:rsid w:val="004B5565"/>
    <w:pPr>
      <w:spacing w:after="0" w:line="240" w:lineRule="auto"/>
    </w:pPr>
    <w:rPr>
      <w:noProof/>
    </w:rPr>
  </w:style>
  <w:style w:type="paragraph" w:customStyle="1" w:styleId="BT-EMEASMCA">
    <w:name w:val="BT- EMEA_SMCA"/>
    <w:basedOn w:val="BTEMEASMCA"/>
    <w:autoRedefine/>
    <w:uiPriority w:val="99"/>
    <w:rsid w:val="004B5565"/>
    <w:pPr>
      <w:numPr>
        <w:numId w:val="1"/>
      </w:numPr>
      <w:tabs>
        <w:tab w:val="clear" w:pos="647"/>
        <w:tab w:val="num" w:pos="360"/>
      </w:tabs>
      <w:ind w:left="646" w:hanging="646"/>
    </w:pPr>
  </w:style>
  <w:style w:type="character" w:customStyle="1" w:styleId="BTbEMEASMCAChar">
    <w:name w:val="BT(b) EMEA_SMCA Char"/>
    <w:basedOn w:val="Numatytasispastraiposriftas"/>
    <w:link w:val="BTbEMEASMCA"/>
    <w:uiPriority w:val="99"/>
    <w:locked/>
    <w:rsid w:val="004B5565"/>
    <w:rPr>
      <w:b/>
      <w:noProof/>
    </w:rPr>
  </w:style>
  <w:style w:type="paragraph" w:customStyle="1" w:styleId="BTbEMEASMCA">
    <w:name w:val="BT(b) EMEA_SMCA"/>
    <w:basedOn w:val="BTEMEASMCA"/>
    <w:link w:val="BTbEMEASMCAChar"/>
    <w:autoRedefine/>
    <w:uiPriority w:val="99"/>
    <w:rsid w:val="004B5565"/>
    <w:rPr>
      <w:b/>
    </w:rPr>
  </w:style>
  <w:style w:type="paragraph" w:styleId="Sraopastraipa">
    <w:name w:val="List Paragraph"/>
    <w:basedOn w:val="prastasis"/>
    <w:uiPriority w:val="34"/>
    <w:qFormat/>
    <w:rsid w:val="004B5565"/>
    <w:pPr>
      <w:spacing w:after="0" w:line="240" w:lineRule="auto"/>
      <w:ind w:left="720"/>
      <w:contextualSpacing/>
    </w:pPr>
    <w:rPr>
      <w:rFonts w:ascii="Times New Roman" w:eastAsia="Times New Roman" w:hAnsi="Times New Roman" w:cs="Times New Roman"/>
      <w:szCs w:val="20"/>
      <w:lang w:val="lt-LT" w:eastAsia="en-US"/>
    </w:rPr>
  </w:style>
  <w:style w:type="paragraph" w:styleId="Debesliotekstas">
    <w:name w:val="Balloon Text"/>
    <w:basedOn w:val="prastasis"/>
    <w:link w:val="DebesliotekstasDiagrama"/>
    <w:uiPriority w:val="99"/>
    <w:semiHidden/>
    <w:unhideWhenUsed/>
    <w:rsid w:val="004B5565"/>
    <w:pPr>
      <w:spacing w:after="0" w:line="240" w:lineRule="auto"/>
    </w:pPr>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4B5565"/>
    <w:rPr>
      <w:rFonts w:ascii="Tahoma" w:eastAsia="Times New Roman" w:hAnsi="Tahoma" w:cs="Tahoma"/>
      <w:sz w:val="16"/>
      <w:szCs w:val="16"/>
      <w:lang w:val="lt-LT" w:eastAsia="en-US"/>
    </w:rPr>
  </w:style>
  <w:style w:type="paragraph" w:styleId="Antrats">
    <w:name w:val="header"/>
    <w:basedOn w:val="prastasis"/>
    <w:link w:val="AntratsDiagrama"/>
    <w:uiPriority w:val="99"/>
    <w:unhideWhenUsed/>
    <w:rsid w:val="004B5565"/>
    <w:pPr>
      <w:tabs>
        <w:tab w:val="center" w:pos="4819"/>
        <w:tab w:val="right" w:pos="9638"/>
      </w:tabs>
      <w:spacing w:after="0" w:line="240" w:lineRule="auto"/>
    </w:pPr>
    <w:rPr>
      <w:rFonts w:ascii="Times New Roman" w:eastAsia="Times New Roman" w:hAnsi="Times New Roman" w:cs="Times New Roman"/>
      <w:szCs w:val="20"/>
      <w:lang w:val="lt-LT" w:eastAsia="en-US"/>
    </w:rPr>
  </w:style>
  <w:style w:type="character" w:customStyle="1" w:styleId="AntratsDiagrama">
    <w:name w:val="Antraštės Diagrama"/>
    <w:basedOn w:val="Numatytasispastraiposriftas"/>
    <w:link w:val="Antrats"/>
    <w:uiPriority w:val="99"/>
    <w:rsid w:val="004B5565"/>
    <w:rPr>
      <w:rFonts w:ascii="Times New Roman" w:eastAsia="Times New Roman" w:hAnsi="Times New Roman" w:cs="Times New Roman"/>
      <w:szCs w:val="20"/>
      <w:lang w:val="lt-LT" w:eastAsia="en-US"/>
    </w:rPr>
  </w:style>
  <w:style w:type="paragraph" w:styleId="Porat">
    <w:name w:val="footer"/>
    <w:basedOn w:val="prastasis"/>
    <w:link w:val="PoratDiagrama"/>
    <w:uiPriority w:val="99"/>
    <w:unhideWhenUsed/>
    <w:rsid w:val="004B5565"/>
    <w:pPr>
      <w:tabs>
        <w:tab w:val="center" w:pos="4819"/>
        <w:tab w:val="right" w:pos="9638"/>
      </w:tabs>
      <w:spacing w:after="0" w:line="240" w:lineRule="auto"/>
    </w:pPr>
    <w:rPr>
      <w:rFonts w:ascii="Times New Roman" w:eastAsia="Times New Roman" w:hAnsi="Times New Roman" w:cs="Times New Roman"/>
      <w:szCs w:val="20"/>
      <w:lang w:val="lt-LT" w:eastAsia="en-US"/>
    </w:rPr>
  </w:style>
  <w:style w:type="character" w:customStyle="1" w:styleId="PoratDiagrama">
    <w:name w:val="Poraštė Diagrama"/>
    <w:basedOn w:val="Numatytasispastraiposriftas"/>
    <w:link w:val="Porat"/>
    <w:uiPriority w:val="99"/>
    <w:rsid w:val="004B5565"/>
    <w:rPr>
      <w:rFonts w:ascii="Times New Roman" w:eastAsia="Times New Roman" w:hAnsi="Times New Roman" w:cs="Times New Roman"/>
      <w:szCs w:val="20"/>
      <w:lang w:val="lt-LT" w:eastAsia="en-US"/>
    </w:rPr>
  </w:style>
  <w:style w:type="character" w:styleId="Komentaronuoroda">
    <w:name w:val="annotation reference"/>
    <w:basedOn w:val="Numatytasispastraiposriftas"/>
    <w:semiHidden/>
    <w:unhideWhenUsed/>
    <w:rsid w:val="004B5565"/>
    <w:rPr>
      <w:sz w:val="16"/>
      <w:szCs w:val="16"/>
    </w:rPr>
  </w:style>
  <w:style w:type="paragraph" w:styleId="Komentarotekstas">
    <w:name w:val="annotation text"/>
    <w:basedOn w:val="prastasis"/>
    <w:link w:val="KomentarotekstasDiagrama"/>
    <w:semiHidden/>
    <w:unhideWhenUsed/>
    <w:rsid w:val="004B5565"/>
    <w:pPr>
      <w:spacing w:after="0" w:line="240" w:lineRule="auto"/>
    </w:pPr>
    <w:rPr>
      <w:rFonts w:ascii="Times New Roman" w:eastAsia="Times New Roman" w:hAnsi="Times New Roman" w:cs="Times New Roman"/>
      <w:sz w:val="20"/>
      <w:szCs w:val="20"/>
      <w:lang w:val="lt-LT" w:eastAsia="en-US"/>
    </w:rPr>
  </w:style>
  <w:style w:type="character" w:customStyle="1" w:styleId="KomentarotekstasDiagrama">
    <w:name w:val="Komentaro tekstas Diagrama"/>
    <w:basedOn w:val="Numatytasispastraiposriftas"/>
    <w:link w:val="Komentarotekstas"/>
    <w:semiHidden/>
    <w:rsid w:val="004B5565"/>
    <w:rPr>
      <w:rFonts w:ascii="Times New Roman" w:eastAsia="Times New Roman" w:hAnsi="Times New Roman"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4B5565"/>
    <w:rPr>
      <w:b/>
      <w:bCs/>
    </w:rPr>
  </w:style>
  <w:style w:type="character" w:customStyle="1" w:styleId="KomentarotemaDiagrama">
    <w:name w:val="Komentaro tema Diagrama"/>
    <w:basedOn w:val="KomentarotekstasDiagrama"/>
    <w:link w:val="Komentarotema"/>
    <w:uiPriority w:val="99"/>
    <w:semiHidden/>
    <w:rsid w:val="004B5565"/>
    <w:rPr>
      <w:rFonts w:ascii="Times New Roman" w:eastAsia="Times New Roman" w:hAnsi="Times New Roman" w:cs="Times New Roman"/>
      <w:b/>
      <w:bCs/>
      <w:sz w:val="20"/>
      <w:szCs w:val="20"/>
      <w:lang w:val="lt-LT" w:eastAsia="en-US"/>
    </w:rPr>
  </w:style>
  <w:style w:type="paragraph" w:styleId="Pataisymai">
    <w:name w:val="Revision"/>
    <w:hidden/>
    <w:uiPriority w:val="99"/>
    <w:semiHidden/>
    <w:rsid w:val="004B5565"/>
    <w:pPr>
      <w:spacing w:after="0" w:line="240" w:lineRule="auto"/>
    </w:pPr>
    <w:rPr>
      <w:rFonts w:ascii="Times New Roman" w:eastAsia="Times New Roman" w:hAnsi="Times New Roman" w:cs="Times New Roman"/>
      <w:szCs w:val="20"/>
      <w:lang w:val="lt-LT" w:eastAsia="en-US"/>
    </w:rPr>
  </w:style>
  <w:style w:type="character" w:customStyle="1" w:styleId="UnresolvedMention1">
    <w:name w:val="Unresolved Mention1"/>
    <w:basedOn w:val="Numatytasispastraiposriftas"/>
    <w:uiPriority w:val="99"/>
    <w:semiHidden/>
    <w:unhideWhenUsed/>
    <w:rsid w:val="0072376C"/>
    <w:rPr>
      <w:color w:val="605E5C"/>
      <w:shd w:val="clear" w:color="auto" w:fill="E1DFDD"/>
    </w:rPr>
  </w:style>
  <w:style w:type="character" w:customStyle="1" w:styleId="UnresolvedMention">
    <w:name w:val="Unresolved Mention"/>
    <w:basedOn w:val="Numatytasispastraiposriftas"/>
    <w:uiPriority w:val="99"/>
    <w:semiHidden/>
    <w:unhideWhenUsed/>
    <w:rsid w:val="007D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other/minimum-inhibitory-concentration-mic-breakpoints_e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1DACE-1C6E-4288-B61E-30703A97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26100</Words>
  <Characters>14878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4</cp:revision>
  <dcterms:created xsi:type="dcterms:W3CDTF">2025-02-05T06:38:00Z</dcterms:created>
  <dcterms:modified xsi:type="dcterms:W3CDTF">2025-02-07T13:10:00Z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2023-05-30T06:36:44Z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a0f88bf2-b0f3-45fa-a088-029df589266b</vt:lpwstr>
  </property>
  <property fmtid="{D5CDD505-2E9C-101B-9397-08002B2CF9AE}" pid="8" name="MSIP_Label_3c9bec58-8084-492e-8360-0e1cfe36408c_ContentBits">
    <vt:lpwstr>0</vt:lpwstr>
  </property>
</Properties>
</file>