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B0" w:rsidRPr="00B42238" w:rsidRDefault="00AB18B0" w:rsidP="00AB18B0">
      <w:pPr>
        <w:pStyle w:val="Pagrindinistekstas"/>
        <w:spacing w:after="0"/>
        <w:jc w:val="center"/>
        <w:outlineLvl w:val="0"/>
        <w:rPr>
          <w:b/>
          <w:bCs/>
          <w:iCs/>
          <w:sz w:val="22"/>
          <w:szCs w:val="22"/>
        </w:rPr>
      </w:pPr>
      <w:r w:rsidRPr="00B42238">
        <w:rPr>
          <w:b/>
          <w:iCs/>
          <w:sz w:val="22"/>
          <w:szCs w:val="22"/>
        </w:rPr>
        <w:t>Pakuotės lapelis: informacija pacientui</w:t>
      </w:r>
      <w:r w:rsidRPr="00B42238">
        <w:rPr>
          <w:b/>
          <w:bCs/>
          <w:iCs/>
          <w:sz w:val="22"/>
          <w:szCs w:val="22"/>
        </w:rPr>
        <w:t xml:space="preserve"> </w:t>
      </w:r>
    </w:p>
    <w:p w:rsidR="00AB18B0" w:rsidRPr="00B42238" w:rsidRDefault="00AB18B0" w:rsidP="00AB18B0">
      <w:pPr>
        <w:pStyle w:val="Pagrindinistekstas"/>
        <w:spacing w:after="0"/>
        <w:jc w:val="center"/>
        <w:outlineLvl w:val="0"/>
        <w:rPr>
          <w:b/>
          <w:sz w:val="22"/>
          <w:szCs w:val="22"/>
        </w:rPr>
      </w:pPr>
    </w:p>
    <w:p w:rsidR="00AB18B0" w:rsidRPr="00B42238" w:rsidRDefault="00AB18B0" w:rsidP="00AB18B0">
      <w:pPr>
        <w:pStyle w:val="Pagrindinistekstas"/>
        <w:spacing w:after="0"/>
        <w:jc w:val="center"/>
        <w:outlineLvl w:val="0"/>
        <w:rPr>
          <w:b/>
          <w:sz w:val="22"/>
          <w:szCs w:val="22"/>
        </w:rPr>
      </w:pPr>
      <w:r w:rsidRPr="00B42238">
        <w:rPr>
          <w:b/>
          <w:sz w:val="22"/>
          <w:szCs w:val="22"/>
        </w:rPr>
        <w:t>Zoladex LA</w:t>
      </w:r>
      <w:r>
        <w:rPr>
          <w:b/>
          <w:sz w:val="22"/>
          <w:szCs w:val="22"/>
        </w:rPr>
        <w:t xml:space="preserve"> </w:t>
      </w:r>
      <w:r w:rsidRPr="00B42238">
        <w:rPr>
          <w:b/>
          <w:sz w:val="22"/>
          <w:szCs w:val="22"/>
        </w:rPr>
        <w:t>10,8 mg implantas</w:t>
      </w:r>
    </w:p>
    <w:p w:rsidR="00AB18B0" w:rsidRPr="00B42238" w:rsidRDefault="00AB18B0" w:rsidP="00AB18B0">
      <w:pPr>
        <w:pStyle w:val="Pagrindinistekstas"/>
        <w:spacing w:after="0"/>
        <w:jc w:val="center"/>
        <w:rPr>
          <w:sz w:val="22"/>
          <w:szCs w:val="22"/>
        </w:rPr>
      </w:pPr>
      <w:r w:rsidRPr="00B42238">
        <w:rPr>
          <w:sz w:val="22"/>
          <w:szCs w:val="22"/>
        </w:rPr>
        <w:t>Goserelinas</w:t>
      </w:r>
    </w:p>
    <w:p w:rsidR="00AB18B0" w:rsidRPr="00B42238" w:rsidRDefault="00AB18B0" w:rsidP="00AB18B0">
      <w:pPr>
        <w:pStyle w:val="Pagrindinistekstas"/>
        <w:spacing w:after="0"/>
        <w:jc w:val="center"/>
        <w:outlineLvl w:val="0"/>
        <w:rPr>
          <w:b/>
          <w:bCs/>
          <w:iCs/>
          <w:sz w:val="22"/>
          <w:szCs w:val="22"/>
        </w:rPr>
      </w:pPr>
    </w:p>
    <w:p w:rsidR="00AB18B0" w:rsidRPr="00B42238" w:rsidRDefault="00AB18B0" w:rsidP="00AB18B0">
      <w:pPr>
        <w:pStyle w:val="BTbEMEASMCA"/>
        <w:rPr>
          <w:noProof w:val="0"/>
          <w:lang w:bidi="lo-LA"/>
        </w:rPr>
      </w:pPr>
      <w:r w:rsidRPr="00B42238">
        <w:rPr>
          <w:noProof w:val="0"/>
          <w:lang w:bidi="lo-LA"/>
        </w:rPr>
        <w:t>Atidžiai perskaitykite visą šį lapelį, prieš pradėdami vartoti vaistą,</w:t>
      </w:r>
      <w:r>
        <w:rPr>
          <w:noProof w:val="0"/>
          <w:lang w:bidi="lo-LA"/>
        </w:rPr>
        <w:t xml:space="preserve"> </w:t>
      </w:r>
      <w:r w:rsidRPr="00B42238">
        <w:rPr>
          <w:noProof w:val="0"/>
          <w:lang w:bidi="lo-LA"/>
        </w:rPr>
        <w:t>nes jame pateikiama Jums svarbi informacija.</w:t>
      </w:r>
    </w:p>
    <w:p w:rsidR="00AB18B0" w:rsidRPr="00B42238" w:rsidRDefault="00AB18B0" w:rsidP="00AB18B0">
      <w:pPr>
        <w:pStyle w:val="BT-EMEASMCA"/>
        <w:numPr>
          <w:ilvl w:val="0"/>
          <w:numId w:val="5"/>
        </w:numPr>
        <w:tabs>
          <w:tab w:val="left" w:pos="720"/>
        </w:tabs>
        <w:ind w:left="720" w:hanging="720"/>
        <w:rPr>
          <w:noProof w:val="0"/>
          <w:lang w:bidi="lo-LA"/>
        </w:rPr>
      </w:pPr>
      <w:r w:rsidRPr="00B42238">
        <w:rPr>
          <w:noProof w:val="0"/>
          <w:lang w:bidi="lo-LA"/>
        </w:rPr>
        <w:t>Neišmeskite šio lapelio, nes vėl gali prireikti jį perskaityti.</w:t>
      </w:r>
    </w:p>
    <w:p w:rsidR="00AB18B0" w:rsidRPr="00B42238" w:rsidRDefault="00AB18B0" w:rsidP="00AB18B0">
      <w:pPr>
        <w:pStyle w:val="BT-EMEASMCA"/>
        <w:numPr>
          <w:ilvl w:val="0"/>
          <w:numId w:val="5"/>
        </w:numPr>
        <w:tabs>
          <w:tab w:val="left" w:pos="720"/>
        </w:tabs>
        <w:ind w:left="720" w:hanging="720"/>
        <w:rPr>
          <w:noProof w:val="0"/>
          <w:lang w:bidi="lo-LA"/>
        </w:rPr>
      </w:pPr>
      <w:r w:rsidRPr="00B42238">
        <w:rPr>
          <w:noProof w:val="0"/>
          <w:lang w:bidi="lo-LA"/>
        </w:rPr>
        <w:t>Jeigu kiltų daugiau klausimų, kreipkitės į gydytoją arba vaistininką.</w:t>
      </w:r>
    </w:p>
    <w:p w:rsidR="00AB18B0" w:rsidRPr="00B42238" w:rsidRDefault="00AB18B0" w:rsidP="00AB18B0">
      <w:pPr>
        <w:pStyle w:val="BT-EMEASMCA"/>
        <w:numPr>
          <w:ilvl w:val="0"/>
          <w:numId w:val="5"/>
        </w:numPr>
        <w:tabs>
          <w:tab w:val="left" w:pos="720"/>
        </w:tabs>
        <w:ind w:left="720" w:hanging="720"/>
        <w:rPr>
          <w:noProof w:val="0"/>
          <w:lang w:bidi="lo-LA"/>
        </w:rPr>
      </w:pPr>
      <w:r w:rsidRPr="00B42238">
        <w:rPr>
          <w:noProof w:val="0"/>
          <w:lang w:bidi="lo-LA"/>
        </w:rPr>
        <w:t>Šis vaistas skirtas tik Jums, todėl kitiems žmonėms jo duoti negalima. Vaistas gali jiems pakenkti (net tiems, kurių ligos požymiai yra tokie patys kaip Jūsų).</w:t>
      </w:r>
    </w:p>
    <w:p w:rsidR="00AB18B0" w:rsidRPr="00B42238" w:rsidRDefault="00AB18B0" w:rsidP="00AB18B0">
      <w:pPr>
        <w:pStyle w:val="BT-EMEASMCA"/>
        <w:numPr>
          <w:ilvl w:val="0"/>
          <w:numId w:val="5"/>
        </w:numPr>
        <w:tabs>
          <w:tab w:val="left" w:pos="720"/>
        </w:tabs>
        <w:ind w:left="720" w:hanging="720"/>
        <w:rPr>
          <w:noProof w:val="0"/>
          <w:lang w:bidi="lo-LA"/>
        </w:rPr>
      </w:pPr>
      <w:r w:rsidRPr="00B42238">
        <w:rPr>
          <w:noProof w:val="0"/>
          <w:lang w:bidi="lo-LA"/>
        </w:rPr>
        <w:t>Jeigu pasireiškė sunkus šalutinis poveikis arba pastebėjote šiame lapelyje nenurodytą šalutinį poveikį, pasakykite gydytojui arba vaistininkui. Žr. 4 skyrių.</w:t>
      </w:r>
    </w:p>
    <w:p w:rsidR="00AB18B0" w:rsidRPr="00B42238" w:rsidRDefault="00AB18B0" w:rsidP="00AB18B0">
      <w:pPr>
        <w:rPr>
          <w:sz w:val="22"/>
          <w:szCs w:val="22"/>
          <w:lang w:bidi="lo-LA"/>
        </w:rPr>
      </w:pPr>
    </w:p>
    <w:p w:rsidR="00AB18B0" w:rsidRDefault="00AB18B0" w:rsidP="00AB18B0">
      <w:pPr>
        <w:pStyle w:val="Antrat4"/>
        <w:rPr>
          <w:sz w:val="22"/>
          <w:szCs w:val="22"/>
        </w:rPr>
      </w:pPr>
      <w:r w:rsidRPr="00B42238">
        <w:rPr>
          <w:sz w:val="22"/>
          <w:szCs w:val="22"/>
        </w:rPr>
        <w:t>Apie ką rašoma šiame lapelyje?</w:t>
      </w:r>
    </w:p>
    <w:p w:rsidR="00AB18B0" w:rsidRPr="0019590B" w:rsidRDefault="00AB18B0" w:rsidP="00AB18B0">
      <w:pPr>
        <w:rPr>
          <w:lang w:bidi="lo-LA"/>
        </w:rPr>
      </w:pPr>
    </w:p>
    <w:p w:rsidR="00AB18B0" w:rsidRPr="00B42238" w:rsidRDefault="00AB18B0" w:rsidP="00AB18B0">
      <w:pPr>
        <w:numPr>
          <w:ilvl w:val="0"/>
          <w:numId w:val="6"/>
        </w:numPr>
        <w:ind w:left="794" w:right="-57" w:hanging="510"/>
        <w:rPr>
          <w:b w:val="0"/>
          <w:bCs w:val="0"/>
          <w:sz w:val="22"/>
          <w:szCs w:val="22"/>
          <w:lang w:bidi="lo-LA"/>
        </w:rPr>
      </w:pPr>
      <w:r w:rsidRPr="00B42238">
        <w:rPr>
          <w:b w:val="0"/>
          <w:bCs w:val="0"/>
          <w:sz w:val="22"/>
          <w:szCs w:val="22"/>
          <w:lang w:bidi="lo-LA"/>
        </w:rPr>
        <w:t>Kas yra Zoladex LA ir kam jis vartojamas</w:t>
      </w:r>
    </w:p>
    <w:p w:rsidR="00AB18B0" w:rsidRPr="00B42238" w:rsidRDefault="00AB18B0" w:rsidP="00AB18B0">
      <w:pPr>
        <w:numPr>
          <w:ilvl w:val="0"/>
          <w:numId w:val="6"/>
        </w:numPr>
        <w:ind w:left="794" w:right="-57" w:hanging="510"/>
        <w:rPr>
          <w:b w:val="0"/>
          <w:bCs w:val="0"/>
          <w:sz w:val="22"/>
          <w:szCs w:val="22"/>
          <w:lang w:bidi="lo-LA"/>
        </w:rPr>
      </w:pPr>
      <w:r w:rsidRPr="00B42238">
        <w:rPr>
          <w:b w:val="0"/>
          <w:bCs w:val="0"/>
          <w:sz w:val="22"/>
          <w:szCs w:val="22"/>
          <w:lang w:bidi="lo-LA"/>
        </w:rPr>
        <w:t>Kas žinotina prieš vartojant Zoladex LA</w:t>
      </w:r>
    </w:p>
    <w:p w:rsidR="00AB18B0" w:rsidRPr="00B42238" w:rsidRDefault="00AB18B0" w:rsidP="00AB18B0">
      <w:pPr>
        <w:numPr>
          <w:ilvl w:val="0"/>
          <w:numId w:val="6"/>
        </w:numPr>
        <w:ind w:left="794" w:right="-57" w:hanging="510"/>
        <w:rPr>
          <w:b w:val="0"/>
          <w:bCs w:val="0"/>
          <w:sz w:val="22"/>
          <w:szCs w:val="22"/>
          <w:lang w:bidi="lo-LA"/>
        </w:rPr>
      </w:pPr>
      <w:r w:rsidRPr="00B42238">
        <w:rPr>
          <w:b w:val="0"/>
          <w:bCs w:val="0"/>
          <w:sz w:val="22"/>
          <w:szCs w:val="22"/>
          <w:lang w:bidi="lo-LA"/>
        </w:rPr>
        <w:t>Kaip vartoti Zoladex LA</w:t>
      </w:r>
    </w:p>
    <w:p w:rsidR="00AB18B0" w:rsidRPr="00B42238" w:rsidRDefault="00AB18B0" w:rsidP="00AB18B0">
      <w:pPr>
        <w:numPr>
          <w:ilvl w:val="0"/>
          <w:numId w:val="6"/>
        </w:numPr>
        <w:ind w:left="794" w:right="-57" w:hanging="510"/>
        <w:rPr>
          <w:b w:val="0"/>
          <w:bCs w:val="0"/>
          <w:sz w:val="22"/>
          <w:szCs w:val="22"/>
          <w:lang w:bidi="lo-LA"/>
        </w:rPr>
      </w:pPr>
      <w:r w:rsidRPr="00B42238">
        <w:rPr>
          <w:b w:val="0"/>
          <w:bCs w:val="0"/>
          <w:sz w:val="22"/>
          <w:szCs w:val="22"/>
          <w:lang w:bidi="lo-LA"/>
        </w:rPr>
        <w:t>Galimas šalutinis poveikis</w:t>
      </w:r>
    </w:p>
    <w:p w:rsidR="00AB18B0" w:rsidRPr="00B42238" w:rsidRDefault="00AB18B0" w:rsidP="00AB18B0">
      <w:pPr>
        <w:numPr>
          <w:ilvl w:val="0"/>
          <w:numId w:val="6"/>
        </w:numPr>
        <w:ind w:left="794" w:right="-57" w:hanging="510"/>
        <w:rPr>
          <w:b w:val="0"/>
          <w:bCs w:val="0"/>
          <w:sz w:val="22"/>
          <w:szCs w:val="22"/>
          <w:lang w:bidi="lo-LA"/>
        </w:rPr>
      </w:pPr>
      <w:r w:rsidRPr="00B42238">
        <w:rPr>
          <w:b w:val="0"/>
          <w:bCs w:val="0"/>
          <w:sz w:val="22"/>
          <w:szCs w:val="22"/>
          <w:lang w:bidi="lo-LA"/>
        </w:rPr>
        <w:t xml:space="preserve">Kaip laikyti Zoladex LA </w:t>
      </w:r>
    </w:p>
    <w:p w:rsidR="00AB18B0" w:rsidRPr="00B42238" w:rsidRDefault="00AB18B0" w:rsidP="00AB18B0">
      <w:pPr>
        <w:numPr>
          <w:ilvl w:val="0"/>
          <w:numId w:val="6"/>
        </w:numPr>
        <w:ind w:left="794" w:right="-57" w:hanging="510"/>
        <w:rPr>
          <w:b w:val="0"/>
          <w:bCs w:val="0"/>
          <w:sz w:val="22"/>
          <w:szCs w:val="22"/>
          <w:lang w:bidi="lo-LA"/>
        </w:rPr>
      </w:pPr>
      <w:r w:rsidRPr="00B42238">
        <w:rPr>
          <w:b w:val="0"/>
          <w:bCs w:val="0"/>
          <w:sz w:val="22"/>
          <w:szCs w:val="22"/>
          <w:lang w:bidi="lo-LA"/>
        </w:rPr>
        <w:t>Pakuotės turinys ir kita informacija</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jc w:val="both"/>
        <w:rPr>
          <w:sz w:val="22"/>
          <w:szCs w:val="22"/>
        </w:rPr>
      </w:pPr>
    </w:p>
    <w:p w:rsidR="00AB18B0" w:rsidRPr="00B42238" w:rsidRDefault="00AB18B0" w:rsidP="00AB18B0">
      <w:pPr>
        <w:numPr>
          <w:ilvl w:val="0"/>
          <w:numId w:val="1"/>
        </w:numPr>
        <w:outlineLvl w:val="0"/>
        <w:rPr>
          <w:bCs w:val="0"/>
          <w:caps/>
          <w:sz w:val="22"/>
          <w:szCs w:val="22"/>
          <w:lang w:bidi="lo-LA"/>
        </w:rPr>
      </w:pPr>
      <w:r w:rsidRPr="00B42238">
        <w:rPr>
          <w:sz w:val="22"/>
          <w:szCs w:val="22"/>
          <w:lang w:bidi="lo-LA"/>
        </w:rPr>
        <w:t>Kas yra Zoladex LA ir kam jis vartojamas</w:t>
      </w:r>
      <w:r w:rsidRPr="00B42238">
        <w:rPr>
          <w:bCs w:val="0"/>
          <w:sz w:val="22"/>
          <w:szCs w:val="22"/>
          <w:lang w:bidi="lo-LA"/>
        </w:rPr>
        <w:t xml:space="preserve"> </w:t>
      </w:r>
    </w:p>
    <w:p w:rsidR="00AB18B0" w:rsidRPr="00B42238" w:rsidRDefault="00AB18B0" w:rsidP="00AB18B0">
      <w:pPr>
        <w:pStyle w:val="Pagrindinistekstas"/>
        <w:spacing w:after="0"/>
        <w:jc w:val="both"/>
        <w:outlineLvl w:val="0"/>
        <w:rPr>
          <w:b/>
          <w:sz w:val="22"/>
          <w:szCs w:val="22"/>
        </w:rPr>
      </w:pPr>
    </w:p>
    <w:p w:rsidR="00AB18B0" w:rsidRPr="00B42238" w:rsidRDefault="00AB18B0" w:rsidP="00AB18B0">
      <w:pPr>
        <w:pStyle w:val="Pagrindinistekstas"/>
        <w:spacing w:after="0"/>
        <w:rPr>
          <w:sz w:val="22"/>
          <w:szCs w:val="22"/>
        </w:rPr>
      </w:pPr>
      <w:r w:rsidRPr="00B42238">
        <w:rPr>
          <w:sz w:val="22"/>
          <w:szCs w:val="22"/>
        </w:rPr>
        <w:t xml:space="preserve">Goserelinas priklauso vaistų, vadinamų </w:t>
      </w:r>
      <w:r w:rsidRPr="00B42238">
        <w:rPr>
          <w:i/>
          <w:sz w:val="22"/>
          <w:szCs w:val="22"/>
        </w:rPr>
        <w:t>LHRH</w:t>
      </w:r>
      <w:r w:rsidRPr="00B42238">
        <w:rPr>
          <w:sz w:val="22"/>
          <w:szCs w:val="22"/>
        </w:rPr>
        <w:t xml:space="preserve"> analogais, grupei. Jis mažina testosterono sintezę organizme.</w:t>
      </w:r>
    </w:p>
    <w:p w:rsidR="00AB18B0" w:rsidRPr="00B42238" w:rsidRDefault="00AB18B0" w:rsidP="00AB18B0">
      <w:pPr>
        <w:pStyle w:val="Pagrindinistekstas"/>
        <w:spacing w:after="0"/>
        <w:rPr>
          <w:sz w:val="22"/>
          <w:szCs w:val="22"/>
        </w:rPr>
      </w:pPr>
      <w:r w:rsidRPr="00B42238">
        <w:rPr>
          <w:sz w:val="22"/>
          <w:szCs w:val="22"/>
        </w:rPr>
        <w:t xml:space="preserve">Viena Zoladex LA injekcija – 10,8 mg goserelino. </w:t>
      </w:r>
    </w:p>
    <w:p w:rsidR="00AB18B0" w:rsidRPr="00B42238" w:rsidRDefault="00AB18B0" w:rsidP="00AB18B0">
      <w:pPr>
        <w:pStyle w:val="Pagrindinistekstas"/>
        <w:spacing w:after="0"/>
        <w:rPr>
          <w:sz w:val="22"/>
          <w:szCs w:val="22"/>
        </w:rPr>
      </w:pPr>
      <w:r w:rsidRPr="00B42238">
        <w:rPr>
          <w:sz w:val="22"/>
          <w:szCs w:val="22"/>
        </w:rPr>
        <w:t>Zoladex LA išleidžiamas vienai injekcijai skirtose pakuotėse.</w:t>
      </w:r>
    </w:p>
    <w:p w:rsidR="00AB18B0" w:rsidRPr="00B42238" w:rsidRDefault="00AB18B0" w:rsidP="00AB18B0">
      <w:pPr>
        <w:pStyle w:val="Pagrindinistekstas"/>
        <w:spacing w:after="0"/>
        <w:outlineLvl w:val="0"/>
        <w:rPr>
          <w:sz w:val="22"/>
          <w:szCs w:val="22"/>
        </w:rPr>
      </w:pPr>
      <w:r w:rsidRPr="00B42238">
        <w:rPr>
          <w:sz w:val="22"/>
          <w:szCs w:val="22"/>
        </w:rPr>
        <w:t>Zoladex LA vartojamas prostatos vėžiui gydyti.</w:t>
      </w:r>
    </w:p>
    <w:p w:rsidR="00AB18B0" w:rsidRPr="00B42238" w:rsidRDefault="00AB18B0" w:rsidP="00AB18B0">
      <w:pPr>
        <w:pStyle w:val="Pagrindinistekstas"/>
        <w:spacing w:after="0"/>
        <w:jc w:val="both"/>
        <w:outlineLvl w:val="0"/>
        <w:rPr>
          <w:sz w:val="22"/>
          <w:szCs w:val="22"/>
        </w:rPr>
      </w:pPr>
    </w:p>
    <w:p w:rsidR="00AB18B0" w:rsidRPr="00B42238" w:rsidRDefault="00AB18B0" w:rsidP="00AB18B0">
      <w:pPr>
        <w:pStyle w:val="Pagrindinistekstas"/>
        <w:spacing w:after="0"/>
        <w:jc w:val="both"/>
        <w:outlineLvl w:val="0"/>
        <w:rPr>
          <w:sz w:val="22"/>
          <w:szCs w:val="22"/>
        </w:rPr>
      </w:pPr>
    </w:p>
    <w:p w:rsidR="00AB18B0" w:rsidRPr="00B42238" w:rsidRDefault="00AB18B0" w:rsidP="00AB18B0">
      <w:pPr>
        <w:numPr>
          <w:ilvl w:val="0"/>
          <w:numId w:val="1"/>
        </w:numPr>
        <w:outlineLvl w:val="0"/>
        <w:rPr>
          <w:bCs w:val="0"/>
          <w:sz w:val="22"/>
          <w:szCs w:val="22"/>
          <w:lang w:bidi="lo-LA"/>
        </w:rPr>
      </w:pPr>
      <w:r w:rsidRPr="00B42238">
        <w:rPr>
          <w:sz w:val="22"/>
          <w:szCs w:val="22"/>
          <w:lang w:bidi="lo-LA"/>
        </w:rPr>
        <w:t>Kas žinotina prieš vartojant Zoladex LA</w:t>
      </w:r>
    </w:p>
    <w:p w:rsidR="00AB18B0" w:rsidRPr="00B42238" w:rsidRDefault="00AB18B0" w:rsidP="00AB18B0">
      <w:pPr>
        <w:ind w:left="360"/>
        <w:outlineLvl w:val="0"/>
        <w:rPr>
          <w:b w:val="0"/>
          <w:sz w:val="22"/>
          <w:szCs w:val="22"/>
          <w:lang w:bidi="lo-LA"/>
        </w:rPr>
      </w:pPr>
    </w:p>
    <w:p w:rsidR="00AB18B0" w:rsidRPr="00B42238" w:rsidRDefault="00AB18B0" w:rsidP="00AB18B0">
      <w:pPr>
        <w:pStyle w:val="Pagrindinistekstas"/>
        <w:spacing w:after="0"/>
        <w:jc w:val="both"/>
        <w:rPr>
          <w:b/>
          <w:bCs/>
          <w:sz w:val="22"/>
          <w:szCs w:val="22"/>
        </w:rPr>
      </w:pPr>
      <w:r w:rsidRPr="00B42238">
        <w:rPr>
          <w:b/>
          <w:bCs/>
          <w:sz w:val="22"/>
          <w:szCs w:val="22"/>
        </w:rPr>
        <w:t>Zoladex LA vartoti negalima:</w:t>
      </w:r>
    </w:p>
    <w:p w:rsidR="00AB18B0" w:rsidRPr="00B42238" w:rsidRDefault="00AB18B0" w:rsidP="00AB18B0">
      <w:pPr>
        <w:pStyle w:val="BT-EMEASMCA"/>
        <w:ind w:left="363"/>
        <w:rPr>
          <w:noProof w:val="0"/>
          <w:lang w:bidi="lo-LA"/>
        </w:rPr>
      </w:pPr>
      <w:r w:rsidRPr="00B42238">
        <w:rPr>
          <w:noProof w:val="0"/>
          <w:lang w:bidi="lo-LA"/>
        </w:rPr>
        <w:t>-</w:t>
      </w:r>
      <w:r w:rsidRPr="00B42238">
        <w:rPr>
          <w:noProof w:val="0"/>
          <w:lang w:bidi="lo-LA"/>
        </w:rPr>
        <w:tab/>
        <w:t xml:space="preserve">jeigu yra alergija veikliajai medžiagai arba bet kuriai pagalbinei šio vaisto medžiagai (jos išvardytos 6 skyriuje); </w:t>
      </w:r>
    </w:p>
    <w:p w:rsidR="00AB18B0" w:rsidRPr="00B42238" w:rsidRDefault="00AB18B0" w:rsidP="00AB18B0">
      <w:pPr>
        <w:pStyle w:val="BT-EMEASMCA"/>
        <w:ind w:left="363"/>
        <w:rPr>
          <w:noProof w:val="0"/>
          <w:lang w:bidi="lo-LA"/>
        </w:rPr>
      </w:pPr>
      <w:r w:rsidRPr="00B42238">
        <w:rPr>
          <w:noProof w:val="0"/>
          <w:lang w:bidi="lo-LA"/>
        </w:rPr>
        <w:t>-</w:t>
      </w:r>
      <w:r w:rsidRPr="00B42238">
        <w:rPr>
          <w:noProof w:val="0"/>
          <w:lang w:bidi="lo-LA"/>
        </w:rPr>
        <w:tab/>
        <w:t>nėščioms moterims ir žindyvėms.</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jc w:val="both"/>
        <w:rPr>
          <w:sz w:val="22"/>
          <w:szCs w:val="22"/>
        </w:rPr>
      </w:pPr>
      <w:r w:rsidRPr="00B42238">
        <w:rPr>
          <w:b/>
          <w:sz w:val="22"/>
          <w:szCs w:val="22"/>
        </w:rPr>
        <w:t>Įspėjimai ir atsargumo priemonės</w:t>
      </w:r>
      <w:r w:rsidRPr="00B42238">
        <w:rPr>
          <w:sz w:val="22"/>
          <w:szCs w:val="22"/>
        </w:rPr>
        <w:t xml:space="preserve"> </w:t>
      </w:r>
    </w:p>
    <w:p w:rsidR="00AB18B0" w:rsidRPr="00B42238" w:rsidRDefault="00AB18B0" w:rsidP="00AB18B0">
      <w:pPr>
        <w:numPr>
          <w:ilvl w:val="12"/>
          <w:numId w:val="0"/>
        </w:numPr>
        <w:ind w:right="-2"/>
        <w:rPr>
          <w:b w:val="0"/>
          <w:bCs w:val="0"/>
          <w:snapToGrid w:val="0"/>
          <w:sz w:val="22"/>
          <w:szCs w:val="22"/>
          <w:lang w:bidi="lo-LA"/>
        </w:rPr>
      </w:pPr>
      <w:r w:rsidRPr="00B42238">
        <w:rPr>
          <w:b w:val="0"/>
          <w:bCs w:val="0"/>
          <w:snapToGrid w:val="0"/>
          <w:sz w:val="22"/>
          <w:szCs w:val="22"/>
          <w:lang w:bidi="lo-LA"/>
        </w:rPr>
        <w:t>Pasitarkite su gydytoju</w:t>
      </w:r>
      <w:r>
        <w:rPr>
          <w:b w:val="0"/>
          <w:bCs w:val="0"/>
          <w:snapToGrid w:val="0"/>
          <w:sz w:val="22"/>
          <w:szCs w:val="22"/>
          <w:lang w:bidi="lo-LA"/>
        </w:rPr>
        <w:t xml:space="preserve"> </w:t>
      </w:r>
      <w:r w:rsidRPr="00B42238">
        <w:rPr>
          <w:b w:val="0"/>
          <w:bCs w:val="0"/>
          <w:snapToGrid w:val="0"/>
          <w:sz w:val="22"/>
          <w:szCs w:val="22"/>
          <w:lang w:bidi="lo-LA"/>
        </w:rPr>
        <w:t>arba slaugytoju, prieš pradėdami vartoti Zoladex</w:t>
      </w:r>
      <w:r w:rsidRPr="00B42238">
        <w:rPr>
          <w:b w:val="0"/>
          <w:spacing w:val="-2"/>
          <w:sz w:val="22"/>
          <w:szCs w:val="22"/>
          <w:lang w:bidi="lo-LA"/>
        </w:rPr>
        <w:t>, jeigu:</w:t>
      </w:r>
    </w:p>
    <w:p w:rsidR="00AB18B0" w:rsidRPr="00B42238" w:rsidRDefault="00AB18B0" w:rsidP="00AB18B0">
      <w:pPr>
        <w:numPr>
          <w:ilvl w:val="0"/>
          <w:numId w:val="2"/>
        </w:numPr>
        <w:tabs>
          <w:tab w:val="left" w:pos="-720"/>
        </w:tabs>
        <w:suppressAutoHyphens/>
        <w:rPr>
          <w:b w:val="0"/>
          <w:spacing w:val="-2"/>
          <w:sz w:val="22"/>
          <w:szCs w:val="22"/>
          <w:lang w:bidi="lo-LA"/>
        </w:rPr>
      </w:pPr>
      <w:r w:rsidRPr="00B42238">
        <w:rPr>
          <w:b w:val="0"/>
          <w:spacing w:val="-2"/>
          <w:sz w:val="22"/>
          <w:szCs w:val="22"/>
          <w:lang w:bidi="lo-LA"/>
        </w:rPr>
        <w:t xml:space="preserve">sutrikęs šlapinimasis arba </w:t>
      </w:r>
      <w:r w:rsidRPr="00B42238">
        <w:rPr>
          <w:b w:val="0"/>
          <w:sz w:val="22"/>
          <w:szCs w:val="22"/>
          <w:lang w:bidi="lo-LA"/>
        </w:rPr>
        <w:t>skundžiatės nugara</w:t>
      </w:r>
      <w:r w:rsidRPr="00B42238">
        <w:rPr>
          <w:b w:val="0"/>
          <w:spacing w:val="-2"/>
          <w:sz w:val="22"/>
          <w:szCs w:val="22"/>
          <w:lang w:bidi="lo-LA"/>
        </w:rPr>
        <w:t>;</w:t>
      </w:r>
    </w:p>
    <w:p w:rsidR="00AB18B0" w:rsidRPr="00B42238" w:rsidRDefault="00AB18B0" w:rsidP="00AB18B0">
      <w:pPr>
        <w:numPr>
          <w:ilvl w:val="0"/>
          <w:numId w:val="2"/>
        </w:numPr>
        <w:tabs>
          <w:tab w:val="left" w:pos="-720"/>
        </w:tabs>
        <w:suppressAutoHyphens/>
        <w:rPr>
          <w:b w:val="0"/>
          <w:spacing w:val="-2"/>
          <w:sz w:val="22"/>
          <w:szCs w:val="22"/>
          <w:lang w:bidi="lo-LA"/>
        </w:rPr>
      </w:pPr>
      <w:r w:rsidRPr="00B42238">
        <w:rPr>
          <w:b w:val="0"/>
          <w:spacing w:val="-2"/>
          <w:sz w:val="22"/>
          <w:szCs w:val="22"/>
          <w:lang w:bidi="lo-LA"/>
        </w:rPr>
        <w:t>sergate cukriniu diabetu;</w:t>
      </w:r>
    </w:p>
    <w:p w:rsidR="00AB18B0" w:rsidRPr="00B42238" w:rsidRDefault="00AB18B0" w:rsidP="00AB18B0">
      <w:pPr>
        <w:numPr>
          <w:ilvl w:val="0"/>
          <w:numId w:val="2"/>
        </w:numPr>
        <w:tabs>
          <w:tab w:val="left" w:pos="-720"/>
        </w:tabs>
        <w:suppressAutoHyphens/>
        <w:rPr>
          <w:b w:val="0"/>
          <w:spacing w:val="-2"/>
          <w:sz w:val="22"/>
          <w:szCs w:val="22"/>
          <w:lang w:bidi="lo-LA"/>
        </w:rPr>
      </w:pPr>
      <w:r w:rsidRPr="00B42238">
        <w:rPr>
          <w:b w:val="0"/>
          <w:spacing w:val="-2"/>
          <w:sz w:val="22"/>
          <w:szCs w:val="22"/>
          <w:lang w:bidi="lo-LA"/>
        </w:rPr>
        <w:t>sergate liga, dėl kurios silpnėja kaulai, ypač jeigu vartojate daug alkoholinių gėrimų, rūkote, Jūsų šeimos nariams nustatyta osteoporozė (liga, dėl kurios silpnėja kaulai), vartojate vaistų nuo traukulių (epilepsijos priepuolių) arba kortikosteroidų (steroidų);</w:t>
      </w:r>
    </w:p>
    <w:p w:rsidR="00AB18B0" w:rsidRPr="00B42238" w:rsidRDefault="00AB18B0" w:rsidP="00AB18B0">
      <w:pPr>
        <w:numPr>
          <w:ilvl w:val="0"/>
          <w:numId w:val="2"/>
        </w:numPr>
        <w:tabs>
          <w:tab w:val="left" w:pos="-720"/>
        </w:tabs>
        <w:suppressAutoHyphens/>
        <w:rPr>
          <w:b w:val="0"/>
          <w:spacing w:val="-2"/>
          <w:sz w:val="22"/>
          <w:szCs w:val="22"/>
          <w:lang w:bidi="lo-LA"/>
        </w:rPr>
      </w:pPr>
      <w:r w:rsidRPr="00B42238">
        <w:rPr>
          <w:b w:val="0"/>
          <w:spacing w:val="-2"/>
          <w:sz w:val="22"/>
          <w:szCs w:val="22"/>
          <w:lang w:bidi="lo-LA"/>
        </w:rPr>
        <w:t>turite aukštą kraujospūdį;</w:t>
      </w:r>
    </w:p>
    <w:p w:rsidR="00AB18B0" w:rsidRPr="00B42238" w:rsidRDefault="00AB18B0" w:rsidP="00AB18B0">
      <w:pPr>
        <w:numPr>
          <w:ilvl w:val="0"/>
          <w:numId w:val="2"/>
        </w:numPr>
        <w:tabs>
          <w:tab w:val="left" w:pos="-720"/>
        </w:tabs>
        <w:suppressAutoHyphens/>
        <w:rPr>
          <w:b w:val="0"/>
          <w:spacing w:val="-2"/>
          <w:sz w:val="22"/>
          <w:szCs w:val="22"/>
          <w:lang w:bidi="lo-LA"/>
        </w:rPr>
      </w:pPr>
      <w:r w:rsidRPr="00B42238">
        <w:rPr>
          <w:b w:val="0"/>
          <w:spacing w:val="-2"/>
          <w:sz w:val="22"/>
          <w:szCs w:val="22"/>
          <w:lang w:bidi="lo-LA"/>
        </w:rPr>
        <w:t>sergate depresija;</w:t>
      </w:r>
    </w:p>
    <w:p w:rsidR="00AB18B0" w:rsidRPr="00B42238" w:rsidRDefault="00AB18B0" w:rsidP="00AB18B0">
      <w:pPr>
        <w:numPr>
          <w:ilvl w:val="0"/>
          <w:numId w:val="2"/>
        </w:numPr>
        <w:tabs>
          <w:tab w:val="left" w:pos="-720"/>
        </w:tabs>
        <w:suppressAutoHyphens/>
        <w:rPr>
          <w:b w:val="0"/>
          <w:spacing w:val="-2"/>
          <w:sz w:val="22"/>
          <w:szCs w:val="22"/>
          <w:lang w:bidi="lo-LA"/>
        </w:rPr>
      </w:pPr>
      <w:r w:rsidRPr="00B42238">
        <w:rPr>
          <w:b w:val="0"/>
          <w:sz w:val="22"/>
          <w:szCs w:val="22"/>
          <w:lang w:bidi="lo-LA"/>
        </w:rPr>
        <w:t>sergate kokia nors širdies arba kraujagyslių liga, įskaitant širdies ritmo sutrikimus (aritmijas), arba vartojate vaistų nuo tokių ligų. Vartojant Zoladex LA, gali padidėti širdies ritmo sutrikimų rizika.</w:t>
      </w:r>
    </w:p>
    <w:p w:rsidR="00AB18B0" w:rsidRPr="00B42238" w:rsidRDefault="00AB18B0" w:rsidP="00AB18B0">
      <w:pPr>
        <w:tabs>
          <w:tab w:val="left" w:pos="-720"/>
        </w:tabs>
        <w:suppressAutoHyphens/>
        <w:rPr>
          <w:b w:val="0"/>
          <w:spacing w:val="-2"/>
          <w:sz w:val="22"/>
          <w:szCs w:val="22"/>
          <w:lang w:bidi="lo-LA"/>
        </w:rPr>
      </w:pPr>
    </w:p>
    <w:p w:rsidR="00AB18B0" w:rsidRPr="00B42238" w:rsidRDefault="00AB18B0" w:rsidP="00AB18B0">
      <w:pPr>
        <w:tabs>
          <w:tab w:val="left" w:pos="-720"/>
        </w:tabs>
        <w:suppressAutoHyphens/>
        <w:rPr>
          <w:b w:val="0"/>
          <w:spacing w:val="-2"/>
          <w:sz w:val="22"/>
          <w:szCs w:val="22"/>
          <w:lang w:bidi="lo-LA"/>
        </w:rPr>
      </w:pPr>
      <w:r w:rsidRPr="00B42238">
        <w:rPr>
          <w:b w:val="0"/>
          <w:spacing w:val="-2"/>
          <w:sz w:val="22"/>
          <w:szCs w:val="22"/>
          <w:lang w:bidi="lo-LA"/>
        </w:rPr>
        <w:t>Gauta pranešimų apie vartojant Zoladex pasireiškusią depresiją, kuri gali būti sunki. Jei vartojant Zoladex Jūsų nuotaika pasidarytų bloga, apie tai pasakykite gydytojui.</w:t>
      </w:r>
    </w:p>
    <w:p w:rsidR="00AB18B0" w:rsidRPr="00B42238" w:rsidRDefault="00AB18B0" w:rsidP="00AB18B0">
      <w:pPr>
        <w:tabs>
          <w:tab w:val="left" w:pos="-720"/>
        </w:tabs>
        <w:suppressAutoHyphens/>
        <w:rPr>
          <w:b w:val="0"/>
          <w:spacing w:val="-2"/>
          <w:sz w:val="22"/>
          <w:szCs w:val="22"/>
          <w:lang w:bidi="lo-LA"/>
        </w:rPr>
      </w:pPr>
    </w:p>
    <w:p w:rsidR="00AB18B0" w:rsidRPr="00B42238" w:rsidRDefault="00AB18B0" w:rsidP="00AB18B0">
      <w:pPr>
        <w:tabs>
          <w:tab w:val="left" w:pos="-720"/>
        </w:tabs>
        <w:suppressAutoHyphens/>
        <w:ind w:right="-154"/>
        <w:rPr>
          <w:b w:val="0"/>
          <w:spacing w:val="-2"/>
          <w:sz w:val="22"/>
          <w:szCs w:val="22"/>
          <w:lang w:bidi="lo-LA"/>
        </w:rPr>
      </w:pPr>
      <w:r w:rsidRPr="00B42238">
        <w:rPr>
          <w:b w:val="0"/>
          <w:spacing w:val="-2"/>
          <w:sz w:val="22"/>
          <w:szCs w:val="22"/>
          <w:lang w:bidi="lo-LA"/>
        </w:rPr>
        <w:t>Šios grupės vaistai gali sukelti kalcio kiekio kauluose sumažėjimą (kaulų išplonėjimą).</w:t>
      </w:r>
    </w:p>
    <w:p w:rsidR="00AB18B0" w:rsidRPr="00B42238" w:rsidRDefault="00AB18B0" w:rsidP="00AB18B0">
      <w:pPr>
        <w:tabs>
          <w:tab w:val="left" w:pos="-720"/>
        </w:tabs>
        <w:suppressAutoHyphens/>
        <w:rPr>
          <w:b w:val="0"/>
          <w:spacing w:val="-2"/>
          <w:sz w:val="22"/>
          <w:szCs w:val="22"/>
          <w:lang w:bidi="lo-LA"/>
        </w:rPr>
      </w:pPr>
      <w:r w:rsidRPr="00B42238">
        <w:rPr>
          <w:b w:val="0"/>
          <w:spacing w:val="-2"/>
          <w:sz w:val="22"/>
          <w:szCs w:val="22"/>
          <w:lang w:bidi="lo-LA"/>
        </w:rPr>
        <w:t>Nuvykę į ligoninę, pasakykite medicinos personalui, kad vartojate Zoladex LA.</w:t>
      </w:r>
    </w:p>
    <w:p w:rsidR="00AB18B0" w:rsidRPr="00B42238" w:rsidRDefault="00AB18B0" w:rsidP="00AB18B0">
      <w:pPr>
        <w:tabs>
          <w:tab w:val="left" w:pos="-720"/>
        </w:tabs>
        <w:suppressAutoHyphens/>
        <w:rPr>
          <w:b w:val="0"/>
          <w:spacing w:val="-2"/>
          <w:sz w:val="22"/>
          <w:szCs w:val="22"/>
          <w:lang w:bidi="lo-LA"/>
        </w:rPr>
      </w:pPr>
    </w:p>
    <w:p w:rsidR="00AB18B0" w:rsidRPr="00B42238" w:rsidRDefault="00AB18B0" w:rsidP="00AB18B0">
      <w:pPr>
        <w:ind w:left="567" w:hanging="567"/>
        <w:rPr>
          <w:sz w:val="22"/>
          <w:szCs w:val="22"/>
          <w:lang w:bidi="lo-LA"/>
        </w:rPr>
      </w:pPr>
      <w:r w:rsidRPr="00B42238">
        <w:rPr>
          <w:sz w:val="22"/>
          <w:szCs w:val="22"/>
          <w:lang w:bidi="lo-LA"/>
        </w:rPr>
        <w:t>Kiti vaistai ir Zoladex LA</w:t>
      </w:r>
    </w:p>
    <w:p w:rsidR="00AB18B0" w:rsidRPr="00B42238" w:rsidRDefault="00AB18B0" w:rsidP="00AB18B0">
      <w:pPr>
        <w:pStyle w:val="Style1"/>
        <w:rPr>
          <w:sz w:val="22"/>
        </w:rPr>
      </w:pPr>
      <w:r w:rsidRPr="00B42238">
        <w:rPr>
          <w:sz w:val="22"/>
        </w:rPr>
        <w:t>Jeigu vartojate arba neseniai vartojote kitų vaistų arba dėl to nesate tikri, apie tai pasakykite gydytojui arba vaistininkui.</w:t>
      </w:r>
    </w:p>
    <w:p w:rsidR="00AB18B0" w:rsidRPr="00B42238" w:rsidRDefault="00AB18B0" w:rsidP="00AB18B0">
      <w:pPr>
        <w:pStyle w:val="Style1"/>
        <w:rPr>
          <w:sz w:val="22"/>
        </w:rPr>
      </w:pPr>
    </w:p>
    <w:p w:rsidR="00AB18B0" w:rsidRPr="00B42238" w:rsidRDefault="00AB18B0" w:rsidP="00AB18B0">
      <w:pPr>
        <w:pStyle w:val="Pagrindinistekstas"/>
        <w:spacing w:after="0"/>
        <w:rPr>
          <w:sz w:val="22"/>
          <w:szCs w:val="22"/>
        </w:rPr>
      </w:pPr>
      <w:r w:rsidRPr="00B42238">
        <w:rPr>
          <w:sz w:val="22"/>
          <w:szCs w:val="22"/>
        </w:rPr>
        <w:t>Zoladex LA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rsidR="00AB18B0" w:rsidRPr="00B42238" w:rsidRDefault="00AB18B0" w:rsidP="00AB18B0">
      <w:pPr>
        <w:pStyle w:val="Style1"/>
        <w:rPr>
          <w:sz w:val="22"/>
        </w:rPr>
      </w:pPr>
    </w:p>
    <w:p w:rsidR="00AB18B0" w:rsidRPr="00B42238" w:rsidRDefault="00AB18B0" w:rsidP="00AB18B0">
      <w:pPr>
        <w:pStyle w:val="Pagrindinistekstas"/>
        <w:spacing w:after="0"/>
        <w:jc w:val="both"/>
        <w:rPr>
          <w:sz w:val="22"/>
          <w:szCs w:val="22"/>
        </w:rPr>
      </w:pPr>
      <w:r w:rsidRPr="00B42238">
        <w:rPr>
          <w:sz w:val="22"/>
          <w:szCs w:val="22"/>
        </w:rPr>
        <w:t>Nuvykę į ligoninę, pasakykite medicinos personalui apie tai, kad vartojate Zoladex LA.</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jc w:val="both"/>
        <w:rPr>
          <w:sz w:val="22"/>
          <w:szCs w:val="22"/>
        </w:rPr>
      </w:pPr>
      <w:r w:rsidRPr="00B42238">
        <w:rPr>
          <w:b/>
          <w:sz w:val="22"/>
          <w:szCs w:val="22"/>
        </w:rPr>
        <w:t>Vairavimas ir mechanizmų valdymas</w:t>
      </w:r>
    </w:p>
    <w:p w:rsidR="00AB18B0" w:rsidRPr="00B42238" w:rsidRDefault="00AB18B0" w:rsidP="00AB18B0">
      <w:pPr>
        <w:pStyle w:val="Pagrindinistekstas"/>
        <w:spacing w:after="0"/>
        <w:jc w:val="both"/>
        <w:rPr>
          <w:sz w:val="22"/>
          <w:szCs w:val="22"/>
        </w:rPr>
      </w:pPr>
      <w:r w:rsidRPr="00B42238">
        <w:rPr>
          <w:sz w:val="22"/>
          <w:szCs w:val="22"/>
        </w:rPr>
        <w:t>Gebos vairuoti ir dirbti su technika šis vaistas neturėtų veikti.</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numPr>
          <w:ilvl w:val="0"/>
          <w:numId w:val="1"/>
        </w:numPr>
        <w:spacing w:after="0"/>
        <w:jc w:val="both"/>
        <w:rPr>
          <w:b/>
          <w:sz w:val="22"/>
          <w:szCs w:val="22"/>
        </w:rPr>
      </w:pPr>
      <w:r w:rsidRPr="00B42238">
        <w:rPr>
          <w:b/>
          <w:sz w:val="22"/>
          <w:szCs w:val="22"/>
        </w:rPr>
        <w:t>Kaip vartoti Zoladex LA</w:t>
      </w:r>
    </w:p>
    <w:p w:rsidR="00AB18B0" w:rsidRPr="00B42238" w:rsidRDefault="00AB18B0" w:rsidP="00AB18B0">
      <w:pPr>
        <w:pStyle w:val="Pagrindinistekstas"/>
        <w:spacing w:after="0"/>
        <w:ind w:left="360"/>
        <w:jc w:val="both"/>
        <w:rPr>
          <w:sz w:val="22"/>
          <w:szCs w:val="22"/>
        </w:rPr>
      </w:pPr>
    </w:p>
    <w:p w:rsidR="00AB18B0" w:rsidRPr="00B42238" w:rsidRDefault="00AB18B0" w:rsidP="00AB18B0">
      <w:pPr>
        <w:pStyle w:val="Pagrindinistekstas"/>
        <w:spacing w:after="0"/>
        <w:rPr>
          <w:sz w:val="22"/>
          <w:szCs w:val="22"/>
        </w:rPr>
      </w:pPr>
      <w:r w:rsidRPr="00B42238">
        <w:rPr>
          <w:sz w:val="22"/>
          <w:szCs w:val="22"/>
        </w:rPr>
        <w:t>Gydytojas arba medicinos sesuo kas 3 mėnesius sušvirkš Zoladex LA po pilvo oda. Net pasijutus gerai, šį vaistą svarbu vartoti toliau, kol gydytojas patars baigti gydymą.</w:t>
      </w:r>
    </w:p>
    <w:p w:rsidR="00AB18B0" w:rsidRPr="00B42238" w:rsidRDefault="00AB18B0" w:rsidP="00AB18B0">
      <w:pPr>
        <w:pStyle w:val="Pagrindinistekstas"/>
        <w:spacing w:after="0"/>
        <w:rPr>
          <w:sz w:val="22"/>
          <w:szCs w:val="22"/>
        </w:rPr>
      </w:pPr>
      <w:r w:rsidRPr="00B42238">
        <w:rPr>
          <w:sz w:val="22"/>
          <w:szCs w:val="22"/>
        </w:rPr>
        <w:t>Zoladex LA reikėtų švirkšti kas 12 savaičių. Visada priminkite gydytojui arba medicinos seseriai, kad pasakytų, kada atvykti kitai injekcijai. Jeigu ji paskirta praėjus mažiau arba daugiau kaip 3 mėnesius po ankstesnės, apie tai pasakykite gydytojui arba medicinos seseriai. Jeigu po paskutinės injekcijos praėjo daugiau kaip 3 mėnesiai, kreipkitės į gydytoją arba medicinos seserį, kad kuo greičiau Jums sušvirkštų vaisto.</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rPr>
          <w:i/>
          <w:sz w:val="22"/>
          <w:szCs w:val="22"/>
        </w:rPr>
      </w:pPr>
      <w:r w:rsidRPr="00B42238">
        <w:rPr>
          <w:i/>
          <w:sz w:val="22"/>
          <w:szCs w:val="22"/>
        </w:rPr>
        <w:t>Inkstų funkcijos nepakankamumas</w:t>
      </w:r>
    </w:p>
    <w:p w:rsidR="00AB18B0" w:rsidRPr="00B42238" w:rsidRDefault="00AB18B0" w:rsidP="00AB18B0">
      <w:pPr>
        <w:pStyle w:val="Pagrindinistekstas"/>
        <w:spacing w:after="0"/>
        <w:rPr>
          <w:sz w:val="22"/>
          <w:szCs w:val="22"/>
        </w:rPr>
      </w:pPr>
      <w:r w:rsidRPr="00B42238">
        <w:rPr>
          <w:sz w:val="22"/>
          <w:szCs w:val="22"/>
        </w:rPr>
        <w:t>Dozės koreguoti nereikia.</w:t>
      </w:r>
    </w:p>
    <w:p w:rsidR="00AB18B0" w:rsidRPr="00B42238" w:rsidRDefault="00AB18B0" w:rsidP="00AB18B0">
      <w:pPr>
        <w:pStyle w:val="Pagrindinistekstas"/>
        <w:spacing w:after="0"/>
        <w:rPr>
          <w:sz w:val="22"/>
          <w:szCs w:val="22"/>
        </w:rPr>
      </w:pPr>
    </w:p>
    <w:p w:rsidR="00AB18B0" w:rsidRPr="00B42238" w:rsidRDefault="00AB18B0" w:rsidP="00AB18B0">
      <w:pPr>
        <w:pStyle w:val="Pagrindinistekstas"/>
        <w:spacing w:after="0"/>
        <w:rPr>
          <w:i/>
          <w:sz w:val="22"/>
          <w:szCs w:val="22"/>
        </w:rPr>
      </w:pPr>
      <w:r w:rsidRPr="00B42238">
        <w:rPr>
          <w:i/>
          <w:sz w:val="22"/>
          <w:szCs w:val="22"/>
        </w:rPr>
        <w:t>Kepenų funkcijos nepakankamumas</w:t>
      </w:r>
    </w:p>
    <w:p w:rsidR="00AB18B0" w:rsidRPr="00B42238" w:rsidRDefault="00AB18B0" w:rsidP="00AB18B0">
      <w:pPr>
        <w:pStyle w:val="Pagrindinistekstas"/>
        <w:spacing w:after="0"/>
        <w:jc w:val="both"/>
        <w:rPr>
          <w:sz w:val="22"/>
          <w:szCs w:val="22"/>
        </w:rPr>
      </w:pPr>
      <w:r w:rsidRPr="00B42238">
        <w:rPr>
          <w:sz w:val="22"/>
          <w:szCs w:val="22"/>
        </w:rPr>
        <w:t>Dozės koreguoti nereikia.</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rPr>
          <w:i/>
          <w:sz w:val="22"/>
          <w:szCs w:val="22"/>
        </w:rPr>
      </w:pPr>
      <w:r w:rsidRPr="00B42238">
        <w:rPr>
          <w:i/>
          <w:sz w:val="22"/>
          <w:szCs w:val="22"/>
        </w:rPr>
        <w:t>Senyvi pacientai</w:t>
      </w:r>
    </w:p>
    <w:p w:rsidR="00AB18B0" w:rsidRPr="00B42238" w:rsidRDefault="00AB18B0" w:rsidP="00AB18B0">
      <w:pPr>
        <w:pStyle w:val="Pagrindinistekstas"/>
        <w:spacing w:after="0"/>
        <w:rPr>
          <w:sz w:val="22"/>
          <w:szCs w:val="22"/>
        </w:rPr>
      </w:pPr>
      <w:r w:rsidRPr="00B42238">
        <w:rPr>
          <w:sz w:val="22"/>
          <w:szCs w:val="22"/>
        </w:rPr>
        <w:t>Dozės koreguoti nereikia.</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jc w:val="both"/>
        <w:rPr>
          <w:b/>
          <w:sz w:val="22"/>
          <w:szCs w:val="22"/>
        </w:rPr>
      </w:pPr>
      <w:r w:rsidRPr="00B42238">
        <w:rPr>
          <w:b/>
          <w:sz w:val="22"/>
          <w:szCs w:val="22"/>
        </w:rPr>
        <w:t>Vartojimas vaikams</w:t>
      </w:r>
    </w:p>
    <w:p w:rsidR="00AB18B0" w:rsidRPr="00B42238" w:rsidRDefault="00AB18B0" w:rsidP="00AB18B0">
      <w:pPr>
        <w:pStyle w:val="Pagrindinistekstas"/>
        <w:spacing w:after="0"/>
        <w:jc w:val="both"/>
        <w:rPr>
          <w:sz w:val="22"/>
          <w:szCs w:val="22"/>
        </w:rPr>
      </w:pPr>
      <w:r w:rsidRPr="00B42238">
        <w:rPr>
          <w:sz w:val="22"/>
          <w:szCs w:val="22"/>
        </w:rPr>
        <w:t>Vaistas nevartojamas vaikams.</w:t>
      </w: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spacing w:after="0"/>
        <w:jc w:val="both"/>
        <w:rPr>
          <w:sz w:val="22"/>
          <w:szCs w:val="22"/>
        </w:rPr>
      </w:pPr>
    </w:p>
    <w:p w:rsidR="00AB18B0" w:rsidRPr="00B42238" w:rsidRDefault="00AB18B0" w:rsidP="00AB18B0">
      <w:pPr>
        <w:numPr>
          <w:ilvl w:val="0"/>
          <w:numId w:val="1"/>
        </w:numPr>
        <w:outlineLvl w:val="0"/>
        <w:rPr>
          <w:bCs w:val="0"/>
          <w:caps/>
          <w:sz w:val="22"/>
          <w:szCs w:val="22"/>
          <w:lang w:bidi="lo-LA"/>
        </w:rPr>
      </w:pPr>
      <w:r w:rsidRPr="00B42238">
        <w:rPr>
          <w:sz w:val="22"/>
          <w:szCs w:val="22"/>
          <w:lang w:bidi="lo-LA"/>
        </w:rPr>
        <w:t>Galimas šalutinis poveikis</w:t>
      </w:r>
      <w:r w:rsidRPr="00B42238">
        <w:rPr>
          <w:bCs w:val="0"/>
          <w:caps/>
          <w:sz w:val="22"/>
          <w:szCs w:val="22"/>
          <w:lang w:bidi="lo-LA"/>
        </w:rPr>
        <w:t xml:space="preserve"> </w:t>
      </w:r>
    </w:p>
    <w:p w:rsidR="00AB18B0" w:rsidRPr="00B42238" w:rsidRDefault="00AB18B0" w:rsidP="00AB18B0">
      <w:pPr>
        <w:ind w:left="360"/>
        <w:outlineLvl w:val="0"/>
        <w:rPr>
          <w:b w:val="0"/>
          <w:caps/>
          <w:sz w:val="22"/>
          <w:szCs w:val="22"/>
          <w:lang w:bidi="lo-LA"/>
        </w:rPr>
      </w:pPr>
    </w:p>
    <w:p w:rsidR="00AB18B0" w:rsidRPr="00B42238" w:rsidRDefault="00AB18B0" w:rsidP="00AB18B0">
      <w:pPr>
        <w:pStyle w:val="Pagrindiniotekstotrauka"/>
        <w:spacing w:after="0"/>
        <w:ind w:left="0"/>
        <w:rPr>
          <w:sz w:val="22"/>
          <w:szCs w:val="22"/>
        </w:rPr>
      </w:pPr>
      <w:r w:rsidRPr="00B42238">
        <w:rPr>
          <w:sz w:val="22"/>
          <w:szCs w:val="22"/>
        </w:rPr>
        <w:t>Šis vaistas, kaip ir visi kiti, gali sukelti šalutinį poveikį, nors jis pasireiškia ne visiems žmonėms.</w:t>
      </w:r>
    </w:p>
    <w:p w:rsidR="00AB18B0" w:rsidRPr="00B42238" w:rsidRDefault="00AB18B0" w:rsidP="00AB18B0">
      <w:pPr>
        <w:pStyle w:val="Pagrindiniotekstotrauka"/>
        <w:spacing w:after="0"/>
        <w:ind w:left="0"/>
        <w:rPr>
          <w:sz w:val="22"/>
          <w:szCs w:val="22"/>
        </w:rPr>
      </w:pPr>
    </w:p>
    <w:p w:rsidR="00AB18B0" w:rsidRPr="00B42238" w:rsidRDefault="00AB18B0" w:rsidP="00AB18B0">
      <w:pPr>
        <w:tabs>
          <w:tab w:val="left" w:pos="-720"/>
        </w:tabs>
        <w:suppressAutoHyphens/>
        <w:ind w:right="-154"/>
        <w:rPr>
          <w:bCs w:val="0"/>
          <w:spacing w:val="-2"/>
          <w:sz w:val="22"/>
          <w:szCs w:val="22"/>
          <w:lang w:bidi="lo-LA"/>
        </w:rPr>
      </w:pPr>
      <w:r w:rsidRPr="00B42238">
        <w:rPr>
          <w:bCs w:val="0"/>
          <w:spacing w:val="-2"/>
          <w:sz w:val="22"/>
          <w:szCs w:val="22"/>
          <w:lang w:bidi="lo-LA"/>
        </w:rPr>
        <w:t>Alerginės reakcijos</w:t>
      </w:r>
    </w:p>
    <w:p w:rsidR="00AB18B0" w:rsidRPr="00B42238" w:rsidRDefault="00AB18B0" w:rsidP="00AB18B0">
      <w:pPr>
        <w:tabs>
          <w:tab w:val="left" w:pos="-720"/>
        </w:tabs>
        <w:suppressAutoHyphens/>
        <w:ind w:right="-154"/>
        <w:rPr>
          <w:b w:val="0"/>
          <w:spacing w:val="-2"/>
          <w:sz w:val="22"/>
          <w:szCs w:val="22"/>
          <w:lang w:bidi="lo-LA"/>
        </w:rPr>
      </w:pPr>
      <w:r w:rsidRPr="00B42238">
        <w:rPr>
          <w:b w:val="0"/>
          <w:spacing w:val="-2"/>
          <w:sz w:val="22"/>
          <w:szCs w:val="22"/>
          <w:lang w:bidi="lo-LA"/>
        </w:rPr>
        <w:t>Alerginių reakcijų būna retai. Jų simptomai gali būti staiga pasireiškę:</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odos išbėrimas, niežulys ar dilgėlinė;</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veido, lūpų, liežuvio ar kitų kūno dalių tinimas;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dusulys, švokštimas ar sutrikęs kvėpavimas.</w:t>
      </w:r>
    </w:p>
    <w:p w:rsidR="00AB18B0" w:rsidRPr="00B42238" w:rsidRDefault="00AB18B0" w:rsidP="00AB18B0">
      <w:pPr>
        <w:pStyle w:val="Pagrindinistekstas"/>
        <w:spacing w:after="0"/>
        <w:rPr>
          <w:bCs/>
          <w:spacing w:val="-2"/>
          <w:sz w:val="22"/>
          <w:szCs w:val="22"/>
        </w:rPr>
      </w:pPr>
      <w:r w:rsidRPr="00B42238">
        <w:rPr>
          <w:b/>
          <w:spacing w:val="-2"/>
          <w:sz w:val="22"/>
          <w:szCs w:val="22"/>
        </w:rPr>
        <w:t xml:space="preserve">Jeigu Jums pasireikštų tokių simptomų, </w:t>
      </w:r>
      <w:r w:rsidRPr="00B42238">
        <w:rPr>
          <w:bCs/>
          <w:spacing w:val="-2"/>
          <w:sz w:val="22"/>
          <w:szCs w:val="22"/>
        </w:rPr>
        <w:t>nedelsdami kreipkitės į gydytoją</w:t>
      </w:r>
      <w:r>
        <w:rPr>
          <w:bCs/>
          <w:spacing w:val="-2"/>
          <w:sz w:val="22"/>
          <w:szCs w:val="22"/>
        </w:rPr>
        <w:t>.</w:t>
      </w:r>
    </w:p>
    <w:p w:rsidR="00AB18B0" w:rsidRPr="00B42238" w:rsidRDefault="00AB18B0" w:rsidP="00AB18B0">
      <w:pPr>
        <w:pStyle w:val="Pagrindinistekstas"/>
        <w:spacing w:after="0"/>
        <w:rPr>
          <w:sz w:val="22"/>
          <w:szCs w:val="22"/>
          <w:lang w:eastAsia="en-US"/>
        </w:rPr>
      </w:pPr>
    </w:p>
    <w:p w:rsidR="00AB18B0" w:rsidRPr="00B42238" w:rsidRDefault="00AB18B0" w:rsidP="00AB18B0">
      <w:pPr>
        <w:pStyle w:val="Pagrindinistekstas"/>
        <w:spacing w:after="0"/>
        <w:rPr>
          <w:b/>
          <w:spacing w:val="-2"/>
          <w:sz w:val="22"/>
          <w:szCs w:val="22"/>
        </w:rPr>
      </w:pPr>
      <w:r w:rsidRPr="00B42238">
        <w:rPr>
          <w:b/>
          <w:spacing w:val="-2"/>
          <w:sz w:val="22"/>
          <w:szCs w:val="22"/>
        </w:rPr>
        <w:t>Taip pat gali pasireikšti toks šalutinis poveikis: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 xml:space="preserve">nugaros skausmas ar sutrikęs šlapinimasis. Jų pajutę, </w:t>
      </w:r>
      <w:r w:rsidRPr="00B42238">
        <w:rPr>
          <w:bCs w:val="0"/>
          <w:spacing w:val="-2"/>
          <w:sz w:val="22"/>
          <w:szCs w:val="22"/>
          <w:lang w:bidi="lo-LA"/>
        </w:rPr>
        <w:t>kreipkitės į gydytoją;</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 xml:space="preserve">kaulų skausmas pradedant gydymą. Jį pajutę, </w:t>
      </w:r>
      <w:r w:rsidRPr="00B42238">
        <w:rPr>
          <w:bCs w:val="0"/>
          <w:spacing w:val="-2"/>
          <w:sz w:val="22"/>
          <w:szCs w:val="22"/>
          <w:lang w:bidi="lo-LA"/>
        </w:rPr>
        <w:t>kreipkitės į gydytoją:</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 xml:space="preserve">karščio pylimas ir prakaitavimas </w:t>
      </w:r>
      <w:r w:rsidRPr="00B42238">
        <w:rPr>
          <w:sz w:val="22"/>
          <w:szCs w:val="22"/>
          <w:lang w:bidi="lo-LA"/>
        </w:rPr>
        <w:t>(kartais šis šalutinis poveikis gali tęstis ir tam tikrą laiką, pvz., kelis mėnesius baigus vartoti Zoladex)</w:t>
      </w:r>
      <w:r w:rsidRPr="00B42238">
        <w:rPr>
          <w:b w:val="0"/>
          <w:spacing w:val="-2"/>
          <w:sz w:val="22"/>
          <w:szCs w:val="22"/>
          <w:lang w:bidi="lo-LA"/>
        </w:rPr>
        <w:t>;</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z w:val="22"/>
          <w:szCs w:val="22"/>
          <w:lang w:bidi="lo-LA"/>
        </w:rPr>
        <w:t>sumažėjęs lytinis potraukis ir impotencija;</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kaulų išplonėjimas;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padidėjęs cukraus kiekis kraujyje;</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rankų ar kojų pirštų dilgčiojimas;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odos išbėrimas;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plaukų išretėjimas;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skausmas, kraujosruvos, kraujavimas, paraudimas ar patinimas Zoladex LA injekcijos vietoje;</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sąnarių skausmas;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susilpnėjusi širdies funkcija ar širdies priepuolis;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kraujospūdžio pokyčiai;</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krūtų paburkimas ir skausmingumas;</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nuotaikos pokyčiai, depresija;</w:t>
      </w:r>
    </w:p>
    <w:p w:rsidR="00AB18B0" w:rsidRPr="00B42238" w:rsidRDefault="00AB18B0" w:rsidP="00AB18B0">
      <w:pPr>
        <w:numPr>
          <w:ilvl w:val="0"/>
          <w:numId w:val="4"/>
        </w:numPr>
        <w:tabs>
          <w:tab w:val="left" w:pos="-720"/>
        </w:tabs>
        <w:suppressAutoHyphens/>
        <w:rPr>
          <w:b w:val="0"/>
          <w:spacing w:val="-2"/>
          <w:sz w:val="22"/>
          <w:szCs w:val="22"/>
          <w:lang w:bidi="lo-LA"/>
        </w:rPr>
      </w:pPr>
      <w:r w:rsidRPr="00B42238">
        <w:rPr>
          <w:b w:val="0"/>
          <w:spacing w:val="-2"/>
          <w:sz w:val="22"/>
          <w:szCs w:val="22"/>
          <w:lang w:bidi="lo-LA"/>
        </w:rPr>
        <w:t>kraujo pokyčiai;</w:t>
      </w:r>
    </w:p>
    <w:p w:rsidR="00AB18B0" w:rsidRPr="00B42238" w:rsidRDefault="00AB18B0" w:rsidP="00AB18B0">
      <w:pPr>
        <w:numPr>
          <w:ilvl w:val="0"/>
          <w:numId w:val="4"/>
        </w:numPr>
        <w:tabs>
          <w:tab w:val="left" w:pos="-720"/>
        </w:tabs>
        <w:suppressAutoHyphens/>
        <w:rPr>
          <w:b w:val="0"/>
          <w:spacing w:val="-2"/>
          <w:sz w:val="22"/>
          <w:szCs w:val="22"/>
          <w:lang w:bidi="lo-LA"/>
        </w:rPr>
      </w:pPr>
      <w:r w:rsidRPr="00B42238">
        <w:rPr>
          <w:b w:val="0"/>
          <w:spacing w:val="-2"/>
          <w:sz w:val="22"/>
          <w:szCs w:val="22"/>
          <w:lang w:bidi="lo-LA"/>
        </w:rPr>
        <w:t>kepenų sutrikimai;</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pacing w:val="-2"/>
          <w:sz w:val="22"/>
          <w:szCs w:val="22"/>
          <w:lang w:bidi="lo-LA"/>
        </w:rPr>
        <w:t>plaučių kraujagyslių užsikimšimas kraujo krešuliu, sukeliančiu krūtinės skausmą ar dusulį;</w:t>
      </w:r>
    </w:p>
    <w:p w:rsidR="00AB18B0" w:rsidRPr="00B42238" w:rsidRDefault="00AB18B0" w:rsidP="00AB18B0">
      <w:pPr>
        <w:numPr>
          <w:ilvl w:val="0"/>
          <w:numId w:val="4"/>
        </w:numPr>
        <w:tabs>
          <w:tab w:val="left" w:pos="-720"/>
        </w:tabs>
        <w:suppressAutoHyphens/>
        <w:rPr>
          <w:b w:val="0"/>
          <w:spacing w:val="-2"/>
          <w:sz w:val="22"/>
          <w:szCs w:val="22"/>
          <w:lang w:bidi="lo-LA"/>
        </w:rPr>
      </w:pPr>
      <w:r w:rsidRPr="00B42238">
        <w:rPr>
          <w:b w:val="0"/>
          <w:spacing w:val="-2"/>
          <w:sz w:val="22"/>
          <w:szCs w:val="22"/>
          <w:lang w:bidi="lo-LA"/>
        </w:rPr>
        <w:t xml:space="preserve">plaučių uždegimas (pneumonija), kurio simptomai gali būti dusulys ir kosulys; </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z w:val="22"/>
          <w:szCs w:val="22"/>
          <w:lang w:bidi="lo-LA"/>
        </w:rPr>
        <w:t>psichiatriniai (vadinami psichoziniai) sutrikimai – haliucinacijos (matoma, jaučiama arba girdima tai, ko nėra), sutrikęs mąstymas ir asmenybės pokyčiai (jų pasireiškia labai retai);</w:t>
      </w:r>
    </w:p>
    <w:p w:rsidR="00AB18B0" w:rsidRPr="00B42238" w:rsidRDefault="00AB18B0" w:rsidP="00AB18B0">
      <w:pPr>
        <w:numPr>
          <w:ilvl w:val="0"/>
          <w:numId w:val="3"/>
        </w:numPr>
        <w:tabs>
          <w:tab w:val="left" w:pos="-720"/>
        </w:tabs>
        <w:suppressAutoHyphens/>
        <w:rPr>
          <w:b w:val="0"/>
          <w:spacing w:val="-2"/>
          <w:sz w:val="22"/>
          <w:szCs w:val="22"/>
          <w:lang w:bidi="lo-LA"/>
        </w:rPr>
      </w:pPr>
      <w:r w:rsidRPr="00B42238">
        <w:rPr>
          <w:b w:val="0"/>
          <w:sz w:val="22"/>
          <w:szCs w:val="22"/>
          <w:lang w:bidi="lo-LA"/>
        </w:rPr>
        <w:t xml:space="preserve">posmegeninės liaukos (galvoje esančios liaukos) naviko atsiradimas; jeigu navikas jau yra, tai </w:t>
      </w:r>
      <w:r w:rsidRPr="00B42238">
        <w:rPr>
          <w:b w:val="0"/>
          <w:spacing w:val="-2"/>
          <w:sz w:val="22"/>
          <w:szCs w:val="22"/>
          <w:lang w:bidi="lo-LA"/>
        </w:rPr>
        <w:t>Zoladex LA gali sukelti jo kraujavimą;</w:t>
      </w:r>
    </w:p>
    <w:p w:rsidR="00AB18B0" w:rsidRPr="00B42238" w:rsidRDefault="00AB18B0" w:rsidP="00AB18B0">
      <w:pPr>
        <w:pStyle w:val="Pagrindinistekstas"/>
        <w:numPr>
          <w:ilvl w:val="0"/>
          <w:numId w:val="3"/>
        </w:numPr>
        <w:spacing w:after="0"/>
        <w:rPr>
          <w:sz w:val="22"/>
          <w:szCs w:val="22"/>
        </w:rPr>
      </w:pPr>
      <w:r w:rsidRPr="00B42238">
        <w:rPr>
          <w:sz w:val="22"/>
          <w:szCs w:val="22"/>
        </w:rPr>
        <w:t>EKG pokyčiai (pailgėjęs QT intervalas).</w:t>
      </w:r>
    </w:p>
    <w:p w:rsidR="00AB18B0" w:rsidRPr="00B42238" w:rsidRDefault="00AB18B0" w:rsidP="00AB18B0">
      <w:pPr>
        <w:tabs>
          <w:tab w:val="left" w:pos="-720"/>
        </w:tabs>
        <w:suppressAutoHyphens/>
        <w:rPr>
          <w:b w:val="0"/>
          <w:spacing w:val="-2"/>
          <w:sz w:val="22"/>
          <w:szCs w:val="22"/>
          <w:lang w:bidi="lo-LA"/>
        </w:rPr>
      </w:pPr>
    </w:p>
    <w:p w:rsidR="00AB18B0" w:rsidRPr="00B42238" w:rsidRDefault="00AB18B0" w:rsidP="00AB18B0">
      <w:pPr>
        <w:tabs>
          <w:tab w:val="left" w:pos="-720"/>
        </w:tabs>
        <w:suppressAutoHyphens/>
        <w:rPr>
          <w:b w:val="0"/>
          <w:spacing w:val="-2"/>
          <w:sz w:val="22"/>
          <w:szCs w:val="22"/>
          <w:lang w:bidi="lo-LA"/>
        </w:rPr>
      </w:pPr>
      <w:r w:rsidRPr="00B42238">
        <w:rPr>
          <w:b w:val="0"/>
          <w:spacing w:val="-2"/>
          <w:sz w:val="22"/>
          <w:szCs w:val="22"/>
          <w:lang w:bidi="lo-LA"/>
        </w:rPr>
        <w:t>Be to, gauta pranešimų apie suleidus Zoladex pasireiškusį injekcijos vietos</w:t>
      </w:r>
      <w:r>
        <w:rPr>
          <w:b w:val="0"/>
          <w:spacing w:val="-2"/>
          <w:sz w:val="22"/>
          <w:szCs w:val="22"/>
          <w:lang w:bidi="lo-LA"/>
        </w:rPr>
        <w:t xml:space="preserve"> </w:t>
      </w:r>
      <w:r w:rsidRPr="00B42238">
        <w:rPr>
          <w:b w:val="0"/>
          <w:spacing w:val="-2"/>
          <w:sz w:val="22"/>
          <w:szCs w:val="22"/>
          <w:lang w:bidi="lo-LA"/>
        </w:rPr>
        <w:t>(įskaitant vidines pilvo kraujagysles) pažeidimą. Labai retai dėl to prasidėjo stiprus kraujavimas. Nedelsdami kreipkitės į gydytoją, jeigu pajustumėte ar pastebėtumėte kurį nors iš šių simptomų: pilvo skausmą, pilvo pūtimą, dusulį, galvos svaigimą, kraujospūdžio sumažėjimą ir (arba) kokį nors sąmonės sutrikimą.</w:t>
      </w:r>
    </w:p>
    <w:p w:rsidR="00AB18B0" w:rsidRPr="00B42238" w:rsidRDefault="00AB18B0" w:rsidP="00AB18B0">
      <w:pPr>
        <w:tabs>
          <w:tab w:val="left" w:pos="-720"/>
        </w:tabs>
        <w:suppressAutoHyphens/>
        <w:rPr>
          <w:b w:val="0"/>
          <w:spacing w:val="-2"/>
          <w:sz w:val="22"/>
          <w:szCs w:val="22"/>
          <w:lang w:bidi="lo-LA"/>
        </w:rPr>
      </w:pPr>
    </w:p>
    <w:p w:rsidR="00AB18B0" w:rsidRPr="00B42238" w:rsidRDefault="00AB18B0" w:rsidP="00AB18B0">
      <w:pPr>
        <w:pStyle w:val="Pagrindinistekstas"/>
        <w:spacing w:after="0"/>
        <w:rPr>
          <w:sz w:val="22"/>
          <w:szCs w:val="22"/>
        </w:rPr>
      </w:pPr>
      <w:r w:rsidRPr="00B42238">
        <w:rPr>
          <w:sz w:val="22"/>
          <w:szCs w:val="22"/>
        </w:rPr>
        <w:t>Nerimauti dėl aukščiau nurodytų šalutinių poveikių nereikėtų, kadangi Jums jų gali nepasireikšti.</w:t>
      </w:r>
    </w:p>
    <w:p w:rsidR="00AB18B0" w:rsidRPr="00B42238" w:rsidRDefault="00AB18B0" w:rsidP="00AB18B0">
      <w:pPr>
        <w:pStyle w:val="Pagrindinistekstas"/>
        <w:spacing w:after="0"/>
        <w:rPr>
          <w:sz w:val="22"/>
          <w:szCs w:val="22"/>
          <w:lang w:eastAsia="en-US"/>
        </w:rPr>
      </w:pPr>
    </w:p>
    <w:p w:rsidR="00AB18B0" w:rsidRPr="00B42238" w:rsidRDefault="00AB18B0" w:rsidP="00AB18B0">
      <w:pPr>
        <w:rPr>
          <w:sz w:val="22"/>
          <w:szCs w:val="22"/>
          <w:lang w:bidi="lo-LA"/>
        </w:rPr>
      </w:pPr>
      <w:r w:rsidRPr="00B42238">
        <w:rPr>
          <w:sz w:val="22"/>
          <w:szCs w:val="22"/>
          <w:lang w:bidi="lo-LA"/>
        </w:rPr>
        <w:t>Pranešimas apie šalutinį poveikį</w:t>
      </w:r>
    </w:p>
    <w:p w:rsidR="00AB18B0" w:rsidRPr="00837B19" w:rsidRDefault="00AB18B0" w:rsidP="00AB18B0">
      <w:pPr>
        <w:ind w:right="-449"/>
        <w:rPr>
          <w:b w:val="0"/>
          <w:bCs w:val="0"/>
          <w:noProof/>
          <w:snapToGrid w:val="0"/>
          <w:sz w:val="22"/>
          <w:szCs w:val="24"/>
        </w:rPr>
      </w:pPr>
      <w:r w:rsidRPr="0019590B">
        <w:rPr>
          <w:b w:val="0"/>
          <w:bCs w:val="0"/>
          <w:noProof/>
          <w:snapToGrid w:val="0"/>
          <w:sz w:val="22"/>
          <w:szCs w:val="24"/>
        </w:rPr>
        <w:t>Jeigu pasireiškė šalutinis poveikis, įskaitant šiame lapelyje nenurodytą, pas</w:t>
      </w:r>
      <w:r>
        <w:rPr>
          <w:b w:val="0"/>
          <w:bCs w:val="0"/>
          <w:noProof/>
          <w:snapToGrid w:val="0"/>
          <w:sz w:val="22"/>
          <w:szCs w:val="24"/>
        </w:rPr>
        <w:t xml:space="preserve">akykite </w:t>
      </w:r>
      <w:r w:rsidRPr="009C130B">
        <w:rPr>
          <w:b w:val="0"/>
          <w:bCs w:val="0"/>
          <w:noProof/>
          <w:snapToGrid w:val="0"/>
          <w:sz w:val="22"/>
          <w:szCs w:val="24"/>
        </w:rPr>
        <w:t>gydyt</w:t>
      </w:r>
      <w:r>
        <w:rPr>
          <w:b w:val="0"/>
          <w:bCs w:val="0"/>
          <w:noProof/>
          <w:snapToGrid w:val="0"/>
          <w:sz w:val="22"/>
          <w:szCs w:val="24"/>
        </w:rPr>
        <w:t xml:space="preserve">ojui </w:t>
      </w:r>
      <w:r w:rsidRPr="009C130B">
        <w:rPr>
          <w:b w:val="0"/>
          <w:bCs w:val="0"/>
          <w:noProof/>
          <w:snapToGrid w:val="0"/>
          <w:sz w:val="22"/>
          <w:szCs w:val="24"/>
        </w:rPr>
        <w:t>arba</w:t>
      </w:r>
      <w:r>
        <w:rPr>
          <w:b w:val="0"/>
          <w:bCs w:val="0"/>
          <w:noProof/>
          <w:snapToGrid w:val="0"/>
          <w:sz w:val="22"/>
          <w:szCs w:val="24"/>
        </w:rPr>
        <w:t xml:space="preserve"> </w:t>
      </w:r>
      <w:r w:rsidRPr="0019590B">
        <w:rPr>
          <w:b w:val="0"/>
          <w:bCs w:val="0"/>
          <w:noProof/>
          <w:snapToGrid w:val="0"/>
          <w:sz w:val="22"/>
          <w:szCs w:val="24"/>
        </w:rPr>
        <w:t>vaistininkui</w:t>
      </w:r>
      <w:r>
        <w:rPr>
          <w:b w:val="0"/>
          <w:bCs w:val="0"/>
          <w:noProof/>
          <w:snapToGrid w:val="0"/>
          <w:sz w:val="22"/>
          <w:szCs w:val="24"/>
        </w:rPr>
        <w:t>.</w:t>
      </w:r>
      <w:r w:rsidRPr="0019590B">
        <w:rPr>
          <w:b w:val="0"/>
          <w:bCs w:val="0"/>
          <w:noProof/>
          <w:snapToGrid w:val="0"/>
          <w:sz w:val="22"/>
          <w:szCs w:val="24"/>
        </w:rPr>
        <w:t xml:space="preserve"> </w:t>
      </w:r>
      <w:r w:rsidRPr="00837B19">
        <w:rPr>
          <w:b w:val="0"/>
          <w:bCs w:val="0"/>
          <w:snapToGrid w:val="0"/>
          <w:sz w:val="22"/>
        </w:rPr>
        <w:t>Apie šalutinį poveikį taip pat galite pranešti Valstybinei vaistų kontrolės tarnybai prie Lietuvos Respublikos sveikatos apsaugos ministerijos nemokamu t</w:t>
      </w:r>
      <w:r w:rsidRPr="00837B19">
        <w:rPr>
          <w:b w:val="0"/>
          <w:bCs w:val="0"/>
          <w:snapToGrid w:val="0"/>
          <w:sz w:val="22"/>
          <w:lang w:eastAsia="zh-CN"/>
        </w:rPr>
        <w:t>elefonu 8 800 73568</w:t>
      </w:r>
      <w:r w:rsidRPr="00837B19">
        <w:rPr>
          <w:b w:val="0"/>
          <w:bCs w:val="0"/>
          <w:snapToGrid w:val="0"/>
          <w:sz w:val="22"/>
        </w:rPr>
        <w:t xml:space="preserve"> arba užpildyti interneto svetainėje </w:t>
      </w:r>
      <w:hyperlink r:id="rId5" w:history="1">
        <w:r w:rsidRPr="00837B19">
          <w:rPr>
            <w:rFonts w:eastAsia="SimSun"/>
            <w:b w:val="0"/>
            <w:bCs w:val="0"/>
            <w:snapToGrid w:val="0"/>
            <w:color w:val="0000FF"/>
            <w:sz w:val="22"/>
            <w:u w:val="single"/>
          </w:rPr>
          <w:t>www.vvkt.lt</w:t>
        </w:r>
      </w:hyperlink>
      <w:r w:rsidRPr="00837B19">
        <w:rPr>
          <w:b w:val="0"/>
          <w:bCs w:val="0"/>
          <w:snapToGrid w:val="0"/>
          <w:sz w:val="22"/>
        </w:rPr>
        <w:t xml:space="preserve"> esančią formą ir pateikti ją Valstybinei vaistų kontrolės tarnybai prie Lietuvos Respublikos sveikatos apsaugos ministerijos vienu iš šių būdų: raštu (adresu Žirmūnų g. 139A, LT-09120 Vilnius), </w:t>
      </w:r>
      <w:r w:rsidRPr="00837B19">
        <w:rPr>
          <w:b w:val="0"/>
          <w:bCs w:val="0"/>
          <w:snapToGrid w:val="0"/>
          <w:sz w:val="22"/>
          <w:lang w:eastAsia="zh-CN"/>
        </w:rPr>
        <w:t xml:space="preserve">nemokamu </w:t>
      </w:r>
      <w:r w:rsidRPr="00837B19">
        <w:rPr>
          <w:b w:val="0"/>
          <w:bCs w:val="0"/>
          <w:snapToGrid w:val="0"/>
          <w:sz w:val="22"/>
        </w:rPr>
        <w:t>fakso numeriu 8 800 20131</w:t>
      </w:r>
      <w:r w:rsidRPr="00837B19">
        <w:rPr>
          <w:b w:val="0"/>
          <w:bCs w:val="0"/>
          <w:snapToGrid w:val="0"/>
          <w:sz w:val="22"/>
          <w:lang w:eastAsia="zh-CN"/>
        </w:rPr>
        <w:t xml:space="preserve">, </w:t>
      </w:r>
      <w:r w:rsidRPr="00837B19">
        <w:rPr>
          <w:b w:val="0"/>
          <w:bCs w:val="0"/>
          <w:snapToGrid w:val="0"/>
          <w:sz w:val="22"/>
        </w:rPr>
        <w:t xml:space="preserve">el. paštu </w:t>
      </w:r>
      <w:hyperlink r:id="rId6" w:history="1">
        <w:r w:rsidRPr="00837B19">
          <w:rPr>
            <w:rFonts w:eastAsia="SimSun"/>
            <w:b w:val="0"/>
            <w:bCs w:val="0"/>
            <w:snapToGrid w:val="0"/>
            <w:color w:val="0000FF"/>
            <w:sz w:val="22"/>
            <w:u w:val="single"/>
          </w:rPr>
          <w:t>NepageidaujamaR@vvkt.lt</w:t>
        </w:r>
      </w:hyperlink>
      <w:r w:rsidRPr="00837B19">
        <w:rPr>
          <w:b w:val="0"/>
          <w:bCs w:val="0"/>
          <w:snapToGrid w:val="0"/>
          <w:sz w:val="22"/>
        </w:rPr>
        <w:t xml:space="preserve">, taip pat per Valstybinės vaistų kontrolės tarnybos prie Lietuvos Respublikos sveikatos apsaugos ministerijos interneto svetainę (adresu </w:t>
      </w:r>
      <w:hyperlink r:id="rId7" w:history="1">
        <w:r w:rsidRPr="00837B19">
          <w:rPr>
            <w:rFonts w:eastAsia="SimSun"/>
            <w:b w:val="0"/>
            <w:bCs w:val="0"/>
            <w:snapToGrid w:val="0"/>
            <w:color w:val="0000FF"/>
            <w:sz w:val="22"/>
            <w:u w:val="single"/>
          </w:rPr>
          <w:t>http://www.vvkt.lt</w:t>
        </w:r>
      </w:hyperlink>
      <w:r w:rsidRPr="00837B19">
        <w:rPr>
          <w:b w:val="0"/>
          <w:bCs w:val="0"/>
          <w:snapToGrid w:val="0"/>
          <w:sz w:val="22"/>
        </w:rPr>
        <w:t>). Pranešdami apie šalutinį poveikį galite mums padėti gauti daugiau informacijos apie šio vaisto saugumą.</w:t>
      </w:r>
    </w:p>
    <w:p w:rsidR="00AB18B0" w:rsidRPr="00B42238" w:rsidRDefault="00AB18B0" w:rsidP="00AB18B0">
      <w:pPr>
        <w:tabs>
          <w:tab w:val="left" w:pos="567"/>
        </w:tabs>
        <w:spacing w:line="260" w:lineRule="exact"/>
        <w:ind w:right="-449"/>
        <w:rPr>
          <w:sz w:val="22"/>
          <w:szCs w:val="22"/>
          <w:lang w:bidi="lo-LA"/>
        </w:rPr>
      </w:pPr>
    </w:p>
    <w:p w:rsidR="00AB18B0" w:rsidRPr="00B42238" w:rsidRDefault="00AB18B0" w:rsidP="00AB18B0">
      <w:pPr>
        <w:rPr>
          <w:sz w:val="22"/>
          <w:szCs w:val="22"/>
          <w:lang w:bidi="lo-LA"/>
        </w:rPr>
      </w:pPr>
    </w:p>
    <w:p w:rsidR="00AB18B0" w:rsidRPr="00B42238" w:rsidRDefault="00AB18B0" w:rsidP="00AB18B0">
      <w:pPr>
        <w:pStyle w:val="Pagrindinistekstas"/>
        <w:numPr>
          <w:ilvl w:val="0"/>
          <w:numId w:val="1"/>
        </w:numPr>
        <w:spacing w:after="0"/>
        <w:outlineLvl w:val="0"/>
        <w:rPr>
          <w:b/>
          <w:sz w:val="22"/>
          <w:szCs w:val="22"/>
        </w:rPr>
      </w:pPr>
      <w:r w:rsidRPr="00B42238">
        <w:rPr>
          <w:b/>
          <w:sz w:val="22"/>
          <w:szCs w:val="22"/>
        </w:rPr>
        <w:t>Kaip laikyti Zoladex</w:t>
      </w:r>
      <w:r>
        <w:rPr>
          <w:b/>
          <w:sz w:val="22"/>
          <w:szCs w:val="22"/>
        </w:rPr>
        <w:t xml:space="preserve"> </w:t>
      </w:r>
      <w:r w:rsidRPr="00B42238">
        <w:rPr>
          <w:b/>
          <w:sz w:val="22"/>
          <w:szCs w:val="22"/>
        </w:rPr>
        <w:t>LA</w:t>
      </w:r>
    </w:p>
    <w:p w:rsidR="00AB18B0" w:rsidRPr="00B42238" w:rsidRDefault="00AB18B0" w:rsidP="00AB18B0">
      <w:pPr>
        <w:pStyle w:val="Pagrindinistekstas"/>
        <w:spacing w:after="0"/>
        <w:ind w:left="360"/>
        <w:outlineLvl w:val="0"/>
        <w:rPr>
          <w:b/>
          <w:sz w:val="22"/>
          <w:szCs w:val="22"/>
        </w:rPr>
      </w:pPr>
    </w:p>
    <w:p w:rsidR="00AB18B0" w:rsidRPr="00B42238" w:rsidRDefault="00AB18B0" w:rsidP="00AB18B0">
      <w:pPr>
        <w:pStyle w:val="Pagrindinistekstas"/>
        <w:spacing w:after="0"/>
        <w:rPr>
          <w:sz w:val="22"/>
          <w:szCs w:val="22"/>
          <w:lang w:eastAsia="en-US"/>
        </w:rPr>
      </w:pPr>
      <w:r w:rsidRPr="00B42238">
        <w:rPr>
          <w:b/>
          <w:sz w:val="22"/>
          <w:szCs w:val="22"/>
        </w:rPr>
        <w:t>Šį vaistą laikykite vaikams nepastebimoje ir nepasiekiamoje vietoje</w:t>
      </w:r>
      <w:r w:rsidRPr="00B42238">
        <w:rPr>
          <w:sz w:val="22"/>
          <w:szCs w:val="22"/>
        </w:rPr>
        <w:t xml:space="preserve">. </w:t>
      </w:r>
    </w:p>
    <w:p w:rsidR="00AB18B0" w:rsidRPr="00B42238" w:rsidRDefault="00AB18B0" w:rsidP="00AB18B0">
      <w:pPr>
        <w:pStyle w:val="Pagrindinistekstas"/>
        <w:spacing w:after="0"/>
        <w:rPr>
          <w:sz w:val="22"/>
          <w:szCs w:val="22"/>
        </w:rPr>
      </w:pPr>
    </w:p>
    <w:p w:rsidR="00AB18B0" w:rsidRPr="00B42238" w:rsidRDefault="00AB18B0" w:rsidP="00AB18B0">
      <w:pPr>
        <w:pStyle w:val="Pagrindinistekstas"/>
        <w:spacing w:after="0"/>
        <w:rPr>
          <w:sz w:val="22"/>
          <w:szCs w:val="22"/>
        </w:rPr>
      </w:pPr>
      <w:r w:rsidRPr="00B42238">
        <w:rPr>
          <w:sz w:val="22"/>
          <w:szCs w:val="22"/>
        </w:rPr>
        <w:t>Gydytojas gali parašyti receptą, paprašyti įsigyti vaisto vaistinėje ir laikyti jį iki kito vizito. Laikykite gamintojo pakuotėje, nepažeidę plombos.</w:t>
      </w:r>
    </w:p>
    <w:p w:rsidR="00AB18B0" w:rsidRPr="00B42238" w:rsidRDefault="00AB18B0" w:rsidP="00AB18B0">
      <w:pPr>
        <w:pStyle w:val="Pagrindinistekstas"/>
        <w:spacing w:after="0"/>
        <w:rPr>
          <w:sz w:val="22"/>
          <w:szCs w:val="22"/>
        </w:rPr>
      </w:pPr>
    </w:p>
    <w:p w:rsidR="00AB18B0" w:rsidRPr="00B42238" w:rsidRDefault="00AB18B0" w:rsidP="00AB18B0">
      <w:pPr>
        <w:pStyle w:val="Pagrindinistekstas"/>
        <w:spacing w:after="0"/>
        <w:rPr>
          <w:sz w:val="22"/>
          <w:szCs w:val="22"/>
        </w:rPr>
      </w:pPr>
      <w:r w:rsidRPr="00B42238">
        <w:rPr>
          <w:sz w:val="22"/>
          <w:szCs w:val="22"/>
        </w:rPr>
        <w:t>Laikyti ne aukštesnėje kaip 25 </w:t>
      </w:r>
      <w:r w:rsidRPr="00B42238">
        <w:rPr>
          <w:sz w:val="22"/>
          <w:szCs w:val="22"/>
        </w:rPr>
        <w:sym w:font="Symbol" w:char="F0B0"/>
      </w:r>
      <w:r w:rsidRPr="00B42238">
        <w:rPr>
          <w:sz w:val="22"/>
          <w:szCs w:val="22"/>
        </w:rPr>
        <w:t>C temperatūroje.</w:t>
      </w:r>
    </w:p>
    <w:p w:rsidR="00AB18B0" w:rsidRPr="00B42238" w:rsidRDefault="00AB18B0" w:rsidP="00AB18B0">
      <w:pPr>
        <w:pStyle w:val="Style1"/>
        <w:jc w:val="left"/>
        <w:rPr>
          <w:sz w:val="22"/>
        </w:rPr>
      </w:pPr>
    </w:p>
    <w:p w:rsidR="00AB18B0" w:rsidRPr="00B42238" w:rsidRDefault="00AB18B0" w:rsidP="00AB18B0">
      <w:pPr>
        <w:pStyle w:val="Style1"/>
        <w:jc w:val="left"/>
        <w:rPr>
          <w:sz w:val="22"/>
        </w:rPr>
      </w:pPr>
      <w:r w:rsidRPr="00B42238">
        <w:rPr>
          <w:sz w:val="22"/>
        </w:rPr>
        <w:t xml:space="preserve">Ant dėžutės ir maišelio po </w:t>
      </w:r>
      <w:r>
        <w:rPr>
          <w:sz w:val="22"/>
        </w:rPr>
        <w:t>„EXP</w:t>
      </w:r>
      <w:r w:rsidRPr="00B42238">
        <w:rPr>
          <w:sz w:val="22"/>
        </w:rPr>
        <w:t>“ nurodytam tinkamumo laikui pasibaigus, šio vaisto vartoti negalima. Vaistas tinkamas vartoti iki paskutinės nurodyto mėnesio dienos.</w:t>
      </w:r>
    </w:p>
    <w:p w:rsidR="00AB18B0" w:rsidRPr="00B42238" w:rsidRDefault="00AB18B0" w:rsidP="00AB18B0">
      <w:pPr>
        <w:pStyle w:val="Pagrindinistekstas"/>
        <w:spacing w:after="0"/>
        <w:rPr>
          <w:sz w:val="22"/>
          <w:szCs w:val="22"/>
        </w:rPr>
      </w:pPr>
    </w:p>
    <w:p w:rsidR="00AB18B0" w:rsidRPr="00B42238" w:rsidRDefault="00AB18B0" w:rsidP="00AB18B0">
      <w:pPr>
        <w:pStyle w:val="Pagrindinistekstas"/>
        <w:spacing w:after="0"/>
        <w:rPr>
          <w:sz w:val="22"/>
          <w:szCs w:val="22"/>
        </w:rPr>
      </w:pPr>
      <w:r w:rsidRPr="00B42238">
        <w:rPr>
          <w:sz w:val="22"/>
          <w:szCs w:val="22"/>
        </w:rPr>
        <w:t>Vaistų negalima išmesti į kanalizaciją arba</w:t>
      </w:r>
      <w:r>
        <w:rPr>
          <w:sz w:val="22"/>
          <w:szCs w:val="22"/>
        </w:rPr>
        <w:t xml:space="preserve"> </w:t>
      </w:r>
      <w:r w:rsidRPr="00B42238">
        <w:rPr>
          <w:sz w:val="22"/>
          <w:szCs w:val="22"/>
        </w:rPr>
        <w:t>su buitinėmis atliekomis. Kaip išmesti nereikalingus vaistus, klauskite vaistininko. Šios priemonės padės apsaugoti aplinką.</w:t>
      </w:r>
    </w:p>
    <w:p w:rsidR="00AB18B0" w:rsidRPr="00B42238" w:rsidRDefault="00AB18B0" w:rsidP="00AB18B0">
      <w:pPr>
        <w:pStyle w:val="Pagrindinistekstas"/>
        <w:spacing w:after="0"/>
        <w:rPr>
          <w:sz w:val="22"/>
          <w:szCs w:val="22"/>
        </w:rPr>
      </w:pPr>
    </w:p>
    <w:p w:rsidR="00AB18B0" w:rsidRPr="00B42238" w:rsidRDefault="00AB18B0" w:rsidP="00AB18B0">
      <w:pPr>
        <w:pStyle w:val="Pagrindinistekstas"/>
        <w:spacing w:after="0"/>
        <w:jc w:val="both"/>
        <w:rPr>
          <w:sz w:val="22"/>
          <w:szCs w:val="22"/>
        </w:rPr>
      </w:pPr>
    </w:p>
    <w:p w:rsidR="00AB18B0" w:rsidRPr="00B42238" w:rsidRDefault="00AB18B0" w:rsidP="00AB18B0">
      <w:pPr>
        <w:pStyle w:val="Pagrindinistekstas"/>
        <w:numPr>
          <w:ilvl w:val="0"/>
          <w:numId w:val="1"/>
        </w:numPr>
        <w:spacing w:after="0"/>
        <w:jc w:val="both"/>
        <w:outlineLvl w:val="0"/>
        <w:rPr>
          <w:b/>
          <w:sz w:val="22"/>
          <w:szCs w:val="22"/>
        </w:rPr>
      </w:pPr>
      <w:r w:rsidRPr="00B42238">
        <w:rPr>
          <w:b/>
          <w:sz w:val="22"/>
          <w:szCs w:val="22"/>
        </w:rPr>
        <w:t xml:space="preserve">Pakuotės turinys ir kita informacija </w:t>
      </w:r>
    </w:p>
    <w:p w:rsidR="00AB18B0" w:rsidRPr="00B42238" w:rsidRDefault="00AB18B0" w:rsidP="00AB18B0">
      <w:pPr>
        <w:pStyle w:val="Pagrindinistekstas"/>
        <w:spacing w:after="0"/>
        <w:ind w:left="360"/>
        <w:jc w:val="both"/>
        <w:outlineLvl w:val="0"/>
        <w:rPr>
          <w:b/>
          <w:sz w:val="22"/>
          <w:szCs w:val="22"/>
        </w:rPr>
      </w:pPr>
    </w:p>
    <w:p w:rsidR="00AB18B0" w:rsidRPr="00B42238" w:rsidRDefault="00AB18B0" w:rsidP="00AB18B0">
      <w:pPr>
        <w:pStyle w:val="Pagrindinistekstas"/>
        <w:spacing w:after="0"/>
        <w:jc w:val="both"/>
        <w:outlineLvl w:val="0"/>
        <w:rPr>
          <w:b/>
          <w:bCs/>
          <w:sz w:val="22"/>
          <w:szCs w:val="22"/>
        </w:rPr>
      </w:pPr>
      <w:r w:rsidRPr="00B42238">
        <w:rPr>
          <w:b/>
          <w:bCs/>
          <w:sz w:val="22"/>
          <w:szCs w:val="22"/>
        </w:rPr>
        <w:t>Zoladex LA sudėtis</w:t>
      </w:r>
    </w:p>
    <w:p w:rsidR="00AB18B0" w:rsidRPr="00B42238" w:rsidRDefault="00AB18B0" w:rsidP="00AB18B0">
      <w:pPr>
        <w:pStyle w:val="Pagrindinistekstas"/>
        <w:numPr>
          <w:ilvl w:val="0"/>
          <w:numId w:val="5"/>
        </w:numPr>
        <w:spacing w:after="0"/>
        <w:ind w:left="567" w:hanging="567"/>
        <w:rPr>
          <w:sz w:val="22"/>
          <w:szCs w:val="22"/>
        </w:rPr>
      </w:pPr>
      <w:r w:rsidRPr="00B42238">
        <w:rPr>
          <w:sz w:val="22"/>
          <w:szCs w:val="22"/>
        </w:rPr>
        <w:t>Veiklioji medžiaga yra goserelino acetatas. Vienos dozės užpildytame švirkšte (implante) yra 10,8 mg goserelino (acetato pavidalu).</w:t>
      </w:r>
    </w:p>
    <w:p w:rsidR="00AB18B0" w:rsidRPr="00B42238" w:rsidRDefault="00AB18B0" w:rsidP="00AB18B0">
      <w:pPr>
        <w:pStyle w:val="BT-EMEASMCA"/>
        <w:numPr>
          <w:ilvl w:val="0"/>
          <w:numId w:val="7"/>
        </w:numPr>
        <w:ind w:left="567" w:hanging="567"/>
        <w:rPr>
          <w:noProof w:val="0"/>
          <w:lang w:bidi="lo-LA"/>
        </w:rPr>
      </w:pPr>
      <w:r w:rsidRPr="00B42238">
        <w:rPr>
          <w:noProof w:val="0"/>
          <w:lang w:bidi="lo-LA"/>
        </w:rPr>
        <w:t>Pagalbinės medžiagos yra laktido ir glikolido kopolimeras.</w:t>
      </w:r>
    </w:p>
    <w:p w:rsidR="00AB18B0" w:rsidRPr="00B42238" w:rsidRDefault="00AB18B0" w:rsidP="00AB18B0">
      <w:pPr>
        <w:pStyle w:val="BT-EMEASMCA"/>
        <w:tabs>
          <w:tab w:val="clear" w:pos="720"/>
        </w:tabs>
        <w:ind w:left="357" w:firstLine="0"/>
        <w:rPr>
          <w:noProof w:val="0"/>
          <w:lang w:bidi="lo-LA"/>
        </w:rPr>
      </w:pPr>
    </w:p>
    <w:p w:rsidR="00AB18B0" w:rsidRPr="00B42238" w:rsidRDefault="00AB18B0" w:rsidP="00AB18B0">
      <w:pPr>
        <w:pStyle w:val="Pagrindinistekstas"/>
        <w:spacing w:after="0"/>
        <w:jc w:val="both"/>
        <w:outlineLvl w:val="0"/>
        <w:rPr>
          <w:b/>
          <w:bCs/>
          <w:sz w:val="22"/>
          <w:szCs w:val="22"/>
        </w:rPr>
      </w:pPr>
      <w:r w:rsidRPr="00B42238">
        <w:rPr>
          <w:b/>
          <w:bCs/>
          <w:sz w:val="22"/>
          <w:szCs w:val="22"/>
        </w:rPr>
        <w:t>Zoladex LA išvaizda ir kiekis pakuotėje</w:t>
      </w:r>
    </w:p>
    <w:p w:rsidR="00AB18B0" w:rsidRPr="00B42238" w:rsidRDefault="00AB18B0" w:rsidP="00AB18B0">
      <w:pPr>
        <w:pStyle w:val="Pagrindinistekstas"/>
        <w:spacing w:after="0"/>
        <w:jc w:val="both"/>
        <w:outlineLvl w:val="0"/>
        <w:rPr>
          <w:b/>
          <w:bCs/>
          <w:sz w:val="22"/>
          <w:szCs w:val="22"/>
        </w:rPr>
      </w:pPr>
      <w:r w:rsidRPr="00B42238">
        <w:rPr>
          <w:sz w:val="22"/>
          <w:szCs w:val="22"/>
        </w:rPr>
        <w:t>Pakuotėje yra vienas nuo baltos iki kreminės spalvos cilindrinis implantas užpildytame švirkšte su apsauginiu įdėklu.</w:t>
      </w:r>
    </w:p>
    <w:p w:rsidR="00AB18B0" w:rsidRPr="00B42238" w:rsidRDefault="00AB18B0" w:rsidP="00AB18B0">
      <w:pPr>
        <w:pStyle w:val="Pagrindinistekstas"/>
        <w:spacing w:after="0"/>
        <w:jc w:val="both"/>
        <w:outlineLvl w:val="0"/>
        <w:rPr>
          <w:b/>
          <w:bCs/>
          <w:sz w:val="22"/>
          <w:szCs w:val="22"/>
        </w:rPr>
      </w:pPr>
    </w:p>
    <w:p w:rsidR="00AB18B0" w:rsidRPr="00B42238" w:rsidRDefault="00AB18B0" w:rsidP="00AB18B0">
      <w:pPr>
        <w:pStyle w:val="Pagrindinistekstas"/>
        <w:spacing w:after="0"/>
        <w:outlineLvl w:val="0"/>
        <w:rPr>
          <w:b/>
          <w:bCs/>
          <w:sz w:val="22"/>
          <w:szCs w:val="22"/>
        </w:rPr>
      </w:pPr>
      <w:r w:rsidRPr="00B42238">
        <w:rPr>
          <w:b/>
          <w:bCs/>
          <w:sz w:val="22"/>
          <w:szCs w:val="22"/>
        </w:rPr>
        <w:t>R</w:t>
      </w:r>
      <w:r>
        <w:rPr>
          <w:b/>
          <w:bCs/>
          <w:sz w:val="22"/>
          <w:szCs w:val="22"/>
        </w:rPr>
        <w:t>egistruotojas</w:t>
      </w:r>
      <w:r w:rsidRPr="00B42238">
        <w:rPr>
          <w:b/>
          <w:bCs/>
          <w:sz w:val="22"/>
          <w:szCs w:val="22"/>
        </w:rPr>
        <w:t xml:space="preserve"> </w:t>
      </w:r>
    </w:p>
    <w:p w:rsidR="00AB18B0" w:rsidRPr="00C409C6" w:rsidRDefault="00AB18B0" w:rsidP="00AB18B0">
      <w:pPr>
        <w:rPr>
          <w:b w:val="0"/>
          <w:sz w:val="22"/>
        </w:rPr>
      </w:pPr>
      <w:r w:rsidRPr="00C409C6">
        <w:rPr>
          <w:b w:val="0"/>
          <w:sz w:val="22"/>
        </w:rPr>
        <w:t>AstraZeneca AB</w:t>
      </w:r>
    </w:p>
    <w:p w:rsidR="00AB18B0" w:rsidRPr="00C409C6" w:rsidRDefault="00AB18B0" w:rsidP="00AB18B0">
      <w:pPr>
        <w:rPr>
          <w:sz w:val="22"/>
        </w:rPr>
      </w:pPr>
      <w:r w:rsidRPr="00C409C6">
        <w:rPr>
          <w:b w:val="0"/>
          <w:sz w:val="22"/>
        </w:rPr>
        <w:t>SE-151 85 Södertälje</w:t>
      </w:r>
    </w:p>
    <w:p w:rsidR="00AB18B0" w:rsidRPr="00B42238" w:rsidRDefault="00AB18B0" w:rsidP="00AB18B0">
      <w:pPr>
        <w:rPr>
          <w:sz w:val="22"/>
          <w:szCs w:val="22"/>
          <w:lang w:bidi="lo-LA"/>
        </w:rPr>
      </w:pPr>
      <w:r w:rsidRPr="00C409C6">
        <w:rPr>
          <w:b w:val="0"/>
          <w:sz w:val="22"/>
        </w:rPr>
        <w:t>Švedija</w:t>
      </w:r>
    </w:p>
    <w:p w:rsidR="00AB18B0" w:rsidRPr="00B42238" w:rsidRDefault="00AB18B0" w:rsidP="00AB18B0">
      <w:pPr>
        <w:pStyle w:val="Pagrindinistekstas"/>
        <w:spacing w:after="0"/>
        <w:outlineLvl w:val="0"/>
        <w:rPr>
          <w:b/>
          <w:bCs/>
          <w:sz w:val="22"/>
          <w:szCs w:val="22"/>
        </w:rPr>
      </w:pPr>
    </w:p>
    <w:p w:rsidR="00AB18B0" w:rsidRPr="00B42238" w:rsidRDefault="00AB18B0" w:rsidP="00AB18B0">
      <w:pPr>
        <w:pStyle w:val="Pagrindinistekstas"/>
        <w:spacing w:after="0"/>
        <w:outlineLvl w:val="0"/>
        <w:rPr>
          <w:b/>
          <w:bCs/>
          <w:sz w:val="22"/>
          <w:szCs w:val="22"/>
        </w:rPr>
      </w:pPr>
      <w:r w:rsidRPr="00B42238">
        <w:rPr>
          <w:b/>
          <w:bCs/>
          <w:sz w:val="22"/>
          <w:szCs w:val="22"/>
        </w:rPr>
        <w:t>Gamintojas</w:t>
      </w:r>
    </w:p>
    <w:p w:rsidR="00AB18B0" w:rsidRPr="00D62EB8" w:rsidRDefault="00AB18B0" w:rsidP="00AB18B0">
      <w:pPr>
        <w:rPr>
          <w:b w:val="0"/>
          <w:sz w:val="22"/>
          <w:szCs w:val="22"/>
        </w:rPr>
      </w:pPr>
      <w:r w:rsidRPr="00D62EB8">
        <w:rPr>
          <w:b w:val="0"/>
          <w:sz w:val="22"/>
          <w:szCs w:val="22"/>
        </w:rPr>
        <w:t>AstraZeneca AB</w:t>
      </w:r>
    </w:p>
    <w:p w:rsidR="00AB18B0" w:rsidRPr="00D62EB8" w:rsidRDefault="00AB18B0" w:rsidP="00AB18B0">
      <w:pPr>
        <w:rPr>
          <w:b w:val="0"/>
          <w:bCs w:val="0"/>
          <w:sz w:val="22"/>
          <w:szCs w:val="22"/>
        </w:rPr>
      </w:pPr>
      <w:r w:rsidRPr="00D62EB8">
        <w:rPr>
          <w:b w:val="0"/>
          <w:sz w:val="22"/>
          <w:szCs w:val="22"/>
          <w:lang w:val="en-US"/>
        </w:rPr>
        <w:t>Gärtunavägen</w:t>
      </w:r>
    </w:p>
    <w:p w:rsidR="00AB18B0" w:rsidRPr="00D62EB8" w:rsidRDefault="00AB18B0" w:rsidP="00AB18B0">
      <w:pPr>
        <w:rPr>
          <w:b w:val="0"/>
          <w:bCs w:val="0"/>
          <w:sz w:val="22"/>
          <w:szCs w:val="22"/>
        </w:rPr>
      </w:pPr>
      <w:r w:rsidRPr="00EF0E31">
        <w:rPr>
          <w:b w:val="0"/>
          <w:sz w:val="22"/>
          <w:szCs w:val="22"/>
        </w:rPr>
        <w:t>152 57</w:t>
      </w:r>
      <w:r>
        <w:rPr>
          <w:b w:val="0"/>
          <w:sz w:val="22"/>
          <w:szCs w:val="22"/>
        </w:rPr>
        <w:t xml:space="preserve"> </w:t>
      </w:r>
      <w:r w:rsidRPr="00D62EB8">
        <w:rPr>
          <w:b w:val="0"/>
          <w:sz w:val="22"/>
          <w:szCs w:val="22"/>
        </w:rPr>
        <w:t>Södertälje</w:t>
      </w:r>
    </w:p>
    <w:p w:rsidR="00AB18B0" w:rsidRDefault="00AB18B0" w:rsidP="00AB18B0">
      <w:pPr>
        <w:pStyle w:val="Pagrindinistekstas"/>
        <w:spacing w:after="0"/>
        <w:jc w:val="both"/>
        <w:outlineLvl w:val="0"/>
        <w:rPr>
          <w:szCs w:val="22"/>
        </w:rPr>
      </w:pPr>
      <w:r w:rsidRPr="00D62EB8">
        <w:rPr>
          <w:sz w:val="22"/>
          <w:szCs w:val="22"/>
        </w:rPr>
        <w:t>Švedija</w:t>
      </w:r>
    </w:p>
    <w:p w:rsidR="00AB18B0" w:rsidRPr="00B42238" w:rsidRDefault="00AB18B0" w:rsidP="00AB18B0">
      <w:pPr>
        <w:pStyle w:val="Pagrindinistekstas"/>
        <w:spacing w:after="0"/>
        <w:jc w:val="both"/>
        <w:outlineLvl w:val="0"/>
        <w:rPr>
          <w:sz w:val="22"/>
          <w:szCs w:val="22"/>
        </w:rPr>
      </w:pPr>
    </w:p>
    <w:p w:rsidR="00AB18B0" w:rsidRDefault="00AB18B0" w:rsidP="00AB18B0">
      <w:pPr>
        <w:pStyle w:val="Pagrindinistekstas"/>
        <w:spacing w:after="0"/>
        <w:jc w:val="both"/>
        <w:rPr>
          <w:sz w:val="22"/>
          <w:szCs w:val="22"/>
        </w:rPr>
      </w:pPr>
      <w:r w:rsidRPr="00B42238">
        <w:rPr>
          <w:sz w:val="22"/>
          <w:szCs w:val="22"/>
        </w:rPr>
        <w:t>Jeigu apie šį vaistą norite sužinoti daugiau, kreipkitės į vietinį r</w:t>
      </w:r>
      <w:r>
        <w:rPr>
          <w:sz w:val="22"/>
          <w:szCs w:val="22"/>
        </w:rPr>
        <w:t>egistruotojo</w:t>
      </w:r>
      <w:r w:rsidRPr="00B42238">
        <w:rPr>
          <w:sz w:val="22"/>
          <w:szCs w:val="22"/>
        </w:rPr>
        <w:t xml:space="preserve"> atstovą.</w:t>
      </w:r>
    </w:p>
    <w:p w:rsidR="00AB18B0" w:rsidRPr="00B02A58" w:rsidRDefault="00AB18B0" w:rsidP="00AB18B0">
      <w:pPr>
        <w:rPr>
          <w:b w:val="0"/>
          <w:bCs w:val="0"/>
          <w:sz w:val="22"/>
          <w:szCs w:val="22"/>
        </w:rPr>
      </w:pPr>
      <w:r w:rsidRPr="00B02A58">
        <w:rPr>
          <w:b w:val="0"/>
          <w:bCs w:val="0"/>
          <w:sz w:val="22"/>
          <w:szCs w:val="22"/>
        </w:rPr>
        <w:t>UAB AstraZeneca Lietuva</w:t>
      </w:r>
    </w:p>
    <w:p w:rsidR="00AB18B0" w:rsidRPr="00684868" w:rsidRDefault="00AB18B0" w:rsidP="00AB18B0">
      <w:pPr>
        <w:rPr>
          <w:b w:val="0"/>
          <w:sz w:val="22"/>
          <w:szCs w:val="22"/>
        </w:rPr>
      </w:pPr>
      <w:r>
        <w:rPr>
          <w:b w:val="0"/>
          <w:bCs w:val="0"/>
          <w:sz w:val="22"/>
          <w:szCs w:val="22"/>
        </w:rPr>
        <w:t>Spaudos g. 6</w:t>
      </w:r>
      <w:r w:rsidRPr="00684868">
        <w:rPr>
          <w:b w:val="0"/>
          <w:sz w:val="22"/>
          <w:szCs w:val="22"/>
        </w:rPr>
        <w:t xml:space="preserve"> </w:t>
      </w:r>
    </w:p>
    <w:p w:rsidR="00AB18B0" w:rsidRPr="00B02A58" w:rsidRDefault="00AB18B0" w:rsidP="00AB18B0">
      <w:pPr>
        <w:rPr>
          <w:b w:val="0"/>
          <w:bCs w:val="0"/>
          <w:sz w:val="22"/>
          <w:szCs w:val="22"/>
        </w:rPr>
      </w:pPr>
      <w:r w:rsidRPr="00684868">
        <w:rPr>
          <w:b w:val="0"/>
          <w:sz w:val="22"/>
          <w:szCs w:val="22"/>
        </w:rPr>
        <w:t>LT-</w:t>
      </w:r>
      <w:r w:rsidRPr="00B02A58">
        <w:rPr>
          <w:b w:val="0"/>
          <w:bCs w:val="0"/>
          <w:sz w:val="22"/>
          <w:szCs w:val="22"/>
        </w:rPr>
        <w:t>0</w:t>
      </w:r>
      <w:r>
        <w:rPr>
          <w:b w:val="0"/>
          <w:bCs w:val="0"/>
          <w:sz w:val="22"/>
          <w:szCs w:val="22"/>
        </w:rPr>
        <w:t>5132,</w:t>
      </w:r>
      <w:r w:rsidRPr="00684868">
        <w:rPr>
          <w:b w:val="0"/>
          <w:sz w:val="22"/>
          <w:szCs w:val="22"/>
        </w:rPr>
        <w:t xml:space="preserve"> Vilnius</w:t>
      </w:r>
    </w:p>
    <w:p w:rsidR="00AB18B0" w:rsidRPr="00B42238" w:rsidRDefault="00AB18B0" w:rsidP="00AB18B0">
      <w:pPr>
        <w:rPr>
          <w:b w:val="0"/>
          <w:bCs w:val="0"/>
          <w:sz w:val="22"/>
          <w:szCs w:val="22"/>
          <w:lang w:bidi="lo-LA"/>
        </w:rPr>
      </w:pPr>
      <w:r w:rsidRPr="00B02A58">
        <w:rPr>
          <w:b w:val="0"/>
          <w:bCs w:val="0"/>
          <w:sz w:val="22"/>
          <w:szCs w:val="22"/>
        </w:rPr>
        <w:t>Tel.: 8 – 52660550</w:t>
      </w:r>
    </w:p>
    <w:p w:rsidR="00AB18B0" w:rsidRPr="00B42238" w:rsidRDefault="00AB18B0" w:rsidP="00AB18B0">
      <w:pPr>
        <w:pStyle w:val="Pagrindinistekstas"/>
        <w:spacing w:after="0"/>
        <w:jc w:val="both"/>
        <w:rPr>
          <w:sz w:val="22"/>
          <w:szCs w:val="22"/>
        </w:rPr>
      </w:pPr>
    </w:p>
    <w:p w:rsidR="00AB18B0" w:rsidRDefault="00AB18B0" w:rsidP="00AB18B0">
      <w:pPr>
        <w:pStyle w:val="Pagrindinistekstas"/>
        <w:spacing w:after="0"/>
        <w:rPr>
          <w:b/>
          <w:bCs/>
          <w:iCs/>
          <w:sz w:val="22"/>
          <w:szCs w:val="22"/>
        </w:rPr>
      </w:pPr>
      <w:r w:rsidRPr="00B42238">
        <w:rPr>
          <w:b/>
          <w:bCs/>
          <w:iCs/>
          <w:sz w:val="22"/>
          <w:szCs w:val="22"/>
        </w:rPr>
        <w:t xml:space="preserve">Šis pakuotės lapelis paskutinį kartą </w:t>
      </w:r>
      <w:r w:rsidRPr="00B42238">
        <w:rPr>
          <w:b/>
          <w:sz w:val="22"/>
          <w:szCs w:val="22"/>
        </w:rPr>
        <w:t xml:space="preserve">peržiūrėtas </w:t>
      </w:r>
      <w:r>
        <w:rPr>
          <w:b/>
          <w:sz w:val="22"/>
          <w:szCs w:val="22"/>
        </w:rPr>
        <w:t>2023-07-28.</w:t>
      </w:r>
    </w:p>
    <w:p w:rsidR="00AB18B0" w:rsidRPr="00B42238" w:rsidRDefault="00AB18B0" w:rsidP="00AB18B0">
      <w:pPr>
        <w:pStyle w:val="Pagrindinistekstas"/>
        <w:spacing w:after="0"/>
        <w:rPr>
          <w:b/>
          <w:bCs/>
          <w:iCs/>
          <w:sz w:val="22"/>
          <w:szCs w:val="22"/>
        </w:rPr>
      </w:pPr>
    </w:p>
    <w:p w:rsidR="00AB18B0" w:rsidRPr="00B42238" w:rsidRDefault="00AB18B0" w:rsidP="00AB18B0">
      <w:pPr>
        <w:numPr>
          <w:ilvl w:val="12"/>
          <w:numId w:val="0"/>
        </w:numPr>
        <w:ind w:right="-2"/>
        <w:rPr>
          <w:sz w:val="22"/>
          <w:szCs w:val="22"/>
          <w:lang w:bidi="lo-LA"/>
        </w:rPr>
      </w:pPr>
      <w:r w:rsidRPr="00B42238">
        <w:rPr>
          <w:sz w:val="22"/>
          <w:szCs w:val="22"/>
          <w:lang w:bidi="lo-LA"/>
        </w:rPr>
        <w:t>Kiti informacijos šaltiniai</w:t>
      </w:r>
    </w:p>
    <w:p w:rsidR="00AB18B0" w:rsidRPr="00B42238" w:rsidRDefault="00AB18B0" w:rsidP="00AB18B0">
      <w:pPr>
        <w:numPr>
          <w:ilvl w:val="12"/>
          <w:numId w:val="0"/>
        </w:numPr>
        <w:ind w:right="-2"/>
        <w:rPr>
          <w:i/>
          <w:sz w:val="22"/>
          <w:szCs w:val="22"/>
          <w:lang w:bidi="lo-LA"/>
        </w:rPr>
      </w:pPr>
    </w:p>
    <w:p w:rsidR="00AB18B0" w:rsidRDefault="00AB18B0" w:rsidP="00AB18B0">
      <w:pPr>
        <w:numPr>
          <w:ilvl w:val="12"/>
          <w:numId w:val="0"/>
        </w:numPr>
        <w:ind w:right="-2"/>
        <w:rPr>
          <w:b w:val="0"/>
          <w:sz w:val="22"/>
          <w:szCs w:val="22"/>
          <w:lang w:bidi="lo-LA"/>
        </w:rPr>
      </w:pPr>
      <w:r w:rsidRPr="00B42238">
        <w:rPr>
          <w:b w:val="0"/>
          <w:sz w:val="22"/>
          <w:szCs w:val="22"/>
          <w:lang w:bidi="lo-LA"/>
        </w:rPr>
        <w:t>Išsami informacija apie šį vaistą pateikiama Valstybinės vaistų kontrolės tarnybos prie Lietuvos Respublikos sveikatos apsaugos ministerijos tinklalapyje</w:t>
      </w:r>
      <w:r w:rsidRPr="00B42238">
        <w:rPr>
          <w:b w:val="0"/>
          <w:i/>
          <w:sz w:val="22"/>
          <w:szCs w:val="22"/>
          <w:lang w:bidi="lo-LA"/>
        </w:rPr>
        <w:t xml:space="preserve"> </w:t>
      </w:r>
      <w:hyperlink r:id="rId8" w:history="1">
        <w:r w:rsidRPr="00B42238">
          <w:rPr>
            <w:rStyle w:val="Hipersaitas"/>
            <w:rFonts w:eastAsia="SimSun"/>
            <w:b w:val="0"/>
            <w:sz w:val="22"/>
            <w:szCs w:val="22"/>
            <w:lang w:bidi="lo-LA"/>
          </w:rPr>
          <w:t>http://www.vvkt.lt/</w:t>
        </w:r>
      </w:hyperlink>
      <w:r w:rsidRPr="00B42238">
        <w:rPr>
          <w:b w:val="0"/>
          <w:sz w:val="22"/>
          <w:szCs w:val="22"/>
          <w:lang w:bidi="lo-LA"/>
        </w:rPr>
        <w:t>.</w:t>
      </w:r>
    </w:p>
    <w:p w:rsidR="00AB18B0" w:rsidRDefault="00AB18B0" w:rsidP="00AB18B0">
      <w:pPr>
        <w:numPr>
          <w:ilvl w:val="12"/>
          <w:numId w:val="0"/>
        </w:numPr>
        <w:ind w:right="-2"/>
        <w:rPr>
          <w:b w:val="0"/>
          <w:sz w:val="22"/>
          <w:szCs w:val="22"/>
          <w:lang w:bidi="lo-LA"/>
        </w:rPr>
      </w:pPr>
    </w:p>
    <w:p w:rsidR="00AB18B0" w:rsidRPr="00A263D1" w:rsidRDefault="00AB18B0" w:rsidP="00AB18B0">
      <w:pPr>
        <w:numPr>
          <w:ilvl w:val="12"/>
          <w:numId w:val="0"/>
        </w:numPr>
        <w:ind w:right="-2"/>
        <w:rPr>
          <w:b w:val="0"/>
          <w:sz w:val="22"/>
          <w:szCs w:val="22"/>
          <w:lang w:bidi="lo-LA"/>
        </w:rPr>
      </w:pPr>
    </w:p>
    <w:p w:rsidR="00AB18B0" w:rsidRPr="004F45B5" w:rsidRDefault="00AB18B0" w:rsidP="00AB18B0">
      <w:pPr>
        <w:rPr>
          <w:sz w:val="22"/>
          <w:szCs w:val="22"/>
        </w:rPr>
      </w:pPr>
    </w:p>
    <w:p w:rsidR="00AB18B0" w:rsidRDefault="00AB18B0" w:rsidP="00AB18B0"/>
    <w:p w:rsidR="00BA6577" w:rsidRDefault="00BA6577">
      <w:bookmarkStart w:id="0" w:name="_GoBack"/>
      <w:bookmarkEnd w:id="0"/>
    </w:p>
    <w:sectPr w:rsidR="00BA6577" w:rsidSect="005D3886">
      <w:headerReference w:type="default" r:id="rId9"/>
      <w:footerReference w:type="even" r:id="rId10"/>
      <w:footerReference w:type="default" r:id="rId11"/>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EB8" w:rsidRDefault="00AB18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rsidR="00D62EB8" w:rsidRDefault="00AB18B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EB8" w:rsidRDefault="00AB18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62EB8" w:rsidRDefault="00AB18B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9C6" w:rsidRDefault="00AB18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7F50"/>
    <w:multiLevelType w:val="hybridMultilevel"/>
    <w:tmpl w:val="F8AEF874"/>
    <w:lvl w:ilvl="0" w:tplc="C40A4302">
      <w:start w:val="1"/>
      <w:numFmt w:val="decimal"/>
      <w:lvlText w:val="%1."/>
      <w:lvlJc w:val="left"/>
      <w:pPr>
        <w:ind w:left="287" w:hanging="570"/>
      </w:pPr>
      <w:rPr>
        <w:rFonts w:hint="default"/>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1"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6CB6A80"/>
    <w:multiLevelType w:val="hybridMultilevel"/>
    <w:tmpl w:val="2EA2488C"/>
    <w:lvl w:ilvl="0" w:tplc="C19E62E2">
      <w:start w:val="1"/>
      <w:numFmt w:val="decimal"/>
      <w:lvlText w:val="%1."/>
      <w:lvlJc w:val="left"/>
      <w:pPr>
        <w:tabs>
          <w:tab w:val="num" w:pos="570"/>
        </w:tabs>
        <w:ind w:left="570" w:hanging="570"/>
      </w:pPr>
      <w:rPr>
        <w:rFonts w:hint="default"/>
      </w:rPr>
    </w:lvl>
    <w:lvl w:ilvl="1" w:tplc="04270003" w:tentative="1">
      <w:start w:val="1"/>
      <w:numFmt w:val="lowerLetter"/>
      <w:lvlText w:val="%2."/>
      <w:lvlJc w:val="left"/>
      <w:pPr>
        <w:tabs>
          <w:tab w:val="num" w:pos="1080"/>
        </w:tabs>
        <w:ind w:left="1080" w:hanging="360"/>
      </w:pPr>
    </w:lvl>
    <w:lvl w:ilvl="2" w:tplc="04270005" w:tentative="1">
      <w:start w:val="1"/>
      <w:numFmt w:val="lowerRoman"/>
      <w:lvlText w:val="%3."/>
      <w:lvlJc w:val="right"/>
      <w:pPr>
        <w:tabs>
          <w:tab w:val="num" w:pos="1800"/>
        </w:tabs>
        <w:ind w:left="1800" w:hanging="180"/>
      </w:pPr>
    </w:lvl>
    <w:lvl w:ilvl="3" w:tplc="04270001" w:tentative="1">
      <w:start w:val="1"/>
      <w:numFmt w:val="decimal"/>
      <w:lvlText w:val="%4."/>
      <w:lvlJc w:val="left"/>
      <w:pPr>
        <w:tabs>
          <w:tab w:val="num" w:pos="2520"/>
        </w:tabs>
        <w:ind w:left="2520" w:hanging="360"/>
      </w:pPr>
    </w:lvl>
    <w:lvl w:ilvl="4" w:tplc="04270003" w:tentative="1">
      <w:start w:val="1"/>
      <w:numFmt w:val="lowerLetter"/>
      <w:lvlText w:val="%5."/>
      <w:lvlJc w:val="left"/>
      <w:pPr>
        <w:tabs>
          <w:tab w:val="num" w:pos="3240"/>
        </w:tabs>
        <w:ind w:left="3240" w:hanging="360"/>
      </w:pPr>
    </w:lvl>
    <w:lvl w:ilvl="5" w:tplc="04270005" w:tentative="1">
      <w:start w:val="1"/>
      <w:numFmt w:val="lowerRoman"/>
      <w:lvlText w:val="%6."/>
      <w:lvlJc w:val="right"/>
      <w:pPr>
        <w:tabs>
          <w:tab w:val="num" w:pos="3960"/>
        </w:tabs>
        <w:ind w:left="3960" w:hanging="180"/>
      </w:pPr>
    </w:lvl>
    <w:lvl w:ilvl="6" w:tplc="04270001" w:tentative="1">
      <w:start w:val="1"/>
      <w:numFmt w:val="decimal"/>
      <w:lvlText w:val="%7."/>
      <w:lvlJc w:val="left"/>
      <w:pPr>
        <w:tabs>
          <w:tab w:val="num" w:pos="4680"/>
        </w:tabs>
        <w:ind w:left="4680" w:hanging="360"/>
      </w:pPr>
    </w:lvl>
    <w:lvl w:ilvl="7" w:tplc="04270003" w:tentative="1">
      <w:start w:val="1"/>
      <w:numFmt w:val="lowerLetter"/>
      <w:lvlText w:val="%8."/>
      <w:lvlJc w:val="left"/>
      <w:pPr>
        <w:tabs>
          <w:tab w:val="num" w:pos="5400"/>
        </w:tabs>
        <w:ind w:left="5400" w:hanging="360"/>
      </w:pPr>
    </w:lvl>
    <w:lvl w:ilvl="8" w:tplc="04270005"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B0"/>
    <w:rsid w:val="00072F85"/>
    <w:rsid w:val="00181364"/>
    <w:rsid w:val="00305C48"/>
    <w:rsid w:val="003362C6"/>
    <w:rsid w:val="00AB18B0"/>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9D8A5-6EDD-4660-AB53-C0404A3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8B0"/>
    <w:pPr>
      <w:spacing w:after="0" w:line="240" w:lineRule="auto"/>
    </w:pPr>
    <w:rPr>
      <w:rFonts w:ascii="Times New Roman" w:eastAsia="Times New Roman" w:hAnsi="Times New Roman" w:cs="Times New Roman"/>
      <w:b/>
      <w:bCs/>
      <w:sz w:val="20"/>
      <w:szCs w:val="20"/>
    </w:rPr>
  </w:style>
  <w:style w:type="paragraph" w:styleId="Antrat4">
    <w:name w:val="heading 4"/>
    <w:basedOn w:val="prastasis"/>
    <w:next w:val="prastasis"/>
    <w:link w:val="Antrat4Diagrama"/>
    <w:uiPriority w:val="1"/>
    <w:qFormat/>
    <w:rsid w:val="00AB18B0"/>
    <w:pPr>
      <w:outlineLvl w:val="3"/>
    </w:pPr>
    <w:rPr>
      <w:rFonts w:cs="Arial Unicode MS"/>
      <w:iCs/>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1"/>
    <w:rsid w:val="00AB18B0"/>
    <w:rPr>
      <w:rFonts w:ascii="Times New Roman" w:eastAsia="Times New Roman" w:hAnsi="Times New Roman" w:cs="Arial Unicode MS"/>
      <w:b/>
      <w:bCs/>
      <w:iCs/>
      <w:sz w:val="20"/>
      <w:szCs w:val="20"/>
      <w:lang w:bidi="lo-LA"/>
    </w:rPr>
  </w:style>
  <w:style w:type="paragraph" w:customStyle="1" w:styleId="BT-EMEASMCA">
    <w:name w:val="BT- EMEA_SMCA"/>
    <w:basedOn w:val="prastasis"/>
    <w:autoRedefine/>
    <w:rsid w:val="00AB18B0"/>
    <w:pPr>
      <w:tabs>
        <w:tab w:val="num" w:pos="720"/>
      </w:tabs>
      <w:ind w:left="720" w:hanging="363"/>
    </w:pPr>
    <w:rPr>
      <w:b w:val="0"/>
      <w:bCs w:val="0"/>
      <w:noProof/>
      <w:sz w:val="22"/>
      <w:szCs w:val="22"/>
    </w:rPr>
  </w:style>
  <w:style w:type="paragraph" w:styleId="Pagrindinistekstas">
    <w:name w:val="Body Text"/>
    <w:basedOn w:val="prastasis"/>
    <w:link w:val="PagrindinistekstasDiagrama"/>
    <w:rsid w:val="00AB18B0"/>
    <w:pPr>
      <w:spacing w:after="120"/>
    </w:pPr>
    <w:rPr>
      <w:rFonts w:cs="Arial Unicode MS"/>
      <w:b w:val="0"/>
      <w:bCs w:val="0"/>
      <w:lang w:eastAsia="lt-LT" w:bidi="lo-LA"/>
    </w:rPr>
  </w:style>
  <w:style w:type="character" w:customStyle="1" w:styleId="PagrindinistekstasDiagrama">
    <w:name w:val="Pagrindinis tekstas Diagrama"/>
    <w:basedOn w:val="Numatytasispastraiposriftas"/>
    <w:link w:val="Pagrindinistekstas"/>
    <w:rsid w:val="00AB18B0"/>
    <w:rPr>
      <w:rFonts w:ascii="Times New Roman" w:eastAsia="Times New Roman" w:hAnsi="Times New Roman" w:cs="Arial Unicode MS"/>
      <w:sz w:val="20"/>
      <w:szCs w:val="20"/>
      <w:lang w:eastAsia="lt-LT" w:bidi="lo-LA"/>
    </w:rPr>
  </w:style>
  <w:style w:type="character" w:styleId="Hipersaitas">
    <w:name w:val="Hyperlink"/>
    <w:semiHidden/>
    <w:rsid w:val="00AB18B0"/>
    <w:rPr>
      <w:color w:val="0000FF"/>
      <w:u w:val="single"/>
    </w:rPr>
  </w:style>
  <w:style w:type="paragraph" w:customStyle="1" w:styleId="BTbEMEASMCA">
    <w:name w:val="BT(b) EMEA_SMCA"/>
    <w:basedOn w:val="prastasis"/>
    <w:autoRedefine/>
    <w:rsid w:val="00AB18B0"/>
    <w:rPr>
      <w:bCs w:val="0"/>
      <w:noProof/>
      <w:sz w:val="22"/>
      <w:szCs w:val="22"/>
    </w:rPr>
  </w:style>
  <w:style w:type="paragraph" w:customStyle="1" w:styleId="Style1">
    <w:name w:val="Style1"/>
    <w:basedOn w:val="Pagrindinistekstas"/>
    <w:autoRedefine/>
    <w:rsid w:val="00AB18B0"/>
    <w:pPr>
      <w:suppressAutoHyphens/>
      <w:spacing w:after="0"/>
      <w:jc w:val="both"/>
    </w:pPr>
    <w:rPr>
      <w:szCs w:val="22"/>
      <w:lang w:eastAsia="en-US"/>
    </w:rPr>
  </w:style>
  <w:style w:type="paragraph" w:styleId="Pagrindiniotekstotrauka">
    <w:name w:val="Body Text Indent"/>
    <w:basedOn w:val="prastasis"/>
    <w:link w:val="PagrindiniotekstotraukaDiagrama"/>
    <w:semiHidden/>
    <w:rsid w:val="00AB18B0"/>
    <w:pPr>
      <w:spacing w:after="120"/>
      <w:ind w:left="283"/>
    </w:pPr>
    <w:rPr>
      <w:rFonts w:cs="Arial Unicode MS"/>
      <w:b w:val="0"/>
      <w:bCs w:val="0"/>
      <w:sz w:val="24"/>
      <w:szCs w:val="24"/>
      <w:lang w:bidi="lo-LA"/>
    </w:rPr>
  </w:style>
  <w:style w:type="character" w:customStyle="1" w:styleId="PagrindiniotekstotraukaDiagrama">
    <w:name w:val="Pagrindinio teksto įtrauka Diagrama"/>
    <w:basedOn w:val="Numatytasispastraiposriftas"/>
    <w:link w:val="Pagrindiniotekstotrauka"/>
    <w:semiHidden/>
    <w:rsid w:val="00AB18B0"/>
    <w:rPr>
      <w:rFonts w:ascii="Times New Roman" w:eastAsia="Times New Roman" w:hAnsi="Times New Roman" w:cs="Arial Unicode MS"/>
      <w:sz w:val="24"/>
      <w:szCs w:val="24"/>
      <w:lang w:bidi="lo-LA"/>
    </w:rPr>
  </w:style>
  <w:style w:type="character" w:styleId="Puslapionumeris">
    <w:name w:val="page number"/>
    <w:semiHidden/>
    <w:rsid w:val="00AB18B0"/>
  </w:style>
  <w:style w:type="paragraph" w:styleId="Porat">
    <w:name w:val="footer"/>
    <w:basedOn w:val="prastasis"/>
    <w:link w:val="PoratDiagrama"/>
    <w:semiHidden/>
    <w:rsid w:val="00AB18B0"/>
    <w:pPr>
      <w:tabs>
        <w:tab w:val="center" w:pos="4819"/>
        <w:tab w:val="right" w:pos="9638"/>
      </w:tabs>
    </w:pPr>
    <w:rPr>
      <w:rFonts w:cs="Arial Unicode MS"/>
      <w:b w:val="0"/>
      <w:bCs w:val="0"/>
      <w:sz w:val="24"/>
      <w:szCs w:val="24"/>
      <w:lang w:bidi="lo-LA"/>
    </w:rPr>
  </w:style>
  <w:style w:type="character" w:customStyle="1" w:styleId="PoratDiagrama">
    <w:name w:val="Poraštė Diagrama"/>
    <w:basedOn w:val="Numatytasispastraiposriftas"/>
    <w:link w:val="Porat"/>
    <w:semiHidden/>
    <w:rsid w:val="00AB18B0"/>
    <w:rPr>
      <w:rFonts w:ascii="Times New Roman" w:eastAsia="Times New Roman" w:hAnsi="Times New Roman" w:cs="Arial Unicode MS"/>
      <w:sz w:val="24"/>
      <w:szCs w:val="24"/>
      <w:lang w:bidi="lo-LA"/>
    </w:rPr>
  </w:style>
  <w:style w:type="paragraph" w:styleId="Antrats">
    <w:name w:val="header"/>
    <w:basedOn w:val="prastasis"/>
    <w:link w:val="AntratsDiagrama"/>
    <w:uiPriority w:val="99"/>
    <w:rsid w:val="00AB18B0"/>
    <w:pPr>
      <w:tabs>
        <w:tab w:val="center" w:pos="4153"/>
        <w:tab w:val="right" w:pos="8306"/>
      </w:tabs>
    </w:pPr>
    <w:rPr>
      <w:rFonts w:eastAsia="Calibri" w:cs="Arial Unicode MS"/>
      <w:b w:val="0"/>
      <w:bCs w:val="0"/>
      <w:sz w:val="24"/>
      <w:szCs w:val="24"/>
      <w:lang w:bidi="lo-LA"/>
    </w:rPr>
  </w:style>
  <w:style w:type="character" w:customStyle="1" w:styleId="AntratsDiagrama">
    <w:name w:val="Antraštės Diagrama"/>
    <w:basedOn w:val="Numatytasispastraiposriftas"/>
    <w:link w:val="Antrats"/>
    <w:uiPriority w:val="99"/>
    <w:rsid w:val="00AB18B0"/>
    <w:rPr>
      <w:rFonts w:ascii="Times New Roman" w:eastAsia="Calibri" w:hAnsi="Times New Roman" w:cs="Arial Unicode MS"/>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5726</Words>
  <Characters>3265</Characters>
  <Application>Microsoft Office Word</Application>
  <DocSecurity>0</DocSecurity>
  <Lines>27</Lines>
  <Paragraphs>17</Paragraphs>
  <ScaleCrop>false</ScaleCrop>
  <HeadingPairs>
    <vt:vector size="4" baseType="variant">
      <vt:variant>
        <vt:lpstr>Pavadinimas</vt:lpstr>
      </vt:variant>
      <vt:variant>
        <vt:i4>1</vt:i4>
      </vt:variant>
      <vt:variant>
        <vt:lpstr>Antraštės</vt:lpstr>
      </vt:variant>
      <vt:variant>
        <vt:i4>26</vt:i4>
      </vt:variant>
    </vt:vector>
  </HeadingPairs>
  <TitlesOfParts>
    <vt:vector size="27" baseType="lpstr">
      <vt:lpstr/>
      <vt:lpstr>Pakuotės lapelis: informacija pacientui </vt:lpstr>
      <vt:lpstr/>
      <vt:lpstr>Zoladex LA 10,8 mg implantas</vt:lpstr>
      <vt:lpstr/>
      <vt:lpstr>Kas yra Zoladex LA ir kam jis vartojamas </vt:lpstr>
      <vt:lpstr/>
      <vt:lpstr>Zoladex LA vartojamas prostatos vėžiui gydyti.</vt:lpstr>
      <vt:lpstr/>
      <vt:lpstr/>
      <vt:lpstr>Kas žinotina prieš vartojant Zoladex LA</vt:lpstr>
      <vt:lpstr/>
      <vt:lpstr>Galimas šalutinis poveikis </vt:lpstr>
      <vt:lpstr/>
      <vt:lpstr>Kaip laikyti Zoladex LA</vt:lpstr>
      <vt:lpstr/>
      <vt:lpstr>Pakuotės turinys ir kita informacija </vt:lpstr>
      <vt:lpstr/>
      <vt:lpstr>Zoladex LA sudėtis</vt:lpstr>
      <vt:lpstr>Zoladex LA išvaizda ir kiekis pakuotėje</vt:lpstr>
      <vt:lpstr>Pakuotėje yra vienas nuo baltos iki kreminės spalvos cilindrinis implantas užpil</vt:lpstr>
      <vt:lpstr/>
      <vt:lpstr>Registruotojas </vt:lpstr>
      <vt:lpstr/>
      <vt:lpstr>Gamintojas</vt:lpstr>
      <vt:lpstr>Švedija</vt: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2024-03-26T14:43:00Z</dcterms:created>
  <dcterms:modified xsi:type="dcterms:W3CDTF">2024-03-26T14:44:00Z</dcterms:modified>
</cp:coreProperties>
</file>