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A3B2"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7B6AD1E1"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C02AC6F"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1D9DF65E"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50013808"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59CF7A79"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079A5F8F"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8509E21"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57CF4622"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5C260A4"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D0248B2"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6BABBBB0"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364C45C6"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271D9A11"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35AC4F8D"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2E7491BD"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907DE5F"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4DEAACC4"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3EF2B544"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0020D849"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07160F30"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74514D6C"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6E141E29"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p>
    <w:p w14:paraId="14D5F838" w14:textId="77777777" w:rsidR="00CB0E79" w:rsidRPr="00CB0E79" w:rsidRDefault="00CB0E79" w:rsidP="00CB0E79">
      <w:pPr>
        <w:spacing w:after="0" w:line="240" w:lineRule="auto"/>
        <w:jc w:val="center"/>
        <w:outlineLvl w:val="0"/>
        <w:rPr>
          <w:rFonts w:ascii="Times New Roman" w:eastAsia="MS Mincho" w:hAnsi="Times New Roman" w:cs="Times New Roman"/>
          <w:b/>
          <w:caps/>
          <w:kern w:val="0"/>
          <w:sz w:val="22"/>
          <w:szCs w:val="22"/>
          <w:lang w:val="lt-LT"/>
          <w14:ligatures w14:val="none"/>
        </w:rPr>
      </w:pPr>
      <w:r w:rsidRPr="00CB0E79">
        <w:rPr>
          <w:rFonts w:ascii="Times New Roman" w:eastAsia="MS Mincho" w:hAnsi="Times New Roman" w:cs="Times New Roman"/>
          <w:b/>
          <w:caps/>
          <w:kern w:val="0"/>
          <w:sz w:val="22"/>
          <w:szCs w:val="22"/>
          <w:lang w:val="lt-LT"/>
          <w14:ligatures w14:val="none"/>
        </w:rPr>
        <w:t>I PRIEDAS</w:t>
      </w:r>
    </w:p>
    <w:p w14:paraId="6FA0306B"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p>
    <w:p w14:paraId="6F6E5BEC" w14:textId="77777777" w:rsidR="00CB0E79" w:rsidRPr="00CB0E79" w:rsidRDefault="00CB0E79" w:rsidP="00CB0E79">
      <w:pPr>
        <w:spacing w:after="0" w:line="240" w:lineRule="auto"/>
        <w:jc w:val="center"/>
        <w:rPr>
          <w:rFonts w:ascii="Times New Roman" w:eastAsia="MS Mincho" w:hAnsi="Times New Roman" w:cs="Times New Roman"/>
          <w:b/>
          <w:bCs/>
          <w:kern w:val="0"/>
          <w:sz w:val="22"/>
          <w:szCs w:val="22"/>
          <w:lang w:val="lt-LT"/>
          <w14:ligatures w14:val="none"/>
        </w:rPr>
      </w:pPr>
      <w:r w:rsidRPr="00CB0E79">
        <w:rPr>
          <w:rFonts w:ascii="Times New Roman" w:eastAsia="MS Mincho" w:hAnsi="Times New Roman" w:cs="Times New Roman"/>
          <w:b/>
          <w:bCs/>
          <w:kern w:val="0"/>
          <w:sz w:val="22"/>
          <w:szCs w:val="22"/>
          <w:lang w:val="lt-LT"/>
          <w14:ligatures w14:val="none"/>
        </w:rPr>
        <w:t>PREPARATO CHARAKTERISTIKŲ SANTRAUKA</w:t>
      </w:r>
    </w:p>
    <w:p w14:paraId="77C97207"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br w:type="page"/>
      </w:r>
    </w:p>
    <w:p w14:paraId="06287C25"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1.</w:t>
      </w:r>
      <w:r w:rsidRPr="00CB0E79">
        <w:rPr>
          <w:rFonts w:ascii="Times New Roman" w:eastAsia="Times New Roman" w:hAnsi="Times New Roman" w:cs="Times New Roman"/>
          <w:b/>
          <w:kern w:val="0"/>
          <w:sz w:val="22"/>
          <w:szCs w:val="22"/>
          <w:lang w:val="lt-LT"/>
          <w14:ligatures w14:val="none"/>
        </w:rPr>
        <w:tab/>
        <w:t>VAISTINIO PREPARATO PAVADINIMAS</w:t>
      </w:r>
    </w:p>
    <w:p w14:paraId="5A2F45D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629673D6" w14:textId="77777777" w:rsidR="00CB0E79" w:rsidRPr="00CB0E79" w:rsidRDefault="00CB0E79" w:rsidP="00CB0E79">
      <w:pPr>
        <w:keepNext/>
        <w:spacing w:after="0" w:line="240" w:lineRule="auto"/>
        <w:outlineLvl w:val="2"/>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Maxidex 1 mg/g akių tepalas</w:t>
      </w:r>
    </w:p>
    <w:p w14:paraId="40E6BDD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F0CFC6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03BD076"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2.</w:t>
      </w:r>
      <w:r w:rsidRPr="00CB0E79">
        <w:rPr>
          <w:rFonts w:ascii="Times New Roman" w:eastAsia="Times New Roman" w:hAnsi="Times New Roman" w:cs="Times New Roman"/>
          <w:b/>
          <w:kern w:val="0"/>
          <w:sz w:val="22"/>
          <w:szCs w:val="22"/>
          <w:lang w:val="lt-LT"/>
          <w14:ligatures w14:val="none"/>
        </w:rPr>
        <w:tab/>
        <w:t>KOKYBINĖ IR KIEKYBINĖ SUDĖTIS</w:t>
      </w:r>
    </w:p>
    <w:p w14:paraId="71B91E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5E71E8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1 g akių tepalo yra 1 mg deksametazono.</w:t>
      </w:r>
    </w:p>
    <w:p w14:paraId="6E8C52F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8572FE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u w:val="single"/>
          <w:lang w:val="lt-LT"/>
          <w14:ligatures w14:val="none"/>
        </w:rPr>
        <w:t>Pagalbinės medžiagos, kurių poveikis žinomas:</w:t>
      </w:r>
      <w:r w:rsidRPr="00CB0E79">
        <w:rPr>
          <w:rFonts w:ascii="Times New Roman" w:eastAsia="Times New Roman" w:hAnsi="Times New Roman" w:cs="Times New Roman"/>
          <w:kern w:val="0"/>
          <w:sz w:val="22"/>
          <w:szCs w:val="22"/>
          <w:lang w:val="lt-LT"/>
          <w14:ligatures w14:val="none"/>
        </w:rPr>
        <w:t xml:space="preserve"> metilo parahidroksibenzoatas (E218), propilo parahidroksibenzoatas (E216), bevandenis skystasis lanolinas.</w:t>
      </w:r>
    </w:p>
    <w:p w14:paraId="63D5CC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C0F14D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Visos pagalbinės medžiagos išvardytos 6.1 skyriuje.</w:t>
      </w:r>
    </w:p>
    <w:p w14:paraId="09A0116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CC8F30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41F9C53"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3.</w:t>
      </w:r>
      <w:r w:rsidRPr="00CB0E79">
        <w:rPr>
          <w:rFonts w:ascii="Times New Roman" w:eastAsia="Times New Roman" w:hAnsi="Times New Roman" w:cs="Times New Roman"/>
          <w:b/>
          <w:kern w:val="0"/>
          <w:sz w:val="22"/>
          <w:szCs w:val="22"/>
          <w:lang w:val="lt-LT"/>
          <w14:ligatures w14:val="none"/>
        </w:rPr>
        <w:tab/>
        <w:t>FARMACINĖ FORMA</w:t>
      </w:r>
    </w:p>
    <w:p w14:paraId="6BBCD4A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636BC7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Akių tepalas.</w:t>
      </w:r>
    </w:p>
    <w:p w14:paraId="3CEA260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DC1EF3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Tepalas yra baltas arba beveik baltas homogeniškas.</w:t>
      </w:r>
    </w:p>
    <w:p w14:paraId="14025FC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A203C1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1AD2090"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w:t>
      </w:r>
      <w:r w:rsidRPr="00CB0E79">
        <w:rPr>
          <w:rFonts w:ascii="Times New Roman" w:eastAsia="Times New Roman" w:hAnsi="Times New Roman" w:cs="Times New Roman"/>
          <w:b/>
          <w:kern w:val="0"/>
          <w:sz w:val="22"/>
          <w:szCs w:val="22"/>
          <w:lang w:val="lt-LT"/>
          <w14:ligatures w14:val="none"/>
        </w:rPr>
        <w:tab/>
        <w:t>KLINIKINĖ INFORMACIJA</w:t>
      </w:r>
    </w:p>
    <w:p w14:paraId="69C6D341"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0BA3657F"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4.1</w:t>
      </w:r>
      <w:r w:rsidRPr="00CB0E79">
        <w:rPr>
          <w:rFonts w:ascii="Times New Roman" w:eastAsia="Times New Roman" w:hAnsi="Times New Roman" w:cs="Times New Roman"/>
          <w:b/>
          <w:kern w:val="0"/>
          <w:sz w:val="22"/>
          <w:szCs w:val="22"/>
          <w:lang w:val="lt-LT"/>
          <w14:ligatures w14:val="none"/>
        </w:rPr>
        <w:tab/>
        <w:t>Terapinės indikacijos</w:t>
      </w:r>
    </w:p>
    <w:p w14:paraId="16796D7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68334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Neinfekcinio, alerginio ar pooperacinio akies junginės, ragenos ar priekinio akies segmento uždegimo slopinimas.</w:t>
      </w:r>
    </w:p>
    <w:p w14:paraId="778449F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91574E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4.2</w:t>
      </w:r>
      <w:r w:rsidRPr="00CB0E79">
        <w:rPr>
          <w:rFonts w:ascii="Times New Roman" w:eastAsia="Times New Roman" w:hAnsi="Times New Roman" w:cs="Times New Roman"/>
          <w:b/>
          <w:kern w:val="0"/>
          <w:sz w:val="22"/>
          <w:szCs w:val="22"/>
          <w:lang w:val="lt-LT"/>
          <w14:ligatures w14:val="none"/>
        </w:rPr>
        <w:tab/>
        <w:t>Dozavimas ir vartojimo metodas</w:t>
      </w:r>
    </w:p>
    <w:p w14:paraId="3732670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3A68E3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u w:val="single"/>
          <w:lang w:val="lt-LT"/>
          <w14:ligatures w14:val="none"/>
        </w:rPr>
        <w:t>Dozavimas</w:t>
      </w:r>
      <w:r w:rsidRPr="00CB0E79" w:rsidDel="004743EC">
        <w:rPr>
          <w:rFonts w:ascii="Times New Roman" w:eastAsia="Times New Roman" w:hAnsi="Times New Roman" w:cs="Times New Roman"/>
          <w:kern w:val="0"/>
          <w:sz w:val="22"/>
          <w:szCs w:val="22"/>
          <w:lang w:val="lt-LT"/>
          <w14:ligatures w14:val="none"/>
        </w:rPr>
        <w:t xml:space="preserve"> </w:t>
      </w:r>
    </w:p>
    <w:p w14:paraId="47A9DF2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AE347A4"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Suaugusiesiems ir senyviems pacientams</w:t>
      </w:r>
    </w:p>
    <w:p w14:paraId="5C40424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Nedidelį kiekį (apie 1,5 cm juostelę) tepalo įtepti į nesveikos akies (akių) junginės maišelį 1–4 kartus per parą. Būklei pagerėjus dozavimą mažinti palaipsniui iki vieno karto per parą keletui dienų.</w:t>
      </w:r>
    </w:p>
    <w:p w14:paraId="283CA17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Maksimalus gydymo laikotarpis yra ne ilgesnis kaip viena savaitė, nebent ilgesnis gydymas yra būtinas (žr. perspėjimus 4.4 skyriuje). </w:t>
      </w:r>
    </w:p>
    <w:p w14:paraId="390B717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Vaistinis preparatas skirtas tik trumpalaikiam gydymui.</w:t>
      </w:r>
    </w:p>
    <w:p w14:paraId="070C487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Nenutraukti gydymo per anksti (žr. 4.4 skyrių).</w:t>
      </w:r>
    </w:p>
    <w:p w14:paraId="7D4477C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ja-JP"/>
          <w14:ligatures w14:val="none"/>
        </w:rPr>
        <w:t>Vaistinis preparatas gali būti paskirtas ir vartojimas atnaujintas tik atlikus biomikroskopinius tyrimus plyšine lempa, testą fluoresceinu bei įvertinus akispūdį.</w:t>
      </w:r>
    </w:p>
    <w:p w14:paraId="46B343B7"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p>
    <w:p w14:paraId="66398F3B" w14:textId="77777777" w:rsidR="00CB0E79" w:rsidRPr="00CB0E79" w:rsidRDefault="00CB0E79" w:rsidP="00CB0E79">
      <w:pPr>
        <w:spacing w:after="0" w:line="240" w:lineRule="auto"/>
        <w:rPr>
          <w:rFonts w:ascii="Times New Roman" w:eastAsia="MS Mincho" w:hAnsi="Times New Roman" w:cs="Times New Roman"/>
          <w:i/>
          <w:kern w:val="0"/>
          <w:sz w:val="22"/>
          <w:szCs w:val="22"/>
          <w:lang w:val="lt-LT"/>
          <w14:ligatures w14:val="none"/>
        </w:rPr>
      </w:pPr>
      <w:r w:rsidRPr="00CB0E79">
        <w:rPr>
          <w:rFonts w:ascii="Times New Roman" w:eastAsia="MS Mincho" w:hAnsi="Times New Roman" w:cs="Times New Roman"/>
          <w:i/>
          <w:kern w:val="0"/>
          <w:sz w:val="22"/>
          <w:szCs w:val="22"/>
          <w:lang w:val="lt-LT"/>
          <w14:ligatures w14:val="none"/>
        </w:rPr>
        <w:t xml:space="preserve">Vaikų populiacija </w:t>
      </w:r>
    </w:p>
    <w:p w14:paraId="4938BCC6"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Maxidex nerekomenduojama vartoti jaunesniems kaip 18 metų vaikams, nes duomenų apie saugumą ir veiksmingumą nėra.</w:t>
      </w:r>
    </w:p>
    <w:p w14:paraId="20AED8D0"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p>
    <w:p w14:paraId="6EC07814"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Pacientams, kurių kepenų ar inkstų funkcija sutrikusi</w:t>
      </w:r>
    </w:p>
    <w:p w14:paraId="68CB934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Šių pacientų gydymas Maxidex netirtas, tačiau dėl mažos bendrosios lokaliai vartojamo deksametazono absorbcijos akių tepalo dozės keisti nereikia.</w:t>
      </w:r>
    </w:p>
    <w:p w14:paraId="64DDAF9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7A5C81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u w:val="single"/>
          <w:lang w:val="lt-LT"/>
          <w14:ligatures w14:val="none"/>
        </w:rPr>
        <w:t>Vartojimo metodas</w:t>
      </w:r>
    </w:p>
    <w:p w14:paraId="1DF9CF7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Vartoti tik ant akių.</w:t>
      </w:r>
    </w:p>
    <w:p w14:paraId="1399733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lastRenderedPageBreak/>
        <w:t>Kad snapelis ir vaistinis preparatas neužsiterštų, reikia stengtis tūbelės snapeliu neliesti vokų, aplinkinių bei kitų paviršių.</w:t>
      </w:r>
    </w:p>
    <w:p w14:paraId="00E583B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Maxidex akių tepalą galima vartoti kartu su Maxidex akių lašais: akių tepalą – prieš miegą, o akių lašus – dieną.</w:t>
      </w:r>
    </w:p>
    <w:p w14:paraId="7FFA8D3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Pasitepus rekomenduojama švelniai užsimerkti. Tai gali sumažinti vaistinio preparato absorbciją ir bendrąjį nepageidaujamą poveikį.</w:t>
      </w:r>
    </w:p>
    <w:p w14:paraId="4A088EB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Kartu vartojant kitus akių vaistinius preparatus, tarp vienų ir kitų reikia daryti mažiausiai 5 minučių pertrauką. Akių tepalą vartoti paskiausiai. </w:t>
      </w:r>
    </w:p>
    <w:p w14:paraId="4557BAC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1A4416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4.3</w:t>
      </w:r>
      <w:r w:rsidRPr="00CB0E79">
        <w:rPr>
          <w:rFonts w:ascii="Times New Roman" w:eastAsia="Times New Roman" w:hAnsi="Times New Roman" w:cs="Times New Roman"/>
          <w:b/>
          <w:kern w:val="0"/>
          <w:sz w:val="22"/>
          <w:szCs w:val="22"/>
          <w:lang w:val="lt-LT"/>
          <w14:ligatures w14:val="none"/>
        </w:rPr>
        <w:tab/>
        <w:t>Kontraindikacijos</w:t>
      </w:r>
    </w:p>
    <w:p w14:paraId="256DC43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0E3E5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Padidėjęs jautrumas veikliajai arba bet kuriai 6.1 skyriuje nurodytai pagalbinei medžiagai.</w:t>
      </w:r>
    </w:p>
    <w:p w14:paraId="607B465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4460EE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MS Mincho" w:hAnsi="Times New Roman" w:cs="Times New Roman"/>
          <w:i/>
          <w:iCs/>
          <w:kern w:val="0"/>
          <w:sz w:val="22"/>
          <w:szCs w:val="22"/>
          <w:lang w:val="lt-LT"/>
          <w14:ligatures w14:val="none"/>
        </w:rPr>
        <w:t>Herpex simplex</w:t>
      </w:r>
      <w:r w:rsidRPr="00CB0E79">
        <w:rPr>
          <w:rFonts w:ascii="Times New Roman" w:eastAsia="MS Mincho" w:hAnsi="Times New Roman" w:cs="Times New Roman"/>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keratitas, galvijinių raupų, vėjaraupių-juostinės pūslelinės virusų sukeltos ir kitos virusinės ragenos ir junginės ligos.</w:t>
      </w:r>
    </w:p>
    <w:p w14:paraId="3EB6C6E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4FA5AA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Mikobakterinės akių infekcijos, sukeltos </w:t>
      </w:r>
      <w:r w:rsidRPr="00CB0E79">
        <w:rPr>
          <w:rFonts w:ascii="Times New Roman" w:eastAsia="Times New Roman" w:hAnsi="Times New Roman" w:cs="Times New Roman"/>
          <w:i/>
          <w:kern w:val="0"/>
          <w:sz w:val="22"/>
          <w:szCs w:val="22"/>
          <w:lang w:val="lt-LT"/>
          <w14:ligatures w14:val="none"/>
        </w:rPr>
        <w:t>Mycobacterium tuberculosis</w:t>
      </w:r>
      <w:r w:rsidRPr="00CB0E79">
        <w:rPr>
          <w:rFonts w:ascii="Times New Roman" w:eastAsia="Times New Roman" w:hAnsi="Times New Roman" w:cs="Times New Roman"/>
          <w:kern w:val="0"/>
          <w:sz w:val="22"/>
          <w:szCs w:val="22"/>
          <w:lang w:val="lt-LT"/>
          <w14:ligatures w14:val="none"/>
        </w:rPr>
        <w:t xml:space="preserve">, </w:t>
      </w:r>
      <w:r w:rsidRPr="00CB0E79">
        <w:rPr>
          <w:rFonts w:ascii="Times New Roman" w:eastAsia="Times New Roman" w:hAnsi="Times New Roman" w:cs="Times New Roman"/>
          <w:i/>
          <w:kern w:val="0"/>
          <w:sz w:val="22"/>
          <w:szCs w:val="22"/>
          <w:lang w:val="lt-LT"/>
          <w14:ligatures w14:val="none"/>
        </w:rPr>
        <w:t>Mycobacterium</w:t>
      </w:r>
      <w:r w:rsidRPr="00CB0E79">
        <w:rPr>
          <w:rFonts w:ascii="Times New Roman" w:eastAsia="Times New Roman" w:hAnsi="Times New Roman" w:cs="Times New Roman"/>
          <w:kern w:val="0"/>
          <w:sz w:val="22"/>
          <w:szCs w:val="22"/>
          <w:lang w:val="lt-LT"/>
          <w14:ligatures w14:val="none"/>
        </w:rPr>
        <w:t xml:space="preserve"> </w:t>
      </w:r>
      <w:r w:rsidRPr="00CB0E79">
        <w:rPr>
          <w:rFonts w:ascii="Times New Roman" w:eastAsia="Times New Roman" w:hAnsi="Times New Roman" w:cs="Times New Roman"/>
          <w:i/>
          <w:kern w:val="0"/>
          <w:sz w:val="22"/>
          <w:szCs w:val="22"/>
          <w:lang w:val="lt-LT"/>
          <w14:ligatures w14:val="none"/>
        </w:rPr>
        <w:t>leprae,</w:t>
      </w:r>
      <w:r w:rsidRPr="00CB0E79">
        <w:rPr>
          <w:rFonts w:ascii="Times New Roman" w:eastAsia="Times New Roman" w:hAnsi="Times New Roman" w:cs="Times New Roman"/>
          <w:kern w:val="0"/>
          <w:sz w:val="22"/>
          <w:szCs w:val="22"/>
          <w:lang w:val="lt-LT"/>
          <w14:ligatures w14:val="none"/>
        </w:rPr>
        <w:t xml:space="preserve"> </w:t>
      </w:r>
      <w:r w:rsidRPr="00CB0E79">
        <w:rPr>
          <w:rFonts w:ascii="Times New Roman" w:eastAsia="Times New Roman" w:hAnsi="Times New Roman" w:cs="Times New Roman"/>
          <w:i/>
          <w:kern w:val="0"/>
          <w:sz w:val="22"/>
          <w:szCs w:val="22"/>
          <w:lang w:val="lt-LT"/>
          <w14:ligatures w14:val="none"/>
        </w:rPr>
        <w:t xml:space="preserve">Mycobacterium avium </w:t>
      </w:r>
      <w:r w:rsidRPr="00CB0E79">
        <w:rPr>
          <w:rFonts w:ascii="Times New Roman" w:eastAsia="Times New Roman" w:hAnsi="Times New Roman" w:cs="Times New Roman"/>
          <w:kern w:val="0"/>
          <w:sz w:val="22"/>
          <w:szCs w:val="22"/>
          <w:lang w:val="lt-LT"/>
          <w14:ligatures w14:val="none"/>
        </w:rPr>
        <w:t>ir kitų rūgštims atsparių lazdelių.</w:t>
      </w:r>
    </w:p>
    <w:p w14:paraId="13736E8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E636EE1"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Grybelinės akies struktūrų ligos arba negydomos parazitinės akių infekcijos.</w:t>
      </w:r>
    </w:p>
    <w:p w14:paraId="57A19F0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E5EC1F5"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 xml:space="preserve">Ūminė negydyta bakterinė infekcinė akių liga, kuri, kaip ir kitos mikroorganizmų sukeltos ligos, vartojant kortikosteroidų gali nepasireikšti kliniškai arba paūmėti. </w:t>
      </w:r>
    </w:p>
    <w:p w14:paraId="4443BBD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58A911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4.4</w:t>
      </w:r>
      <w:r w:rsidRPr="00CB0E79">
        <w:rPr>
          <w:rFonts w:ascii="Times New Roman" w:eastAsia="Times New Roman" w:hAnsi="Times New Roman" w:cs="Times New Roman"/>
          <w:b/>
          <w:kern w:val="0"/>
          <w:sz w:val="22"/>
          <w:szCs w:val="22"/>
          <w:lang w:val="lt-LT"/>
          <w14:ligatures w14:val="none"/>
        </w:rPr>
        <w:tab/>
        <w:t>Specialūs įspėjimai ir atsargumo priemonės</w:t>
      </w:r>
    </w:p>
    <w:p w14:paraId="5FED9CC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9A3CAA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Ilgai arba dažnai vartojant kortikosteroidus gali padidėti akispūdis ir pasireikšti glaukoma, dėl to gali būti pažeistas regos nervas, sumažėti regos aštrumas ir akiplotis, atsirasti užpakalinė subkapsulinė katarakta. Pacientams, kuriems skiriamas ilgesnis nei būtinas gydymas akių kortikosteroidu, akispūdis turi būti matuojamas reguliariai ir dažnai.</w:t>
      </w:r>
    </w:p>
    <w:p w14:paraId="5BA2D63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Jautrių pacientų akispūdis gali padidėti net gydant įprastinėmis dozėmis.</w:t>
      </w:r>
      <w:r w:rsidRPr="00CB0E79">
        <w:rPr>
          <w:rFonts w:ascii="Times New Roman" w:eastAsia="MS Mincho" w:hAnsi="Times New Roman" w:cs="Times New Roman"/>
          <w:kern w:val="0"/>
          <w:sz w:val="22"/>
          <w:szCs w:val="22"/>
          <w:lang w:val="lt-LT"/>
          <w14:ligatures w14:val="none"/>
        </w:rPr>
        <w:t xml:space="preserve"> Tai ypač svarbu vaikams, kadangi jiems kortikosteroidų sukeltos akių hipertenzijos rizika gali būti didesnė ir toks poveikis gali pasireikšti anksčiau.</w:t>
      </w:r>
      <w:r w:rsidRPr="00CB0E79">
        <w:rPr>
          <w:rFonts w:ascii="Times New Roman" w:eastAsia="MS Mincho" w:hAnsi="Times New Roman" w:cs="Times New Roman"/>
          <w:kern w:val="0"/>
          <w:sz w:val="22"/>
          <w:szCs w:val="22"/>
          <w:lang w:val="lt-LT" w:eastAsia="lt-LT"/>
          <w14:ligatures w14:val="none"/>
        </w:rPr>
        <w:t xml:space="preserve"> </w:t>
      </w:r>
      <w:r w:rsidRPr="00CB0E79">
        <w:rPr>
          <w:rFonts w:ascii="Times New Roman" w:eastAsia="MS Mincho" w:hAnsi="Times New Roman" w:cs="Times New Roman"/>
          <w:kern w:val="0"/>
          <w:sz w:val="22"/>
          <w:szCs w:val="22"/>
          <w:lang w:val="lt-LT"/>
          <w14:ligatures w14:val="none"/>
        </w:rPr>
        <w:t>Kortikosteroidų sukelto akispūdžio padidėjimo ir (arba) kataraktos rizika yra didesnė polinkį minėtų sutrikimų atsiradimui turintiems pacientams, pvz., sergantiems cukriniu diabetu.</w:t>
      </w:r>
    </w:p>
    <w:p w14:paraId="10FFE80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474057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Polinkį turintiems pacientams, įskaitant vaikus ir pacientus, gydomus CYP3A4 inhibitoriais (įskaitant ritonavirą ir kobicistatą), po intensyvaus arba ilgalaikio tęstinio gydymo ant akių vartojamu deksametazonu gali pasireikšti su sistemine absorbcija susijęs Kušingo sindromas ir (arba) antinksčių slopinimas. Tokiais atvejais gydymą būtina laipsniškai nutraukti.</w:t>
      </w:r>
    </w:p>
    <w:p w14:paraId="320197CB"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p>
    <w:p w14:paraId="022915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Glaukoma sergančius pacientus šiuo vaistiniu preparatu galima gydyti ne ilgiau kaip dvi savaites, nebent ilgesnis gydymas būtinas. Reikia reguliariai matuoti akispūdį.</w:t>
      </w:r>
    </w:p>
    <w:p w14:paraId="7D1C1FF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B02976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Ilgai gydant kortikosteroidais ypač linkusios pasireikšti grybelinės ragenos infekcijos. Grybelinę infekciją reikia įtarti, jei gydant kortikosteroidais ragena ilgai lieka išopėjusi. </w:t>
      </w:r>
      <w:r w:rsidRPr="00CB0E79">
        <w:rPr>
          <w:rFonts w:ascii="Times New Roman" w:eastAsia="MS Mincho" w:hAnsi="Times New Roman" w:cs="Times New Roman"/>
          <w:kern w:val="0"/>
          <w:sz w:val="22"/>
          <w:szCs w:val="22"/>
          <w:lang w:val="lt-LT"/>
          <w14:ligatures w14:val="none"/>
        </w:rPr>
        <w:t xml:space="preserve">Jei pasireiškia grybelių infekcija, gydymą kortikosteroidais būtina nutraukti. </w:t>
      </w:r>
      <w:r w:rsidRPr="00CB0E79">
        <w:rPr>
          <w:rFonts w:ascii="Times New Roman" w:eastAsia="Times New Roman" w:hAnsi="Times New Roman" w:cs="Times New Roman"/>
          <w:kern w:val="0"/>
          <w:sz w:val="22"/>
          <w:szCs w:val="22"/>
          <w:lang w:val="lt-LT"/>
          <w14:ligatures w14:val="none"/>
        </w:rPr>
        <w:t xml:space="preserve">Sumažėjus organizmo atsparumui didėja ir antrinės bakterinės akių infekcijos pavojus. </w:t>
      </w:r>
      <w:r w:rsidRPr="00CB0E79">
        <w:rPr>
          <w:rFonts w:ascii="Times New Roman" w:eastAsia="MS Mincho" w:hAnsi="Times New Roman" w:cs="Times New Roman"/>
          <w:kern w:val="0"/>
          <w:sz w:val="22"/>
          <w:szCs w:val="22"/>
          <w:lang w:val="lt-LT"/>
          <w14:ligatures w14:val="none"/>
        </w:rPr>
        <w:t>Kortikosteroidai gali mažinti atsparumą bakterinei, virusinei, grybelinei ar parazitinei infekcijai ir paskatinti jos pasireiškimą, be to, gali nepasireikšti klinikiniai infekcijos požymiai</w:t>
      </w:r>
      <w:r w:rsidRPr="00CB0E79">
        <w:rPr>
          <w:rFonts w:ascii="Times New Roman" w:eastAsia="Times New Roman" w:hAnsi="Times New Roman" w:cs="Times New Roman"/>
          <w:kern w:val="0"/>
          <w:sz w:val="22"/>
          <w:szCs w:val="22"/>
          <w:lang w:val="lt-LT"/>
          <w14:ligatures w14:val="none"/>
        </w:rPr>
        <w:t>.</w:t>
      </w:r>
    </w:p>
    <w:p w14:paraId="6D76369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B18E3D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Kai dėl ligos ragena arba odena suplonėjusi, vartojant lokalaus veikimo kortikosteroidus galima jų perforacija.</w:t>
      </w:r>
    </w:p>
    <w:p w14:paraId="34EAB1A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AAE7D8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lastRenderedPageBreak/>
        <w:t>Negalima nutraukti gydymo anksčiau laiko, nes staiga nustojus gydyti didelėmis kortikosteroidų dozėmis gali paūmėti akių uždegimas.</w:t>
      </w:r>
    </w:p>
    <w:p w14:paraId="03129BC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BEF052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Gydant akis kortikosteroidų lašais ir tepalais gali sulėtėti ragenos žaizdų gijimas.</w:t>
      </w:r>
      <w:r w:rsidRPr="00CB0E79">
        <w:rPr>
          <w:rFonts w:ascii="Times New Roman" w:eastAsia="MS Mincho" w:hAnsi="Times New Roman" w:cs="Times New Roman"/>
          <w:kern w:val="0"/>
          <w:sz w:val="22"/>
          <w:szCs w:val="22"/>
          <w:lang w:val="lt-LT" w:eastAsia="lt-LT"/>
          <w14:ligatures w14:val="none"/>
        </w:rPr>
        <w:t xml:space="preserve"> </w:t>
      </w:r>
      <w:r w:rsidRPr="00CB0E79">
        <w:rPr>
          <w:rFonts w:ascii="Times New Roman" w:eastAsia="Times New Roman" w:hAnsi="Times New Roman" w:cs="Times New Roman"/>
          <w:kern w:val="0"/>
          <w:sz w:val="22"/>
          <w:szCs w:val="22"/>
          <w:lang w:val="lt-LT"/>
          <w14:ligatures w14:val="none"/>
        </w:rPr>
        <w:t>Be to, žinoma, kad lokaliai vartojami nesteroidiniai vaistiniai preparatai nuo uždegimo (NVNU) lėtina arba vėlina žaizdų gijimą. Jei kartu vartojama lokalaus poveikio NVNU ir kortikosteroidų, gali didėti ragenos žaizdų gijimo sutrikimų rizika (žr. 4.5 skyrių).</w:t>
      </w:r>
    </w:p>
    <w:p w14:paraId="1BA647B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51958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Akies uždegimo gydymo metu kontaktinių lęšių (kietųjų ar minkštųjų) nešioti nerekomenduojama.</w:t>
      </w:r>
    </w:p>
    <w:p w14:paraId="4878069A" w14:textId="77777777" w:rsidR="00CB0E79" w:rsidRPr="00CB0E79" w:rsidDel="0053383B"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Šio vaistinio preparato sudėtyje yra metilparahidroksibenzoato ir propilparahidroksibenzoato, kurie gali sukelti alerginių reakcijų, kurios gali būti uždelstos.</w:t>
      </w:r>
    </w:p>
    <w:p w14:paraId="3FA2253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A7AEF65" w14:textId="77777777" w:rsidR="00CB0E79" w:rsidRPr="00CB0E79" w:rsidRDefault="00CB0E79" w:rsidP="00CB0E79">
      <w:pPr>
        <w:spacing w:after="0" w:line="240" w:lineRule="auto"/>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bCs/>
          <w:kern w:val="0"/>
          <w:sz w:val="22"/>
          <w:szCs w:val="22"/>
          <w:u w:val="single"/>
          <w:lang w:val="lt-LT"/>
          <w14:ligatures w14:val="none"/>
        </w:rPr>
        <w:t>Regėjimo sutrikimai</w:t>
      </w:r>
    </w:p>
    <w:p w14:paraId="693EE0E9" w14:textId="77777777" w:rsidR="00CB0E79" w:rsidRPr="00CB0E79" w:rsidRDefault="00CB0E79" w:rsidP="00CB0E79">
      <w:pPr>
        <w:spacing w:after="0" w:line="240" w:lineRule="auto"/>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2C47481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5A4DD4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4.5</w:t>
      </w:r>
      <w:r w:rsidRPr="00CB0E79">
        <w:rPr>
          <w:rFonts w:ascii="Times New Roman" w:eastAsia="Times New Roman" w:hAnsi="Times New Roman" w:cs="Times New Roman"/>
          <w:b/>
          <w:kern w:val="0"/>
          <w:sz w:val="22"/>
          <w:szCs w:val="22"/>
          <w:lang w:val="lt-LT"/>
          <w14:ligatures w14:val="none"/>
        </w:rPr>
        <w:tab/>
        <w:t>Sąveika su kitais vaistiniais preparatais ir kitokia sąveika</w:t>
      </w:r>
    </w:p>
    <w:p w14:paraId="60CA384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8DEA25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 kartu vartojama lokalaus poveikio NVNU ir kortikosteroidų, gali didėti ragenos žaizdų gijimo sutrikimų rizika.</w:t>
      </w:r>
    </w:p>
    <w:p w14:paraId="2006983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809F05D"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Sąveikos su veikliąja medžiaga buvo stebėtos skiriant vaistinio preparato sistemiškai. Tačiau sisteminė deksametazono absorbcija, paskyrus lokaliai į akis, yra tokia maža, kad bet kokios sąveikos rizika yra minimali.</w:t>
      </w:r>
    </w:p>
    <w:p w14:paraId="7056E1B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01E4A0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 kartu su vartojama kitų oftalmologinių vaistinių preparatų, tarp jų vartojimo reikia daryti mažiausiai 5 minučių pertrauką. Akių tepalo reikia vartoti paskutinio.</w:t>
      </w:r>
    </w:p>
    <w:p w14:paraId="350BB874"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3"/>
          <w:kern w:val="0"/>
          <w:sz w:val="22"/>
          <w:szCs w:val="22"/>
          <w:lang w:val="lt-LT"/>
          <w14:ligatures w14:val="none"/>
        </w:rPr>
      </w:pPr>
    </w:p>
    <w:p w14:paraId="1DB00AEA"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3"/>
          <w:kern w:val="0"/>
          <w:sz w:val="22"/>
          <w:szCs w:val="22"/>
          <w:lang w:val="lt-LT"/>
          <w14:ligatures w14:val="none"/>
        </w:rPr>
      </w:pPr>
      <w:r w:rsidRPr="00CB0E79">
        <w:rPr>
          <w:rFonts w:ascii="Times New Roman" w:eastAsia="MS Mincho" w:hAnsi="Times New Roman" w:cs="Times New Roman"/>
          <w:spacing w:val="-3"/>
          <w:kern w:val="0"/>
          <w:sz w:val="22"/>
          <w:szCs w:val="22"/>
          <w:lang w:val="lt-LT"/>
          <w14:ligatures w14:val="none"/>
        </w:rPr>
        <w:t>Pacientams, gydytiems ritonaviru, deksametazono koncentracija plazmoje gali padidėti (žr. 4.4 skyrių).</w:t>
      </w:r>
    </w:p>
    <w:p w14:paraId="059F8582"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3"/>
          <w:kern w:val="0"/>
          <w:sz w:val="22"/>
          <w:szCs w:val="22"/>
          <w:lang w:val="lt-LT"/>
          <w14:ligatures w14:val="none"/>
        </w:rPr>
      </w:pPr>
    </w:p>
    <w:p w14:paraId="53D17F2D"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3"/>
          <w:kern w:val="0"/>
          <w:sz w:val="22"/>
          <w:szCs w:val="22"/>
          <w:lang w:val="lt-LT"/>
          <w14:ligatures w14:val="none"/>
        </w:rPr>
      </w:pPr>
      <w:r w:rsidRPr="00CB0E79">
        <w:rPr>
          <w:rFonts w:ascii="Times New Roman" w:eastAsia="MS Mincho" w:hAnsi="Times New Roman" w:cs="Times New Roman"/>
          <w:spacing w:val="-3"/>
          <w:kern w:val="0"/>
          <w:sz w:val="22"/>
          <w:szCs w:val="22"/>
          <w:lang w:val="lt-LT"/>
          <w14:ligatures w14:val="none"/>
        </w:rPr>
        <w:t>CYP3A4 inhibitoriai, įskaitant ritonavirą ir kobicistatą, gali sumažinti deksametazono klirensą ir dėl to sustiprėti poveikis bei pasireikšti antinksčių slopinimas arba Kušingo sindromas. Tokio derinio skirti vartoti nerekomenduojama, nebent nauda yra didesnė už padidėjusią sisteminio kortikosteroidų nepageidaujamo poveikio riziką (tokiu atveju pacientą būtina atidžiai stebėti, ar nepasireiškia sisteminis kortikosteroidų poveikis).</w:t>
      </w:r>
    </w:p>
    <w:p w14:paraId="2708CEF8" w14:textId="77777777" w:rsidR="00CB0E79" w:rsidRPr="00CB0E79" w:rsidRDefault="00CB0E79" w:rsidP="00CB0E79">
      <w:pPr>
        <w:keepNext/>
        <w:keepLines/>
        <w:spacing w:after="0" w:line="240" w:lineRule="auto"/>
        <w:rPr>
          <w:rFonts w:ascii="Times New Roman" w:eastAsia="Times New Roman" w:hAnsi="Times New Roman" w:cs="Times New Roman"/>
          <w:kern w:val="0"/>
          <w:sz w:val="22"/>
          <w:szCs w:val="22"/>
          <w:lang w:val="lt-LT"/>
          <w14:ligatures w14:val="none"/>
        </w:rPr>
      </w:pPr>
    </w:p>
    <w:p w14:paraId="17F8CFF8" w14:textId="77777777" w:rsidR="00CB0E79" w:rsidRPr="00CB0E79" w:rsidRDefault="00CB0E79" w:rsidP="00CB0E79">
      <w:pPr>
        <w:keepNext/>
        <w:keepLines/>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4.6</w:t>
      </w:r>
      <w:r w:rsidRPr="00CB0E79">
        <w:rPr>
          <w:rFonts w:ascii="Times New Roman" w:eastAsia="Times New Roman" w:hAnsi="Times New Roman" w:cs="Times New Roman"/>
          <w:b/>
          <w:kern w:val="0"/>
          <w:sz w:val="22"/>
          <w:szCs w:val="22"/>
          <w:lang w:val="lt-LT"/>
          <w14:ligatures w14:val="none"/>
        </w:rPr>
        <w:tab/>
        <w:t>Vaisingumas, nėštumo ir žindymo laikotarpis</w:t>
      </w:r>
    </w:p>
    <w:p w14:paraId="3F4F28B2" w14:textId="77777777" w:rsidR="00CB0E79" w:rsidRPr="00CB0E79" w:rsidRDefault="00CB0E79" w:rsidP="00CB0E79">
      <w:pPr>
        <w:keepNext/>
        <w:keepLines/>
        <w:spacing w:after="0" w:line="240" w:lineRule="auto"/>
        <w:rPr>
          <w:rFonts w:ascii="Times New Roman" w:eastAsia="Times New Roman" w:hAnsi="Times New Roman" w:cs="Times New Roman"/>
          <w:kern w:val="0"/>
          <w:sz w:val="22"/>
          <w:szCs w:val="22"/>
          <w:lang w:val="lt-LT"/>
          <w14:ligatures w14:val="none"/>
        </w:rPr>
      </w:pPr>
    </w:p>
    <w:p w14:paraId="5AD91911" w14:textId="77777777" w:rsidR="00CB0E79" w:rsidRPr="00CB0E79" w:rsidRDefault="00CB0E79" w:rsidP="00CB0E79">
      <w:pPr>
        <w:keepNext/>
        <w:keepLines/>
        <w:widowControl w:val="0"/>
        <w:suppressLineNumbers/>
        <w:tabs>
          <w:tab w:val="left" w:pos="1418"/>
        </w:tabs>
        <w:suppressAutoHyphens/>
        <w:spacing w:after="0" w:line="240" w:lineRule="auto"/>
        <w:rPr>
          <w:rFonts w:ascii="Times New Roman" w:eastAsia="MS Mincho" w:hAnsi="Times New Roman" w:cs="Times New Roman"/>
          <w:spacing w:val="-2"/>
          <w:kern w:val="0"/>
          <w:sz w:val="22"/>
          <w:szCs w:val="22"/>
          <w:u w:val="single"/>
          <w:lang w:val="lt-LT"/>
          <w14:ligatures w14:val="none"/>
        </w:rPr>
      </w:pPr>
      <w:r w:rsidRPr="00CB0E79">
        <w:rPr>
          <w:rFonts w:ascii="Times New Roman" w:eastAsia="MS Mincho" w:hAnsi="Times New Roman" w:cs="Times New Roman"/>
          <w:spacing w:val="-2"/>
          <w:kern w:val="0"/>
          <w:sz w:val="22"/>
          <w:szCs w:val="22"/>
          <w:u w:val="single"/>
          <w:lang w:val="lt-LT"/>
          <w14:ligatures w14:val="none"/>
        </w:rPr>
        <w:t>Vaisingumas</w:t>
      </w:r>
    </w:p>
    <w:p w14:paraId="55A38A4D" w14:textId="77777777" w:rsidR="00CB0E79" w:rsidRPr="00CB0E79" w:rsidRDefault="00CB0E79" w:rsidP="00CB0E79">
      <w:pPr>
        <w:keepNext/>
        <w:keepLines/>
        <w:widowControl w:val="0"/>
        <w:suppressLineNumbers/>
        <w:tabs>
          <w:tab w:val="left" w:pos="284"/>
        </w:tabs>
        <w:suppressAutoHyphens/>
        <w:spacing w:after="0" w:line="240" w:lineRule="auto"/>
        <w:rPr>
          <w:rFonts w:ascii="Times New Roman" w:eastAsia="MS Mincho" w:hAnsi="Times New Roman" w:cs="Times New Roman"/>
          <w:spacing w:val="-2"/>
          <w:kern w:val="0"/>
          <w:sz w:val="22"/>
          <w:szCs w:val="22"/>
          <w:lang w:val="lt-LT"/>
          <w14:ligatures w14:val="none"/>
        </w:rPr>
      </w:pPr>
      <w:r w:rsidRPr="00CB0E79">
        <w:rPr>
          <w:rFonts w:ascii="Times New Roman" w:eastAsia="MS Mincho" w:hAnsi="Times New Roman" w:cs="Times New Roman"/>
          <w:spacing w:val="-2"/>
          <w:kern w:val="0"/>
          <w:sz w:val="22"/>
          <w:szCs w:val="22"/>
          <w:lang w:val="lt-LT"/>
          <w14:ligatures w14:val="none"/>
        </w:rPr>
        <w:t>Nebuvo atlikta tyrimų, siekiant įvertinti lokaliai ant akių vartojamo deksametazono poveikį vaisingumui. Klinikinių duomenų, siekiant įvertinti deksametazono poveikį vyrų arba moterų vaisingumui, nepakanka. Taikant chorioniniu gonadotropinu prisotintų žiurkių modelį, nepageidaujamo deksametazono poveikio vaisingumui nepastebėta.</w:t>
      </w:r>
    </w:p>
    <w:p w14:paraId="7DFD7FBD" w14:textId="77777777" w:rsidR="00CB0E79" w:rsidRPr="00CB0E79" w:rsidRDefault="00CB0E79" w:rsidP="00CB0E79">
      <w:pPr>
        <w:widowControl w:val="0"/>
        <w:suppressLineNumbers/>
        <w:tabs>
          <w:tab w:val="left" w:pos="284"/>
        </w:tabs>
        <w:suppressAutoHyphens/>
        <w:spacing w:after="0" w:line="240" w:lineRule="auto"/>
        <w:rPr>
          <w:rFonts w:ascii="Times New Roman" w:eastAsia="MS Mincho" w:hAnsi="Times New Roman" w:cs="Times New Roman"/>
          <w:spacing w:val="-2"/>
          <w:kern w:val="0"/>
          <w:sz w:val="22"/>
          <w:szCs w:val="22"/>
          <w:lang w:val="lt-LT"/>
          <w14:ligatures w14:val="none"/>
        </w:rPr>
      </w:pPr>
    </w:p>
    <w:p w14:paraId="011A78B7" w14:textId="77777777" w:rsidR="00CB0E79" w:rsidRPr="00CB0E79" w:rsidRDefault="00CB0E79" w:rsidP="00CB0E79">
      <w:pPr>
        <w:widowControl w:val="0"/>
        <w:suppressLineNumbers/>
        <w:tabs>
          <w:tab w:val="left" w:pos="1418"/>
        </w:tabs>
        <w:suppressAutoHyphens/>
        <w:spacing w:after="0" w:line="240" w:lineRule="auto"/>
        <w:rPr>
          <w:rFonts w:ascii="Times New Roman" w:eastAsia="MS Mincho" w:hAnsi="Times New Roman" w:cs="Times New Roman"/>
          <w:spacing w:val="-2"/>
          <w:kern w:val="0"/>
          <w:sz w:val="22"/>
          <w:szCs w:val="22"/>
          <w:u w:val="single"/>
          <w:lang w:val="lt-LT"/>
          <w14:ligatures w14:val="none"/>
        </w:rPr>
      </w:pPr>
      <w:r w:rsidRPr="00CB0E79">
        <w:rPr>
          <w:rFonts w:ascii="Times New Roman" w:eastAsia="MS Mincho" w:hAnsi="Times New Roman" w:cs="Times New Roman"/>
          <w:spacing w:val="-2"/>
          <w:kern w:val="0"/>
          <w:sz w:val="22"/>
          <w:szCs w:val="22"/>
          <w:u w:val="single"/>
          <w:lang w:val="lt-LT"/>
          <w14:ligatures w14:val="none"/>
        </w:rPr>
        <w:t>Nėštumas</w:t>
      </w:r>
    </w:p>
    <w:p w14:paraId="6F95AC1D"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3"/>
          <w:kern w:val="0"/>
          <w:sz w:val="22"/>
          <w:szCs w:val="22"/>
          <w:lang w:val="lt-LT"/>
          <w14:ligatures w14:val="none"/>
        </w:rPr>
      </w:pPr>
      <w:r w:rsidRPr="00CB0E79">
        <w:rPr>
          <w:rFonts w:ascii="Times New Roman" w:eastAsia="MS Mincho" w:hAnsi="Times New Roman" w:cs="Times New Roman"/>
          <w:bCs/>
          <w:iCs/>
          <w:spacing w:val="-3"/>
          <w:kern w:val="0"/>
          <w:sz w:val="22"/>
          <w:szCs w:val="22"/>
          <w:lang w:val="lt-LT"/>
          <w14:ligatures w14:val="none"/>
        </w:rPr>
        <w:t xml:space="preserve">Tinkamų ir gerai kontroliuojamų </w:t>
      </w:r>
      <w:r w:rsidRPr="00CB0E79">
        <w:rPr>
          <w:rFonts w:ascii="Times New Roman" w:eastAsia="MS Mincho" w:hAnsi="Times New Roman" w:cs="Times New Roman"/>
          <w:spacing w:val="-2"/>
          <w:kern w:val="0"/>
          <w:sz w:val="22"/>
          <w:szCs w:val="22"/>
          <w:lang w:val="lt-LT"/>
          <w14:ligatures w14:val="none"/>
        </w:rPr>
        <w:t xml:space="preserve">deksametazono tepalo poveikio nėščioms moterims tyrimų neatlikta. </w:t>
      </w:r>
      <w:r w:rsidRPr="00CB0E79">
        <w:rPr>
          <w:rFonts w:ascii="Times New Roman" w:eastAsia="MS Mincho" w:hAnsi="Times New Roman" w:cs="Times New Roman"/>
          <w:spacing w:val="-3"/>
          <w:kern w:val="0"/>
          <w:sz w:val="22"/>
          <w:szCs w:val="22"/>
          <w:lang w:val="lt-LT"/>
          <w14:ligatures w14:val="none"/>
        </w:rPr>
        <w:t xml:space="preserve">Ilgalaikis arba pakartotinas kortikosteroidų vartojimas nėštumo metu buvo susijęs su padidėjusia vaisiaus augimo gimdoje sulėtėjimo rizika. Motinų, nėštumo metu gavusių dideles kortikosteroidų dozes, naujagimius reikia atidžiai stebėti dėl galimų hipoadrenalizmo požymių (žr. 4.4 skyrių). Su gyvūnais atlikti tyrimai rodo toksinį poveikį vaisingumui po sisteminio deksametazono vartojimo. 0,1 % deksametazono skyrimas į akis </w:t>
      </w:r>
      <w:r w:rsidRPr="00CB0E79">
        <w:rPr>
          <w:rFonts w:ascii="Times New Roman" w:eastAsia="MS Mincho" w:hAnsi="Times New Roman" w:cs="Times New Roman"/>
          <w:spacing w:val="-3"/>
          <w:kern w:val="0"/>
          <w:sz w:val="22"/>
          <w:szCs w:val="22"/>
          <w:lang w:val="lt-LT"/>
          <w14:ligatures w14:val="none"/>
        </w:rPr>
        <w:lastRenderedPageBreak/>
        <w:t>lėmė vaisiaus anomalijų atsiradimą triušiams (žr. 5.3 skyrių). Maxidex nėštumo metu vartoti nerekomenduojama.</w:t>
      </w:r>
    </w:p>
    <w:p w14:paraId="5BF8D81C"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2"/>
          <w:kern w:val="0"/>
          <w:sz w:val="22"/>
          <w:szCs w:val="22"/>
          <w:u w:val="single"/>
          <w:lang w:val="lt-LT"/>
          <w14:ligatures w14:val="none"/>
        </w:rPr>
      </w:pPr>
    </w:p>
    <w:p w14:paraId="74878E0C"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2"/>
          <w:kern w:val="0"/>
          <w:sz w:val="22"/>
          <w:szCs w:val="22"/>
          <w:lang w:val="lt-LT"/>
          <w14:ligatures w14:val="none"/>
        </w:rPr>
      </w:pPr>
      <w:r w:rsidRPr="00CB0E79">
        <w:rPr>
          <w:rFonts w:ascii="Times New Roman" w:eastAsia="MS Mincho" w:hAnsi="Times New Roman" w:cs="Times New Roman"/>
          <w:spacing w:val="-2"/>
          <w:kern w:val="0"/>
          <w:sz w:val="22"/>
          <w:szCs w:val="22"/>
          <w:u w:val="single"/>
          <w:lang w:val="lt-LT"/>
          <w14:ligatures w14:val="none"/>
        </w:rPr>
        <w:t>Žindymas</w:t>
      </w:r>
    </w:p>
    <w:p w14:paraId="0F61676F"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2"/>
          <w:kern w:val="0"/>
          <w:sz w:val="22"/>
          <w:szCs w:val="22"/>
          <w:lang w:val="lt-LT"/>
          <w14:ligatures w14:val="none"/>
        </w:rPr>
      </w:pPr>
      <w:r w:rsidRPr="00CB0E79">
        <w:rPr>
          <w:rFonts w:ascii="Times New Roman" w:eastAsia="MS Mincho" w:hAnsi="Times New Roman" w:cs="Times New Roman"/>
          <w:spacing w:val="-2"/>
          <w:kern w:val="0"/>
          <w:sz w:val="22"/>
          <w:szCs w:val="22"/>
          <w:lang w:val="lt-LT"/>
          <w14:ligatures w14:val="none"/>
        </w:rPr>
        <w:t>Nežinoma, ar ant akių vartojamas Maxidex patenka į motinos pieną. Nėra duomenų apie deksametazono patekimą į motinos pieną. Mažai tikėtina, kad skiriamas deksametazono kiekis galėtų būti aptinkamas motinos piene arba vaistinio preparato pavartojus su motinos pienu galėtų atsirasti klinikinis poveikis kūdikiams.</w:t>
      </w:r>
    </w:p>
    <w:p w14:paraId="26C9D794"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2"/>
          <w:kern w:val="0"/>
          <w:sz w:val="22"/>
          <w:szCs w:val="22"/>
          <w:lang w:val="lt-LT"/>
          <w14:ligatures w14:val="none"/>
        </w:rPr>
      </w:pPr>
    </w:p>
    <w:p w14:paraId="286022D5" w14:textId="77777777" w:rsidR="00CB0E79" w:rsidRPr="00CB0E79" w:rsidRDefault="00CB0E79" w:rsidP="00CB0E79">
      <w:pPr>
        <w:widowControl w:val="0"/>
        <w:suppressLineNumbers/>
        <w:suppressAutoHyphens/>
        <w:spacing w:after="0" w:line="240" w:lineRule="auto"/>
        <w:rPr>
          <w:rFonts w:ascii="Times New Roman" w:eastAsia="MS Mincho" w:hAnsi="Times New Roman" w:cs="Times New Roman"/>
          <w:spacing w:val="-2"/>
          <w:kern w:val="0"/>
          <w:sz w:val="22"/>
          <w:szCs w:val="22"/>
          <w:lang w:val="lt-LT"/>
          <w14:ligatures w14:val="none"/>
        </w:rPr>
      </w:pPr>
      <w:r w:rsidRPr="00CB0E79">
        <w:rPr>
          <w:rFonts w:ascii="Times New Roman" w:eastAsia="MS Mincho" w:hAnsi="Times New Roman" w:cs="Times New Roman"/>
          <w:spacing w:val="-2"/>
          <w:kern w:val="0"/>
          <w:sz w:val="22"/>
          <w:szCs w:val="22"/>
          <w:lang w:val="lt-LT"/>
          <w14:ligatures w14:val="none"/>
        </w:rPr>
        <w:t>Negalima atmesti pavojaus žindomam kūdikiui. Atsižvelgiant į žindymo naudą kūdikiui ir gydymo naudą moteriai, reikia nuspręsti, ar nutraukti žindymą, ar nutraukti ir susilaikyti nuo gydymo.</w:t>
      </w:r>
    </w:p>
    <w:p w14:paraId="0B25059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654653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4.7</w:t>
      </w:r>
      <w:r w:rsidRPr="00CB0E79">
        <w:rPr>
          <w:rFonts w:ascii="Times New Roman" w:eastAsia="Times New Roman" w:hAnsi="Times New Roman" w:cs="Times New Roman"/>
          <w:b/>
          <w:kern w:val="0"/>
          <w:sz w:val="22"/>
          <w:szCs w:val="22"/>
          <w:lang w:val="lt-LT"/>
          <w14:ligatures w14:val="none"/>
        </w:rPr>
        <w:tab/>
        <w:t>Poveikis gebėjimui vairuoti ir valdyti mechanizmus</w:t>
      </w:r>
    </w:p>
    <w:p w14:paraId="0EBCF13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17F725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Maxidex gebėjimo vairuoti ir valdyti mechanizmus neveikia arba veikia nereikšmingai.</w:t>
      </w:r>
    </w:p>
    <w:p w14:paraId="11529B3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91999D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Kaip ir patepus akis bet kokiu tepalu, regėjimas trumpam gali pasidaryti miglotas arba kitaip sutrikti ir tai gali trikdyti gebėjimą vairuoti ir valdyti mechanizmus. Taip atsitikus reikia nevairuoti ir nedirbti su mechanizmais, kol regėjimas pagerės.</w:t>
      </w:r>
    </w:p>
    <w:p w14:paraId="562FEB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7663D73" w14:textId="77777777" w:rsidR="00CB0E79" w:rsidRPr="00CB0E79" w:rsidRDefault="00CB0E79" w:rsidP="00CB0E79">
      <w:pPr>
        <w:numPr>
          <w:ilvl w:val="1"/>
          <w:numId w:val="2"/>
        </w:numPr>
        <w:spacing w:after="0" w:line="240" w:lineRule="auto"/>
        <w:ind w:left="567" w:hanging="567"/>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Nepageidaujamas poveikis</w:t>
      </w:r>
    </w:p>
    <w:p w14:paraId="785025F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5CD4F9F"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Saugumo duomenų santrauka</w:t>
      </w:r>
    </w:p>
    <w:p w14:paraId="207446FA"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Klinikinių tyrimų metu dažniausia nepageidaujama reakcija buvo akių diskomfortas.</w:t>
      </w:r>
    </w:p>
    <w:p w14:paraId="27D3B1D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5AA12D" w14:textId="77777777" w:rsidR="00CB0E79" w:rsidRPr="00CB0E79" w:rsidRDefault="00CB0E79" w:rsidP="00CB0E79">
      <w:pPr>
        <w:spacing w:after="0" w:line="240" w:lineRule="auto"/>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Nepageidaujamų reakcijų santrauka lentelėje</w:t>
      </w:r>
    </w:p>
    <w:p w14:paraId="52E64943" w14:textId="77777777" w:rsidR="00CB0E79" w:rsidRPr="00CB0E79" w:rsidRDefault="00CB0E79" w:rsidP="00CB0E79">
      <w:pPr>
        <w:tabs>
          <w:tab w:val="left" w:pos="0"/>
        </w:tabs>
        <w:spacing w:after="0" w:line="240" w:lineRule="auto"/>
        <w:rPr>
          <w:rFonts w:ascii="Times New Roman" w:eastAsia="Times New Roman" w:hAnsi="Times New Roman" w:cs="Times New Roman"/>
          <w:spacing w:val="-2"/>
          <w:kern w:val="0"/>
          <w:sz w:val="22"/>
          <w:szCs w:val="22"/>
          <w:lang w:val="lt-LT"/>
          <w14:ligatures w14:val="none"/>
        </w:rPr>
      </w:pPr>
      <w:r w:rsidRPr="00CB0E79">
        <w:rPr>
          <w:rFonts w:ascii="Times New Roman" w:eastAsia="Times New Roman" w:hAnsi="Times New Roman" w:cs="Times New Roman"/>
          <w:kern w:val="0"/>
          <w:sz w:val="22"/>
          <w:szCs w:val="22"/>
          <w:lang w:val="lt-LT" w:eastAsia="lt-LT" w:bidi="he-IL"/>
          <w14:ligatures w14:val="none"/>
        </w:rPr>
        <w:t xml:space="preserve">Nepageidaujamo poveikio, apie kurį pranešta klinikinių Maxidex tyrimų metu, dažnis apibūdinamas taip: labai dažnas (≥ 1/10), dažnas (nuo ≥ 1/100 iki &lt; 1/10), nedažnas (nuo ≥ 1/1 000 iki &lt; 1/100), retas (nuo ≥ 1/10 000 iki &lt; 1/1 000), labai retas (&lt; 1/10 000) </w:t>
      </w:r>
      <w:r w:rsidRPr="00CB0E79">
        <w:rPr>
          <w:rFonts w:ascii="Times New Roman" w:eastAsia="Cambria" w:hAnsi="Times New Roman" w:cs="Times New Roman"/>
          <w:kern w:val="0"/>
          <w:sz w:val="22"/>
          <w:szCs w:val="22"/>
          <w:lang w:val="lt-LT"/>
          <w14:ligatures w14:val="none"/>
        </w:rPr>
        <w:t>ir nežinomas (negali būti apskaičiuotas pagal turimus duomenis)</w:t>
      </w:r>
      <w:r w:rsidRPr="00CB0E79">
        <w:rPr>
          <w:rFonts w:ascii="Times New Roman" w:eastAsia="Times New Roman" w:hAnsi="Times New Roman" w:cs="Times New Roman"/>
          <w:kern w:val="0"/>
          <w:sz w:val="22"/>
          <w:szCs w:val="22"/>
          <w:lang w:val="lt-LT" w:eastAsia="lt-LT" w:bidi="he-IL"/>
          <w14:ligatures w14:val="none"/>
        </w:rPr>
        <w:t>.</w:t>
      </w:r>
      <w:r w:rsidRPr="00CB0E79">
        <w:rPr>
          <w:rFonts w:ascii="Times New Roman" w:eastAsia="Times New Roman" w:hAnsi="Times New Roman" w:cs="Times New Roman"/>
          <w:color w:val="000000"/>
          <w:kern w:val="0"/>
          <w:sz w:val="22"/>
          <w:szCs w:val="22"/>
          <w:lang w:val="lt-LT" w:eastAsia="lt-LT" w:bidi="he-IL"/>
          <w14:ligatures w14:val="none"/>
        </w:rPr>
        <w:t xml:space="preserve"> </w:t>
      </w:r>
      <w:r w:rsidRPr="00CB0E79">
        <w:rPr>
          <w:rFonts w:ascii="Times New Roman" w:eastAsia="Times New Roman" w:hAnsi="Times New Roman" w:cs="Times New Roman"/>
          <w:spacing w:val="-3"/>
          <w:kern w:val="0"/>
          <w:sz w:val="22"/>
          <w:szCs w:val="22"/>
          <w:lang w:val="lt-LT"/>
          <w14:ligatures w14:val="none"/>
        </w:rPr>
        <w:t>Kiekvienoje dažnio grupėje nepageidaujami poveikiai pateikti mažėjančia tvarka pagal jų sunkumą</w:t>
      </w:r>
      <w:r w:rsidRPr="00CB0E79">
        <w:rPr>
          <w:rFonts w:ascii="Times New Roman" w:eastAsia="Times New Roman" w:hAnsi="Times New Roman" w:cs="Times New Roman"/>
          <w:spacing w:val="-2"/>
          <w:kern w:val="0"/>
          <w:sz w:val="22"/>
          <w:szCs w:val="22"/>
          <w:lang w:val="lt-LT"/>
          <w14:ligatures w14:val="none"/>
        </w:rPr>
        <w:t>.</w:t>
      </w:r>
    </w:p>
    <w:p w14:paraId="67956A60" w14:textId="77777777" w:rsidR="00CB0E79" w:rsidRPr="00CB0E79" w:rsidRDefault="00CB0E79" w:rsidP="00CB0E79">
      <w:pPr>
        <w:tabs>
          <w:tab w:val="left" w:pos="0"/>
        </w:tabs>
        <w:spacing w:after="0" w:line="240" w:lineRule="auto"/>
        <w:rPr>
          <w:rFonts w:ascii="Times New Roman" w:eastAsia="Times New Roman" w:hAnsi="Times New Roman" w:cs="Times New Roman"/>
          <w:spacing w:val="-2"/>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733"/>
      </w:tblGrid>
      <w:tr w:rsidR="00CB0E79" w:rsidRPr="00CB0E79" w14:paraId="23F33CBF" w14:textId="77777777" w:rsidTr="00C37224">
        <w:trPr>
          <w:trHeight w:val="377"/>
        </w:trPr>
        <w:tc>
          <w:tcPr>
            <w:tcW w:w="0" w:type="auto"/>
          </w:tcPr>
          <w:p w14:paraId="6A1ED95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Organų sistemų klasifikacija</w:t>
            </w:r>
          </w:p>
        </w:tc>
        <w:tc>
          <w:tcPr>
            <w:tcW w:w="0" w:type="auto"/>
          </w:tcPr>
          <w:p w14:paraId="3C83B63E" w14:textId="77777777" w:rsidR="00CB0E79" w:rsidRPr="00CB0E79" w:rsidRDefault="00CB0E79" w:rsidP="00CB0E79">
            <w:pPr>
              <w:spacing w:after="0" w:line="240" w:lineRule="auto"/>
              <w:jc w:val="center"/>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eastAsia="lv-LV"/>
                <w14:ligatures w14:val="none"/>
              </w:rPr>
              <w:t>Nepageidaujamos reakcijos</w:t>
            </w:r>
          </w:p>
        </w:tc>
      </w:tr>
      <w:tr w:rsidR="00CB0E79" w:rsidRPr="00CB0E79" w14:paraId="2D11B036" w14:textId="77777777" w:rsidTr="00C37224">
        <w:trPr>
          <w:trHeight w:val="620"/>
        </w:trPr>
        <w:tc>
          <w:tcPr>
            <w:tcW w:w="0" w:type="auto"/>
          </w:tcPr>
          <w:p w14:paraId="456E2528" w14:textId="77777777" w:rsidR="00CB0E79" w:rsidRPr="00CB0E79" w:rsidRDefault="00CB0E79" w:rsidP="00CB0E7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Nervų sistemos sutrikimai</w:t>
            </w:r>
          </w:p>
        </w:tc>
        <w:tc>
          <w:tcPr>
            <w:tcW w:w="0" w:type="auto"/>
          </w:tcPr>
          <w:p w14:paraId="2D944B18"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 xml:space="preserve">Nedažnas: </w:t>
            </w:r>
            <w:r w:rsidRPr="00CB0E79">
              <w:rPr>
                <w:rFonts w:ascii="Times New Roman" w:eastAsia="Times New Roman" w:hAnsi="Times New Roman" w:cs="Times New Roman"/>
                <w:kern w:val="0"/>
                <w:sz w:val="22"/>
                <w:szCs w:val="22"/>
                <w:lang w:val="lt-LT"/>
                <w14:ligatures w14:val="none"/>
              </w:rPr>
              <w:t>disgeuzija</w:t>
            </w:r>
          </w:p>
        </w:tc>
      </w:tr>
      <w:tr w:rsidR="00CB0E79" w:rsidRPr="00CB0E79" w14:paraId="092DCEF2" w14:textId="77777777" w:rsidTr="00C37224">
        <w:trPr>
          <w:trHeight w:val="620"/>
        </w:trPr>
        <w:tc>
          <w:tcPr>
            <w:tcW w:w="0" w:type="auto"/>
          </w:tcPr>
          <w:p w14:paraId="1AA1CEF4" w14:textId="77777777" w:rsidR="00CB0E79" w:rsidRPr="00CB0E79" w:rsidRDefault="00CB0E79" w:rsidP="00CB0E79">
            <w:pPr>
              <w:tabs>
                <w:tab w:val="left" w:pos="567"/>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Akių sutrikimai</w:t>
            </w:r>
          </w:p>
        </w:tc>
        <w:tc>
          <w:tcPr>
            <w:tcW w:w="0" w:type="auto"/>
          </w:tcPr>
          <w:p w14:paraId="4C8D171E"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 xml:space="preserve">Dažnas: </w:t>
            </w:r>
            <w:r w:rsidRPr="00CB0E79">
              <w:rPr>
                <w:rFonts w:ascii="Times New Roman" w:eastAsia="Times New Roman" w:hAnsi="Times New Roman" w:cs="Times New Roman"/>
                <w:kern w:val="0"/>
                <w:sz w:val="22"/>
                <w:szCs w:val="22"/>
                <w:lang w:val="lt-LT"/>
                <w14:ligatures w14:val="none"/>
              </w:rPr>
              <w:t>akispūdžio padidėjimas, ragenos pažeidimas, akies skausmas, akies diskomfortas</w:t>
            </w:r>
          </w:p>
          <w:p w14:paraId="5BBCC7BE"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p>
          <w:p w14:paraId="7447A8C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Nedažnas:</w:t>
            </w:r>
            <w:r w:rsidRPr="00CB0E79">
              <w:rPr>
                <w:rFonts w:ascii="Times New Roman" w:eastAsia="Times New Roman" w:hAnsi="Times New Roman" w:cs="Times New Roman"/>
                <w:kern w:val="0"/>
                <w:sz w:val="22"/>
                <w:szCs w:val="22"/>
                <w:lang w:val="lt-LT"/>
                <w14:ligatures w14:val="none"/>
              </w:rPr>
              <w:t xml:space="preserve"> keratitas, konjunktyvitas, akies džiūvimas, ragenos gyvų ląstelių dažymasis, fotofobija, neryškus matomas vaizdas, akies niežėjimas, svetimkūnio pojūtis akyje, ašarojimo sustiprėjimas, nenormalus pojūtis akyje, akies voko krašto šašai, akies dirginimas, akies hiperemija</w:t>
            </w:r>
          </w:p>
          <w:p w14:paraId="7C23A61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Retas:</w:t>
            </w:r>
            <w:r w:rsidRPr="00CB0E79">
              <w:rPr>
                <w:rFonts w:ascii="Times New Roman" w:eastAsia="Times New Roman" w:hAnsi="Times New Roman" w:cs="Times New Roman"/>
                <w:kern w:val="0"/>
                <w:sz w:val="22"/>
                <w:szCs w:val="22"/>
                <w:lang w:val="lt-LT"/>
                <w14:ligatures w14:val="none"/>
              </w:rPr>
              <w:t xml:space="preserve"> ragenos perforacija, akies infekcija, subkapsulinė katarakta, glaukoma, akipločio defektas, regėjimo aštrumo sumažėjimas, akies alergija</w:t>
            </w:r>
          </w:p>
          <w:p w14:paraId="7EA70C6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Labai retas:</w:t>
            </w:r>
            <w:r w:rsidRPr="00CB0E79">
              <w:rPr>
                <w:rFonts w:ascii="Times New Roman" w:eastAsia="Times New Roman" w:hAnsi="Times New Roman" w:cs="Times New Roman"/>
                <w:kern w:val="0"/>
                <w:sz w:val="22"/>
                <w:szCs w:val="22"/>
                <w:lang w:val="lt-LT"/>
                <w14:ligatures w14:val="none"/>
              </w:rPr>
              <w:t xml:space="preserve"> akies voko ptozė, midriazė</w:t>
            </w:r>
          </w:p>
          <w:p w14:paraId="6994B698"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lang w:val="lt-LT"/>
                <w14:ligatures w14:val="none"/>
              </w:rPr>
              <w:t>Dažnis nežinomas:</w:t>
            </w:r>
            <w:r w:rsidRPr="00CB0E79">
              <w:rPr>
                <w:rFonts w:ascii="Times New Roman" w:eastAsia="Times New Roman" w:hAnsi="Times New Roman" w:cs="Times New Roman"/>
                <w:kern w:val="0"/>
                <w:sz w:val="22"/>
                <w:lang w:val="lt-LT"/>
                <w14:ligatures w14:val="none"/>
              </w:rPr>
              <w:t xml:space="preserve"> miglotas matymas (taip pat žr. 4.4 skyrių)</w:t>
            </w:r>
          </w:p>
        </w:tc>
      </w:tr>
    </w:tbl>
    <w:p w14:paraId="3D68D8B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A4E5378" w14:textId="77777777" w:rsidR="00CB0E79" w:rsidRPr="00CB0E79" w:rsidRDefault="00CB0E79" w:rsidP="00CB0E79">
      <w:pPr>
        <w:keepNext/>
        <w:keepLines/>
        <w:widowControl w:val="0"/>
        <w:suppressLineNumbers/>
        <w:tabs>
          <w:tab w:val="left" w:pos="0"/>
          <w:tab w:val="left" w:pos="567"/>
        </w:tabs>
        <w:suppressAutoHyphens/>
        <w:spacing w:after="0" w:line="240" w:lineRule="auto"/>
        <w:rPr>
          <w:rFonts w:ascii="Times New Roman" w:eastAsia="Times New Roman" w:hAnsi="Times New Roman" w:cs="Times New Roman"/>
          <w:spacing w:val="-2"/>
          <w:kern w:val="0"/>
          <w:sz w:val="22"/>
          <w:szCs w:val="22"/>
          <w:lang w:val="lt-LT"/>
          <w14:ligatures w14:val="none"/>
        </w:rPr>
      </w:pPr>
      <w:r w:rsidRPr="00CB0E79">
        <w:rPr>
          <w:rFonts w:ascii="Times New Roman" w:eastAsia="Times New Roman" w:hAnsi="Times New Roman" w:cs="Times New Roman"/>
          <w:spacing w:val="-2"/>
          <w:kern w:val="0"/>
          <w:sz w:val="22"/>
          <w:szCs w:val="22"/>
          <w:lang w:val="lt-LT"/>
          <w14:ligatures w14:val="none"/>
        </w:rPr>
        <w:lastRenderedPageBreak/>
        <w:t>Toliau išvardytos nepageidaujamos reakcijos, apie kurias pranešta po vaistinio preparato patekimo į rinką. Jų dažnis negali būti apskaičiuotas pagal turimus duomenis. Kiekvienoje organų sistemų klasėje nepageidaujamos reakcijos pateikiamos sunkumo mažėjimo tvarka.</w:t>
      </w:r>
    </w:p>
    <w:p w14:paraId="29E519E2" w14:textId="77777777" w:rsidR="00CB0E79" w:rsidRPr="00CB0E79" w:rsidRDefault="00CB0E79" w:rsidP="00CB0E79">
      <w:pPr>
        <w:keepNext/>
        <w:keepLines/>
        <w:widowControl w:val="0"/>
        <w:suppressLineNumbers/>
        <w:tabs>
          <w:tab w:val="left" w:pos="0"/>
          <w:tab w:val="left" w:pos="567"/>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CB0E79" w:rsidRPr="00CB0E79" w14:paraId="60810174" w14:textId="77777777" w:rsidTr="00C37224">
        <w:tc>
          <w:tcPr>
            <w:tcW w:w="2500" w:type="pct"/>
            <w:tcBorders>
              <w:top w:val="single" w:sz="4" w:space="0" w:color="auto"/>
              <w:left w:val="single" w:sz="4" w:space="0" w:color="auto"/>
              <w:bottom w:val="single" w:sz="4" w:space="0" w:color="auto"/>
              <w:right w:val="single" w:sz="4" w:space="0" w:color="auto"/>
            </w:tcBorders>
            <w:hideMark/>
          </w:tcPr>
          <w:p w14:paraId="551EAD2C"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Organų sistemų klasifikacija</w:t>
            </w:r>
          </w:p>
        </w:tc>
        <w:tc>
          <w:tcPr>
            <w:tcW w:w="2500" w:type="pct"/>
            <w:tcBorders>
              <w:top w:val="single" w:sz="4" w:space="0" w:color="auto"/>
              <w:left w:val="single" w:sz="4" w:space="0" w:color="auto"/>
              <w:bottom w:val="single" w:sz="4" w:space="0" w:color="auto"/>
              <w:right w:val="single" w:sz="4" w:space="0" w:color="auto"/>
            </w:tcBorders>
            <w:hideMark/>
          </w:tcPr>
          <w:p w14:paraId="14E6420F"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bCs/>
                <w:kern w:val="0"/>
                <w:sz w:val="22"/>
                <w:szCs w:val="22"/>
                <w:lang w:val="lt-LT" w:eastAsia="lv-LV"/>
                <w14:ligatures w14:val="none"/>
              </w:rPr>
              <w:t>Nepageidaujamos reakcijos</w:t>
            </w:r>
          </w:p>
        </w:tc>
      </w:tr>
      <w:tr w:rsidR="00CB0E79" w:rsidRPr="00CB0E79" w14:paraId="5CCFDBC9" w14:textId="77777777" w:rsidTr="00C37224">
        <w:tc>
          <w:tcPr>
            <w:tcW w:w="2500" w:type="pct"/>
            <w:tcBorders>
              <w:top w:val="single" w:sz="4" w:space="0" w:color="auto"/>
              <w:left w:val="single" w:sz="4" w:space="0" w:color="auto"/>
              <w:bottom w:val="single" w:sz="4" w:space="0" w:color="auto"/>
              <w:right w:val="single" w:sz="4" w:space="0" w:color="auto"/>
            </w:tcBorders>
            <w:hideMark/>
          </w:tcPr>
          <w:p w14:paraId="5021AE55"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Imuninės sistemos sutrikimai</w:t>
            </w:r>
          </w:p>
        </w:tc>
        <w:tc>
          <w:tcPr>
            <w:tcW w:w="2500" w:type="pct"/>
            <w:tcBorders>
              <w:top w:val="single" w:sz="4" w:space="0" w:color="auto"/>
              <w:left w:val="single" w:sz="4" w:space="0" w:color="auto"/>
              <w:bottom w:val="single" w:sz="4" w:space="0" w:color="auto"/>
              <w:right w:val="single" w:sz="4" w:space="0" w:color="auto"/>
            </w:tcBorders>
            <w:hideMark/>
          </w:tcPr>
          <w:p w14:paraId="3729E200"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Dažnis nežinomas: padidėjęs jautrumas</w:t>
            </w:r>
          </w:p>
        </w:tc>
      </w:tr>
      <w:tr w:rsidR="00CB0E79" w:rsidRPr="00CB0E79" w14:paraId="084165B7" w14:textId="77777777" w:rsidTr="00C37224">
        <w:tc>
          <w:tcPr>
            <w:tcW w:w="2500" w:type="pct"/>
            <w:tcBorders>
              <w:top w:val="single" w:sz="4" w:space="0" w:color="auto"/>
              <w:left w:val="single" w:sz="4" w:space="0" w:color="auto"/>
              <w:bottom w:val="single" w:sz="4" w:space="0" w:color="auto"/>
              <w:right w:val="single" w:sz="4" w:space="0" w:color="auto"/>
            </w:tcBorders>
          </w:tcPr>
          <w:p w14:paraId="2D2F9A4B"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Endokrininiai sutrikimai</w:t>
            </w:r>
          </w:p>
        </w:tc>
        <w:tc>
          <w:tcPr>
            <w:tcW w:w="2500" w:type="pct"/>
            <w:tcBorders>
              <w:top w:val="single" w:sz="4" w:space="0" w:color="auto"/>
              <w:left w:val="single" w:sz="4" w:space="0" w:color="auto"/>
              <w:bottom w:val="single" w:sz="4" w:space="0" w:color="auto"/>
              <w:right w:val="single" w:sz="4" w:space="0" w:color="auto"/>
            </w:tcBorders>
          </w:tcPr>
          <w:p w14:paraId="163EF4C8"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Dažnis nežinomas: Kušingo sindromas, antinksčių slopinimas (žr. 4.4 skyrių), antinksčių nepakankamumas</w:t>
            </w:r>
          </w:p>
        </w:tc>
      </w:tr>
      <w:tr w:rsidR="00CB0E79" w:rsidRPr="00CB0E79" w14:paraId="5FEE96A9" w14:textId="77777777" w:rsidTr="00C37224">
        <w:tc>
          <w:tcPr>
            <w:tcW w:w="2500" w:type="pct"/>
            <w:tcBorders>
              <w:top w:val="single" w:sz="4" w:space="0" w:color="auto"/>
              <w:left w:val="single" w:sz="4" w:space="0" w:color="auto"/>
              <w:bottom w:val="single" w:sz="4" w:space="0" w:color="auto"/>
              <w:right w:val="single" w:sz="4" w:space="0" w:color="auto"/>
            </w:tcBorders>
            <w:hideMark/>
          </w:tcPr>
          <w:p w14:paraId="4FE7D4C7"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Nervų sistemos sutrikimai</w:t>
            </w:r>
          </w:p>
        </w:tc>
        <w:tc>
          <w:tcPr>
            <w:tcW w:w="2500" w:type="pct"/>
            <w:tcBorders>
              <w:top w:val="single" w:sz="4" w:space="0" w:color="auto"/>
              <w:left w:val="single" w:sz="4" w:space="0" w:color="auto"/>
              <w:bottom w:val="single" w:sz="4" w:space="0" w:color="auto"/>
              <w:right w:val="single" w:sz="4" w:space="0" w:color="auto"/>
            </w:tcBorders>
            <w:hideMark/>
          </w:tcPr>
          <w:p w14:paraId="0BDAB215"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Dažnis nežinomas: svaigulys, galvos skausmas</w:t>
            </w:r>
          </w:p>
        </w:tc>
      </w:tr>
      <w:tr w:rsidR="00CB0E79" w:rsidRPr="00CB0E79" w14:paraId="3C51A80D" w14:textId="77777777" w:rsidTr="00C37224">
        <w:tc>
          <w:tcPr>
            <w:tcW w:w="2500" w:type="pct"/>
            <w:tcBorders>
              <w:top w:val="single" w:sz="4" w:space="0" w:color="auto"/>
              <w:left w:val="single" w:sz="4" w:space="0" w:color="auto"/>
              <w:bottom w:val="single" w:sz="4" w:space="0" w:color="auto"/>
              <w:right w:val="single" w:sz="4" w:space="0" w:color="auto"/>
            </w:tcBorders>
            <w:hideMark/>
          </w:tcPr>
          <w:p w14:paraId="5F16B2BA" w14:textId="77777777" w:rsidR="00CB0E79" w:rsidRPr="00CB0E79" w:rsidRDefault="00CB0E79" w:rsidP="00CB0E79">
            <w:pPr>
              <w:widowControl w:val="0"/>
              <w:suppressLineNumbers/>
              <w:tabs>
                <w:tab w:val="left" w:pos="567"/>
                <w:tab w:val="left" w:pos="1418"/>
              </w:tabs>
              <w:suppressAutoHyphens/>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Akių sutrikimai</w:t>
            </w:r>
          </w:p>
        </w:tc>
        <w:tc>
          <w:tcPr>
            <w:tcW w:w="2500" w:type="pct"/>
            <w:tcBorders>
              <w:top w:val="single" w:sz="4" w:space="0" w:color="auto"/>
              <w:left w:val="single" w:sz="4" w:space="0" w:color="auto"/>
              <w:bottom w:val="single" w:sz="4" w:space="0" w:color="auto"/>
              <w:right w:val="single" w:sz="4" w:space="0" w:color="auto"/>
            </w:tcBorders>
            <w:hideMark/>
          </w:tcPr>
          <w:p w14:paraId="04D3618A" w14:textId="77777777" w:rsidR="00CB0E79" w:rsidRPr="00CB0E79" w:rsidRDefault="00CB0E79" w:rsidP="00CB0E79">
            <w:pPr>
              <w:tabs>
                <w:tab w:val="left" w:pos="567"/>
                <w:tab w:val="left" w:pos="720"/>
              </w:tabs>
              <w:autoSpaceDE w:val="0"/>
              <w:autoSpaceDN w:val="0"/>
              <w:adjustRightInd w:val="0"/>
              <w:spacing w:after="0" w:line="240" w:lineRule="auto"/>
              <w:rPr>
                <w:rFonts w:ascii="Times New Roman" w:eastAsia="Times New Roman" w:hAnsi="Times New Roman" w:cs="Times New Roman"/>
                <w:spacing w:val="-2"/>
                <w:kern w:val="0"/>
                <w:sz w:val="22"/>
                <w:szCs w:val="22"/>
                <w:u w:val="single"/>
                <w:lang w:val="lt-LT"/>
                <w14:ligatures w14:val="none"/>
              </w:rPr>
            </w:pPr>
            <w:r w:rsidRPr="00CB0E79">
              <w:rPr>
                <w:rFonts w:ascii="Times New Roman" w:eastAsia="Times New Roman" w:hAnsi="Times New Roman" w:cs="Times New Roman"/>
                <w:kern w:val="0"/>
                <w:sz w:val="22"/>
                <w:szCs w:val="22"/>
                <w:lang w:val="lt-LT"/>
                <w14:ligatures w14:val="none"/>
              </w:rPr>
              <w:t>Dažnis nežinomas: glaukoma, opinis keratitas, akispūdžio padidėjimas, regos aštrumo sumažėjimas, ragenos erozija, akies voko nusileidimas, akies skausmas, midriazė.</w:t>
            </w:r>
          </w:p>
        </w:tc>
      </w:tr>
    </w:tbl>
    <w:p w14:paraId="23A8C80D" w14:textId="77777777" w:rsidR="00CB0E79" w:rsidRPr="00CB0E79" w:rsidRDefault="00CB0E79" w:rsidP="00CB0E79">
      <w:pPr>
        <w:tabs>
          <w:tab w:val="left" w:pos="0"/>
          <w:tab w:val="left" w:pos="567"/>
        </w:tabs>
        <w:spacing w:after="0" w:line="240" w:lineRule="auto"/>
        <w:rPr>
          <w:rFonts w:ascii="Times New Roman" w:eastAsia="Times New Roman" w:hAnsi="Times New Roman" w:cs="Times New Roman"/>
          <w:spacing w:val="-2"/>
          <w:kern w:val="0"/>
          <w:sz w:val="22"/>
          <w:szCs w:val="22"/>
          <w:lang w:val="lt-LT"/>
          <w14:ligatures w14:val="none"/>
        </w:rPr>
      </w:pPr>
    </w:p>
    <w:p w14:paraId="1D0F5F96"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Atrinktų nepageidaujamų reakcijų apibūdinimas</w:t>
      </w:r>
    </w:p>
    <w:p w14:paraId="71D2AE31"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Ilgai lokaliai ant akių vartojant kortikosteroidus gali padidėti akispūdis, dėl to gali būti pažeistas regos nervas, sumažėti regos aštrumas ir susiaurėti akiplotis, gali formuotis užpakalinė subkapsulinė katarakta (žr. 4.4 skyrių).</w:t>
      </w:r>
    </w:p>
    <w:p w14:paraId="3A71908D" w14:textId="77777777" w:rsidR="00CB0E79" w:rsidRPr="00CB0E79" w:rsidRDefault="00CB0E79" w:rsidP="00CB0E79">
      <w:pPr>
        <w:tabs>
          <w:tab w:val="left" w:pos="0"/>
          <w:tab w:val="left" w:pos="567"/>
        </w:tabs>
        <w:spacing w:after="0" w:line="240" w:lineRule="auto"/>
        <w:rPr>
          <w:rFonts w:ascii="Times New Roman" w:eastAsia="Times New Roman" w:hAnsi="Times New Roman" w:cs="Times New Roman"/>
          <w:kern w:val="0"/>
          <w:sz w:val="22"/>
          <w:szCs w:val="22"/>
          <w:lang w:val="lt-LT"/>
          <w14:ligatures w14:val="none"/>
        </w:rPr>
      </w:pPr>
    </w:p>
    <w:p w14:paraId="31C349B7"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Veiklioji medžiaga yra kortikosteroidas, todėl sergant ligomis, sukeliančiomis ragenos ar odenos suplonėjimą, yra didesnė prakiurimo tikimybė, ypač jei gydoma ilgai (žr. 4.4 skyrių).</w:t>
      </w:r>
    </w:p>
    <w:p w14:paraId="2BEFB8D0"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p>
    <w:p w14:paraId="2691DA68"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Kortikosteroidai gali mažinti atsparumą infekcijai ir paskatinti jos pasireiškimą (žr. 4.4 skyrių).</w:t>
      </w:r>
    </w:p>
    <w:p w14:paraId="44748F43" w14:textId="77777777" w:rsidR="00CB0E79" w:rsidRPr="00CB0E79" w:rsidRDefault="00CB0E79" w:rsidP="00CB0E79">
      <w:pPr>
        <w:tabs>
          <w:tab w:val="left" w:pos="0"/>
        </w:tabs>
        <w:spacing w:after="0" w:line="240" w:lineRule="auto"/>
        <w:rPr>
          <w:rFonts w:ascii="Times New Roman" w:eastAsia="Times New Roman" w:hAnsi="Times New Roman" w:cs="Times New Roman"/>
          <w:spacing w:val="-2"/>
          <w:kern w:val="0"/>
          <w:sz w:val="22"/>
          <w:szCs w:val="22"/>
          <w:lang w:val="lt-LT"/>
          <w14:ligatures w14:val="none"/>
        </w:rPr>
      </w:pPr>
    </w:p>
    <w:p w14:paraId="46A8E21E" w14:textId="77777777" w:rsidR="00CB0E79" w:rsidRPr="00CB0E79" w:rsidRDefault="00CB0E79" w:rsidP="00CB0E79">
      <w:pPr>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u w:val="single"/>
          <w:lang w:val="lt-LT"/>
          <w14:ligatures w14:val="none"/>
        </w:rPr>
      </w:pPr>
      <w:r w:rsidRPr="00CB0E79">
        <w:rPr>
          <w:rFonts w:ascii="Times New Roman" w:eastAsia="Times New Roman" w:hAnsi="Times New Roman" w:cs="Times New Roman"/>
          <w:noProof/>
          <w:snapToGrid w:val="0"/>
          <w:kern w:val="0"/>
          <w:sz w:val="22"/>
          <w:szCs w:val="22"/>
          <w:u w:val="single"/>
          <w:lang w:val="lt-LT"/>
          <w14:ligatures w14:val="none"/>
        </w:rPr>
        <w:t>Pranešimas apie įtariamas nepageidaujamas reakcijas</w:t>
      </w:r>
    </w:p>
    <w:p w14:paraId="57F77E80" w14:textId="77777777" w:rsidR="00CB0E79" w:rsidRPr="00CB0E79" w:rsidRDefault="00CB0E79" w:rsidP="00CB0E79">
      <w:pPr>
        <w:tabs>
          <w:tab w:val="left" w:pos="567"/>
        </w:tabs>
        <w:autoSpaceDE w:val="0"/>
        <w:autoSpaceDN w:val="0"/>
        <w:adjustRightInd w:val="0"/>
        <w:spacing w:after="0" w:line="260" w:lineRule="exact"/>
        <w:rPr>
          <w:rFonts w:ascii="Times New Roman" w:eastAsia="Calibri" w:hAnsi="Times New Roman" w:cs="Times New Roman"/>
          <w:noProof/>
          <w:kern w:val="0"/>
          <w:sz w:val="22"/>
          <w:szCs w:val="22"/>
          <w:lang w:val="lt-LT"/>
          <w14:ligatures w14:val="none"/>
        </w:rPr>
      </w:pPr>
      <w:r w:rsidRPr="00CB0E79">
        <w:rPr>
          <w:rFonts w:ascii="Times New Roman" w:eastAsia="Times New Roman" w:hAnsi="Times New Roman" w:cs="Times New Roman"/>
          <w:noProof/>
          <w:snapToGrid w:val="0"/>
          <w:kern w:val="0"/>
          <w:sz w:val="22"/>
          <w:szCs w:val="24"/>
          <w:lang w:val="lt-LT"/>
          <w14:ligatures w14:val="none"/>
        </w:rPr>
        <w:t>Svarbu pranešti apie įtariamas nepageidaujamas reakcijas, pastebėtas po vaistinio preparato registracijos, nes tai leidžia nuolat stebėti vaistinio preparato naudos ir rizikos santykį.</w:t>
      </w:r>
      <w:r w:rsidRPr="00CB0E79">
        <w:rPr>
          <w:rFonts w:ascii="Times New Roman" w:eastAsia="Times New Roman" w:hAnsi="Times New Roman" w:cs="Times New Roman"/>
          <w:snapToGrid w:val="0"/>
          <w:kern w:val="0"/>
          <w:sz w:val="22"/>
          <w:szCs w:val="24"/>
          <w:lang w:val="lt-LT"/>
          <w14:ligatures w14:val="none"/>
        </w:rPr>
        <w:t xml:space="preserve"> </w:t>
      </w:r>
      <w:r w:rsidRPr="00CB0E79">
        <w:rPr>
          <w:rFonts w:ascii="Times New Roman" w:eastAsia="Times New Roman" w:hAnsi="Times New Roman" w:cs="Times New Roman"/>
          <w:noProof/>
          <w:snapToGrid w:val="0"/>
          <w:kern w:val="0"/>
          <w:sz w:val="22"/>
          <w:szCs w:val="24"/>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CB0E79">
          <w:rPr>
            <w:rFonts w:ascii="Times New Roman" w:eastAsia="Calibri" w:hAnsi="Times New Roman" w:cs="Times New Roman"/>
            <w:noProof/>
            <w:color w:val="0000FF"/>
            <w:kern w:val="0"/>
            <w:sz w:val="22"/>
            <w:szCs w:val="22"/>
            <w:u w:val="single"/>
            <w:lang w:val="lt-LT"/>
            <w14:ligatures w14:val="none"/>
          </w:rPr>
          <w:t>https://vvkt.lrv.lt/lt/</w:t>
        </w:r>
      </w:hyperlink>
      <w:r w:rsidRPr="00CB0E79">
        <w:rPr>
          <w:rFonts w:ascii="Times New Roman" w:eastAsia="Calibri" w:hAnsi="Times New Roman" w:cs="Times New Roman"/>
          <w:noProof/>
          <w:kern w:val="0"/>
          <w:sz w:val="22"/>
          <w:szCs w:val="22"/>
          <w:lang w:val="lt-LT"/>
          <w14:ligatures w14:val="none"/>
        </w:rPr>
        <w:t xml:space="preserve"> nurodytais būdais.</w:t>
      </w:r>
    </w:p>
    <w:p w14:paraId="4CBCDA0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4051D1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4.9</w:t>
      </w:r>
      <w:r w:rsidRPr="00CB0E79">
        <w:rPr>
          <w:rFonts w:ascii="Times New Roman" w:eastAsia="Times New Roman" w:hAnsi="Times New Roman" w:cs="Times New Roman"/>
          <w:b/>
          <w:kern w:val="0"/>
          <w:sz w:val="22"/>
          <w:szCs w:val="22"/>
          <w:lang w:val="lt-LT"/>
          <w14:ligatures w14:val="none"/>
        </w:rPr>
        <w:tab/>
        <w:t>Perdozavimas</w:t>
      </w:r>
    </w:p>
    <w:p w14:paraId="533A51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471AE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Pranešimų apie perdozavimą negauta.</w:t>
      </w:r>
    </w:p>
    <w:p w14:paraId="65E1024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Cambria" w:eastAsia="Cambria" w:hAnsi="Cambria" w:cs="Times New Roman"/>
          <w:kern w:val="0"/>
          <w:sz w:val="22"/>
          <w:szCs w:val="22"/>
          <w:lang w:val="lt-LT"/>
          <w14:ligatures w14:val="none"/>
        </w:rPr>
        <w:t xml:space="preserve"> </w:t>
      </w:r>
    </w:p>
    <w:p w14:paraId="0421A50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 vaistinio preparato ant akių pasitepama per daug, galima nuplauti iš akies (akių) drungnu vandeniu arba dirbtinėmis ašaromis.</w:t>
      </w:r>
    </w:p>
    <w:p w14:paraId="19C4D6B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Atsižvelgiant į vaistinio preparato savybes, papildomas toksinis poveikis po ūminio perdozavimo vartojimo ant akių atveju ar netyčia nurijus vieno buteliuko turinį nėra tikėtinas.</w:t>
      </w:r>
    </w:p>
    <w:p w14:paraId="2F6DBD7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00949CE" w14:textId="77777777" w:rsidR="00CB0E79" w:rsidRPr="00CB0E79" w:rsidRDefault="00CB0E79" w:rsidP="00CB0E79">
      <w:pPr>
        <w:keepNext/>
        <w:keepLines/>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5.</w:t>
      </w:r>
      <w:r w:rsidRPr="00CB0E79">
        <w:rPr>
          <w:rFonts w:ascii="Times New Roman" w:eastAsia="Times New Roman" w:hAnsi="Times New Roman" w:cs="Times New Roman"/>
          <w:b/>
          <w:kern w:val="0"/>
          <w:sz w:val="22"/>
          <w:szCs w:val="22"/>
          <w:lang w:val="lt-LT"/>
          <w14:ligatures w14:val="none"/>
        </w:rPr>
        <w:tab/>
        <w:t>FARMAKOLOGINĖS SAVYBĖS</w:t>
      </w:r>
    </w:p>
    <w:p w14:paraId="1F612EB1" w14:textId="77777777" w:rsidR="00CB0E79" w:rsidRPr="00CB0E79" w:rsidRDefault="00CB0E79" w:rsidP="00CB0E79">
      <w:pPr>
        <w:keepNext/>
        <w:keepLines/>
        <w:spacing w:after="0" w:line="240" w:lineRule="auto"/>
        <w:rPr>
          <w:rFonts w:ascii="Times New Roman" w:eastAsia="Times New Roman" w:hAnsi="Times New Roman" w:cs="Times New Roman"/>
          <w:b/>
          <w:kern w:val="0"/>
          <w:sz w:val="22"/>
          <w:szCs w:val="22"/>
          <w:lang w:val="lt-LT"/>
          <w14:ligatures w14:val="none"/>
        </w:rPr>
      </w:pPr>
    </w:p>
    <w:p w14:paraId="6E490162" w14:textId="77777777" w:rsidR="00CB0E79" w:rsidRPr="00CB0E79" w:rsidRDefault="00CB0E79" w:rsidP="00CB0E79">
      <w:pPr>
        <w:keepNext/>
        <w:keepLines/>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5.1</w:t>
      </w:r>
      <w:r w:rsidRPr="00CB0E79">
        <w:rPr>
          <w:rFonts w:ascii="Times New Roman" w:eastAsia="Times New Roman" w:hAnsi="Times New Roman" w:cs="Times New Roman"/>
          <w:b/>
          <w:kern w:val="0"/>
          <w:sz w:val="22"/>
          <w:szCs w:val="22"/>
          <w:lang w:val="lt-LT"/>
          <w14:ligatures w14:val="none"/>
        </w:rPr>
        <w:tab/>
        <w:t>Farmakodinaminės savybės</w:t>
      </w:r>
    </w:p>
    <w:p w14:paraId="01C6F894"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493AEF8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Farmakoterapinė grupė – vaistiniai preparatai akių ligoms gydyti; uždegimą slopinantys vaistiniai preparatai; kortikosteroidai, ATC kodas – S01BA01.</w:t>
      </w:r>
    </w:p>
    <w:p w14:paraId="7502E20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AA555C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Kortikosteroidų veiksmingumas gydant akių uždegimą gerai žinomas. Kortikosteroidai mažina uždegimą, slopindami kraujagyslių endotelio ląstelių adhezijos molekules, I ir II ciklooksigenazes ir citokinų ekspresiją. Dėl to mažėja uždegimą palaikančių mediatorių gamyba, slopinamas cirkuliuojančių leukocitų jungimasis prie kraujagyslių endotelio, kartu skverbimasis į akių audinių uždegimo židinius. </w:t>
      </w:r>
      <w:r w:rsidRPr="00CB0E79">
        <w:rPr>
          <w:rFonts w:ascii="Times New Roman" w:eastAsia="Times New Roman" w:hAnsi="Times New Roman" w:cs="Times New Roman"/>
          <w:kern w:val="0"/>
          <w:sz w:val="22"/>
          <w:szCs w:val="22"/>
          <w:lang w:val="lt-LT"/>
          <w14:ligatures w14:val="none"/>
        </w:rPr>
        <w:lastRenderedPageBreak/>
        <w:t xml:space="preserve">Deksametazonas – vienas stipriausių uždegimą slopinančių vaistinių preparatų, o jo mineralkortikoidinis poveikis silpnesnis, palyginti su kai kuriais kitais kortikosteroidais. </w:t>
      </w:r>
    </w:p>
    <w:p w14:paraId="03D847E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B4B1A8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5.2</w:t>
      </w:r>
      <w:r w:rsidRPr="00CB0E79">
        <w:rPr>
          <w:rFonts w:ascii="Times New Roman" w:eastAsia="Times New Roman" w:hAnsi="Times New Roman" w:cs="Times New Roman"/>
          <w:b/>
          <w:kern w:val="0"/>
          <w:sz w:val="22"/>
          <w:szCs w:val="22"/>
          <w:lang w:val="lt-LT"/>
          <w14:ligatures w14:val="none"/>
        </w:rPr>
        <w:tab/>
        <w:t>Farmakokinetinės savybės</w:t>
      </w:r>
    </w:p>
    <w:p w14:paraId="2B45439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B3F11E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Maxidex akių tepalo klinikinė farmakokinetika netirta, tačiau tiriant pacientus, operuojamus dėl kataraktos, paaiškėjo, kiek deksametazono patenka į akies audinius, lašinant Maxidex akių lašus. Didžiausia koncentracija vandeniniame skystyje (vidutiniškai apie 30 ng/ml) susidaro per 2 valandas, o pusinės eliminacijos periodas yra 3 valandos.</w:t>
      </w:r>
    </w:p>
    <w:p w14:paraId="5D9EDC8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27E17E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Deksametazonas pasišalina iš organizmo metabolizmo būdu. Apie 60 % jo dozės pasišalina su šlapimu 6</w:t>
      </w:r>
      <w:r w:rsidRPr="00CB0E79">
        <w:rPr>
          <w:rFonts w:ascii="Times New Roman" w:eastAsia="Times New Roman" w:hAnsi="Times New Roman" w:cs="Times New Roman"/>
          <w:kern w:val="0"/>
          <w:sz w:val="22"/>
          <w:szCs w:val="22"/>
          <w:lang w:val="lt-LT"/>
          <w14:ligatures w14:val="none"/>
        </w:rPr>
        <w:noBreakHyphen/>
      </w:r>
      <w:r w:rsidRPr="00CB0E79">
        <w:rPr>
          <w:rFonts w:ascii="Times New Roman" w:eastAsia="Times New Roman" w:hAnsi="Times New Roman" w:cs="Times New Roman"/>
          <w:kern w:val="0"/>
          <w:sz w:val="22"/>
          <w:szCs w:val="22"/>
          <w:lang w:val="lt-LT"/>
          <w14:ligatures w14:val="none"/>
        </w:rPr>
        <w:sym w:font="Symbol" w:char="F062"/>
      </w:r>
      <w:r w:rsidRPr="00CB0E79">
        <w:rPr>
          <w:rFonts w:ascii="Times New Roman" w:eastAsia="Times New Roman" w:hAnsi="Times New Roman" w:cs="Times New Roman"/>
          <w:kern w:val="0"/>
          <w:sz w:val="22"/>
          <w:szCs w:val="22"/>
          <w:lang w:val="lt-LT"/>
          <w14:ligatures w14:val="none"/>
        </w:rPr>
        <w:noBreakHyphen/>
        <w:t>hidroksideksametazono pavidalu. Nepakitusio deksametazono šlapime nebūna. Pusinės eliminacijos iš plazmos periodas palyginti trumpas – 3–4 valandos. Apie 77–84 % deksametazono susijungia su serumo albuminu. Jo klirensas – nuo 0,111 iki 0,225 l/val./kg, o pasiskirstymo tūris – nuo 0,576 iki 1,15 l/kg. Išgerto deksametazono biologinis pasisavinimas – apie 70 %.</w:t>
      </w:r>
    </w:p>
    <w:p w14:paraId="2A68E1D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4AD1A4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5.3</w:t>
      </w:r>
      <w:r w:rsidRPr="00CB0E79">
        <w:rPr>
          <w:rFonts w:ascii="Times New Roman" w:eastAsia="Times New Roman" w:hAnsi="Times New Roman" w:cs="Times New Roman"/>
          <w:b/>
          <w:kern w:val="0"/>
          <w:sz w:val="22"/>
          <w:szCs w:val="22"/>
          <w:lang w:val="lt-LT"/>
          <w14:ligatures w14:val="none"/>
        </w:rPr>
        <w:tab/>
        <w:t>Ikiklinikinių saugumo tyrimų duomenys</w:t>
      </w:r>
    </w:p>
    <w:p w14:paraId="4FD4C99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147670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Ikiklinikinių tyrimų metu poveikis buvo pastebėtas tik tada, kai ekspozicija gyvūnų organizme buvo daug didesnė už maksimalią žmogaus organizme, todėl jo klinikinė reikšmė yra maža.</w:t>
      </w:r>
    </w:p>
    <w:p w14:paraId="1B47321C" w14:textId="77777777" w:rsidR="00CB0E79" w:rsidRPr="00CB0E79" w:rsidRDefault="00CB0E79" w:rsidP="00CB0E79">
      <w:pPr>
        <w:keepNext/>
        <w:spacing w:after="0" w:line="240" w:lineRule="auto"/>
        <w:outlineLvl w:val="5"/>
        <w:rPr>
          <w:rFonts w:ascii="Times New Roman" w:eastAsia="Times New Roman" w:hAnsi="Times New Roman" w:cs="Times New Roman"/>
          <w:b/>
          <w:bCs/>
          <w:kern w:val="0"/>
          <w:sz w:val="22"/>
          <w:szCs w:val="22"/>
          <w:lang w:val="lt-LT"/>
          <w14:ligatures w14:val="none"/>
        </w:rPr>
      </w:pPr>
    </w:p>
    <w:p w14:paraId="155A1E1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Veikliosios medžiagos bendrasis toksiškumas gerai žinomas. Sisteminis deksametazono poveikis gali būti susijęs su gliukokortikosteroidų pusiausvyros sutrikimu. Tiriant kartotinių Maxidex akių tepalo dozių toksiškumą triušiams pasireiškė bendrasis kortikosteroidų poveikis, tačiau vartojamos dozės buvo daug didesnės negu rekomenduojamos žmonėms gydyti, todėl šie duomenys kliniškai nelabai svarbūs. Manoma, kad tokio poveikio neturėtų būti vartojant rekomenduojamąsias dozes.</w:t>
      </w:r>
    </w:p>
    <w:p w14:paraId="3D41EC0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508391C" w14:textId="77777777" w:rsidR="00CB0E79" w:rsidRPr="00CB0E79" w:rsidRDefault="00CB0E79" w:rsidP="00CB0E79">
      <w:pPr>
        <w:keepNext/>
        <w:spacing w:after="0" w:line="240" w:lineRule="auto"/>
        <w:outlineLvl w:val="4"/>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Mutageniškumas</w:t>
      </w:r>
    </w:p>
    <w:p w14:paraId="4783B0F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Atliekant veikliosios medžiagos tyrimus</w:t>
      </w:r>
      <w:r w:rsidRPr="00CB0E79">
        <w:rPr>
          <w:rFonts w:ascii="Times New Roman" w:eastAsia="Times New Roman" w:hAnsi="Times New Roman" w:cs="Times New Roman"/>
          <w:i/>
          <w:kern w:val="0"/>
          <w:sz w:val="22"/>
          <w:szCs w:val="22"/>
          <w:lang w:val="lt-LT"/>
          <w14:ligatures w14:val="none"/>
        </w:rPr>
        <w:t xml:space="preserve"> in vitro </w:t>
      </w:r>
      <w:r w:rsidRPr="00CB0E79">
        <w:rPr>
          <w:rFonts w:ascii="Times New Roman" w:eastAsia="Times New Roman" w:hAnsi="Times New Roman" w:cs="Times New Roman"/>
          <w:kern w:val="0"/>
          <w:sz w:val="22"/>
          <w:szCs w:val="22"/>
          <w:lang w:val="lt-LT"/>
          <w14:ligatures w14:val="none"/>
        </w:rPr>
        <w:t>ir</w:t>
      </w:r>
      <w:r w:rsidRPr="00CB0E79">
        <w:rPr>
          <w:rFonts w:ascii="Times New Roman" w:eastAsia="Times New Roman" w:hAnsi="Times New Roman" w:cs="Times New Roman"/>
          <w:i/>
          <w:kern w:val="0"/>
          <w:sz w:val="22"/>
          <w:szCs w:val="22"/>
          <w:lang w:val="lt-LT"/>
          <w14:ligatures w14:val="none"/>
        </w:rPr>
        <w:t xml:space="preserve"> in vivo</w:t>
      </w:r>
      <w:r w:rsidRPr="00CB0E79">
        <w:rPr>
          <w:rFonts w:ascii="Times New Roman" w:eastAsia="Times New Roman" w:hAnsi="Times New Roman" w:cs="Times New Roman"/>
          <w:kern w:val="0"/>
          <w:sz w:val="22"/>
          <w:szCs w:val="22"/>
          <w:lang w:val="lt-LT"/>
          <w14:ligatures w14:val="none"/>
        </w:rPr>
        <w:t>, mutageninio poveikio nepastebėta.</w:t>
      </w:r>
    </w:p>
    <w:p w14:paraId="22293D7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326CAA1" w14:textId="77777777" w:rsidR="00CB0E79" w:rsidRPr="00CB0E79" w:rsidRDefault="00CB0E79" w:rsidP="00CB0E79">
      <w:pPr>
        <w:keepNext/>
        <w:spacing w:after="0" w:line="240" w:lineRule="auto"/>
        <w:outlineLvl w:val="4"/>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Teratogeniškumas</w:t>
      </w:r>
    </w:p>
    <w:p w14:paraId="22384D4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Eksperimentuojant su gyvūnais paaiškėjo, kad kortikosteroidai veikia teratogeniškai. Lašinant 0,1 % deksametazono vaikingoms triušių patelėms į akis, lėtėja vaisių raida ir daugėja apsigimimų. Ilgai duodant žiurkėms deksametazono, taip pat lėtėja vaisių raida ir daugiau jų žūva. </w:t>
      </w:r>
    </w:p>
    <w:p w14:paraId="64F90E2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1A1EACE"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Įprastų kartotinių dozių toksiškumo, genotoksiškumo, galimo kancerogeniškumo, toksinio poveikio reprodukcijai ir vystymuisi ikiklinikinių tyrimų duomenys specifinio pavojaus žmogui, kai vartojamos rekomenduojamos klinikinės dozės, nerodo.</w:t>
      </w:r>
    </w:p>
    <w:p w14:paraId="7BB9B07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DB4621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C2496BA" w14:textId="77777777" w:rsidR="00CB0E79" w:rsidRPr="00CB0E79" w:rsidRDefault="00CB0E79" w:rsidP="00CB0E79">
      <w:pPr>
        <w:keepNext/>
        <w:keepLines/>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w:t>
      </w:r>
      <w:r w:rsidRPr="00CB0E79">
        <w:rPr>
          <w:rFonts w:ascii="Times New Roman" w:eastAsia="Times New Roman" w:hAnsi="Times New Roman" w:cs="Times New Roman"/>
          <w:b/>
          <w:kern w:val="0"/>
          <w:sz w:val="22"/>
          <w:szCs w:val="22"/>
          <w:lang w:val="lt-LT"/>
          <w14:ligatures w14:val="none"/>
        </w:rPr>
        <w:tab/>
        <w:t xml:space="preserve">FARMACINĖ INFORMACIJA </w:t>
      </w:r>
    </w:p>
    <w:p w14:paraId="12B72D26" w14:textId="77777777" w:rsidR="00CB0E79" w:rsidRPr="00CB0E79" w:rsidRDefault="00CB0E79" w:rsidP="00CB0E79">
      <w:pPr>
        <w:keepNext/>
        <w:keepLines/>
        <w:spacing w:after="0" w:line="240" w:lineRule="auto"/>
        <w:rPr>
          <w:rFonts w:ascii="Times New Roman" w:eastAsia="Times New Roman" w:hAnsi="Times New Roman" w:cs="Times New Roman"/>
          <w:kern w:val="0"/>
          <w:sz w:val="22"/>
          <w:szCs w:val="22"/>
          <w:lang w:val="lt-LT"/>
          <w14:ligatures w14:val="none"/>
        </w:rPr>
      </w:pPr>
    </w:p>
    <w:p w14:paraId="184BBA89" w14:textId="77777777" w:rsidR="00CB0E79" w:rsidRPr="00CB0E79" w:rsidRDefault="00CB0E79" w:rsidP="00CB0E79">
      <w:pPr>
        <w:keepNext/>
        <w:keepLines/>
        <w:spacing w:after="0" w:line="240" w:lineRule="auto"/>
        <w:outlineLvl w:val="6"/>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6.1</w:t>
      </w:r>
      <w:r w:rsidRPr="00CB0E79">
        <w:rPr>
          <w:rFonts w:ascii="Times New Roman" w:eastAsia="Times New Roman" w:hAnsi="Times New Roman" w:cs="Times New Roman"/>
          <w:b/>
          <w:kern w:val="0"/>
          <w:sz w:val="22"/>
          <w:szCs w:val="22"/>
          <w:lang w:val="lt-LT"/>
          <w14:ligatures w14:val="none"/>
        </w:rPr>
        <w:tab/>
        <w:t>Pagalbinių medžiagų sąrašas</w:t>
      </w:r>
    </w:p>
    <w:p w14:paraId="2C3FE84C" w14:textId="77777777" w:rsidR="00CB0E79" w:rsidRPr="00CB0E79" w:rsidRDefault="00CB0E79" w:rsidP="00CB0E79">
      <w:pPr>
        <w:keepNext/>
        <w:keepLines/>
        <w:spacing w:after="0" w:line="240" w:lineRule="auto"/>
        <w:rPr>
          <w:rFonts w:ascii="Times New Roman" w:eastAsia="Times New Roman" w:hAnsi="Times New Roman" w:cs="Times New Roman"/>
          <w:kern w:val="0"/>
          <w:sz w:val="22"/>
          <w:szCs w:val="22"/>
          <w:lang w:val="lt-LT"/>
          <w14:ligatures w14:val="none"/>
        </w:rPr>
      </w:pPr>
    </w:p>
    <w:p w14:paraId="2ABF6CE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Metilo parahidroksibenzoatas (E218)</w:t>
      </w:r>
    </w:p>
    <w:p w14:paraId="0CC088D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Propilo parahidroksibenzoatas (E216)</w:t>
      </w:r>
    </w:p>
    <w:p w14:paraId="514F8F0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Bevandenis skystasis lanolinas</w:t>
      </w:r>
    </w:p>
    <w:p w14:paraId="742EEC5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Minkštasis baltas parafinas</w:t>
      </w:r>
    </w:p>
    <w:p w14:paraId="472D958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ACF3B3C"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6.2</w:t>
      </w:r>
      <w:r w:rsidRPr="00CB0E79">
        <w:rPr>
          <w:rFonts w:ascii="Times New Roman" w:eastAsia="Times New Roman" w:hAnsi="Times New Roman" w:cs="Times New Roman"/>
          <w:b/>
          <w:kern w:val="0"/>
          <w:sz w:val="22"/>
          <w:szCs w:val="22"/>
          <w:lang w:val="lt-LT"/>
          <w14:ligatures w14:val="none"/>
        </w:rPr>
        <w:tab/>
        <w:t>Nesuderinamumas</w:t>
      </w:r>
    </w:p>
    <w:p w14:paraId="3B202DA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C8577F3"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Duomenys nebūtini.</w:t>
      </w:r>
    </w:p>
    <w:p w14:paraId="07579C44"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4712A143" w14:textId="77777777" w:rsidR="00CB0E79" w:rsidRPr="00CB0E79" w:rsidRDefault="00CB0E79" w:rsidP="00CB0E79">
      <w:pPr>
        <w:numPr>
          <w:ilvl w:val="1"/>
          <w:numId w:val="1"/>
        </w:numPr>
        <w:spacing w:after="0" w:line="240" w:lineRule="auto"/>
        <w:ind w:left="567" w:hanging="567"/>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Tinkamumo laikas</w:t>
      </w:r>
    </w:p>
    <w:p w14:paraId="30C168E6"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06E2061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3 metai</w:t>
      </w:r>
    </w:p>
    <w:p w14:paraId="280F6AB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Po pirmojo tūbelės atidarymo, vaistinis preparatas tinka vartoti 28 dienas. </w:t>
      </w:r>
    </w:p>
    <w:p w14:paraId="727E566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3C4CE4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6.4</w:t>
      </w:r>
      <w:r w:rsidRPr="00CB0E79">
        <w:rPr>
          <w:rFonts w:ascii="Times New Roman" w:eastAsia="Times New Roman" w:hAnsi="Times New Roman" w:cs="Times New Roman"/>
          <w:b/>
          <w:kern w:val="0"/>
          <w:sz w:val="22"/>
          <w:szCs w:val="22"/>
          <w:lang w:val="lt-LT"/>
          <w14:ligatures w14:val="none"/>
        </w:rPr>
        <w:tab/>
        <w:t>Specialios laikymo sąlygos</w:t>
      </w:r>
    </w:p>
    <w:p w14:paraId="6029A01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7EFF57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Laikyti ne aukštesnėje kaip 25 °C temperatūroje.</w:t>
      </w:r>
    </w:p>
    <w:p w14:paraId="0BA89EE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E531D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Negalima užšaldyti.</w:t>
      </w:r>
    </w:p>
    <w:p w14:paraId="19B55C0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D98FD8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Tūbelę laikyti sandarią. </w:t>
      </w:r>
    </w:p>
    <w:p w14:paraId="5142A3E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4965419"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6.5</w:t>
      </w:r>
      <w:r w:rsidRPr="00CB0E79">
        <w:rPr>
          <w:rFonts w:ascii="Times New Roman" w:eastAsia="Times New Roman" w:hAnsi="Times New Roman" w:cs="Times New Roman"/>
          <w:b/>
          <w:kern w:val="0"/>
          <w:sz w:val="22"/>
          <w:szCs w:val="22"/>
          <w:lang w:val="lt-LT"/>
          <w14:ligatures w14:val="none"/>
        </w:rPr>
        <w:tab/>
        <w:t>Talpyklės pobūdis ir jos turinys</w:t>
      </w:r>
    </w:p>
    <w:p w14:paraId="1624F6A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3167D7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Epoksifenoliu dengta aliumininė tūbelė, kurioje yra 3,5 g akių tepalo, su polietileno snapeliu ir polietileno dangteliu.</w:t>
      </w:r>
    </w:p>
    <w:p w14:paraId="30D9200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Dėžutėje yra viena tūbelė.</w:t>
      </w:r>
    </w:p>
    <w:p w14:paraId="14AF149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BB5F9D1"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6.6</w:t>
      </w:r>
      <w:r w:rsidRPr="00CB0E79">
        <w:rPr>
          <w:rFonts w:ascii="Times New Roman" w:eastAsia="Times New Roman" w:hAnsi="Times New Roman" w:cs="Times New Roman"/>
          <w:b/>
          <w:kern w:val="0"/>
          <w:sz w:val="22"/>
          <w:szCs w:val="22"/>
          <w:lang w:val="lt-LT"/>
          <w14:ligatures w14:val="none"/>
        </w:rPr>
        <w:tab/>
        <w:t xml:space="preserve">Specialūs reikalavimai atliekoms tvarkyti </w:t>
      </w:r>
    </w:p>
    <w:p w14:paraId="2F3D7E4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5230C5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Specialių reikalavimų nėra.</w:t>
      </w:r>
    </w:p>
    <w:p w14:paraId="0C9E351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C66622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ED06CF9"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7.</w:t>
      </w:r>
      <w:r w:rsidRPr="00CB0E79">
        <w:rPr>
          <w:rFonts w:ascii="Times New Roman" w:eastAsia="Times New Roman" w:hAnsi="Times New Roman" w:cs="Times New Roman"/>
          <w:b/>
          <w:kern w:val="0"/>
          <w:sz w:val="22"/>
          <w:szCs w:val="22"/>
          <w:lang w:val="lt-LT"/>
          <w14:ligatures w14:val="none"/>
        </w:rPr>
        <w:tab/>
      </w:r>
      <w:r w:rsidRPr="00CB0E79">
        <w:rPr>
          <w:rFonts w:ascii="Times New Roman" w:eastAsia="Times New Roman" w:hAnsi="Times New Roman" w:cs="Times New Roman"/>
          <w:b/>
          <w:kern w:val="0"/>
          <w:sz w:val="22"/>
          <w:szCs w:val="22"/>
          <w:lang w:val="lt-LT" w:eastAsia="lt-LT"/>
          <w14:ligatures w14:val="none"/>
        </w:rPr>
        <w:t>REGISTRUOTOJAS</w:t>
      </w:r>
    </w:p>
    <w:p w14:paraId="4CF1817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801B47C"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SIA Novartis Baltics</w:t>
      </w:r>
    </w:p>
    <w:p w14:paraId="2475E09A"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Skanstes iela 25</w:t>
      </w:r>
    </w:p>
    <w:p w14:paraId="59362878" w14:textId="77777777" w:rsidR="00CB0E79" w:rsidRPr="00CB0E79" w:rsidRDefault="00CB0E79" w:rsidP="00CB0E79">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LV-1013, Rīga</w:t>
      </w:r>
    </w:p>
    <w:p w14:paraId="0DBB6A1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it-IT" w:eastAsia="et-EE"/>
          <w14:ligatures w14:val="none"/>
        </w:rPr>
        <w:t>Latvija</w:t>
      </w:r>
    </w:p>
    <w:p w14:paraId="69E2072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F38C38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B2B909"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8.</w:t>
      </w:r>
      <w:r w:rsidRPr="00CB0E79">
        <w:rPr>
          <w:rFonts w:ascii="Times New Roman" w:eastAsia="Times New Roman" w:hAnsi="Times New Roman" w:cs="Times New Roman"/>
          <w:b/>
          <w:kern w:val="0"/>
          <w:sz w:val="22"/>
          <w:szCs w:val="22"/>
          <w:lang w:val="lt-LT"/>
          <w14:ligatures w14:val="none"/>
        </w:rPr>
        <w:tab/>
      </w:r>
      <w:r w:rsidRPr="00CB0E79">
        <w:rPr>
          <w:rFonts w:ascii="Times New Roman" w:eastAsia="Times New Roman" w:hAnsi="Times New Roman" w:cs="Times New Roman"/>
          <w:b/>
          <w:kern w:val="0"/>
          <w:sz w:val="22"/>
          <w:szCs w:val="22"/>
          <w:lang w:val="lt-LT" w:eastAsia="lt-LT"/>
          <w14:ligatures w14:val="none"/>
        </w:rPr>
        <w:t>REGISTRACIJOS PAŽYMĖJIMO NUMERIS (-IAI)</w:t>
      </w:r>
    </w:p>
    <w:p w14:paraId="66716CA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86323F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LT/1/92/0003/001</w:t>
      </w:r>
    </w:p>
    <w:p w14:paraId="7E67322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7FD408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9A0E324"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9.</w:t>
      </w:r>
      <w:r w:rsidRPr="00CB0E79">
        <w:rPr>
          <w:rFonts w:ascii="Times New Roman" w:eastAsia="Times New Roman" w:hAnsi="Times New Roman" w:cs="Times New Roman"/>
          <w:b/>
          <w:kern w:val="0"/>
          <w:sz w:val="22"/>
          <w:szCs w:val="22"/>
          <w:lang w:val="lt-LT"/>
          <w14:ligatures w14:val="none"/>
        </w:rPr>
        <w:tab/>
      </w:r>
      <w:r w:rsidRPr="00CB0E79">
        <w:rPr>
          <w:rFonts w:ascii="Times New Roman" w:eastAsia="Times New Roman" w:hAnsi="Times New Roman" w:cs="Times New Roman"/>
          <w:b/>
          <w:kern w:val="0"/>
          <w:sz w:val="22"/>
          <w:szCs w:val="22"/>
          <w:lang w:val="lt-LT" w:eastAsia="lt-LT"/>
          <w14:ligatures w14:val="none"/>
        </w:rPr>
        <w:t>REGISTRAVIMO / PERREGISTRAVIMO DATA</w:t>
      </w:r>
    </w:p>
    <w:p w14:paraId="1C36B81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A41264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 xml:space="preserve">Registravimo data </w:t>
      </w:r>
      <w:r w:rsidRPr="00CB0E79">
        <w:rPr>
          <w:rFonts w:ascii="Times New Roman" w:eastAsia="Times New Roman" w:hAnsi="Times New Roman" w:cs="Times New Roman"/>
          <w:kern w:val="0"/>
          <w:sz w:val="22"/>
          <w:szCs w:val="22"/>
          <w:lang w:val="lt-LT"/>
          <w14:ligatures w14:val="none"/>
        </w:rPr>
        <w:t>1992 m. kovo 5 d.</w:t>
      </w:r>
    </w:p>
    <w:p w14:paraId="3066E03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 xml:space="preserve">Paskutinio perregistravimo data </w:t>
      </w:r>
      <w:r w:rsidRPr="00CB0E79">
        <w:rPr>
          <w:rFonts w:ascii="Times New Roman" w:eastAsia="Times New Roman" w:hAnsi="Times New Roman" w:cs="Times New Roman"/>
          <w:kern w:val="0"/>
          <w:sz w:val="22"/>
          <w:szCs w:val="22"/>
          <w:lang w:val="lt-LT"/>
          <w14:ligatures w14:val="none"/>
        </w:rPr>
        <w:t>2012 m. lapkričio 29 d.</w:t>
      </w:r>
    </w:p>
    <w:p w14:paraId="75B4773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74E85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A775BC9"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10.</w:t>
      </w:r>
      <w:r w:rsidRPr="00CB0E79">
        <w:rPr>
          <w:rFonts w:ascii="Times New Roman" w:eastAsia="Times New Roman" w:hAnsi="Times New Roman" w:cs="Times New Roman"/>
          <w:b/>
          <w:kern w:val="0"/>
          <w:sz w:val="22"/>
          <w:szCs w:val="22"/>
          <w:lang w:val="lt-LT"/>
          <w14:ligatures w14:val="none"/>
        </w:rPr>
        <w:tab/>
        <w:t>TEKSTO PERŽIŪROS DATA</w:t>
      </w:r>
    </w:p>
    <w:p w14:paraId="2008E0D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FA5B7FA" w14:textId="77777777" w:rsidR="00CB0E79" w:rsidRPr="00CB0E79" w:rsidRDefault="00CB0E79" w:rsidP="00CB0E79">
      <w:pPr>
        <w:spacing w:after="0" w:line="240" w:lineRule="auto"/>
        <w:rPr>
          <w:rFonts w:ascii="Times New Roman" w:eastAsia="Times New Roman" w:hAnsi="Times New Roman" w:cs="Times New Roman"/>
          <w:noProof/>
          <w:snapToGrid w:val="0"/>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2024 m. liepos 15 d.</w:t>
      </w:r>
    </w:p>
    <w:p w14:paraId="638FA392" w14:textId="77777777" w:rsidR="00CB0E79" w:rsidRPr="00CB0E79" w:rsidRDefault="00CB0E79" w:rsidP="00CB0E79">
      <w:pPr>
        <w:spacing w:after="0" w:line="240" w:lineRule="auto"/>
        <w:rPr>
          <w:rFonts w:ascii="Times New Roman" w:eastAsia="Times New Roman" w:hAnsi="Times New Roman" w:cs="Times New Roman"/>
          <w:noProof/>
          <w:snapToGrid w:val="0"/>
          <w:kern w:val="0"/>
          <w:sz w:val="22"/>
          <w:szCs w:val="22"/>
          <w:lang w:val="lt-LT"/>
          <w14:ligatures w14:val="none"/>
        </w:rPr>
      </w:pPr>
    </w:p>
    <w:p w14:paraId="1883094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Išsami informacija apie šį vaistinį preparatą pateikiama Valstybinės vaistų kontrolės tarnybos prie Lietuvos Respublikos sveikatos apsaugos ministerijos tinklalapyje</w:t>
      </w:r>
      <w:r w:rsidRPr="00CB0E79">
        <w:rPr>
          <w:rFonts w:ascii="Times New Roman" w:eastAsia="Times New Roman" w:hAnsi="Times New Roman" w:cs="Times New Roman"/>
          <w:iCs/>
          <w:noProof/>
          <w:snapToGrid w:val="0"/>
          <w:kern w:val="0"/>
          <w:sz w:val="22"/>
          <w:szCs w:val="22"/>
          <w:lang w:val="lt-LT"/>
          <w14:ligatures w14:val="none"/>
        </w:rPr>
        <w:t xml:space="preserve"> </w:t>
      </w:r>
      <w:hyperlink r:id="rId8" w:history="1">
        <w:r w:rsidRPr="00CB0E79">
          <w:rPr>
            <w:rFonts w:ascii="Times New Roman" w:eastAsia="Times New Roman" w:hAnsi="Times New Roman" w:cs="Times New Roman"/>
            <w:iCs/>
            <w:noProof/>
            <w:snapToGrid w:val="0"/>
            <w:color w:val="0000FF"/>
            <w:kern w:val="0"/>
            <w:sz w:val="22"/>
            <w:szCs w:val="22"/>
            <w:u w:val="single"/>
            <w:lang w:val="lt-LT"/>
            <w14:ligatures w14:val="none"/>
          </w:rPr>
          <w:t>https://vvkt.lrv.lt/lt/</w:t>
        </w:r>
      </w:hyperlink>
      <w:r w:rsidRPr="00CB0E79">
        <w:rPr>
          <w:rFonts w:ascii="Times New Roman" w:eastAsia="Times New Roman" w:hAnsi="Times New Roman" w:cs="Times New Roman"/>
          <w:iCs/>
          <w:noProof/>
          <w:snapToGrid w:val="0"/>
          <w:kern w:val="0"/>
          <w:sz w:val="22"/>
          <w:szCs w:val="22"/>
          <w:lang w:val="lt-LT"/>
          <w14:ligatures w14:val="none"/>
        </w:rPr>
        <w:t>.</w:t>
      </w:r>
    </w:p>
    <w:p w14:paraId="7606EE0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2E7A16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B287C5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B36A9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B0D29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31113E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136967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636F03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4AAC64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6863AA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685323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EE3890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A0D65E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0A3E6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70800A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90EED5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CB45CE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5BECA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79245B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18A4EA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1F86B8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2430F56" w14:textId="77777777" w:rsidR="00CB0E79" w:rsidRPr="00CB0E79" w:rsidRDefault="00CB0E79" w:rsidP="00CB0E79">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51B02D89"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ECFC2B3"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36D3661"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FCBE9B2"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CB0E79">
        <w:rPr>
          <w:rFonts w:ascii="Times New Roman" w:eastAsia="Times New Roman" w:hAnsi="Times New Roman" w:cs="Times New Roman"/>
          <w:b/>
          <w:caps/>
          <w:kern w:val="0"/>
          <w:sz w:val="22"/>
          <w:szCs w:val="22"/>
          <w:lang w:val="lt-LT"/>
          <w14:ligatures w14:val="none"/>
        </w:rPr>
        <w:t>II PRIEDAS</w:t>
      </w:r>
    </w:p>
    <w:p w14:paraId="4CD15649"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5E81BD8"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CB0E79">
        <w:rPr>
          <w:rFonts w:ascii="Times New Roman" w:eastAsia="Times New Roman" w:hAnsi="Times New Roman" w:cs="Times New Roman"/>
          <w:b/>
          <w:caps/>
          <w:kern w:val="0"/>
          <w:sz w:val="22"/>
          <w:szCs w:val="22"/>
          <w:lang w:val="lt-LT"/>
          <w14:ligatures w14:val="none"/>
        </w:rPr>
        <w:t>REGISTRACIJOS SĄLYGOS</w:t>
      </w:r>
    </w:p>
    <w:p w14:paraId="0480E17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5694AE" w14:textId="77777777" w:rsidR="00CB0E79" w:rsidRPr="00CB0E79" w:rsidRDefault="00CB0E79" w:rsidP="00CB0E79">
      <w:pPr>
        <w:spacing w:after="0" w:line="240" w:lineRule="auto"/>
        <w:rPr>
          <w:rFonts w:ascii="Times New Roman" w:eastAsia="Times New Roman" w:hAnsi="Times New Roman" w:cs="Times New Roman"/>
          <w:b/>
          <w:kern w:val="0"/>
          <w:sz w:val="22"/>
          <w:szCs w:val="22"/>
          <w:highlight w:val="yellow"/>
          <w:lang w:val="lt-LT"/>
          <w14:ligatures w14:val="none"/>
        </w:rPr>
      </w:pPr>
      <w:r w:rsidRPr="00CB0E79">
        <w:rPr>
          <w:rFonts w:ascii="Times New Roman" w:eastAsia="Times New Roman" w:hAnsi="Times New Roman" w:cs="Times New Roman"/>
          <w:b/>
          <w:kern w:val="0"/>
          <w:sz w:val="22"/>
          <w:szCs w:val="22"/>
          <w:lang w:val="lt-LT"/>
          <w14:ligatures w14:val="none"/>
        </w:rPr>
        <w:t>A.</w:t>
      </w:r>
      <w:r w:rsidRPr="00CB0E79">
        <w:rPr>
          <w:rFonts w:ascii="Times New Roman" w:eastAsia="Times New Roman" w:hAnsi="Times New Roman" w:cs="Times New Roman"/>
          <w:b/>
          <w:kern w:val="0"/>
          <w:sz w:val="22"/>
          <w:szCs w:val="22"/>
          <w:lang w:val="lt-LT"/>
          <w14:ligatures w14:val="none"/>
        </w:rPr>
        <w:tab/>
      </w:r>
      <w:r w:rsidRPr="00CB0E79">
        <w:rPr>
          <w:rFonts w:ascii="Times New Roman" w:eastAsia="MS Mincho" w:hAnsi="Times New Roman" w:cs="Times New Roman"/>
          <w:b/>
          <w:kern w:val="0"/>
          <w:sz w:val="22"/>
          <w:szCs w:val="22"/>
          <w:lang w:val="lt-LT"/>
          <w14:ligatures w14:val="none"/>
        </w:rPr>
        <w:t>GAMINTOJAS</w:t>
      </w:r>
      <w:r w:rsidRPr="00CB0E79" w:rsidDel="00B40865">
        <w:rPr>
          <w:rFonts w:ascii="Times New Roman" w:eastAsia="Times New Roman" w:hAnsi="Times New Roman" w:cs="Times New Roman"/>
          <w:b/>
          <w:kern w:val="0"/>
          <w:sz w:val="22"/>
          <w:szCs w:val="22"/>
          <w:lang w:val="lt-LT"/>
          <w14:ligatures w14:val="none"/>
        </w:rPr>
        <w:t xml:space="preserve"> </w:t>
      </w:r>
      <w:r w:rsidRPr="00CB0E79">
        <w:rPr>
          <w:rFonts w:ascii="Times New Roman" w:eastAsia="Times New Roman" w:hAnsi="Times New Roman" w:cs="Times New Roman"/>
          <w:b/>
          <w:kern w:val="0"/>
          <w:sz w:val="22"/>
          <w:szCs w:val="22"/>
          <w:lang w:val="lt-LT"/>
          <w14:ligatures w14:val="none"/>
        </w:rPr>
        <w:t>(-AI), ATSAKINGAS (-I) UŽ SERIJŲ IŠLEIDIMĄ</w:t>
      </w:r>
    </w:p>
    <w:p w14:paraId="1792BA1E" w14:textId="77777777" w:rsidR="00CB0E79" w:rsidRPr="00CB0E79" w:rsidRDefault="00CB0E79" w:rsidP="00CB0E79">
      <w:pPr>
        <w:spacing w:after="0" w:line="240" w:lineRule="auto"/>
        <w:rPr>
          <w:rFonts w:ascii="Times New Roman" w:eastAsia="Times New Roman" w:hAnsi="Times New Roman" w:cs="Times New Roman"/>
          <w:kern w:val="0"/>
          <w:sz w:val="22"/>
          <w:szCs w:val="22"/>
          <w:highlight w:val="yellow"/>
          <w:lang w:val="lt-LT"/>
          <w14:ligatures w14:val="none"/>
        </w:rPr>
      </w:pPr>
    </w:p>
    <w:p w14:paraId="72FAE1BE"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B.</w:t>
      </w:r>
      <w:r w:rsidRPr="00CB0E79">
        <w:rPr>
          <w:rFonts w:ascii="Times New Roman" w:eastAsia="Times New Roman" w:hAnsi="Times New Roman" w:cs="Times New Roman"/>
          <w:b/>
          <w:kern w:val="0"/>
          <w:sz w:val="22"/>
          <w:szCs w:val="22"/>
          <w:lang w:val="lt-LT"/>
          <w14:ligatures w14:val="none"/>
        </w:rPr>
        <w:tab/>
        <w:t>TIEKIMO IR VARTOJIMO SĄLYGOS AR APRIBOJIMAI</w:t>
      </w:r>
    </w:p>
    <w:p w14:paraId="1DB335DB" w14:textId="77777777" w:rsidR="00CB0E79" w:rsidRPr="00CB0E79" w:rsidRDefault="00CB0E79" w:rsidP="00CB0E79">
      <w:pPr>
        <w:tabs>
          <w:tab w:val="left" w:pos="1701"/>
        </w:tabs>
        <w:spacing w:after="0" w:line="240" w:lineRule="auto"/>
        <w:rPr>
          <w:rFonts w:ascii="Times New Roman" w:eastAsia="Times New Roman" w:hAnsi="Times New Roman" w:cs="Times New Roman"/>
          <w:b/>
          <w:kern w:val="0"/>
          <w:sz w:val="22"/>
          <w:szCs w:val="22"/>
          <w:lang w:val="lt-LT"/>
          <w14:ligatures w14:val="none"/>
        </w:rPr>
      </w:pPr>
    </w:p>
    <w:p w14:paraId="7F25C189" w14:textId="77777777" w:rsidR="00CB0E79" w:rsidRPr="00CB0E79" w:rsidRDefault="00CB0E79" w:rsidP="00CB0E79">
      <w:pPr>
        <w:spacing w:after="0" w:line="240" w:lineRule="auto"/>
        <w:rPr>
          <w:rFonts w:ascii="Times New Roman" w:eastAsia="Times New Roman" w:hAnsi="Times New Roman" w:cs="Times New Roman"/>
          <w:kern w:val="0"/>
          <w:sz w:val="22"/>
          <w:szCs w:val="22"/>
          <w:highlight w:val="yellow"/>
          <w:lang w:val="lt-LT"/>
          <w14:ligatures w14:val="none"/>
        </w:rPr>
      </w:pPr>
    </w:p>
    <w:p w14:paraId="667EA0B3" w14:textId="77777777" w:rsidR="00CB0E79" w:rsidRPr="00CB0E79" w:rsidRDefault="00CB0E79" w:rsidP="00CB0E79">
      <w:pPr>
        <w:keepNext/>
        <w:tabs>
          <w:tab w:val="left" w:pos="567"/>
        </w:tabs>
        <w:spacing w:after="0" w:line="240" w:lineRule="auto"/>
        <w:outlineLvl w:val="1"/>
        <w:rPr>
          <w:rFonts w:ascii="Times New Roman" w:eastAsia="Times New Roman" w:hAnsi="Times New Roman" w:cs="Times New Roman"/>
          <w:b/>
          <w:bCs/>
          <w:iCs/>
          <w:kern w:val="0"/>
          <w:sz w:val="22"/>
          <w:szCs w:val="22"/>
          <w:lang w:val="lt-LT"/>
          <w14:ligatures w14:val="none"/>
        </w:rPr>
      </w:pPr>
      <w:r w:rsidRPr="00CB0E79">
        <w:rPr>
          <w:rFonts w:ascii="Times New Roman" w:eastAsia="Times New Roman" w:hAnsi="Times New Roman" w:cs="Times New Roman"/>
          <w:b/>
          <w:bCs/>
          <w:iCs/>
          <w:kern w:val="0"/>
          <w:sz w:val="22"/>
          <w:szCs w:val="22"/>
          <w:lang w:val="lt-LT"/>
          <w14:ligatures w14:val="none"/>
        </w:rPr>
        <w:br w:type="page"/>
      </w:r>
      <w:r w:rsidRPr="00CB0E79">
        <w:rPr>
          <w:rFonts w:ascii="Times New Roman" w:eastAsia="Times New Roman" w:hAnsi="Times New Roman" w:cs="Times New Roman"/>
          <w:b/>
          <w:bCs/>
          <w:iCs/>
          <w:kern w:val="0"/>
          <w:sz w:val="22"/>
          <w:szCs w:val="22"/>
          <w:lang w:val="lt-LT"/>
          <w14:ligatures w14:val="none"/>
        </w:rPr>
        <w:lastRenderedPageBreak/>
        <w:t>A.</w:t>
      </w:r>
      <w:r w:rsidRPr="00CB0E79">
        <w:rPr>
          <w:rFonts w:ascii="Times New Roman" w:eastAsia="Times New Roman" w:hAnsi="Times New Roman" w:cs="Times New Roman"/>
          <w:b/>
          <w:bCs/>
          <w:iCs/>
          <w:kern w:val="0"/>
          <w:sz w:val="22"/>
          <w:szCs w:val="22"/>
          <w:lang w:val="lt-LT"/>
          <w14:ligatures w14:val="none"/>
        </w:rPr>
        <w:tab/>
        <w:t>GAMINTOJAS (-AI), ATSAKINGAS (-I) UŽ SERIJŲ IŠLEIDIMĄ</w:t>
      </w:r>
    </w:p>
    <w:p w14:paraId="22E7DDA7" w14:textId="77777777" w:rsidR="00CB0E79" w:rsidRPr="00CB0E79" w:rsidRDefault="00CB0E79" w:rsidP="00CB0E79">
      <w:pPr>
        <w:spacing w:after="0" w:line="240" w:lineRule="auto"/>
        <w:rPr>
          <w:rFonts w:ascii="Times New Roman" w:eastAsia="Times New Roman" w:hAnsi="Times New Roman" w:cs="Times New Roman"/>
          <w:kern w:val="0"/>
          <w:sz w:val="22"/>
          <w:szCs w:val="22"/>
          <w:highlight w:val="yellow"/>
          <w:lang w:val="lt-LT"/>
          <w14:ligatures w14:val="none"/>
        </w:rPr>
      </w:pPr>
    </w:p>
    <w:p w14:paraId="342F155A" w14:textId="77777777" w:rsidR="00CB0E79" w:rsidRPr="00CB0E79" w:rsidRDefault="00CB0E79" w:rsidP="00CB0E79">
      <w:pPr>
        <w:spacing w:after="0" w:line="240" w:lineRule="auto"/>
        <w:rPr>
          <w:rFonts w:ascii="Times New Roman" w:eastAsia="Times New Roman" w:hAnsi="Times New Roman" w:cs="Times New Roman"/>
          <w:kern w:val="0"/>
          <w:sz w:val="22"/>
          <w:szCs w:val="22"/>
          <w:u w:val="single"/>
          <w:lang w:val="lt-LT"/>
          <w14:ligatures w14:val="none"/>
        </w:rPr>
      </w:pPr>
      <w:r w:rsidRPr="00CB0E79">
        <w:rPr>
          <w:rFonts w:ascii="Times New Roman" w:eastAsia="Times New Roman" w:hAnsi="Times New Roman" w:cs="Times New Roman"/>
          <w:kern w:val="0"/>
          <w:sz w:val="22"/>
          <w:szCs w:val="22"/>
          <w:u w:val="single"/>
          <w:lang w:val="lt-LT"/>
          <w14:ligatures w14:val="none"/>
        </w:rPr>
        <w:t>Gamintojų, atsakingų už serijų išleidimą, pavadinimai ir adresai</w:t>
      </w:r>
    </w:p>
    <w:p w14:paraId="0D52F4B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281D95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Novartis Manufacturing NV</w:t>
      </w:r>
    </w:p>
    <w:p w14:paraId="0A7C549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Rijksweg 14</w:t>
      </w:r>
    </w:p>
    <w:p w14:paraId="5EC6319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2870 Puurs-Sint-Amands</w:t>
      </w:r>
    </w:p>
    <w:p w14:paraId="74688C8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Belgija</w:t>
      </w:r>
    </w:p>
    <w:p w14:paraId="69E3CC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2112DA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arba</w:t>
      </w:r>
    </w:p>
    <w:p w14:paraId="38106AB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8DA66D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Novartis Farmacéutica, S.A.</w:t>
      </w:r>
    </w:p>
    <w:p w14:paraId="1DA80BB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Gran Via de les Corts Catalanes, 764</w:t>
      </w:r>
    </w:p>
    <w:p w14:paraId="52D63B8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08013 Barcelona</w:t>
      </w:r>
    </w:p>
    <w:p w14:paraId="7FB59D6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Ispanija</w:t>
      </w:r>
    </w:p>
    <w:p w14:paraId="7564549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50D9BC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Su pakuote pateikiamame lapelyje nurodomas gamintojo, atsakingo už konkrečios serijos išleidimą, pavadinimas ir adresas.</w:t>
      </w:r>
    </w:p>
    <w:p w14:paraId="161E6F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899D0D4" w14:textId="77777777" w:rsidR="00CB0E79" w:rsidRPr="00CB0E79" w:rsidRDefault="00CB0E79" w:rsidP="00CB0E79">
      <w:pPr>
        <w:spacing w:after="0" w:line="240" w:lineRule="auto"/>
        <w:rPr>
          <w:rFonts w:ascii="Times New Roman" w:eastAsia="Times New Roman" w:hAnsi="Times New Roman" w:cs="Times New Roman"/>
          <w:kern w:val="0"/>
          <w:sz w:val="22"/>
          <w:szCs w:val="22"/>
          <w:highlight w:val="yellow"/>
          <w:lang w:val="lt-LT"/>
          <w14:ligatures w14:val="none"/>
        </w:rPr>
      </w:pPr>
    </w:p>
    <w:p w14:paraId="2FED2351" w14:textId="77777777" w:rsidR="00CB0E79" w:rsidRPr="00CB0E79" w:rsidRDefault="00CB0E79" w:rsidP="00CB0E79">
      <w:pPr>
        <w:keepNext/>
        <w:keepLines/>
        <w:tabs>
          <w:tab w:val="left" w:pos="567"/>
        </w:tabs>
        <w:spacing w:after="0" w:line="240" w:lineRule="auto"/>
        <w:outlineLvl w:val="2"/>
        <w:rPr>
          <w:rFonts w:ascii="Times New Roman" w:eastAsia="Times New Roman" w:hAnsi="Times New Roman" w:cs="Times New Roman"/>
          <w:b/>
          <w:bCs/>
          <w:kern w:val="28"/>
          <w:sz w:val="22"/>
          <w:szCs w:val="22"/>
          <w:lang w:val="lt-LT"/>
          <w14:ligatures w14:val="none"/>
        </w:rPr>
      </w:pPr>
      <w:bookmarkStart w:id="0" w:name="_Toc129243254"/>
      <w:bookmarkStart w:id="1" w:name="_Toc129243129"/>
      <w:r w:rsidRPr="00CB0E79">
        <w:rPr>
          <w:rFonts w:ascii="Times New Roman" w:eastAsia="Times New Roman" w:hAnsi="Times New Roman" w:cs="Times New Roman"/>
          <w:b/>
          <w:bCs/>
          <w:kern w:val="28"/>
          <w:sz w:val="22"/>
          <w:szCs w:val="22"/>
          <w:lang w:val="lt-LT"/>
          <w14:ligatures w14:val="none"/>
        </w:rPr>
        <w:t>B.</w:t>
      </w:r>
      <w:r w:rsidRPr="00CB0E79">
        <w:rPr>
          <w:rFonts w:ascii="Times New Roman" w:eastAsia="Times New Roman" w:hAnsi="Times New Roman" w:cs="Times New Roman"/>
          <w:b/>
          <w:bCs/>
          <w:kern w:val="28"/>
          <w:sz w:val="22"/>
          <w:szCs w:val="22"/>
          <w:lang w:val="lt-LT"/>
          <w14:ligatures w14:val="none"/>
        </w:rPr>
        <w:tab/>
      </w:r>
      <w:bookmarkStart w:id="2" w:name="_Toc129243255"/>
      <w:bookmarkStart w:id="3" w:name="_Toc129243130"/>
      <w:bookmarkEnd w:id="0"/>
      <w:bookmarkEnd w:id="1"/>
      <w:r w:rsidRPr="00CB0E79">
        <w:rPr>
          <w:rFonts w:ascii="Times New Roman" w:eastAsia="Times New Roman" w:hAnsi="Times New Roman" w:cs="Times New Roman"/>
          <w:b/>
          <w:bCs/>
          <w:kern w:val="28"/>
          <w:sz w:val="22"/>
          <w:szCs w:val="22"/>
          <w:lang w:val="lt-LT"/>
          <w14:ligatures w14:val="none"/>
        </w:rPr>
        <w:t>TIEKIMO IR VARTOJIMO SĄLYGOS AR APRIBOJIMAI</w:t>
      </w:r>
      <w:bookmarkEnd w:id="2"/>
      <w:bookmarkEnd w:id="3"/>
    </w:p>
    <w:p w14:paraId="3770AD2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8AF52A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Receptinis vaistinis preparatas.</w:t>
      </w:r>
    </w:p>
    <w:p w14:paraId="7902FEA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2F01DD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0B4A9F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br w:type="page"/>
      </w:r>
    </w:p>
    <w:p w14:paraId="3DE9A78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7CBB58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CFF3E8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70E960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59DCA5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167DF2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8E9489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893A0A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286020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A09841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A1D384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03DD8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55705B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683571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7B0A86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F39673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8395CC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BA845A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1852D4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D27B2C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7021A9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6C1FA6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AAF1C94"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 w:name="_Toc129243259"/>
      <w:bookmarkStart w:id="5" w:name="_Toc129243134"/>
    </w:p>
    <w:p w14:paraId="1AE81C3B"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CB0E79">
        <w:rPr>
          <w:rFonts w:ascii="Times New Roman" w:eastAsia="Times New Roman" w:hAnsi="Times New Roman" w:cs="Times New Roman"/>
          <w:b/>
          <w:caps/>
          <w:kern w:val="0"/>
          <w:sz w:val="22"/>
          <w:szCs w:val="22"/>
          <w:lang w:val="lt-LT"/>
          <w14:ligatures w14:val="none"/>
        </w:rPr>
        <w:t>III PRIEDAS</w:t>
      </w:r>
      <w:bookmarkEnd w:id="4"/>
      <w:bookmarkEnd w:id="5"/>
    </w:p>
    <w:p w14:paraId="558FBB5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61272B1"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6" w:name="_Toc129243260"/>
      <w:bookmarkStart w:id="7" w:name="_Toc129243135"/>
      <w:r w:rsidRPr="00CB0E79">
        <w:rPr>
          <w:rFonts w:ascii="Times New Roman" w:eastAsia="Times New Roman" w:hAnsi="Times New Roman" w:cs="Times New Roman"/>
          <w:b/>
          <w:caps/>
          <w:kern w:val="0"/>
          <w:sz w:val="22"/>
          <w:szCs w:val="22"/>
          <w:lang w:val="lt-LT"/>
          <w14:ligatures w14:val="none"/>
        </w:rPr>
        <w:t>ŽENKLINIMAS IR PAKUOTĖS LAPELIS</w:t>
      </w:r>
      <w:bookmarkEnd w:id="6"/>
      <w:bookmarkEnd w:id="7"/>
    </w:p>
    <w:p w14:paraId="0CC6965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br w:type="page"/>
      </w:r>
    </w:p>
    <w:p w14:paraId="3983521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DF204B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8AAD23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C4E7E3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A4BCFD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971C4E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C9C6CB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802D62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FDDBEB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8EAC06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0E34F2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5FBBE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2B8134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AC8C23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2CFAAF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3DFCB8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8F100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A6668D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5D085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B8FFCF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DE919A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289E7C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F8E4590"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8" w:name="_Toc129243261"/>
      <w:bookmarkStart w:id="9" w:name="_Toc129243136"/>
    </w:p>
    <w:p w14:paraId="200F97F4"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CB0E79">
        <w:rPr>
          <w:rFonts w:ascii="Times New Roman" w:eastAsia="Times New Roman" w:hAnsi="Times New Roman" w:cs="Times New Roman"/>
          <w:b/>
          <w:caps/>
          <w:kern w:val="0"/>
          <w:sz w:val="22"/>
          <w:szCs w:val="22"/>
          <w:lang w:val="lt-LT"/>
          <w14:ligatures w14:val="none"/>
        </w:rPr>
        <w:t>A. ŽENKLINIMAS</w:t>
      </w:r>
      <w:bookmarkEnd w:id="8"/>
      <w:bookmarkEnd w:id="9"/>
    </w:p>
    <w:p w14:paraId="11454209" w14:textId="77777777" w:rsidR="00CB0E79" w:rsidRPr="00CB0E79" w:rsidRDefault="00CB0E79" w:rsidP="00CB0E79">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br w:type="page"/>
      </w:r>
    </w:p>
    <w:p w14:paraId="2903174E"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lastRenderedPageBreak/>
        <w:t>INFORMACIJA ANT IŠORINĖS PAKUOTĖS</w:t>
      </w:r>
    </w:p>
    <w:p w14:paraId="76A1E279"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3B7A45AD"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DĖŽUTĖ</w:t>
      </w:r>
    </w:p>
    <w:p w14:paraId="5CCFD24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BC355E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C40DEE"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w:t>
      </w:r>
      <w:r w:rsidRPr="00CB0E79">
        <w:rPr>
          <w:rFonts w:ascii="Times New Roman" w:eastAsia="Times New Roman" w:hAnsi="Times New Roman" w:cs="Times New Roman"/>
          <w:b/>
          <w:noProof/>
          <w:kern w:val="0"/>
          <w:sz w:val="22"/>
          <w:szCs w:val="22"/>
          <w:lang w:val="lt-LT"/>
          <w14:ligatures w14:val="none"/>
        </w:rPr>
        <w:tab/>
        <w:t>VAISTINIO PREPARATO PAVADINIMAS</w:t>
      </w:r>
    </w:p>
    <w:p w14:paraId="1F57637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68EA2D1" w14:textId="77777777" w:rsidR="00CB0E79" w:rsidRPr="00CB0E79" w:rsidRDefault="00CB0E79" w:rsidP="00CB0E79">
      <w:pPr>
        <w:keepNext/>
        <w:spacing w:after="0" w:line="240" w:lineRule="auto"/>
        <w:outlineLvl w:val="2"/>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Maxidex 1 mg/g akių tepalas</w:t>
      </w:r>
    </w:p>
    <w:p w14:paraId="590911A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Deksametazonas</w:t>
      </w:r>
    </w:p>
    <w:p w14:paraId="4BF80D7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6294C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95A1C72"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4111"/>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2.</w:t>
      </w:r>
      <w:r w:rsidRPr="00CB0E79">
        <w:rPr>
          <w:rFonts w:ascii="Times New Roman" w:eastAsia="Times New Roman" w:hAnsi="Times New Roman" w:cs="Times New Roman"/>
          <w:b/>
          <w:noProof/>
          <w:kern w:val="0"/>
          <w:sz w:val="22"/>
          <w:szCs w:val="22"/>
          <w:lang w:val="lt-LT"/>
          <w14:ligatures w14:val="none"/>
        </w:rPr>
        <w:tab/>
        <w:t>VEIKLIOJI (-IOS) MEDŽIAGA (-OS) IR JOS (-Ų) KIEKIS (-IAI)</w:t>
      </w:r>
    </w:p>
    <w:p w14:paraId="110243C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EEF7852" w14:textId="77777777" w:rsidR="00CB0E79" w:rsidRPr="00CB0E79" w:rsidRDefault="00CB0E79" w:rsidP="00CB0E79">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1 g tepalo yra 1 mg deksametazono.</w:t>
      </w:r>
    </w:p>
    <w:p w14:paraId="63E7B6C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5B099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E8AD863"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4111"/>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3.</w:t>
      </w:r>
      <w:r w:rsidRPr="00CB0E79">
        <w:rPr>
          <w:rFonts w:ascii="Times New Roman" w:eastAsia="Times New Roman" w:hAnsi="Times New Roman" w:cs="Times New Roman"/>
          <w:b/>
          <w:noProof/>
          <w:kern w:val="0"/>
          <w:sz w:val="22"/>
          <w:szCs w:val="22"/>
          <w:lang w:val="lt-LT"/>
          <w14:ligatures w14:val="none"/>
        </w:rPr>
        <w:tab/>
        <w:t>PAGALBINIŲ MEDŽIAGŲ SĄRAŠAS</w:t>
      </w:r>
    </w:p>
    <w:p w14:paraId="2F9C509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ACB953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Metilo parahidroksibenzoatas (E218), propilo parahidroksibenzoatas (E216), bevandenis skystasis lanolinas, minkštasis baltas parafinas.</w:t>
      </w:r>
    </w:p>
    <w:p w14:paraId="0F28C80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A8DCAD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CAAA8D1"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4.</w:t>
      </w:r>
      <w:r w:rsidRPr="00CB0E79">
        <w:rPr>
          <w:rFonts w:ascii="Times New Roman" w:eastAsia="Times New Roman" w:hAnsi="Times New Roman" w:cs="Times New Roman"/>
          <w:b/>
          <w:noProof/>
          <w:kern w:val="0"/>
          <w:sz w:val="22"/>
          <w:szCs w:val="22"/>
          <w:lang w:val="lt-LT"/>
          <w14:ligatures w14:val="none"/>
        </w:rPr>
        <w:tab/>
        <w:t>FARMACINĖ FORMA IR KIEKIS PAKUOTĖJE</w:t>
      </w:r>
    </w:p>
    <w:p w14:paraId="5A1B1B3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CEEE24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Akių tepalas</w:t>
      </w:r>
    </w:p>
    <w:p w14:paraId="536C39A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3,5 g tūbelė</w:t>
      </w:r>
    </w:p>
    <w:p w14:paraId="79EB9BE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C97CA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2C11838"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5.</w:t>
      </w:r>
      <w:r w:rsidRPr="00CB0E79">
        <w:rPr>
          <w:rFonts w:ascii="Times New Roman" w:eastAsia="Times New Roman" w:hAnsi="Times New Roman" w:cs="Times New Roman"/>
          <w:b/>
          <w:noProof/>
          <w:kern w:val="0"/>
          <w:sz w:val="22"/>
          <w:szCs w:val="22"/>
          <w:lang w:val="lt-LT"/>
          <w14:ligatures w14:val="none"/>
        </w:rPr>
        <w:tab/>
        <w:t>VARTOJIMO METODAS IR BŪDAS (-AI)</w:t>
      </w:r>
    </w:p>
    <w:p w14:paraId="74CB039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B55C3C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Vartoti ant akių. </w:t>
      </w:r>
    </w:p>
    <w:p w14:paraId="1443550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Prieš vartojimą perskaitykite pakuotės lapelį.</w:t>
      </w:r>
    </w:p>
    <w:p w14:paraId="76218A7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C9D56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D0D29C8"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6.</w:t>
      </w:r>
      <w:r w:rsidRPr="00CB0E79">
        <w:rPr>
          <w:rFonts w:ascii="Times New Roman" w:eastAsia="Times New Roman" w:hAnsi="Times New Roman" w:cs="Times New Roman"/>
          <w:b/>
          <w:noProof/>
          <w:kern w:val="0"/>
          <w:sz w:val="22"/>
          <w:szCs w:val="22"/>
          <w:lang w:val="lt-LT"/>
          <w14:ligatures w14:val="none"/>
        </w:rPr>
        <w:tab/>
        <w:t>SPECIALUS ĮSPĖJIMAS, KAD VAISTINĮ PREPARATĄ BŪTINA LAIKYTI VAIKAMS NEPASTEBIMOJE IR NEPASIEKIAMOJE VIETOJE</w:t>
      </w:r>
    </w:p>
    <w:p w14:paraId="7D08DB9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7DDD68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Laikyti vaikams nepastebimoje ir nepasiekiamoje vietoje.</w:t>
      </w:r>
    </w:p>
    <w:p w14:paraId="747CA1D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C59549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A0E7055"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7.</w:t>
      </w:r>
      <w:r w:rsidRPr="00CB0E79">
        <w:rPr>
          <w:rFonts w:ascii="Times New Roman" w:eastAsia="Times New Roman" w:hAnsi="Times New Roman" w:cs="Times New Roman"/>
          <w:b/>
          <w:noProof/>
          <w:kern w:val="0"/>
          <w:sz w:val="22"/>
          <w:szCs w:val="22"/>
          <w:lang w:val="lt-LT"/>
          <w14:ligatures w14:val="none"/>
        </w:rPr>
        <w:tab/>
        <w:t>KITAS (-I) SPECIALUS (-ŪS) ĮSPĖJIMAS (-AI) (JEI REIKIA)</w:t>
      </w:r>
    </w:p>
    <w:p w14:paraId="56F83A2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BDAE83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80C6DB6"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8.</w:t>
      </w:r>
      <w:r w:rsidRPr="00CB0E79">
        <w:rPr>
          <w:rFonts w:ascii="Times New Roman" w:eastAsia="Times New Roman" w:hAnsi="Times New Roman" w:cs="Times New Roman"/>
          <w:b/>
          <w:noProof/>
          <w:kern w:val="0"/>
          <w:sz w:val="22"/>
          <w:szCs w:val="22"/>
          <w:lang w:val="lt-LT"/>
          <w14:ligatures w14:val="none"/>
        </w:rPr>
        <w:tab/>
        <w:t>TINKAMUMO LAIKAS</w:t>
      </w:r>
    </w:p>
    <w:p w14:paraId="3FD9BB2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EECBCE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EXP {mm MMMM}</w:t>
      </w:r>
    </w:p>
    <w:p w14:paraId="7B18A51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Po pirmojo tūbelės atidarymo, vaistas tinka vartoti 28 dienas. </w:t>
      </w:r>
    </w:p>
    <w:p w14:paraId="7B81564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BD7477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CDE900D"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4111"/>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9.</w:t>
      </w:r>
      <w:r w:rsidRPr="00CB0E79">
        <w:rPr>
          <w:rFonts w:ascii="Times New Roman" w:eastAsia="Times New Roman" w:hAnsi="Times New Roman" w:cs="Times New Roman"/>
          <w:b/>
          <w:noProof/>
          <w:kern w:val="0"/>
          <w:sz w:val="22"/>
          <w:szCs w:val="22"/>
          <w:lang w:val="lt-LT"/>
          <w14:ligatures w14:val="none"/>
        </w:rPr>
        <w:tab/>
        <w:t>SPECIALIOS LAIKYMO SĄLYGOS</w:t>
      </w:r>
    </w:p>
    <w:p w14:paraId="0149366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0B9455D"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lastRenderedPageBreak/>
        <w:t>Laikyti ne aukštesnėje kaip 25 °C temperatūroje.</w:t>
      </w:r>
    </w:p>
    <w:p w14:paraId="0EA6FE38"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Negalima užšaldyti.</w:t>
      </w:r>
    </w:p>
    <w:p w14:paraId="37736BE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Tūbelę laikyti sandariai užsuktą.</w:t>
      </w:r>
    </w:p>
    <w:p w14:paraId="61FF7AA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111043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4DB06D3"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10.</w:t>
      </w:r>
      <w:r w:rsidRPr="00CB0E79">
        <w:rPr>
          <w:rFonts w:ascii="Times New Roman" w:eastAsia="Times New Roman" w:hAnsi="Times New Roman" w:cs="Times New Roman"/>
          <w:b/>
          <w:noProof/>
          <w:kern w:val="0"/>
          <w:sz w:val="22"/>
          <w:szCs w:val="22"/>
          <w:lang w:val="lt-LT"/>
          <w14:ligatures w14:val="none"/>
        </w:rPr>
        <w:tab/>
        <w:t xml:space="preserve">SPECIALIOS ATSARGUMO PRIEMONĖS DĖL NESUVARTOTO </w:t>
      </w:r>
      <w:r w:rsidRPr="00CB0E79">
        <w:rPr>
          <w:rFonts w:ascii="Times New Roman" w:eastAsia="Times New Roman" w:hAnsi="Times New Roman" w:cs="Times New Roman"/>
          <w:b/>
          <w:bCs/>
          <w:noProof/>
          <w:kern w:val="0"/>
          <w:sz w:val="22"/>
          <w:szCs w:val="22"/>
          <w:lang w:val="lt-LT"/>
          <w14:ligatures w14:val="none"/>
        </w:rPr>
        <w:t xml:space="preserve">VAISTINIO PREPARATO AR JO ATLIEKŲ </w:t>
      </w:r>
      <w:r w:rsidRPr="00CB0E79">
        <w:rPr>
          <w:rFonts w:ascii="Times New Roman" w:eastAsia="Times New Roman" w:hAnsi="Times New Roman" w:cs="Times New Roman"/>
          <w:b/>
          <w:noProof/>
          <w:kern w:val="0"/>
          <w:sz w:val="22"/>
          <w:szCs w:val="22"/>
          <w:lang w:val="lt-LT"/>
          <w14:ligatures w14:val="none"/>
        </w:rPr>
        <w:t>TVARKYMO (JEI REIKIA)</w:t>
      </w:r>
    </w:p>
    <w:p w14:paraId="01A18E8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DE52AD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A8EECB"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11.</w:t>
      </w:r>
      <w:r w:rsidRPr="00CB0E79">
        <w:rPr>
          <w:rFonts w:ascii="Times New Roman" w:eastAsia="Times New Roman" w:hAnsi="Times New Roman" w:cs="Times New Roman"/>
          <w:b/>
          <w:noProof/>
          <w:kern w:val="0"/>
          <w:sz w:val="22"/>
          <w:szCs w:val="22"/>
          <w:lang w:val="lt-LT"/>
          <w14:ligatures w14:val="none"/>
        </w:rPr>
        <w:tab/>
        <w:t>REGISTRUOTOJO PAVADINIMAS IR ADRESAS</w:t>
      </w:r>
    </w:p>
    <w:p w14:paraId="2ADDB6A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6B5F39A"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SIA Novartis Baltics</w:t>
      </w:r>
    </w:p>
    <w:p w14:paraId="5D4F0BDF"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Skanstes iela 25</w:t>
      </w:r>
    </w:p>
    <w:p w14:paraId="3C875B4E" w14:textId="77777777" w:rsidR="00CB0E79" w:rsidRPr="00CB0E79" w:rsidRDefault="00CB0E79" w:rsidP="00CB0E79">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CB0E79">
        <w:rPr>
          <w:rFonts w:ascii="Times New Roman" w:eastAsia="Times New Roman" w:hAnsi="Times New Roman" w:cs="Times New Roman"/>
          <w:kern w:val="0"/>
          <w:sz w:val="22"/>
          <w:szCs w:val="22"/>
          <w:lang w:val="it-IT" w:eastAsia="et-EE"/>
          <w14:ligatures w14:val="none"/>
        </w:rPr>
        <w:t>LV-1013, Rīga</w:t>
      </w:r>
    </w:p>
    <w:p w14:paraId="2FC68B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it-IT" w:eastAsia="et-EE"/>
          <w14:ligatures w14:val="none"/>
        </w:rPr>
        <w:t>Latvija</w:t>
      </w:r>
    </w:p>
    <w:p w14:paraId="6EDE3CD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CFEE5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9F6BC3E"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12.</w:t>
      </w:r>
      <w:r w:rsidRPr="00CB0E79">
        <w:rPr>
          <w:rFonts w:ascii="Times New Roman" w:eastAsia="Times New Roman" w:hAnsi="Times New Roman" w:cs="Times New Roman"/>
          <w:b/>
          <w:noProof/>
          <w:kern w:val="0"/>
          <w:sz w:val="22"/>
          <w:szCs w:val="22"/>
          <w:lang w:val="lt-LT"/>
          <w14:ligatures w14:val="none"/>
        </w:rPr>
        <w:tab/>
        <w:t>REGISTRACIJOS PAŽYMĖJIMO NUMERIS (-IAI)</w:t>
      </w:r>
    </w:p>
    <w:p w14:paraId="39A08B6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1122C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LT/1/92/0003/001</w:t>
      </w:r>
    </w:p>
    <w:p w14:paraId="2F6FC16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D5C2E9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47529D6"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13.</w:t>
      </w:r>
      <w:r w:rsidRPr="00CB0E79">
        <w:rPr>
          <w:rFonts w:ascii="Times New Roman" w:eastAsia="Times New Roman" w:hAnsi="Times New Roman" w:cs="Times New Roman"/>
          <w:b/>
          <w:noProof/>
          <w:kern w:val="0"/>
          <w:sz w:val="22"/>
          <w:szCs w:val="22"/>
          <w:lang w:val="lt-LT"/>
          <w14:ligatures w14:val="none"/>
        </w:rPr>
        <w:tab/>
        <w:t>SERIJOS NUMERIS</w:t>
      </w:r>
    </w:p>
    <w:p w14:paraId="1DD2A05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45D891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Lot</w:t>
      </w:r>
    </w:p>
    <w:p w14:paraId="0360F14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914F3E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3DEC1B5"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14.</w:t>
      </w:r>
      <w:r w:rsidRPr="00CB0E79">
        <w:rPr>
          <w:rFonts w:ascii="Times New Roman" w:eastAsia="Times New Roman" w:hAnsi="Times New Roman" w:cs="Times New Roman"/>
          <w:b/>
          <w:noProof/>
          <w:kern w:val="0"/>
          <w:sz w:val="22"/>
          <w:szCs w:val="22"/>
          <w:lang w:val="lt-LT"/>
          <w14:ligatures w14:val="none"/>
        </w:rPr>
        <w:tab/>
        <w:t>PARDAVIMO (IŠDAVIMO) TVARKA</w:t>
      </w:r>
    </w:p>
    <w:p w14:paraId="43BA2B3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818137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Receptinis vaistas</w:t>
      </w:r>
    </w:p>
    <w:p w14:paraId="2EB001E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145681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EB7E3AC"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15.</w:t>
      </w:r>
      <w:r w:rsidRPr="00CB0E79">
        <w:rPr>
          <w:rFonts w:ascii="Times New Roman" w:eastAsia="Times New Roman" w:hAnsi="Times New Roman" w:cs="Times New Roman"/>
          <w:b/>
          <w:noProof/>
          <w:kern w:val="0"/>
          <w:sz w:val="22"/>
          <w:szCs w:val="22"/>
          <w:lang w:val="lt-LT"/>
          <w14:ligatures w14:val="none"/>
        </w:rPr>
        <w:tab/>
        <w:t>VARTOJIMO INSTRUKCIJA</w:t>
      </w:r>
    </w:p>
    <w:p w14:paraId="7FA60DB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069AD6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12D3231"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16.</w:t>
      </w:r>
      <w:r w:rsidRPr="00CB0E79">
        <w:rPr>
          <w:rFonts w:ascii="Times New Roman" w:eastAsia="Times New Roman" w:hAnsi="Times New Roman" w:cs="Times New Roman"/>
          <w:b/>
          <w:noProof/>
          <w:kern w:val="0"/>
          <w:sz w:val="22"/>
          <w:szCs w:val="22"/>
          <w:lang w:val="lt-LT"/>
          <w14:ligatures w14:val="none"/>
        </w:rPr>
        <w:tab/>
        <w:t>INFORMACIJA BRAILIO RAŠTU</w:t>
      </w:r>
    </w:p>
    <w:p w14:paraId="0DEB2E0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250E30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maxidex tepalas</w:t>
      </w:r>
    </w:p>
    <w:p w14:paraId="4421AD3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AFF5A51" w14:textId="77777777" w:rsidR="00CB0E79" w:rsidRPr="00CB0E79" w:rsidRDefault="00CB0E79" w:rsidP="00CB0E79">
      <w:pPr>
        <w:tabs>
          <w:tab w:val="left" w:pos="567"/>
        </w:tabs>
        <w:spacing w:after="0" w:line="260" w:lineRule="exact"/>
        <w:rPr>
          <w:rFonts w:ascii="Times New Roman" w:eastAsia="Times New Roman" w:hAnsi="Times New Roman" w:cs="Times New Roman"/>
          <w:noProof/>
          <w:kern w:val="0"/>
          <w:sz w:val="22"/>
          <w:szCs w:val="22"/>
          <w:shd w:val="clear" w:color="auto" w:fill="CCCCCC"/>
          <w:lang w:val="lt-LT"/>
          <w14:ligatures w14:val="none"/>
        </w:rPr>
      </w:pPr>
    </w:p>
    <w:p w14:paraId="1138C3E0" w14:textId="77777777" w:rsidR="00CB0E79" w:rsidRPr="00CB0E79" w:rsidRDefault="00CB0E79" w:rsidP="00CB0E79">
      <w:pPr>
        <w:keepNext/>
        <w:pBdr>
          <w:top w:val="single" w:sz="4" w:space="1" w:color="auto"/>
          <w:left w:val="single" w:sz="4" w:space="4" w:color="auto"/>
          <w:bottom w:val="single" w:sz="4" w:space="1" w:color="auto"/>
          <w:right w:val="single" w:sz="4" w:space="4" w:color="auto"/>
        </w:pBdr>
        <w:tabs>
          <w:tab w:val="left" w:pos="-4111"/>
        </w:tabs>
        <w:spacing w:after="0" w:line="260" w:lineRule="exact"/>
        <w:outlineLvl w:val="0"/>
        <w:rPr>
          <w:rFonts w:ascii="Times New Roman" w:eastAsia="Times New Roman" w:hAnsi="Times New Roman" w:cs="Times New Roman"/>
          <w:i/>
          <w:noProof/>
          <w:snapToGrid w:val="0"/>
          <w:kern w:val="0"/>
          <w:sz w:val="22"/>
          <w:szCs w:val="24"/>
          <w:lang w:val="lt-LT"/>
          <w14:ligatures w14:val="none"/>
        </w:rPr>
      </w:pPr>
      <w:r w:rsidRPr="00CB0E79">
        <w:rPr>
          <w:rFonts w:ascii="Times New Roman" w:eastAsia="Times New Roman" w:hAnsi="Times New Roman" w:cs="Times New Roman"/>
          <w:b/>
          <w:noProof/>
          <w:snapToGrid w:val="0"/>
          <w:kern w:val="0"/>
          <w:sz w:val="22"/>
          <w:lang w:val="lt-LT"/>
          <w14:ligatures w14:val="none"/>
        </w:rPr>
        <w:t>17.</w:t>
      </w:r>
      <w:r w:rsidRPr="00CB0E79">
        <w:rPr>
          <w:rFonts w:ascii="Times New Roman" w:eastAsia="Times New Roman" w:hAnsi="Times New Roman" w:cs="Times New Roman"/>
          <w:b/>
          <w:noProof/>
          <w:snapToGrid w:val="0"/>
          <w:kern w:val="0"/>
          <w:sz w:val="22"/>
          <w:lang w:val="lt-LT"/>
          <w14:ligatures w14:val="none"/>
        </w:rPr>
        <w:tab/>
        <w:t>UNIKALUS IDENTIFIKATORIUS – 2D BRŪKŠNINIS KODAS</w:t>
      </w:r>
    </w:p>
    <w:p w14:paraId="49BF11CF"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421B1D32"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r w:rsidRPr="00CB0E79">
        <w:rPr>
          <w:rFonts w:ascii="Times New Roman" w:eastAsia="Times New Roman" w:hAnsi="Times New Roman" w:cs="Times New Roman"/>
          <w:noProof/>
          <w:snapToGrid w:val="0"/>
          <w:kern w:val="0"/>
          <w:sz w:val="22"/>
          <w:highlight w:val="lightGray"/>
          <w:lang w:val="lt-LT"/>
          <w14:ligatures w14:val="none"/>
        </w:rPr>
        <w:t>2D brūkšninis kodas su nurodytu unikaliu identifikatoriumi.</w:t>
      </w:r>
    </w:p>
    <w:p w14:paraId="253BEFB1"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07671BB1"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199E063B" w14:textId="77777777" w:rsidR="00CB0E79" w:rsidRPr="00CB0E79" w:rsidRDefault="00CB0E79" w:rsidP="00CB0E79">
      <w:pPr>
        <w:keepNext/>
        <w:pBdr>
          <w:top w:val="single" w:sz="4" w:space="1" w:color="auto"/>
          <w:left w:val="single" w:sz="4" w:space="4" w:color="auto"/>
          <w:bottom w:val="single" w:sz="4" w:space="1" w:color="auto"/>
          <w:right w:val="single" w:sz="4" w:space="4" w:color="auto"/>
        </w:pBdr>
        <w:spacing w:after="0" w:line="260" w:lineRule="exact"/>
        <w:outlineLvl w:val="0"/>
        <w:rPr>
          <w:rFonts w:ascii="Times New Roman" w:eastAsia="Times New Roman" w:hAnsi="Times New Roman" w:cs="Times New Roman"/>
          <w:i/>
          <w:noProof/>
          <w:snapToGrid w:val="0"/>
          <w:kern w:val="0"/>
          <w:sz w:val="22"/>
          <w:lang w:val="lt-LT"/>
          <w14:ligatures w14:val="none"/>
        </w:rPr>
      </w:pPr>
      <w:r w:rsidRPr="00CB0E79">
        <w:rPr>
          <w:rFonts w:ascii="Times New Roman" w:eastAsia="Times New Roman" w:hAnsi="Times New Roman" w:cs="Times New Roman"/>
          <w:b/>
          <w:noProof/>
          <w:snapToGrid w:val="0"/>
          <w:kern w:val="0"/>
          <w:sz w:val="22"/>
          <w:lang w:val="lt-LT"/>
          <w14:ligatures w14:val="none"/>
        </w:rPr>
        <w:t>18.</w:t>
      </w:r>
      <w:r w:rsidRPr="00CB0E79">
        <w:rPr>
          <w:rFonts w:ascii="Times New Roman" w:eastAsia="Times New Roman" w:hAnsi="Times New Roman" w:cs="Times New Roman"/>
          <w:b/>
          <w:noProof/>
          <w:snapToGrid w:val="0"/>
          <w:kern w:val="0"/>
          <w:sz w:val="22"/>
          <w:lang w:val="lt-LT"/>
          <w14:ligatures w14:val="none"/>
        </w:rPr>
        <w:tab/>
        <w:t>UNIKALUS IDENTIFIKATORIUS – ŽMONĖMS SUPRANTAMI DUOMENYS</w:t>
      </w:r>
    </w:p>
    <w:p w14:paraId="5E61D05C"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kern w:val="0"/>
          <w:sz w:val="22"/>
          <w:lang w:val="lt-LT"/>
          <w14:ligatures w14:val="none"/>
        </w:rPr>
      </w:pPr>
    </w:p>
    <w:p w14:paraId="69834BD6" w14:textId="77777777" w:rsidR="00CB0E79" w:rsidRPr="00CB0E79" w:rsidRDefault="00CB0E79" w:rsidP="00CB0E79">
      <w:pPr>
        <w:tabs>
          <w:tab w:val="left" w:pos="567"/>
        </w:tabs>
        <w:spacing w:after="0" w:line="260" w:lineRule="exact"/>
        <w:rPr>
          <w:rFonts w:ascii="Times New Roman" w:eastAsia="Times New Roman" w:hAnsi="Times New Roman" w:cs="Times New Roman"/>
          <w:snapToGrid w:val="0"/>
          <w:color w:val="008000"/>
          <w:kern w:val="0"/>
          <w:sz w:val="22"/>
          <w:szCs w:val="22"/>
          <w:lang w:val="lt-LT"/>
          <w14:ligatures w14:val="none"/>
        </w:rPr>
      </w:pPr>
      <w:r w:rsidRPr="00CB0E79">
        <w:rPr>
          <w:rFonts w:ascii="Times New Roman" w:eastAsia="Times New Roman" w:hAnsi="Times New Roman" w:cs="Times New Roman"/>
          <w:snapToGrid w:val="0"/>
          <w:kern w:val="0"/>
          <w:sz w:val="22"/>
          <w:lang w:val="lt-LT"/>
          <w14:ligatures w14:val="none"/>
        </w:rPr>
        <w:t xml:space="preserve">PC </w:t>
      </w:r>
    </w:p>
    <w:p w14:paraId="6D013897" w14:textId="77777777" w:rsidR="00CB0E79" w:rsidRPr="00CB0E79" w:rsidRDefault="00CB0E79" w:rsidP="00CB0E79">
      <w:pPr>
        <w:tabs>
          <w:tab w:val="left" w:pos="567"/>
        </w:tabs>
        <w:spacing w:after="0" w:line="260" w:lineRule="exact"/>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lang w:val="lt-LT"/>
          <w14:ligatures w14:val="none"/>
        </w:rPr>
        <w:t xml:space="preserve">SN </w:t>
      </w:r>
    </w:p>
    <w:p w14:paraId="62E4EF9D" w14:textId="77777777" w:rsidR="00CB0E79" w:rsidRPr="00CB0E79" w:rsidRDefault="00CB0E79" w:rsidP="00CB0E79">
      <w:pPr>
        <w:tabs>
          <w:tab w:val="left" w:pos="567"/>
        </w:tabs>
        <w:spacing w:after="0" w:line="260" w:lineRule="exact"/>
        <w:rPr>
          <w:rFonts w:ascii="Times New Roman" w:eastAsia="Times New Roman" w:hAnsi="Times New Roman" w:cs="Times New Roman"/>
          <w:noProof/>
          <w:snapToGrid w:val="0"/>
          <w:vanish/>
          <w:kern w:val="0"/>
          <w:sz w:val="22"/>
          <w:szCs w:val="22"/>
          <w:lang w:val="lt-LT"/>
          <w14:ligatures w14:val="none"/>
        </w:rPr>
      </w:pPr>
      <w:r w:rsidRPr="00CB0E79">
        <w:rPr>
          <w:rFonts w:ascii="Times New Roman" w:eastAsia="Times New Roman" w:hAnsi="Times New Roman" w:cs="Times New Roman"/>
          <w:snapToGrid w:val="0"/>
          <w:kern w:val="0"/>
          <w:sz w:val="22"/>
          <w:lang w:val="lt-LT"/>
          <w14:ligatures w14:val="none"/>
        </w:rPr>
        <w:t xml:space="preserve">NN </w:t>
      </w:r>
    </w:p>
    <w:p w14:paraId="03C9567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07EE4C"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br w:type="page"/>
      </w:r>
      <w:r w:rsidRPr="00CB0E79">
        <w:rPr>
          <w:rFonts w:ascii="Times New Roman" w:eastAsia="Times New Roman" w:hAnsi="Times New Roman" w:cs="Times New Roman"/>
          <w:b/>
          <w:noProof/>
          <w:kern w:val="0"/>
          <w:sz w:val="22"/>
          <w:szCs w:val="22"/>
          <w:lang w:val="lt-LT"/>
          <w14:ligatures w14:val="none"/>
        </w:rPr>
        <w:lastRenderedPageBreak/>
        <w:t>MINIMALI INFORMACIJA ANT MAŽŲ VIDINIŲ</w:t>
      </w:r>
      <w:r w:rsidRPr="00CB0E79">
        <w:rPr>
          <w:rFonts w:ascii="Times New Roman" w:eastAsia="Times New Roman" w:hAnsi="Times New Roman" w:cs="Times New Roman"/>
          <w:b/>
          <w:bCs/>
          <w:noProof/>
          <w:kern w:val="0"/>
          <w:sz w:val="22"/>
          <w:szCs w:val="22"/>
          <w:lang w:val="lt-LT"/>
          <w14:ligatures w14:val="none"/>
        </w:rPr>
        <w:t xml:space="preserve"> </w:t>
      </w:r>
      <w:r w:rsidRPr="00CB0E79">
        <w:rPr>
          <w:rFonts w:ascii="Times New Roman" w:eastAsia="Times New Roman" w:hAnsi="Times New Roman" w:cs="Times New Roman"/>
          <w:b/>
          <w:noProof/>
          <w:kern w:val="0"/>
          <w:sz w:val="22"/>
          <w:szCs w:val="22"/>
          <w:lang w:val="lt-LT"/>
          <w14:ligatures w14:val="none"/>
        </w:rPr>
        <w:t>PAKUOČIŲ</w:t>
      </w:r>
    </w:p>
    <w:p w14:paraId="714DC13C"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4EFAFCA7"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TŪBELĖ</w:t>
      </w:r>
    </w:p>
    <w:p w14:paraId="0DBB753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B8BF9E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3FEB442"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1.</w:t>
      </w:r>
      <w:r w:rsidRPr="00CB0E79">
        <w:rPr>
          <w:rFonts w:ascii="Times New Roman" w:eastAsia="Times New Roman" w:hAnsi="Times New Roman" w:cs="Times New Roman"/>
          <w:b/>
          <w:noProof/>
          <w:kern w:val="0"/>
          <w:sz w:val="22"/>
          <w:szCs w:val="22"/>
          <w:lang w:val="lt-LT"/>
          <w14:ligatures w14:val="none"/>
        </w:rPr>
        <w:tab/>
        <w:t>VAISTINIO PREPARATO PAVADINIMAS IR VARTOJIMO BŪDAS</w:t>
      </w:r>
    </w:p>
    <w:p w14:paraId="0D5641B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124A994" w14:textId="77777777" w:rsidR="00CB0E79" w:rsidRPr="00CB0E79" w:rsidRDefault="00CB0E79" w:rsidP="00CB0E79">
      <w:pPr>
        <w:keepNext/>
        <w:spacing w:after="0" w:line="240" w:lineRule="auto"/>
        <w:outlineLvl w:val="2"/>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Maxidex 1 mg/g akių tepalas</w:t>
      </w:r>
    </w:p>
    <w:p w14:paraId="368A7C4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Deksametazonas</w:t>
      </w:r>
    </w:p>
    <w:p w14:paraId="79CE0CF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Vartoti ant akių</w:t>
      </w:r>
    </w:p>
    <w:p w14:paraId="70D3B4B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4C8ED2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B3EEA2E"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2.</w:t>
      </w:r>
      <w:r w:rsidRPr="00CB0E79">
        <w:rPr>
          <w:rFonts w:ascii="Times New Roman" w:eastAsia="Times New Roman" w:hAnsi="Times New Roman" w:cs="Times New Roman"/>
          <w:b/>
          <w:noProof/>
          <w:kern w:val="0"/>
          <w:sz w:val="22"/>
          <w:szCs w:val="22"/>
          <w:lang w:val="lt-LT"/>
          <w14:ligatures w14:val="none"/>
        </w:rPr>
        <w:tab/>
        <w:t>VARTOJIMO METODAS</w:t>
      </w:r>
    </w:p>
    <w:p w14:paraId="27AAA79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8EC7DF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Prieš vartojimą perskaitykite pakuotės lapelį.</w:t>
      </w:r>
    </w:p>
    <w:p w14:paraId="03A916F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8E3D2D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71C16F0"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CB0E79">
        <w:rPr>
          <w:rFonts w:ascii="Times New Roman" w:eastAsia="Times New Roman" w:hAnsi="Times New Roman" w:cs="Times New Roman"/>
          <w:b/>
          <w:noProof/>
          <w:kern w:val="0"/>
          <w:sz w:val="22"/>
          <w:szCs w:val="22"/>
          <w:lang w:val="lt-LT"/>
          <w14:ligatures w14:val="none"/>
        </w:rPr>
        <w:t>3.</w:t>
      </w:r>
      <w:r w:rsidRPr="00CB0E79">
        <w:rPr>
          <w:rFonts w:ascii="Times New Roman" w:eastAsia="Times New Roman" w:hAnsi="Times New Roman" w:cs="Times New Roman"/>
          <w:b/>
          <w:noProof/>
          <w:kern w:val="0"/>
          <w:sz w:val="22"/>
          <w:szCs w:val="22"/>
          <w:lang w:val="lt-LT"/>
          <w14:ligatures w14:val="none"/>
        </w:rPr>
        <w:tab/>
        <w:t>TINKAMUMO LAIKAS</w:t>
      </w:r>
    </w:p>
    <w:p w14:paraId="7BA8BBB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335729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EXP {mm MMMM}</w:t>
      </w:r>
    </w:p>
    <w:p w14:paraId="04798C9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612EA6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EB81736" w14:textId="77777777" w:rsidR="00CB0E79" w:rsidRPr="00CB0E79" w:rsidRDefault="00CB0E79" w:rsidP="00CB0E7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4.</w:t>
      </w:r>
      <w:r w:rsidRPr="00CB0E79">
        <w:rPr>
          <w:rFonts w:ascii="Times New Roman" w:eastAsia="Times New Roman" w:hAnsi="Times New Roman" w:cs="Times New Roman"/>
          <w:b/>
          <w:noProof/>
          <w:kern w:val="0"/>
          <w:sz w:val="22"/>
          <w:szCs w:val="22"/>
          <w:lang w:val="lt-LT"/>
          <w14:ligatures w14:val="none"/>
        </w:rPr>
        <w:tab/>
        <w:t>SERIJOS NUMERIS</w:t>
      </w:r>
    </w:p>
    <w:p w14:paraId="575F549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3E4813" w14:textId="77777777" w:rsidR="00CB0E79" w:rsidRPr="00CB0E79" w:rsidRDefault="00CB0E79" w:rsidP="00CB0E79">
      <w:pPr>
        <w:spacing w:after="0" w:line="240" w:lineRule="auto"/>
        <w:ind w:right="113"/>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Lot</w:t>
      </w:r>
    </w:p>
    <w:p w14:paraId="13600BD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6B2482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086402D"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5.</w:t>
      </w:r>
      <w:r w:rsidRPr="00CB0E79">
        <w:rPr>
          <w:rFonts w:ascii="Times New Roman" w:eastAsia="Times New Roman" w:hAnsi="Times New Roman" w:cs="Times New Roman"/>
          <w:b/>
          <w:noProof/>
          <w:kern w:val="0"/>
          <w:sz w:val="22"/>
          <w:szCs w:val="22"/>
          <w:lang w:val="lt-LT"/>
          <w14:ligatures w14:val="none"/>
        </w:rPr>
        <w:tab/>
        <w:t>KIEKIS (MASĖ, TŪRIS ARBA VIENETAI)</w:t>
      </w:r>
    </w:p>
    <w:p w14:paraId="1958F9E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57800E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3,5 g</w:t>
      </w:r>
    </w:p>
    <w:p w14:paraId="67C7DD5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983EFC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592B1EF" w14:textId="77777777" w:rsidR="00CB0E79" w:rsidRPr="00CB0E79" w:rsidRDefault="00CB0E79" w:rsidP="00CB0E79">
      <w:pPr>
        <w:pBdr>
          <w:top w:val="single" w:sz="4" w:space="1" w:color="auto"/>
          <w:left w:val="single" w:sz="4" w:space="4" w:color="auto"/>
          <w:bottom w:val="single" w:sz="4" w:space="1" w:color="auto"/>
          <w:right w:val="single" w:sz="4" w:space="4" w:color="auto"/>
        </w:pBdr>
        <w:tabs>
          <w:tab w:val="left" w:pos="-4111"/>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CB0E79">
        <w:rPr>
          <w:rFonts w:ascii="Times New Roman" w:eastAsia="Times New Roman" w:hAnsi="Times New Roman" w:cs="Times New Roman"/>
          <w:b/>
          <w:noProof/>
          <w:kern w:val="0"/>
          <w:sz w:val="22"/>
          <w:szCs w:val="22"/>
          <w:lang w:val="lt-LT"/>
          <w14:ligatures w14:val="none"/>
        </w:rPr>
        <w:t>6.</w:t>
      </w:r>
      <w:r w:rsidRPr="00CB0E79">
        <w:rPr>
          <w:rFonts w:ascii="Times New Roman" w:eastAsia="Times New Roman" w:hAnsi="Times New Roman" w:cs="Times New Roman"/>
          <w:b/>
          <w:noProof/>
          <w:kern w:val="0"/>
          <w:sz w:val="22"/>
          <w:szCs w:val="22"/>
          <w:lang w:val="lt-LT"/>
          <w14:ligatures w14:val="none"/>
        </w:rPr>
        <w:tab/>
        <w:t>KITA</w:t>
      </w:r>
    </w:p>
    <w:p w14:paraId="77C0F56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093CA4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br w:type="page"/>
      </w:r>
    </w:p>
    <w:p w14:paraId="00C51AA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49B7BD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BEAA96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47249B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820F6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B959EE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5FD345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DCDF18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0B8A96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747C5F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78142C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4EBCE2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55032F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0BFF92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FC7568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D4FDD8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BF14A8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2C4B40C"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F3C012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C0447D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B45292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7485E1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E4D5BAF"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10" w:name="_Toc129243262"/>
      <w:bookmarkStart w:id="11" w:name="_Toc129243137"/>
    </w:p>
    <w:p w14:paraId="28C33A8B" w14:textId="77777777" w:rsidR="00CB0E79" w:rsidRPr="00CB0E79" w:rsidRDefault="00CB0E79" w:rsidP="00CB0E79">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CB0E79">
        <w:rPr>
          <w:rFonts w:ascii="Times New Roman" w:eastAsia="Times New Roman" w:hAnsi="Times New Roman" w:cs="Times New Roman"/>
          <w:b/>
          <w:caps/>
          <w:kern w:val="0"/>
          <w:sz w:val="22"/>
          <w:szCs w:val="22"/>
          <w:lang w:val="lt-LT"/>
          <w14:ligatures w14:val="none"/>
        </w:rPr>
        <w:t>B. PAKUOTĖS LAPELIS</w:t>
      </w:r>
      <w:bookmarkEnd w:id="10"/>
      <w:bookmarkEnd w:id="11"/>
    </w:p>
    <w:p w14:paraId="64A9A49C" w14:textId="77777777" w:rsidR="00CB0E79" w:rsidRPr="00CB0E79" w:rsidRDefault="00CB0E79" w:rsidP="00CB0E79">
      <w:pPr>
        <w:spacing w:after="0" w:line="240" w:lineRule="auto"/>
        <w:jc w:val="center"/>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br w:type="page"/>
      </w:r>
      <w:bookmarkStart w:id="12" w:name="_Toc129243138"/>
      <w:bookmarkStart w:id="13" w:name="_Toc129243263"/>
      <w:r w:rsidRPr="00CB0E79">
        <w:rPr>
          <w:rFonts w:ascii="Times New Roman" w:eastAsia="Times New Roman" w:hAnsi="Times New Roman" w:cs="Times New Roman"/>
          <w:b/>
          <w:kern w:val="0"/>
          <w:sz w:val="22"/>
          <w:szCs w:val="22"/>
          <w:lang w:val="lt-LT"/>
          <w14:ligatures w14:val="none"/>
        </w:rPr>
        <w:lastRenderedPageBreak/>
        <w:t xml:space="preserve">Pakuotės lapelis: informacija </w:t>
      </w:r>
      <w:bookmarkEnd w:id="12"/>
      <w:bookmarkEnd w:id="13"/>
      <w:r w:rsidRPr="00CB0E79">
        <w:rPr>
          <w:rFonts w:ascii="Times New Roman" w:eastAsia="Times New Roman" w:hAnsi="Times New Roman" w:cs="Times New Roman"/>
          <w:b/>
          <w:kern w:val="0"/>
          <w:sz w:val="22"/>
          <w:szCs w:val="22"/>
          <w:lang w:val="lt-LT"/>
          <w14:ligatures w14:val="none"/>
        </w:rPr>
        <w:t>pacientui</w:t>
      </w:r>
    </w:p>
    <w:p w14:paraId="5B1CE4C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E8102D9" w14:textId="77777777" w:rsidR="00CB0E79" w:rsidRPr="00CB0E79" w:rsidRDefault="00CB0E79" w:rsidP="00CB0E79">
      <w:pPr>
        <w:spacing w:after="0" w:line="240" w:lineRule="auto"/>
        <w:jc w:val="center"/>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 xml:space="preserve">Maxidex </w:t>
      </w:r>
      <w:r w:rsidRPr="00CB0E79">
        <w:rPr>
          <w:rFonts w:ascii="Times New Roman" w:eastAsia="Times New Roman" w:hAnsi="Times New Roman" w:cs="Times New Roman"/>
          <w:b/>
          <w:kern w:val="0"/>
          <w:sz w:val="22"/>
          <w:szCs w:val="22"/>
          <w:lang w:val="lt-LT"/>
          <w14:ligatures w14:val="none"/>
        </w:rPr>
        <w:t>1 mg/g akių tepalas</w:t>
      </w:r>
    </w:p>
    <w:p w14:paraId="36574242" w14:textId="77777777" w:rsidR="00CB0E79" w:rsidRPr="00CB0E79" w:rsidRDefault="00CB0E79" w:rsidP="00CB0E79">
      <w:pPr>
        <w:spacing w:after="0" w:line="240" w:lineRule="auto"/>
        <w:jc w:val="center"/>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deksametazonas</w:t>
      </w:r>
    </w:p>
    <w:p w14:paraId="4C95A88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46F38FB"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59E9CB46" w14:textId="77777777" w:rsidR="00CB0E79" w:rsidRPr="00CB0E79" w:rsidRDefault="00CB0E79" w:rsidP="00CB0E79">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Neišmeskite šio lapelio, nes vėl gali prireikti jį perskaityti.</w:t>
      </w:r>
    </w:p>
    <w:p w14:paraId="79283151" w14:textId="77777777" w:rsidR="00CB0E79" w:rsidRPr="00CB0E79" w:rsidRDefault="00CB0E79" w:rsidP="00CB0E79">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kiltų daugiau klausimų, kreipkitės į gydytoją arba vaistininką.</w:t>
      </w:r>
    </w:p>
    <w:p w14:paraId="15F8D80E" w14:textId="77777777" w:rsidR="00CB0E79" w:rsidRPr="00CB0E79" w:rsidRDefault="00CB0E79" w:rsidP="00CB0E79">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Šis vaistas skirtas tik Jums, todėl kitiems žmonėms jo duoti negalima. Vaistas gali jiems pakenkti (net tiems, kurių ligos požymiai yra tokie patys kaip Jūsų).</w:t>
      </w:r>
    </w:p>
    <w:p w14:paraId="06854CA8" w14:textId="77777777" w:rsidR="00CB0E79" w:rsidRPr="00CB0E79" w:rsidRDefault="00CB0E79" w:rsidP="00CB0E79">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 gydytoją arba vaistininką.</w:t>
      </w:r>
      <w:r w:rsidRPr="00CB0E79">
        <w:rPr>
          <w:rFonts w:ascii="Times New Roman" w:eastAsia="MS Mincho" w:hAnsi="Times New Roman" w:cs="Times New Roman"/>
          <w:kern w:val="0"/>
          <w:sz w:val="22"/>
          <w:szCs w:val="22"/>
          <w:lang w:val="lt-LT"/>
          <w14:ligatures w14:val="none"/>
        </w:rPr>
        <w:t xml:space="preserve"> </w:t>
      </w:r>
      <w:r w:rsidRPr="00CB0E79">
        <w:rPr>
          <w:rFonts w:ascii="Times New Roman" w:eastAsia="Times New Roman" w:hAnsi="Times New Roman" w:cs="Times New Roman"/>
          <w:noProof/>
          <w:kern w:val="0"/>
          <w:sz w:val="22"/>
          <w:szCs w:val="22"/>
          <w:lang w:val="lt-LT"/>
          <w14:ligatures w14:val="none"/>
        </w:rPr>
        <w:t>Žr. 4 skyrių</w:t>
      </w:r>
    </w:p>
    <w:p w14:paraId="42DA8C04" w14:textId="77777777" w:rsidR="00CB0E79" w:rsidRPr="00CB0E79" w:rsidRDefault="00CB0E79" w:rsidP="00CB0E79">
      <w:pPr>
        <w:spacing w:after="0" w:line="240" w:lineRule="auto"/>
        <w:jc w:val="center"/>
        <w:rPr>
          <w:rFonts w:ascii="Times New Roman" w:eastAsia="Times New Roman" w:hAnsi="Times New Roman" w:cs="Times New Roman"/>
          <w:kern w:val="0"/>
          <w:sz w:val="22"/>
          <w:szCs w:val="22"/>
          <w:lang w:val="lt-LT"/>
          <w14:ligatures w14:val="none"/>
        </w:rPr>
      </w:pPr>
    </w:p>
    <w:p w14:paraId="553A5E21"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Apie ką rašoma šiame lapelyje?</w:t>
      </w:r>
    </w:p>
    <w:p w14:paraId="3B39E850"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3792141D"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1.</w:t>
      </w:r>
      <w:r w:rsidRPr="00CB0E79">
        <w:rPr>
          <w:rFonts w:ascii="Times New Roman" w:eastAsia="Times New Roman" w:hAnsi="Times New Roman" w:cs="Times New Roman"/>
          <w:kern w:val="0"/>
          <w:sz w:val="22"/>
          <w:szCs w:val="22"/>
          <w:lang w:val="lt-LT"/>
          <w14:ligatures w14:val="none"/>
        </w:rPr>
        <w:tab/>
        <w:t xml:space="preserve">Kas yra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ir kam jis vartojamas</w:t>
      </w:r>
    </w:p>
    <w:p w14:paraId="7A1A6836"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2.</w:t>
      </w:r>
      <w:r w:rsidRPr="00CB0E79">
        <w:rPr>
          <w:rFonts w:ascii="Times New Roman" w:eastAsia="Times New Roman" w:hAnsi="Times New Roman" w:cs="Times New Roman"/>
          <w:kern w:val="0"/>
          <w:sz w:val="22"/>
          <w:szCs w:val="22"/>
          <w:lang w:val="lt-LT"/>
          <w14:ligatures w14:val="none"/>
        </w:rPr>
        <w:tab/>
        <w:t xml:space="preserve">Kas žinotina prieš vartojant </w:t>
      </w:r>
      <w:r w:rsidRPr="00CB0E79">
        <w:rPr>
          <w:rFonts w:ascii="Times New Roman" w:eastAsia="Times New Roman" w:hAnsi="Times New Roman" w:cs="Times New Roman"/>
          <w:bCs/>
          <w:kern w:val="0"/>
          <w:sz w:val="22"/>
          <w:szCs w:val="22"/>
          <w:lang w:val="lt-LT"/>
          <w14:ligatures w14:val="none"/>
        </w:rPr>
        <w:t xml:space="preserve">Maxidex </w:t>
      </w:r>
    </w:p>
    <w:p w14:paraId="621CCAFD"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3.</w:t>
      </w:r>
      <w:r w:rsidRPr="00CB0E79">
        <w:rPr>
          <w:rFonts w:ascii="Times New Roman" w:eastAsia="Times New Roman" w:hAnsi="Times New Roman" w:cs="Times New Roman"/>
          <w:kern w:val="0"/>
          <w:sz w:val="22"/>
          <w:szCs w:val="22"/>
          <w:lang w:val="lt-LT"/>
          <w14:ligatures w14:val="none"/>
        </w:rPr>
        <w:tab/>
        <w:t xml:space="preserve">Kaip vartoti </w:t>
      </w:r>
      <w:r w:rsidRPr="00CB0E79">
        <w:rPr>
          <w:rFonts w:ascii="Times New Roman" w:eastAsia="Times New Roman" w:hAnsi="Times New Roman" w:cs="Times New Roman"/>
          <w:bCs/>
          <w:kern w:val="0"/>
          <w:sz w:val="22"/>
          <w:szCs w:val="22"/>
          <w:lang w:val="lt-LT"/>
          <w14:ligatures w14:val="none"/>
        </w:rPr>
        <w:t xml:space="preserve">Maxidex </w:t>
      </w:r>
    </w:p>
    <w:p w14:paraId="05A430FE"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4.</w:t>
      </w:r>
      <w:r w:rsidRPr="00CB0E79">
        <w:rPr>
          <w:rFonts w:ascii="Times New Roman" w:eastAsia="Times New Roman" w:hAnsi="Times New Roman" w:cs="Times New Roman"/>
          <w:kern w:val="0"/>
          <w:sz w:val="22"/>
          <w:szCs w:val="22"/>
          <w:lang w:val="lt-LT"/>
          <w14:ligatures w14:val="none"/>
        </w:rPr>
        <w:tab/>
        <w:t>Galimas šalutinis poveikis</w:t>
      </w:r>
    </w:p>
    <w:p w14:paraId="06F83507"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5.</w:t>
      </w:r>
      <w:r w:rsidRPr="00CB0E79">
        <w:rPr>
          <w:rFonts w:ascii="Times New Roman" w:eastAsia="Times New Roman" w:hAnsi="Times New Roman" w:cs="Times New Roman"/>
          <w:kern w:val="0"/>
          <w:sz w:val="22"/>
          <w:szCs w:val="22"/>
          <w:lang w:val="lt-LT"/>
          <w14:ligatures w14:val="none"/>
        </w:rPr>
        <w:tab/>
        <w:t xml:space="preserve">Kaip laikyti </w:t>
      </w:r>
      <w:r w:rsidRPr="00CB0E79">
        <w:rPr>
          <w:rFonts w:ascii="Times New Roman" w:eastAsia="Times New Roman" w:hAnsi="Times New Roman" w:cs="Times New Roman"/>
          <w:bCs/>
          <w:kern w:val="0"/>
          <w:sz w:val="22"/>
          <w:szCs w:val="22"/>
          <w:lang w:val="lt-LT"/>
          <w14:ligatures w14:val="none"/>
        </w:rPr>
        <w:t xml:space="preserve">Maxidex </w:t>
      </w:r>
    </w:p>
    <w:p w14:paraId="7B16FC38" w14:textId="77777777" w:rsidR="00CB0E79" w:rsidRPr="00CB0E79" w:rsidRDefault="00CB0E79" w:rsidP="00CB0E79">
      <w:pPr>
        <w:tabs>
          <w:tab w:val="left" w:pos="720"/>
        </w:tabs>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6.</w:t>
      </w:r>
      <w:r w:rsidRPr="00CB0E79">
        <w:rPr>
          <w:rFonts w:ascii="Times New Roman" w:eastAsia="Times New Roman" w:hAnsi="Times New Roman" w:cs="Times New Roman"/>
          <w:kern w:val="0"/>
          <w:sz w:val="22"/>
          <w:szCs w:val="22"/>
          <w:lang w:val="lt-LT"/>
          <w14:ligatures w14:val="none"/>
        </w:rPr>
        <w:tab/>
        <w:t>Pakuotės turinys ir kita informacija</w:t>
      </w:r>
    </w:p>
    <w:p w14:paraId="3BD6F6C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0C591F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67CDB76" w14:textId="77777777" w:rsidR="00CB0E79" w:rsidRPr="00CB0E79" w:rsidRDefault="00CB0E79" w:rsidP="00CB0E79">
      <w:pPr>
        <w:keepNext/>
        <w:spacing w:after="0" w:line="240" w:lineRule="auto"/>
        <w:outlineLvl w:val="1"/>
        <w:rPr>
          <w:rFonts w:ascii="Times New Roman" w:eastAsia="Times New Roman" w:hAnsi="Times New Roman" w:cs="Times New Roman"/>
          <w:b/>
          <w:bCs/>
          <w:iCs/>
          <w:kern w:val="0"/>
          <w:sz w:val="22"/>
          <w:szCs w:val="22"/>
          <w:lang w:val="lt-LT"/>
          <w14:ligatures w14:val="none"/>
        </w:rPr>
      </w:pPr>
      <w:bookmarkStart w:id="14" w:name="_Toc129243139"/>
      <w:bookmarkStart w:id="15" w:name="_Toc129243264"/>
      <w:r w:rsidRPr="00CB0E79">
        <w:rPr>
          <w:rFonts w:ascii="Times New Roman" w:eastAsia="Times New Roman" w:hAnsi="Times New Roman" w:cs="Times New Roman"/>
          <w:b/>
          <w:bCs/>
          <w:iCs/>
          <w:kern w:val="0"/>
          <w:sz w:val="22"/>
          <w:szCs w:val="22"/>
          <w:lang w:val="lt-LT"/>
          <w14:ligatures w14:val="none"/>
        </w:rPr>
        <w:t>1.</w:t>
      </w:r>
      <w:r w:rsidRPr="00CB0E79">
        <w:rPr>
          <w:rFonts w:ascii="Times New Roman" w:eastAsia="Times New Roman" w:hAnsi="Times New Roman" w:cs="Times New Roman"/>
          <w:b/>
          <w:bCs/>
          <w:iCs/>
          <w:kern w:val="0"/>
          <w:sz w:val="22"/>
          <w:szCs w:val="22"/>
          <w:lang w:val="lt-LT"/>
          <w14:ligatures w14:val="none"/>
        </w:rPr>
        <w:tab/>
        <w:t xml:space="preserve">Kas yra </w:t>
      </w:r>
      <w:r w:rsidRPr="00CB0E79">
        <w:rPr>
          <w:rFonts w:ascii="Times New Roman" w:eastAsia="Times New Roman" w:hAnsi="Times New Roman" w:cs="Times New Roman"/>
          <w:b/>
          <w:bCs/>
          <w:kern w:val="0"/>
          <w:sz w:val="22"/>
          <w:szCs w:val="22"/>
          <w:lang w:val="lt-LT"/>
          <w14:ligatures w14:val="none"/>
        </w:rPr>
        <w:t>Maxidex</w:t>
      </w:r>
      <w:r w:rsidRPr="00CB0E79">
        <w:rPr>
          <w:rFonts w:ascii="Times New Roman" w:eastAsia="Times New Roman" w:hAnsi="Times New Roman" w:cs="Times New Roman"/>
          <w:bCs/>
          <w:kern w:val="0"/>
          <w:sz w:val="22"/>
          <w:szCs w:val="22"/>
          <w:lang w:val="lt-LT"/>
          <w14:ligatures w14:val="none"/>
        </w:rPr>
        <w:t xml:space="preserve"> </w:t>
      </w:r>
      <w:r w:rsidRPr="00CB0E79">
        <w:rPr>
          <w:rFonts w:ascii="Times New Roman" w:eastAsia="Times New Roman" w:hAnsi="Times New Roman" w:cs="Times New Roman"/>
          <w:b/>
          <w:bCs/>
          <w:iCs/>
          <w:kern w:val="0"/>
          <w:sz w:val="22"/>
          <w:szCs w:val="22"/>
          <w:lang w:val="lt-LT"/>
          <w14:ligatures w14:val="none"/>
        </w:rPr>
        <w:t>ir kam jis vartojamas</w:t>
      </w:r>
      <w:bookmarkEnd w:id="14"/>
      <w:bookmarkEnd w:id="15"/>
    </w:p>
    <w:p w14:paraId="2EFC22F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9D5791B" w14:textId="77777777" w:rsidR="00CB0E79" w:rsidRPr="00CB0E79" w:rsidRDefault="00CB0E79" w:rsidP="00CB0E79">
      <w:pPr>
        <w:spacing w:after="0" w:line="240" w:lineRule="auto"/>
        <w:rPr>
          <w:rFonts w:ascii="Times New Roman" w:eastAsia="MS Mincho" w:hAnsi="Times New Roman" w:cs="Times New Roman"/>
          <w:noProof/>
          <w:kern w:val="0"/>
          <w:sz w:val="22"/>
          <w:szCs w:val="22"/>
          <w:lang w:val="lt-LT"/>
          <w14:ligatures w14:val="none"/>
        </w:rPr>
      </w:pPr>
      <w:r w:rsidRPr="00CB0E79">
        <w:rPr>
          <w:rFonts w:ascii="Times New Roman" w:eastAsia="MS Mincho" w:hAnsi="Times New Roman" w:cs="Times New Roman"/>
          <w:bCs/>
          <w:noProof/>
          <w:kern w:val="0"/>
          <w:sz w:val="22"/>
          <w:szCs w:val="22"/>
          <w:lang w:val="lt-LT"/>
          <w14:ligatures w14:val="none"/>
        </w:rPr>
        <w:t xml:space="preserve">Maxidex </w:t>
      </w:r>
      <w:r w:rsidRPr="00CB0E79">
        <w:rPr>
          <w:rFonts w:ascii="Times New Roman" w:eastAsia="MS Mincho" w:hAnsi="Times New Roman" w:cs="Times New Roman"/>
          <w:noProof/>
          <w:kern w:val="0"/>
          <w:sz w:val="22"/>
          <w:szCs w:val="22"/>
          <w:lang w:val="lt-LT"/>
          <w14:ligatures w14:val="none"/>
        </w:rPr>
        <w:t>veiklioji medžiaga yra deksametazonas, priklausantis kortikosteroidų grupei, kurie sumažina uždegimo simptomus.</w:t>
      </w:r>
    </w:p>
    <w:p w14:paraId="2D93B67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6CB827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vartojamas neinfekcinio, alerginio ar pooperacinio akies junginės, ragenos ar priekinio akies segmento uždegimo slopinimui.</w:t>
      </w:r>
    </w:p>
    <w:p w14:paraId="1857FE0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2B8DEE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94C4300" w14:textId="77777777" w:rsidR="00CB0E79" w:rsidRPr="00CB0E79" w:rsidRDefault="00CB0E79" w:rsidP="00CB0E79">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2.</w:t>
      </w:r>
      <w:r w:rsidRPr="00CB0E79">
        <w:rPr>
          <w:rFonts w:ascii="Times New Roman" w:eastAsia="Times New Roman" w:hAnsi="Times New Roman" w:cs="Times New Roman"/>
          <w:b/>
          <w:kern w:val="0"/>
          <w:sz w:val="22"/>
          <w:szCs w:val="22"/>
          <w:lang w:val="lt-LT"/>
          <w14:ligatures w14:val="none"/>
        </w:rPr>
        <w:tab/>
        <w:t xml:space="preserve">Kas žinotina prieš vartojant </w:t>
      </w:r>
      <w:r w:rsidRPr="00CB0E79">
        <w:rPr>
          <w:rFonts w:ascii="Times New Roman" w:eastAsia="Times New Roman" w:hAnsi="Times New Roman" w:cs="Times New Roman"/>
          <w:b/>
          <w:bCs/>
          <w:kern w:val="0"/>
          <w:sz w:val="22"/>
          <w:szCs w:val="22"/>
          <w:lang w:val="lt-LT"/>
          <w14:ligatures w14:val="none"/>
        </w:rPr>
        <w:t>Maxidex</w:t>
      </w:r>
    </w:p>
    <w:p w14:paraId="4DB30CE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901CED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bCs/>
          <w:kern w:val="0"/>
          <w:sz w:val="22"/>
          <w:szCs w:val="22"/>
          <w:lang w:val="lt-LT" w:eastAsia="da-DK"/>
          <w14:ligatures w14:val="none"/>
        </w:rPr>
        <w:t xml:space="preserve">Maxidex </w:t>
      </w:r>
      <w:r w:rsidRPr="00CB0E79">
        <w:rPr>
          <w:rFonts w:ascii="Times New Roman" w:eastAsia="Times New Roman" w:hAnsi="Times New Roman" w:cs="Times New Roman"/>
          <w:b/>
          <w:kern w:val="0"/>
          <w:sz w:val="22"/>
          <w:szCs w:val="22"/>
          <w:lang w:val="lt-LT" w:eastAsia="da-DK"/>
          <w14:ligatures w14:val="none"/>
        </w:rPr>
        <w:t>vartoti negalima:</w:t>
      </w:r>
    </w:p>
    <w:p w14:paraId="05693174" w14:textId="77777777" w:rsidR="00CB0E79" w:rsidRPr="00CB0E79" w:rsidRDefault="00CB0E79" w:rsidP="00CB0E79">
      <w:pPr>
        <w:numPr>
          <w:ilvl w:val="0"/>
          <w:numId w:val="6"/>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jeigu yra alergija deksametazonui arba bet kuriai pagalbinei šio vaisto medžiagai (jos išvardytos 6 skyriuje);</w:t>
      </w:r>
    </w:p>
    <w:p w14:paraId="2F9AE1B8" w14:textId="77777777" w:rsidR="00CB0E79" w:rsidRPr="00CB0E79" w:rsidRDefault="00CB0E79" w:rsidP="00CB0E79">
      <w:pPr>
        <w:numPr>
          <w:ilvl w:val="0"/>
          <w:numId w:val="6"/>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akies paviršiaus uždegimu, sukeltu paprastosios pūslelinės;</w:t>
      </w:r>
    </w:p>
    <w:p w14:paraId="63D21A9F" w14:textId="77777777" w:rsidR="00CB0E79" w:rsidRPr="00CB0E79" w:rsidRDefault="00CB0E79" w:rsidP="00CB0E79">
      <w:pPr>
        <w:numPr>
          <w:ilvl w:val="0"/>
          <w:numId w:val="6"/>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galvijinių raupų, vėjaraupių – juostinės pūslelinės virusų sukeltu akies susirgimu arba kitu akies virusiniu susirgimu;</w:t>
      </w:r>
    </w:p>
    <w:p w14:paraId="0E542A3E" w14:textId="77777777" w:rsidR="00CB0E79" w:rsidRPr="00CB0E79" w:rsidRDefault="00CB0E79" w:rsidP="00CB0E79">
      <w:pPr>
        <w:numPr>
          <w:ilvl w:val="0"/>
          <w:numId w:val="6"/>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akių tuberkulioze;</w:t>
      </w:r>
    </w:p>
    <w:p w14:paraId="4DE55641" w14:textId="77777777" w:rsidR="00CB0E79" w:rsidRPr="00CB0E79" w:rsidRDefault="00CB0E79" w:rsidP="00CB0E79">
      <w:pPr>
        <w:numPr>
          <w:ilvl w:val="0"/>
          <w:numId w:val="6"/>
        </w:numPr>
        <w:spacing w:after="0" w:line="240" w:lineRule="auto"/>
        <w:ind w:left="567" w:hanging="567"/>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 Jūs sergate grybelinėmis akių ligomis</w:t>
      </w:r>
      <w:r w:rsidRPr="00CB0E79">
        <w:rPr>
          <w:rFonts w:ascii="Times New Roman" w:eastAsia="MS Mincho" w:hAnsi="Times New Roman" w:cs="Times New Roman"/>
          <w:noProof/>
          <w:kern w:val="0"/>
          <w:sz w:val="22"/>
          <w:szCs w:val="22"/>
          <w:lang w:val="lt-LT"/>
          <w14:ligatures w14:val="none"/>
        </w:rPr>
        <w:t xml:space="preserve"> arba yra negydyta parazitinė akių infekcija</w:t>
      </w:r>
      <w:r w:rsidRPr="00CB0E79">
        <w:rPr>
          <w:rFonts w:ascii="Times New Roman" w:eastAsia="Times New Roman" w:hAnsi="Times New Roman" w:cs="Times New Roman"/>
          <w:noProof/>
          <w:kern w:val="0"/>
          <w:sz w:val="22"/>
          <w:szCs w:val="22"/>
          <w:lang w:val="lt-LT"/>
          <w14:ligatures w14:val="none"/>
        </w:rPr>
        <w:t>;</w:t>
      </w:r>
    </w:p>
    <w:p w14:paraId="722ACB42" w14:textId="77777777" w:rsidR="00CB0E79" w:rsidRPr="00CB0E79" w:rsidRDefault="00CB0E79" w:rsidP="00CB0E79">
      <w:pPr>
        <w:numPr>
          <w:ilvl w:val="0"/>
          <w:numId w:val="6"/>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MS Mincho" w:hAnsi="Times New Roman" w:cs="Times New Roman"/>
          <w:noProof/>
          <w:kern w:val="0"/>
          <w:sz w:val="22"/>
          <w:szCs w:val="22"/>
          <w:lang w:val="lt-LT"/>
          <w14:ligatures w14:val="none"/>
        </w:rPr>
        <w:t>jei Jūs sergate negydyta infekcine bakterijų sukelta akių liga</w:t>
      </w:r>
      <w:r w:rsidRPr="00CB0E79">
        <w:rPr>
          <w:rFonts w:ascii="Times New Roman" w:eastAsia="Times New Roman" w:hAnsi="Times New Roman" w:cs="Times New Roman"/>
          <w:noProof/>
          <w:kern w:val="0"/>
          <w:sz w:val="22"/>
          <w:szCs w:val="22"/>
          <w:lang w:val="lt-LT"/>
          <w14:ligatures w14:val="none"/>
        </w:rPr>
        <w:t>.</w:t>
      </w:r>
    </w:p>
    <w:p w14:paraId="6EC4A666" w14:textId="77777777" w:rsidR="00CB0E79" w:rsidRPr="00CB0E79" w:rsidRDefault="00CB0E79" w:rsidP="00CB0E79">
      <w:pPr>
        <w:spacing w:after="0" w:line="240" w:lineRule="auto"/>
        <w:rPr>
          <w:rFonts w:ascii="Times New Roman" w:eastAsia="Times New Roman" w:hAnsi="Times New Roman" w:cs="Times New Roman"/>
          <w:snapToGrid w:val="0"/>
          <w:kern w:val="0"/>
          <w:sz w:val="22"/>
          <w:szCs w:val="22"/>
          <w:lang w:val="lt-LT"/>
          <w14:ligatures w14:val="none"/>
        </w:rPr>
      </w:pPr>
    </w:p>
    <w:p w14:paraId="093087FA" w14:textId="77777777" w:rsidR="00CB0E79" w:rsidRPr="00CB0E79" w:rsidRDefault="00CB0E79" w:rsidP="00CB0E79">
      <w:pPr>
        <w:spacing w:after="0" w:line="240" w:lineRule="auto"/>
        <w:rPr>
          <w:rFonts w:ascii="Times New Roman" w:eastAsia="Times New Roman" w:hAnsi="Times New Roman" w:cs="Times New Roman"/>
          <w:b/>
          <w:snapToGrid w:val="0"/>
          <w:kern w:val="0"/>
          <w:sz w:val="22"/>
          <w:szCs w:val="22"/>
          <w:lang w:val="lt-LT"/>
          <w14:ligatures w14:val="none"/>
        </w:rPr>
      </w:pPr>
      <w:r w:rsidRPr="00CB0E79">
        <w:rPr>
          <w:rFonts w:ascii="Times New Roman" w:eastAsia="Times New Roman" w:hAnsi="Times New Roman" w:cs="Times New Roman"/>
          <w:b/>
          <w:snapToGrid w:val="0"/>
          <w:kern w:val="0"/>
          <w:sz w:val="22"/>
          <w:szCs w:val="22"/>
          <w:lang w:val="lt-LT"/>
          <w14:ligatures w14:val="none"/>
        </w:rPr>
        <w:t>Įspėjimai ir atsargumo priemonės</w:t>
      </w:r>
    </w:p>
    <w:p w14:paraId="25DD2B1C" w14:textId="77777777" w:rsidR="00CB0E79" w:rsidRPr="00CB0E79" w:rsidRDefault="00CB0E79" w:rsidP="00CB0E79">
      <w:pPr>
        <w:spacing w:after="0" w:line="240" w:lineRule="auto"/>
        <w:rPr>
          <w:rFonts w:ascii="Times New Roman" w:eastAsia="Times New Roman" w:hAnsi="Times New Roman" w:cs="Times New Roman"/>
          <w:snapToGrid w:val="0"/>
          <w:kern w:val="0"/>
          <w:sz w:val="22"/>
          <w:szCs w:val="22"/>
          <w:lang w:val="lt-LT"/>
          <w14:ligatures w14:val="none"/>
        </w:rPr>
      </w:pPr>
      <w:r w:rsidRPr="00CB0E79">
        <w:rPr>
          <w:rFonts w:ascii="Times New Roman" w:eastAsia="Calibri" w:hAnsi="Times New Roman" w:cs="Times New Roman"/>
          <w:noProof/>
          <w:kern w:val="0"/>
          <w:sz w:val="22"/>
          <w:szCs w:val="22"/>
          <w:lang w:val="lt-LT"/>
          <w14:ligatures w14:val="none"/>
        </w:rPr>
        <w:t xml:space="preserve">Pasitarkite su gydytoju arba vaistininku, prieš pradėdami vartoti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Calibri" w:hAnsi="Times New Roman" w:cs="Times New Roman"/>
          <w:noProof/>
          <w:kern w:val="0"/>
          <w:sz w:val="22"/>
          <w:szCs w:val="22"/>
          <w:lang w:val="lt-LT"/>
          <w14:ligatures w14:val="none"/>
        </w:rPr>
        <w:t>.</w:t>
      </w:r>
      <w:r w:rsidRPr="00CB0E79" w:rsidDel="00AD19FF">
        <w:rPr>
          <w:rFonts w:ascii="Times New Roman" w:eastAsia="Times New Roman" w:hAnsi="Times New Roman" w:cs="Times New Roman"/>
          <w:snapToGrid w:val="0"/>
          <w:kern w:val="0"/>
          <w:sz w:val="22"/>
          <w:szCs w:val="22"/>
          <w:lang w:val="lt-LT"/>
          <w14:ligatures w14:val="none"/>
        </w:rPr>
        <w:t xml:space="preserve"> </w:t>
      </w:r>
    </w:p>
    <w:p w14:paraId="30CB87DF" w14:textId="77777777" w:rsidR="00CB0E79" w:rsidRPr="00CB0E79" w:rsidRDefault="00CB0E79" w:rsidP="00CB0E7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snapToGrid w:val="0"/>
          <w:kern w:val="0"/>
          <w:sz w:val="22"/>
          <w:szCs w:val="22"/>
          <w:lang w:val="lt-LT"/>
          <w14:ligatures w14:val="none"/>
        </w:rPr>
        <w:t>galima vartoti tik ant akių.</w:t>
      </w:r>
    </w:p>
    <w:p w14:paraId="0B28406B" w14:textId="77777777" w:rsidR="00CB0E79" w:rsidRPr="00CB0E79" w:rsidRDefault="00CB0E79" w:rsidP="00CB0E7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Jei</w:t>
      </w:r>
      <w:r w:rsidRPr="00CB0E79">
        <w:rPr>
          <w:rFonts w:ascii="Times New Roman" w:eastAsia="Times New Roman" w:hAnsi="Times New Roman" w:cs="Times New Roman"/>
          <w:snapToGrid w:val="0"/>
          <w:kern w:val="0"/>
          <w:sz w:val="22"/>
          <w:szCs w:val="22"/>
          <w:lang w:val="lt-LT"/>
          <w14:ligatures w14:val="none"/>
        </w:rPr>
        <w:t xml:space="preserve">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snapToGrid w:val="0"/>
          <w:kern w:val="0"/>
          <w:sz w:val="22"/>
          <w:szCs w:val="22"/>
          <w:lang w:val="lt-LT"/>
          <w14:ligatures w14:val="none"/>
        </w:rPr>
        <w:t>vartojate ilgai, gali:</w:t>
      </w:r>
    </w:p>
    <w:p w14:paraId="223C0A83" w14:textId="77777777" w:rsidR="00CB0E79" w:rsidRPr="00CB0E79" w:rsidRDefault="00CB0E79" w:rsidP="00CB0E79">
      <w:pPr>
        <w:widowControl w:val="0"/>
        <w:numPr>
          <w:ilvl w:val="1"/>
          <w:numId w:val="7"/>
        </w:numPr>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padidėti akies (-ių) akispūdis.</w:t>
      </w:r>
      <w:r w:rsidRPr="00CB0E79">
        <w:rPr>
          <w:rFonts w:ascii="Times New Roman" w:eastAsia="Times New Roman" w:hAnsi="Times New Roman" w:cs="Times New Roman"/>
          <w:snapToGrid w:val="0"/>
          <w:kern w:val="0"/>
          <w:sz w:val="22"/>
          <w:szCs w:val="22"/>
          <w:lang w:val="lt-LT"/>
          <w14:ligatures w14:val="none"/>
        </w:rPr>
        <w:t xml:space="preserve">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snapToGrid w:val="0"/>
          <w:kern w:val="0"/>
          <w:sz w:val="22"/>
          <w:szCs w:val="22"/>
          <w:lang w:val="lt-LT"/>
          <w14:ligatures w14:val="none"/>
        </w:rPr>
        <w:t xml:space="preserve">vartojimo laikotarpiu turi būti reguliariai matuojamas akispūdis. Pasitarkite su gydytoju. Tai ypač svarbu vaikams, nes jiems kortikosteroidų sukelto akispūdžio padidėjimo rizika yra didesnė ir šis sutrikimas gali pasireikšti anksčiau nei </w:t>
      </w:r>
      <w:r w:rsidRPr="00CB0E79">
        <w:rPr>
          <w:rFonts w:ascii="Times New Roman" w:eastAsia="Times New Roman" w:hAnsi="Times New Roman" w:cs="Times New Roman"/>
          <w:snapToGrid w:val="0"/>
          <w:kern w:val="0"/>
          <w:sz w:val="22"/>
          <w:szCs w:val="22"/>
          <w:lang w:val="lt-LT"/>
          <w14:ligatures w14:val="none"/>
        </w:rPr>
        <w:lastRenderedPageBreak/>
        <w:t>suaugusiems žmonėms. Kortikosteroidų sukelto akispūdžio padidėjimo ir (arba) kataraktos rizika yra didesnė polinkį minėtų sutrikimų atsiradimui turintiems pacientams, pvz., sergantiems cukriniu diabetu;</w:t>
      </w:r>
    </w:p>
    <w:p w14:paraId="746BFB8F" w14:textId="77777777" w:rsidR="00CB0E79" w:rsidRPr="00CB0E79" w:rsidRDefault="00CB0E79" w:rsidP="00CB0E79">
      <w:pPr>
        <w:widowControl w:val="0"/>
        <w:numPr>
          <w:ilvl w:val="0"/>
          <w:numId w:val="8"/>
        </w:numPr>
        <w:tabs>
          <w:tab w:val="left" w:pos="-1440"/>
          <w:tab w:val="left" w:pos="-720"/>
          <w:tab w:val="left" w:pos="3504"/>
          <w:tab w:val="left" w:pos="4896"/>
          <w:tab w:val="left" w:pos="6480"/>
          <w:tab w:val="left" w:pos="6947"/>
        </w:tabs>
        <w:suppressAutoHyphens/>
        <w:spacing w:after="0" w:line="240" w:lineRule="auto"/>
        <w:ind w:left="1134" w:hanging="567"/>
        <w:jc w:val="both"/>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pasireikšti katarakta.</w:t>
      </w:r>
      <w:r w:rsidRPr="00CB0E79">
        <w:rPr>
          <w:rFonts w:ascii="Times New Roman" w:eastAsia="Times New Roman" w:hAnsi="Times New Roman" w:cs="Times New Roman"/>
          <w:snapToGrid w:val="0"/>
          <w:kern w:val="0"/>
          <w:sz w:val="22"/>
          <w:szCs w:val="22"/>
          <w:lang w:val="lt-LT"/>
          <w14:ligatures w14:val="none"/>
        </w:rPr>
        <w:t xml:space="preserve"> Jei </w:t>
      </w:r>
      <w:r w:rsidRPr="00CB0E79">
        <w:rPr>
          <w:rFonts w:ascii="Times New Roman" w:eastAsia="Times New Roman" w:hAnsi="Times New Roman" w:cs="Times New Roman"/>
          <w:bCs/>
          <w:snapToGrid w:val="0"/>
          <w:kern w:val="0"/>
          <w:sz w:val="22"/>
          <w:szCs w:val="22"/>
          <w:lang w:val="lt-LT"/>
          <w14:ligatures w14:val="none"/>
        </w:rPr>
        <w:t xml:space="preserve">Maxidex </w:t>
      </w:r>
      <w:r w:rsidRPr="00CB0E79">
        <w:rPr>
          <w:rFonts w:ascii="Times New Roman" w:eastAsia="Times New Roman" w:hAnsi="Times New Roman" w:cs="Times New Roman"/>
          <w:snapToGrid w:val="0"/>
          <w:kern w:val="0"/>
          <w:sz w:val="22"/>
          <w:szCs w:val="22"/>
          <w:lang w:val="lt-LT"/>
          <w14:ligatures w14:val="none"/>
        </w:rPr>
        <w:t>vartojate ilgai, turite reguliariai lankytis pas gydytoją</w:t>
      </w:r>
      <w:r w:rsidRPr="00CB0E79">
        <w:rPr>
          <w:rFonts w:ascii="Times New Roman" w:eastAsia="Times New Roman" w:hAnsi="Times New Roman" w:cs="Times New Roman"/>
          <w:snapToGrid w:val="0"/>
          <w:spacing w:val="-2"/>
          <w:kern w:val="0"/>
          <w:sz w:val="22"/>
          <w:szCs w:val="22"/>
          <w:lang w:val="lt-LT"/>
          <w14:ligatures w14:val="none"/>
        </w:rPr>
        <w:t>;</w:t>
      </w:r>
    </w:p>
    <w:p w14:paraId="6D9E9116" w14:textId="77777777" w:rsidR="00CB0E79" w:rsidRPr="00CB0E79" w:rsidRDefault="00CB0E79" w:rsidP="00CB0E79">
      <w:pPr>
        <w:widowControl w:val="0"/>
        <w:numPr>
          <w:ilvl w:val="1"/>
          <w:numId w:val="8"/>
        </w:numPr>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 xml:space="preserve">dėl vaisto patekimo į kraują pasireikšti Kušingo sindromas. Pasakykite gydytojui, jeigu atsiranda patinimas ir kūno svorio padidėjimas liemens ir veido srityje, kadangi parastai tai yra pirmieji sindromo, vadinamo Kušingo sindromu, požymiai. Nutraukus ilgalaikį arba intensyvų gydymą </w:t>
      </w:r>
      <w:r w:rsidRPr="00CB0E79">
        <w:rPr>
          <w:rFonts w:ascii="Times New Roman" w:eastAsia="Times New Roman" w:hAnsi="Times New Roman" w:cs="Times New Roman"/>
          <w:bCs/>
          <w:snapToGrid w:val="0"/>
          <w:spacing w:val="-2"/>
          <w:kern w:val="0"/>
          <w:sz w:val="22"/>
          <w:szCs w:val="22"/>
          <w:lang w:val="lt-LT"/>
          <w14:ligatures w14:val="none"/>
        </w:rPr>
        <w:t>Maxidex</w:t>
      </w:r>
      <w:r w:rsidRPr="00CB0E79">
        <w:rPr>
          <w:rFonts w:ascii="Times New Roman" w:eastAsia="Times New Roman" w:hAnsi="Times New Roman" w:cs="Times New Roman"/>
          <w:snapToGrid w:val="0"/>
          <w:spacing w:val="-2"/>
          <w:kern w:val="0"/>
          <w:sz w:val="22"/>
          <w:szCs w:val="22"/>
          <w:lang w:val="lt-LT"/>
          <w14:ligatures w14:val="none"/>
        </w:rPr>
        <w:t>, gali pasireikšti antinksčių liaukų funkcijos slopinimas. Jeigu nuspręsite nutraukti gydymą, prieš tai pasitarkite su gydytoju. Tokia rizika yra ypač svarbi vaikams ir pacientams, kurie yra gydomi vaistais, vadinamais ritonaviru arba kobicistatu.</w:t>
      </w:r>
    </w:p>
    <w:p w14:paraId="7730E7CF" w14:textId="77777777" w:rsidR="00CB0E79" w:rsidRPr="00CB0E79" w:rsidRDefault="00CB0E79" w:rsidP="00CB0E7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Jūsų simptomai pasunkėja ar staiga atsinaujina, pasitarkite su gydytoju. Šio vaisto vartojimo laikotarpiu galite būti jautresni akių infekcijai. Be to, žinoma, kad gijimą lėtina arba vėlina lokaliai vartojami nesteroidiniai vaistai nuo uždegimo (NVNU). Jei tuo pat metu vartojama lokalaus poveikio NVNU ir steroidų, gali didėti gijimo sutrikimų rizika.</w:t>
      </w:r>
    </w:p>
    <w:p w14:paraId="2A39E2EB" w14:textId="77777777" w:rsidR="00CB0E79" w:rsidRPr="00CB0E79" w:rsidRDefault="00CB0E79" w:rsidP="00CB0E79">
      <w:pPr>
        <w:widowControl w:val="0"/>
        <w:numPr>
          <w:ilvl w:val="0"/>
          <w:numId w:val="7"/>
        </w:numPr>
        <w:tabs>
          <w:tab w:val="left" w:pos="567"/>
        </w:tabs>
        <w:spacing w:after="0" w:line="240" w:lineRule="auto"/>
        <w:ind w:hanging="720"/>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Jums yra akies infekcija, gydytojas skirs kitokio vaisto nuo jos.</w:t>
      </w:r>
    </w:p>
    <w:p w14:paraId="09C30872" w14:textId="77777777" w:rsidR="00CB0E79" w:rsidRPr="00CB0E79" w:rsidRDefault="00CB0E79" w:rsidP="00CB0E79">
      <w:pPr>
        <w:widowControl w:val="0"/>
        <w:numPr>
          <w:ilvl w:val="0"/>
          <w:numId w:val="7"/>
        </w:numPr>
        <w:tabs>
          <w:tab w:val="left" w:pos="567"/>
        </w:tabs>
        <w:spacing w:after="0" w:line="240" w:lineRule="auto"/>
        <w:ind w:hanging="720"/>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Ant akių vartojami kortikosteroidai gali lėtinti akių gijimą.</w:t>
      </w:r>
    </w:p>
    <w:p w14:paraId="1A27C44D" w14:textId="77777777" w:rsidR="00CB0E79" w:rsidRPr="00CB0E79" w:rsidRDefault="00CB0E79" w:rsidP="00CB0E79">
      <w:pPr>
        <w:widowControl w:val="0"/>
        <w:numPr>
          <w:ilvl w:val="0"/>
          <w:numId w:val="7"/>
        </w:numPr>
        <w:tabs>
          <w:tab w:val="left"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Jei Jums yra sutrikimas, sukeliantis akies audinių suplonėjimą, prieš šio vaisto vartojimą pasitarkite su gydytoju arba vaistininku.</w:t>
      </w:r>
    </w:p>
    <w:p w14:paraId="02A26B02" w14:textId="77777777" w:rsidR="00CB0E79" w:rsidRPr="00CB0E79" w:rsidRDefault="00CB0E79" w:rsidP="00CB0E79">
      <w:pPr>
        <w:widowControl w:val="0"/>
        <w:numPr>
          <w:ilvl w:val="0"/>
          <w:numId w:val="7"/>
        </w:numPr>
        <w:tabs>
          <w:tab w:val="left"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Jei nešiojate kontaktinius lęšius:</w:t>
      </w:r>
    </w:p>
    <w:p w14:paraId="2BEFE593" w14:textId="77777777" w:rsidR="00CB0E79" w:rsidRPr="00CB0E79" w:rsidRDefault="00CB0E79" w:rsidP="00CB0E79">
      <w:pPr>
        <w:widowControl w:val="0"/>
        <w:numPr>
          <w:ilvl w:val="1"/>
          <w:numId w:val="7"/>
        </w:numPr>
        <w:tabs>
          <w:tab w:val="left"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CB0E79">
        <w:rPr>
          <w:rFonts w:ascii="Times New Roman" w:eastAsia="Times New Roman" w:hAnsi="Times New Roman" w:cs="Times New Roman"/>
          <w:snapToGrid w:val="0"/>
          <w:spacing w:val="-2"/>
          <w:kern w:val="0"/>
          <w:sz w:val="22"/>
          <w:szCs w:val="22"/>
          <w:lang w:val="lt-LT"/>
          <w14:ligatures w14:val="none"/>
        </w:rPr>
        <w:t>akių uždegimo gydymo metu kontaktinių lęšių (kietųjų ar minkštųjų) nešioti nerekomenduojama.</w:t>
      </w:r>
    </w:p>
    <w:p w14:paraId="2D46F493"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p>
    <w:p w14:paraId="1621706A"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Jeigu pradėtumėte matyti lyg per miglą arba jums pasireikštų kiti regėjimo sutrikimai, kreipkitės į savo gydytoją.</w:t>
      </w:r>
    </w:p>
    <w:p w14:paraId="1BE25127"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p>
    <w:p w14:paraId="544FF2F3" w14:textId="77777777" w:rsidR="00CB0E79" w:rsidRPr="00CB0E79" w:rsidRDefault="00CB0E79" w:rsidP="00CB0E79">
      <w:pPr>
        <w:spacing w:after="0" w:line="240" w:lineRule="auto"/>
        <w:jc w:val="both"/>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Vaikams ir paaugliams</w:t>
      </w:r>
    </w:p>
    <w:p w14:paraId="1A282D7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nerekomenduojama vartoti jaunesniems kaip 18  metų vaikams, nes duomenų apie saugumą ir veiksmingumą nėra.</w:t>
      </w:r>
    </w:p>
    <w:p w14:paraId="126427B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7552F6A" w14:textId="77777777" w:rsidR="00CB0E79" w:rsidRPr="00CB0E79" w:rsidRDefault="00CB0E79" w:rsidP="00CB0E79">
      <w:pPr>
        <w:spacing w:after="0" w:line="240" w:lineRule="auto"/>
        <w:rPr>
          <w:rFonts w:ascii="Times New Roman" w:eastAsia="Times New Roman" w:hAnsi="Times New Roman" w:cs="Times New Roman"/>
          <w:b/>
          <w:bCs/>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Kiti vaistai ir Maxidex</w:t>
      </w:r>
    </w:p>
    <w:p w14:paraId="0A08C05D" w14:textId="77777777" w:rsidR="00CB0E79" w:rsidRPr="00CB0E79" w:rsidRDefault="00CB0E79" w:rsidP="00CB0E79">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0CC874D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Pasakykite gydytojui, jeigu vartojate ritonavirą arba kobicistatą, kadangi tai gali didinti deksametazono kiekį kraujyje.</w:t>
      </w:r>
    </w:p>
    <w:p w14:paraId="013854A0" w14:textId="77777777" w:rsidR="00CB0E79" w:rsidRPr="00CB0E79" w:rsidRDefault="00CB0E79" w:rsidP="00CB0E79">
      <w:pPr>
        <w:spacing w:after="0" w:line="240" w:lineRule="auto"/>
        <w:rPr>
          <w:rFonts w:ascii="Times New Roman" w:eastAsia="Times New Roman" w:hAnsi="Times New Roman" w:cs="Times New Roman"/>
          <w:noProof/>
          <w:kern w:val="0"/>
          <w:sz w:val="22"/>
          <w:szCs w:val="22"/>
          <w:lang w:val="lt-LT"/>
          <w14:ligatures w14:val="none"/>
        </w:rPr>
      </w:pPr>
    </w:p>
    <w:p w14:paraId="691327C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 xml:space="preserve">Ypač svarbu pasakyti gydytojui, jeigu vartojate lokalaus poveikio NVNU. </w:t>
      </w:r>
      <w:r w:rsidRPr="00CB0E79">
        <w:rPr>
          <w:rFonts w:ascii="Times New Roman" w:eastAsia="Times New Roman" w:hAnsi="Times New Roman" w:cs="Times New Roman"/>
          <w:kern w:val="0"/>
          <w:sz w:val="22"/>
          <w:szCs w:val="22"/>
          <w:lang w:val="lt-LT"/>
          <w14:ligatures w14:val="none"/>
        </w:rPr>
        <w:t>Jei tuo pat metu vartojama lokalaus poveikio NVNU ir steroidų, gali didėti ragenos gijimo sutrikimų rizika.</w:t>
      </w:r>
    </w:p>
    <w:p w14:paraId="1EEA2390"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p>
    <w:p w14:paraId="17630C94"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Pasakykite gydytojui, jeigu vartojate ritonaviro, kadangi gali padidėti deksametazono kiekis kraujyje.</w:t>
      </w:r>
    </w:p>
    <w:p w14:paraId="4DE6454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5FBD75C" w14:textId="77777777" w:rsidR="00CB0E79" w:rsidRPr="00CB0E79" w:rsidRDefault="00CB0E79" w:rsidP="00CB0E79">
      <w:pPr>
        <w:spacing w:after="0" w:line="240" w:lineRule="auto"/>
        <w:rPr>
          <w:rFonts w:ascii="Times New Roman" w:eastAsia="Times New Roman" w:hAnsi="Times New Roman" w:cs="Times New Roman"/>
          <w:b/>
          <w:bCs/>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Nėštumas ir žindymo laikotarpis</w:t>
      </w:r>
    </w:p>
    <w:p w14:paraId="7981AADA" w14:textId="77777777" w:rsidR="00CB0E79" w:rsidRPr="00CB0E79" w:rsidRDefault="00CB0E79" w:rsidP="00CB0E79">
      <w:pPr>
        <w:spacing w:after="0" w:line="240" w:lineRule="auto"/>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Jeigu esate nėščia, žindote kūdikį, manote, kad galbūt esate nėščia, arba planuojate pastoti, tai prieš vartodama šį vaistą, pasitarkite su gydytoju arba vaistininku.</w:t>
      </w:r>
    </w:p>
    <w:p w14:paraId="7E846381" w14:textId="77777777" w:rsidR="00CB0E79" w:rsidRPr="00CB0E79" w:rsidRDefault="00CB0E79" w:rsidP="00CB0E79">
      <w:pPr>
        <w:spacing w:after="0" w:line="240" w:lineRule="auto"/>
        <w:rPr>
          <w:rFonts w:ascii="Times New Roman" w:eastAsia="MS Mincho" w:hAnsi="Times New Roman" w:cs="Times New Roman"/>
          <w:kern w:val="0"/>
          <w:sz w:val="22"/>
          <w:szCs w:val="22"/>
          <w:lang w:val="lt-LT"/>
          <w14:ligatures w14:val="none"/>
        </w:rPr>
      </w:pPr>
      <w:r w:rsidRPr="00CB0E79">
        <w:rPr>
          <w:rFonts w:ascii="Times New Roman" w:eastAsia="MS Mincho" w:hAnsi="Times New Roman" w:cs="Times New Roman"/>
          <w:bCs/>
          <w:noProof/>
          <w:kern w:val="0"/>
          <w:sz w:val="22"/>
          <w:szCs w:val="22"/>
          <w:lang w:val="lt-LT"/>
          <w14:ligatures w14:val="none"/>
        </w:rPr>
        <w:t xml:space="preserve">Maxidex </w:t>
      </w:r>
      <w:r w:rsidRPr="00CB0E79">
        <w:rPr>
          <w:rFonts w:ascii="Times New Roman" w:eastAsia="MS Mincho" w:hAnsi="Times New Roman" w:cs="Times New Roman"/>
          <w:noProof/>
          <w:kern w:val="0"/>
          <w:sz w:val="22"/>
          <w:szCs w:val="22"/>
          <w:lang w:val="lt-LT"/>
          <w14:ligatures w14:val="none"/>
        </w:rPr>
        <w:t>vartoti nėštumo laikotarpiu arba žindant nerekomenduojama.</w:t>
      </w:r>
    </w:p>
    <w:p w14:paraId="37EA44E0" w14:textId="77777777" w:rsidR="00CB0E79" w:rsidRPr="00CB0E79" w:rsidRDefault="00CB0E79" w:rsidP="00CB0E79">
      <w:pPr>
        <w:autoSpaceDE w:val="0"/>
        <w:autoSpaceDN w:val="0"/>
        <w:adjustRightInd w:val="0"/>
        <w:spacing w:after="0" w:line="240" w:lineRule="auto"/>
        <w:rPr>
          <w:rFonts w:ascii="Times New Roman" w:eastAsia="Times New Roman" w:hAnsi="Times New Roman" w:cs="Times New Roman"/>
          <w:kern w:val="0"/>
          <w:sz w:val="22"/>
          <w:szCs w:val="22"/>
          <w:lang w:val="lt-LT" w:eastAsia="da-DK"/>
          <w14:ligatures w14:val="none"/>
        </w:rPr>
      </w:pPr>
    </w:p>
    <w:p w14:paraId="31610657"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eastAsia="da-DK"/>
          <w14:ligatures w14:val="none"/>
        </w:rPr>
        <w:t>Vairavimas ir mechanizmų valdymas</w:t>
      </w:r>
    </w:p>
    <w:p w14:paraId="723CFD9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 xml:space="preserve">neturėtų veikti gebėjimo vairuoti ir dirbti su mechanizmais. Patepus akis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regėjimas trumpam gali pasidaryti miglotas. Nevairuokite mašinos ir nedirbkite su mechanizmais, kol regėjimas nepagerės.</w:t>
      </w:r>
    </w:p>
    <w:p w14:paraId="28D9565C"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p>
    <w:p w14:paraId="34D2CC6F" w14:textId="77777777" w:rsidR="00CB0E79" w:rsidRPr="00CB0E79" w:rsidRDefault="00CB0E79" w:rsidP="00CB0E79">
      <w:pPr>
        <w:keepNext/>
        <w:keepLines/>
        <w:spacing w:after="0" w:line="240" w:lineRule="auto"/>
        <w:rPr>
          <w:rFonts w:ascii="Times New Roman" w:eastAsia="Times New Roman" w:hAnsi="Times New Roman" w:cs="Times New Roman"/>
          <w:b/>
          <w:bCs/>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lastRenderedPageBreak/>
        <w:t>Maxidex sudėtyje yra metilo parahidroksibenzoato (E218), propilo parahidroksibenzoato (E216), bevandenio skystojo lanolino</w:t>
      </w:r>
    </w:p>
    <w:p w14:paraId="15F97CF8" w14:textId="77777777" w:rsidR="00CB0E79" w:rsidRPr="00CB0E79" w:rsidRDefault="00CB0E79" w:rsidP="00CB0E79">
      <w:pPr>
        <w:keepNext/>
        <w:keepLines/>
        <w:spacing w:after="0" w:line="240" w:lineRule="auto"/>
        <w:rPr>
          <w:rFonts w:ascii="Times New Roman" w:eastAsia="Times New Roman" w:hAnsi="Times New Roman" w:cs="Times New Roman"/>
          <w:bCs/>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Metilo parahidroksibenzoatas ir propilo parahidroksibenzoatas gali sukelti lokalių alerginių reakcijų, kurios gali būti uždelstos. Lanolinas gali sukelti lokalių odos reakcijų (pvz., kontaktinį dermatitą).</w:t>
      </w:r>
    </w:p>
    <w:p w14:paraId="1F3BE3E1"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p>
    <w:p w14:paraId="57A1E18A"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p>
    <w:p w14:paraId="78564AD0" w14:textId="77777777" w:rsidR="00CB0E79" w:rsidRPr="00CB0E79" w:rsidRDefault="00CB0E79" w:rsidP="00CB0E79">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3.</w:t>
      </w:r>
      <w:r w:rsidRPr="00CB0E79">
        <w:rPr>
          <w:rFonts w:ascii="Times New Roman" w:eastAsia="Times New Roman" w:hAnsi="Times New Roman" w:cs="Times New Roman"/>
          <w:b/>
          <w:kern w:val="0"/>
          <w:sz w:val="22"/>
          <w:szCs w:val="22"/>
          <w:lang w:val="lt-LT"/>
          <w14:ligatures w14:val="none"/>
        </w:rPr>
        <w:tab/>
        <w:t xml:space="preserve">Kaip vartoti </w:t>
      </w:r>
      <w:r w:rsidRPr="00CB0E79">
        <w:rPr>
          <w:rFonts w:ascii="Times New Roman" w:eastAsia="Times New Roman" w:hAnsi="Times New Roman" w:cs="Times New Roman"/>
          <w:b/>
          <w:bCs/>
          <w:kern w:val="0"/>
          <w:sz w:val="22"/>
          <w:szCs w:val="22"/>
          <w:lang w:val="lt-LT"/>
          <w14:ligatures w14:val="none"/>
        </w:rPr>
        <w:t>Maxidex</w:t>
      </w:r>
    </w:p>
    <w:p w14:paraId="21810C0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EB7CCD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 xml:space="preserve">Visada vartokite šį vaistą </w:t>
      </w:r>
      <w:r w:rsidRPr="00CB0E79">
        <w:rPr>
          <w:rFonts w:ascii="Times New Roman" w:eastAsia="Times New Roman" w:hAnsi="Times New Roman" w:cs="Times New Roman"/>
          <w:kern w:val="0"/>
          <w:sz w:val="22"/>
          <w:szCs w:val="22"/>
          <w:lang w:val="lt-LT"/>
          <w14:ligatures w14:val="none"/>
        </w:rPr>
        <w:t xml:space="preserve">tiksliai, kaip nurodė gydytojas. Jeigu abejojate, kreipkitės į gydytoją arba vaistininką. </w:t>
      </w:r>
    </w:p>
    <w:p w14:paraId="1C3A8C48"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0D246BEB"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Suaugusiesiems ir senyviems pacientams</w:t>
      </w:r>
    </w:p>
    <w:p w14:paraId="494CCDF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Rekomenduojama</w:t>
      </w:r>
      <w:r w:rsidRPr="00CB0E79">
        <w:rPr>
          <w:rFonts w:ascii="Times New Roman" w:eastAsia="Times New Roman" w:hAnsi="Times New Roman" w:cs="Times New Roman"/>
          <w:kern w:val="0"/>
          <w:sz w:val="22"/>
          <w:szCs w:val="22"/>
          <w:lang w:val="lt-LT"/>
          <w14:ligatures w14:val="none"/>
        </w:rPr>
        <w:t xml:space="preserve"> dozė yra nedidelis kiekis (apie 1,5 cm juostelė) akių tepalo, kuris įtepamas į nesveikos akies (akių) junginės maišelį nuo vieno iki keturių kartų per parą. Gydytojas pasakys, kaip ilgai vartoti vaistą.</w:t>
      </w:r>
    </w:p>
    <w:p w14:paraId="2286746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B2BFD3E" w14:textId="77777777" w:rsidR="00CB0E79" w:rsidRPr="00CB0E79" w:rsidRDefault="00CB0E79" w:rsidP="00CB0E79">
      <w:pPr>
        <w:spacing w:after="0" w:line="240" w:lineRule="auto"/>
        <w:rPr>
          <w:rFonts w:ascii="Times New Roman" w:eastAsia="Times New Roman" w:hAnsi="Times New Roman" w:cs="Times New Roman"/>
          <w:i/>
          <w:kern w:val="0"/>
          <w:sz w:val="22"/>
          <w:szCs w:val="22"/>
          <w:lang w:val="lt-LT"/>
          <w14:ligatures w14:val="none"/>
        </w:rPr>
      </w:pPr>
      <w:r w:rsidRPr="00CB0E79">
        <w:rPr>
          <w:rFonts w:ascii="Times New Roman" w:eastAsia="Times New Roman" w:hAnsi="Times New Roman" w:cs="Times New Roman"/>
          <w:i/>
          <w:kern w:val="0"/>
          <w:sz w:val="22"/>
          <w:szCs w:val="22"/>
          <w:lang w:val="lt-LT"/>
          <w14:ligatures w14:val="none"/>
        </w:rPr>
        <w:t>Pacientams, kurių kepenų ar inkstų funkcija sutrikusi</w:t>
      </w:r>
    </w:p>
    <w:p w14:paraId="019EEF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Šių pacientų gydymas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netirtas, tačiau dėl mažos sisteminės lokaliai vartojamo deksametazono absorbcijos tepalo dozės keisti nereikia.</w:t>
      </w:r>
    </w:p>
    <w:p w14:paraId="4969AD2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6248EC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Vartokite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tik ant akių.</w:t>
      </w:r>
    </w:p>
    <w:p w14:paraId="7385626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MS Mincho" w:hAnsi="Times New Roman" w:cs="Times New Roman"/>
          <w:kern w:val="0"/>
          <w:sz w:val="22"/>
          <w:szCs w:val="22"/>
          <w:lang w:val="lt-LT"/>
          <w14:ligatures w14:val="none"/>
        </w:rPr>
        <w:t>Siekiant, kad į kraują patiektų kuo mažiau ant akių pavartoto vaisto, reikia užsimerkus pirštu švelniai prispausti ašarų kanalą.</w:t>
      </w:r>
    </w:p>
    <w:p w14:paraId="5F1CA64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92355FE" w14:textId="77777777" w:rsidR="00CB0E79" w:rsidRPr="00CB0E79" w:rsidRDefault="00CB0E79" w:rsidP="00CB0E79">
      <w:pPr>
        <w:spacing w:after="0" w:line="240" w:lineRule="auto"/>
        <w:rPr>
          <w:rFonts w:ascii="Times New Roman" w:eastAsia="MS Mincho" w:hAnsi="Times New Roman" w:cs="Times New Roman"/>
          <w:noProof/>
          <w:kern w:val="0"/>
          <w:sz w:val="22"/>
          <w:szCs w:val="22"/>
          <w:lang w:val="lt-LT"/>
          <w14:ligatures w14:val="none"/>
        </w:rPr>
      </w:pPr>
      <w:r w:rsidRPr="00CB0E79">
        <w:rPr>
          <w:rFonts w:ascii="Times New Roman" w:eastAsia="MS Mincho" w:hAnsi="Times New Roman" w:cs="Times New Roman"/>
          <w:noProof/>
          <w:kern w:val="0"/>
          <w:sz w:val="22"/>
          <w:szCs w:val="22"/>
          <w:lang w:val="lt-LT"/>
          <w14:ligatures w14:val="none"/>
        </w:rPr>
        <w:t>Jeigu kartu vartojama kitokių akių lašų ar tepalo, tarp jų vartojimo reikia daryti mažiausiai 5 min. pertrauką. Akių tepalo reikia vartoti paskutinio.</w:t>
      </w:r>
    </w:p>
    <w:p w14:paraId="0BA6E29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CB0E79" w:rsidRPr="00CB0E79" w14:paraId="04001EE0" w14:textId="77777777" w:rsidTr="00C37224">
        <w:trPr>
          <w:trHeight w:val="1646"/>
        </w:trPr>
        <w:tc>
          <w:tcPr>
            <w:tcW w:w="1823" w:type="dxa"/>
          </w:tcPr>
          <w:p w14:paraId="1C4EA0BB" w14:textId="77777777" w:rsidR="00CB0E79" w:rsidRPr="00CB0E79" w:rsidRDefault="00CB0E79" w:rsidP="00CB0E79">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lt-LT"/>
                <w14:ligatures w14:val="none"/>
              </w:rPr>
              <w:drawing>
                <wp:inline distT="0" distB="0" distL="0" distR="0" wp14:anchorId="43D252F8" wp14:editId="76C5D3A0">
                  <wp:extent cx="1552575" cy="1000125"/>
                  <wp:effectExtent l="0" t="0" r="9525" b="9525"/>
                  <wp:docPr id="1" name="Paveikslėlis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eopend o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000125"/>
                          </a:xfrm>
                          <a:prstGeom prst="rect">
                            <a:avLst/>
                          </a:prstGeom>
                          <a:noFill/>
                          <a:ln>
                            <a:noFill/>
                          </a:ln>
                        </pic:spPr>
                      </pic:pic>
                    </a:graphicData>
                  </a:graphic>
                </wp:inline>
              </w:drawing>
            </w:r>
          </w:p>
        </w:tc>
        <w:tc>
          <w:tcPr>
            <w:tcW w:w="1170" w:type="dxa"/>
            <w:tcBorders>
              <w:top w:val="nil"/>
              <w:bottom w:val="nil"/>
            </w:tcBorders>
          </w:tcPr>
          <w:p w14:paraId="0F78E76D" w14:textId="77777777" w:rsidR="00CB0E79" w:rsidRPr="00CB0E79" w:rsidRDefault="00CB0E79" w:rsidP="00CB0E79">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p>
        </w:tc>
        <w:tc>
          <w:tcPr>
            <w:tcW w:w="1980" w:type="dxa"/>
          </w:tcPr>
          <w:p w14:paraId="2C52EAA2" w14:textId="77777777" w:rsidR="00CB0E79" w:rsidRPr="00CB0E79" w:rsidRDefault="00CB0E79" w:rsidP="00CB0E79">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lt-LT"/>
                <w14:ligatures w14:val="none"/>
              </w:rPr>
              <w:drawing>
                <wp:inline distT="0" distB="0" distL="0" distR="0" wp14:anchorId="1E5491AB" wp14:editId="2D65205E">
                  <wp:extent cx="1114425" cy="876300"/>
                  <wp:effectExtent l="0" t="0" r="9525" b="0"/>
                  <wp:docPr id="2" name="Paveikslėlis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geopend oog met tub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876300"/>
                          </a:xfrm>
                          <a:prstGeom prst="rect">
                            <a:avLst/>
                          </a:prstGeom>
                          <a:noFill/>
                          <a:ln>
                            <a:noFill/>
                          </a:ln>
                        </pic:spPr>
                      </pic:pic>
                    </a:graphicData>
                  </a:graphic>
                </wp:inline>
              </w:drawing>
            </w:r>
          </w:p>
        </w:tc>
      </w:tr>
    </w:tbl>
    <w:p w14:paraId="13AD189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2945E6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b/>
        <w:t>1</w:t>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t>2</w:t>
      </w:r>
      <w:r w:rsidRPr="00CB0E79">
        <w:rPr>
          <w:rFonts w:ascii="Times New Roman" w:eastAsia="Times New Roman" w:hAnsi="Times New Roman" w:cs="Times New Roman"/>
          <w:kern w:val="0"/>
          <w:sz w:val="22"/>
          <w:szCs w:val="22"/>
          <w:lang w:val="lt-LT"/>
          <w14:ligatures w14:val="none"/>
        </w:rPr>
        <w:tab/>
      </w:r>
      <w:r w:rsidRPr="00CB0E79">
        <w:rPr>
          <w:rFonts w:ascii="Times New Roman" w:eastAsia="Times New Roman" w:hAnsi="Times New Roman" w:cs="Times New Roman"/>
          <w:kern w:val="0"/>
          <w:sz w:val="22"/>
          <w:szCs w:val="22"/>
          <w:lang w:val="lt-LT"/>
          <w14:ligatures w14:val="none"/>
        </w:rPr>
        <w:tab/>
      </w:r>
    </w:p>
    <w:p w14:paraId="40F736B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6FAF075"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Paimkite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tūbelę ir veidrodėlį.</w:t>
      </w:r>
    </w:p>
    <w:p w14:paraId="43E79A83"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Nusiplaukite rankas.</w:t>
      </w:r>
    </w:p>
    <w:p w14:paraId="271F5D8C"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Atsukite tūbelės dangtelį.</w:t>
      </w:r>
    </w:p>
    <w:p w14:paraId="7954820C"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Laikykite tūbelę nykščiu ir smiliumi.</w:t>
      </w:r>
    </w:p>
    <w:p w14:paraId="3A0DFD6C"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Atloškite galvą. Atsargiai patraukite žemyn apatinį akies voką, kad tarp jo ir akies obuolio susidarytų kišenėlė. Į ją bus spaudžiama akių tepalo juostelė (1 pav.).</w:t>
      </w:r>
    </w:p>
    <w:p w14:paraId="45BFE3D6"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Prikiškite tūbelės snapelį netoli akies. Naudokitės veidrodžiu, jei taip lengviau.</w:t>
      </w:r>
    </w:p>
    <w:p w14:paraId="6D946D25"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Nelieskite tūbelės galu akies ar voko, aplinkinių sričių ar kitų paviršių, kad neužterštumėte vaisto.</w:t>
      </w:r>
    </w:p>
    <w:p w14:paraId="722C0D90"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Lengvai paspaudę tūbelę išspauskite akių tepalo juostelę (2 pav.).</w:t>
      </w:r>
    </w:p>
    <w:p w14:paraId="1F114786"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Įtepę </w:t>
      </w:r>
      <w:r w:rsidRPr="00CB0E79">
        <w:rPr>
          <w:rFonts w:ascii="Times New Roman" w:eastAsia="Times New Roman" w:hAnsi="Times New Roman" w:cs="Times New Roman"/>
          <w:bCs/>
          <w:kern w:val="0"/>
          <w:sz w:val="22"/>
          <w:szCs w:val="22"/>
          <w:lang w:val="lt-LT"/>
          <w14:ligatures w14:val="none"/>
        </w:rPr>
        <w:t>Maxidex</w:t>
      </w:r>
      <w:r w:rsidRPr="00CB0E79">
        <w:rPr>
          <w:rFonts w:ascii="Times New Roman" w:eastAsia="Times New Roman" w:hAnsi="Times New Roman" w:cs="Times New Roman"/>
          <w:kern w:val="0"/>
          <w:sz w:val="22"/>
          <w:szCs w:val="22"/>
          <w:lang w:val="lt-LT"/>
          <w14:ligatures w14:val="none"/>
        </w:rPr>
        <w:t>, atleiskite apatinį voką ir keletą kartų pamirksėkite, kad akių tepalas pasklistų po visą akies paviršių. Kelioms sekundėms švelniai užsimerkite, kad mažiau vaisto absorbuotųsi į organizmą.</w:t>
      </w:r>
    </w:p>
    <w:p w14:paraId="74F19D0B"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 reikia, tokiu pačiu būdu patepkite kitą akį. </w:t>
      </w:r>
    </w:p>
    <w:p w14:paraId="7422A621" w14:textId="77777777" w:rsidR="00CB0E79" w:rsidRPr="00CB0E79" w:rsidRDefault="00CB0E79" w:rsidP="00CB0E79">
      <w:pPr>
        <w:numPr>
          <w:ilvl w:val="0"/>
          <w:numId w:val="3"/>
        </w:numPr>
        <w:spacing w:after="0" w:line="240" w:lineRule="auto"/>
        <w:ind w:left="567" w:hanging="567"/>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Uždėkite ir sandariai užsukite tūbelės dangtelį.</w:t>
      </w:r>
    </w:p>
    <w:p w14:paraId="704C38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73375F7"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Jei akių tepalo nepateko į akį, bandykite dar kartą.</w:t>
      </w:r>
    </w:p>
    <w:p w14:paraId="4C414AC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FDEFAD9"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 xml:space="preserve">Ką daryti pavartojus per didelę </w:t>
      </w:r>
      <w:r w:rsidRPr="00CB0E79">
        <w:rPr>
          <w:rFonts w:ascii="Times New Roman" w:eastAsia="Times New Roman" w:hAnsi="Times New Roman" w:cs="Times New Roman"/>
          <w:b/>
          <w:bCs/>
          <w:kern w:val="0"/>
          <w:sz w:val="22"/>
          <w:szCs w:val="22"/>
          <w:lang w:val="lt-LT"/>
          <w14:ligatures w14:val="none"/>
        </w:rPr>
        <w:t xml:space="preserve">Maxidex </w:t>
      </w:r>
      <w:r w:rsidRPr="00CB0E79">
        <w:rPr>
          <w:rFonts w:ascii="Times New Roman" w:eastAsia="Times New Roman" w:hAnsi="Times New Roman" w:cs="Times New Roman"/>
          <w:b/>
          <w:kern w:val="0"/>
          <w:sz w:val="22"/>
          <w:szCs w:val="22"/>
          <w:lang w:val="lt-LT"/>
          <w14:ligatures w14:val="none"/>
        </w:rPr>
        <w:t>dozę?</w:t>
      </w:r>
    </w:p>
    <w:p w14:paraId="284A646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 reikia, </w:t>
      </w: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perteklių iš akies (akių) nuplaukite drungnu vandeniu. Vaisto daugiau nevartokite tol, kol neateis laikas vartoti kitą įprastą dozę.</w:t>
      </w:r>
    </w:p>
    <w:p w14:paraId="48F96EFF"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2424085A" w14:textId="77777777" w:rsidR="00CB0E79" w:rsidRPr="00CB0E79" w:rsidRDefault="00CB0E79" w:rsidP="00CB0E79">
      <w:pPr>
        <w:keepNext/>
        <w:spacing w:after="0" w:line="240" w:lineRule="auto"/>
        <w:outlineLvl w:val="0"/>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 xml:space="preserve">Pamiršus pavartoti </w:t>
      </w:r>
      <w:r w:rsidRPr="00CB0E79">
        <w:rPr>
          <w:rFonts w:ascii="Times New Roman" w:eastAsia="Times New Roman" w:hAnsi="Times New Roman" w:cs="Times New Roman"/>
          <w:b/>
          <w:bCs/>
          <w:kern w:val="0"/>
          <w:sz w:val="22"/>
          <w:szCs w:val="22"/>
          <w:lang w:val="lt-LT"/>
          <w14:ligatures w14:val="none"/>
        </w:rPr>
        <w:t>Maxidex</w:t>
      </w:r>
    </w:p>
    <w:p w14:paraId="156124C3" w14:textId="77777777" w:rsidR="00CB0E79" w:rsidRPr="00CB0E79" w:rsidRDefault="00CB0E79" w:rsidP="00CB0E79">
      <w:pPr>
        <w:keepNext/>
        <w:spacing w:after="0" w:line="240" w:lineRule="auto"/>
        <w:outlineLvl w:val="0"/>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Kitą dozę vartokite taip, kaip esatę suplanavę. Vis dėlto,</w:t>
      </w:r>
      <w:r w:rsidRPr="00CB0E79" w:rsidDel="002E2C0C">
        <w:rPr>
          <w:rFonts w:ascii="Times New Roman" w:eastAsia="Times New Roman" w:hAnsi="Times New Roman" w:cs="Times New Roman"/>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 xml:space="preserve">jei beveik atėjęs kito tepimo laikas, praleiskite užmirštąją dozę ir toliau tepkite akį įprastu laiku. </w:t>
      </w:r>
      <w:r w:rsidRPr="00CB0E79">
        <w:rPr>
          <w:rFonts w:ascii="Times New Roman" w:eastAsia="Times New Roman" w:hAnsi="Times New Roman" w:cs="Times New Roman"/>
          <w:bCs/>
          <w:kern w:val="0"/>
          <w:sz w:val="22"/>
          <w:szCs w:val="22"/>
          <w:lang w:val="lt-LT"/>
          <w14:ligatures w14:val="none"/>
        </w:rPr>
        <w:t>Negalima vartoti dvigubos dozės norint kompensuoti praleistą dozę</w:t>
      </w:r>
      <w:r w:rsidRPr="00CB0E79">
        <w:rPr>
          <w:rFonts w:ascii="Times New Roman" w:eastAsia="Times New Roman" w:hAnsi="Times New Roman" w:cs="Times New Roman"/>
          <w:kern w:val="0"/>
          <w:sz w:val="22"/>
          <w:szCs w:val="22"/>
          <w:lang w:val="lt-LT"/>
          <w14:ligatures w14:val="none"/>
        </w:rPr>
        <w:t>.</w:t>
      </w:r>
    </w:p>
    <w:p w14:paraId="4ACC0BEE"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0F2810E" w14:textId="77777777" w:rsidR="00CB0E79" w:rsidRPr="00CB0E79" w:rsidRDefault="00CB0E79" w:rsidP="00CB0E79">
      <w:pPr>
        <w:spacing w:after="0" w:line="240" w:lineRule="auto"/>
        <w:rPr>
          <w:rFonts w:ascii="Times New Roman" w:eastAsia="Cambria" w:hAnsi="Times New Roman" w:cs="Times New Roman"/>
          <w:kern w:val="0"/>
          <w:sz w:val="22"/>
          <w:szCs w:val="22"/>
          <w:lang w:val="lt-LT"/>
          <w14:ligatures w14:val="none"/>
        </w:rPr>
      </w:pPr>
      <w:r w:rsidRPr="00CB0E79">
        <w:rPr>
          <w:rFonts w:ascii="Times New Roman" w:eastAsia="Cambria" w:hAnsi="Times New Roman" w:cs="Times New Roman"/>
          <w:kern w:val="0"/>
          <w:sz w:val="22"/>
          <w:szCs w:val="22"/>
          <w:lang w:val="lt-LT"/>
          <w14:ligatures w14:val="none"/>
        </w:rPr>
        <w:t>Jeigu kiltų daugiau klausimų dėl šio vaisto vartojimo, kreipkitės į gydytoją arba vaistininką.</w:t>
      </w:r>
    </w:p>
    <w:p w14:paraId="424DB68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A60149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3038E06"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4.</w:t>
      </w:r>
      <w:r w:rsidRPr="00CB0E79">
        <w:rPr>
          <w:rFonts w:ascii="Times New Roman" w:eastAsia="Times New Roman" w:hAnsi="Times New Roman" w:cs="Times New Roman"/>
          <w:b/>
          <w:kern w:val="0"/>
          <w:sz w:val="22"/>
          <w:szCs w:val="22"/>
          <w:lang w:val="lt-LT"/>
          <w14:ligatures w14:val="none"/>
        </w:rPr>
        <w:tab/>
        <w:t>Galimas šalutinis poveikis</w:t>
      </w:r>
    </w:p>
    <w:p w14:paraId="0A6C3E7F"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75A6381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da-DK"/>
          <w14:ligatures w14:val="none"/>
        </w:rPr>
        <w:t xml:space="preserve">Šis vaistas, </w:t>
      </w:r>
      <w:r w:rsidRPr="00CB0E79">
        <w:rPr>
          <w:rFonts w:ascii="Times New Roman" w:eastAsia="Times New Roman" w:hAnsi="Times New Roman" w:cs="Times New Roman"/>
          <w:kern w:val="0"/>
          <w:sz w:val="22"/>
          <w:szCs w:val="22"/>
          <w:lang w:val="lt-LT"/>
          <w14:ligatures w14:val="none"/>
        </w:rPr>
        <w:t>kaip ir visi kiti, gali sukelti šalutinį poveikį, nors jis pasireiškia ne visiems žmonėms.</w:t>
      </w:r>
    </w:p>
    <w:p w14:paraId="04C2E62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403721B" w14:textId="77777777" w:rsidR="00CB0E79" w:rsidRPr="00CB0E79" w:rsidRDefault="00CB0E79" w:rsidP="00CB0E79">
      <w:pPr>
        <w:widowControl w:val="0"/>
        <w:spacing w:after="0" w:line="240" w:lineRule="auto"/>
        <w:ind w:right="-2"/>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Pastebėtas toliau išvardytas šalutinis </w:t>
      </w:r>
      <w:r w:rsidRPr="00CB0E79">
        <w:rPr>
          <w:rFonts w:ascii="Times New Roman" w:eastAsia="Times New Roman" w:hAnsi="Times New Roman" w:cs="Times New Roman"/>
          <w:bCs/>
          <w:snapToGrid w:val="0"/>
          <w:kern w:val="0"/>
          <w:sz w:val="22"/>
          <w:szCs w:val="22"/>
          <w:lang w:val="lt-LT"/>
          <w14:ligatures w14:val="none"/>
        </w:rPr>
        <w:t xml:space="preserve">Maxidex </w:t>
      </w:r>
      <w:r w:rsidRPr="00CB0E79">
        <w:rPr>
          <w:rFonts w:ascii="Times New Roman" w:eastAsia="Times New Roman" w:hAnsi="Times New Roman" w:cs="Times New Roman"/>
          <w:snapToGrid w:val="0"/>
          <w:kern w:val="0"/>
          <w:sz w:val="22"/>
          <w:szCs w:val="22"/>
          <w:lang w:val="lt-LT"/>
          <w14:ligatures w14:val="none"/>
        </w:rPr>
        <w:t>poveikis.</w:t>
      </w:r>
    </w:p>
    <w:p w14:paraId="533D41C9" w14:textId="77777777" w:rsidR="00CB0E79" w:rsidRPr="00CB0E79" w:rsidRDefault="00CB0E79" w:rsidP="00CB0E79">
      <w:pPr>
        <w:widowControl w:val="0"/>
        <w:spacing w:after="0" w:line="240" w:lineRule="auto"/>
        <w:ind w:right="-2"/>
        <w:rPr>
          <w:rFonts w:ascii="Times New Roman" w:eastAsia="Times New Roman" w:hAnsi="Times New Roman" w:cs="Times New Roman"/>
          <w:snapToGrid w:val="0"/>
          <w:kern w:val="0"/>
          <w:sz w:val="22"/>
          <w:szCs w:val="22"/>
          <w:lang w:val="lt-LT"/>
          <w14:ligatures w14:val="none"/>
        </w:rPr>
      </w:pPr>
    </w:p>
    <w:p w14:paraId="70119CE6" w14:textId="77777777" w:rsidR="00CB0E79" w:rsidRPr="00CB0E79" w:rsidRDefault="00CB0E79" w:rsidP="00CB0E79">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Dažni šalutinio poveikio reiškiniai (gali pasireikšti rečiau kaip 1 iš 10 asmenų):</w:t>
      </w:r>
    </w:p>
    <w:p w14:paraId="6EBD1E6F" w14:textId="77777777" w:rsidR="00CB0E79" w:rsidRPr="00CB0E79" w:rsidRDefault="00CB0E79" w:rsidP="00CB0E79">
      <w:pPr>
        <w:widowControl w:val="0"/>
        <w:numPr>
          <w:ilvl w:val="1"/>
          <w:numId w:val="9"/>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padidėjęs akispūdis, ragenos pažeidimas, akies skausmas, nemalonus pojūtis akyje.</w:t>
      </w:r>
    </w:p>
    <w:p w14:paraId="68458454" w14:textId="77777777" w:rsidR="00CB0E79" w:rsidRPr="00CB0E79" w:rsidRDefault="00CB0E79" w:rsidP="00CB0E79">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4DF27C08" w14:textId="77777777" w:rsidR="00CB0E79" w:rsidRPr="00CB0E79" w:rsidRDefault="00CB0E79" w:rsidP="00CB0E79">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Nedažni šalutinio poveikio reiškiniai (gali pasireikšti rečiau kaip 1 iš 100 asmenų):</w:t>
      </w:r>
    </w:p>
    <w:p w14:paraId="6A8D1FDC" w14:textId="77777777" w:rsidR="00CB0E79" w:rsidRPr="00CB0E79" w:rsidRDefault="00CB0E79" w:rsidP="00CB0E79">
      <w:pPr>
        <w:widowControl w:val="0"/>
        <w:numPr>
          <w:ilvl w:val="1"/>
          <w:numId w:val="9"/>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akies paviršiaus uždegimas, junginės uždegimas, akies sausumas, ragenos dažymasis, jautrumas šviesai, neryškus matomas vaizdas, akies niežėjimas, svetimkūnio pojūtis akyje, padidėjęs ašarojimas, nenormalus pojūtis akyje, akies voko krašto šašai, akies dirginimas ar paraudimas.</w:t>
      </w:r>
    </w:p>
    <w:p w14:paraId="430C3CC6" w14:textId="77777777" w:rsidR="00CB0E79" w:rsidRPr="00CB0E79" w:rsidRDefault="00CB0E79" w:rsidP="00CB0E79">
      <w:pPr>
        <w:widowControl w:val="0"/>
        <w:numPr>
          <w:ilvl w:val="1"/>
          <w:numId w:val="9"/>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sutrikęs skonio jutimas.</w:t>
      </w:r>
    </w:p>
    <w:p w14:paraId="47844974" w14:textId="77777777" w:rsidR="00CB0E79" w:rsidRPr="00CB0E79" w:rsidRDefault="00CB0E79" w:rsidP="00CB0E79">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3902B298" w14:textId="77777777" w:rsidR="00CB0E79" w:rsidRPr="00CB0E79" w:rsidRDefault="00CB0E79" w:rsidP="00CB0E79">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Reti šalutinio poveikio reiškiniai (gali pasireikšti rečiau kaip 1 iš 1 000 asmenų):</w:t>
      </w:r>
    </w:p>
    <w:p w14:paraId="378A47B0" w14:textId="77777777" w:rsidR="00CB0E79" w:rsidRPr="00CB0E79" w:rsidRDefault="00CB0E79" w:rsidP="00CB0E79">
      <w:pPr>
        <w:widowControl w:val="0"/>
        <w:numPr>
          <w:ilvl w:val="1"/>
          <w:numId w:val="9"/>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ragenos prakiurimas, akies infekcija, katarakta, glaukoma, akipločio sutrikimas, pablogėjusi rega, akies alergija.</w:t>
      </w:r>
    </w:p>
    <w:p w14:paraId="4EECF5F1" w14:textId="77777777" w:rsidR="00CB0E79" w:rsidRPr="00CB0E79" w:rsidRDefault="00CB0E79" w:rsidP="00CB0E79">
      <w:pPr>
        <w:widowControl w:val="0"/>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p>
    <w:p w14:paraId="73A3F192" w14:textId="77777777" w:rsidR="00CB0E79" w:rsidRPr="00CB0E79" w:rsidRDefault="00CB0E79" w:rsidP="00CB0E79">
      <w:pPr>
        <w:spacing w:after="0" w:line="240" w:lineRule="auto"/>
        <w:rPr>
          <w:rFonts w:ascii="Times New Roman" w:eastAsia="MS Mincho" w:hAnsi="Times New Roman" w:cs="Times New Roman"/>
          <w:b/>
          <w:bCs/>
          <w:iCs/>
          <w:kern w:val="0"/>
          <w:sz w:val="22"/>
          <w:szCs w:val="22"/>
          <w:lang w:val="lt-LT"/>
          <w14:ligatures w14:val="none"/>
        </w:rPr>
      </w:pPr>
      <w:r w:rsidRPr="00CB0E79">
        <w:rPr>
          <w:rFonts w:ascii="Times New Roman" w:eastAsia="MS Mincho" w:hAnsi="Times New Roman" w:cs="Times New Roman"/>
          <w:b/>
          <w:bCs/>
          <w:iCs/>
          <w:kern w:val="0"/>
          <w:sz w:val="22"/>
          <w:szCs w:val="22"/>
          <w:lang w:val="lt-LT"/>
          <w14:ligatures w14:val="none"/>
        </w:rPr>
        <w:t>Labai reti šalutinio poveikio reiškiniai (gali pasireikšti rečiau kaip 1 iš 10 000 asmenų):</w:t>
      </w:r>
    </w:p>
    <w:p w14:paraId="737751C4" w14:textId="77777777" w:rsidR="00CB0E79" w:rsidRPr="00CB0E79" w:rsidRDefault="00CB0E79" w:rsidP="00CB0E79">
      <w:pPr>
        <w:widowControl w:val="0"/>
        <w:numPr>
          <w:ilvl w:val="1"/>
          <w:numId w:val="9"/>
        </w:numPr>
        <w:tabs>
          <w:tab w:val="left" w:pos="0"/>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akies voko nusileidimas, vyzdžio padidėjimas.</w:t>
      </w:r>
    </w:p>
    <w:p w14:paraId="4388C36A" w14:textId="77777777" w:rsidR="00CB0E79" w:rsidRPr="00CB0E79" w:rsidRDefault="00CB0E79" w:rsidP="00CB0E79">
      <w:pPr>
        <w:widowControl w:val="0"/>
        <w:autoSpaceDE w:val="0"/>
        <w:autoSpaceDN w:val="0"/>
        <w:adjustRightInd w:val="0"/>
        <w:spacing w:after="0" w:line="240" w:lineRule="auto"/>
        <w:rPr>
          <w:rFonts w:ascii="Times New Roman" w:eastAsia="Times New Roman" w:hAnsi="Times New Roman" w:cs="Times New Roman"/>
          <w:snapToGrid w:val="0"/>
          <w:kern w:val="0"/>
          <w:sz w:val="22"/>
          <w:szCs w:val="22"/>
          <w:lang w:val="lt-LT"/>
          <w14:ligatures w14:val="none"/>
        </w:rPr>
      </w:pPr>
    </w:p>
    <w:p w14:paraId="70BD930B" w14:textId="77777777" w:rsidR="00CB0E79" w:rsidRPr="00CB0E79" w:rsidRDefault="00CB0E79" w:rsidP="00CB0E79">
      <w:pPr>
        <w:widowControl w:val="0"/>
        <w:autoSpaceDE w:val="0"/>
        <w:autoSpaceDN w:val="0"/>
        <w:adjustRightInd w:val="0"/>
        <w:spacing w:after="0" w:line="240" w:lineRule="auto"/>
        <w:rPr>
          <w:rFonts w:ascii="Times New Roman" w:eastAsia="Times New Roman" w:hAnsi="Times New Roman" w:cs="Times New Roman"/>
          <w:b/>
          <w:bCs/>
          <w:iCs/>
          <w:snapToGrid w:val="0"/>
          <w:kern w:val="0"/>
          <w:sz w:val="22"/>
          <w:szCs w:val="22"/>
          <w:lang w:val="lt-LT"/>
          <w14:ligatures w14:val="none"/>
        </w:rPr>
      </w:pPr>
      <w:r w:rsidRPr="00CB0E79">
        <w:rPr>
          <w:rFonts w:ascii="Times New Roman" w:eastAsia="Times New Roman" w:hAnsi="Times New Roman" w:cs="Times New Roman"/>
          <w:b/>
          <w:bCs/>
          <w:iCs/>
          <w:snapToGrid w:val="0"/>
          <w:kern w:val="0"/>
          <w:sz w:val="22"/>
          <w:szCs w:val="22"/>
          <w:lang w:val="lt-LT"/>
          <w14:ligatures w14:val="none"/>
        </w:rPr>
        <w:t>Šalutinio poveikio reiškiniai, kurių dažnis nežinomas (negali būti apskaičiuotas pagal turimus duomenis):</w:t>
      </w:r>
    </w:p>
    <w:p w14:paraId="33BF0F86" w14:textId="77777777" w:rsidR="00CB0E79" w:rsidRPr="00CB0E79" w:rsidRDefault="00CB0E79" w:rsidP="00CB0E79">
      <w:pPr>
        <w:widowControl w:val="0"/>
        <w:numPr>
          <w:ilvl w:val="0"/>
          <w:numId w:val="15"/>
        </w:numPr>
        <w:autoSpaceDE w:val="0"/>
        <w:autoSpaceDN w:val="0"/>
        <w:adjustRightInd w:val="0"/>
        <w:spacing w:after="0" w:line="240" w:lineRule="auto"/>
        <w:ind w:left="567" w:hanging="567"/>
        <w:contextualSpacing/>
        <w:rPr>
          <w:rFonts w:ascii="Times New Roman" w:eastAsia="Cambria"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miglotas matymas, </w:t>
      </w:r>
      <w:r w:rsidRPr="00CB0E79">
        <w:rPr>
          <w:rFonts w:ascii="Times New Roman" w:eastAsia="Cambria" w:hAnsi="Times New Roman" w:cs="Times New Roman"/>
          <w:snapToGrid w:val="0"/>
          <w:kern w:val="0"/>
          <w:sz w:val="22"/>
          <w:szCs w:val="22"/>
          <w:lang w:val="lt-LT"/>
          <w14:ligatures w14:val="none"/>
        </w:rPr>
        <w:t>glaukoma, ragenos opa, padidėjęs akispūdis, pablogėjusi rega, ragenos pažeidimas, akies voko nusileidimas, akies skausmas, vyzdžio padidėjimas;</w:t>
      </w:r>
    </w:p>
    <w:p w14:paraId="43C34B57" w14:textId="77777777" w:rsidR="00CB0E79" w:rsidRPr="00CB0E79" w:rsidRDefault="00CB0E79" w:rsidP="00CB0E79">
      <w:pPr>
        <w:widowControl w:val="0"/>
        <w:numPr>
          <w:ilvl w:val="1"/>
          <w:numId w:val="9"/>
        </w:numPr>
        <w:tabs>
          <w:tab w:val="left" w:pos="567"/>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padidėjęs plaukuotumas (ypač moterims), raumenų silpnumas ir nykimas, violetinės strijų žymės kūno odoje, padidėjęs kraujospūdis, nereguliarios menstruacijos arba jų išnykimas, baltymo ir kalcio kiekio organizme pokytis, sulėtėjęs vaikų bei paauglių augimas ir kūno svorio padidėjimas bei viso kūno ir veido patinimas (Kušingo sindromas) (žr. 2 skyrių „Įspėjimai ir atsargumo priemonės“);</w:t>
      </w:r>
    </w:p>
    <w:p w14:paraId="362E2345" w14:textId="77777777" w:rsidR="00CB0E79" w:rsidRPr="00CB0E79" w:rsidRDefault="00CB0E79" w:rsidP="00CB0E79">
      <w:pPr>
        <w:widowControl w:val="0"/>
        <w:numPr>
          <w:ilvl w:val="1"/>
          <w:numId w:val="9"/>
        </w:numPr>
        <w:tabs>
          <w:tab w:val="left" w:pos="567"/>
        </w:tabs>
        <w:spacing w:after="0" w:line="240" w:lineRule="auto"/>
        <w:ind w:left="567" w:right="-2" w:hanging="567"/>
        <w:rPr>
          <w:rFonts w:ascii="Times New Roman" w:eastAsia="Times New Roman" w:hAnsi="Times New Roman" w:cs="Times New Roman"/>
          <w:snapToGrid w:val="0"/>
          <w:kern w:val="0"/>
          <w:sz w:val="22"/>
          <w:szCs w:val="22"/>
          <w:lang w:val="lt-LT"/>
          <w14:ligatures w14:val="none"/>
        </w:rPr>
      </w:pPr>
      <w:r w:rsidRPr="00CB0E79">
        <w:rPr>
          <w:rFonts w:ascii="Times New Roman" w:eastAsia="Times New Roman" w:hAnsi="Times New Roman" w:cs="Times New Roman"/>
          <w:snapToGrid w:val="0"/>
          <w:kern w:val="0"/>
          <w:sz w:val="22"/>
          <w:szCs w:val="22"/>
          <w:lang w:val="lt-LT"/>
          <w14:ligatures w14:val="none"/>
        </w:rPr>
        <w:t xml:space="preserve">antinksčių nepakankamumas, alergija, svaigulys, galvos skausmas. </w:t>
      </w:r>
    </w:p>
    <w:p w14:paraId="230BDFAA" w14:textId="77777777" w:rsidR="00CB0E79" w:rsidRPr="00CB0E79" w:rsidRDefault="00CB0E79" w:rsidP="00CB0E79">
      <w:pPr>
        <w:spacing w:after="0" w:line="240" w:lineRule="auto"/>
        <w:jc w:val="both"/>
        <w:rPr>
          <w:rFonts w:ascii="Times New Roman" w:eastAsia="MS Mincho" w:hAnsi="Times New Roman" w:cs="Times New Roman"/>
          <w:kern w:val="0"/>
          <w:sz w:val="22"/>
          <w:szCs w:val="22"/>
          <w:lang w:val="lt-LT"/>
          <w14:ligatures w14:val="none"/>
        </w:rPr>
      </w:pPr>
    </w:p>
    <w:p w14:paraId="19904F2E" w14:textId="77777777" w:rsidR="00CB0E79" w:rsidRPr="00CB0E79" w:rsidRDefault="00CB0E79" w:rsidP="00CB0E79">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CB0E79">
        <w:rPr>
          <w:rFonts w:ascii="Times New Roman" w:eastAsia="Times New Roman" w:hAnsi="Times New Roman" w:cs="Times New Roman"/>
          <w:b/>
          <w:noProof/>
          <w:snapToGrid w:val="0"/>
          <w:kern w:val="0"/>
          <w:sz w:val="22"/>
          <w:szCs w:val="22"/>
          <w:lang w:val="lt-LT"/>
          <w14:ligatures w14:val="none"/>
        </w:rPr>
        <w:t>Pranešimas apie šalutinį poveikį</w:t>
      </w:r>
    </w:p>
    <w:p w14:paraId="503A6A0E" w14:textId="77777777" w:rsidR="00CB0E79" w:rsidRPr="00CB0E79" w:rsidRDefault="00CB0E79" w:rsidP="00CB0E79">
      <w:pPr>
        <w:tabs>
          <w:tab w:val="left" w:pos="567"/>
        </w:tabs>
        <w:spacing w:after="0" w:line="240" w:lineRule="auto"/>
        <w:ind w:right="48"/>
        <w:rPr>
          <w:rFonts w:ascii="Times New Roman" w:eastAsia="Times New Roman" w:hAnsi="Times New Roman" w:cs="Times New Roman"/>
          <w:noProof/>
          <w:snapToGrid w:val="0"/>
          <w:kern w:val="0"/>
          <w:sz w:val="22"/>
          <w:szCs w:val="22"/>
          <w:lang w:val="lt-LT"/>
          <w14:ligatures w14:val="none"/>
        </w:rPr>
      </w:pPr>
      <w:r w:rsidRPr="00CB0E79">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CB0E79">
        <w:rPr>
          <w:rFonts w:ascii="Times New Roman" w:eastAsia="Times New Roman" w:hAnsi="Times New Roman" w:cs="Times New Roman"/>
          <w:snapToGrid w:val="0"/>
          <w:kern w:val="0"/>
          <w:sz w:val="22"/>
          <w:szCs w:val="22"/>
          <w:lang w:val="lt-LT"/>
          <w14:ligatures w14:val="none"/>
        </w:rPr>
        <w:t>.</w:t>
      </w:r>
      <w:r w:rsidRPr="00CB0E79">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11" w:history="1">
        <w:r w:rsidRPr="00CB0E79">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CB0E79">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73568. Pranešdami apie šalutinį poveikį galite mums padėti gauti daugiau informacijos apie šio vaisto saugumą.</w:t>
      </w:r>
    </w:p>
    <w:p w14:paraId="6C038CD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3E708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796F4726"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lastRenderedPageBreak/>
        <w:t>5.</w:t>
      </w:r>
      <w:r w:rsidRPr="00CB0E79">
        <w:rPr>
          <w:rFonts w:ascii="Times New Roman" w:eastAsia="Times New Roman" w:hAnsi="Times New Roman" w:cs="Times New Roman"/>
          <w:b/>
          <w:kern w:val="0"/>
          <w:sz w:val="22"/>
          <w:szCs w:val="22"/>
          <w:lang w:val="lt-LT"/>
          <w14:ligatures w14:val="none"/>
        </w:rPr>
        <w:tab/>
        <w:t xml:space="preserve">Kaip laikyti </w:t>
      </w:r>
      <w:r w:rsidRPr="00CB0E79">
        <w:rPr>
          <w:rFonts w:ascii="Times New Roman" w:eastAsia="Times New Roman" w:hAnsi="Times New Roman" w:cs="Times New Roman"/>
          <w:b/>
          <w:bCs/>
          <w:kern w:val="0"/>
          <w:sz w:val="22"/>
          <w:szCs w:val="22"/>
          <w:lang w:val="lt-LT"/>
          <w14:ligatures w14:val="none"/>
        </w:rPr>
        <w:t>Maxidex</w:t>
      </w:r>
    </w:p>
    <w:p w14:paraId="3D097CC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004E7C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Šį vaistą laikykite vaikams nepastebimoje ir nepasiekiamoje vietoje.</w:t>
      </w:r>
    </w:p>
    <w:p w14:paraId="473CEFC6"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7C74C0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eastAsia="da-DK"/>
          <w14:ligatures w14:val="none"/>
        </w:rPr>
      </w:pPr>
      <w:r w:rsidRPr="00CB0E79">
        <w:rPr>
          <w:rFonts w:ascii="Times New Roman" w:eastAsia="Times New Roman" w:hAnsi="Times New Roman" w:cs="Times New Roman"/>
          <w:kern w:val="0"/>
          <w:sz w:val="22"/>
          <w:szCs w:val="22"/>
          <w:lang w:val="lt-LT" w:eastAsia="da-DK"/>
          <w14:ligatures w14:val="none"/>
        </w:rPr>
        <w:t xml:space="preserve">Laikyti ne aukštesnėje kaip 25 °C temperatūroje. </w:t>
      </w:r>
    </w:p>
    <w:p w14:paraId="03BCA53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Negalima užšaldyti.</w:t>
      </w:r>
    </w:p>
    <w:p w14:paraId="771B5F2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eastAsia="da-DK"/>
          <w14:ligatures w14:val="none"/>
        </w:rPr>
      </w:pPr>
      <w:r w:rsidRPr="00CB0E79">
        <w:rPr>
          <w:rFonts w:ascii="Times New Roman" w:eastAsia="Times New Roman" w:hAnsi="Times New Roman" w:cs="Times New Roman"/>
          <w:bCs/>
          <w:kern w:val="0"/>
          <w:sz w:val="22"/>
          <w:szCs w:val="22"/>
          <w:lang w:val="lt-LT" w:eastAsia="da-DK"/>
          <w14:ligatures w14:val="none"/>
        </w:rPr>
        <w:t>T</w:t>
      </w:r>
      <w:r w:rsidRPr="00CB0E79">
        <w:rPr>
          <w:rFonts w:ascii="Times New Roman" w:eastAsia="Times New Roman" w:hAnsi="Times New Roman" w:cs="Times New Roman"/>
          <w:kern w:val="0"/>
          <w:sz w:val="22"/>
          <w:szCs w:val="22"/>
          <w:lang w:val="lt-LT" w:eastAsia="da-DK"/>
          <w14:ligatures w14:val="none"/>
        </w:rPr>
        <w:t>ūbelę l</w:t>
      </w:r>
      <w:r w:rsidRPr="00CB0E79">
        <w:rPr>
          <w:rFonts w:ascii="Times New Roman" w:eastAsia="Times New Roman" w:hAnsi="Times New Roman" w:cs="Times New Roman"/>
          <w:bCs/>
          <w:kern w:val="0"/>
          <w:sz w:val="22"/>
          <w:szCs w:val="22"/>
          <w:lang w:val="lt-LT" w:eastAsia="da-DK"/>
          <w14:ligatures w14:val="none"/>
        </w:rPr>
        <w:t xml:space="preserve">aikykite </w:t>
      </w:r>
      <w:r w:rsidRPr="00CB0E79">
        <w:rPr>
          <w:rFonts w:ascii="Times New Roman" w:eastAsia="Times New Roman" w:hAnsi="Times New Roman" w:cs="Times New Roman"/>
          <w:kern w:val="0"/>
          <w:sz w:val="22"/>
          <w:szCs w:val="22"/>
          <w:lang w:val="lt-LT" w:eastAsia="da-DK"/>
          <w14:ligatures w14:val="none"/>
        </w:rPr>
        <w:t>sandariai užsuktą.</w:t>
      </w:r>
    </w:p>
    <w:p w14:paraId="701D9CF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eastAsia="da-DK"/>
          <w14:ligatures w14:val="none"/>
        </w:rPr>
        <w:t>Po pirmojo tūbelės atidarymo vaistą galima vartoti 28 dienas. Po to tūbelę išmeskite, nes</w:t>
      </w:r>
      <w:r w:rsidRPr="00CB0E79">
        <w:rPr>
          <w:rFonts w:ascii="Times New Roman" w:eastAsia="Times New Roman" w:hAnsi="Times New Roman" w:cs="Times New Roman"/>
          <w:kern w:val="0"/>
          <w:sz w:val="22"/>
          <w:szCs w:val="22"/>
          <w:lang w:val="lt-LT"/>
          <w14:ligatures w14:val="none"/>
        </w:rPr>
        <w:t xml:space="preserve"> akių tepalas gali būti užsiteršęs. Užsirašykite, kada pirmą kartą atsukote tūbelę.</w:t>
      </w:r>
    </w:p>
    <w:p w14:paraId="3B1C05F3"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3D1D211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Atsukta: </w:t>
      </w:r>
    </w:p>
    <w:p w14:paraId="218BDCE1"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DA575F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noProof/>
          <w:kern w:val="0"/>
          <w:sz w:val="22"/>
          <w:szCs w:val="22"/>
          <w:lang w:val="lt-LT" w:eastAsia="da-DK"/>
          <w14:ligatures w14:val="none"/>
        </w:rPr>
        <w:t>Ant dėžutės ir tūbelės po „EXP“ nurodytam tinkamumo laikui pasibaigus, šio vaisto vartoti negalima.</w:t>
      </w:r>
      <w:r w:rsidRPr="00CB0E79">
        <w:rPr>
          <w:rFonts w:ascii="Times New Roman" w:eastAsia="Times New Roman" w:hAnsi="Times New Roman" w:cs="Times New Roman"/>
          <w:noProof/>
          <w:kern w:val="0"/>
          <w:sz w:val="22"/>
          <w:szCs w:val="22"/>
          <w:lang w:val="lt-LT"/>
          <w14:ligatures w14:val="none"/>
        </w:rPr>
        <w:t xml:space="preserve"> </w:t>
      </w:r>
      <w:r w:rsidRPr="00CB0E79">
        <w:rPr>
          <w:rFonts w:ascii="Times New Roman" w:eastAsia="Times New Roman" w:hAnsi="Times New Roman" w:cs="Times New Roman"/>
          <w:kern w:val="0"/>
          <w:sz w:val="22"/>
          <w:szCs w:val="22"/>
          <w:lang w:val="lt-LT"/>
          <w14:ligatures w14:val="none"/>
        </w:rPr>
        <w:t>Vaistas tinkamas vartoti iki paskutinės nurodyto mėnesio dienos.</w:t>
      </w:r>
    </w:p>
    <w:p w14:paraId="1FAA35A2"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5FD8393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05185AD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26090E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1DA33E91" w14:textId="77777777" w:rsidR="00CB0E79" w:rsidRPr="00CB0E79" w:rsidRDefault="00CB0E79" w:rsidP="00CB0E79">
      <w:pPr>
        <w:numPr>
          <w:ilvl w:val="0"/>
          <w:numId w:val="4"/>
        </w:numPr>
        <w:spacing w:after="0" w:line="240" w:lineRule="auto"/>
        <w:ind w:left="567" w:hanging="567"/>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Pakuotės turinys ir kita informacija</w:t>
      </w:r>
    </w:p>
    <w:p w14:paraId="1AA3FBF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20054064"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 xml:space="preserve">Maxidex </w:t>
      </w:r>
      <w:r w:rsidRPr="00CB0E79">
        <w:rPr>
          <w:rFonts w:ascii="Times New Roman" w:eastAsia="Times New Roman" w:hAnsi="Times New Roman" w:cs="Times New Roman"/>
          <w:b/>
          <w:kern w:val="0"/>
          <w:sz w:val="22"/>
          <w:szCs w:val="22"/>
          <w:lang w:val="lt-LT"/>
          <w14:ligatures w14:val="none"/>
        </w:rPr>
        <w:t>sudėtis</w:t>
      </w:r>
    </w:p>
    <w:p w14:paraId="04840F21" w14:textId="77777777" w:rsidR="00CB0E79" w:rsidRPr="00CB0E79" w:rsidRDefault="00CB0E79" w:rsidP="00CB0E79">
      <w:pPr>
        <w:numPr>
          <w:ilvl w:val="0"/>
          <w:numId w:val="10"/>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Veiklioji medžiaga yra deksametazonas. 1 g akių tepalo yra 1 mg deksametazono.</w:t>
      </w:r>
    </w:p>
    <w:p w14:paraId="59450D73" w14:textId="77777777" w:rsidR="00CB0E79" w:rsidRPr="00CB0E79" w:rsidRDefault="00CB0E79" w:rsidP="00CB0E79">
      <w:pPr>
        <w:numPr>
          <w:ilvl w:val="0"/>
          <w:numId w:val="10"/>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CB0E79">
        <w:rPr>
          <w:rFonts w:ascii="Times New Roman" w:eastAsia="Times New Roman" w:hAnsi="Times New Roman" w:cs="Times New Roman"/>
          <w:noProof/>
          <w:kern w:val="0"/>
          <w:sz w:val="22"/>
          <w:szCs w:val="22"/>
          <w:lang w:val="lt-LT"/>
          <w14:ligatures w14:val="none"/>
        </w:rPr>
        <w:t>Pagalbinės medžiagos yra metilo parahidroksibenzoatas (E218), propilo parahidroksibenzoatas (E216), bevandenis skystasis lanolinas, minkštasis baltas parafinas.</w:t>
      </w:r>
    </w:p>
    <w:p w14:paraId="4921D1E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17ECF6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 xml:space="preserve">Maxidex </w:t>
      </w:r>
      <w:r w:rsidRPr="00CB0E79">
        <w:rPr>
          <w:rFonts w:ascii="Times New Roman" w:eastAsia="Times New Roman" w:hAnsi="Times New Roman" w:cs="Times New Roman"/>
          <w:b/>
          <w:kern w:val="0"/>
          <w:sz w:val="22"/>
          <w:szCs w:val="22"/>
          <w:lang w:val="lt-LT"/>
          <w14:ligatures w14:val="none"/>
        </w:rPr>
        <w:t>išvaizda ir kiekis pakuotėje</w:t>
      </w:r>
    </w:p>
    <w:p w14:paraId="68E6A01E"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Cs/>
          <w:kern w:val="0"/>
          <w:sz w:val="22"/>
          <w:szCs w:val="22"/>
          <w:lang w:val="lt-LT"/>
          <w14:ligatures w14:val="none"/>
        </w:rPr>
        <w:t xml:space="preserve">Maxidex </w:t>
      </w:r>
      <w:r w:rsidRPr="00CB0E79">
        <w:rPr>
          <w:rFonts w:ascii="Times New Roman" w:eastAsia="Times New Roman" w:hAnsi="Times New Roman" w:cs="Times New Roman"/>
          <w:kern w:val="0"/>
          <w:sz w:val="22"/>
          <w:szCs w:val="22"/>
          <w:lang w:val="lt-LT"/>
          <w14:ligatures w14:val="none"/>
        </w:rPr>
        <w:t xml:space="preserve">yra baltas arba beveik baltas homogeniškas akių tepalas. </w:t>
      </w:r>
    </w:p>
    <w:p w14:paraId="72997D9B" w14:textId="77777777" w:rsidR="00CB0E79" w:rsidRPr="00CB0E79" w:rsidRDefault="00CB0E79" w:rsidP="00CB0E79">
      <w:pPr>
        <w:spacing w:after="0" w:line="240" w:lineRule="auto"/>
        <w:jc w:val="both"/>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Pakuotėje yra viena 3,5 g tūbelė su plastiko snapeliu ir plastiko dangteliu.</w:t>
      </w:r>
    </w:p>
    <w:p w14:paraId="057493EE"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645BC53C" w14:textId="77777777" w:rsidR="00CB0E79" w:rsidRPr="00CB0E79" w:rsidRDefault="00CB0E79" w:rsidP="00CB0E79">
      <w:pPr>
        <w:spacing w:after="0" w:line="240" w:lineRule="auto"/>
        <w:rPr>
          <w:rFonts w:ascii="Times New Roman" w:eastAsia="Times New Roman" w:hAnsi="Times New Roman" w:cs="Times New Roman"/>
          <w:bCs/>
          <w:i/>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Registruotojas</w:t>
      </w:r>
    </w:p>
    <w:p w14:paraId="2FAA7C58"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it-IT"/>
          <w14:ligatures w14:val="none"/>
        </w:rPr>
      </w:pPr>
      <w:r w:rsidRPr="00CB0E79">
        <w:rPr>
          <w:rFonts w:ascii="Times New Roman" w:eastAsia="Times New Roman" w:hAnsi="Times New Roman" w:cs="Times New Roman"/>
          <w:kern w:val="0"/>
          <w:sz w:val="22"/>
          <w:szCs w:val="22"/>
          <w:lang w:val="it-IT"/>
          <w14:ligatures w14:val="none"/>
        </w:rPr>
        <w:t>SIA Novartis Baltics</w:t>
      </w:r>
    </w:p>
    <w:p w14:paraId="3A7104E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it-IT"/>
          <w14:ligatures w14:val="none"/>
        </w:rPr>
      </w:pPr>
      <w:r w:rsidRPr="00CB0E79">
        <w:rPr>
          <w:rFonts w:ascii="Times New Roman" w:eastAsia="Times New Roman" w:hAnsi="Times New Roman" w:cs="Times New Roman"/>
          <w:kern w:val="0"/>
          <w:sz w:val="22"/>
          <w:szCs w:val="22"/>
          <w:lang w:val="it-IT"/>
          <w14:ligatures w14:val="none"/>
        </w:rPr>
        <w:t>Skanstes iela 25</w:t>
      </w:r>
    </w:p>
    <w:p w14:paraId="1CD4D51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es-ES"/>
          <w14:ligatures w14:val="none"/>
        </w:rPr>
      </w:pPr>
      <w:r w:rsidRPr="00CB0E79">
        <w:rPr>
          <w:rFonts w:ascii="Times New Roman" w:eastAsia="Times New Roman" w:hAnsi="Times New Roman" w:cs="Times New Roman"/>
          <w:kern w:val="0"/>
          <w:sz w:val="22"/>
          <w:szCs w:val="22"/>
          <w:lang w:val="es-ES"/>
          <w14:ligatures w14:val="none"/>
        </w:rPr>
        <w:t>LV-1013, Rīga</w:t>
      </w:r>
    </w:p>
    <w:p w14:paraId="2C00041D"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es-ES"/>
          <w14:ligatures w14:val="none"/>
        </w:rPr>
        <w:t>Latvija</w:t>
      </w:r>
    </w:p>
    <w:p w14:paraId="17AA92D2"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p>
    <w:p w14:paraId="05CF444E" w14:textId="77777777" w:rsidR="00CB0E79" w:rsidRPr="00CB0E79" w:rsidRDefault="00CB0E79" w:rsidP="00CB0E79">
      <w:pPr>
        <w:spacing w:after="0" w:line="240" w:lineRule="auto"/>
        <w:rPr>
          <w:rFonts w:ascii="Times New Roman" w:eastAsia="Times New Roman" w:hAnsi="Times New Roman" w:cs="Times New Roman"/>
          <w:b/>
          <w:kern w:val="0"/>
          <w:sz w:val="22"/>
          <w:szCs w:val="22"/>
          <w:lang w:val="lt-LT"/>
          <w14:ligatures w14:val="none"/>
        </w:rPr>
      </w:pPr>
      <w:r w:rsidRPr="00CB0E79">
        <w:rPr>
          <w:rFonts w:ascii="Times New Roman" w:eastAsia="Times New Roman" w:hAnsi="Times New Roman" w:cs="Times New Roman"/>
          <w:b/>
          <w:kern w:val="0"/>
          <w:sz w:val="22"/>
          <w:szCs w:val="22"/>
          <w:lang w:val="lt-LT"/>
          <w14:ligatures w14:val="none"/>
        </w:rPr>
        <w:t>Gamintojai</w:t>
      </w:r>
    </w:p>
    <w:p w14:paraId="7B7C18C8" w14:textId="77777777" w:rsidR="00CB0E79" w:rsidRPr="00CB0E79" w:rsidRDefault="00CB0E79" w:rsidP="00CB0E79">
      <w:pPr>
        <w:spacing w:after="0" w:line="240" w:lineRule="auto"/>
        <w:rPr>
          <w:rFonts w:ascii="Times New Roman" w:eastAsia="Times New Roman" w:hAnsi="Times New Roman" w:cs="Times New Roman"/>
          <w:kern w:val="0"/>
          <w:sz w:val="22"/>
          <w:szCs w:val="22"/>
          <w:highlight w:val="lightGray"/>
          <w:lang w:val="lt-LT"/>
          <w14:ligatures w14:val="none"/>
        </w:rPr>
      </w:pPr>
      <w:r w:rsidRPr="00CB0E79">
        <w:rPr>
          <w:rFonts w:ascii="Times New Roman" w:eastAsia="Times New Roman" w:hAnsi="Times New Roman" w:cs="Times New Roman"/>
          <w:kern w:val="0"/>
          <w:sz w:val="22"/>
          <w:szCs w:val="22"/>
          <w:shd w:val="clear" w:color="auto" w:fill="D9D9D9"/>
          <w:lang w:val="lt-LT"/>
          <w14:ligatures w14:val="none"/>
        </w:rPr>
        <w:t>Novartis Manufacturing NV</w:t>
      </w:r>
    </w:p>
    <w:p w14:paraId="62CFB68D" w14:textId="77777777" w:rsidR="00CB0E79" w:rsidRPr="00CB0E79" w:rsidRDefault="00CB0E79" w:rsidP="00CB0E79">
      <w:pPr>
        <w:spacing w:after="0" w:line="240" w:lineRule="auto"/>
        <w:rPr>
          <w:rFonts w:ascii="Times New Roman" w:eastAsia="Calibri" w:hAnsi="Times New Roman" w:cs="Times New Roman"/>
          <w:kern w:val="0"/>
          <w:sz w:val="22"/>
          <w:szCs w:val="22"/>
          <w:highlight w:val="lightGray"/>
          <w:lang w:val="lt-LT"/>
          <w14:ligatures w14:val="none"/>
        </w:rPr>
      </w:pPr>
      <w:r w:rsidRPr="00CB0E79">
        <w:rPr>
          <w:rFonts w:ascii="Times New Roman" w:eastAsia="Calibri" w:hAnsi="Times New Roman" w:cs="Times New Roman"/>
          <w:kern w:val="0"/>
          <w:sz w:val="22"/>
          <w:szCs w:val="22"/>
          <w:highlight w:val="lightGray"/>
          <w:lang w:val="lt-LT"/>
          <w14:ligatures w14:val="none"/>
        </w:rPr>
        <w:t>Rijksweg 14</w:t>
      </w:r>
    </w:p>
    <w:p w14:paraId="559B2FD7" w14:textId="77777777" w:rsidR="00CB0E79" w:rsidRPr="00CB0E79" w:rsidRDefault="00CB0E79" w:rsidP="00CB0E79">
      <w:pPr>
        <w:spacing w:after="0" w:line="240" w:lineRule="auto"/>
        <w:rPr>
          <w:rFonts w:ascii="Times New Roman" w:eastAsia="Calibri" w:hAnsi="Times New Roman" w:cs="Times New Roman"/>
          <w:kern w:val="0"/>
          <w:sz w:val="22"/>
          <w:szCs w:val="22"/>
          <w:highlight w:val="lightGray"/>
          <w:lang w:val="lt-LT"/>
          <w14:ligatures w14:val="none"/>
        </w:rPr>
      </w:pPr>
      <w:r w:rsidRPr="00CB0E79">
        <w:rPr>
          <w:rFonts w:ascii="Times New Roman" w:eastAsia="Calibri" w:hAnsi="Times New Roman" w:cs="Times New Roman"/>
          <w:kern w:val="0"/>
          <w:sz w:val="22"/>
          <w:szCs w:val="22"/>
          <w:highlight w:val="lightGray"/>
          <w:lang w:val="lt-LT"/>
          <w14:ligatures w14:val="none"/>
        </w:rPr>
        <w:t>2870 Puurs-Sint-Amands</w:t>
      </w:r>
    </w:p>
    <w:p w14:paraId="3D87252B" w14:textId="77777777" w:rsidR="00CB0E79" w:rsidRPr="00CB0E79" w:rsidRDefault="00CB0E79" w:rsidP="00CB0E79">
      <w:pPr>
        <w:spacing w:after="0" w:line="240" w:lineRule="auto"/>
        <w:rPr>
          <w:rFonts w:ascii="Times New Roman" w:eastAsia="Calibri" w:hAnsi="Times New Roman" w:cs="Times New Roman"/>
          <w:kern w:val="0"/>
          <w:sz w:val="22"/>
          <w:szCs w:val="22"/>
          <w:highlight w:val="lightGray"/>
          <w:lang w:val="lt-LT"/>
          <w14:ligatures w14:val="none"/>
        </w:rPr>
      </w:pPr>
      <w:r w:rsidRPr="00CB0E79">
        <w:rPr>
          <w:rFonts w:ascii="Times New Roman" w:eastAsia="Calibri" w:hAnsi="Times New Roman" w:cs="Times New Roman"/>
          <w:kern w:val="0"/>
          <w:sz w:val="22"/>
          <w:szCs w:val="22"/>
          <w:highlight w:val="lightGray"/>
          <w:lang w:val="lt-LT"/>
          <w14:ligatures w14:val="none"/>
        </w:rPr>
        <w:t>Belgija</w:t>
      </w:r>
    </w:p>
    <w:p w14:paraId="13D436DA"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F491014" w14:textId="77777777" w:rsidR="00CB0E79" w:rsidRPr="00673D30"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arba</w:t>
      </w:r>
    </w:p>
    <w:p w14:paraId="40FAA2A9" w14:textId="77777777" w:rsidR="00CB0E79" w:rsidRPr="00673D30"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6A3F0D9A" w14:textId="77777777" w:rsidR="00CB0E79" w:rsidRPr="00673D30"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Novartis Farmacéutica, S.A.</w:t>
      </w:r>
    </w:p>
    <w:p w14:paraId="0FF9AF7B" w14:textId="77777777" w:rsidR="00CB0E79" w:rsidRPr="00673D30"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Gran Via de les Corts Catalanes, 764</w:t>
      </w:r>
    </w:p>
    <w:p w14:paraId="78CDAFB0" w14:textId="77777777" w:rsidR="00CB0E79" w:rsidRPr="00673D30"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Times New Roman" w:hAnsi="Times New Roman" w:cs="Times New Roman"/>
          <w:kern w:val="0"/>
          <w:sz w:val="22"/>
          <w:szCs w:val="22"/>
          <w:lang w:val="lt-LT"/>
          <w14:ligatures w14:val="none"/>
        </w:rPr>
        <w:t>08013 Barcelona</w:t>
      </w:r>
    </w:p>
    <w:p w14:paraId="05D9E103"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673D30">
        <w:rPr>
          <w:rFonts w:ascii="Times New Roman" w:eastAsia="Calibri" w:hAnsi="Times New Roman" w:cs="Times New Roman"/>
          <w:kern w:val="0"/>
          <w:sz w:val="22"/>
          <w:szCs w:val="22"/>
          <w:lang w:val="lt-LT"/>
          <w14:ligatures w14:val="none"/>
        </w:rPr>
        <w:t>Ispanija</w:t>
      </w:r>
    </w:p>
    <w:p w14:paraId="1299DD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33C4CE79"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 xml:space="preserve">Jeigu apie šį vaistą norite sužinoti daugiau, kreipkitės į vietinį </w:t>
      </w:r>
      <w:r w:rsidRPr="00CB0E79">
        <w:rPr>
          <w:rFonts w:ascii="Times New Roman" w:eastAsia="MS Mincho" w:hAnsi="Times New Roman" w:cs="Times New Roman"/>
          <w:kern w:val="0"/>
          <w:sz w:val="22"/>
          <w:szCs w:val="22"/>
          <w:lang w:val="lt-LT" w:eastAsia="lt-LT"/>
          <w14:ligatures w14:val="none"/>
        </w:rPr>
        <w:t>registruotojo</w:t>
      </w:r>
      <w:r w:rsidRPr="00CB0E79">
        <w:rPr>
          <w:rFonts w:ascii="Times New Roman" w:eastAsia="MS Mincho" w:hAnsi="Times New Roman" w:cs="Times New Roman"/>
          <w:kern w:val="0"/>
          <w:sz w:val="24"/>
          <w:lang w:val="lt-LT" w:eastAsia="lt-LT"/>
          <w14:ligatures w14:val="none"/>
        </w:rPr>
        <w:t xml:space="preserve"> </w:t>
      </w:r>
      <w:r w:rsidRPr="00CB0E79">
        <w:rPr>
          <w:rFonts w:ascii="Times New Roman" w:eastAsia="Times New Roman" w:hAnsi="Times New Roman" w:cs="Times New Roman"/>
          <w:kern w:val="0"/>
          <w:sz w:val="22"/>
          <w:szCs w:val="22"/>
          <w:lang w:val="lt-LT"/>
          <w14:ligatures w14:val="none"/>
        </w:rPr>
        <w:t>atstovą.</w:t>
      </w:r>
    </w:p>
    <w:p w14:paraId="2031B420"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tbl>
      <w:tblPr>
        <w:tblW w:w="4678" w:type="dxa"/>
        <w:tblInd w:w="-34" w:type="dxa"/>
        <w:tblLayout w:type="fixed"/>
        <w:tblLook w:val="0000" w:firstRow="0" w:lastRow="0" w:firstColumn="0" w:lastColumn="0" w:noHBand="0" w:noVBand="0"/>
      </w:tblPr>
      <w:tblGrid>
        <w:gridCol w:w="4678"/>
      </w:tblGrid>
      <w:tr w:rsidR="00CB0E79" w:rsidRPr="00CB0E79" w14:paraId="76090826" w14:textId="77777777" w:rsidTr="00C37224">
        <w:tc>
          <w:tcPr>
            <w:tcW w:w="4678" w:type="dxa"/>
          </w:tcPr>
          <w:p w14:paraId="2DD803FF" w14:textId="77777777" w:rsidR="00CB0E79" w:rsidRPr="00CB0E79" w:rsidRDefault="00CB0E79" w:rsidP="00CB0E79">
            <w:pPr>
              <w:keepNext/>
              <w:keepLines/>
              <w:spacing w:after="0" w:line="240" w:lineRule="auto"/>
              <w:rPr>
                <w:rFonts w:ascii="Times New Roman" w:eastAsia="SimSun" w:hAnsi="Times New Roman" w:cs="Times New Roman"/>
                <w:kern w:val="0"/>
                <w:sz w:val="22"/>
                <w:szCs w:val="22"/>
                <w:lang w:val="es-ES" w:eastAsia="lt-LT"/>
                <w14:ligatures w14:val="none"/>
              </w:rPr>
            </w:pPr>
            <w:r w:rsidRPr="00CB0E79">
              <w:rPr>
                <w:rFonts w:ascii="Times New Roman" w:eastAsia="SimSun" w:hAnsi="Times New Roman" w:cs="Times New Roman"/>
                <w:kern w:val="0"/>
                <w:sz w:val="22"/>
                <w:szCs w:val="22"/>
                <w:lang w:val="es-ES" w:eastAsia="lt-LT"/>
                <w14:ligatures w14:val="none"/>
              </w:rPr>
              <w:lastRenderedPageBreak/>
              <w:t>SIA Novartis Baltics Lietuvos filialas</w:t>
            </w:r>
          </w:p>
          <w:p w14:paraId="531E1558" w14:textId="77777777" w:rsidR="00CB0E79" w:rsidRPr="00CB0E79" w:rsidRDefault="00CB0E79" w:rsidP="00CB0E79">
            <w:pPr>
              <w:keepNext/>
              <w:keepLines/>
              <w:spacing w:after="0" w:line="240" w:lineRule="auto"/>
              <w:rPr>
                <w:rFonts w:ascii="Times New Roman" w:eastAsia="SimSun" w:hAnsi="Times New Roman" w:cs="Times New Roman"/>
                <w:bCs/>
                <w:iCs/>
                <w:kern w:val="0"/>
                <w:sz w:val="22"/>
                <w:szCs w:val="22"/>
                <w:lang w:val="es-ES" w:eastAsia="lt-LT"/>
                <w14:ligatures w14:val="none"/>
              </w:rPr>
            </w:pPr>
            <w:r w:rsidRPr="00CB0E79">
              <w:rPr>
                <w:rFonts w:ascii="Times New Roman" w:eastAsia="SimSun" w:hAnsi="Times New Roman" w:cs="Times New Roman"/>
                <w:bCs/>
                <w:iCs/>
                <w:kern w:val="0"/>
                <w:sz w:val="22"/>
                <w:szCs w:val="22"/>
                <w:lang w:val="es-ES" w:eastAsia="lt-LT"/>
                <w14:ligatures w14:val="none"/>
              </w:rPr>
              <w:t>Up</w:t>
            </w:r>
            <w:r w:rsidRPr="00CB0E79">
              <w:rPr>
                <w:rFonts w:ascii="Times New Roman" w:eastAsia="SimSun" w:hAnsi="Times New Roman" w:cs="Times New Roman"/>
                <w:bCs/>
                <w:iCs/>
                <w:kern w:val="0"/>
                <w:sz w:val="22"/>
                <w:szCs w:val="22"/>
                <w:lang w:val="lt-LT" w:eastAsia="lt-LT"/>
                <w14:ligatures w14:val="none"/>
              </w:rPr>
              <w:t>ės g. 19-1</w:t>
            </w:r>
          </w:p>
          <w:p w14:paraId="4425A44A" w14:textId="77777777" w:rsidR="00CB0E79" w:rsidRPr="00CB0E79" w:rsidRDefault="00CB0E79" w:rsidP="00CB0E79">
            <w:pPr>
              <w:keepNext/>
              <w:keepLines/>
              <w:spacing w:after="0" w:line="240" w:lineRule="auto"/>
              <w:rPr>
                <w:rFonts w:ascii="Times New Roman" w:eastAsia="SimSun" w:hAnsi="Times New Roman" w:cs="Times New Roman"/>
                <w:bCs/>
                <w:iCs/>
                <w:kern w:val="0"/>
                <w:sz w:val="22"/>
                <w:szCs w:val="22"/>
                <w:lang w:eastAsia="lt-LT"/>
                <w14:ligatures w14:val="none"/>
              </w:rPr>
            </w:pPr>
            <w:r w:rsidRPr="00CB0E79">
              <w:rPr>
                <w:rFonts w:ascii="Times New Roman" w:eastAsia="SimSun" w:hAnsi="Times New Roman" w:cs="Times New Roman"/>
                <w:bCs/>
                <w:iCs/>
                <w:kern w:val="0"/>
                <w:sz w:val="22"/>
                <w:szCs w:val="22"/>
                <w:lang w:eastAsia="lt-LT"/>
                <w14:ligatures w14:val="none"/>
              </w:rPr>
              <w:t>LT-08128 Vilnius</w:t>
            </w:r>
          </w:p>
          <w:p w14:paraId="731C841F" w14:textId="77777777" w:rsidR="00CB0E79" w:rsidRPr="00CB0E79" w:rsidRDefault="00CB0E79" w:rsidP="00CB0E79">
            <w:pPr>
              <w:keepNext/>
              <w:keepLines/>
              <w:spacing w:after="0" w:line="240" w:lineRule="auto"/>
              <w:rPr>
                <w:rFonts w:ascii="Times New Roman" w:eastAsia="SimSun" w:hAnsi="Times New Roman" w:cs="Times New Roman"/>
                <w:bCs/>
                <w:kern w:val="0"/>
                <w:sz w:val="22"/>
                <w:szCs w:val="22"/>
                <w:lang w:val="da-DK" w:eastAsia="lt-LT"/>
                <w14:ligatures w14:val="none"/>
              </w:rPr>
            </w:pPr>
            <w:r w:rsidRPr="00CB0E79">
              <w:rPr>
                <w:rFonts w:ascii="Times New Roman" w:eastAsia="SimSun" w:hAnsi="Times New Roman" w:cs="Times New Roman"/>
                <w:bCs/>
                <w:iCs/>
                <w:kern w:val="0"/>
                <w:sz w:val="22"/>
                <w:szCs w:val="22"/>
                <w:lang w:eastAsia="lt-LT"/>
                <w14:ligatures w14:val="none"/>
              </w:rPr>
              <w:t>Tel. + 370 5 269 1650</w:t>
            </w:r>
          </w:p>
          <w:p w14:paraId="28057FEA" w14:textId="77777777" w:rsidR="00CB0E79" w:rsidRPr="00CB0E79" w:rsidRDefault="00CB0E79" w:rsidP="00CB0E79">
            <w:pPr>
              <w:tabs>
                <w:tab w:val="left" w:pos="-720"/>
              </w:tabs>
              <w:suppressAutoHyphens/>
              <w:spacing w:after="0" w:line="240" w:lineRule="auto"/>
              <w:rPr>
                <w:rFonts w:ascii="Times New Roman" w:eastAsia="Times New Roman" w:hAnsi="Times New Roman" w:cs="Times New Roman"/>
                <w:kern w:val="0"/>
                <w:sz w:val="22"/>
                <w:szCs w:val="22"/>
                <w:lang w:val="lt-LT"/>
                <w14:ligatures w14:val="none"/>
              </w:rPr>
            </w:pPr>
          </w:p>
        </w:tc>
      </w:tr>
    </w:tbl>
    <w:p w14:paraId="538A9955"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072931B7" w14:textId="5FE02AD8"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r w:rsidRPr="00CB0E79">
        <w:rPr>
          <w:rFonts w:ascii="Times New Roman" w:eastAsia="Times New Roman" w:hAnsi="Times New Roman" w:cs="Times New Roman"/>
          <w:b/>
          <w:bCs/>
          <w:kern w:val="0"/>
          <w:sz w:val="22"/>
          <w:szCs w:val="22"/>
          <w:lang w:val="lt-LT"/>
          <w14:ligatures w14:val="none"/>
        </w:rPr>
        <w:t>Šis pakuotės lapelis</w:t>
      </w:r>
      <w:r w:rsidRPr="00CB0E79">
        <w:rPr>
          <w:rFonts w:ascii="Times New Roman" w:eastAsia="Times New Roman" w:hAnsi="Times New Roman" w:cs="Times New Roman"/>
          <w:b/>
          <w:kern w:val="0"/>
          <w:sz w:val="22"/>
          <w:szCs w:val="22"/>
          <w:lang w:val="lt-LT"/>
          <w14:ligatures w14:val="none"/>
        </w:rPr>
        <w:t xml:space="preserve"> paskutinį kartą peržiūrėtas</w:t>
      </w:r>
      <w:r w:rsidR="00673D30">
        <w:rPr>
          <w:rFonts w:ascii="Times New Roman" w:eastAsia="Times New Roman" w:hAnsi="Times New Roman" w:cs="Times New Roman"/>
          <w:b/>
          <w:kern w:val="0"/>
          <w:sz w:val="22"/>
          <w:szCs w:val="22"/>
          <w:lang w:val="lt-LT"/>
          <w14:ligatures w14:val="none"/>
        </w:rPr>
        <w:t xml:space="preserve"> 2025-10-23</w:t>
      </w:r>
      <w:r w:rsidRPr="00CB0E79">
        <w:rPr>
          <w:rFonts w:ascii="Times New Roman" w:eastAsia="Times New Roman" w:hAnsi="Times New Roman" w:cs="Times New Roman"/>
          <w:b/>
          <w:kern w:val="0"/>
          <w:sz w:val="22"/>
          <w:szCs w:val="22"/>
          <w:lang w:val="lt-LT"/>
          <w14:ligatures w14:val="none"/>
        </w:rPr>
        <w:t>.</w:t>
      </w:r>
    </w:p>
    <w:p w14:paraId="5264F92B" w14:textId="77777777" w:rsidR="00CB0E79" w:rsidRPr="00CB0E79" w:rsidRDefault="00CB0E79" w:rsidP="00CB0E79">
      <w:pPr>
        <w:spacing w:after="0" w:line="240" w:lineRule="auto"/>
        <w:rPr>
          <w:rFonts w:ascii="Times New Roman" w:eastAsia="Times New Roman" w:hAnsi="Times New Roman" w:cs="Times New Roman"/>
          <w:kern w:val="0"/>
          <w:sz w:val="22"/>
          <w:szCs w:val="22"/>
          <w:lang w:val="lt-LT"/>
          <w14:ligatures w14:val="none"/>
        </w:rPr>
      </w:pPr>
    </w:p>
    <w:p w14:paraId="46A4B0BB" w14:textId="625EA2F8" w:rsidR="00FF5FC9" w:rsidRDefault="00CB0E79" w:rsidP="00673D30">
      <w:pPr>
        <w:rPr>
          <w:rFonts w:ascii="Times New Roman" w:eastAsia="Times New Roman" w:hAnsi="Times New Roman" w:cs="Times New Roman"/>
          <w:color w:val="0000FF"/>
          <w:kern w:val="0"/>
          <w:sz w:val="22"/>
          <w:szCs w:val="22"/>
          <w:lang w:val="lt-LT"/>
          <w14:ligatures w14:val="none"/>
        </w:rPr>
      </w:pPr>
      <w:r w:rsidRPr="00CB0E79">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CB0E79">
        <w:rPr>
          <w:rFonts w:ascii="Times New Roman" w:eastAsia="Times New Roman" w:hAnsi="Times New Roman" w:cs="Times New Roman"/>
          <w:iCs/>
          <w:kern w:val="0"/>
          <w:sz w:val="22"/>
          <w:szCs w:val="22"/>
          <w:lang w:val="lt-LT"/>
          <w14:ligatures w14:val="none"/>
        </w:rPr>
        <w:t xml:space="preserve"> </w:t>
      </w:r>
      <w:hyperlink r:id="rId12" w:history="1">
        <w:r w:rsidRPr="00CB0E79">
          <w:rPr>
            <w:rFonts w:ascii="Times New Roman" w:eastAsia="Times New Roman" w:hAnsi="Times New Roman" w:cs="Times New Roman"/>
            <w:color w:val="0000FF"/>
            <w:kern w:val="0"/>
            <w:sz w:val="22"/>
            <w:szCs w:val="22"/>
            <w:u w:val="single"/>
            <w:lang w:val="lt-LT"/>
            <w14:ligatures w14:val="none"/>
          </w:rPr>
          <w:t>https://vvkt.lrv.lt/lt/</w:t>
        </w:r>
      </w:hyperlink>
      <w:r w:rsidRPr="00CB0E79">
        <w:rPr>
          <w:rFonts w:ascii="Times New Roman" w:eastAsia="Times New Roman" w:hAnsi="Times New Roman" w:cs="Times New Roman"/>
          <w:color w:val="0000FF"/>
          <w:kern w:val="0"/>
          <w:sz w:val="22"/>
          <w:szCs w:val="22"/>
          <w:lang w:val="lt-LT"/>
          <w14:ligatures w14:val="none"/>
        </w:rPr>
        <w:t>.</w:t>
      </w:r>
    </w:p>
    <w:p w14:paraId="2BD224C2" w14:textId="77777777" w:rsidR="00345984" w:rsidRPr="00F31F85" w:rsidRDefault="00345984" w:rsidP="00673D30"/>
    <w:sectPr w:rsidR="00345984" w:rsidRPr="00F31F85" w:rsidSect="00CB0E79">
      <w:headerReference w:type="default" r:id="rId13"/>
      <w:footerReference w:type="even" r:id="rId14"/>
      <w:footerReference w:type="default" r:id="rId15"/>
      <w:pgSz w:w="12240" w:h="15840"/>
      <w:pgMar w:top="1134" w:right="1418" w:bottom="1134" w:left="1418"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2567" w14:textId="77777777" w:rsidR="00AC2A9B" w:rsidRDefault="00AC2A9B">
      <w:pPr>
        <w:spacing w:after="0" w:line="240" w:lineRule="auto"/>
      </w:pPr>
      <w:r>
        <w:separator/>
      </w:r>
    </w:p>
  </w:endnote>
  <w:endnote w:type="continuationSeparator" w:id="0">
    <w:p w14:paraId="1D4B4171" w14:textId="77777777" w:rsidR="00AC2A9B" w:rsidRDefault="00AC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Lucida Grande CE">
    <w:altName w:val="Arial"/>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9C90" w14:textId="77777777" w:rsidR="00CB0E79" w:rsidRDefault="00CB0E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7</w:t>
    </w:r>
    <w:r>
      <w:rPr>
        <w:rStyle w:val="Puslapionumeris"/>
      </w:rPr>
      <w:fldChar w:fldCharType="end"/>
    </w:r>
  </w:p>
  <w:p w14:paraId="050C0F11" w14:textId="77777777" w:rsidR="00CB0E79" w:rsidRDefault="00CB0E7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A8AD" w14:textId="77777777" w:rsidR="00CB0E79" w:rsidRDefault="00CB0E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DDED85A" w14:textId="77777777" w:rsidR="00CB0E79" w:rsidRDefault="00CB0E7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8171" w14:textId="77777777" w:rsidR="00AC2A9B" w:rsidRDefault="00AC2A9B">
      <w:pPr>
        <w:spacing w:after="0" w:line="240" w:lineRule="auto"/>
      </w:pPr>
      <w:r>
        <w:separator/>
      </w:r>
    </w:p>
  </w:footnote>
  <w:footnote w:type="continuationSeparator" w:id="0">
    <w:p w14:paraId="19FEB891" w14:textId="77777777" w:rsidR="00AC2A9B" w:rsidRDefault="00AC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886C" w14:textId="77777777" w:rsidR="00CB0E79" w:rsidRDefault="00CB0E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9E8492E"/>
    <w:multiLevelType w:val="hybridMultilevel"/>
    <w:tmpl w:val="9D58D0CE"/>
    <w:lvl w:ilvl="0" w:tplc="04090003">
      <w:start w:val="1"/>
      <w:numFmt w:val="bullet"/>
      <w:lvlText w:val="o"/>
      <w:lvlJc w:val="left"/>
      <w:pPr>
        <w:tabs>
          <w:tab w:val="num" w:pos="1068"/>
        </w:tabs>
        <w:ind w:left="1068" w:hanging="360"/>
      </w:pPr>
      <w:rPr>
        <w:rFonts w:ascii="Courier New" w:hAnsi="Courier New" w:cs="Courier New"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DD77088"/>
    <w:multiLevelType w:val="hybridMultilevel"/>
    <w:tmpl w:val="5054FB8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52FE3"/>
    <w:multiLevelType w:val="hybridMultilevel"/>
    <w:tmpl w:val="96E4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51D59"/>
    <w:multiLevelType w:val="hybridMultilevel"/>
    <w:tmpl w:val="0E76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36"/>
    <w:multiLevelType w:val="multilevel"/>
    <w:tmpl w:val="A62C5C94"/>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CF0361A"/>
    <w:multiLevelType w:val="hybridMultilevel"/>
    <w:tmpl w:val="C28E5F6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880267"/>
    <w:multiLevelType w:val="hybridMultilevel"/>
    <w:tmpl w:val="D092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D444C"/>
    <w:multiLevelType w:val="multilevel"/>
    <w:tmpl w:val="AFE8D526"/>
    <w:lvl w:ilvl="0">
      <w:start w:val="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4C25694F"/>
    <w:multiLevelType w:val="hybridMultilevel"/>
    <w:tmpl w:val="B07C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D667BB"/>
    <w:multiLevelType w:val="hybridMultilevel"/>
    <w:tmpl w:val="9084941E"/>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90712"/>
    <w:multiLevelType w:val="hybridMultilevel"/>
    <w:tmpl w:val="E4202D32"/>
    <w:lvl w:ilvl="0" w:tplc="326827F2">
      <w:start w:val="6"/>
      <w:numFmt w:val="decimal"/>
      <w:lvlText w:val="%1."/>
      <w:lvlJc w:val="left"/>
      <w:pPr>
        <w:tabs>
          <w:tab w:val="num" w:pos="1080"/>
        </w:tabs>
        <w:ind w:left="1080" w:hanging="72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2D35579"/>
    <w:multiLevelType w:val="hybridMultilevel"/>
    <w:tmpl w:val="79DECB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A290C"/>
    <w:multiLevelType w:val="hybridMultilevel"/>
    <w:tmpl w:val="499EBC84"/>
    <w:lvl w:ilvl="0" w:tplc="AF3AC0F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21AA8"/>
    <w:multiLevelType w:val="hybridMultilevel"/>
    <w:tmpl w:val="8A44EDAE"/>
    <w:lvl w:ilvl="0" w:tplc="3684E12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366150509">
    <w:abstractNumId w:val="8"/>
  </w:num>
  <w:num w:numId="2" w16cid:durableId="1342077910">
    <w:abstractNumId w:val="5"/>
  </w:num>
  <w:num w:numId="3" w16cid:durableId="1749227765">
    <w:abstractNumId w:val="0"/>
  </w:num>
  <w:num w:numId="4" w16cid:durableId="894239474">
    <w:abstractNumId w:val="11"/>
  </w:num>
  <w:num w:numId="5" w16cid:durableId="1241913316">
    <w:abstractNumId w:val="10"/>
  </w:num>
  <w:num w:numId="6" w16cid:durableId="930312164">
    <w:abstractNumId w:val="12"/>
  </w:num>
  <w:num w:numId="7" w16cid:durableId="862013212">
    <w:abstractNumId w:val="2"/>
  </w:num>
  <w:num w:numId="8" w16cid:durableId="691692044">
    <w:abstractNumId w:val="1"/>
  </w:num>
  <w:num w:numId="9" w16cid:durableId="1718890294">
    <w:abstractNumId w:val="6"/>
  </w:num>
  <w:num w:numId="10" w16cid:durableId="423113261">
    <w:abstractNumId w:val="14"/>
  </w:num>
  <w:num w:numId="11" w16cid:durableId="893006023">
    <w:abstractNumId w:val="3"/>
  </w:num>
  <w:num w:numId="12" w16cid:durableId="1017119379">
    <w:abstractNumId w:val="9"/>
  </w:num>
  <w:num w:numId="13" w16cid:durableId="867063115">
    <w:abstractNumId w:val="13"/>
  </w:num>
  <w:num w:numId="14" w16cid:durableId="1501196520">
    <w:abstractNumId w:val="4"/>
  </w:num>
  <w:num w:numId="15" w16cid:durableId="1230579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79"/>
    <w:rsid w:val="0017444E"/>
    <w:rsid w:val="0034175D"/>
    <w:rsid w:val="00345984"/>
    <w:rsid w:val="004D0E76"/>
    <w:rsid w:val="005C605A"/>
    <w:rsid w:val="005D3F6E"/>
    <w:rsid w:val="00673D30"/>
    <w:rsid w:val="008050C7"/>
    <w:rsid w:val="00862B5B"/>
    <w:rsid w:val="00AA0B08"/>
    <w:rsid w:val="00AC2A9B"/>
    <w:rsid w:val="00B170C3"/>
    <w:rsid w:val="00CB0E79"/>
    <w:rsid w:val="00D90725"/>
    <w:rsid w:val="00DB69BF"/>
    <w:rsid w:val="00ED0995"/>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1EE9"/>
  <w15:chartTrackingRefBased/>
  <w15:docId w15:val="{E5935EE6-668B-46E5-BA17-7892F419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0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0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0E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0E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0E7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B0E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0E79"/>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B0E79"/>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0E79"/>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0E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0E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0E7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0E7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0E7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B0E7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0E7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B0E7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0E7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B0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0E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0E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0E7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0E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0E79"/>
    <w:rPr>
      <w:i/>
      <w:iCs/>
      <w:color w:val="404040" w:themeColor="text1" w:themeTint="BF"/>
    </w:rPr>
  </w:style>
  <w:style w:type="paragraph" w:styleId="Sraopastraipa">
    <w:name w:val="List Paragraph"/>
    <w:basedOn w:val="prastasis"/>
    <w:uiPriority w:val="34"/>
    <w:qFormat/>
    <w:rsid w:val="00CB0E79"/>
    <w:pPr>
      <w:ind w:left="720"/>
      <w:contextualSpacing/>
    </w:pPr>
  </w:style>
  <w:style w:type="character" w:styleId="Rykuspabraukimas">
    <w:name w:val="Intense Emphasis"/>
    <w:basedOn w:val="Numatytasispastraiposriftas"/>
    <w:uiPriority w:val="21"/>
    <w:qFormat/>
    <w:rsid w:val="00CB0E79"/>
    <w:rPr>
      <w:i/>
      <w:iCs/>
      <w:color w:val="0F4761" w:themeColor="accent1" w:themeShade="BF"/>
    </w:rPr>
  </w:style>
  <w:style w:type="paragraph" w:styleId="Iskirtacitata">
    <w:name w:val="Intense Quote"/>
    <w:basedOn w:val="prastasis"/>
    <w:next w:val="prastasis"/>
    <w:link w:val="IskirtacitataDiagrama"/>
    <w:uiPriority w:val="30"/>
    <w:qFormat/>
    <w:rsid w:val="00CB0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0E79"/>
    <w:rPr>
      <w:i/>
      <w:iCs/>
      <w:color w:val="0F4761" w:themeColor="accent1" w:themeShade="BF"/>
    </w:rPr>
  </w:style>
  <w:style w:type="character" w:styleId="Rykinuoroda">
    <w:name w:val="Intense Reference"/>
    <w:basedOn w:val="Numatytasispastraiposriftas"/>
    <w:uiPriority w:val="32"/>
    <w:qFormat/>
    <w:rsid w:val="00CB0E79"/>
    <w:rPr>
      <w:b/>
      <w:bCs/>
      <w:smallCaps/>
      <w:color w:val="0F4761" w:themeColor="accent1" w:themeShade="BF"/>
      <w:spacing w:val="5"/>
    </w:rPr>
  </w:style>
  <w:style w:type="numbering" w:customStyle="1" w:styleId="NoList1">
    <w:name w:val="No List1"/>
    <w:next w:val="Sraonra"/>
    <w:uiPriority w:val="99"/>
    <w:semiHidden/>
    <w:unhideWhenUsed/>
    <w:rsid w:val="00CB0E79"/>
  </w:style>
  <w:style w:type="numbering" w:customStyle="1" w:styleId="NoList11">
    <w:name w:val="No List11"/>
    <w:next w:val="Sraonra"/>
    <w:uiPriority w:val="99"/>
    <w:semiHidden/>
    <w:unhideWhenUsed/>
    <w:rsid w:val="00CB0E79"/>
  </w:style>
  <w:style w:type="paragraph" w:styleId="Porat">
    <w:name w:val="footer"/>
    <w:basedOn w:val="prastasis"/>
    <w:link w:val="PoratDiagrama"/>
    <w:uiPriority w:val="99"/>
    <w:unhideWhenUsed/>
    <w:rsid w:val="00CB0E79"/>
    <w:pPr>
      <w:tabs>
        <w:tab w:val="center" w:pos="4819"/>
        <w:tab w:val="right" w:pos="9638"/>
      </w:tabs>
      <w:spacing w:after="0" w:line="240" w:lineRule="auto"/>
    </w:pPr>
    <w:rPr>
      <w:rFonts w:ascii="Cambria" w:eastAsia="Cambria" w:hAnsi="Cambria" w:cs="Times New Roman"/>
      <w:kern w:val="0"/>
      <w:sz w:val="22"/>
      <w:szCs w:val="22"/>
      <w:lang w:val="lt-LT"/>
      <w14:ligatures w14:val="none"/>
    </w:rPr>
  </w:style>
  <w:style w:type="character" w:customStyle="1" w:styleId="PoratDiagrama">
    <w:name w:val="Poraštė Diagrama"/>
    <w:basedOn w:val="Numatytasispastraiposriftas"/>
    <w:link w:val="Porat"/>
    <w:uiPriority w:val="99"/>
    <w:rsid w:val="00CB0E79"/>
    <w:rPr>
      <w:rFonts w:ascii="Cambria" w:eastAsia="Cambria" w:hAnsi="Cambria" w:cs="Times New Roman"/>
      <w:kern w:val="0"/>
      <w:sz w:val="22"/>
      <w:szCs w:val="22"/>
      <w:lang w:val="lt-LT"/>
      <w14:ligatures w14:val="none"/>
    </w:rPr>
  </w:style>
  <w:style w:type="character" w:styleId="Puslapionumeris">
    <w:name w:val="page number"/>
    <w:uiPriority w:val="99"/>
    <w:rsid w:val="00CB0E79"/>
    <w:rPr>
      <w:rFonts w:cs="Times New Roman"/>
    </w:rPr>
  </w:style>
  <w:style w:type="paragraph" w:customStyle="1" w:styleId="ColorfulList-Accent11">
    <w:name w:val="Colorful List - Accent 11"/>
    <w:basedOn w:val="prastasis"/>
    <w:uiPriority w:val="34"/>
    <w:qFormat/>
    <w:rsid w:val="00CB0E79"/>
    <w:pPr>
      <w:spacing w:after="200" w:line="276" w:lineRule="auto"/>
      <w:ind w:left="720"/>
      <w:contextualSpacing/>
    </w:pPr>
    <w:rPr>
      <w:rFonts w:ascii="Cambria" w:eastAsia="Cambria" w:hAnsi="Cambria" w:cs="Times New Roman"/>
      <w:kern w:val="0"/>
      <w:sz w:val="22"/>
      <w:szCs w:val="22"/>
      <w:lang w:val="lt-LT"/>
      <w14:ligatures w14:val="none"/>
    </w:rPr>
  </w:style>
  <w:style w:type="character" w:styleId="Hipersaitas">
    <w:name w:val="Hyperlink"/>
    <w:uiPriority w:val="99"/>
    <w:unhideWhenUsed/>
    <w:rsid w:val="00CB0E79"/>
    <w:rPr>
      <w:color w:val="0000FF"/>
      <w:u w:val="single"/>
    </w:rPr>
  </w:style>
  <w:style w:type="paragraph" w:styleId="Debesliotekstas">
    <w:name w:val="Balloon Text"/>
    <w:basedOn w:val="prastasis"/>
    <w:link w:val="DebesliotekstasDiagrama"/>
    <w:uiPriority w:val="99"/>
    <w:semiHidden/>
    <w:unhideWhenUsed/>
    <w:rsid w:val="00CB0E79"/>
    <w:pPr>
      <w:spacing w:after="0" w:line="240" w:lineRule="auto"/>
    </w:pPr>
    <w:rPr>
      <w:rFonts w:ascii="Lucida Grande CE" w:eastAsia="Cambria" w:hAnsi="Lucida Grande CE" w:cs="Lucida Grande CE"/>
      <w:kern w:val="0"/>
      <w:sz w:val="18"/>
      <w:szCs w:val="18"/>
      <w:lang w:val="lt-LT"/>
      <w14:ligatures w14:val="none"/>
    </w:rPr>
  </w:style>
  <w:style w:type="character" w:customStyle="1" w:styleId="DebesliotekstasDiagrama">
    <w:name w:val="Debesėlio tekstas Diagrama"/>
    <w:basedOn w:val="Numatytasispastraiposriftas"/>
    <w:link w:val="Debesliotekstas"/>
    <w:uiPriority w:val="99"/>
    <w:semiHidden/>
    <w:rsid w:val="00CB0E79"/>
    <w:rPr>
      <w:rFonts w:ascii="Lucida Grande CE" w:eastAsia="Cambria" w:hAnsi="Lucida Grande CE" w:cs="Lucida Grande CE"/>
      <w:kern w:val="0"/>
      <w:sz w:val="18"/>
      <w:szCs w:val="18"/>
      <w:lang w:val="lt-LT"/>
      <w14:ligatures w14:val="none"/>
    </w:rPr>
  </w:style>
  <w:style w:type="character" w:styleId="Komentaronuoroda">
    <w:name w:val="annotation reference"/>
    <w:uiPriority w:val="99"/>
    <w:semiHidden/>
    <w:unhideWhenUsed/>
    <w:rsid w:val="00CB0E79"/>
    <w:rPr>
      <w:sz w:val="16"/>
      <w:szCs w:val="16"/>
    </w:rPr>
  </w:style>
  <w:style w:type="paragraph" w:styleId="Komentarotekstas">
    <w:name w:val="annotation text"/>
    <w:basedOn w:val="prastasis"/>
    <w:link w:val="KomentarotekstasDiagrama"/>
    <w:uiPriority w:val="99"/>
    <w:semiHidden/>
    <w:unhideWhenUsed/>
    <w:rsid w:val="00CB0E79"/>
    <w:pPr>
      <w:spacing w:after="200" w:line="240" w:lineRule="auto"/>
    </w:pPr>
    <w:rPr>
      <w:rFonts w:ascii="Cambria" w:eastAsia="Cambria" w:hAnsi="Cambria" w:cs="Times New Roman"/>
      <w:kern w:val="0"/>
      <w14:ligatures w14:val="none"/>
    </w:rPr>
  </w:style>
  <w:style w:type="character" w:customStyle="1" w:styleId="KomentarotekstasDiagrama">
    <w:name w:val="Komentaro tekstas Diagrama"/>
    <w:basedOn w:val="Numatytasispastraiposriftas"/>
    <w:link w:val="Komentarotekstas"/>
    <w:uiPriority w:val="99"/>
    <w:semiHidden/>
    <w:rsid w:val="00CB0E79"/>
    <w:rPr>
      <w:rFonts w:ascii="Cambria" w:eastAsia="Cambria" w:hAnsi="Cambria" w:cs="Times New Roman"/>
      <w:kern w:val="0"/>
      <w14:ligatures w14:val="none"/>
    </w:rPr>
  </w:style>
  <w:style w:type="paragraph" w:styleId="Komentarotema">
    <w:name w:val="annotation subject"/>
    <w:basedOn w:val="Komentarotekstas"/>
    <w:next w:val="Komentarotekstas"/>
    <w:link w:val="KomentarotemaDiagrama"/>
    <w:uiPriority w:val="99"/>
    <w:semiHidden/>
    <w:unhideWhenUsed/>
    <w:rsid w:val="00CB0E79"/>
    <w:rPr>
      <w:b/>
      <w:bCs/>
      <w:lang w:val="lt-LT"/>
    </w:rPr>
  </w:style>
  <w:style w:type="character" w:customStyle="1" w:styleId="KomentarotemaDiagrama">
    <w:name w:val="Komentaro tema Diagrama"/>
    <w:basedOn w:val="KomentarotekstasDiagrama"/>
    <w:link w:val="Komentarotema"/>
    <w:uiPriority w:val="99"/>
    <w:semiHidden/>
    <w:rsid w:val="00CB0E79"/>
    <w:rPr>
      <w:rFonts w:ascii="Cambria" w:eastAsia="Cambria" w:hAnsi="Cambria" w:cs="Times New Roman"/>
      <w:b/>
      <w:bCs/>
      <w:kern w:val="0"/>
      <w:lang w:val="lt-LT"/>
      <w14:ligatures w14:val="none"/>
    </w:rPr>
  </w:style>
  <w:style w:type="paragraph" w:styleId="Antrats">
    <w:name w:val="header"/>
    <w:basedOn w:val="prastasis"/>
    <w:link w:val="AntratsDiagrama"/>
    <w:uiPriority w:val="99"/>
    <w:unhideWhenUsed/>
    <w:rsid w:val="00CB0E79"/>
    <w:pPr>
      <w:tabs>
        <w:tab w:val="center" w:pos="4819"/>
        <w:tab w:val="right" w:pos="9638"/>
      </w:tabs>
      <w:spacing w:after="0" w:line="240" w:lineRule="auto"/>
    </w:pPr>
    <w:rPr>
      <w:rFonts w:ascii="Calibri" w:hAnsi="Calibri" w:cs="Times New Roman"/>
      <w:kern w:val="0"/>
      <w:sz w:val="22"/>
      <w:szCs w:val="22"/>
      <w14:ligatures w14:val="none"/>
    </w:rPr>
  </w:style>
  <w:style w:type="character" w:customStyle="1" w:styleId="AntratsDiagrama">
    <w:name w:val="Antraštės Diagrama"/>
    <w:basedOn w:val="Numatytasispastraiposriftas"/>
    <w:link w:val="Antrats"/>
    <w:uiPriority w:val="99"/>
    <w:rsid w:val="00CB0E79"/>
    <w:rPr>
      <w:rFonts w:ascii="Calibri" w:hAnsi="Calibri" w:cs="Times New Roman"/>
      <w:kern w:val="0"/>
      <w:sz w:val="22"/>
      <w:szCs w:val="22"/>
      <w14:ligatures w14:val="none"/>
    </w:rPr>
  </w:style>
  <w:style w:type="paragraph" w:styleId="Pataisymai">
    <w:name w:val="Revision"/>
    <w:hidden/>
    <w:uiPriority w:val="99"/>
    <w:semiHidden/>
    <w:rsid w:val="00CB0E79"/>
    <w:pPr>
      <w:spacing w:after="0" w:line="240" w:lineRule="auto"/>
    </w:pPr>
    <w:rPr>
      <w:rFonts w:ascii="Calibri" w:hAnsi="Calibri" w:cs="Times New Roman"/>
      <w:kern w:val="0"/>
      <w:sz w:val="22"/>
      <w:szCs w:val="22"/>
      <w14:ligatures w14:val="none"/>
    </w:rPr>
  </w:style>
  <w:style w:type="character" w:customStyle="1" w:styleId="UnresolvedMention1">
    <w:name w:val="Unresolved Mention1"/>
    <w:basedOn w:val="Numatytasispastraiposriftas"/>
    <w:uiPriority w:val="99"/>
    <w:semiHidden/>
    <w:unhideWhenUsed/>
    <w:rsid w:val="00CB0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20438</Words>
  <Characters>11651</Characters>
  <Application>Microsoft Office Word</Application>
  <DocSecurity>4</DocSecurity>
  <Lines>97</Lines>
  <Paragraphs>64</Paragraphs>
  <ScaleCrop>false</ScaleCrop>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2026-03-30T07:11:00Z</dcterms:created>
  <dcterms:modified xsi:type="dcterms:W3CDTF">2026-03-30T07:11:00Z</dcterms:modified>
</cp:coreProperties>
</file>