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32E6" w:rsidRPr="00EC0566" w:rsidRDefault="007732E6" w:rsidP="007732E6">
      <w:pPr>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spacing w:after="0" w:line="240" w:lineRule="auto"/>
        <w:jc w:val="center"/>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 xml:space="preserve">Pakuotės lapelis: informacija </w:t>
      </w:r>
      <w:r>
        <w:rPr>
          <w:rFonts w:ascii="Times New Roman" w:eastAsia="Times New Roman" w:hAnsi="Times New Roman" w:cs="Times New Roman"/>
          <w:b/>
          <w:sz w:val="22"/>
          <w:szCs w:val="22"/>
          <w:lang w:val="lt-LT"/>
        </w:rPr>
        <w:t>pacientui</w:t>
      </w:r>
    </w:p>
    <w:p w:rsidR="007732E6" w:rsidRPr="00EC0566" w:rsidRDefault="007732E6" w:rsidP="007732E6">
      <w:pPr>
        <w:spacing w:after="0" w:line="240" w:lineRule="auto"/>
        <w:jc w:val="center"/>
        <w:rPr>
          <w:rFonts w:ascii="Times New Roman" w:eastAsia="Times New Roman" w:hAnsi="Times New Roman" w:cs="Times New Roman"/>
          <w:sz w:val="22"/>
          <w:szCs w:val="22"/>
          <w:lang w:val="lt-LT"/>
        </w:rPr>
      </w:pPr>
    </w:p>
    <w:p w:rsidR="007732E6" w:rsidRPr="00EC0566" w:rsidRDefault="007732E6" w:rsidP="007732E6">
      <w:pPr>
        <w:keepNext/>
        <w:spacing w:after="0" w:line="240" w:lineRule="auto"/>
        <w:jc w:val="center"/>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Tobrex 3 mg/ml akių lašai (tirpalas)</w:t>
      </w:r>
    </w:p>
    <w:p w:rsidR="007732E6" w:rsidRPr="00EC0566" w:rsidRDefault="007732E6" w:rsidP="007732E6">
      <w:pPr>
        <w:spacing w:after="0" w:line="240" w:lineRule="auto"/>
        <w:jc w:val="center"/>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t</w:t>
      </w:r>
      <w:r w:rsidRPr="00EC0566">
        <w:rPr>
          <w:rFonts w:ascii="Times New Roman" w:eastAsia="Times New Roman" w:hAnsi="Times New Roman" w:cs="Times New Roman"/>
          <w:sz w:val="22"/>
          <w:szCs w:val="22"/>
          <w:lang w:val="lt-LT"/>
        </w:rPr>
        <w:t>obramicinas</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Atidžiai perskaitykite visą šį lapelį, prieš pradėdami vartoti vaistą, nes jame pateikiama Jums svarbi informacija.</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Neišmeskite šio lapelio, nes vėl gali prireikti jį perskaityti.</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kiltų daugiau klausimų, kreipkitės į gydytoją arba vaistininką.</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Šis vaistas skirtas Jums, todėl kitiems žmonėms jo duoti negalima. Vaistas gali jiems pakenkti</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(net tiems, kurių ligos požymiai yra tokie patys kaip Jūsų).</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pasireiškė šalutinis poveikis (net jeigu jis šiame lapelyje nenurodytas), kreipkitės į</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gydytoją arba vaistininką.</w:t>
      </w:r>
      <w:r w:rsidRPr="00EC0566">
        <w:rPr>
          <w:rFonts w:ascii="Times New Roman" w:eastAsia="Times New Roman" w:hAnsi="Times New Roman" w:cs="Times New Roman"/>
          <w:sz w:val="22"/>
          <w:szCs w:val="22"/>
          <w:lang w:val="lt-LT"/>
        </w:rPr>
        <w:t xml:space="preserve"> </w:t>
      </w:r>
      <w:r w:rsidRPr="00EC0566">
        <w:rPr>
          <w:rFonts w:ascii="Times New Roman" w:eastAsia="Times New Roman" w:hAnsi="Times New Roman" w:cs="Times New Roman"/>
          <w:noProof/>
          <w:sz w:val="22"/>
          <w:szCs w:val="22"/>
          <w:lang w:val="lt-LT"/>
        </w:rPr>
        <w:t>Žr. 4 skyrių.</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Apie ką rašoma šiame lapelyje?</w:t>
      </w: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1.</w:t>
      </w:r>
      <w:r w:rsidRPr="00EC0566">
        <w:rPr>
          <w:rFonts w:ascii="Times New Roman" w:eastAsia="Times New Roman" w:hAnsi="Times New Roman" w:cs="Times New Roman"/>
          <w:noProof/>
          <w:sz w:val="22"/>
          <w:szCs w:val="22"/>
          <w:lang w:val="lt-LT"/>
        </w:rPr>
        <w:tab/>
        <w:t xml:space="preserve">Kas yra </w:t>
      </w:r>
      <w:r w:rsidRPr="00EC0566">
        <w:rPr>
          <w:rFonts w:ascii="Times New Roman" w:eastAsia="Times New Roman" w:hAnsi="Times New Roman" w:cs="Times New Roman"/>
          <w:sz w:val="22"/>
          <w:szCs w:val="22"/>
          <w:lang w:val="lt-LT"/>
        </w:rPr>
        <w:t xml:space="preserve">Tobrex </w:t>
      </w:r>
      <w:r w:rsidRPr="00EC0566">
        <w:rPr>
          <w:rFonts w:ascii="Times New Roman" w:eastAsia="Times New Roman" w:hAnsi="Times New Roman" w:cs="Times New Roman"/>
          <w:noProof/>
          <w:sz w:val="22"/>
          <w:szCs w:val="22"/>
          <w:lang w:val="lt-LT"/>
        </w:rPr>
        <w:t>ir kam jis vartojamas</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2.</w:t>
      </w:r>
      <w:r w:rsidRPr="00EC0566">
        <w:rPr>
          <w:rFonts w:ascii="Times New Roman" w:eastAsia="Times New Roman" w:hAnsi="Times New Roman" w:cs="Times New Roman"/>
          <w:noProof/>
          <w:sz w:val="22"/>
          <w:szCs w:val="22"/>
          <w:lang w:val="lt-LT"/>
        </w:rPr>
        <w:tab/>
        <w:t xml:space="preserve">Kas žinotina prieš vartojant </w:t>
      </w:r>
      <w:r w:rsidRPr="00EC0566">
        <w:rPr>
          <w:rFonts w:ascii="Times New Roman" w:eastAsia="Times New Roman" w:hAnsi="Times New Roman" w:cs="Times New Roman"/>
          <w:sz w:val="22"/>
          <w:szCs w:val="22"/>
          <w:lang w:val="lt-LT"/>
        </w:rPr>
        <w:t xml:space="preserve">Tobrex </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3.</w:t>
      </w:r>
      <w:r w:rsidRPr="00EC0566">
        <w:rPr>
          <w:rFonts w:ascii="Times New Roman" w:eastAsia="Times New Roman" w:hAnsi="Times New Roman" w:cs="Times New Roman"/>
          <w:noProof/>
          <w:sz w:val="22"/>
          <w:szCs w:val="22"/>
          <w:lang w:val="lt-LT"/>
        </w:rPr>
        <w:tab/>
        <w:t xml:space="preserve">Kaip vartoti </w:t>
      </w:r>
      <w:r w:rsidRPr="00EC0566">
        <w:rPr>
          <w:rFonts w:ascii="Times New Roman" w:eastAsia="Times New Roman" w:hAnsi="Times New Roman" w:cs="Times New Roman"/>
          <w:sz w:val="22"/>
          <w:szCs w:val="22"/>
          <w:lang w:val="lt-LT"/>
        </w:rPr>
        <w:t xml:space="preserve">Tobrex </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4.</w:t>
      </w:r>
      <w:r w:rsidRPr="00EC0566">
        <w:rPr>
          <w:rFonts w:ascii="Times New Roman" w:eastAsia="Times New Roman" w:hAnsi="Times New Roman" w:cs="Times New Roman"/>
          <w:noProof/>
          <w:sz w:val="22"/>
          <w:szCs w:val="22"/>
          <w:lang w:val="lt-LT"/>
        </w:rPr>
        <w:tab/>
        <w:t>Galimas šalutinis poveikis</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5.</w:t>
      </w:r>
      <w:r w:rsidRPr="00EC0566">
        <w:rPr>
          <w:rFonts w:ascii="Times New Roman" w:eastAsia="Times New Roman" w:hAnsi="Times New Roman" w:cs="Times New Roman"/>
          <w:noProof/>
          <w:sz w:val="22"/>
          <w:szCs w:val="22"/>
          <w:lang w:val="lt-LT"/>
        </w:rPr>
        <w:tab/>
        <w:t xml:space="preserve">Kaip laikyti </w:t>
      </w:r>
      <w:r w:rsidRPr="00EC0566">
        <w:rPr>
          <w:rFonts w:ascii="Times New Roman" w:eastAsia="Times New Roman" w:hAnsi="Times New Roman" w:cs="Times New Roman"/>
          <w:sz w:val="22"/>
          <w:szCs w:val="22"/>
          <w:lang w:val="lt-LT"/>
        </w:rPr>
        <w:t xml:space="preserve">Tobrex </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6.</w:t>
      </w:r>
      <w:r w:rsidRPr="00EC0566">
        <w:rPr>
          <w:rFonts w:ascii="Times New Roman" w:eastAsia="Times New Roman" w:hAnsi="Times New Roman" w:cs="Times New Roman"/>
          <w:noProof/>
          <w:sz w:val="22"/>
          <w:szCs w:val="22"/>
          <w:lang w:val="lt-LT"/>
        </w:rPr>
        <w:tab/>
        <w:t>Pakuotės turinys ir kita informacija</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keepNext/>
        <w:tabs>
          <w:tab w:val="left" w:pos="567"/>
        </w:tabs>
        <w:spacing w:after="0" w:line="240" w:lineRule="auto"/>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1.</w:t>
      </w:r>
      <w:r w:rsidRPr="00EC0566">
        <w:rPr>
          <w:rFonts w:ascii="Times New Roman" w:eastAsia="Times New Roman" w:hAnsi="Times New Roman" w:cs="Times New Roman"/>
          <w:b/>
          <w:sz w:val="22"/>
          <w:szCs w:val="22"/>
          <w:lang w:val="lt-LT"/>
        </w:rPr>
        <w:tab/>
        <w:t>Kas yra Tobrex ir kam jis vartojamas</w:t>
      </w: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akių lašai vartojami tobramicinui jautrių bakterijų sukeltų akies ir jos priedinių organų (vokų, junginės, ir ašarų aparato) paviršinių infekcinių ligų gydymui suaugusiems žmonėms ir 1 metų bei vyresniems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 xml:space="preserve">. </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yra vienas iš antiinfekcinių vaistų.</w:t>
      </w:r>
      <w:r w:rsidRPr="009E7DE7">
        <w:rPr>
          <w:rFonts w:ascii="Times New Roman" w:eastAsia="Times New Roman" w:hAnsi="Times New Roman" w:cs="Times New Roman"/>
          <w:sz w:val="22"/>
          <w:szCs w:val="22"/>
          <w:lang w:val="lt-LT"/>
        </w:rPr>
        <w:t xml:space="preserve"> </w:t>
      </w:r>
      <w:r w:rsidRPr="00EC0566">
        <w:rPr>
          <w:rFonts w:ascii="Times New Roman" w:eastAsia="Times New Roman" w:hAnsi="Times New Roman" w:cs="Times New Roman"/>
          <w:sz w:val="22"/>
          <w:szCs w:val="22"/>
          <w:lang w:val="lt-LT"/>
        </w:rPr>
        <w:t>Šiai grupei priklauso antibiotikai (iš jų ir tobramicinas), veikiantys daugelį mikroorganizmų, galinčių sukelti akių ligas.</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keepNext/>
        <w:tabs>
          <w:tab w:val="left" w:pos="567"/>
        </w:tabs>
        <w:spacing w:after="0" w:line="240" w:lineRule="auto"/>
        <w:outlineLvl w:val="1"/>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2.</w:t>
      </w:r>
      <w:r w:rsidRPr="00EC0566">
        <w:rPr>
          <w:rFonts w:ascii="Times New Roman" w:eastAsia="Times New Roman" w:hAnsi="Times New Roman" w:cs="Times New Roman"/>
          <w:b/>
          <w:sz w:val="22"/>
          <w:szCs w:val="22"/>
          <w:lang w:val="lt-LT"/>
        </w:rPr>
        <w:tab/>
        <w:t>Kas žinotina prieš vartojant Tobrex</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 xml:space="preserve">Tobrex vartoti </w:t>
      </w:r>
      <w:r>
        <w:rPr>
          <w:rFonts w:ascii="Times New Roman" w:eastAsia="Times New Roman" w:hAnsi="Times New Roman" w:cs="Times New Roman"/>
          <w:b/>
          <w:bCs/>
          <w:sz w:val="22"/>
          <w:szCs w:val="22"/>
          <w:lang w:val="lt-LT"/>
        </w:rPr>
        <w:t>draudžiama</w:t>
      </w:r>
      <w:r w:rsidRPr="00EC0566">
        <w:rPr>
          <w:rFonts w:ascii="Times New Roman" w:eastAsia="Times New Roman" w:hAnsi="Times New Roman" w:cs="Times New Roman"/>
          <w:b/>
          <w:bCs/>
          <w:sz w:val="22"/>
          <w:szCs w:val="22"/>
          <w:lang w:val="lt-LT"/>
        </w:rPr>
        <w:t>:</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yra alergija tobramicinui arba bet kuriai pagalbinei šio vaisto medžiagai (jos išvardytos 6 skyriuje);</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yra padidėjęs jautrumas kitiems aminoglikozidams (pvz., gentamicinui).</w:t>
      </w:r>
    </w:p>
    <w:p w:rsidR="007732E6" w:rsidRPr="00EC0566" w:rsidRDefault="007732E6" w:rsidP="007732E6">
      <w:pPr>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Įspėjimai ir atsargumo priemonės</w:t>
      </w:r>
    </w:p>
    <w:p w:rsidR="007732E6" w:rsidRPr="00EC0566" w:rsidRDefault="007732E6" w:rsidP="007732E6">
      <w:pPr>
        <w:numPr>
          <w:ilvl w:val="12"/>
          <w:numId w:val="0"/>
        </w:numPr>
        <w:spacing w:after="0" w:line="240" w:lineRule="auto"/>
        <w:ind w:right="-2"/>
        <w:rPr>
          <w:rFonts w:ascii="Times New Roman" w:eastAsia="Times New Roman" w:hAnsi="Times New Roman" w:cs="Times New Roman"/>
          <w:b/>
          <w:bCs/>
          <w:sz w:val="22"/>
          <w:szCs w:val="22"/>
          <w:lang w:val="lt-LT"/>
        </w:rPr>
      </w:pPr>
      <w:r w:rsidRPr="00EC0566">
        <w:rPr>
          <w:rFonts w:ascii="Times New Roman" w:eastAsia="Calibri" w:hAnsi="Times New Roman" w:cs="Times New Roman"/>
          <w:noProof/>
          <w:sz w:val="22"/>
          <w:szCs w:val="22"/>
          <w:lang w:val="lt-LT"/>
        </w:rPr>
        <w:t xml:space="preserve">Pasitarkite su gydytoju arba vaistininku, prieš pradėdami vartoti </w:t>
      </w:r>
      <w:r w:rsidRPr="00EC0566">
        <w:rPr>
          <w:rFonts w:ascii="Times New Roman" w:eastAsia="Times New Roman" w:hAnsi="Times New Roman" w:cs="Times New Roman"/>
          <w:sz w:val="22"/>
          <w:szCs w:val="22"/>
          <w:lang w:val="lt-LT"/>
        </w:rPr>
        <w:t>Tobrex</w:t>
      </w:r>
      <w:r w:rsidRPr="00EC0566">
        <w:rPr>
          <w:rFonts w:ascii="Times New Roman" w:eastAsia="Calibri" w:hAnsi="Times New Roman" w:cs="Times New Roman"/>
          <w:noProof/>
          <w:sz w:val="22"/>
          <w:szCs w:val="22"/>
          <w:lang w:val="lt-LT"/>
        </w:rPr>
        <w:t>:</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 xml:space="preserve">jeigu pasireiškia alerginė reakcija į </w:t>
      </w:r>
      <w:r w:rsidRPr="00EC0566">
        <w:rPr>
          <w:rFonts w:ascii="Times New Roman" w:eastAsia="Times New Roman" w:hAnsi="Times New Roman" w:cs="Times New Roman"/>
          <w:sz w:val="22"/>
          <w:szCs w:val="22"/>
          <w:lang w:val="lt-LT"/>
        </w:rPr>
        <w:t xml:space="preserve">Tobrex, nutraukite vaisto vartojimą ir kreipkitės į </w:t>
      </w:r>
      <w:r w:rsidRPr="00EC0566">
        <w:rPr>
          <w:rFonts w:ascii="Times New Roman" w:eastAsia="Times New Roman" w:hAnsi="Times New Roman" w:cs="Times New Roman"/>
          <w:noProof/>
          <w:sz w:val="22"/>
          <w:szCs w:val="22"/>
          <w:lang w:val="lt-LT"/>
        </w:rPr>
        <w:t>gydytoją. Alerginė reakcija gali būti įvairi</w:t>
      </w:r>
      <w:r w:rsidRPr="00EC0566">
        <w:rPr>
          <w:rFonts w:ascii="Times New Roman" w:eastAsia="Times New Roman" w:hAnsi="Times New Roman" w:cs="Times New Roman"/>
          <w:sz w:val="22"/>
          <w:szCs w:val="22"/>
          <w:lang w:val="lt-LT"/>
        </w:rPr>
        <w:t xml:space="preserve"> (</w:t>
      </w:r>
      <w:r w:rsidRPr="00EC0566">
        <w:rPr>
          <w:rFonts w:ascii="Times New Roman" w:eastAsia="Times New Roman" w:hAnsi="Times New Roman" w:cs="Times New Roman"/>
          <w:noProof/>
          <w:sz w:val="22"/>
          <w:szCs w:val="22"/>
          <w:lang w:val="lt-LT"/>
        </w:rPr>
        <w:t>nuo vietinio niežėjimo ar odos paraudimo iki sunkios alerginės reakcijos (anafilasinės reakcijos) ar sunkios odos reakcijos). Tokių alerginių reakcijų gali atsirasti ir vartojant kitokių tos pačios grupės vietinio ar sisteminio poveikio antibiotikų (aminoglikozidų);</w:t>
      </w:r>
    </w:p>
    <w:p w:rsidR="007732E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kartu su Tobrex akių lašais vartojate kitus antibiotikus, pasitarkite su gydytoju;</w:t>
      </w:r>
    </w:p>
    <w:p w:rsidR="007732E6" w:rsidRPr="005F36C0"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DB427E">
        <w:rPr>
          <w:rFonts w:ascii="Times New Roman" w:eastAsia="Times New Roman" w:hAnsi="Times New Roman" w:cs="Times New Roman"/>
          <w:noProof/>
          <w:sz w:val="22"/>
          <w:szCs w:val="22"/>
          <w:lang w:val="lt-LT"/>
        </w:rPr>
        <w:t>jeigu sergate</w:t>
      </w:r>
      <w:r w:rsidRPr="00C328D5">
        <w:rPr>
          <w:rFonts w:ascii="Times New Roman" w:eastAsia="Times New Roman" w:hAnsi="Times New Roman" w:cs="Times New Roman"/>
          <w:noProof/>
          <w:sz w:val="22"/>
          <w:szCs w:val="22"/>
          <w:lang w:val="lt-LT"/>
        </w:rPr>
        <w:t xml:space="preserve"> ligomis, kurių metu pažeidžiamos nervų raumenų jungtys, pvz., </w:t>
      </w:r>
      <w:r>
        <w:rPr>
          <w:rFonts w:ascii="Times New Roman" w:eastAsia="Times New Roman" w:hAnsi="Times New Roman" w:cs="Times New Roman"/>
          <w:noProof/>
          <w:sz w:val="22"/>
          <w:szCs w:val="22"/>
          <w:lang w:val="lt-LT"/>
        </w:rPr>
        <w:t xml:space="preserve">generalizuota </w:t>
      </w:r>
      <w:r w:rsidRPr="00DB427E">
        <w:rPr>
          <w:rFonts w:ascii="Times New Roman" w:eastAsia="Times New Roman" w:hAnsi="Times New Roman" w:cs="Times New Roman"/>
          <w:noProof/>
          <w:sz w:val="22"/>
          <w:szCs w:val="22"/>
          <w:lang w:val="lt-LT"/>
        </w:rPr>
        <w:t>m</w:t>
      </w:r>
      <w:r w:rsidRPr="006A11C4">
        <w:rPr>
          <w:rFonts w:ascii="Times New Roman" w:hAnsi="Times New Roman"/>
          <w:sz w:val="22"/>
          <w:lang w:val="lt-LT"/>
        </w:rPr>
        <w:t xml:space="preserve">iastenija </w:t>
      </w:r>
      <w:r w:rsidRPr="00DB427E">
        <w:rPr>
          <w:rFonts w:ascii="Times New Roman" w:eastAsia="Times New Roman" w:hAnsi="Times New Roman" w:cs="Times New Roman"/>
          <w:noProof/>
          <w:sz w:val="22"/>
          <w:szCs w:val="22"/>
          <w:lang w:val="lt-LT"/>
        </w:rPr>
        <w:t xml:space="preserve">ar Parkinsono liga, pasitarkite su gydytoju. </w:t>
      </w:r>
      <w:r w:rsidRPr="00C328D5">
        <w:rPr>
          <w:rFonts w:ascii="Times New Roman" w:eastAsia="Times New Roman" w:hAnsi="Times New Roman" w:cs="Times New Roman"/>
          <w:noProof/>
          <w:sz w:val="22"/>
          <w:szCs w:val="22"/>
          <w:lang w:val="lt-LT"/>
        </w:rPr>
        <w:t>Aminoglikozidų grupės</w:t>
      </w:r>
      <w:r>
        <w:rPr>
          <w:rFonts w:ascii="Times New Roman" w:eastAsia="Times New Roman" w:hAnsi="Times New Roman" w:cs="Times New Roman"/>
          <w:noProof/>
          <w:sz w:val="22"/>
          <w:szCs w:val="22"/>
          <w:lang w:val="lt-LT"/>
        </w:rPr>
        <w:t xml:space="preserve"> </w:t>
      </w:r>
      <w:r w:rsidRPr="00DB427E">
        <w:rPr>
          <w:rFonts w:ascii="Times New Roman" w:eastAsia="Times New Roman" w:hAnsi="Times New Roman" w:cs="Times New Roman"/>
          <w:noProof/>
          <w:sz w:val="22"/>
          <w:szCs w:val="22"/>
          <w:lang w:val="lt-LT"/>
        </w:rPr>
        <w:t>antibiotikai</w:t>
      </w:r>
      <w:r>
        <w:rPr>
          <w:rFonts w:ascii="Times New Roman" w:eastAsia="Times New Roman" w:hAnsi="Times New Roman" w:cs="Times New Roman"/>
          <w:noProof/>
          <w:sz w:val="22"/>
          <w:szCs w:val="22"/>
          <w:lang w:val="lt-LT"/>
        </w:rPr>
        <w:t xml:space="preserve">, </w:t>
      </w:r>
      <w:r w:rsidRPr="00C328D5">
        <w:rPr>
          <w:rFonts w:ascii="Times New Roman" w:eastAsia="Times New Roman" w:hAnsi="Times New Roman" w:cs="Times New Roman"/>
          <w:noProof/>
          <w:sz w:val="22"/>
          <w:szCs w:val="22"/>
          <w:lang w:val="lt-LT"/>
        </w:rPr>
        <w:t>jiems priskiriamas tobramicinas,</w:t>
      </w:r>
      <w:r w:rsidRPr="00DB427E">
        <w:rPr>
          <w:rFonts w:ascii="Times New Roman" w:eastAsia="Times New Roman" w:hAnsi="Times New Roman" w:cs="Times New Roman"/>
          <w:noProof/>
          <w:sz w:val="22"/>
          <w:szCs w:val="22"/>
          <w:lang w:val="lt-LT"/>
        </w:rPr>
        <w:t xml:space="preserve"> gali sustiprinti raumenų silpnumą;</w:t>
      </w:r>
    </w:p>
    <w:p w:rsidR="007732E6" w:rsidRPr="00EC0566" w:rsidRDefault="007732E6" w:rsidP="007732E6">
      <w:pPr>
        <w:numPr>
          <w:ilvl w:val="0"/>
          <w:numId w:val="3"/>
        </w:numPr>
        <w:spacing w:after="0" w:line="240" w:lineRule="auto"/>
        <w:ind w:left="567" w:hanging="567"/>
        <w:contextualSpacing/>
        <w:rPr>
          <w:rFonts w:ascii="Times New Roman" w:eastAsia="Calibri" w:hAnsi="Times New Roman" w:cs="Times New Roman"/>
          <w:noProof/>
          <w:sz w:val="22"/>
          <w:szCs w:val="22"/>
          <w:lang w:val="lt-LT"/>
        </w:rPr>
      </w:pPr>
      <w:r w:rsidRPr="00EC0566">
        <w:rPr>
          <w:rFonts w:ascii="Times New Roman" w:eastAsia="Times New Roman" w:hAnsi="Times New Roman" w:cs="Times New Roman"/>
          <w:sz w:val="22"/>
          <w:szCs w:val="22"/>
          <w:lang w:val="lt-LT"/>
        </w:rPr>
        <w:lastRenderedPageBreak/>
        <w:t>jeigu Jūsų simptomai pasunkėja ar staiga atsinaujina, kreipkitės į gydytoją. Jei Tobrex vartojate ilgai, gali padidėti akies infekcijos pavojus.</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b/>
          <w:sz w:val="22"/>
          <w:szCs w:val="22"/>
          <w:lang w:val="lt-LT"/>
        </w:rPr>
        <w:t>Vaikams ir paaugliams</w:t>
      </w:r>
    </w:p>
    <w:p w:rsidR="007732E6" w:rsidRPr="00EC0566" w:rsidRDefault="007732E6" w:rsidP="007732E6">
      <w:pPr>
        <w:tabs>
          <w:tab w:val="left" w:pos="360"/>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Nevartokite Tobrex akių lašų vaikams iki 1 metų.</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Kiti vaistai ir Tobrex</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Jeigu vartojate arba neseniai vartojote kitų vaistų arba dėl to nesate tikri, apie tai pasakykite gydytojui arba vaistininkui. </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Vartojant kartu su kortikosteroidais, gali būti maskuojami infekcinio susirgimo požymiai.</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Kartu vartojant kitus akių vaistus tarp vienų ir kitų vartojimo reikia daryti 5 minučių pertrauką. Akių tepalą reikia vartoti paskiausiai.</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Nėštumas ir žindymo laikotarpis</w:t>
      </w:r>
    </w:p>
    <w:p w:rsidR="007732E6" w:rsidRPr="00EC0566" w:rsidRDefault="007732E6" w:rsidP="007732E6">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Jeigu esate nėščia, žindote kūdikį, manote, kad galbūt esate nėščia arba planuojate pastoti, tai prieš vartodama šį vaistą pasitarkite su gydytoju arba vaistininku.</w:t>
      </w:r>
    </w:p>
    <w:p w:rsidR="007732E6" w:rsidRPr="00EC0566" w:rsidRDefault="007732E6" w:rsidP="007732E6">
      <w:pPr>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 xml:space="preserve">Nėštumo arba žindymo laikotarpiu </w:t>
      </w:r>
      <w:r w:rsidRPr="00EC0566">
        <w:rPr>
          <w:rFonts w:ascii="Times New Roman" w:eastAsia="Times New Roman" w:hAnsi="Times New Roman" w:cs="Times New Roman"/>
          <w:sz w:val="22"/>
          <w:szCs w:val="22"/>
          <w:lang w:val="lt-LT"/>
        </w:rPr>
        <w:t xml:space="preserve">Tobrex </w:t>
      </w:r>
      <w:r w:rsidRPr="00EC0566">
        <w:rPr>
          <w:rFonts w:ascii="Times New Roman" w:eastAsia="Times New Roman" w:hAnsi="Times New Roman" w:cs="Times New Roman"/>
          <w:noProof/>
          <w:sz w:val="22"/>
          <w:szCs w:val="22"/>
          <w:lang w:val="lt-LT"/>
        </w:rPr>
        <w:t xml:space="preserve">akių lašų nevartokite, nebent gydytojas nuspręstų, kad vaistą vartoti reikia. </w:t>
      </w:r>
      <w:r w:rsidRPr="00EC0566">
        <w:rPr>
          <w:rFonts w:ascii="Times New Roman" w:eastAsia="Times New Roman" w:hAnsi="Times New Roman" w:cs="Times New Roman"/>
          <w:sz w:val="22"/>
          <w:szCs w:val="22"/>
          <w:lang w:val="lt-LT"/>
        </w:rPr>
        <w:t xml:space="preserve">Tobrex </w:t>
      </w:r>
      <w:r w:rsidRPr="00EC0566">
        <w:rPr>
          <w:rFonts w:ascii="Times New Roman" w:eastAsia="Times New Roman" w:hAnsi="Times New Roman" w:cs="Times New Roman"/>
          <w:noProof/>
          <w:sz w:val="22"/>
          <w:szCs w:val="22"/>
          <w:lang w:val="lt-LT"/>
        </w:rPr>
        <w:t>nėščioms moterims galima vartoti tik neabejotinai būtinu atveju. Prieš vartojant bet kokį vaistą, būtina pasitarti su gydytoju arba vaistininku.</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Vairavimas ir mechanizmų valdymas</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Tobrex akių lašai neturėtų veikti gebėjimo vairuoti ir dirbti su mechanizmais. </w:t>
      </w:r>
      <w:r>
        <w:rPr>
          <w:rFonts w:ascii="Times New Roman" w:eastAsia="Times New Roman" w:hAnsi="Times New Roman" w:cs="Times New Roman"/>
          <w:sz w:val="22"/>
          <w:szCs w:val="22"/>
          <w:lang w:val="lt-LT"/>
        </w:rPr>
        <w:t>Pavartojus</w:t>
      </w:r>
      <w:r w:rsidRPr="00EC0566">
        <w:rPr>
          <w:rFonts w:ascii="Times New Roman" w:eastAsia="Times New Roman" w:hAnsi="Times New Roman" w:cs="Times New Roman"/>
          <w:sz w:val="22"/>
          <w:szCs w:val="22"/>
          <w:lang w:val="lt-LT"/>
        </w:rPr>
        <w:t xml:space="preserve"> Tobrex trumpai gali būti neryškus matymas. Nevairuokite ir nevaldykite mechanizmų, kol matymas nepagerės.</w:t>
      </w: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Tobrex sudėtyje yra benzalkonio chlorido</w:t>
      </w:r>
    </w:p>
    <w:p w:rsidR="007732E6" w:rsidRDefault="007732E6" w:rsidP="007732E6">
      <w:pPr>
        <w:tabs>
          <w:tab w:val="left" w:pos="567"/>
        </w:tabs>
        <w:rPr>
          <w:rFonts w:ascii="Times New Roman" w:hAnsi="Times New Roman" w:cs="Times New Roman"/>
          <w:sz w:val="22"/>
          <w:szCs w:val="22"/>
        </w:rPr>
      </w:pPr>
      <w:r w:rsidRPr="00EF7C20">
        <w:rPr>
          <w:rFonts w:ascii="Times New Roman" w:hAnsi="Times New Roman" w:cs="Times New Roman"/>
          <w:sz w:val="22"/>
          <w:szCs w:val="22"/>
        </w:rPr>
        <w:t>Viena</w:t>
      </w:r>
      <w:r w:rsidRPr="00F1703D">
        <w:rPr>
          <w:rFonts w:ascii="Times New Roman" w:hAnsi="Times New Roman" w:cs="Times New Roman"/>
          <w:sz w:val="22"/>
          <w:szCs w:val="22"/>
        </w:rPr>
        <w:t xml:space="preserve">me </w:t>
      </w:r>
      <w:r>
        <w:rPr>
          <w:rFonts w:ascii="Times New Roman" w:hAnsi="Times New Roman" w:cs="Times New Roman"/>
          <w:sz w:val="22"/>
          <w:szCs w:val="22"/>
        </w:rPr>
        <w:t>šio vaisto akių lašų</w:t>
      </w:r>
      <w:r w:rsidRPr="00F1703D">
        <w:rPr>
          <w:rFonts w:ascii="Times New Roman" w:hAnsi="Times New Roman" w:cs="Times New Roman"/>
          <w:sz w:val="22"/>
          <w:szCs w:val="22"/>
        </w:rPr>
        <w:t xml:space="preserve"> ml yra 0,1</w:t>
      </w:r>
      <w:r>
        <w:rPr>
          <w:rFonts w:ascii="Times New Roman" w:hAnsi="Times New Roman" w:cs="Times New Roman"/>
          <w:sz w:val="22"/>
          <w:szCs w:val="22"/>
        </w:rPr>
        <w:t> </w:t>
      </w:r>
      <w:r w:rsidRPr="00EF7C20">
        <w:rPr>
          <w:rFonts w:ascii="Times New Roman" w:hAnsi="Times New Roman" w:cs="Times New Roman"/>
          <w:sz w:val="22"/>
          <w:szCs w:val="22"/>
        </w:rPr>
        <w:t xml:space="preserve">mg benzalkonio </w:t>
      </w:r>
      <w:r>
        <w:rPr>
          <w:rFonts w:ascii="Times New Roman" w:hAnsi="Times New Roman" w:cs="Times New Roman"/>
          <w:sz w:val="22"/>
          <w:szCs w:val="22"/>
        </w:rPr>
        <w:t>chlorido, o</w:t>
      </w:r>
      <w:r w:rsidRPr="003D0919">
        <w:rPr>
          <w:rFonts w:ascii="Times New Roman" w:hAnsi="Times New Roman" w:cs="Times New Roman"/>
          <w:sz w:val="22"/>
          <w:szCs w:val="22"/>
        </w:rPr>
        <w:t xml:space="preserve"> viename laše – apie 0,003</w:t>
      </w:r>
      <w:r>
        <w:rPr>
          <w:rFonts w:ascii="Times New Roman" w:hAnsi="Times New Roman" w:cs="Times New Roman"/>
          <w:sz w:val="22"/>
          <w:szCs w:val="22"/>
        </w:rPr>
        <w:t> </w:t>
      </w:r>
      <w:r w:rsidRPr="003D0919">
        <w:rPr>
          <w:rFonts w:ascii="Times New Roman" w:hAnsi="Times New Roman" w:cs="Times New Roman"/>
          <w:sz w:val="22"/>
          <w:szCs w:val="22"/>
        </w:rPr>
        <w:t>mg benzalkonio chlorido</w:t>
      </w:r>
      <w:r w:rsidRPr="00EF7C20">
        <w:rPr>
          <w:rFonts w:ascii="Times New Roman" w:hAnsi="Times New Roman" w:cs="Times New Roman"/>
          <w:sz w:val="22"/>
          <w:szCs w:val="22"/>
        </w:rPr>
        <w:t>.</w:t>
      </w:r>
    </w:p>
    <w:p w:rsidR="007732E6" w:rsidRPr="00842F20" w:rsidRDefault="007732E6" w:rsidP="007732E6">
      <w:pPr>
        <w:spacing w:after="0" w:line="240" w:lineRule="auto"/>
        <w:rPr>
          <w:rFonts w:ascii="Times New Roman" w:eastAsia="Times New Roman" w:hAnsi="Times New Roman" w:cs="Times New Roman"/>
          <w:sz w:val="22"/>
          <w:szCs w:val="22"/>
          <w:lang w:val="lt-LT" w:eastAsia="lt-LT"/>
        </w:rPr>
      </w:pPr>
    </w:p>
    <w:p w:rsidR="007732E6" w:rsidRDefault="007732E6" w:rsidP="007732E6">
      <w:pPr>
        <w:spacing w:after="0" w:line="240" w:lineRule="auto"/>
        <w:rPr>
          <w:rFonts w:ascii="Times New Roman" w:eastAsia="Times New Roman" w:hAnsi="Times New Roman" w:cs="Times New Roman"/>
          <w:sz w:val="22"/>
          <w:szCs w:val="22"/>
          <w:lang w:val="lt-LT" w:eastAsia="lt-LT"/>
        </w:rPr>
      </w:pPr>
      <w:r w:rsidRPr="00842F20">
        <w:rPr>
          <w:rFonts w:ascii="Times New Roman" w:eastAsia="Times New Roman" w:hAnsi="Times New Roman" w:cs="Times New Roman"/>
          <w:sz w:val="22"/>
          <w:szCs w:val="22"/>
          <w:lang w:val="lt-LT" w:eastAsia="lt-LT"/>
        </w:rPr>
        <w:t>Minkštieji kontaktiniai lęšiai gali absorbuoti benzalkonio chloridą ir gali pasikeisti kontaktinių</w:t>
      </w:r>
      <w:r>
        <w:rPr>
          <w:rFonts w:ascii="Times New Roman" w:eastAsia="Times New Roman" w:hAnsi="Times New Roman" w:cs="Times New Roman"/>
          <w:sz w:val="22"/>
          <w:szCs w:val="22"/>
          <w:lang w:val="lt-LT" w:eastAsia="lt-LT"/>
        </w:rPr>
        <w:t xml:space="preserve"> </w:t>
      </w:r>
      <w:r w:rsidRPr="00842F20">
        <w:rPr>
          <w:rFonts w:ascii="Times New Roman" w:eastAsia="Times New Roman" w:hAnsi="Times New Roman" w:cs="Times New Roman"/>
          <w:sz w:val="22"/>
          <w:szCs w:val="22"/>
          <w:lang w:val="lt-LT" w:eastAsia="lt-LT"/>
        </w:rPr>
        <w:t>lęšių spalva. Prieš šio vaisto vartojimą kontaktinius lęšius reikia išimti ir vėl juos gali</w:t>
      </w:r>
      <w:r>
        <w:rPr>
          <w:rFonts w:ascii="Times New Roman" w:eastAsia="Times New Roman" w:hAnsi="Times New Roman" w:cs="Times New Roman"/>
          <w:sz w:val="22"/>
          <w:szCs w:val="22"/>
          <w:lang w:val="lt-LT" w:eastAsia="lt-LT"/>
        </w:rPr>
        <w:t>ma įdėti ne anksčiau kaip po 15 </w:t>
      </w:r>
      <w:r w:rsidRPr="00842F20">
        <w:rPr>
          <w:rFonts w:ascii="Times New Roman" w:eastAsia="Times New Roman" w:hAnsi="Times New Roman" w:cs="Times New Roman"/>
          <w:sz w:val="22"/>
          <w:szCs w:val="22"/>
          <w:lang w:val="lt-LT" w:eastAsia="lt-LT"/>
        </w:rPr>
        <w:t>min.</w:t>
      </w:r>
    </w:p>
    <w:p w:rsidR="007732E6" w:rsidRPr="00842F20" w:rsidRDefault="007732E6" w:rsidP="007732E6">
      <w:pPr>
        <w:spacing w:after="0" w:line="240" w:lineRule="auto"/>
        <w:rPr>
          <w:rFonts w:ascii="Times New Roman" w:eastAsia="Times New Roman" w:hAnsi="Times New Roman" w:cs="Times New Roman"/>
          <w:sz w:val="22"/>
          <w:szCs w:val="22"/>
          <w:lang w:val="lt-LT" w:eastAsia="lt-LT"/>
        </w:rPr>
      </w:pPr>
    </w:p>
    <w:p w:rsidR="007732E6" w:rsidRDefault="007732E6" w:rsidP="007732E6">
      <w:pPr>
        <w:spacing w:after="0" w:line="240" w:lineRule="auto"/>
        <w:rPr>
          <w:rFonts w:ascii="Times New Roman" w:eastAsia="Times New Roman" w:hAnsi="Times New Roman" w:cs="Times New Roman"/>
          <w:sz w:val="22"/>
          <w:szCs w:val="22"/>
          <w:lang w:val="lt-LT" w:eastAsia="lt-LT"/>
        </w:rPr>
      </w:pPr>
      <w:r w:rsidRPr="00842F20">
        <w:rPr>
          <w:rFonts w:ascii="Times New Roman" w:eastAsia="Times New Roman" w:hAnsi="Times New Roman" w:cs="Times New Roman"/>
          <w:sz w:val="22"/>
          <w:szCs w:val="22"/>
          <w:lang w:val="lt-LT" w:eastAsia="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rsidR="007732E6" w:rsidRDefault="007732E6" w:rsidP="007732E6">
      <w:pPr>
        <w:spacing w:after="0" w:line="240" w:lineRule="auto"/>
        <w:rPr>
          <w:rFonts w:ascii="Times New Roman" w:eastAsia="Times New Roman" w:hAnsi="Times New Roman" w:cs="Times New Roman"/>
          <w:sz w:val="22"/>
          <w:szCs w:val="22"/>
          <w:lang w:val="lt-LT" w:eastAsia="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Tobrex sudėtyje yra b</w:t>
      </w:r>
      <w:r>
        <w:rPr>
          <w:rFonts w:ascii="Times New Roman" w:eastAsia="Times New Roman" w:hAnsi="Times New Roman" w:cs="Times New Roman"/>
          <w:b/>
          <w:sz w:val="22"/>
          <w:szCs w:val="22"/>
          <w:lang w:val="lt-LT"/>
        </w:rPr>
        <w:t>oro rūgšties</w:t>
      </w:r>
    </w:p>
    <w:p w:rsidR="007732E6" w:rsidRDefault="007732E6" w:rsidP="007732E6">
      <w:pPr>
        <w:autoSpaceDE w:val="0"/>
        <w:autoSpaceDN w:val="0"/>
        <w:adjustRightInd w:val="0"/>
        <w:spacing w:after="0" w:line="240" w:lineRule="auto"/>
        <w:rPr>
          <w:rFonts w:ascii="Verdana" w:hAnsi="Verdana" w:cs="Verdana"/>
          <w:sz w:val="16"/>
          <w:szCs w:val="16"/>
          <w:lang w:val="lt-LT"/>
        </w:rPr>
      </w:pPr>
      <w:r w:rsidRPr="006A11C4">
        <w:rPr>
          <w:rFonts w:ascii="Times New Roman" w:eastAsia="Times New Roman" w:hAnsi="Times New Roman" w:cs="Times New Roman"/>
          <w:sz w:val="22"/>
          <w:szCs w:val="22"/>
          <w:lang w:val="lt-LT" w:eastAsia="lt-LT"/>
        </w:rPr>
        <w:t>Neduokite d</w:t>
      </w:r>
      <w:r>
        <w:rPr>
          <w:rFonts w:ascii="Times New Roman" w:eastAsia="Times New Roman" w:hAnsi="Times New Roman" w:cs="Times New Roman"/>
          <w:sz w:val="22"/>
          <w:szCs w:val="22"/>
          <w:lang w:val="lt-LT" w:eastAsia="lt-LT"/>
        </w:rPr>
        <w:t xml:space="preserve">augiau </w:t>
      </w:r>
      <w:r w:rsidRPr="006A11C4">
        <w:rPr>
          <w:rFonts w:ascii="Times New Roman" w:eastAsia="Times New Roman" w:hAnsi="Times New Roman" w:cs="Times New Roman"/>
          <w:sz w:val="22"/>
          <w:szCs w:val="22"/>
          <w:lang w:val="lt-LT" w:eastAsia="lt-LT"/>
        </w:rPr>
        <w:t>kaip 14 akių lašų per parą</w:t>
      </w:r>
      <w:r>
        <w:rPr>
          <w:rFonts w:ascii="Times New Roman" w:eastAsia="Times New Roman" w:hAnsi="Times New Roman" w:cs="Times New Roman"/>
          <w:sz w:val="22"/>
          <w:szCs w:val="22"/>
          <w:lang w:val="lt-LT" w:eastAsia="lt-LT"/>
        </w:rPr>
        <w:t xml:space="preserve"> </w:t>
      </w:r>
      <w:r w:rsidRPr="006A11C4">
        <w:rPr>
          <w:rFonts w:ascii="Times New Roman" w:eastAsia="Times New Roman" w:hAnsi="Times New Roman" w:cs="Times New Roman"/>
          <w:sz w:val="22"/>
          <w:szCs w:val="22"/>
          <w:lang w:val="lt-LT" w:eastAsia="lt-LT"/>
        </w:rPr>
        <w:t>jaunesniems kaip</w:t>
      </w:r>
      <w:r>
        <w:rPr>
          <w:rFonts w:ascii="Times New Roman" w:eastAsia="Times New Roman" w:hAnsi="Times New Roman" w:cs="Times New Roman"/>
          <w:sz w:val="22"/>
          <w:szCs w:val="22"/>
          <w:lang w:val="lt-LT" w:eastAsia="lt-LT"/>
        </w:rPr>
        <w:t xml:space="preserve"> </w:t>
      </w:r>
      <w:r w:rsidRPr="006A11C4">
        <w:rPr>
          <w:rFonts w:ascii="Times New Roman" w:eastAsia="Times New Roman" w:hAnsi="Times New Roman" w:cs="Times New Roman"/>
          <w:sz w:val="22"/>
          <w:szCs w:val="22"/>
          <w:lang w:val="lt-LT" w:eastAsia="lt-LT"/>
        </w:rPr>
        <w:t>2</w:t>
      </w:r>
      <w:r>
        <w:rPr>
          <w:rFonts w:ascii="Times New Roman" w:eastAsia="Times New Roman" w:hAnsi="Times New Roman" w:cs="Times New Roman"/>
          <w:sz w:val="22"/>
          <w:szCs w:val="22"/>
          <w:lang w:val="lt-LT" w:eastAsia="lt-LT"/>
        </w:rPr>
        <w:t> </w:t>
      </w:r>
      <w:r w:rsidRPr="006A11C4">
        <w:rPr>
          <w:rFonts w:ascii="Times New Roman" w:eastAsia="Times New Roman" w:hAnsi="Times New Roman" w:cs="Times New Roman"/>
          <w:sz w:val="22"/>
          <w:szCs w:val="22"/>
          <w:lang w:val="lt-LT" w:eastAsia="lt-LT"/>
        </w:rPr>
        <w:t>metų vaikams, kadangi šio vaisto sudėtyje yra boro, kuris ateityje gali pakenkti vaisingumui</w:t>
      </w:r>
      <w:r>
        <w:rPr>
          <w:rFonts w:ascii="Verdana" w:hAnsi="Verdana" w:cs="Verdana"/>
          <w:sz w:val="16"/>
          <w:szCs w:val="16"/>
          <w:lang w:val="lt-LT"/>
        </w:rPr>
        <w:t>.</w:t>
      </w:r>
    </w:p>
    <w:p w:rsidR="007732E6" w:rsidRDefault="007732E6" w:rsidP="007732E6">
      <w:pPr>
        <w:autoSpaceDE w:val="0"/>
        <w:autoSpaceDN w:val="0"/>
        <w:adjustRightInd w:val="0"/>
        <w:spacing w:after="0" w:line="240" w:lineRule="auto"/>
        <w:rPr>
          <w:rFonts w:ascii="Verdana" w:hAnsi="Verdana" w:cs="Verdana"/>
          <w:sz w:val="16"/>
          <w:szCs w:val="16"/>
          <w:lang w:val="lt-LT"/>
        </w:rPr>
      </w:pPr>
      <w:r w:rsidRPr="003D0919">
        <w:rPr>
          <w:rFonts w:ascii="Times New Roman" w:eastAsia="Times New Roman" w:hAnsi="Times New Roman" w:cs="Times New Roman"/>
          <w:sz w:val="22"/>
          <w:szCs w:val="22"/>
          <w:lang w:val="lt-LT" w:eastAsia="lt-LT"/>
        </w:rPr>
        <w:t>Neduokite d</w:t>
      </w:r>
      <w:r>
        <w:rPr>
          <w:rFonts w:ascii="Times New Roman" w:eastAsia="Times New Roman" w:hAnsi="Times New Roman" w:cs="Times New Roman"/>
          <w:sz w:val="22"/>
          <w:szCs w:val="22"/>
          <w:lang w:val="lt-LT" w:eastAsia="lt-LT"/>
        </w:rPr>
        <w:t xml:space="preserve">augiau </w:t>
      </w:r>
      <w:r w:rsidRPr="003D0919">
        <w:rPr>
          <w:rFonts w:ascii="Times New Roman" w:eastAsia="Times New Roman" w:hAnsi="Times New Roman" w:cs="Times New Roman"/>
          <w:sz w:val="22"/>
          <w:szCs w:val="22"/>
          <w:lang w:val="lt-LT" w:eastAsia="lt-LT"/>
        </w:rPr>
        <w:t>kaip 4</w:t>
      </w:r>
      <w:r>
        <w:rPr>
          <w:rFonts w:ascii="Times New Roman" w:eastAsia="Times New Roman" w:hAnsi="Times New Roman" w:cs="Times New Roman"/>
          <w:sz w:val="22"/>
          <w:szCs w:val="22"/>
          <w:lang w:val="lt-LT" w:eastAsia="lt-LT"/>
        </w:rPr>
        <w:t>6</w:t>
      </w:r>
      <w:r w:rsidRPr="003D0919">
        <w:rPr>
          <w:rFonts w:ascii="Times New Roman" w:eastAsia="Times New Roman" w:hAnsi="Times New Roman" w:cs="Times New Roman"/>
          <w:sz w:val="22"/>
          <w:szCs w:val="22"/>
          <w:lang w:val="lt-LT" w:eastAsia="lt-LT"/>
        </w:rPr>
        <w:t> akių lašų per parą</w:t>
      </w:r>
      <w:r>
        <w:rPr>
          <w:rFonts w:ascii="Times New Roman" w:eastAsia="Times New Roman" w:hAnsi="Times New Roman" w:cs="Times New Roman"/>
          <w:sz w:val="22"/>
          <w:szCs w:val="22"/>
          <w:lang w:val="lt-LT" w:eastAsia="lt-LT"/>
        </w:rPr>
        <w:t xml:space="preserve"> </w:t>
      </w:r>
      <w:r w:rsidRPr="003D0919">
        <w:rPr>
          <w:rFonts w:ascii="Times New Roman" w:eastAsia="Times New Roman" w:hAnsi="Times New Roman" w:cs="Times New Roman"/>
          <w:sz w:val="22"/>
          <w:szCs w:val="22"/>
          <w:lang w:val="lt-LT" w:eastAsia="lt-LT"/>
        </w:rPr>
        <w:t>jaunesniems kaip</w:t>
      </w:r>
      <w:r>
        <w:rPr>
          <w:rFonts w:ascii="Times New Roman" w:eastAsia="Times New Roman" w:hAnsi="Times New Roman" w:cs="Times New Roman"/>
          <w:sz w:val="22"/>
          <w:szCs w:val="22"/>
          <w:lang w:val="lt-LT" w:eastAsia="lt-LT"/>
        </w:rPr>
        <w:t xml:space="preserve"> 1</w:t>
      </w:r>
      <w:r w:rsidRPr="003D0919">
        <w:rPr>
          <w:rFonts w:ascii="Times New Roman" w:eastAsia="Times New Roman" w:hAnsi="Times New Roman" w:cs="Times New Roman"/>
          <w:sz w:val="22"/>
          <w:szCs w:val="22"/>
          <w:lang w:val="lt-LT" w:eastAsia="lt-LT"/>
        </w:rPr>
        <w:t>2</w:t>
      </w:r>
      <w:r>
        <w:rPr>
          <w:rFonts w:ascii="Times New Roman" w:eastAsia="Times New Roman" w:hAnsi="Times New Roman" w:cs="Times New Roman"/>
          <w:sz w:val="22"/>
          <w:szCs w:val="22"/>
          <w:lang w:val="lt-LT" w:eastAsia="lt-LT"/>
        </w:rPr>
        <w:t> </w:t>
      </w:r>
      <w:r w:rsidRPr="003D0919">
        <w:rPr>
          <w:rFonts w:ascii="Times New Roman" w:eastAsia="Times New Roman" w:hAnsi="Times New Roman" w:cs="Times New Roman"/>
          <w:sz w:val="22"/>
          <w:szCs w:val="22"/>
          <w:lang w:val="lt-LT" w:eastAsia="lt-LT"/>
        </w:rPr>
        <w:t>metų vaikams, kadangi šio vaisto sudėtyje yra boro, kuris ateityje gali pakenkti vaisingumui</w:t>
      </w:r>
      <w:r>
        <w:rPr>
          <w:rFonts w:ascii="Verdana" w:hAnsi="Verdana" w:cs="Verdana"/>
          <w:sz w:val="16"/>
          <w:szCs w:val="16"/>
          <w:lang w:val="lt-LT"/>
        </w:rPr>
        <w:t xml:space="preserve">. </w:t>
      </w:r>
    </w:p>
    <w:p w:rsidR="007732E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keepNext/>
        <w:numPr>
          <w:ilvl w:val="0"/>
          <w:numId w:val="2"/>
        </w:numPr>
        <w:tabs>
          <w:tab w:val="clear" w:pos="1080"/>
        </w:tabs>
        <w:spacing w:after="0" w:line="240" w:lineRule="auto"/>
        <w:ind w:left="540" w:hanging="540"/>
        <w:outlineLvl w:val="0"/>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Kaip vartoti Tobrex</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Visada vartokite šį vaistą tiksliai</w:t>
      </w:r>
      <w:r>
        <w:rPr>
          <w:rFonts w:ascii="Times New Roman" w:eastAsia="Times New Roman" w:hAnsi="Times New Roman" w:cs="Times New Roman"/>
          <w:sz w:val="22"/>
          <w:szCs w:val="22"/>
          <w:lang w:val="lt-LT"/>
        </w:rPr>
        <w:t>,</w:t>
      </w:r>
      <w:r w:rsidRPr="00EC0566">
        <w:rPr>
          <w:rFonts w:ascii="Times New Roman" w:eastAsia="Times New Roman" w:hAnsi="Times New Roman" w:cs="Times New Roman"/>
          <w:sz w:val="22"/>
          <w:szCs w:val="22"/>
          <w:lang w:val="lt-LT"/>
        </w:rPr>
        <w:t xml:space="preserve"> kaip nurodė gydytojas. Jeigu abejojate, kreipkitės į gydytoją arba vaistininką. </w:t>
      </w:r>
    </w:p>
    <w:p w:rsidR="007732E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Gydytojas pasakys, kaip ilgai vartoti vaist</w:t>
      </w:r>
      <w:r>
        <w:rPr>
          <w:rFonts w:ascii="Times New Roman" w:eastAsia="Times New Roman" w:hAnsi="Times New Roman" w:cs="Times New Roman"/>
          <w:sz w:val="22"/>
          <w:szCs w:val="22"/>
          <w:lang w:val="lt-LT"/>
        </w:rPr>
        <w:t>o</w:t>
      </w:r>
      <w:r w:rsidRPr="00EC0566">
        <w:rPr>
          <w:rFonts w:ascii="Times New Roman" w:eastAsia="Times New Roman" w:hAnsi="Times New Roman" w:cs="Times New Roman"/>
          <w:sz w:val="22"/>
          <w:szCs w:val="22"/>
          <w:lang w:val="lt-LT"/>
        </w:rPr>
        <w:t>.</w:t>
      </w:r>
    </w:p>
    <w:p w:rsidR="007732E6" w:rsidRPr="001C551B" w:rsidRDefault="007732E6" w:rsidP="007732E6">
      <w:pPr>
        <w:spacing w:after="0" w:line="24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lang w:val="lt-LT"/>
        </w:rPr>
        <w:t>Negalima staiga nutraukti gydymo, net jei būklė pagerėjo.</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Suaugu</w:t>
      </w:r>
      <w:r>
        <w:rPr>
          <w:rFonts w:ascii="Times New Roman" w:eastAsia="Times New Roman" w:hAnsi="Times New Roman" w:cs="Times New Roman"/>
          <w:sz w:val="22"/>
          <w:szCs w:val="22"/>
          <w:lang w:val="lt-LT"/>
        </w:rPr>
        <w:t>sie</w:t>
      </w:r>
      <w:r w:rsidRPr="00EC0566">
        <w:rPr>
          <w:rFonts w:ascii="Times New Roman" w:eastAsia="Times New Roman" w:hAnsi="Times New Roman" w:cs="Times New Roman"/>
          <w:sz w:val="22"/>
          <w:szCs w:val="22"/>
          <w:lang w:val="lt-LT"/>
        </w:rPr>
        <w:t>siems (taip pat senyviems žmonėms) ir vyresniems nei 1 metų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w:t>
      </w:r>
    </w:p>
    <w:p w:rsidR="007732E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Įprastinė dozė</w:t>
      </w:r>
      <w:r w:rsidRPr="00AF2CCF">
        <w:rPr>
          <w:rFonts w:ascii="Times New Roman" w:eastAsia="Times New Roman" w:hAnsi="Times New Roman" w:cs="Times New Roman"/>
          <w:sz w:val="22"/>
          <w:szCs w:val="22"/>
          <w:lang w:val="lt-LT"/>
        </w:rPr>
        <w:t>:</w:t>
      </w:r>
      <w:r w:rsidRPr="006A11C4">
        <w:rPr>
          <w:rFonts w:ascii="Times New Roman" w:eastAsia="Times New Roman" w:hAnsi="Times New Roman" w:cs="Times New Roman"/>
          <w:sz w:val="22"/>
          <w:szCs w:val="22"/>
          <w:lang w:val="lt-LT"/>
        </w:rPr>
        <w:t xml:space="preserve"> </w:t>
      </w:r>
      <w:r w:rsidRPr="00AF2CCF">
        <w:rPr>
          <w:rFonts w:ascii="Times New Roman" w:eastAsia="Times New Roman" w:hAnsi="Times New Roman" w:cs="Times New Roman"/>
          <w:sz w:val="22"/>
          <w:szCs w:val="22"/>
          <w:lang w:val="lt-LT"/>
        </w:rPr>
        <w:t>1</w:t>
      </w:r>
      <w:r>
        <w:rPr>
          <w:rFonts w:ascii="Times New Roman" w:eastAsia="Times New Roman" w:hAnsi="Times New Roman" w:cs="Times New Roman"/>
          <w:sz w:val="22"/>
          <w:szCs w:val="22"/>
          <w:lang w:val="lt-LT"/>
        </w:rPr>
        <w:t xml:space="preserve"> akių </w:t>
      </w:r>
      <w:r w:rsidRPr="00EC0566">
        <w:rPr>
          <w:rFonts w:ascii="Times New Roman" w:eastAsia="Times New Roman" w:hAnsi="Times New Roman" w:cs="Times New Roman"/>
          <w:sz w:val="22"/>
          <w:szCs w:val="22"/>
          <w:lang w:val="lt-LT"/>
        </w:rPr>
        <w:t>laša</w:t>
      </w:r>
      <w:r>
        <w:rPr>
          <w:rFonts w:ascii="Times New Roman" w:eastAsia="Times New Roman" w:hAnsi="Times New Roman" w:cs="Times New Roman"/>
          <w:sz w:val="22"/>
          <w:szCs w:val="22"/>
          <w:lang w:val="lt-LT"/>
        </w:rPr>
        <w:t>s</w:t>
      </w:r>
      <w:r w:rsidRPr="00EC0566">
        <w:rPr>
          <w:rFonts w:ascii="Times New Roman" w:eastAsia="Times New Roman" w:hAnsi="Times New Roman" w:cs="Times New Roman"/>
          <w:sz w:val="22"/>
          <w:szCs w:val="22"/>
          <w:lang w:val="lt-LT"/>
        </w:rPr>
        <w:t xml:space="preserve"> reguliariais intervalais kas keturias valandas.</w:t>
      </w:r>
    </w:p>
    <w:p w:rsidR="007732E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Sunkiai infekcinei ligai gydyti </w:t>
      </w:r>
      <w:r>
        <w:rPr>
          <w:rFonts w:ascii="Times New Roman" w:eastAsia="Times New Roman" w:hAnsi="Times New Roman" w:cs="Times New Roman"/>
          <w:sz w:val="22"/>
          <w:szCs w:val="22"/>
          <w:lang w:val="lt-LT"/>
        </w:rPr>
        <w:t>vartojami</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 xml:space="preserve">2 akių </w:t>
      </w:r>
      <w:r w:rsidRPr="00EC0566">
        <w:rPr>
          <w:rFonts w:ascii="Times New Roman" w:eastAsia="Times New Roman" w:hAnsi="Times New Roman" w:cs="Times New Roman"/>
          <w:sz w:val="22"/>
          <w:szCs w:val="22"/>
          <w:lang w:val="lt-LT"/>
        </w:rPr>
        <w:t xml:space="preserve">lašai į akių junginės maišelį kas valandą. Būklei pagerėjus, </w:t>
      </w:r>
      <w:r>
        <w:rPr>
          <w:rFonts w:ascii="Times New Roman" w:eastAsia="Times New Roman" w:hAnsi="Times New Roman" w:cs="Times New Roman"/>
          <w:sz w:val="22"/>
          <w:szCs w:val="22"/>
          <w:lang w:val="lt-LT"/>
        </w:rPr>
        <w:t>palaipsniui sumažinti vartojimo intervalus. Negalima staiga nutraukti gydymo.</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po tiek, jei gydytojas nenurodė kitaip. Į abi akis </w:t>
      </w: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tik, jei gydytojas taip paskyrė.</w:t>
      </w: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Įprastinė gydymo trukmė – 7±1 diena. </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Jei k</w:t>
      </w:r>
      <w:r w:rsidRPr="00EC0566">
        <w:rPr>
          <w:rFonts w:ascii="Times New Roman" w:eastAsia="Times New Roman" w:hAnsi="Times New Roman" w:cs="Times New Roman"/>
          <w:sz w:val="22"/>
          <w:szCs w:val="22"/>
          <w:lang w:val="lt-LT"/>
        </w:rPr>
        <w:t>artu vartojama kitokių akių lašų ar tepalo, tarp jų vartojimo reikia daryti mažiausiai 5 min. pertrauką. Akių tepalą reikia vartoti paskiausiai.</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galima vartoti tik ant akių.</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Vartojimas vaikams ir paaugliams</w:t>
      </w:r>
    </w:p>
    <w:p w:rsidR="007732E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1 metų ir vyresniems vaikams</w:t>
      </w:r>
      <w:r>
        <w:rPr>
          <w:rFonts w:ascii="Times New Roman" w:eastAsia="Times New Roman" w:hAnsi="Times New Roman" w:cs="Times New Roman"/>
          <w:sz w:val="22"/>
          <w:szCs w:val="22"/>
          <w:lang w:val="lt-LT"/>
        </w:rPr>
        <w:t xml:space="preserve"> ir paaugliams</w:t>
      </w:r>
      <w:r w:rsidRPr="00EC0566">
        <w:rPr>
          <w:rFonts w:ascii="Times New Roman" w:eastAsia="Times New Roman" w:hAnsi="Times New Roman" w:cs="Times New Roman"/>
          <w:sz w:val="22"/>
          <w:szCs w:val="22"/>
          <w:lang w:val="lt-LT"/>
        </w:rPr>
        <w:t xml:space="preserve"> Tobrex akių lašus galima vartoti tokiomis pačiomis dozėmis, kaip ir suaugusiesiems.</w:t>
      </w:r>
      <w:r>
        <w:rPr>
          <w:rFonts w:ascii="Times New Roman" w:eastAsia="Times New Roman" w:hAnsi="Times New Roman" w:cs="Times New Roman"/>
          <w:sz w:val="22"/>
          <w:szCs w:val="22"/>
          <w:lang w:val="lt-LT"/>
        </w:rPr>
        <w:t xml:space="preserve"> Kadangi Tobrex sudėtyje yra boro, didžiausia leistina suminė dozė ant abiejų akių vaikams nuo 1 iki &lt; 2 metų yra 14 akių lašų per parą, o nuo 2 iki &lt; 12 metų – 46 akių lašai per parą.</w:t>
      </w:r>
    </w:p>
    <w:p w:rsidR="007732E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Šio vaisto veiksmingumas ir saugumas jaunesniems kaip </w:t>
      </w:r>
      <w:r>
        <w:rPr>
          <w:rFonts w:ascii="Times New Roman" w:eastAsia="Times New Roman" w:hAnsi="Times New Roman" w:cs="Times New Roman"/>
          <w:sz w:val="22"/>
          <w:szCs w:val="22"/>
          <w:lang w:val="lt-LT"/>
        </w:rPr>
        <w:t>1</w:t>
      </w:r>
      <w:r w:rsidRPr="00EC0566">
        <w:rPr>
          <w:rFonts w:ascii="Times New Roman" w:eastAsia="Times New Roman" w:hAnsi="Times New Roman" w:cs="Times New Roman"/>
          <w:sz w:val="22"/>
          <w:szCs w:val="22"/>
          <w:lang w:val="lt-LT"/>
        </w:rPr>
        <w:t> </w:t>
      </w:r>
      <w:r>
        <w:rPr>
          <w:rFonts w:ascii="Times New Roman" w:eastAsia="Times New Roman" w:hAnsi="Times New Roman" w:cs="Times New Roman"/>
          <w:sz w:val="22"/>
          <w:szCs w:val="22"/>
          <w:lang w:val="lt-LT"/>
        </w:rPr>
        <w:t xml:space="preserve">metų </w:t>
      </w:r>
      <w:r w:rsidRPr="00EC0566">
        <w:rPr>
          <w:rFonts w:ascii="Times New Roman" w:eastAsia="Times New Roman" w:hAnsi="Times New Roman" w:cs="Times New Roman"/>
          <w:sz w:val="22"/>
          <w:szCs w:val="22"/>
          <w:lang w:val="lt-LT"/>
        </w:rPr>
        <w:t>vaikams nenustatytas</w:t>
      </w:r>
      <w:r>
        <w:rPr>
          <w:rFonts w:ascii="Times New Roman" w:eastAsia="Times New Roman" w:hAnsi="Times New Roman" w:cs="Times New Roman"/>
          <w:sz w:val="22"/>
          <w:szCs w:val="22"/>
          <w:lang w:val="lt-LT"/>
        </w:rPr>
        <w:t>.</w:t>
      </w:r>
    </w:p>
    <w:p w:rsidR="007732E6" w:rsidRDefault="007732E6" w:rsidP="007732E6">
      <w:pPr>
        <w:spacing w:after="0" w:line="240" w:lineRule="auto"/>
        <w:rPr>
          <w:rFonts w:ascii="Times New Roman" w:eastAsia="Times New Roman" w:hAnsi="Times New Roman" w:cs="Times New Roman"/>
          <w:sz w:val="22"/>
          <w:szCs w:val="22"/>
          <w:lang w:val="lt-LT"/>
        </w:rPr>
      </w:pPr>
      <w:r w:rsidRPr="00D17A0E">
        <w:rPr>
          <w:rFonts w:ascii="Times New Roman" w:eastAsia="Times New Roman" w:hAnsi="Times New Roman" w:cs="Times New Roman"/>
          <w:sz w:val="22"/>
          <w:szCs w:val="22"/>
          <w:lang w:val="lt-LT"/>
        </w:rPr>
        <w:t>Jeigu kiltų daugiau klausimų dėl šio vaisto vartojimo, kreipkitės į gydytoją</w:t>
      </w:r>
      <w:r>
        <w:rPr>
          <w:rFonts w:ascii="Times New Roman" w:eastAsia="Times New Roman" w:hAnsi="Times New Roman" w:cs="Times New Roman"/>
          <w:sz w:val="22"/>
          <w:szCs w:val="22"/>
          <w:lang w:val="lt-LT"/>
        </w:rPr>
        <w:t>.</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Pacientams, kurių kepenų ir inkstų funkcija sutrikusi</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Šių pacientų gydymas Tobrex akių lašais netirtas. Akims vartojamo tobramicino sisteminė absorbcija yra labai maža. Jei tuo pačiu metu gydoma </w:t>
      </w:r>
      <w:r>
        <w:rPr>
          <w:rFonts w:ascii="Times New Roman" w:eastAsia="Times New Roman" w:hAnsi="Times New Roman" w:cs="Times New Roman"/>
          <w:sz w:val="22"/>
          <w:szCs w:val="22"/>
          <w:lang w:val="lt-LT"/>
        </w:rPr>
        <w:t>sisteminio</w:t>
      </w:r>
      <w:r w:rsidRPr="00EC0566">
        <w:rPr>
          <w:rFonts w:ascii="Times New Roman" w:eastAsia="Times New Roman" w:hAnsi="Times New Roman" w:cs="Times New Roman"/>
          <w:sz w:val="22"/>
          <w:szCs w:val="22"/>
          <w:lang w:val="lt-LT"/>
        </w:rPr>
        <w:t xml:space="preserve"> poveikio aminoglikozidų grupės antibiotikais, reikėtų matuoti bendrąją jų koncentraciją serume, kad būtų galima palaikyti tinkamą gydomąją koncentraciją.</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Pavartojus</w:t>
      </w:r>
      <w:r w:rsidRPr="00EC0566">
        <w:rPr>
          <w:rFonts w:ascii="Times New Roman" w:eastAsia="Times New Roman" w:hAnsi="Times New Roman" w:cs="Times New Roman"/>
          <w:sz w:val="22"/>
          <w:szCs w:val="22"/>
          <w:lang w:val="lt-LT"/>
        </w:rPr>
        <w:t xml:space="preserve"> vaisto rekomenduojama užsimerkti ir užspausti nosinį ašarų kanalą. Tai gali sumažinti vaisto absorbciją ir </w:t>
      </w:r>
      <w:r>
        <w:rPr>
          <w:rFonts w:ascii="Times New Roman" w:eastAsia="Times New Roman" w:hAnsi="Times New Roman" w:cs="Times New Roman"/>
          <w:sz w:val="22"/>
          <w:szCs w:val="22"/>
          <w:lang w:val="lt-LT"/>
        </w:rPr>
        <w:t>sisteminį</w:t>
      </w:r>
      <w:r w:rsidRPr="00EC0566">
        <w:rPr>
          <w:rFonts w:ascii="Times New Roman" w:eastAsia="Times New Roman" w:hAnsi="Times New Roman" w:cs="Times New Roman"/>
          <w:sz w:val="22"/>
          <w:szCs w:val="22"/>
          <w:lang w:val="lt-LT"/>
        </w:rPr>
        <w:t xml:space="preserve"> šalutinį poveikį.</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skirtas tik Jūsų akims.</w:t>
      </w:r>
    </w:p>
    <w:p w:rsidR="007732E6" w:rsidRDefault="007732E6" w:rsidP="007732E6">
      <w:pPr>
        <w:spacing w:after="0" w:line="240" w:lineRule="auto"/>
        <w:rPr>
          <w:rFonts w:ascii="Times New Roman" w:eastAsia="Times New Roman" w:hAnsi="Times New Roman" w:cs="Times New Roman"/>
          <w:sz w:val="22"/>
          <w:szCs w:val="22"/>
          <w:lang w:val="lt-LT"/>
        </w:rPr>
      </w:pPr>
    </w:p>
    <w:p w:rsidR="007732E6" w:rsidRPr="009E7DE7" w:rsidRDefault="007732E6" w:rsidP="007732E6">
      <w:pPr>
        <w:spacing w:after="0" w:line="240" w:lineRule="auto"/>
        <w:rPr>
          <w:rFonts w:ascii="Times New Roman" w:eastAsia="Times New Roman" w:hAnsi="Times New Roman" w:cs="Times New Roman"/>
          <w:b/>
          <w:sz w:val="22"/>
          <w:szCs w:val="22"/>
          <w:lang w:val="lt-LT"/>
        </w:rPr>
      </w:pPr>
      <w:r w:rsidRPr="009E7DE7">
        <w:rPr>
          <w:rFonts w:ascii="Times New Roman" w:eastAsia="Times New Roman" w:hAnsi="Times New Roman" w:cs="Times New Roman"/>
          <w:b/>
          <w:sz w:val="22"/>
          <w:szCs w:val="22"/>
          <w:lang w:val="lt-LT"/>
        </w:rPr>
        <w:t>Vartojimo metodas</w:t>
      </w:r>
      <w:r>
        <w:rPr>
          <w:rFonts w:ascii="Times New Roman" w:eastAsia="Times New Roman" w:hAnsi="Times New Roman" w:cs="Times New Roman"/>
          <w:b/>
          <w:i/>
          <w:noProof/>
          <w:sz w:val="22"/>
          <w:szCs w:val="22"/>
          <w:lang w:val="lt-L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3pt;margin-top:37.35pt;width:89.6pt;height:90.25pt;z-index:-251653120;visibility:visible;mso-wrap-edited:f;mso-position-horizontal-relative:text;mso-position-vertical-relative:text" wrapcoords="-140 0 -140 21461 21600 21461 21600 0 -140 0" o:allowincell="f" fillcolor="window">
            <v:imagedata r:id="rId5" o:title=""/>
          </v:shape>
          <o:OLEObject Type="Embed" ProgID="Word.Picture.8" ShapeID="_x0000_s1026" DrawAspect="Content" ObjectID="_1800791589" r:id="rId6"/>
        </w:objec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z w:val="22"/>
          <w:szCs w:val="22"/>
          <w:lang w:val="lt-LT" w:eastAsia="lt-LT"/>
        </w:rPr>
        <w:drawing>
          <wp:anchor distT="0" distB="0" distL="114300" distR="114300" simplePos="0" relativeHeight="251662336" behindDoc="0" locked="0" layoutInCell="0" allowOverlap="1" wp14:anchorId="692F34EB" wp14:editId="530E14AE">
            <wp:simplePos x="0" y="0"/>
            <wp:positionH relativeFrom="column">
              <wp:posOffset>4951730</wp:posOffset>
            </wp:positionH>
            <wp:positionV relativeFrom="paragraph">
              <wp:posOffset>294640</wp:posOffset>
            </wp:positionV>
            <wp:extent cx="1005840" cy="1002030"/>
            <wp:effectExtent l="19050" t="0" r="3810" b="0"/>
            <wp:wrapTopAndBottom/>
            <wp:docPr id="1" name="Picture 1"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ict7"/>
                    <pic:cNvPicPr>
                      <a:picLocks noChangeAspect="1" noChangeArrowheads="1"/>
                    </pic:cNvPicPr>
                  </pic:nvPicPr>
                  <pic:blipFill>
                    <a:blip r:embed="rId7" cstate="print"/>
                    <a:srcRect/>
                    <a:stretch>
                      <a:fillRect/>
                    </a:stretch>
                  </pic:blipFill>
                  <pic:spPr bwMode="auto">
                    <a:xfrm>
                      <a:off x="0" y="0"/>
                      <a:ext cx="1005840" cy="1002030"/>
                    </a:xfrm>
                    <a:prstGeom prst="rect">
                      <a:avLst/>
                    </a:prstGeom>
                    <a:noFill/>
                    <a:ln w="9525">
                      <a:noFill/>
                      <a:miter lim="800000"/>
                      <a:headEnd/>
                      <a:tailEnd/>
                    </a:ln>
                  </pic:spPr>
                </pic:pic>
              </a:graphicData>
            </a:graphic>
          </wp:anchor>
        </w:drawing>
      </w:r>
      <w:r w:rsidRPr="00EC0566">
        <w:rPr>
          <w:rFonts w:ascii="Times New Roman" w:eastAsia="Times New Roman" w:hAnsi="Times New Roman" w:cs="Times New Roman"/>
          <w:noProof/>
          <w:sz w:val="22"/>
          <w:szCs w:val="22"/>
          <w:lang w:val="lt-LT" w:eastAsia="lt-LT"/>
        </w:rPr>
        <w:drawing>
          <wp:anchor distT="0" distB="0" distL="114300" distR="114300" simplePos="0" relativeHeight="251659264" behindDoc="1" locked="0" layoutInCell="0" allowOverlap="1" wp14:anchorId="5E3C33F8" wp14:editId="46A2AC5A">
            <wp:simplePos x="0" y="0"/>
            <wp:positionH relativeFrom="column">
              <wp:posOffset>1385570</wp:posOffset>
            </wp:positionH>
            <wp:positionV relativeFrom="paragraph">
              <wp:posOffset>34925</wp:posOffset>
            </wp:positionV>
            <wp:extent cx="1828800" cy="1503045"/>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srcRect/>
                    <a:stretch>
                      <a:fillRect/>
                    </a:stretch>
                  </pic:blipFill>
                  <pic:spPr bwMode="auto">
                    <a:xfrm>
                      <a:off x="0" y="0"/>
                      <a:ext cx="1828800" cy="1503045"/>
                    </a:xfrm>
                    <a:prstGeom prst="rect">
                      <a:avLst/>
                    </a:prstGeom>
                    <a:noFill/>
                    <a:ln w="9525">
                      <a:noFill/>
                      <a:miter lim="800000"/>
                      <a:headEnd/>
                      <a:tailEnd/>
                    </a:ln>
                  </pic:spPr>
                </pic:pic>
              </a:graphicData>
            </a:graphic>
          </wp:anchor>
        </w:drawing>
      </w:r>
      <w:r w:rsidRPr="00EC0566">
        <w:rPr>
          <w:rFonts w:ascii="Times New Roman" w:eastAsia="Times New Roman" w:hAnsi="Times New Roman" w:cs="Times New Roman"/>
          <w:noProof/>
          <w:sz w:val="22"/>
          <w:szCs w:val="22"/>
          <w:lang w:val="lt-LT" w:eastAsia="lt-LT"/>
        </w:rPr>
        <w:drawing>
          <wp:anchor distT="0" distB="0" distL="114300" distR="114300" simplePos="0" relativeHeight="251660288" behindDoc="1" locked="0" layoutInCell="0" allowOverlap="1" wp14:anchorId="69BACAD1" wp14:editId="3E0390C3">
            <wp:simplePos x="0" y="0"/>
            <wp:positionH relativeFrom="column">
              <wp:posOffset>3122930</wp:posOffset>
            </wp:positionH>
            <wp:positionV relativeFrom="paragraph">
              <wp:posOffset>127635</wp:posOffset>
            </wp:positionV>
            <wp:extent cx="1737360" cy="1370330"/>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1737360" cy="1370330"/>
                    </a:xfrm>
                    <a:prstGeom prst="rect">
                      <a:avLst/>
                    </a:prstGeom>
                    <a:noFill/>
                  </pic:spPr>
                </pic:pic>
              </a:graphicData>
            </a:graphic>
          </wp:anchor>
        </w:drawing>
      </w:r>
      <w:r w:rsidRPr="00EC0566">
        <w:rPr>
          <w:rFonts w:ascii="Times New Roman" w:eastAsia="Times New Roman" w:hAnsi="Times New Roman" w:cs="Times New Roman"/>
          <w:noProof/>
          <w:sz w:val="22"/>
          <w:szCs w:val="22"/>
          <w:lang w:val="lt-LT" w:eastAsia="lt-LT"/>
        </w:rPr>
        <w:drawing>
          <wp:anchor distT="0" distB="0" distL="114300" distR="114300" simplePos="0" relativeHeight="251661312" behindDoc="0" locked="0" layoutInCell="0" allowOverlap="1" wp14:anchorId="29D564B4" wp14:editId="7A851B63">
            <wp:simplePos x="0" y="0"/>
            <wp:positionH relativeFrom="column">
              <wp:posOffset>4951730</wp:posOffset>
            </wp:positionH>
            <wp:positionV relativeFrom="paragraph">
              <wp:posOffset>144780</wp:posOffset>
            </wp:positionV>
            <wp:extent cx="1005840" cy="1002030"/>
            <wp:effectExtent l="19050" t="0" r="3810" b="0"/>
            <wp:wrapTopAndBottom/>
            <wp:docPr id="4" name="Picture 4"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ct7"/>
                    <pic:cNvPicPr>
                      <a:picLocks noChangeAspect="1" noChangeArrowheads="1"/>
                    </pic:cNvPicPr>
                  </pic:nvPicPr>
                  <pic:blipFill>
                    <a:blip r:embed="rId7" cstate="print"/>
                    <a:srcRect/>
                    <a:stretch>
                      <a:fillRect/>
                    </a:stretch>
                  </pic:blipFill>
                  <pic:spPr bwMode="auto">
                    <a:xfrm>
                      <a:off x="0" y="0"/>
                      <a:ext cx="1005840" cy="1002030"/>
                    </a:xfrm>
                    <a:prstGeom prst="rect">
                      <a:avLst/>
                    </a:prstGeom>
                    <a:noFill/>
                    <a:ln w="9525">
                      <a:noFill/>
                      <a:miter lim="800000"/>
                      <a:headEnd/>
                      <a:tailEnd/>
                    </a:ln>
                  </pic:spPr>
                </pic:pic>
              </a:graphicData>
            </a:graphic>
          </wp:anchor>
        </w:drawing>
      </w:r>
    </w:p>
    <w:p w:rsidR="007732E6" w:rsidRPr="00EC0566" w:rsidRDefault="007732E6" w:rsidP="007732E6">
      <w:pPr>
        <w:widowControl w:val="0"/>
        <w:numPr>
          <w:ilvl w:val="12"/>
          <w:numId w:val="0"/>
        </w:numPr>
        <w:suppressAutoHyphens/>
        <w:spacing w:after="0" w:line="240" w:lineRule="auto"/>
        <w:ind w:right="-2"/>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b/>
        <w:t>1</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2</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3</w:t>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r>
      <w:r w:rsidRPr="00EC0566">
        <w:rPr>
          <w:rFonts w:ascii="Times New Roman" w:eastAsia="Times New Roman" w:hAnsi="Times New Roman" w:cs="Times New Roman"/>
          <w:sz w:val="22"/>
          <w:szCs w:val="22"/>
          <w:lang w:val="lt-LT"/>
        </w:rPr>
        <w:tab/>
        <w:t>4</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Paimkite Tobrex talpyklę ir veidrodį.</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Nusiplaukite rankas.</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Atsukite talpyklės dangtelį.</w:t>
      </w:r>
      <w:r w:rsidRPr="00EC0566">
        <w:rPr>
          <w:rFonts w:ascii="Times New Roman" w:eastAsia="Times New Roman" w:hAnsi="Times New Roman" w:cs="Times New Roman"/>
          <w:bCs/>
          <w:sz w:val="22"/>
          <w:szCs w:val="22"/>
          <w:lang w:val="lt-LT"/>
        </w:rPr>
        <w:t xml:space="preserve"> Pirmą kartą </w:t>
      </w:r>
      <w:r w:rsidRPr="00EC0566">
        <w:rPr>
          <w:rFonts w:ascii="Times New Roman" w:eastAsia="Times New Roman" w:hAnsi="Times New Roman" w:cs="Times New Roman"/>
          <w:sz w:val="22"/>
          <w:szCs w:val="22"/>
          <w:lang w:val="lt-LT"/>
        </w:rPr>
        <w:t>atidarę talpyklę nuimkite dangtelio žiedelį, jei jis atsilaisvina.</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Laikykite apverstą talpyklę vienos rankos nykščiu ir didžiuoju pirštu (1 pav.).</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Atloškite galvą. Kitos rankos smiliumi atsargiai patraukite žemyn apatinį voką, kad tarp voko ir akies obuolio susidarytų kišenėlė (2 pav.).</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Laikykite lašintuvo galą virš akies. Naudokitės veidrodžiu, jei tai padeda.</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Nelieskite lašintuvo galu akies, voko ar kito paviršiaus,</w:t>
      </w:r>
      <w:r w:rsidRPr="00EC0566">
        <w:rPr>
          <w:rFonts w:ascii="Times New Roman" w:eastAsia="Times New Roman" w:hAnsi="Times New Roman" w:cs="Times New Roman"/>
          <w:b/>
          <w:sz w:val="22"/>
          <w:szCs w:val="22"/>
          <w:lang w:val="lt-LT"/>
        </w:rPr>
        <w:t xml:space="preserve"> </w:t>
      </w:r>
      <w:r w:rsidRPr="00EC0566">
        <w:rPr>
          <w:rFonts w:ascii="Times New Roman" w:eastAsia="Times New Roman" w:hAnsi="Times New Roman" w:cs="Times New Roman"/>
          <w:sz w:val="22"/>
          <w:szCs w:val="22"/>
          <w:lang w:val="lt-LT"/>
        </w:rPr>
        <w:t>nes lašai gali užsiteršti.</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Lengvai paspauskite smiliumi talpyklės dugną, kad Tobrex laša</w:t>
      </w:r>
      <w:r>
        <w:rPr>
          <w:rFonts w:ascii="Times New Roman" w:eastAsia="Times New Roman" w:hAnsi="Times New Roman" w:cs="Times New Roman"/>
          <w:sz w:val="22"/>
          <w:szCs w:val="22"/>
          <w:lang w:val="lt-LT"/>
        </w:rPr>
        <w:t>s</w:t>
      </w:r>
      <w:r w:rsidRPr="00EC0566">
        <w:rPr>
          <w:rFonts w:ascii="Times New Roman" w:eastAsia="Times New Roman" w:hAnsi="Times New Roman" w:cs="Times New Roman"/>
          <w:sz w:val="22"/>
          <w:szCs w:val="22"/>
          <w:lang w:val="lt-LT"/>
        </w:rPr>
        <w:t xml:space="preserve"> įlašėtų į plyšį tarp akies ir apatinio voko (3 pav.).</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Atleiskite apatinį voką, užsimerkite ir nestipriai užspauskite pirštu akies kampą prie nosies (4 pav.), kad mažiau vaisto patektų į visą organizmą.</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Jei reikia, tokiu pačiu būdu </w:t>
      </w: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vaisto į kitą akį. </w:t>
      </w:r>
    </w:p>
    <w:p w:rsidR="007732E6" w:rsidRPr="00EC0566" w:rsidRDefault="007732E6" w:rsidP="007732E6">
      <w:pPr>
        <w:numPr>
          <w:ilvl w:val="0"/>
          <w:numId w:val="1"/>
        </w:numPr>
        <w:tabs>
          <w:tab w:val="clear" w:pos="360"/>
        </w:tabs>
        <w:spacing w:after="0" w:line="240" w:lineRule="auto"/>
        <w:ind w:left="567" w:hanging="567"/>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Uždėkite ir sandariai užsukite talpyklės dangtelį.</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Ką daryti pavartojus per didelę Tobrex dozę</w:t>
      </w:r>
    </w:p>
    <w:p w:rsidR="007732E6" w:rsidRPr="00EC0566" w:rsidRDefault="007732E6" w:rsidP="007732E6">
      <w:pPr>
        <w:spacing w:after="0" w:line="240" w:lineRule="auto"/>
        <w:jc w:val="both"/>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Tobrex akių lašų perteklių iš akies (akių) galima išplauti drungnu vandeniu. Vis dėlto šalutinis poveikis nėra tikėtinas. Daugiau produkto </w:t>
      </w:r>
      <w:r>
        <w:rPr>
          <w:rFonts w:ascii="Times New Roman" w:eastAsia="Times New Roman" w:hAnsi="Times New Roman" w:cs="Times New Roman"/>
          <w:sz w:val="22"/>
          <w:szCs w:val="22"/>
          <w:lang w:val="lt-LT"/>
        </w:rPr>
        <w:t>nevartokite</w:t>
      </w:r>
      <w:r w:rsidRPr="00EC0566">
        <w:rPr>
          <w:rFonts w:ascii="Times New Roman" w:eastAsia="Times New Roman" w:hAnsi="Times New Roman" w:cs="Times New Roman"/>
          <w:sz w:val="22"/>
          <w:szCs w:val="22"/>
          <w:lang w:val="lt-LT"/>
        </w:rPr>
        <w:t>, toliau vartokite įprastu laiku.</w:t>
      </w:r>
    </w:p>
    <w:p w:rsidR="007732E6" w:rsidRPr="00EC0566" w:rsidRDefault="007732E6" w:rsidP="007732E6">
      <w:pPr>
        <w:spacing w:after="0" w:line="220" w:lineRule="exact"/>
        <w:rPr>
          <w:rFonts w:ascii="Times New Roman" w:eastAsia="Times New Roman" w:hAnsi="Times New Roman" w:cs="Times New Roman"/>
          <w:b/>
          <w:bCs/>
          <w:sz w:val="22"/>
          <w:szCs w:val="22"/>
          <w:lang w:val="lt-LT"/>
        </w:rPr>
      </w:pPr>
    </w:p>
    <w:p w:rsidR="007732E6" w:rsidRPr="00EC0566" w:rsidRDefault="007732E6" w:rsidP="007732E6">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Pamiršus pavartoti Tobrex</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kai tik prisiminsite. Jei beveik atėjęs laikas vartoti vaistą kitą kartą, praleiskite užmirštąją dozę ir toliau vartokite įprastu laiku. Negalima vartoti dvigubos dozės norint kompensuoti praleistą dozę.</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Jei nepataikėte </w:t>
      </w:r>
      <w:r>
        <w:rPr>
          <w:rFonts w:ascii="Times New Roman" w:eastAsia="Times New Roman" w:hAnsi="Times New Roman" w:cs="Times New Roman"/>
          <w:sz w:val="22"/>
          <w:szCs w:val="22"/>
          <w:lang w:val="lt-LT"/>
        </w:rPr>
        <w:t>pavartoti</w:t>
      </w:r>
      <w:r w:rsidRPr="00EC0566">
        <w:rPr>
          <w:rFonts w:ascii="Times New Roman" w:eastAsia="Times New Roman" w:hAnsi="Times New Roman" w:cs="Times New Roman"/>
          <w:sz w:val="22"/>
          <w:szCs w:val="22"/>
          <w:lang w:val="lt-LT"/>
        </w:rPr>
        <w:t xml:space="preserve">, </w:t>
      </w:r>
      <w:r>
        <w:rPr>
          <w:rFonts w:ascii="Times New Roman" w:eastAsia="Times New Roman" w:hAnsi="Times New Roman" w:cs="Times New Roman"/>
          <w:sz w:val="22"/>
          <w:szCs w:val="22"/>
          <w:lang w:val="lt-LT"/>
        </w:rPr>
        <w:t>vartokite</w:t>
      </w:r>
      <w:r w:rsidRPr="00EC0566">
        <w:rPr>
          <w:rFonts w:ascii="Times New Roman" w:eastAsia="Times New Roman" w:hAnsi="Times New Roman" w:cs="Times New Roman"/>
          <w:sz w:val="22"/>
          <w:szCs w:val="22"/>
          <w:lang w:val="lt-LT"/>
        </w:rPr>
        <w:t xml:space="preserve"> dar kartą.</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Nustojus vartoti Tobrex</w:t>
      </w:r>
    </w:p>
    <w:p w:rsidR="007732E6" w:rsidRPr="00EC0566" w:rsidRDefault="007732E6" w:rsidP="007732E6">
      <w:pPr>
        <w:numPr>
          <w:ilvl w:val="12"/>
          <w:numId w:val="0"/>
        </w:numPr>
        <w:spacing w:after="0" w:line="240" w:lineRule="auto"/>
        <w:ind w:right="-29"/>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Jeigu kiltų daugiau klausimų dėl šio vaisto vartojimo, kreipkitės į gydytoją arba vaistininką.</w:t>
      </w: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4.</w:t>
      </w:r>
      <w:r w:rsidRPr="00EC0566">
        <w:rPr>
          <w:rFonts w:ascii="Times New Roman" w:eastAsia="Times New Roman" w:hAnsi="Times New Roman" w:cs="Times New Roman"/>
          <w:b/>
          <w:sz w:val="22"/>
          <w:szCs w:val="22"/>
          <w:lang w:val="lt-LT"/>
        </w:rPr>
        <w:tab/>
        <w:t>Galimas šalutinis poveikis</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Šis vaistas, kaip ir visi kiti, gali sukelti šalutinį poveikį, nors jis pasireiškia ne visiems žmonėms.</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autoSpaceDE w:val="0"/>
        <w:autoSpaceDN w:val="0"/>
        <w:adjustRightInd w:val="0"/>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z w:val="22"/>
          <w:szCs w:val="22"/>
          <w:lang w:val="lt-LT"/>
        </w:rPr>
        <w:t>Toliau išvardyti šalutiniai poveikiai pastebėti vartojant tobramicino akių lašus:</w:t>
      </w:r>
      <w:r w:rsidRPr="00EC0566">
        <w:rPr>
          <w:rFonts w:ascii="Times New Roman" w:eastAsia="Times New Roman" w:hAnsi="Times New Roman" w:cs="Times New Roman"/>
          <w:sz w:val="22"/>
          <w:szCs w:val="22"/>
          <w:lang w:val="lt-LT"/>
        </w:rPr>
        <w:t xml:space="preserve"> </w:t>
      </w:r>
    </w:p>
    <w:p w:rsidR="007732E6" w:rsidRPr="00EC0566" w:rsidRDefault="007732E6" w:rsidP="007732E6">
      <w:pPr>
        <w:tabs>
          <w:tab w:val="left" w:pos="567"/>
        </w:tabs>
        <w:spacing w:after="0" w:line="240" w:lineRule="auto"/>
        <w:rPr>
          <w:rFonts w:ascii="Times New Roman" w:eastAsia="Times New Roman" w:hAnsi="Times New Roman" w:cs="Times New Roman"/>
          <w:i/>
          <w:sz w:val="22"/>
          <w:szCs w:val="22"/>
          <w:lang w:val="lt-LT"/>
        </w:rPr>
      </w:pPr>
    </w:p>
    <w:p w:rsidR="007732E6" w:rsidRDefault="007732E6" w:rsidP="007732E6">
      <w:pPr>
        <w:widowControl w:val="0"/>
        <w:spacing w:after="0" w:line="240" w:lineRule="auto"/>
        <w:ind w:right="-2"/>
        <w:rPr>
          <w:rFonts w:ascii="Times New Roman" w:eastAsia="Times New Roman" w:hAnsi="Times New Roman" w:cs="Times New Roman"/>
          <w:b/>
          <w:bCs/>
          <w:noProof/>
          <w:snapToGrid w:val="0"/>
          <w:sz w:val="22"/>
          <w:szCs w:val="22"/>
          <w:lang w:val="lt-LT"/>
        </w:rPr>
      </w:pPr>
      <w:r w:rsidRPr="007242CC">
        <w:rPr>
          <w:rFonts w:ascii="Times New Roman" w:eastAsia="Times New Roman" w:hAnsi="Times New Roman" w:cs="Times New Roman"/>
          <w:b/>
          <w:bCs/>
          <w:noProof/>
          <w:snapToGrid w:val="0"/>
          <w:sz w:val="22"/>
          <w:szCs w:val="22"/>
          <w:lang w:val="lt-LT"/>
        </w:rPr>
        <w:t>Dažni šalutinio poveikio reiškiniai (gali pasireikšti rečiau kaip 1 iš 10</w:t>
      </w:r>
      <w:r>
        <w:rPr>
          <w:rFonts w:ascii="Times New Roman" w:eastAsia="Times New Roman" w:hAnsi="Times New Roman" w:cs="Times New Roman"/>
          <w:b/>
          <w:bCs/>
          <w:noProof/>
          <w:snapToGrid w:val="0"/>
          <w:sz w:val="22"/>
          <w:szCs w:val="22"/>
          <w:lang w:val="lt-LT"/>
        </w:rPr>
        <w:t> </w:t>
      </w:r>
      <w:r w:rsidRPr="007242CC">
        <w:rPr>
          <w:rFonts w:ascii="Times New Roman" w:eastAsia="Times New Roman" w:hAnsi="Times New Roman" w:cs="Times New Roman"/>
          <w:b/>
          <w:bCs/>
          <w:noProof/>
          <w:snapToGrid w:val="0"/>
          <w:sz w:val="22"/>
          <w:szCs w:val="22"/>
          <w:lang w:val="lt-LT"/>
        </w:rPr>
        <w:t>asmenų)</w:t>
      </w:r>
      <w:r>
        <w:rPr>
          <w:rFonts w:ascii="Times New Roman" w:eastAsia="Times New Roman" w:hAnsi="Times New Roman" w:cs="Times New Roman"/>
          <w:b/>
          <w:bCs/>
          <w:noProof/>
          <w:snapToGrid w:val="0"/>
          <w:sz w:val="22"/>
          <w:szCs w:val="22"/>
          <w:lang w:val="lt-LT"/>
        </w:rPr>
        <w:t>:</w:t>
      </w:r>
    </w:p>
    <w:p w:rsidR="007732E6" w:rsidRPr="00EC0566" w:rsidRDefault="007732E6" w:rsidP="007732E6">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Akių sutrikimai: akies diskomfortas, akies paraudimas.</w:t>
      </w:r>
    </w:p>
    <w:p w:rsidR="007732E6" w:rsidRPr="00EC0566" w:rsidRDefault="007732E6" w:rsidP="007732E6">
      <w:pPr>
        <w:widowControl w:val="0"/>
        <w:spacing w:after="0" w:line="240" w:lineRule="auto"/>
        <w:ind w:right="-2"/>
        <w:rPr>
          <w:rFonts w:ascii="Times New Roman" w:eastAsia="Times New Roman" w:hAnsi="Times New Roman" w:cs="Times New Roman"/>
          <w:i/>
          <w:sz w:val="22"/>
          <w:szCs w:val="22"/>
          <w:lang w:val="lt-LT"/>
        </w:rPr>
      </w:pPr>
    </w:p>
    <w:p w:rsidR="007732E6" w:rsidRPr="00EC0566" w:rsidRDefault="007732E6" w:rsidP="007732E6">
      <w:pPr>
        <w:widowControl w:val="0"/>
        <w:spacing w:after="0" w:line="240" w:lineRule="auto"/>
        <w:ind w:right="-2"/>
        <w:rPr>
          <w:rFonts w:ascii="Times New Roman" w:eastAsia="Times New Roman" w:hAnsi="Times New Roman" w:cs="Times New Roman"/>
          <w:noProof/>
          <w:sz w:val="22"/>
          <w:szCs w:val="22"/>
          <w:lang w:val="lt-LT"/>
        </w:rPr>
      </w:pPr>
      <w:r w:rsidRPr="007242CC">
        <w:rPr>
          <w:rFonts w:ascii="Times New Roman" w:eastAsia="Times New Roman" w:hAnsi="Times New Roman" w:cs="Times New Roman"/>
          <w:b/>
          <w:bCs/>
          <w:noProof/>
          <w:snapToGrid w:val="0"/>
          <w:sz w:val="22"/>
          <w:szCs w:val="22"/>
          <w:lang w:val="lt-LT"/>
        </w:rPr>
        <w:t>Nedažni šalutinio poveikio reiškiniai (gali pasireikšti rečiau kaip 1 iš 100</w:t>
      </w:r>
      <w:r>
        <w:rPr>
          <w:rFonts w:ascii="Times New Roman" w:eastAsia="Times New Roman" w:hAnsi="Times New Roman" w:cs="Times New Roman"/>
          <w:b/>
          <w:bCs/>
          <w:noProof/>
          <w:snapToGrid w:val="0"/>
          <w:sz w:val="22"/>
          <w:szCs w:val="22"/>
          <w:lang w:val="lt-LT"/>
        </w:rPr>
        <w:t> </w:t>
      </w:r>
      <w:r w:rsidRPr="007242CC">
        <w:rPr>
          <w:rFonts w:ascii="Times New Roman" w:eastAsia="Times New Roman" w:hAnsi="Times New Roman" w:cs="Times New Roman"/>
          <w:b/>
          <w:bCs/>
          <w:noProof/>
          <w:snapToGrid w:val="0"/>
          <w:sz w:val="22"/>
          <w:szCs w:val="22"/>
          <w:lang w:val="lt-LT"/>
        </w:rPr>
        <w:t>asmenų):</w:t>
      </w:r>
    </w:p>
    <w:p w:rsidR="007732E6" w:rsidRPr="00EC0566" w:rsidRDefault="007732E6" w:rsidP="007732E6">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Akių sutrikimai: akies paviršiaus uždegimas, ragenos pažeidimas, regėjimo pablogėjimas, neryškus matymas, voko paraudimas, akies ir voko patinimas, akies skausmas, akies sausumas, išskyros iš akies, akies niežėjimas, neįprastas (svetimkūnio) jausmas akyje, padidėjęs ašarojimas.</w:t>
      </w:r>
    </w:p>
    <w:p w:rsidR="007732E6" w:rsidRPr="00EC0566" w:rsidRDefault="007732E6" w:rsidP="007732E6">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Bendrieji sutrikimai: alergija (padidėjęs jautrumas), galvos skausmas, dilgėlinė, odos uždegimas, sumažėjęs blakstienų augimas arba jų skaičius, odos pigmentacijos išnykimas, niežėjimas ir odos sausumas.</w:t>
      </w:r>
    </w:p>
    <w:p w:rsidR="007732E6" w:rsidRPr="00EC0566" w:rsidRDefault="007732E6" w:rsidP="007732E6">
      <w:pPr>
        <w:widowControl w:val="0"/>
        <w:autoSpaceDE w:val="0"/>
        <w:autoSpaceDN w:val="0"/>
        <w:adjustRightInd w:val="0"/>
        <w:spacing w:after="0" w:line="240" w:lineRule="auto"/>
        <w:rPr>
          <w:rFonts w:ascii="Times New Roman" w:eastAsia="Times New Roman" w:hAnsi="Times New Roman" w:cs="Times New Roman"/>
          <w:i/>
          <w:sz w:val="22"/>
          <w:szCs w:val="22"/>
          <w:lang w:val="lt-LT"/>
        </w:rPr>
      </w:pPr>
    </w:p>
    <w:p w:rsidR="007732E6" w:rsidRDefault="007732E6" w:rsidP="007732E6">
      <w:pPr>
        <w:widowControl w:val="0"/>
        <w:spacing w:after="0" w:line="240" w:lineRule="auto"/>
        <w:ind w:right="-2"/>
        <w:rPr>
          <w:rFonts w:ascii="Times New Roman" w:eastAsia="Times New Roman" w:hAnsi="Times New Roman" w:cs="Times New Roman"/>
          <w:b/>
          <w:bCs/>
          <w:noProof/>
          <w:snapToGrid w:val="0"/>
          <w:sz w:val="22"/>
          <w:szCs w:val="22"/>
          <w:lang w:val="lt-LT"/>
        </w:rPr>
      </w:pPr>
      <w:r w:rsidRPr="007242CC">
        <w:rPr>
          <w:rFonts w:ascii="Times New Roman" w:eastAsia="Times New Roman" w:hAnsi="Times New Roman" w:cs="Times New Roman"/>
          <w:b/>
          <w:bCs/>
          <w:noProof/>
          <w:snapToGrid w:val="0"/>
          <w:sz w:val="22"/>
          <w:szCs w:val="22"/>
          <w:lang w:val="lt-LT"/>
        </w:rPr>
        <w:t>Šalutini</w:t>
      </w:r>
      <w:r>
        <w:rPr>
          <w:rFonts w:ascii="Times New Roman" w:eastAsia="Times New Roman" w:hAnsi="Times New Roman" w:cs="Times New Roman"/>
          <w:b/>
          <w:bCs/>
          <w:noProof/>
          <w:snapToGrid w:val="0"/>
          <w:sz w:val="22"/>
          <w:szCs w:val="22"/>
          <w:lang w:val="lt-LT"/>
        </w:rPr>
        <w:t xml:space="preserve">o poveikio reiškiniai, kurių </w:t>
      </w:r>
      <w:r w:rsidRPr="007242CC">
        <w:rPr>
          <w:rFonts w:ascii="Times New Roman" w:eastAsia="Times New Roman" w:hAnsi="Times New Roman" w:cs="Times New Roman"/>
          <w:b/>
          <w:bCs/>
          <w:noProof/>
          <w:snapToGrid w:val="0"/>
          <w:sz w:val="22"/>
          <w:szCs w:val="22"/>
          <w:lang w:val="lt-LT"/>
        </w:rPr>
        <w:t>dažnis nežinomas (negali būti apskaičiuotas pagal turimus duomenis):</w:t>
      </w:r>
    </w:p>
    <w:p w:rsidR="007732E6" w:rsidRPr="00EC0566" w:rsidRDefault="007732E6" w:rsidP="007732E6">
      <w:pPr>
        <w:widowControl w:val="0"/>
        <w:spacing w:after="0" w:line="240" w:lineRule="auto"/>
        <w:ind w:right="-2"/>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Akių sutrikimai: akies alergija, akies sudirginimas, voko niežėjimas.</w:t>
      </w:r>
    </w:p>
    <w:p w:rsidR="007732E6" w:rsidRPr="00EC0566" w:rsidRDefault="007732E6" w:rsidP="007732E6">
      <w:pPr>
        <w:widowControl w:val="0"/>
        <w:numPr>
          <w:ilvl w:val="12"/>
          <w:numId w:val="0"/>
        </w:numPr>
        <w:suppressAutoHyphens/>
        <w:spacing w:after="0" w:line="240" w:lineRule="auto"/>
        <w:ind w:right="-29"/>
        <w:rPr>
          <w:rFonts w:ascii="Times New Roman" w:eastAsia="Times New Roman" w:hAnsi="Times New Roman" w:cs="Times New Roman"/>
          <w:sz w:val="22"/>
          <w:szCs w:val="22"/>
          <w:lang w:val="lt-LT"/>
        </w:rPr>
      </w:pPr>
      <w:r w:rsidRPr="00EC0566">
        <w:rPr>
          <w:rFonts w:ascii="Times New Roman" w:eastAsia="Times New Roman" w:hAnsi="Times New Roman" w:cs="Times New Roman"/>
          <w:noProof/>
          <w:sz w:val="22"/>
          <w:szCs w:val="22"/>
          <w:lang w:val="lt-LT"/>
        </w:rPr>
        <w:t>Bendrieji sutrikimai: sunki alerginė reakcija, sunkios odos reakcijos (</w:t>
      </w:r>
      <w:r w:rsidRPr="009E7DE7">
        <w:rPr>
          <w:rFonts w:ascii="Times New Roman" w:eastAsia="Times New Roman" w:hAnsi="Times New Roman" w:cs="Times New Roman"/>
          <w:i/>
          <w:noProof/>
          <w:sz w:val="22"/>
          <w:szCs w:val="22"/>
          <w:lang w:val="lt-LT"/>
        </w:rPr>
        <w:t>Strevens</w:t>
      </w:r>
      <w:r w:rsidRPr="009E7DE7">
        <w:rPr>
          <w:rFonts w:ascii="Times New Roman" w:eastAsia="Times New Roman" w:hAnsi="Times New Roman" w:cs="Times New Roman"/>
          <w:i/>
          <w:noProof/>
          <w:sz w:val="22"/>
          <w:szCs w:val="22"/>
          <w:lang w:val="lt-LT"/>
        </w:rPr>
        <w:noBreakHyphen/>
        <w:t>Johnson</w:t>
      </w:r>
      <w:r w:rsidRPr="00EC0566">
        <w:rPr>
          <w:rFonts w:ascii="Times New Roman" w:eastAsia="Times New Roman" w:hAnsi="Times New Roman" w:cs="Times New Roman"/>
          <w:noProof/>
          <w:sz w:val="22"/>
          <w:szCs w:val="22"/>
          <w:lang w:val="lt-LT"/>
        </w:rPr>
        <w:t xml:space="preserve"> sindromas ir daugiaformė eritema)</w:t>
      </w:r>
      <w:r w:rsidRPr="00EC0566">
        <w:rPr>
          <w:rFonts w:ascii="Times New Roman" w:eastAsia="Times New Roman" w:hAnsi="Times New Roman" w:cs="Times New Roman"/>
          <w:sz w:val="22"/>
          <w:szCs w:val="22"/>
          <w:lang w:val="lt-LT"/>
        </w:rPr>
        <w:t>.</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b/>
          <w:snapToGrid w:val="0"/>
          <w:sz w:val="22"/>
          <w:szCs w:val="22"/>
          <w:lang w:val="lt-LT"/>
        </w:rPr>
      </w:pPr>
      <w:r w:rsidRPr="00EC0566">
        <w:rPr>
          <w:rFonts w:ascii="Times New Roman" w:eastAsia="Times New Roman" w:hAnsi="Times New Roman" w:cs="Times New Roman"/>
          <w:b/>
          <w:noProof/>
          <w:snapToGrid w:val="0"/>
          <w:sz w:val="22"/>
          <w:szCs w:val="22"/>
          <w:lang w:val="lt-LT"/>
        </w:rPr>
        <w:t>Pranešimas apie šalutinį poveikį</w:t>
      </w:r>
    </w:p>
    <w:p w:rsidR="007732E6" w:rsidRPr="007242CC" w:rsidRDefault="007732E6" w:rsidP="007732E6">
      <w:pPr>
        <w:tabs>
          <w:tab w:val="left" w:pos="567"/>
        </w:tabs>
        <w:spacing w:line="260" w:lineRule="exact"/>
        <w:ind w:right="-1"/>
        <w:rPr>
          <w:rFonts w:ascii="Times New Roman" w:eastAsia="Times New Roman" w:hAnsi="Times New Roman" w:cs="Times New Roman"/>
          <w:snapToGrid w:val="0"/>
          <w:sz w:val="22"/>
          <w:lang w:val="lt-LT"/>
        </w:rPr>
      </w:pPr>
      <w:r w:rsidRPr="00EC0566">
        <w:rPr>
          <w:rFonts w:ascii="Times New Roman" w:eastAsia="Times New Roman" w:hAnsi="Times New Roman" w:cs="Times New Roman"/>
          <w:noProof/>
          <w:snapToGrid w:val="0"/>
          <w:sz w:val="22"/>
          <w:szCs w:val="22"/>
          <w:lang w:val="lt-LT"/>
        </w:rPr>
        <w:t>Jeigu pasireiškė šalutinis poveikis, įskaitant šiame lapelyje nenurodytą, pasakykite gydytojui arba vaistininkui</w:t>
      </w:r>
      <w:r w:rsidRPr="00EC0566">
        <w:rPr>
          <w:rFonts w:ascii="Times New Roman" w:eastAsia="Times New Roman" w:hAnsi="Times New Roman" w:cs="Times New Roman"/>
          <w:snapToGrid w:val="0"/>
          <w:sz w:val="22"/>
          <w:szCs w:val="22"/>
          <w:lang w:val="lt-LT"/>
        </w:rPr>
        <w:t>.</w:t>
      </w:r>
      <w:r w:rsidRPr="00EC0566">
        <w:rPr>
          <w:rFonts w:ascii="Times New Roman" w:eastAsia="Times New Roman" w:hAnsi="Times New Roman" w:cs="Times New Roman"/>
          <w:noProof/>
          <w:snapToGrid w:val="0"/>
          <w:sz w:val="22"/>
          <w:szCs w:val="22"/>
          <w:lang w:val="lt-LT"/>
        </w:rPr>
        <w:t xml:space="preserve"> </w:t>
      </w:r>
      <w:r w:rsidRPr="007242CC">
        <w:rPr>
          <w:rFonts w:ascii="Times New Roman" w:eastAsia="Times New Roman" w:hAnsi="Times New Roman" w:cs="Times New Roman"/>
          <w:snapToGrid w:val="0"/>
          <w:sz w:val="22"/>
          <w:lang w:val="lt-LT"/>
        </w:rPr>
        <w:t xml:space="preserve">Pranešimą apie šalutinį poveikį galite </w:t>
      </w:r>
      <w:r>
        <w:rPr>
          <w:rFonts w:ascii="Times New Roman" w:eastAsia="Times New Roman" w:hAnsi="Times New Roman" w:cs="Times New Roman"/>
          <w:snapToGrid w:val="0"/>
          <w:sz w:val="22"/>
          <w:lang w:val="lt-LT"/>
        </w:rPr>
        <w:t xml:space="preserve">užpildyti ir </w:t>
      </w:r>
      <w:r w:rsidRPr="007242CC">
        <w:rPr>
          <w:rFonts w:ascii="Times New Roman" w:eastAsia="Times New Roman" w:hAnsi="Times New Roman" w:cs="Times New Roman"/>
          <w:snapToGrid w:val="0"/>
          <w:sz w:val="22"/>
          <w:lang w:val="lt-LT"/>
        </w:rPr>
        <w:t xml:space="preserve">pateikti Valstybinės vaistų kontrolės tarnybos prie Lietuvos Respublikos sveikatos apsaugos ministerijos </w:t>
      </w:r>
      <w:r>
        <w:rPr>
          <w:rFonts w:ascii="Times New Roman" w:eastAsia="Times New Roman" w:hAnsi="Times New Roman" w:cs="Times New Roman"/>
          <w:snapToGrid w:val="0"/>
          <w:sz w:val="22"/>
          <w:lang w:val="lt-LT"/>
        </w:rPr>
        <w:t xml:space="preserve">tinklalapyje </w:t>
      </w:r>
      <w:hyperlink r:id="rId10" w:history="1">
        <w:r w:rsidRPr="008E7327">
          <w:rPr>
            <w:rStyle w:val="Hipersaitas"/>
            <w:rFonts w:ascii="Times New Roman" w:eastAsia="Times New Roman" w:hAnsi="Times New Roman" w:cs="Times New Roman"/>
            <w:snapToGrid w:val="0"/>
            <w:sz w:val="22"/>
            <w:lang w:val="lt-LT"/>
          </w:rPr>
          <w:t>https://vvkt.lrv.lt/lt/</w:t>
        </w:r>
      </w:hyperlink>
      <w:r>
        <w:rPr>
          <w:rFonts w:ascii="Times New Roman" w:eastAsia="Times New Roman" w:hAnsi="Times New Roman" w:cs="Times New Roman"/>
          <w:snapToGrid w:val="0"/>
          <w:sz w:val="22"/>
          <w:lang w:val="lt-LT"/>
        </w:rPr>
        <w:t xml:space="preserve"> </w:t>
      </w:r>
      <w:r w:rsidRPr="0039542F">
        <w:rPr>
          <w:rFonts w:ascii="Times New Roman" w:eastAsia="Times New Roman" w:hAnsi="Times New Roman" w:cs="Times New Roman"/>
          <w:snapToGrid w:val="0"/>
          <w:sz w:val="22"/>
          <w:lang w:val="lt-LT"/>
        </w:rPr>
        <w:t xml:space="preserve">nurodytais būdais arba paskambinti </w:t>
      </w:r>
      <w:r w:rsidRPr="007242CC">
        <w:rPr>
          <w:rFonts w:ascii="Times New Roman" w:eastAsia="Times New Roman" w:hAnsi="Times New Roman" w:cs="Times New Roman"/>
          <w:snapToGrid w:val="0"/>
          <w:sz w:val="22"/>
          <w:lang w:val="lt-LT"/>
        </w:rPr>
        <w:t>nemokamu telefonu 8 800 73 568. Pranešdami apie šalutinį poveikį galite mums padėti gauti daugiau informacijos apie šio vaisto saugumą.</w:t>
      </w:r>
    </w:p>
    <w:p w:rsidR="007732E6" w:rsidRPr="00EC0566" w:rsidRDefault="007732E6" w:rsidP="007732E6">
      <w:pPr>
        <w:tabs>
          <w:tab w:val="left" w:pos="567"/>
        </w:tabs>
        <w:spacing w:after="0" w:line="260" w:lineRule="exact"/>
        <w:rPr>
          <w:rFonts w:ascii="Times New Roman" w:eastAsia="Times New Roman" w:hAnsi="Times New Roman" w:cs="Times New Roman"/>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5.</w:t>
      </w:r>
      <w:r w:rsidRPr="00EC0566">
        <w:rPr>
          <w:rFonts w:ascii="Times New Roman" w:eastAsia="Times New Roman" w:hAnsi="Times New Roman" w:cs="Times New Roman"/>
          <w:b/>
          <w:sz w:val="22"/>
          <w:szCs w:val="22"/>
          <w:lang w:val="lt-LT"/>
        </w:rPr>
        <w:tab/>
        <w:t>Kaip laikyti Tobrex</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numPr>
          <w:ilvl w:val="12"/>
          <w:numId w:val="0"/>
        </w:numPr>
        <w:spacing w:after="0" w:line="240" w:lineRule="auto"/>
        <w:ind w:right="-2"/>
        <w:rPr>
          <w:rFonts w:ascii="Times New Roman" w:eastAsia="Times New Roman" w:hAnsi="Times New Roman" w:cs="Times New Roman"/>
          <w:snapToGrid w:val="0"/>
          <w:sz w:val="22"/>
          <w:szCs w:val="22"/>
          <w:lang w:val="lt-LT"/>
        </w:rPr>
      </w:pPr>
      <w:r w:rsidRPr="00EC0566">
        <w:rPr>
          <w:rFonts w:ascii="Times New Roman" w:eastAsia="Times New Roman" w:hAnsi="Times New Roman" w:cs="Times New Roman"/>
          <w:noProof/>
          <w:snapToGrid w:val="0"/>
          <w:sz w:val="22"/>
          <w:szCs w:val="22"/>
          <w:lang w:val="lt-LT"/>
        </w:rPr>
        <w:t>Šį vaistą laikykite vaikams nepastebimoje ir nepasiekiamoje vietoje.</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Pirmą kartą atidarius talpyklę, vaisto tinkamumo laikas </w:t>
      </w:r>
      <w:r w:rsidRPr="00EC0566">
        <w:rPr>
          <w:rFonts w:ascii="Times New Roman" w:eastAsia="Times New Roman" w:hAnsi="Times New Roman" w:cs="Times New Roman"/>
          <w:sz w:val="22"/>
          <w:szCs w:val="22"/>
          <w:lang w:val="lt-LT"/>
        </w:rPr>
        <w:noBreakHyphen/>
        <w:t xml:space="preserve"> </w:t>
      </w:r>
      <w:r>
        <w:rPr>
          <w:rFonts w:ascii="Times New Roman" w:eastAsia="Times New Roman" w:hAnsi="Times New Roman" w:cs="Times New Roman"/>
          <w:sz w:val="22"/>
          <w:szCs w:val="22"/>
          <w:lang w:val="lt-LT"/>
        </w:rPr>
        <w:t>4</w:t>
      </w:r>
      <w:r w:rsidRPr="00EC0566">
        <w:rPr>
          <w:rFonts w:ascii="Times New Roman" w:eastAsia="Times New Roman" w:hAnsi="Times New Roman" w:cs="Times New Roman"/>
          <w:sz w:val="22"/>
          <w:szCs w:val="22"/>
          <w:lang w:val="lt-LT"/>
        </w:rPr>
        <w:t> </w:t>
      </w:r>
      <w:r>
        <w:rPr>
          <w:rFonts w:ascii="Times New Roman" w:eastAsia="Times New Roman" w:hAnsi="Times New Roman" w:cs="Times New Roman"/>
          <w:sz w:val="22"/>
          <w:szCs w:val="22"/>
          <w:lang w:val="lt-LT"/>
        </w:rPr>
        <w:t>savaitės</w:t>
      </w:r>
      <w:r w:rsidRPr="00EC0566">
        <w:rPr>
          <w:rFonts w:ascii="Times New Roman" w:eastAsia="Times New Roman" w:hAnsi="Times New Roman" w:cs="Times New Roman"/>
          <w:sz w:val="22"/>
          <w:szCs w:val="22"/>
          <w:lang w:val="lt-LT"/>
        </w:rPr>
        <w:t>.</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Užsirašykite, kada atsukote talpyklę žemiau esančiame laukelyje:</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Atidaryta:</w:t>
      </w: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Laikyti ne aukštesnėje kaip 25 °C temperatūroje.</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Talpyklę laikyti sandarią.</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Ant dėžutės ir talpyklės po „EXP“ nurodytam tinkamumo laikui pasibaigus, šio vaisto vartoti negalima. Vaistas tinkamas vartoti iki paskutinės nurodyto mėnesio dienos.</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Vaistų negalima išmesti į kanalizaciją arba su buitinėmis atliekomis. Kaip išmesti nereikalingus vaistus, klauskite vaistininko. Šios priemonės padės apsaugoti aplinką.</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6.</w:t>
      </w:r>
      <w:r w:rsidRPr="00EC0566">
        <w:rPr>
          <w:rFonts w:ascii="Times New Roman" w:eastAsia="Times New Roman" w:hAnsi="Times New Roman" w:cs="Times New Roman"/>
          <w:b/>
          <w:sz w:val="22"/>
          <w:szCs w:val="22"/>
          <w:lang w:val="lt-LT"/>
        </w:rPr>
        <w:tab/>
        <w:t>Pakuotės turinys ir kita informacija</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spacing w:after="0" w:line="220" w:lineRule="exact"/>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Tobrex sudėtis</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Veiklioji medžiaga yra tobramicinas. Viename mililitre akių lašų yra 3 mg tobramicino.</w:t>
      </w:r>
    </w:p>
    <w:p w:rsidR="007732E6" w:rsidRPr="00EC0566" w:rsidRDefault="007732E6" w:rsidP="007732E6">
      <w:pPr>
        <w:numPr>
          <w:ilvl w:val="0"/>
          <w:numId w:val="3"/>
        </w:numPr>
        <w:spacing w:after="0" w:line="240" w:lineRule="auto"/>
        <w:ind w:left="567" w:hanging="567"/>
        <w:contextualSpacing/>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Pagalbinės medžiagos yra boro rūgštis (E284), bevandenis natrio sulfatas (E514), natrio chloridas, tiloksapolis, benzalkonio chloridas ir išgrynintasis vanduo. Be to, yra labai mažai natrio hidroksido ir</w:t>
      </w:r>
      <w:r>
        <w:rPr>
          <w:rFonts w:ascii="Times New Roman" w:eastAsia="Times New Roman" w:hAnsi="Times New Roman" w:cs="Times New Roman"/>
          <w:noProof/>
          <w:sz w:val="22"/>
          <w:szCs w:val="22"/>
          <w:lang w:val="lt-LT"/>
        </w:rPr>
        <w:t> </w:t>
      </w:r>
      <w:r w:rsidRPr="00EC0566">
        <w:rPr>
          <w:rFonts w:ascii="Times New Roman" w:eastAsia="Times New Roman" w:hAnsi="Times New Roman" w:cs="Times New Roman"/>
          <w:noProof/>
          <w:sz w:val="22"/>
          <w:szCs w:val="22"/>
          <w:lang w:val="lt-LT"/>
        </w:rPr>
        <w:t>(arba) sulfato rūgšties normaliam rūgštingumui (pH) palaikyti.</w:t>
      </w:r>
    </w:p>
    <w:p w:rsidR="007732E6" w:rsidRPr="00EC0566" w:rsidRDefault="007732E6" w:rsidP="007732E6">
      <w:pPr>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bCs/>
          <w:sz w:val="22"/>
          <w:szCs w:val="22"/>
          <w:lang w:val="lt-LT"/>
        </w:rPr>
        <w:t>Tobrex išvaizda ir kiekis pakuotėje</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Tobrex yra skaidrus, bespalvis, gelsvas arba rudas tirpalas, supilstytas į 5 ml plastiko talpykles su lašintuvu, užsuktas dangteliais, kurių negalima atsukti neatplėšus apsauginės juostelės.</w:t>
      </w:r>
    </w:p>
    <w:p w:rsidR="007732E6" w:rsidRPr="00EC0566" w:rsidRDefault="007732E6" w:rsidP="007732E6">
      <w:pPr>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Kartono dėžutėje yra viena 5 ml talpyklė su lašintuvu.</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spacing w:after="0" w:line="240" w:lineRule="auto"/>
        <w:rPr>
          <w:rFonts w:ascii="Times New Roman" w:eastAsia="Times New Roman" w:hAnsi="Times New Roman" w:cs="Times New Roman"/>
          <w:b/>
          <w:bCs/>
          <w:sz w:val="22"/>
          <w:szCs w:val="22"/>
          <w:lang w:val="lt-LT"/>
        </w:rPr>
      </w:pPr>
      <w:r w:rsidRPr="00EC0566">
        <w:rPr>
          <w:rFonts w:ascii="Times New Roman" w:eastAsia="Times New Roman" w:hAnsi="Times New Roman" w:cs="Times New Roman"/>
          <w:b/>
          <w:sz w:val="22"/>
          <w:szCs w:val="24"/>
          <w:lang w:val="lt-LT" w:eastAsia="lt-LT"/>
        </w:rPr>
        <w:t>Registruotojas</w:t>
      </w:r>
    </w:p>
    <w:p w:rsidR="007732E6" w:rsidRPr="00EC0566" w:rsidRDefault="007732E6" w:rsidP="007732E6">
      <w:pPr>
        <w:spacing w:after="0" w:line="240" w:lineRule="auto"/>
        <w:jc w:val="both"/>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 xml:space="preserve">SIA </w:t>
      </w:r>
      <w:r w:rsidRPr="00EC0566">
        <w:rPr>
          <w:rFonts w:ascii="Times New Roman" w:eastAsia="Times New Roman" w:hAnsi="Times New Roman" w:cs="Times New Roman"/>
          <w:snapToGrid w:val="0"/>
          <w:sz w:val="22"/>
          <w:szCs w:val="22"/>
          <w:lang w:val="et-EE"/>
        </w:rPr>
        <w:t>Novartis Baltics</w:t>
      </w:r>
    </w:p>
    <w:p w:rsidR="007732E6" w:rsidRPr="00EC0566" w:rsidRDefault="007732E6" w:rsidP="007732E6">
      <w:pPr>
        <w:spacing w:after="0" w:line="240" w:lineRule="auto"/>
        <w:jc w:val="both"/>
        <w:rPr>
          <w:rFonts w:ascii="Times New Roman" w:eastAsia="Times New Roman" w:hAnsi="Times New Roman" w:cs="Times New Roman"/>
          <w:sz w:val="22"/>
          <w:szCs w:val="22"/>
          <w:lang w:val="it-IT" w:eastAsia="et-EE"/>
        </w:rPr>
      </w:pPr>
      <w:r w:rsidRPr="00DC4248">
        <w:rPr>
          <w:rFonts w:ascii="Times New Roman" w:eastAsia="Times New Roman" w:hAnsi="Times New Roman" w:cs="Times New Roman"/>
          <w:sz w:val="22"/>
          <w:szCs w:val="22"/>
          <w:lang w:val="it-IT" w:eastAsia="et-EE"/>
        </w:rPr>
        <w:t>Skanstes iela 25</w:t>
      </w:r>
    </w:p>
    <w:p w:rsidR="007732E6" w:rsidRPr="00EC0566" w:rsidRDefault="007732E6" w:rsidP="007732E6">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LV</w:t>
      </w:r>
      <w:r>
        <w:rPr>
          <w:rFonts w:ascii="Times New Roman" w:eastAsia="Times New Roman" w:hAnsi="Times New Roman" w:cs="Times New Roman"/>
          <w:sz w:val="22"/>
          <w:szCs w:val="22"/>
          <w:lang w:val="it-IT" w:eastAsia="et-EE"/>
        </w:rPr>
        <w:t>–1013</w:t>
      </w:r>
      <w:r w:rsidRPr="00EC0566">
        <w:rPr>
          <w:rFonts w:ascii="Times New Roman" w:eastAsia="Times New Roman" w:hAnsi="Times New Roman" w:cs="Times New Roman"/>
          <w:sz w:val="22"/>
          <w:szCs w:val="22"/>
          <w:lang w:val="it-IT" w:eastAsia="et-EE"/>
        </w:rPr>
        <w:t>, R</w:t>
      </w:r>
      <w:r>
        <w:rPr>
          <w:rFonts w:ascii="Times New Roman" w:eastAsia="Times New Roman" w:hAnsi="Times New Roman" w:cs="Times New Roman"/>
          <w:sz w:val="22"/>
          <w:szCs w:val="22"/>
          <w:lang w:val="it-IT" w:eastAsia="et-EE"/>
        </w:rPr>
        <w:t>ī</w:t>
      </w:r>
      <w:r w:rsidRPr="00EC0566">
        <w:rPr>
          <w:rFonts w:ascii="Times New Roman" w:eastAsia="Times New Roman" w:hAnsi="Times New Roman" w:cs="Times New Roman"/>
          <w:sz w:val="22"/>
          <w:szCs w:val="22"/>
          <w:lang w:val="it-IT" w:eastAsia="et-EE"/>
        </w:rPr>
        <w:t>ga</w:t>
      </w:r>
    </w:p>
    <w:p w:rsidR="007732E6" w:rsidRPr="00EC0566" w:rsidRDefault="007732E6" w:rsidP="007732E6">
      <w:pPr>
        <w:widowControl w:val="0"/>
        <w:suppressLineNumbers/>
        <w:suppressAutoHyphens/>
        <w:spacing w:after="0" w:line="240" w:lineRule="auto"/>
        <w:rPr>
          <w:rFonts w:ascii="Times New Roman" w:eastAsia="Times New Roman" w:hAnsi="Times New Roman" w:cs="Times New Roman"/>
          <w:sz w:val="22"/>
          <w:szCs w:val="22"/>
          <w:lang w:val="it-IT" w:eastAsia="et-EE"/>
        </w:rPr>
      </w:pPr>
      <w:r w:rsidRPr="00EC0566">
        <w:rPr>
          <w:rFonts w:ascii="Times New Roman" w:eastAsia="Times New Roman" w:hAnsi="Times New Roman" w:cs="Times New Roman"/>
          <w:sz w:val="22"/>
          <w:szCs w:val="22"/>
          <w:lang w:val="it-IT" w:eastAsia="et-EE"/>
        </w:rPr>
        <w:t>Latvija</w:t>
      </w:r>
    </w:p>
    <w:p w:rsidR="007732E6" w:rsidRPr="00EC0566" w:rsidRDefault="007732E6" w:rsidP="007732E6">
      <w:pPr>
        <w:tabs>
          <w:tab w:val="left" w:pos="567"/>
          <w:tab w:val="left" w:pos="4820"/>
        </w:tabs>
        <w:spacing w:after="0" w:line="240" w:lineRule="auto"/>
        <w:rPr>
          <w:rFonts w:ascii="Times New Roman" w:eastAsia="Times New Roman" w:hAnsi="Times New Roman" w:cs="Times New Roman"/>
          <w:b/>
          <w:sz w:val="22"/>
          <w:szCs w:val="22"/>
          <w:lang w:val="lt-LT"/>
        </w:rPr>
      </w:pPr>
    </w:p>
    <w:p w:rsidR="007732E6" w:rsidRPr="00EC0566" w:rsidRDefault="007732E6" w:rsidP="007732E6">
      <w:pPr>
        <w:tabs>
          <w:tab w:val="left" w:pos="567"/>
          <w:tab w:val="left" w:pos="4820"/>
        </w:tabs>
        <w:spacing w:after="0" w:line="240" w:lineRule="auto"/>
        <w:rPr>
          <w:rFonts w:ascii="Times New Roman" w:eastAsia="Times New Roman" w:hAnsi="Times New Roman" w:cs="Times New Roman"/>
          <w:b/>
          <w:sz w:val="22"/>
          <w:szCs w:val="22"/>
          <w:lang w:val="lt-LT"/>
        </w:rPr>
      </w:pPr>
      <w:r w:rsidRPr="00EC0566">
        <w:rPr>
          <w:rFonts w:ascii="Times New Roman" w:eastAsia="Times New Roman" w:hAnsi="Times New Roman" w:cs="Times New Roman"/>
          <w:b/>
          <w:sz w:val="22"/>
          <w:szCs w:val="22"/>
          <w:lang w:val="lt-LT"/>
        </w:rPr>
        <w:t>Gamintojas</w:t>
      </w:r>
    </w:p>
    <w:p w:rsidR="007732E6" w:rsidRPr="007C1E71" w:rsidRDefault="007732E6" w:rsidP="007732E6">
      <w:pPr>
        <w:spacing w:after="0" w:line="240" w:lineRule="auto"/>
        <w:rPr>
          <w:rFonts w:ascii="Times New Roman" w:eastAsia="Times New Roman" w:hAnsi="Times New Roman" w:cs="Times New Roman"/>
          <w:sz w:val="22"/>
          <w:szCs w:val="22"/>
          <w:highlight w:val="lightGray"/>
          <w:lang w:val="lt-LT" w:bidi="lo-LA"/>
        </w:rPr>
      </w:pPr>
      <w:r w:rsidRPr="007C1E71">
        <w:rPr>
          <w:rFonts w:ascii="Times New Roman" w:eastAsia="Times New Roman" w:hAnsi="Times New Roman" w:cs="Times New Roman"/>
          <w:sz w:val="22"/>
          <w:szCs w:val="22"/>
          <w:highlight w:val="lightGray"/>
          <w:lang w:val="lt-LT" w:bidi="lo-LA"/>
        </w:rPr>
        <w:t>Siegfried El Masnou, S.A.</w:t>
      </w:r>
    </w:p>
    <w:p w:rsidR="007732E6" w:rsidRPr="007C1E71" w:rsidRDefault="007732E6" w:rsidP="007732E6">
      <w:pPr>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Camil Fabra 58</w:t>
      </w:r>
    </w:p>
    <w:p w:rsidR="007732E6" w:rsidRPr="007C1E71" w:rsidRDefault="007732E6" w:rsidP="007732E6">
      <w:pPr>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08320 El Masnou</w:t>
      </w:r>
    </w:p>
    <w:p w:rsidR="007732E6" w:rsidRPr="007C1E71" w:rsidRDefault="007732E6" w:rsidP="007732E6">
      <w:pPr>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Barcelona</w:t>
      </w:r>
    </w:p>
    <w:p w:rsidR="007732E6" w:rsidRPr="0055081E" w:rsidRDefault="007732E6" w:rsidP="007732E6">
      <w:pPr>
        <w:spacing w:after="0" w:line="240" w:lineRule="auto"/>
        <w:rPr>
          <w:rFonts w:ascii="Times New Roman" w:hAnsi="Times New Roman"/>
          <w:sz w:val="22"/>
          <w:lang w:val="lt-LT"/>
        </w:rPr>
      </w:pPr>
      <w:r w:rsidRPr="007C1E71">
        <w:rPr>
          <w:rFonts w:ascii="Times New Roman" w:hAnsi="Times New Roman"/>
          <w:sz w:val="22"/>
          <w:highlight w:val="lightGray"/>
          <w:lang w:val="lt-LT"/>
        </w:rPr>
        <w:t>Ispanija</w:t>
      </w:r>
    </w:p>
    <w:p w:rsidR="007732E6" w:rsidRPr="0055081E" w:rsidRDefault="007732E6" w:rsidP="007732E6">
      <w:pPr>
        <w:spacing w:after="0" w:line="240" w:lineRule="auto"/>
        <w:rPr>
          <w:rFonts w:ascii="Times New Roman" w:hAnsi="Times New Roman"/>
          <w:sz w:val="22"/>
          <w:lang w:val="lt-LT"/>
        </w:rPr>
      </w:pPr>
    </w:p>
    <w:p w:rsidR="007732E6" w:rsidRPr="0055081E" w:rsidRDefault="007732E6" w:rsidP="007732E6">
      <w:pPr>
        <w:tabs>
          <w:tab w:val="left" w:pos="567"/>
          <w:tab w:val="left" w:pos="4820"/>
        </w:tabs>
        <w:spacing w:after="0" w:line="240" w:lineRule="auto"/>
        <w:rPr>
          <w:rFonts w:ascii="Times New Roman" w:hAnsi="Times New Roman"/>
          <w:sz w:val="22"/>
          <w:lang w:val="lt-LT"/>
        </w:rPr>
      </w:pPr>
      <w:r w:rsidRPr="0055081E">
        <w:rPr>
          <w:rFonts w:ascii="Times New Roman" w:hAnsi="Times New Roman"/>
          <w:sz w:val="22"/>
          <w:lang w:val="lt-LT"/>
        </w:rPr>
        <w:t>arba</w:t>
      </w:r>
    </w:p>
    <w:p w:rsidR="007732E6" w:rsidRPr="0055081E" w:rsidRDefault="007732E6" w:rsidP="007732E6">
      <w:pPr>
        <w:tabs>
          <w:tab w:val="left" w:pos="567"/>
          <w:tab w:val="left" w:pos="4820"/>
        </w:tabs>
        <w:spacing w:after="0" w:line="240" w:lineRule="auto"/>
        <w:rPr>
          <w:rFonts w:ascii="Times New Roman" w:hAnsi="Times New Roman"/>
          <w:sz w:val="22"/>
          <w:lang w:val="lt-LT"/>
        </w:rPr>
      </w:pPr>
    </w:p>
    <w:p w:rsidR="007732E6" w:rsidRPr="007C1E71" w:rsidRDefault="007732E6" w:rsidP="007732E6">
      <w:pPr>
        <w:tabs>
          <w:tab w:val="left" w:pos="567"/>
          <w:tab w:val="left" w:pos="4820"/>
        </w:tabs>
        <w:spacing w:after="0" w:line="240" w:lineRule="auto"/>
        <w:rPr>
          <w:rFonts w:ascii="Times New Roman" w:hAnsi="Times New Roman"/>
          <w:sz w:val="22"/>
          <w:highlight w:val="lightGray"/>
          <w:lang w:val="lt-LT"/>
        </w:rPr>
      </w:pPr>
      <w:r w:rsidRPr="007C1E71">
        <w:rPr>
          <w:rFonts w:ascii="Times New Roman" w:hAnsi="Times New Roman"/>
          <w:sz w:val="22"/>
          <w:highlight w:val="lightGray"/>
        </w:rPr>
        <w:t>Novartis Manufacturing NV</w:t>
      </w:r>
    </w:p>
    <w:p w:rsidR="007732E6" w:rsidRPr="007C1E71" w:rsidRDefault="007732E6" w:rsidP="007732E6">
      <w:pPr>
        <w:tabs>
          <w:tab w:val="left" w:pos="567"/>
          <w:tab w:val="left" w:pos="4820"/>
        </w:tabs>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Rijksweg 14</w:t>
      </w:r>
    </w:p>
    <w:p w:rsidR="007732E6" w:rsidRPr="007C1E71" w:rsidRDefault="007732E6" w:rsidP="007732E6">
      <w:pPr>
        <w:tabs>
          <w:tab w:val="left" w:pos="567"/>
          <w:tab w:val="left" w:pos="4820"/>
        </w:tabs>
        <w:spacing w:after="0" w:line="240" w:lineRule="auto"/>
        <w:rPr>
          <w:rFonts w:ascii="Times New Roman" w:hAnsi="Times New Roman"/>
          <w:sz w:val="22"/>
          <w:highlight w:val="lightGray"/>
          <w:lang w:val="lt-LT"/>
        </w:rPr>
      </w:pPr>
      <w:r w:rsidRPr="007C1E71">
        <w:rPr>
          <w:rFonts w:ascii="Times New Roman" w:hAnsi="Times New Roman"/>
          <w:sz w:val="22"/>
          <w:highlight w:val="lightGray"/>
          <w:lang w:val="lt-LT"/>
        </w:rPr>
        <w:t>2870 Puurs</w:t>
      </w:r>
      <w:r w:rsidRPr="007C1E71">
        <w:rPr>
          <w:rFonts w:ascii="Times New Roman" w:hAnsi="Times New Roman"/>
          <w:sz w:val="22"/>
          <w:highlight w:val="lightGray"/>
        </w:rPr>
        <w:t>-Sint-Amands</w:t>
      </w:r>
    </w:p>
    <w:p w:rsidR="007732E6" w:rsidRPr="0055081E" w:rsidRDefault="007732E6" w:rsidP="007732E6">
      <w:pPr>
        <w:spacing w:after="0" w:line="240" w:lineRule="auto"/>
        <w:rPr>
          <w:rFonts w:ascii="Times New Roman" w:hAnsi="Times New Roman"/>
          <w:sz w:val="22"/>
          <w:lang w:val="lt-LT"/>
        </w:rPr>
      </w:pPr>
      <w:r w:rsidRPr="007C1E71">
        <w:rPr>
          <w:rFonts w:ascii="Times New Roman" w:hAnsi="Times New Roman"/>
          <w:sz w:val="22"/>
          <w:highlight w:val="lightGray"/>
          <w:lang w:val="lt-LT"/>
        </w:rPr>
        <w:t>Belgija</w:t>
      </w:r>
    </w:p>
    <w:p w:rsidR="007732E6" w:rsidRPr="0055081E" w:rsidRDefault="007732E6" w:rsidP="007732E6">
      <w:pPr>
        <w:spacing w:after="0" w:line="240" w:lineRule="auto"/>
        <w:rPr>
          <w:rFonts w:ascii="Times New Roman" w:hAnsi="Times New Roman"/>
          <w:sz w:val="22"/>
          <w:lang w:val="lt-LT"/>
        </w:rPr>
      </w:pPr>
    </w:p>
    <w:p w:rsidR="007732E6" w:rsidRPr="006A11C4" w:rsidRDefault="007732E6" w:rsidP="007732E6">
      <w:pPr>
        <w:spacing w:after="0" w:line="240" w:lineRule="auto"/>
        <w:rPr>
          <w:rFonts w:ascii="Times New Roman" w:eastAsia="Times New Roman" w:hAnsi="Times New Roman" w:cs="Times New Roman"/>
          <w:sz w:val="22"/>
          <w:szCs w:val="22"/>
          <w:lang w:val="lt-LT"/>
        </w:rPr>
      </w:pPr>
      <w:r w:rsidRPr="006A11C4">
        <w:rPr>
          <w:rFonts w:ascii="Times New Roman" w:eastAsia="Times New Roman" w:hAnsi="Times New Roman" w:cs="Times New Roman"/>
          <w:sz w:val="22"/>
          <w:szCs w:val="22"/>
          <w:lang w:val="lt-LT"/>
        </w:rPr>
        <w:t>arba</w:t>
      </w:r>
    </w:p>
    <w:p w:rsidR="007732E6" w:rsidRPr="006A11C4" w:rsidRDefault="007732E6" w:rsidP="007732E6">
      <w:pPr>
        <w:spacing w:after="0" w:line="240" w:lineRule="auto"/>
        <w:rPr>
          <w:rFonts w:ascii="Times New Roman" w:eastAsia="Times New Roman" w:hAnsi="Times New Roman" w:cs="Times New Roman"/>
          <w:sz w:val="22"/>
          <w:szCs w:val="22"/>
          <w:lang w:val="lt-LT"/>
        </w:rPr>
      </w:pPr>
    </w:p>
    <w:p w:rsidR="007732E6" w:rsidRPr="007C1E71" w:rsidRDefault="007732E6" w:rsidP="007732E6">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Novartis Pharma GmbH</w:t>
      </w:r>
    </w:p>
    <w:p w:rsidR="007732E6" w:rsidRPr="007C1E71" w:rsidRDefault="007732E6" w:rsidP="007732E6">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Roonstrasse 25</w:t>
      </w:r>
    </w:p>
    <w:p w:rsidR="007732E6" w:rsidRPr="007C1E71" w:rsidRDefault="007732E6" w:rsidP="007732E6">
      <w:pPr>
        <w:spacing w:after="0" w:line="240" w:lineRule="auto"/>
        <w:rPr>
          <w:rFonts w:ascii="Times New Roman" w:eastAsia="Times New Roman" w:hAnsi="Times New Roman" w:cs="Times New Roman"/>
          <w:sz w:val="22"/>
          <w:szCs w:val="22"/>
          <w:highlight w:val="lightGray"/>
          <w:lang w:val="lt-LT"/>
        </w:rPr>
      </w:pPr>
      <w:r w:rsidRPr="007C1E71">
        <w:rPr>
          <w:rFonts w:ascii="Times New Roman" w:eastAsia="Times New Roman" w:hAnsi="Times New Roman" w:cs="Times New Roman"/>
          <w:sz w:val="22"/>
          <w:szCs w:val="22"/>
          <w:highlight w:val="lightGray"/>
          <w:lang w:val="lt-LT"/>
        </w:rPr>
        <w:t>90429 Nürnberg</w:t>
      </w:r>
    </w:p>
    <w:p w:rsidR="007732E6" w:rsidRPr="00001E89" w:rsidRDefault="007732E6" w:rsidP="007732E6">
      <w:pPr>
        <w:spacing w:after="0" w:line="240" w:lineRule="auto"/>
        <w:rPr>
          <w:rFonts w:ascii="Times New Roman" w:eastAsia="Times New Roman" w:hAnsi="Times New Roman" w:cs="Times New Roman"/>
          <w:sz w:val="22"/>
          <w:szCs w:val="22"/>
          <w:lang w:val="lt-LT"/>
        </w:rPr>
      </w:pPr>
      <w:r w:rsidRPr="007C1E71">
        <w:rPr>
          <w:rFonts w:ascii="Times New Roman" w:eastAsia="Times New Roman" w:hAnsi="Times New Roman" w:cs="Times New Roman"/>
          <w:sz w:val="22"/>
          <w:szCs w:val="22"/>
          <w:highlight w:val="lightGray"/>
          <w:lang w:val="lt-LT"/>
        </w:rPr>
        <w:t>Vokietija</w:t>
      </w:r>
    </w:p>
    <w:p w:rsidR="007732E6" w:rsidRPr="00001E89" w:rsidRDefault="007732E6" w:rsidP="007732E6">
      <w:pPr>
        <w:spacing w:after="0" w:line="240" w:lineRule="auto"/>
        <w:rPr>
          <w:rFonts w:ascii="Times New Roman" w:eastAsia="Times New Roman" w:hAnsi="Times New Roman" w:cs="Times New Roman"/>
          <w:sz w:val="22"/>
          <w:szCs w:val="22"/>
          <w:lang w:val="lt-LT"/>
        </w:rPr>
      </w:pPr>
    </w:p>
    <w:p w:rsidR="007732E6" w:rsidRPr="00001E89" w:rsidRDefault="007732E6" w:rsidP="007732E6">
      <w:pPr>
        <w:spacing w:after="0" w:line="240" w:lineRule="auto"/>
        <w:rPr>
          <w:rFonts w:ascii="Times New Roman" w:eastAsia="Times New Roman" w:hAnsi="Times New Roman" w:cs="Times New Roman"/>
          <w:sz w:val="22"/>
          <w:szCs w:val="22"/>
          <w:lang w:val="lt-LT"/>
        </w:rPr>
      </w:pPr>
      <w:r w:rsidRPr="006A11C4">
        <w:rPr>
          <w:rFonts w:ascii="Times New Roman" w:eastAsia="Times New Roman" w:hAnsi="Times New Roman" w:cs="Times New Roman"/>
          <w:sz w:val="22"/>
          <w:szCs w:val="22"/>
          <w:lang w:val="lt-LT"/>
        </w:rPr>
        <w:t>arba</w:t>
      </w:r>
    </w:p>
    <w:p w:rsidR="007732E6" w:rsidRPr="00001E89" w:rsidRDefault="007732E6" w:rsidP="007732E6">
      <w:pPr>
        <w:spacing w:after="0" w:line="240" w:lineRule="auto"/>
        <w:rPr>
          <w:rFonts w:ascii="Times New Roman" w:eastAsia="Times New Roman" w:hAnsi="Times New Roman" w:cs="Times New Roman"/>
          <w:sz w:val="22"/>
          <w:szCs w:val="22"/>
          <w:lang w:val="lt-LT"/>
        </w:rPr>
      </w:pPr>
    </w:p>
    <w:p w:rsidR="007732E6" w:rsidRPr="00015523" w:rsidRDefault="007732E6" w:rsidP="007732E6">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Novartis Farmacéutica, S.A.</w:t>
      </w:r>
    </w:p>
    <w:p w:rsidR="007732E6" w:rsidRPr="00015523" w:rsidRDefault="007732E6" w:rsidP="007732E6">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Gran Via de les Corts Catalanes, 764</w:t>
      </w:r>
    </w:p>
    <w:p w:rsidR="007732E6" w:rsidRPr="00015523" w:rsidRDefault="007732E6" w:rsidP="007732E6">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08013 Barcelona</w:t>
      </w:r>
    </w:p>
    <w:p w:rsidR="007732E6" w:rsidRDefault="007732E6" w:rsidP="007732E6">
      <w:pPr>
        <w:spacing w:after="0" w:line="240" w:lineRule="auto"/>
        <w:rPr>
          <w:rFonts w:ascii="Times New Roman" w:eastAsia="Times New Roman" w:hAnsi="Times New Roman" w:cs="Times New Roman"/>
          <w:sz w:val="22"/>
          <w:szCs w:val="22"/>
          <w:lang w:val="lt-LT"/>
        </w:rPr>
      </w:pPr>
      <w:r w:rsidRPr="00015523">
        <w:rPr>
          <w:rFonts w:ascii="Times New Roman" w:eastAsia="Times New Roman" w:hAnsi="Times New Roman" w:cs="Times New Roman"/>
          <w:sz w:val="22"/>
          <w:szCs w:val="22"/>
          <w:lang w:val="lt-LT"/>
        </w:rPr>
        <w:t>Ispanija</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noProof/>
          <w:sz w:val="22"/>
          <w:szCs w:val="22"/>
          <w:lang w:val="lt-LT"/>
        </w:rPr>
        <w:t xml:space="preserve">Jeigu apie šį vaistą norite sužinoti daugiau, kreipkitės į vietinį </w:t>
      </w:r>
      <w:r w:rsidRPr="00EC0566">
        <w:rPr>
          <w:rFonts w:ascii="Times New Roman" w:eastAsia="MS Mincho" w:hAnsi="Times New Roman" w:cs="Times New Roman"/>
          <w:sz w:val="22"/>
          <w:szCs w:val="22"/>
          <w:lang w:val="lt-LT" w:eastAsia="lt-LT"/>
        </w:rPr>
        <w:t xml:space="preserve">registruotojo </w:t>
      </w:r>
      <w:r w:rsidRPr="00EC0566">
        <w:rPr>
          <w:rFonts w:ascii="Times New Roman" w:eastAsia="Times New Roman" w:hAnsi="Times New Roman" w:cs="Times New Roman"/>
          <w:noProof/>
          <w:sz w:val="22"/>
          <w:szCs w:val="22"/>
          <w:lang w:val="lt-LT"/>
        </w:rPr>
        <w:t>atstovą.</w:t>
      </w:r>
    </w:p>
    <w:p w:rsidR="007732E6" w:rsidRPr="00EC0566" w:rsidRDefault="007732E6" w:rsidP="007732E6">
      <w:pPr>
        <w:spacing w:after="0" w:line="240" w:lineRule="auto"/>
        <w:rPr>
          <w:rFonts w:ascii="Times New Roman" w:eastAsia="Times New Roman" w:hAnsi="Times New Roman" w:cs="Times New Roman"/>
          <w:sz w:val="22"/>
          <w:szCs w:val="22"/>
          <w:lang w:val="lt-LT"/>
        </w:rPr>
      </w:pPr>
    </w:p>
    <w:tbl>
      <w:tblPr>
        <w:tblW w:w="4678" w:type="dxa"/>
        <w:tblInd w:w="-34" w:type="dxa"/>
        <w:tblLayout w:type="fixed"/>
        <w:tblLook w:val="0000" w:firstRow="0" w:lastRow="0" w:firstColumn="0" w:lastColumn="0" w:noHBand="0" w:noVBand="0"/>
      </w:tblPr>
      <w:tblGrid>
        <w:gridCol w:w="4678"/>
      </w:tblGrid>
      <w:tr w:rsidR="007732E6" w:rsidRPr="00EC0566" w:rsidTr="00D75DC2">
        <w:tc>
          <w:tcPr>
            <w:tcW w:w="4678" w:type="dxa"/>
          </w:tcPr>
          <w:p w:rsidR="007732E6" w:rsidRPr="00EC0566" w:rsidRDefault="007732E6" w:rsidP="00D75DC2">
            <w:pPr>
              <w:tabs>
                <w:tab w:val="left" w:pos="567"/>
              </w:tabs>
              <w:spacing w:after="0" w:line="240" w:lineRule="auto"/>
              <w:rPr>
                <w:rFonts w:ascii="Times New Roman" w:eastAsia="Times New Roman" w:hAnsi="Times New Roman" w:cs="Times New Roman"/>
                <w:sz w:val="22"/>
                <w:szCs w:val="22"/>
                <w:lang w:val="lt-LT"/>
              </w:rPr>
            </w:pPr>
            <w:r w:rsidRPr="00EC0566">
              <w:rPr>
                <w:rFonts w:ascii="Times New Roman" w:eastAsia="Times New Roman" w:hAnsi="Times New Roman" w:cs="Times New Roman"/>
                <w:sz w:val="22"/>
                <w:szCs w:val="22"/>
                <w:lang w:val="lt-LT"/>
              </w:rPr>
              <w:t xml:space="preserve">SIA </w:t>
            </w:r>
            <w:r w:rsidRPr="00EC0566">
              <w:rPr>
                <w:rFonts w:ascii="Times New Roman" w:eastAsia="Times New Roman" w:hAnsi="Times New Roman" w:cs="Times New Roman"/>
                <w:sz w:val="22"/>
                <w:szCs w:val="22"/>
                <w:lang w:val="et-EE"/>
              </w:rPr>
              <w:t>Novartis Baltics</w:t>
            </w:r>
            <w:r>
              <w:rPr>
                <w:rFonts w:ascii="Times New Roman" w:eastAsia="Times New Roman" w:hAnsi="Times New Roman" w:cs="Times New Roman"/>
                <w:sz w:val="22"/>
                <w:szCs w:val="22"/>
                <w:lang w:val="et-EE"/>
              </w:rPr>
              <w:t xml:space="preserve"> </w:t>
            </w:r>
            <w:r w:rsidRPr="00EC0566">
              <w:rPr>
                <w:rFonts w:ascii="Times New Roman" w:eastAsia="Times New Roman" w:hAnsi="Times New Roman" w:cs="Times New Roman"/>
                <w:sz w:val="22"/>
                <w:szCs w:val="22"/>
                <w:lang w:val="lt-LT"/>
              </w:rPr>
              <w:t>Lietuvos filialas</w:t>
            </w:r>
          </w:p>
          <w:p w:rsidR="007732E6" w:rsidRPr="00EC0566" w:rsidRDefault="007732E6" w:rsidP="00D75DC2">
            <w:pPr>
              <w:tabs>
                <w:tab w:val="left" w:pos="567"/>
              </w:tabs>
              <w:spacing w:after="0" w:line="240" w:lineRule="auto"/>
              <w:rPr>
                <w:rFonts w:ascii="Times New Roman" w:eastAsia="Times New Roman" w:hAnsi="Times New Roman" w:cs="Times New Roman"/>
                <w:bCs/>
                <w:iCs/>
                <w:sz w:val="22"/>
                <w:szCs w:val="22"/>
                <w:lang w:val="lt-LT"/>
              </w:rPr>
            </w:pPr>
            <w:r>
              <w:rPr>
                <w:rFonts w:ascii="Times New Roman" w:eastAsia="Times New Roman" w:hAnsi="Times New Roman" w:cs="Times New Roman"/>
                <w:bCs/>
                <w:iCs/>
                <w:sz w:val="22"/>
                <w:szCs w:val="22"/>
                <w:lang w:val="lt-LT"/>
              </w:rPr>
              <w:t>Upės g. 19–1</w:t>
            </w:r>
          </w:p>
          <w:p w:rsidR="007732E6" w:rsidRPr="00EC0566" w:rsidRDefault="007732E6" w:rsidP="00D75DC2">
            <w:pPr>
              <w:tabs>
                <w:tab w:val="left" w:pos="567"/>
              </w:tabs>
              <w:spacing w:after="0" w:line="240" w:lineRule="auto"/>
              <w:rPr>
                <w:rFonts w:ascii="Times New Roman" w:eastAsia="Times New Roman" w:hAnsi="Times New Roman" w:cs="Times New Roman"/>
                <w:bCs/>
                <w:iCs/>
                <w:sz w:val="22"/>
                <w:szCs w:val="22"/>
                <w:lang w:val="lt-LT"/>
              </w:rPr>
            </w:pPr>
            <w:r w:rsidRPr="00EC0566">
              <w:rPr>
                <w:rFonts w:ascii="Times New Roman" w:eastAsia="Times New Roman" w:hAnsi="Times New Roman" w:cs="Times New Roman"/>
                <w:bCs/>
                <w:iCs/>
                <w:sz w:val="22"/>
                <w:szCs w:val="22"/>
                <w:lang w:val="lt-LT"/>
              </w:rPr>
              <w:t>LT</w:t>
            </w:r>
            <w:r>
              <w:rPr>
                <w:rFonts w:ascii="Times New Roman" w:eastAsia="Times New Roman" w:hAnsi="Times New Roman" w:cs="Times New Roman"/>
                <w:bCs/>
                <w:iCs/>
                <w:sz w:val="22"/>
                <w:szCs w:val="22"/>
                <w:lang w:val="lt-LT"/>
              </w:rPr>
              <w:t>–</w:t>
            </w:r>
            <w:r w:rsidRPr="00EC0566">
              <w:rPr>
                <w:rFonts w:ascii="Times New Roman" w:eastAsia="Times New Roman" w:hAnsi="Times New Roman" w:cs="Times New Roman"/>
                <w:bCs/>
                <w:iCs/>
                <w:sz w:val="22"/>
                <w:szCs w:val="22"/>
                <w:lang w:val="lt-LT"/>
              </w:rPr>
              <w:t>0</w:t>
            </w:r>
            <w:r>
              <w:rPr>
                <w:rFonts w:ascii="Times New Roman" w:eastAsia="Times New Roman" w:hAnsi="Times New Roman" w:cs="Times New Roman"/>
                <w:bCs/>
                <w:iCs/>
                <w:sz w:val="22"/>
                <w:szCs w:val="22"/>
                <w:lang w:val="lt-LT"/>
              </w:rPr>
              <w:t>8128</w:t>
            </w:r>
            <w:r w:rsidRPr="00D17A0E" w:rsidDel="00D17A0E">
              <w:rPr>
                <w:rFonts w:ascii="Times New Roman" w:eastAsia="Times New Roman" w:hAnsi="Times New Roman" w:cs="Times New Roman"/>
                <w:bCs/>
                <w:iCs/>
                <w:sz w:val="22"/>
                <w:szCs w:val="22"/>
                <w:lang w:val="lt-LT"/>
              </w:rPr>
              <w:t xml:space="preserve"> </w:t>
            </w:r>
            <w:r w:rsidRPr="00EC0566">
              <w:rPr>
                <w:rFonts w:ascii="Times New Roman" w:eastAsia="Times New Roman" w:hAnsi="Times New Roman" w:cs="Times New Roman"/>
                <w:bCs/>
                <w:iCs/>
                <w:sz w:val="22"/>
                <w:szCs w:val="22"/>
                <w:lang w:val="lt-LT"/>
              </w:rPr>
              <w:t>Vilnius</w:t>
            </w:r>
          </w:p>
          <w:p w:rsidR="007732E6" w:rsidRPr="00EC0566" w:rsidRDefault="007732E6" w:rsidP="00D75DC2">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bCs/>
                <w:iCs/>
                <w:sz w:val="22"/>
                <w:szCs w:val="22"/>
                <w:lang w:val="lt-LT"/>
              </w:rPr>
              <w:t>Tel. +370</w:t>
            </w:r>
            <w:r>
              <w:rPr>
                <w:rFonts w:ascii="Times New Roman" w:eastAsia="Times New Roman" w:hAnsi="Times New Roman" w:cs="Times New Roman"/>
                <w:bCs/>
                <w:iCs/>
                <w:sz w:val="22"/>
                <w:szCs w:val="22"/>
                <w:lang w:val="lt-LT"/>
              </w:rPr>
              <w:t> </w:t>
            </w:r>
            <w:r w:rsidRPr="00EC0566">
              <w:rPr>
                <w:rFonts w:ascii="Times New Roman" w:eastAsia="Times New Roman" w:hAnsi="Times New Roman" w:cs="Times New Roman"/>
                <w:bCs/>
                <w:iCs/>
                <w:sz w:val="22"/>
                <w:szCs w:val="22"/>
                <w:lang w:val="lt-LT"/>
              </w:rPr>
              <w:t>5</w:t>
            </w:r>
            <w:r>
              <w:rPr>
                <w:rFonts w:ascii="Times New Roman" w:eastAsia="Times New Roman" w:hAnsi="Times New Roman" w:cs="Times New Roman"/>
                <w:bCs/>
                <w:iCs/>
                <w:sz w:val="22"/>
                <w:szCs w:val="22"/>
                <w:lang w:val="lt-LT"/>
              </w:rPr>
              <w:t> </w:t>
            </w:r>
            <w:r w:rsidRPr="00EC0566">
              <w:rPr>
                <w:rFonts w:ascii="Times New Roman" w:eastAsia="Times New Roman" w:hAnsi="Times New Roman" w:cs="Times New Roman"/>
                <w:bCs/>
                <w:iCs/>
                <w:sz w:val="22"/>
                <w:szCs w:val="22"/>
                <w:lang w:val="lt-LT"/>
              </w:rPr>
              <w:t>269</w:t>
            </w:r>
            <w:r>
              <w:rPr>
                <w:rFonts w:ascii="Times New Roman" w:eastAsia="Times New Roman" w:hAnsi="Times New Roman" w:cs="Times New Roman"/>
                <w:bCs/>
                <w:iCs/>
                <w:sz w:val="22"/>
                <w:szCs w:val="22"/>
                <w:lang w:val="lt-LT"/>
              </w:rPr>
              <w:t> </w:t>
            </w:r>
            <w:r w:rsidRPr="00EC0566">
              <w:rPr>
                <w:rFonts w:ascii="Times New Roman" w:eastAsia="Times New Roman" w:hAnsi="Times New Roman" w:cs="Times New Roman"/>
                <w:bCs/>
                <w:iCs/>
                <w:sz w:val="22"/>
                <w:szCs w:val="22"/>
                <w:lang w:val="lt-LT"/>
              </w:rPr>
              <w:t>1650</w:t>
            </w:r>
          </w:p>
        </w:tc>
      </w:tr>
    </w:tbl>
    <w:p w:rsidR="007732E6" w:rsidRPr="00EC0566" w:rsidRDefault="007732E6" w:rsidP="007732E6">
      <w:pPr>
        <w:spacing w:after="0" w:line="240" w:lineRule="auto"/>
        <w:rPr>
          <w:rFonts w:ascii="Times New Roman" w:eastAsia="Times New Roman" w:hAnsi="Times New Roman" w:cs="Times New Roman"/>
          <w:b/>
          <w:bCs/>
          <w:sz w:val="22"/>
          <w:szCs w:val="22"/>
          <w:lang w:val="lt-LT"/>
        </w:rPr>
      </w:pPr>
    </w:p>
    <w:p w:rsidR="007732E6" w:rsidRPr="00EC0566" w:rsidRDefault="007732E6" w:rsidP="007732E6">
      <w:pPr>
        <w:spacing w:after="0" w:line="240" w:lineRule="auto"/>
        <w:rPr>
          <w:rFonts w:ascii="Times New Roman" w:eastAsia="Times New Roman" w:hAnsi="Times New Roman" w:cs="Times New Roman"/>
          <w:b/>
          <w:bCs/>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b/>
          <w:bCs/>
          <w:sz w:val="22"/>
          <w:szCs w:val="22"/>
          <w:lang w:val="lt-LT"/>
        </w:rPr>
        <w:t>Šis pakuotės lapelis</w:t>
      </w:r>
      <w:r w:rsidRPr="00EC0566">
        <w:rPr>
          <w:rFonts w:ascii="Times New Roman" w:eastAsia="Times New Roman" w:hAnsi="Times New Roman" w:cs="Times New Roman"/>
          <w:b/>
          <w:sz w:val="22"/>
          <w:szCs w:val="22"/>
          <w:lang w:val="lt-LT"/>
        </w:rPr>
        <w:t xml:space="preserve"> paskutinį kartą peržiūrėtas</w:t>
      </w:r>
      <w:r>
        <w:rPr>
          <w:rFonts w:ascii="Times New Roman" w:eastAsia="Times New Roman" w:hAnsi="Times New Roman" w:cs="Times New Roman"/>
          <w:b/>
          <w:sz w:val="22"/>
          <w:szCs w:val="22"/>
          <w:lang w:val="lt-LT"/>
        </w:rPr>
        <w:t xml:space="preserve"> 2025-02-01.  </w:t>
      </w: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p>
    <w:p w:rsidR="007732E6" w:rsidRPr="00EC0566" w:rsidRDefault="007732E6" w:rsidP="007732E6">
      <w:pPr>
        <w:tabs>
          <w:tab w:val="left" w:pos="567"/>
        </w:tabs>
        <w:spacing w:after="0" w:line="240" w:lineRule="auto"/>
        <w:rPr>
          <w:rFonts w:ascii="Times New Roman" w:eastAsia="Times New Roman" w:hAnsi="Times New Roman" w:cs="Times New Roman"/>
          <w:noProof/>
          <w:sz w:val="22"/>
          <w:szCs w:val="22"/>
          <w:lang w:val="lt-LT"/>
        </w:rPr>
      </w:pPr>
      <w:r w:rsidRPr="00EC0566">
        <w:rPr>
          <w:rFonts w:ascii="Times New Roman" w:eastAsia="Times New Roman" w:hAnsi="Times New Roman" w:cs="Times New Roman"/>
          <w:sz w:val="22"/>
          <w:szCs w:val="22"/>
          <w:lang w:val="lt-LT"/>
        </w:rPr>
        <w:t>Išsami informacija apie šį vaistą pateikiama Valstybinės vaistų kontrolės tarnybos prie Lietuvos Respublikos sveikatos apsaugos ministerijos tinklalapyje</w:t>
      </w:r>
      <w:r w:rsidRPr="00EC0566">
        <w:rPr>
          <w:rFonts w:ascii="Times New Roman" w:eastAsia="Times New Roman" w:hAnsi="Times New Roman" w:cs="Times New Roman"/>
          <w:i/>
          <w:sz w:val="22"/>
          <w:szCs w:val="22"/>
          <w:lang w:val="lt-LT"/>
        </w:rPr>
        <w:t xml:space="preserve"> </w:t>
      </w:r>
      <w:hyperlink r:id="rId11" w:history="1">
        <w:r w:rsidRPr="008E7327">
          <w:rPr>
            <w:rStyle w:val="Hipersaitas"/>
            <w:rFonts w:ascii="Times New Roman" w:eastAsia="Times New Roman" w:hAnsi="Times New Roman" w:cs="Times New Roman"/>
            <w:sz w:val="22"/>
            <w:szCs w:val="22"/>
            <w:lang w:val="lt-LT"/>
          </w:rPr>
          <w:t>https://vvkt.lrv.lt/lt/</w:t>
        </w:r>
      </w:hyperlink>
      <w:r w:rsidRPr="0039542F">
        <w:rPr>
          <w:rFonts w:ascii="Times New Roman" w:eastAsia="Times New Roman" w:hAnsi="Times New Roman" w:cs="Times New Roman"/>
          <w:color w:val="0000FF"/>
          <w:sz w:val="22"/>
          <w:szCs w:val="22"/>
          <w:lang w:val="lt-LT"/>
        </w:rPr>
        <w:t>.</w:t>
      </w:r>
    </w:p>
    <w:p w:rsidR="007732E6" w:rsidRPr="00EC0566" w:rsidRDefault="007732E6" w:rsidP="007732E6">
      <w:pPr>
        <w:spacing w:after="200" w:line="276" w:lineRule="auto"/>
        <w:rPr>
          <w:rFonts w:eastAsia="Calibri"/>
          <w:lang w:val="lt-LT"/>
        </w:rPr>
      </w:pPr>
    </w:p>
    <w:p w:rsidR="007732E6" w:rsidRPr="00DD7C9B" w:rsidRDefault="007732E6" w:rsidP="007732E6">
      <w:pPr>
        <w:rPr>
          <w:lang w:val="lt-LT"/>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1" w15:restartNumberingAfterBreak="0">
    <w:nsid w:val="2BE53E55"/>
    <w:multiLevelType w:val="hybridMultilevel"/>
    <w:tmpl w:val="A9D61B36"/>
    <w:lvl w:ilvl="0" w:tplc="FACE4EE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A1A3830"/>
    <w:multiLevelType w:val="hybridMultilevel"/>
    <w:tmpl w:val="D11E18E2"/>
    <w:lvl w:ilvl="0" w:tplc="4C1C52EE">
      <w:start w:val="3"/>
      <w:numFmt w:val="decimal"/>
      <w:lvlText w:val="%1."/>
      <w:lvlJc w:val="left"/>
      <w:pPr>
        <w:tabs>
          <w:tab w:val="num" w:pos="1080"/>
        </w:tabs>
        <w:ind w:left="1080" w:hanging="720"/>
      </w:pPr>
      <w:rPr>
        <w:rFonts w:hint="default"/>
      </w:rPr>
    </w:lvl>
    <w:lvl w:ilvl="1" w:tplc="08070019" w:tentative="1">
      <w:start w:val="1"/>
      <w:numFmt w:val="lowerLetter"/>
      <w:lvlText w:val="%2."/>
      <w:lvlJc w:val="left"/>
      <w:pPr>
        <w:tabs>
          <w:tab w:val="num" w:pos="1440"/>
        </w:tabs>
        <w:ind w:left="1440" w:hanging="360"/>
      </w:pPr>
    </w:lvl>
    <w:lvl w:ilvl="2" w:tplc="0807001B" w:tentative="1">
      <w:start w:val="1"/>
      <w:numFmt w:val="lowerRoman"/>
      <w:lvlText w:val="%3."/>
      <w:lvlJc w:val="right"/>
      <w:pPr>
        <w:tabs>
          <w:tab w:val="num" w:pos="2160"/>
        </w:tabs>
        <w:ind w:left="2160" w:hanging="180"/>
      </w:pPr>
    </w:lvl>
    <w:lvl w:ilvl="3" w:tplc="0807000F" w:tentative="1">
      <w:start w:val="1"/>
      <w:numFmt w:val="decimal"/>
      <w:lvlText w:val="%4."/>
      <w:lvlJc w:val="left"/>
      <w:pPr>
        <w:tabs>
          <w:tab w:val="num" w:pos="2880"/>
        </w:tabs>
        <w:ind w:left="2880" w:hanging="360"/>
      </w:pPr>
    </w:lvl>
    <w:lvl w:ilvl="4" w:tplc="08070019" w:tentative="1">
      <w:start w:val="1"/>
      <w:numFmt w:val="lowerLetter"/>
      <w:lvlText w:val="%5."/>
      <w:lvlJc w:val="left"/>
      <w:pPr>
        <w:tabs>
          <w:tab w:val="num" w:pos="3600"/>
        </w:tabs>
        <w:ind w:left="3600" w:hanging="360"/>
      </w:pPr>
    </w:lvl>
    <w:lvl w:ilvl="5" w:tplc="0807001B" w:tentative="1">
      <w:start w:val="1"/>
      <w:numFmt w:val="lowerRoman"/>
      <w:lvlText w:val="%6."/>
      <w:lvlJc w:val="right"/>
      <w:pPr>
        <w:tabs>
          <w:tab w:val="num" w:pos="4320"/>
        </w:tabs>
        <w:ind w:left="4320" w:hanging="180"/>
      </w:pPr>
    </w:lvl>
    <w:lvl w:ilvl="6" w:tplc="0807000F" w:tentative="1">
      <w:start w:val="1"/>
      <w:numFmt w:val="decimal"/>
      <w:lvlText w:val="%7."/>
      <w:lvlJc w:val="left"/>
      <w:pPr>
        <w:tabs>
          <w:tab w:val="num" w:pos="5040"/>
        </w:tabs>
        <w:ind w:left="5040" w:hanging="360"/>
      </w:pPr>
    </w:lvl>
    <w:lvl w:ilvl="7" w:tplc="08070019" w:tentative="1">
      <w:start w:val="1"/>
      <w:numFmt w:val="lowerLetter"/>
      <w:lvlText w:val="%8."/>
      <w:lvlJc w:val="left"/>
      <w:pPr>
        <w:tabs>
          <w:tab w:val="num" w:pos="5760"/>
        </w:tabs>
        <w:ind w:left="5760" w:hanging="360"/>
      </w:pPr>
    </w:lvl>
    <w:lvl w:ilvl="8" w:tplc="0807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32E6"/>
    <w:rsid w:val="00072F85"/>
    <w:rsid w:val="000A5E72"/>
    <w:rsid w:val="000A7B60"/>
    <w:rsid w:val="00181364"/>
    <w:rsid w:val="002945D9"/>
    <w:rsid w:val="00305C48"/>
    <w:rsid w:val="003362C6"/>
    <w:rsid w:val="00497D4D"/>
    <w:rsid w:val="00742EBF"/>
    <w:rsid w:val="007732E6"/>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465584C3-9BC4-4F72-A71D-D3D102F54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732E6"/>
    <w:rPr>
      <w:rFonts w:ascii="Arial"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732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vvkt.lrv.lt/lt/" TargetMode="External"/><Relationship Id="rId5" Type="http://schemas.openxmlformats.org/officeDocument/2006/relationships/image" Target="media/image1.png"/><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7842</Words>
  <Characters>4471</Characters>
  <Application>Microsoft Office Word</Application>
  <DocSecurity>0</DocSecurity>
  <Lines>37</Lines>
  <Paragraphs>24</Paragraphs>
  <ScaleCrop>false</ScaleCrop>
  <HeadingPairs>
    <vt:vector size="4" baseType="variant">
      <vt:variant>
        <vt:lpstr>Pavadinimas</vt:lpstr>
      </vt:variant>
      <vt:variant>
        <vt:i4>1</vt:i4>
      </vt:variant>
      <vt:variant>
        <vt:lpstr>Antraštės</vt:lpstr>
      </vt:variant>
      <vt:variant>
        <vt:i4>4</vt:i4>
      </vt:variant>
    </vt:vector>
  </HeadingPairs>
  <TitlesOfParts>
    <vt:vector size="5" baseType="lpstr">
      <vt:lpstr/>
      <vt:lpstr>    Tobrex 3 mg/ml akių lašai (tirpalas)</vt:lpstr>
      <vt:lpstr>    1.	Kas yra Tobrex ir kam jis vartojamas</vt:lpstr>
      <vt:lpstr>    2.	Kas žinotina prieš vartojant Tobrex</vt:lpstr>
      <vt:lpstr>Kaip vartoti Tobrex</vt:lpstr>
    </vt:vector>
  </TitlesOfParts>
  <Company/>
  <LinksUpToDate>false</LinksUpToDate>
  <CharactersWithSpaces>12289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2025-02-11T13:06:00Z</dcterms:created>
  <dcterms:modified xsi:type="dcterms:W3CDTF">2025-02-11T13:07:00Z</dcterms:modified>
</cp:coreProperties>
</file>