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FA30" w14:textId="77777777" w:rsidR="00EB63AA" w:rsidRPr="001C66E1" w:rsidRDefault="00EB63AA" w:rsidP="00EB63AA">
      <w:pPr>
        <w:spacing w:after="0" w:line="240" w:lineRule="auto"/>
        <w:jc w:val="center"/>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Pakuotės lapelis: informacija pacientui</w:t>
      </w:r>
    </w:p>
    <w:p w14:paraId="0E01ECCA" w14:textId="77777777" w:rsidR="00EB63AA" w:rsidRPr="001C66E1" w:rsidRDefault="00EB63AA" w:rsidP="00EB63AA">
      <w:pPr>
        <w:spacing w:after="0" w:line="240" w:lineRule="auto"/>
        <w:jc w:val="center"/>
        <w:rPr>
          <w:rFonts w:ascii="Times New Roman" w:eastAsia="Times New Roman" w:hAnsi="Times New Roman" w:cs="Times New Roman"/>
          <w:kern w:val="0"/>
          <w:sz w:val="22"/>
          <w:szCs w:val="22"/>
          <w:lang w:val="lt-LT"/>
          <w14:ligatures w14:val="none"/>
        </w:rPr>
      </w:pPr>
    </w:p>
    <w:p w14:paraId="7AE5C3B1" w14:textId="77777777" w:rsidR="00EB63AA" w:rsidRPr="001C66E1" w:rsidRDefault="00EB63AA" w:rsidP="00EB63AA">
      <w:pPr>
        <w:keepNext/>
        <w:spacing w:after="0" w:line="240" w:lineRule="auto"/>
        <w:jc w:val="center"/>
        <w:outlineLvl w:val="1"/>
        <w:rPr>
          <w:rFonts w:ascii="Times New Roman" w:eastAsia="Times New Roman" w:hAnsi="Times New Roman" w:cs="Times New Roman"/>
          <w:b/>
          <w:kern w:val="0"/>
          <w:sz w:val="22"/>
          <w:szCs w:val="22"/>
          <w:lang w:val="lt-LT"/>
          <w14:ligatures w14:val="none"/>
        </w:rPr>
      </w:pPr>
      <w:proofErr w:type="spellStart"/>
      <w:r w:rsidRPr="001C66E1">
        <w:rPr>
          <w:rFonts w:ascii="Times New Roman" w:eastAsia="Times New Roman" w:hAnsi="Times New Roman" w:cs="Times New Roman"/>
          <w:b/>
          <w:kern w:val="0"/>
          <w:sz w:val="22"/>
          <w:szCs w:val="22"/>
          <w:lang w:val="lt-LT"/>
          <w14:ligatures w14:val="none"/>
        </w:rPr>
        <w:t>Tobrex</w:t>
      </w:r>
      <w:proofErr w:type="spellEnd"/>
      <w:r w:rsidRPr="001C66E1">
        <w:rPr>
          <w:rFonts w:ascii="Times New Roman" w:eastAsia="Times New Roman" w:hAnsi="Times New Roman" w:cs="Times New Roman"/>
          <w:b/>
          <w:kern w:val="0"/>
          <w:sz w:val="22"/>
          <w:szCs w:val="22"/>
          <w:lang w:val="lt-LT"/>
          <w14:ligatures w14:val="none"/>
        </w:rPr>
        <w:t xml:space="preserve"> 3 mg/ml akių lašai (tirpalas)</w:t>
      </w:r>
    </w:p>
    <w:p w14:paraId="5B9153FC" w14:textId="77777777" w:rsidR="00EB63AA" w:rsidRPr="001C66E1" w:rsidRDefault="00EB63AA" w:rsidP="00EB63AA">
      <w:pPr>
        <w:spacing w:after="0" w:line="240" w:lineRule="auto"/>
        <w:jc w:val="center"/>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tobramicinas</w:t>
      </w:r>
      <w:proofErr w:type="spellEnd"/>
    </w:p>
    <w:p w14:paraId="714FDFF5"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204FAC0C"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2B880D85"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Neišmeskite šio lapelio, nes vėl gali prireikti jį perskaityti.</w:t>
      </w:r>
    </w:p>
    <w:p w14:paraId="1D7B73E5"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kiltų daugiau klausimų, kreipkitės į gydytoją arba vaistininką.</w:t>
      </w:r>
    </w:p>
    <w:p w14:paraId="2419E419"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Šis vaistas skirtas Jums, todėl kitiems žmonėms jo duoti negalima. Vaistas gali jiems pakenkti</w:t>
      </w:r>
    </w:p>
    <w:p w14:paraId="105046A3"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(net tiems, kurių ligos požymiai yra tokie patys kaip Jūsų).</w:t>
      </w:r>
    </w:p>
    <w:p w14:paraId="72B28D7D"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pasireiškė šalutinis poveikis (net jeigu jis šiame lapelyje nenurodytas), kreipkitės į</w:t>
      </w:r>
    </w:p>
    <w:p w14:paraId="46EAF00B"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gydytoją arba vaistininką.</w:t>
      </w:r>
      <w:r w:rsidRPr="001C66E1">
        <w:rPr>
          <w:rFonts w:ascii="Times New Roman" w:eastAsia="Times New Roman" w:hAnsi="Times New Roman" w:cs="Times New Roman"/>
          <w:kern w:val="0"/>
          <w:sz w:val="22"/>
          <w:szCs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Žr. 4 skyrių.</w:t>
      </w:r>
    </w:p>
    <w:p w14:paraId="3E07A4BF"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4648098E"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Apie ką rašoma šiame lapelyje?</w:t>
      </w:r>
    </w:p>
    <w:p w14:paraId="54A36214"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1AF67CC6"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1.</w:t>
      </w:r>
      <w:r w:rsidRPr="001C66E1">
        <w:rPr>
          <w:rFonts w:ascii="Times New Roman" w:eastAsia="Times New Roman" w:hAnsi="Times New Roman" w:cs="Times New Roman"/>
          <w:noProof/>
          <w:kern w:val="0"/>
          <w:sz w:val="22"/>
          <w:szCs w:val="22"/>
          <w:lang w:val="lt-LT"/>
          <w14:ligatures w14:val="none"/>
        </w:rPr>
        <w:tab/>
        <w:t xml:space="preserve">Kas yra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ir kam jis vartojamas</w:t>
      </w:r>
    </w:p>
    <w:p w14:paraId="7D1D73CB"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2.</w:t>
      </w:r>
      <w:r w:rsidRPr="001C66E1">
        <w:rPr>
          <w:rFonts w:ascii="Times New Roman" w:eastAsia="Times New Roman" w:hAnsi="Times New Roman" w:cs="Times New Roman"/>
          <w:noProof/>
          <w:kern w:val="0"/>
          <w:sz w:val="22"/>
          <w:szCs w:val="22"/>
          <w:lang w:val="lt-LT"/>
          <w14:ligatures w14:val="none"/>
        </w:rPr>
        <w:tab/>
        <w:t xml:space="preserve">Kas žinotina prieš vartojant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w:t>
      </w:r>
    </w:p>
    <w:p w14:paraId="6DF037F7"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3.</w:t>
      </w:r>
      <w:r w:rsidRPr="001C66E1">
        <w:rPr>
          <w:rFonts w:ascii="Times New Roman" w:eastAsia="Times New Roman" w:hAnsi="Times New Roman" w:cs="Times New Roman"/>
          <w:noProof/>
          <w:kern w:val="0"/>
          <w:sz w:val="22"/>
          <w:szCs w:val="22"/>
          <w:lang w:val="lt-LT"/>
          <w14:ligatures w14:val="none"/>
        </w:rPr>
        <w:tab/>
        <w:t xml:space="preserve">Kaip vartoti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w:t>
      </w:r>
    </w:p>
    <w:p w14:paraId="339FFD6F"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4.</w:t>
      </w:r>
      <w:r w:rsidRPr="001C66E1">
        <w:rPr>
          <w:rFonts w:ascii="Times New Roman" w:eastAsia="Times New Roman" w:hAnsi="Times New Roman" w:cs="Times New Roman"/>
          <w:noProof/>
          <w:kern w:val="0"/>
          <w:sz w:val="22"/>
          <w:szCs w:val="22"/>
          <w:lang w:val="lt-LT"/>
          <w14:ligatures w14:val="none"/>
        </w:rPr>
        <w:tab/>
        <w:t>Galimas šalutinis poveikis</w:t>
      </w:r>
    </w:p>
    <w:p w14:paraId="1BCA6B29"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5.</w:t>
      </w:r>
      <w:r w:rsidRPr="001C66E1">
        <w:rPr>
          <w:rFonts w:ascii="Times New Roman" w:eastAsia="Times New Roman" w:hAnsi="Times New Roman" w:cs="Times New Roman"/>
          <w:noProof/>
          <w:kern w:val="0"/>
          <w:sz w:val="22"/>
          <w:szCs w:val="22"/>
          <w:lang w:val="lt-LT"/>
          <w14:ligatures w14:val="none"/>
        </w:rPr>
        <w:tab/>
        <w:t xml:space="preserve">Kaip laikyti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w:t>
      </w:r>
    </w:p>
    <w:p w14:paraId="3F7DC395"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6.</w:t>
      </w:r>
      <w:r w:rsidRPr="001C66E1">
        <w:rPr>
          <w:rFonts w:ascii="Times New Roman" w:eastAsia="Times New Roman" w:hAnsi="Times New Roman" w:cs="Times New Roman"/>
          <w:noProof/>
          <w:kern w:val="0"/>
          <w:sz w:val="22"/>
          <w:szCs w:val="22"/>
          <w:lang w:val="lt-LT"/>
          <w14:ligatures w14:val="none"/>
        </w:rPr>
        <w:tab/>
        <w:t>Pakuotės turinys ir kita informacija</w:t>
      </w:r>
    </w:p>
    <w:p w14:paraId="56C5141A"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1A115A4"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7BC81981" w14:textId="77777777" w:rsidR="00EB63AA" w:rsidRPr="001C66E1" w:rsidRDefault="00EB63AA" w:rsidP="00EB63AA">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1.</w:t>
      </w:r>
      <w:r w:rsidRPr="001C66E1">
        <w:rPr>
          <w:rFonts w:ascii="Times New Roman" w:eastAsia="Times New Roman" w:hAnsi="Times New Roman" w:cs="Times New Roman"/>
          <w:b/>
          <w:kern w:val="0"/>
          <w:sz w:val="22"/>
          <w:szCs w:val="22"/>
          <w:lang w:val="lt-LT"/>
          <w14:ligatures w14:val="none"/>
        </w:rPr>
        <w:tab/>
        <w:t xml:space="preserve">Kas yra </w:t>
      </w:r>
      <w:proofErr w:type="spellStart"/>
      <w:r w:rsidRPr="001C66E1">
        <w:rPr>
          <w:rFonts w:ascii="Times New Roman" w:eastAsia="Times New Roman" w:hAnsi="Times New Roman" w:cs="Times New Roman"/>
          <w:b/>
          <w:kern w:val="0"/>
          <w:sz w:val="22"/>
          <w:szCs w:val="22"/>
          <w:lang w:val="lt-LT"/>
          <w14:ligatures w14:val="none"/>
        </w:rPr>
        <w:t>Tobrex</w:t>
      </w:r>
      <w:proofErr w:type="spellEnd"/>
      <w:r w:rsidRPr="001C66E1">
        <w:rPr>
          <w:rFonts w:ascii="Times New Roman" w:eastAsia="Times New Roman" w:hAnsi="Times New Roman" w:cs="Times New Roman"/>
          <w:b/>
          <w:kern w:val="0"/>
          <w:sz w:val="22"/>
          <w:szCs w:val="22"/>
          <w:lang w:val="lt-LT"/>
          <w14:ligatures w14:val="none"/>
        </w:rPr>
        <w:t xml:space="preserve"> ir kam jis vartojamas</w:t>
      </w:r>
    </w:p>
    <w:p w14:paraId="46875D67"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521715DA"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akių lašai vartojami </w:t>
      </w:r>
      <w:proofErr w:type="spellStart"/>
      <w:r w:rsidRPr="001C66E1">
        <w:rPr>
          <w:rFonts w:ascii="Times New Roman" w:eastAsia="Times New Roman" w:hAnsi="Times New Roman" w:cs="Times New Roman"/>
          <w:kern w:val="0"/>
          <w:sz w:val="22"/>
          <w:szCs w:val="22"/>
          <w:lang w:val="lt-LT"/>
          <w14:ligatures w14:val="none"/>
        </w:rPr>
        <w:t>tobramicinui</w:t>
      </w:r>
      <w:proofErr w:type="spellEnd"/>
      <w:r w:rsidRPr="001C66E1">
        <w:rPr>
          <w:rFonts w:ascii="Times New Roman" w:eastAsia="Times New Roman" w:hAnsi="Times New Roman" w:cs="Times New Roman"/>
          <w:kern w:val="0"/>
          <w:sz w:val="22"/>
          <w:szCs w:val="22"/>
          <w:lang w:val="lt-LT"/>
          <w14:ligatures w14:val="none"/>
        </w:rPr>
        <w:t xml:space="preserve"> jautrių bakterijų sukeltų akies ir jos priedinių organų (vokų, junginės, ir ašarų aparato) paviršinių infekcinių ligų gydymui suaugusiems žmonėms ir 1 metų bei vyresniems vaikams ir paaugliams. </w:t>
      </w:r>
    </w:p>
    <w:p w14:paraId="5AAE3971"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8DE7772"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yra vienas iš </w:t>
      </w:r>
      <w:proofErr w:type="spellStart"/>
      <w:r w:rsidRPr="001C66E1">
        <w:rPr>
          <w:rFonts w:ascii="Times New Roman" w:eastAsia="Times New Roman" w:hAnsi="Times New Roman" w:cs="Times New Roman"/>
          <w:kern w:val="0"/>
          <w:sz w:val="22"/>
          <w:szCs w:val="22"/>
          <w:lang w:val="lt-LT"/>
          <w14:ligatures w14:val="none"/>
        </w:rPr>
        <w:t>antiinfekcinių</w:t>
      </w:r>
      <w:proofErr w:type="spellEnd"/>
      <w:r w:rsidRPr="001C66E1">
        <w:rPr>
          <w:rFonts w:ascii="Times New Roman" w:eastAsia="Times New Roman" w:hAnsi="Times New Roman" w:cs="Times New Roman"/>
          <w:kern w:val="0"/>
          <w:sz w:val="22"/>
          <w:szCs w:val="22"/>
          <w:lang w:val="lt-LT"/>
          <w14:ligatures w14:val="none"/>
        </w:rPr>
        <w:t xml:space="preserve"> vaistų. Šiai grupei priklauso antibiotikai (iš jų ir </w:t>
      </w:r>
      <w:proofErr w:type="spellStart"/>
      <w:r w:rsidRPr="001C66E1">
        <w:rPr>
          <w:rFonts w:ascii="Times New Roman" w:eastAsia="Times New Roman" w:hAnsi="Times New Roman" w:cs="Times New Roman"/>
          <w:kern w:val="0"/>
          <w:sz w:val="22"/>
          <w:szCs w:val="22"/>
          <w:lang w:val="lt-LT"/>
          <w14:ligatures w14:val="none"/>
        </w:rPr>
        <w:t>tobramicinas</w:t>
      </w:r>
      <w:proofErr w:type="spellEnd"/>
      <w:r w:rsidRPr="001C66E1">
        <w:rPr>
          <w:rFonts w:ascii="Times New Roman" w:eastAsia="Times New Roman" w:hAnsi="Times New Roman" w:cs="Times New Roman"/>
          <w:kern w:val="0"/>
          <w:sz w:val="22"/>
          <w:szCs w:val="22"/>
          <w:lang w:val="lt-LT"/>
          <w14:ligatures w14:val="none"/>
        </w:rPr>
        <w:t>), veikiantys daugelį mikroorganizmų, galinčių sukelti akių ligas.</w:t>
      </w:r>
    </w:p>
    <w:p w14:paraId="3999309F"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44EB264B"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0C28DF9E" w14:textId="77777777" w:rsidR="00EB63AA" w:rsidRPr="001C66E1" w:rsidRDefault="00EB63AA" w:rsidP="00EB63AA">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2.</w:t>
      </w:r>
      <w:r w:rsidRPr="001C66E1">
        <w:rPr>
          <w:rFonts w:ascii="Times New Roman" w:eastAsia="Times New Roman" w:hAnsi="Times New Roman" w:cs="Times New Roman"/>
          <w:b/>
          <w:kern w:val="0"/>
          <w:sz w:val="22"/>
          <w:szCs w:val="22"/>
          <w:lang w:val="lt-LT"/>
          <w14:ligatures w14:val="none"/>
        </w:rPr>
        <w:tab/>
        <w:t xml:space="preserve">Kas žinotina prieš vartojant </w:t>
      </w:r>
      <w:proofErr w:type="spellStart"/>
      <w:r w:rsidRPr="001C66E1">
        <w:rPr>
          <w:rFonts w:ascii="Times New Roman" w:eastAsia="Times New Roman" w:hAnsi="Times New Roman" w:cs="Times New Roman"/>
          <w:b/>
          <w:kern w:val="0"/>
          <w:sz w:val="22"/>
          <w:szCs w:val="22"/>
          <w:lang w:val="lt-LT"/>
          <w14:ligatures w14:val="none"/>
        </w:rPr>
        <w:t>Tobrex</w:t>
      </w:r>
      <w:proofErr w:type="spellEnd"/>
    </w:p>
    <w:p w14:paraId="1717781C"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7A677720" w14:textId="77777777" w:rsidR="00EB63AA" w:rsidRPr="001C66E1" w:rsidRDefault="00EB63AA" w:rsidP="00EB63AA">
      <w:pPr>
        <w:spacing w:after="0" w:line="240" w:lineRule="auto"/>
        <w:rPr>
          <w:rFonts w:ascii="Times New Roman" w:eastAsia="Times New Roman" w:hAnsi="Times New Roman" w:cs="Times New Roman"/>
          <w:b/>
          <w:bCs/>
          <w:kern w:val="0"/>
          <w:sz w:val="22"/>
          <w:szCs w:val="22"/>
          <w:lang w:val="lt-LT"/>
          <w14:ligatures w14:val="none"/>
        </w:rPr>
      </w:pPr>
      <w:proofErr w:type="spellStart"/>
      <w:r w:rsidRPr="001C66E1">
        <w:rPr>
          <w:rFonts w:ascii="Times New Roman" w:eastAsia="Times New Roman" w:hAnsi="Times New Roman" w:cs="Times New Roman"/>
          <w:b/>
          <w:bCs/>
          <w:kern w:val="0"/>
          <w:sz w:val="22"/>
          <w:szCs w:val="22"/>
          <w:lang w:val="lt-LT"/>
          <w14:ligatures w14:val="none"/>
        </w:rPr>
        <w:t>Tobrex</w:t>
      </w:r>
      <w:proofErr w:type="spellEnd"/>
      <w:r w:rsidRPr="001C66E1">
        <w:rPr>
          <w:rFonts w:ascii="Times New Roman" w:eastAsia="Times New Roman" w:hAnsi="Times New Roman" w:cs="Times New Roman"/>
          <w:b/>
          <w:bCs/>
          <w:kern w:val="0"/>
          <w:sz w:val="22"/>
          <w:szCs w:val="22"/>
          <w:lang w:val="lt-LT"/>
          <w14:ligatures w14:val="none"/>
        </w:rPr>
        <w:t xml:space="preserve"> vartoti draudžiama:</w:t>
      </w:r>
    </w:p>
    <w:p w14:paraId="6E52063A"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yra alergija tobramicinui arba bet kuriai pagalbinei šio vaisto medžiagai (jos išvardytos 6 skyriuje);</w:t>
      </w:r>
    </w:p>
    <w:p w14:paraId="5BC5C5CC"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yra padidėjęs jautrumas kitiems aminoglikozidams (pvz., gentamicinui).</w:t>
      </w:r>
    </w:p>
    <w:p w14:paraId="4D41FE26" w14:textId="77777777" w:rsidR="00EB63AA" w:rsidRPr="001C66E1" w:rsidRDefault="00EB63AA" w:rsidP="00EB63AA">
      <w:pPr>
        <w:spacing w:after="0" w:line="240" w:lineRule="auto"/>
        <w:rPr>
          <w:rFonts w:ascii="Times New Roman" w:eastAsia="Times New Roman" w:hAnsi="Times New Roman" w:cs="Times New Roman"/>
          <w:noProof/>
          <w:kern w:val="0"/>
          <w:sz w:val="22"/>
          <w:szCs w:val="22"/>
          <w:lang w:val="lt-LT"/>
          <w14:ligatures w14:val="none"/>
        </w:rPr>
      </w:pPr>
    </w:p>
    <w:p w14:paraId="77BFC5E0" w14:textId="77777777" w:rsidR="00EB63AA" w:rsidRPr="001C66E1" w:rsidRDefault="00EB63AA" w:rsidP="00EB63AA">
      <w:pPr>
        <w:spacing w:after="0" w:line="240" w:lineRule="auto"/>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Įspėjimai ir atsargumo priemonės</w:t>
      </w:r>
    </w:p>
    <w:p w14:paraId="13172CEC" w14:textId="77777777" w:rsidR="00EB63AA" w:rsidRPr="001C66E1" w:rsidRDefault="00EB63AA" w:rsidP="00EB63AA">
      <w:pPr>
        <w:numPr>
          <w:ilvl w:val="12"/>
          <w:numId w:val="0"/>
        </w:numPr>
        <w:spacing w:after="0" w:line="240" w:lineRule="auto"/>
        <w:ind w:right="-2"/>
        <w:rPr>
          <w:rFonts w:ascii="Times New Roman" w:eastAsia="Times New Roman" w:hAnsi="Times New Roman" w:cs="Times New Roman"/>
          <w:b/>
          <w:bCs/>
          <w:kern w:val="0"/>
          <w:sz w:val="22"/>
          <w:szCs w:val="22"/>
          <w:lang w:val="lt-LT"/>
          <w14:ligatures w14:val="none"/>
        </w:rPr>
      </w:pPr>
      <w:r w:rsidRPr="001C66E1">
        <w:rPr>
          <w:rFonts w:ascii="Times New Roman" w:eastAsia="Calibri" w:hAnsi="Times New Roman" w:cs="Times New Roman"/>
          <w:noProof/>
          <w:kern w:val="0"/>
          <w:sz w:val="22"/>
          <w:szCs w:val="22"/>
          <w:lang w:val="lt-LT"/>
          <w14:ligatures w14:val="none"/>
        </w:rPr>
        <w:t xml:space="preserve">Pasitarkite su gydytoju arba vaistininku, prieš pradėdami vartoti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Calibri" w:hAnsi="Times New Roman" w:cs="Times New Roman"/>
          <w:noProof/>
          <w:kern w:val="0"/>
          <w:sz w:val="22"/>
          <w:szCs w:val="22"/>
          <w:lang w:val="lt-LT"/>
          <w14:ligatures w14:val="none"/>
        </w:rPr>
        <w:t>:</w:t>
      </w:r>
    </w:p>
    <w:p w14:paraId="7B2307AA"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jeigu pasireiškia alerginė reakcija į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nutraukite vaisto vartojimą ir kreipkitės į </w:t>
      </w:r>
      <w:r w:rsidRPr="001C66E1">
        <w:rPr>
          <w:rFonts w:ascii="Times New Roman" w:eastAsia="Times New Roman" w:hAnsi="Times New Roman" w:cs="Times New Roman"/>
          <w:noProof/>
          <w:kern w:val="0"/>
          <w:sz w:val="22"/>
          <w:szCs w:val="22"/>
          <w:lang w:val="lt-LT"/>
          <w14:ligatures w14:val="none"/>
        </w:rPr>
        <w:t>gydytoją. Alerginė reakcija gali būti įvairi</w:t>
      </w:r>
      <w:r w:rsidRPr="001C66E1">
        <w:rPr>
          <w:rFonts w:ascii="Times New Roman" w:eastAsia="Times New Roman" w:hAnsi="Times New Roman" w:cs="Times New Roman"/>
          <w:kern w:val="0"/>
          <w:sz w:val="22"/>
          <w:szCs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09E9EBDD"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kartu su Tobrex akių lašais vartojate kitus antibiotikus, pasitarkite su gydytoju;</w:t>
      </w:r>
    </w:p>
    <w:p w14:paraId="6E0A2E5C"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sergate ligomis, kurių metu pažeidžiamos nervų raumenų jungtys, pvz., generalizuota m</w:t>
      </w:r>
      <w:proofErr w:type="spellStart"/>
      <w:r w:rsidRPr="001C66E1">
        <w:rPr>
          <w:rFonts w:ascii="Times New Roman" w:eastAsia="Calibri" w:hAnsi="Times New Roman"/>
          <w:kern w:val="0"/>
          <w:sz w:val="22"/>
          <w:lang w:val="lt-LT"/>
          <w14:ligatures w14:val="none"/>
        </w:rPr>
        <w:t>iastenija</w:t>
      </w:r>
      <w:proofErr w:type="spellEnd"/>
      <w:r w:rsidRPr="001C66E1">
        <w:rPr>
          <w:rFonts w:ascii="Times New Roman" w:eastAsia="Calibri" w:hAnsi="Times New Roman"/>
          <w:kern w:val="0"/>
          <w:sz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ar Parkinsono liga, pasitarkite su gydytoju. Aminoglikozidų grupės antibiotikai, jiems priskiriamas tobramicinas, gali sustiprinti raumenų silpnumą;</w:t>
      </w:r>
    </w:p>
    <w:p w14:paraId="17A17EA7" w14:textId="77777777" w:rsidR="00EB63AA" w:rsidRPr="001C66E1" w:rsidRDefault="00EB63AA" w:rsidP="00EB63AA">
      <w:pPr>
        <w:numPr>
          <w:ilvl w:val="0"/>
          <w:numId w:val="3"/>
        </w:numPr>
        <w:spacing w:after="0" w:line="240" w:lineRule="auto"/>
        <w:ind w:left="567" w:hanging="567"/>
        <w:contextualSpacing/>
        <w:rPr>
          <w:rFonts w:ascii="Times New Roman" w:eastAsia="Calibri" w:hAnsi="Times New Roman" w:cs="Times New Roman"/>
          <w:noProof/>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jeigu Jūsų simptomai pasunkėja ar staiga atsinaujina, kreipkitės į gydytoją. Jei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vartojate ilgai, gali padidėti akies infekcijos pavojus.</w:t>
      </w:r>
    </w:p>
    <w:p w14:paraId="298490A1"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5DAD40A9"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Vaikams ir paaugliams</w:t>
      </w:r>
    </w:p>
    <w:p w14:paraId="5A967ADF" w14:textId="77777777" w:rsidR="00EB63AA" w:rsidRPr="001C66E1" w:rsidRDefault="00EB63AA" w:rsidP="00EB63AA">
      <w:pPr>
        <w:tabs>
          <w:tab w:val="left" w:pos="360"/>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Nevartokite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akių lašų vaikams iki 1 metų.</w:t>
      </w:r>
    </w:p>
    <w:p w14:paraId="59F490EE"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1668E516" w14:textId="77777777" w:rsidR="00EB63AA" w:rsidRPr="001C66E1" w:rsidRDefault="00EB63AA" w:rsidP="00EB63AA">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 xml:space="preserve">Kiti vaistai ir </w:t>
      </w:r>
      <w:proofErr w:type="spellStart"/>
      <w:r w:rsidRPr="001C66E1">
        <w:rPr>
          <w:rFonts w:ascii="Times New Roman" w:eastAsia="Times New Roman" w:hAnsi="Times New Roman" w:cs="Times New Roman"/>
          <w:b/>
          <w:bCs/>
          <w:kern w:val="0"/>
          <w:sz w:val="22"/>
          <w:szCs w:val="22"/>
          <w:lang w:val="lt-LT"/>
          <w14:ligatures w14:val="none"/>
        </w:rPr>
        <w:t>Tobrex</w:t>
      </w:r>
      <w:proofErr w:type="spellEnd"/>
    </w:p>
    <w:p w14:paraId="512942AD"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Jeigu vartojate arba neseniai vartojote kitų vaistų arba dėl to nesate tikri, apie tai pasakykite gydytojui arba vaistininkui. </w:t>
      </w:r>
    </w:p>
    <w:p w14:paraId="36EFBDD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2652B68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Vartojant kartu su kortikosteroidais, gali būti maskuojami infekcinio susirgimo požymiai.</w:t>
      </w:r>
    </w:p>
    <w:p w14:paraId="4E310F3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4B219755"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Kartu vartojant kitus akių vaistus tarp vienų ir kitų vartojimo reikia daryti 5 minučių pertrauką. Akių tepalą reikia vartoti paskiausiai.</w:t>
      </w:r>
    </w:p>
    <w:p w14:paraId="62B7765D"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3344A980" w14:textId="77777777" w:rsidR="00EB63AA" w:rsidRPr="001C66E1" w:rsidRDefault="00EB63AA" w:rsidP="00EB63AA">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Nėštumas ir žindymo laikotarpis</w:t>
      </w:r>
    </w:p>
    <w:p w14:paraId="6C275390" w14:textId="77777777" w:rsidR="00EB63AA" w:rsidRPr="001C66E1" w:rsidRDefault="00EB63AA" w:rsidP="00EB63AA">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esate nėščia, žindote kūdikį, manote, kad galbūt esate nėščia arba planuojate pastoti, tai prieš vartodama šį vaistą pasitarkite su gydytoju arba vaistininku.</w:t>
      </w:r>
    </w:p>
    <w:p w14:paraId="3BBDA0C4" w14:textId="77777777" w:rsidR="00EB63AA" w:rsidRPr="001C66E1" w:rsidRDefault="00EB63AA" w:rsidP="00EB63AA">
      <w:pPr>
        <w:spacing w:after="0" w:line="240" w:lineRule="auto"/>
        <w:rPr>
          <w:rFonts w:ascii="Times New Roman" w:eastAsia="Times New Roman" w:hAnsi="Times New Roman" w:cs="Times New Roman"/>
          <w:noProof/>
          <w:kern w:val="0"/>
          <w:sz w:val="22"/>
          <w:szCs w:val="22"/>
          <w:lang w:val="lt-LT"/>
          <w14:ligatures w14:val="none"/>
        </w:rPr>
      </w:pPr>
    </w:p>
    <w:p w14:paraId="74CD56F1"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Nėštumo arba žindymo laikotarpiu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 xml:space="preserve">akių lašų nevartokite, nebent gydytojas nuspręstų, kad vaistą vartoti reikia.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nėščioms moterims galima vartoti tik neabejotinai būtinu atveju. Prieš vartojant bet kokį vaistą, būtina pasitarti su gydytoju arba vaistininku.</w:t>
      </w:r>
    </w:p>
    <w:p w14:paraId="048D504B"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3C4E00B9" w14:textId="77777777" w:rsidR="00EB63AA" w:rsidRPr="001C66E1" w:rsidRDefault="00EB63AA" w:rsidP="00EB63AA">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Vairavimas ir mechanizmų valdymas</w:t>
      </w:r>
    </w:p>
    <w:p w14:paraId="177E8AE2"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akių lašai neturėtų veikti gebėjimo vairuoti ir dirbti su mechanizmais. Pavartojus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trumpai gali būti neryškus matymas. Nevairuokite ir nevaldykite mechanizmų, kol matymas nepagerės.</w:t>
      </w:r>
    </w:p>
    <w:p w14:paraId="6CA2B320"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38BEC737"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roofErr w:type="spellStart"/>
      <w:r w:rsidRPr="001C66E1">
        <w:rPr>
          <w:rFonts w:ascii="Times New Roman" w:eastAsia="Times New Roman" w:hAnsi="Times New Roman" w:cs="Times New Roman"/>
          <w:b/>
          <w:kern w:val="0"/>
          <w:sz w:val="22"/>
          <w:szCs w:val="22"/>
          <w:lang w:val="lt-LT"/>
          <w14:ligatures w14:val="none"/>
        </w:rPr>
        <w:t>Tobrex</w:t>
      </w:r>
      <w:proofErr w:type="spellEnd"/>
      <w:r w:rsidRPr="001C66E1">
        <w:rPr>
          <w:rFonts w:ascii="Times New Roman" w:eastAsia="Times New Roman" w:hAnsi="Times New Roman" w:cs="Times New Roman"/>
          <w:b/>
          <w:kern w:val="0"/>
          <w:sz w:val="22"/>
          <w:szCs w:val="22"/>
          <w:lang w:val="lt-LT"/>
          <w14:ligatures w14:val="none"/>
        </w:rPr>
        <w:t xml:space="preserve"> sudėtyje yra </w:t>
      </w:r>
      <w:proofErr w:type="spellStart"/>
      <w:r w:rsidRPr="001C66E1">
        <w:rPr>
          <w:rFonts w:ascii="Times New Roman" w:eastAsia="Times New Roman" w:hAnsi="Times New Roman" w:cs="Times New Roman"/>
          <w:b/>
          <w:kern w:val="0"/>
          <w:sz w:val="22"/>
          <w:szCs w:val="22"/>
          <w:lang w:val="lt-LT"/>
          <w14:ligatures w14:val="none"/>
        </w:rPr>
        <w:t>benzalkonio</w:t>
      </w:r>
      <w:proofErr w:type="spellEnd"/>
      <w:r w:rsidRPr="001C66E1">
        <w:rPr>
          <w:rFonts w:ascii="Times New Roman" w:eastAsia="Times New Roman" w:hAnsi="Times New Roman" w:cs="Times New Roman"/>
          <w:b/>
          <w:kern w:val="0"/>
          <w:sz w:val="22"/>
          <w:szCs w:val="22"/>
          <w:lang w:val="lt-LT"/>
          <w14:ligatures w14:val="none"/>
        </w:rPr>
        <w:t xml:space="preserve"> chlorido</w:t>
      </w:r>
    </w:p>
    <w:p w14:paraId="09ED54BD" w14:textId="77777777" w:rsidR="00EB63AA" w:rsidRPr="001C66E1" w:rsidRDefault="00EB63AA" w:rsidP="00EB63AA">
      <w:pPr>
        <w:tabs>
          <w:tab w:val="left" w:pos="567"/>
        </w:tabs>
        <w:rPr>
          <w:rFonts w:ascii="Times New Roman" w:eastAsia="Calibri" w:hAnsi="Times New Roman" w:cs="Times New Roman"/>
          <w:kern w:val="0"/>
          <w:sz w:val="22"/>
          <w:szCs w:val="22"/>
          <w14:ligatures w14:val="none"/>
        </w:rPr>
      </w:pP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šio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vaisto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akių</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lašų</w:t>
      </w:r>
      <w:proofErr w:type="spellEnd"/>
      <w:r w:rsidRPr="001C66E1">
        <w:rPr>
          <w:rFonts w:ascii="Times New Roman" w:eastAsia="Calibri" w:hAnsi="Times New Roman" w:cs="Times New Roman"/>
          <w:kern w:val="0"/>
          <w:sz w:val="22"/>
          <w:szCs w:val="22"/>
          <w14:ligatures w14:val="none"/>
        </w:rPr>
        <w:t xml:space="preserve"> ml </w:t>
      </w:r>
      <w:proofErr w:type="spellStart"/>
      <w:r w:rsidRPr="001C66E1">
        <w:rPr>
          <w:rFonts w:ascii="Times New Roman" w:eastAsia="Calibri" w:hAnsi="Times New Roman" w:cs="Times New Roman"/>
          <w:kern w:val="0"/>
          <w:sz w:val="22"/>
          <w:szCs w:val="22"/>
          <w14:ligatures w14:val="none"/>
        </w:rPr>
        <w:t>yra</w:t>
      </w:r>
      <w:proofErr w:type="spellEnd"/>
      <w:r w:rsidRPr="001C66E1">
        <w:rPr>
          <w:rFonts w:ascii="Times New Roman" w:eastAsia="Calibri" w:hAnsi="Times New Roman" w:cs="Times New Roman"/>
          <w:kern w:val="0"/>
          <w:sz w:val="22"/>
          <w:szCs w:val="22"/>
          <w14:ligatures w14:val="none"/>
        </w:rPr>
        <w:t xml:space="preserve"> 0,1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 xml:space="preserve">, o </w:t>
      </w: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laše</w:t>
      </w:r>
      <w:proofErr w:type="spellEnd"/>
      <w:r w:rsidRPr="001C66E1">
        <w:rPr>
          <w:rFonts w:ascii="Times New Roman" w:eastAsia="Calibri" w:hAnsi="Times New Roman" w:cs="Times New Roman"/>
          <w:kern w:val="0"/>
          <w:sz w:val="22"/>
          <w:szCs w:val="22"/>
          <w14:ligatures w14:val="none"/>
        </w:rPr>
        <w:t xml:space="preserve"> – </w:t>
      </w:r>
      <w:proofErr w:type="spellStart"/>
      <w:r w:rsidRPr="001C66E1">
        <w:rPr>
          <w:rFonts w:ascii="Times New Roman" w:eastAsia="Calibri" w:hAnsi="Times New Roman" w:cs="Times New Roman"/>
          <w:kern w:val="0"/>
          <w:sz w:val="22"/>
          <w:szCs w:val="22"/>
          <w14:ligatures w14:val="none"/>
        </w:rPr>
        <w:t>apie</w:t>
      </w:r>
      <w:proofErr w:type="spellEnd"/>
      <w:r w:rsidRPr="001C66E1">
        <w:rPr>
          <w:rFonts w:ascii="Times New Roman" w:eastAsia="Calibri" w:hAnsi="Times New Roman" w:cs="Times New Roman"/>
          <w:kern w:val="0"/>
          <w:sz w:val="22"/>
          <w:szCs w:val="22"/>
          <w14:ligatures w14:val="none"/>
        </w:rPr>
        <w:t xml:space="preserve"> 0,003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w:t>
      </w:r>
    </w:p>
    <w:p w14:paraId="70D87C46"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eastAsia="lt-LT"/>
          <w14:ligatures w14:val="none"/>
        </w:rPr>
      </w:pPr>
    </w:p>
    <w:p w14:paraId="3C246A50"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eastAsia="lt-LT"/>
          <w14:ligatures w14:val="none"/>
        </w:rPr>
      </w:pPr>
      <w:r w:rsidRPr="001C66E1">
        <w:rPr>
          <w:rFonts w:ascii="Times New Roman" w:eastAsia="Times New Roman" w:hAnsi="Times New Roman" w:cs="Times New Roman"/>
          <w:kern w:val="0"/>
          <w:sz w:val="22"/>
          <w:szCs w:val="22"/>
          <w:lang w:val="lt-LT" w:eastAsia="lt-LT"/>
          <w14:ligatures w14:val="none"/>
        </w:rPr>
        <w:t xml:space="preserve">Minkštieji kontaktiniai lęšiai gali absorbuoti </w:t>
      </w:r>
      <w:proofErr w:type="spellStart"/>
      <w:r w:rsidRPr="001C66E1">
        <w:rPr>
          <w:rFonts w:ascii="Times New Roman" w:eastAsia="Times New Roman" w:hAnsi="Times New Roman" w:cs="Times New Roman"/>
          <w:kern w:val="0"/>
          <w:sz w:val="22"/>
          <w:szCs w:val="22"/>
          <w:lang w:val="lt-LT" w:eastAsia="lt-LT"/>
          <w14:ligatures w14:val="none"/>
        </w:rPr>
        <w:t>benzalkonio</w:t>
      </w:r>
      <w:proofErr w:type="spellEnd"/>
      <w:r w:rsidRPr="001C66E1">
        <w:rPr>
          <w:rFonts w:ascii="Times New Roman" w:eastAsia="Times New Roman" w:hAnsi="Times New Roman" w:cs="Times New Roman"/>
          <w:kern w:val="0"/>
          <w:sz w:val="22"/>
          <w:szCs w:val="22"/>
          <w:lang w:val="lt-LT" w:eastAsia="lt-LT"/>
          <w14:ligatures w14:val="none"/>
        </w:rPr>
        <w:t xml:space="preserve"> chloridą ir gali pasikeisti kontaktinių lęšių spalva. Prieš šio vaisto vartojimą kontaktinius lęšius reikia išimti ir vėl juos galima įdėti ne anksčiau kaip po 15 min.</w:t>
      </w:r>
    </w:p>
    <w:p w14:paraId="5C0F53A8"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eastAsia="lt-LT"/>
          <w14:ligatures w14:val="none"/>
        </w:rPr>
      </w:pPr>
    </w:p>
    <w:p w14:paraId="530930A4"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1C66E1">
        <w:rPr>
          <w:rFonts w:ascii="Times New Roman" w:eastAsia="Times New Roman" w:hAnsi="Times New Roman" w:cs="Times New Roman"/>
          <w:kern w:val="0"/>
          <w:sz w:val="22"/>
          <w:szCs w:val="22"/>
          <w:lang w:val="lt-LT" w:eastAsia="lt-LT"/>
          <w14:ligatures w14:val="none"/>
        </w:rPr>
        <w:t>Benzalkonio</w:t>
      </w:r>
      <w:proofErr w:type="spellEnd"/>
      <w:r w:rsidRPr="001C66E1">
        <w:rPr>
          <w:rFonts w:ascii="Times New Roman" w:eastAsia="Times New Roman" w:hAnsi="Times New Roman" w:cs="Times New Roman"/>
          <w:kern w:val="0"/>
          <w:sz w:val="22"/>
          <w:szCs w:val="22"/>
          <w:lang w:val="lt-LT" w:eastAsia="lt-LT"/>
          <w14:ligatures w14:val="none"/>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29BF0E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eastAsia="lt-LT"/>
          <w14:ligatures w14:val="none"/>
        </w:rPr>
      </w:pPr>
    </w:p>
    <w:p w14:paraId="537581EB"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roofErr w:type="spellStart"/>
      <w:r w:rsidRPr="001C66E1">
        <w:rPr>
          <w:rFonts w:ascii="Times New Roman" w:eastAsia="Times New Roman" w:hAnsi="Times New Roman" w:cs="Times New Roman"/>
          <w:b/>
          <w:kern w:val="0"/>
          <w:sz w:val="22"/>
          <w:szCs w:val="22"/>
          <w:lang w:val="lt-LT"/>
          <w14:ligatures w14:val="none"/>
        </w:rPr>
        <w:t>Tobrex</w:t>
      </w:r>
      <w:proofErr w:type="spellEnd"/>
      <w:r w:rsidRPr="001C66E1">
        <w:rPr>
          <w:rFonts w:ascii="Times New Roman" w:eastAsia="Times New Roman" w:hAnsi="Times New Roman" w:cs="Times New Roman"/>
          <w:b/>
          <w:kern w:val="0"/>
          <w:sz w:val="22"/>
          <w:szCs w:val="22"/>
          <w:lang w:val="lt-LT"/>
          <w14:ligatures w14:val="none"/>
        </w:rPr>
        <w:t xml:space="preserve"> sudėtyje yra boro rūgšties</w:t>
      </w:r>
    </w:p>
    <w:p w14:paraId="5E05F075" w14:textId="77777777" w:rsidR="00EB63AA" w:rsidRPr="001C66E1" w:rsidRDefault="00EB63AA" w:rsidP="00EB63AA">
      <w:pPr>
        <w:autoSpaceDE w:val="0"/>
        <w:autoSpaceDN w:val="0"/>
        <w:adjustRightInd w:val="0"/>
        <w:spacing w:after="0" w:line="240" w:lineRule="auto"/>
        <w:rPr>
          <w:rFonts w:ascii="Verdana" w:eastAsia="Calibri" w:hAnsi="Verdana" w:cs="Verdana"/>
          <w:kern w:val="0"/>
          <w:sz w:val="16"/>
          <w:szCs w:val="16"/>
          <w:lang w:val="lt-LT"/>
          <w14:ligatures w14:val="none"/>
        </w:rPr>
      </w:pPr>
      <w:r w:rsidRPr="001C66E1">
        <w:rPr>
          <w:rFonts w:ascii="Times New Roman" w:eastAsia="Times New Roman" w:hAnsi="Times New Roman" w:cs="Times New Roman"/>
          <w:kern w:val="0"/>
          <w:sz w:val="22"/>
          <w:szCs w:val="22"/>
          <w:lang w:val="lt-LT" w:eastAsia="lt-LT"/>
          <w14:ligatures w14:val="none"/>
        </w:rPr>
        <w:t>Neduokite daugiau kaip 14 akių lašų per parą jaunesniems kaip 2 metų vaikams, kadangi šio vaisto sudėtyje yra boro, kuris ateityje gali pakenkti vaisingumui</w:t>
      </w:r>
      <w:r w:rsidRPr="001C66E1">
        <w:rPr>
          <w:rFonts w:ascii="Verdana" w:eastAsia="Calibri" w:hAnsi="Verdana" w:cs="Verdana"/>
          <w:kern w:val="0"/>
          <w:sz w:val="16"/>
          <w:szCs w:val="16"/>
          <w:lang w:val="lt-LT"/>
          <w14:ligatures w14:val="none"/>
        </w:rPr>
        <w:t>.</w:t>
      </w:r>
    </w:p>
    <w:p w14:paraId="24E69B69" w14:textId="77777777" w:rsidR="00EB63AA" w:rsidRPr="001C66E1" w:rsidRDefault="00EB63AA" w:rsidP="00EB63AA">
      <w:pPr>
        <w:autoSpaceDE w:val="0"/>
        <w:autoSpaceDN w:val="0"/>
        <w:adjustRightInd w:val="0"/>
        <w:spacing w:after="0" w:line="240" w:lineRule="auto"/>
        <w:rPr>
          <w:rFonts w:ascii="Verdana" w:eastAsia="Calibri" w:hAnsi="Verdana" w:cs="Verdana"/>
          <w:kern w:val="0"/>
          <w:sz w:val="16"/>
          <w:szCs w:val="16"/>
          <w:lang w:val="lt-LT"/>
          <w14:ligatures w14:val="none"/>
        </w:rPr>
      </w:pPr>
      <w:r w:rsidRPr="001C66E1">
        <w:rPr>
          <w:rFonts w:ascii="Times New Roman" w:eastAsia="Times New Roman" w:hAnsi="Times New Roman" w:cs="Times New Roman"/>
          <w:kern w:val="0"/>
          <w:sz w:val="22"/>
          <w:szCs w:val="22"/>
          <w:lang w:val="lt-LT" w:eastAsia="lt-LT"/>
          <w14:ligatures w14:val="none"/>
        </w:rPr>
        <w:t>Neduokite daugiau kaip 46 akių lašų per parą jaunesniems kaip 12 metų vaikams, kadangi šio vaisto sudėtyje yra boro, kuris ateityje gali pakenkti vaisingumui</w:t>
      </w:r>
      <w:r w:rsidRPr="001C66E1">
        <w:rPr>
          <w:rFonts w:ascii="Verdana" w:eastAsia="Calibri" w:hAnsi="Verdana" w:cs="Verdana"/>
          <w:kern w:val="0"/>
          <w:sz w:val="16"/>
          <w:szCs w:val="16"/>
          <w:lang w:val="lt-LT"/>
          <w14:ligatures w14:val="none"/>
        </w:rPr>
        <w:t xml:space="preserve">. </w:t>
      </w:r>
    </w:p>
    <w:p w14:paraId="3DE4DBFE"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0FD878BE"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7E9CBFDA" w14:textId="77777777" w:rsidR="00EB63AA" w:rsidRPr="001C66E1" w:rsidRDefault="00EB63AA" w:rsidP="00EB63AA">
      <w:pPr>
        <w:keepNext/>
        <w:numPr>
          <w:ilvl w:val="0"/>
          <w:numId w:val="2"/>
        </w:numPr>
        <w:spacing w:after="0" w:line="240" w:lineRule="auto"/>
        <w:ind w:left="540" w:hanging="540"/>
        <w:outlineLvl w:val="0"/>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 xml:space="preserve">Kaip vartoti </w:t>
      </w:r>
      <w:proofErr w:type="spellStart"/>
      <w:r w:rsidRPr="001C66E1">
        <w:rPr>
          <w:rFonts w:ascii="Times New Roman" w:eastAsia="Times New Roman" w:hAnsi="Times New Roman" w:cs="Times New Roman"/>
          <w:b/>
          <w:kern w:val="0"/>
          <w:sz w:val="22"/>
          <w:szCs w:val="22"/>
          <w:lang w:val="lt-LT"/>
          <w14:ligatures w14:val="none"/>
        </w:rPr>
        <w:t>Tobrex</w:t>
      </w:r>
      <w:proofErr w:type="spellEnd"/>
    </w:p>
    <w:p w14:paraId="5E78FC30"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26FB02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Visada vartokite šį vaistą tiksliai, kaip nurodė gydytojas. Jeigu abejojate, kreipkitės į gydytoją arba vaistininką. </w:t>
      </w:r>
    </w:p>
    <w:p w14:paraId="71C5A58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Gydytojas pasakys, kaip ilgai vartoti vaisto.</w:t>
      </w:r>
    </w:p>
    <w:p w14:paraId="466C1252" w14:textId="77777777" w:rsidR="00EB63AA" w:rsidRPr="001C66E1" w:rsidRDefault="00EB63AA" w:rsidP="00EB63AA">
      <w:pPr>
        <w:spacing w:after="0" w:line="240" w:lineRule="auto"/>
        <w:rPr>
          <w:rFonts w:ascii="Times New Roman" w:eastAsia="Times New Roman" w:hAnsi="Times New Roman" w:cs="Times New Roman"/>
          <w:kern w:val="0"/>
          <w:sz w:val="22"/>
          <w:szCs w:val="22"/>
          <w14:ligatures w14:val="none"/>
        </w:rPr>
      </w:pPr>
      <w:r w:rsidRPr="001C66E1">
        <w:rPr>
          <w:rFonts w:ascii="Times New Roman" w:eastAsia="Times New Roman" w:hAnsi="Times New Roman" w:cs="Times New Roman"/>
          <w:kern w:val="0"/>
          <w:sz w:val="22"/>
          <w:szCs w:val="22"/>
          <w:lang w:val="lt-LT"/>
          <w14:ligatures w14:val="none"/>
        </w:rPr>
        <w:t>Negalima staiga nutraukti gydymo, net jei būklė pagerėjo.</w:t>
      </w:r>
    </w:p>
    <w:p w14:paraId="3B07AB62"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Suaugusiesiems (taip pat senyviems žmonėms) ir vyresniems nei 1 metų vaikams ir paaugliams.</w:t>
      </w:r>
    </w:p>
    <w:p w14:paraId="30468F0B"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Įprastinė dozė: 1 akių lašas reguliariais intervalais kas keturias valandas.</w:t>
      </w:r>
    </w:p>
    <w:p w14:paraId="1DEA5491"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Sunkiai infekcinei ligai gydyti vartojami 2 akių lašai į akių junginės maišelį kas valandą. Būklei pagerėjus, palaipsniui sumažinti vartojimo intervalus. Negalima staiga nutraukti gydymo.</w:t>
      </w:r>
    </w:p>
    <w:p w14:paraId="41BB01A9"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3E3B9912"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Vartokite po tiek, jei gydytojas nenurodė kitaip. Į abi akis vartokite tik, jei gydytojas taip paskyrė.</w:t>
      </w:r>
    </w:p>
    <w:p w14:paraId="0F6C17DE"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40DC4856"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Įprastinė gydymo trukmė – 7±1 diena. </w:t>
      </w:r>
    </w:p>
    <w:p w14:paraId="5DCFD6EB"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0974E0BF"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lastRenderedPageBreak/>
        <w:t>Jei kartu vartojama kitokių akių lašų ar tepalo, tarp jų vartojimo reikia daryti mažiausiai 5 min. pertrauką. Akių tepalą reikia vartoti paskiausiai.</w:t>
      </w:r>
    </w:p>
    <w:p w14:paraId="63DEBE06"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732CE6AF"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galima vartoti tik ant akių.</w:t>
      </w:r>
    </w:p>
    <w:p w14:paraId="1C9AC71B"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78D51047"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Vartojimas vaikams ir paaugliams</w:t>
      </w:r>
    </w:p>
    <w:p w14:paraId="20DE59D9"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1 metų ir vyresniems vaikams ir paaugliams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akių lašus galima vartoti tokiomis pačiomis dozėmis, kaip ir suaugusiesiems. Kadangi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sudėtyje yra boro, didžiausia leistina suminė dozė ant abiejų akių vaikams nuo 1 iki &lt; 2 metų yra 14 akių lašų per parą, o nuo 2 iki &lt; 12 metų – 46 akių lašai per parą.</w:t>
      </w:r>
    </w:p>
    <w:p w14:paraId="0D299C99"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Šio vaisto veiksmingumas ir saugumas jaunesniems kaip 1 metų vaikams nenustatytas.</w:t>
      </w:r>
    </w:p>
    <w:p w14:paraId="106946FE"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Jeigu kiltų daugiau klausimų dėl šio vaisto vartojimo, kreipkitės į gydytoją.</w:t>
      </w:r>
    </w:p>
    <w:p w14:paraId="31D53499"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5B4F9F82"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Pacientams, kurių kepenų ir inkstų funkcija sutrikusi</w:t>
      </w:r>
    </w:p>
    <w:p w14:paraId="18A71479"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Šių pacientų gydymas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akių lašais netirtas. Akims vartojamo </w:t>
      </w:r>
      <w:proofErr w:type="spellStart"/>
      <w:r w:rsidRPr="001C66E1">
        <w:rPr>
          <w:rFonts w:ascii="Times New Roman" w:eastAsia="Times New Roman" w:hAnsi="Times New Roman" w:cs="Times New Roman"/>
          <w:kern w:val="0"/>
          <w:sz w:val="22"/>
          <w:szCs w:val="22"/>
          <w:lang w:val="lt-LT"/>
          <w14:ligatures w14:val="none"/>
        </w:rPr>
        <w:t>tobramicino</w:t>
      </w:r>
      <w:proofErr w:type="spellEnd"/>
      <w:r w:rsidRPr="001C66E1">
        <w:rPr>
          <w:rFonts w:ascii="Times New Roman" w:eastAsia="Times New Roman" w:hAnsi="Times New Roman" w:cs="Times New Roman"/>
          <w:kern w:val="0"/>
          <w:sz w:val="22"/>
          <w:szCs w:val="22"/>
          <w:lang w:val="lt-LT"/>
          <w14:ligatures w14:val="none"/>
        </w:rPr>
        <w:t xml:space="preserve"> sisteminė absorbcija yra labai maža. Jei tuo pačiu metu gydoma sisteminio poveikio </w:t>
      </w:r>
      <w:proofErr w:type="spellStart"/>
      <w:r w:rsidRPr="001C66E1">
        <w:rPr>
          <w:rFonts w:ascii="Times New Roman" w:eastAsia="Times New Roman" w:hAnsi="Times New Roman" w:cs="Times New Roman"/>
          <w:kern w:val="0"/>
          <w:sz w:val="22"/>
          <w:szCs w:val="22"/>
          <w:lang w:val="lt-LT"/>
          <w14:ligatures w14:val="none"/>
        </w:rPr>
        <w:t>aminoglikozidų</w:t>
      </w:r>
      <w:proofErr w:type="spellEnd"/>
      <w:r w:rsidRPr="001C66E1">
        <w:rPr>
          <w:rFonts w:ascii="Times New Roman" w:eastAsia="Times New Roman" w:hAnsi="Times New Roman" w:cs="Times New Roman"/>
          <w:kern w:val="0"/>
          <w:sz w:val="22"/>
          <w:szCs w:val="22"/>
          <w:lang w:val="lt-LT"/>
          <w14:ligatures w14:val="none"/>
        </w:rPr>
        <w:t xml:space="preserve"> grupės antibiotikais, reikėtų matuoti bendrąją jų koncentraciją serume, kad būtų galima palaikyti tinkamą gydomąją koncentraciją.</w:t>
      </w:r>
    </w:p>
    <w:p w14:paraId="5CC91C0E"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2A462479"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Pavartojus vaisto rekomenduojama užsimerkti ir užspausti nosinį ašarų kanalą. Tai gali sumažinti vaisto absorbciją ir sisteminį šalutinį poveikį.</w:t>
      </w:r>
    </w:p>
    <w:p w14:paraId="5FF1F233"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5FE569DD"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skirtas tik Jūsų akims.</w:t>
      </w:r>
    </w:p>
    <w:p w14:paraId="7F1B2D3B"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50A32A7E"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Vartojimo metodas</w:t>
      </w:r>
      <w:r>
        <w:rPr>
          <w:rFonts w:ascii="Times New Roman" w:eastAsia="Times New Roman" w:hAnsi="Times New Roman" w:cs="Times New Roman"/>
          <w:b/>
          <w:i/>
          <w:noProof/>
          <w:kern w:val="0"/>
          <w:sz w:val="22"/>
          <w:szCs w:val="22"/>
          <w:lang w:val="lt-LT"/>
          <w14:ligatures w14:val="none"/>
        </w:rPr>
        <w:object w:dxaOrig="1440" w:dyaOrig="1440" w14:anchorId="61FFE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37.35pt;width:89.6pt;height:90.25pt;z-index:-251653120;visibility:visible;mso-wrap-edited:f;mso-position-horizontal-relative:text;mso-position-vertical-relative:text" wrapcoords="-140 0 -140 21461 21600 21461 21600 0 -140 0" o:allowincell="f" fillcolor="window">
            <v:imagedata r:id="rId5" o:title=""/>
          </v:shape>
          <o:OLEObject Type="Embed" ProgID="Word.Picture.8" ShapeID="_x0000_s1026" DrawAspect="Content" ObjectID="_1832498473" r:id="rId6"/>
        </w:object>
      </w:r>
    </w:p>
    <w:p w14:paraId="1EA1F992"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62336" behindDoc="0" locked="0" layoutInCell="0" allowOverlap="1" wp14:anchorId="40D99C1C" wp14:editId="7746AE31">
            <wp:simplePos x="0" y="0"/>
            <wp:positionH relativeFrom="column">
              <wp:posOffset>4951730</wp:posOffset>
            </wp:positionH>
            <wp:positionV relativeFrom="paragraph">
              <wp:posOffset>294640</wp:posOffset>
            </wp:positionV>
            <wp:extent cx="1005840" cy="1002030"/>
            <wp:effectExtent l="19050" t="0" r="3810" b="0"/>
            <wp:wrapTopAndBottom/>
            <wp:docPr id="1" name="Picture 1"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7"/>
                    <pic:cNvPicPr>
                      <a:picLocks noChangeAspect="1" noChangeArrowheads="1"/>
                    </pic:cNvPicPr>
                  </pic:nvPicPr>
                  <pic:blipFill>
                    <a:blip r:embed="rId7"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59264" behindDoc="1" locked="0" layoutInCell="0" allowOverlap="1" wp14:anchorId="6D958DB3" wp14:editId="1D6A0EA1">
            <wp:simplePos x="0" y="0"/>
            <wp:positionH relativeFrom="column">
              <wp:posOffset>1385570</wp:posOffset>
            </wp:positionH>
            <wp:positionV relativeFrom="paragraph">
              <wp:posOffset>34925</wp:posOffset>
            </wp:positionV>
            <wp:extent cx="1828800" cy="1503045"/>
            <wp:effectExtent l="19050" t="0" r="0" b="0"/>
            <wp:wrapNone/>
            <wp:docPr id="2" name="Picture 2" descr="A drawing of a person's hand us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rson's hand using a dropper&#10;&#10;AI-generated content may be incorrect."/>
                    <pic:cNvPicPr>
                      <a:picLocks noChangeAspect="1" noChangeArrowheads="1"/>
                    </pic:cNvPicPr>
                  </pic:nvPicPr>
                  <pic:blipFill>
                    <a:blip r:embed="rId8" cstate="print"/>
                    <a:srcRect/>
                    <a:stretch>
                      <a:fillRect/>
                    </a:stretch>
                  </pic:blipFill>
                  <pic:spPr bwMode="auto">
                    <a:xfrm>
                      <a:off x="0" y="0"/>
                      <a:ext cx="1828800" cy="1503045"/>
                    </a:xfrm>
                    <a:prstGeom prst="rect">
                      <a:avLst/>
                    </a:prstGeom>
                    <a:noFill/>
                    <a:ln w="9525">
                      <a:noFill/>
                      <a:miter lim="800000"/>
                      <a:headEnd/>
                      <a:tailEnd/>
                    </a:ln>
                  </pic:spPr>
                </pic:pic>
              </a:graphicData>
            </a:graphic>
          </wp:anchor>
        </w:drawing>
      </w: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60288" behindDoc="1" locked="0" layoutInCell="0" allowOverlap="1" wp14:anchorId="08C0010C" wp14:editId="48F4D292">
            <wp:simplePos x="0" y="0"/>
            <wp:positionH relativeFrom="column">
              <wp:posOffset>3122930</wp:posOffset>
            </wp:positionH>
            <wp:positionV relativeFrom="paragraph">
              <wp:posOffset>127635</wp:posOffset>
            </wp:positionV>
            <wp:extent cx="1737360" cy="1370330"/>
            <wp:effectExtent l="19050" t="0" r="0" b="0"/>
            <wp:wrapNone/>
            <wp:docPr id="3" name="Picture 3"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and holding a dropper&#10;&#10;AI-generated content may be incorrect."/>
                    <pic:cNvPicPr>
                      <a:picLocks noChangeAspect="1" noChangeArrowheads="1"/>
                    </pic:cNvPicPr>
                  </pic:nvPicPr>
                  <pic:blipFill>
                    <a:blip r:embed="rId9" cstate="print"/>
                    <a:srcRect/>
                    <a:stretch>
                      <a:fillRect/>
                    </a:stretch>
                  </pic:blipFill>
                  <pic:spPr bwMode="auto">
                    <a:xfrm>
                      <a:off x="0" y="0"/>
                      <a:ext cx="1737360" cy="1370330"/>
                    </a:xfrm>
                    <a:prstGeom prst="rect">
                      <a:avLst/>
                    </a:prstGeom>
                    <a:noFill/>
                  </pic:spPr>
                </pic:pic>
              </a:graphicData>
            </a:graphic>
          </wp:anchor>
        </w:drawing>
      </w: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61312" behindDoc="0" locked="0" layoutInCell="0" allowOverlap="1" wp14:anchorId="733F0121" wp14:editId="531B43E0">
            <wp:simplePos x="0" y="0"/>
            <wp:positionH relativeFrom="column">
              <wp:posOffset>4951730</wp:posOffset>
            </wp:positionH>
            <wp:positionV relativeFrom="paragraph">
              <wp:posOffset>144780</wp:posOffset>
            </wp:positionV>
            <wp:extent cx="1005840" cy="1002030"/>
            <wp:effectExtent l="19050" t="0" r="3810" b="0"/>
            <wp:wrapTopAndBottom/>
            <wp:docPr id="4"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7"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p>
    <w:p w14:paraId="46F008B1" w14:textId="77777777" w:rsidR="00EB63AA" w:rsidRPr="001C66E1" w:rsidRDefault="00EB63AA" w:rsidP="00EB63AA">
      <w:pPr>
        <w:widowControl w:val="0"/>
        <w:numPr>
          <w:ilvl w:val="12"/>
          <w:numId w:val="0"/>
        </w:numPr>
        <w:suppressAutoHyphens/>
        <w:spacing w:after="0" w:line="240" w:lineRule="auto"/>
        <w:ind w:right="-2"/>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b/>
        <w:t>1</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2</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3</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4</w:t>
      </w:r>
    </w:p>
    <w:p w14:paraId="018A400D"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2FC7ECB8"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Paimkite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w:t>
      </w:r>
      <w:proofErr w:type="spellStart"/>
      <w:r w:rsidRPr="001C66E1">
        <w:rPr>
          <w:rFonts w:ascii="Times New Roman" w:eastAsia="Times New Roman" w:hAnsi="Times New Roman" w:cs="Times New Roman"/>
          <w:kern w:val="0"/>
          <w:sz w:val="22"/>
          <w:szCs w:val="22"/>
          <w:lang w:val="lt-LT"/>
          <w14:ligatures w14:val="none"/>
        </w:rPr>
        <w:t>talpyklę</w:t>
      </w:r>
      <w:proofErr w:type="spellEnd"/>
      <w:r w:rsidRPr="001C66E1">
        <w:rPr>
          <w:rFonts w:ascii="Times New Roman" w:eastAsia="Times New Roman" w:hAnsi="Times New Roman" w:cs="Times New Roman"/>
          <w:kern w:val="0"/>
          <w:sz w:val="22"/>
          <w:szCs w:val="22"/>
          <w:lang w:val="lt-LT"/>
          <w14:ligatures w14:val="none"/>
        </w:rPr>
        <w:t xml:space="preserve"> ir veidrodį.</w:t>
      </w:r>
    </w:p>
    <w:p w14:paraId="23D118F3"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Nusiplaukite rankas.</w:t>
      </w:r>
    </w:p>
    <w:p w14:paraId="27B6F9E8"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Atsukite </w:t>
      </w:r>
      <w:proofErr w:type="spellStart"/>
      <w:r w:rsidRPr="001C66E1">
        <w:rPr>
          <w:rFonts w:ascii="Times New Roman" w:eastAsia="Times New Roman" w:hAnsi="Times New Roman" w:cs="Times New Roman"/>
          <w:kern w:val="0"/>
          <w:sz w:val="22"/>
          <w:szCs w:val="22"/>
          <w:lang w:val="lt-LT"/>
          <w14:ligatures w14:val="none"/>
        </w:rPr>
        <w:t>talpyklės</w:t>
      </w:r>
      <w:proofErr w:type="spellEnd"/>
      <w:r w:rsidRPr="001C66E1">
        <w:rPr>
          <w:rFonts w:ascii="Times New Roman" w:eastAsia="Times New Roman" w:hAnsi="Times New Roman" w:cs="Times New Roman"/>
          <w:kern w:val="0"/>
          <w:sz w:val="22"/>
          <w:szCs w:val="22"/>
          <w:lang w:val="lt-LT"/>
          <w14:ligatures w14:val="none"/>
        </w:rPr>
        <w:t xml:space="preserve"> dangtelį.</w:t>
      </w:r>
      <w:r w:rsidRPr="001C66E1">
        <w:rPr>
          <w:rFonts w:ascii="Times New Roman" w:eastAsia="Times New Roman" w:hAnsi="Times New Roman" w:cs="Times New Roman"/>
          <w:bCs/>
          <w:kern w:val="0"/>
          <w:sz w:val="22"/>
          <w:szCs w:val="22"/>
          <w:lang w:val="lt-LT"/>
          <w14:ligatures w14:val="none"/>
        </w:rPr>
        <w:t xml:space="preserve"> Pirmą kartą </w:t>
      </w:r>
      <w:r w:rsidRPr="001C66E1">
        <w:rPr>
          <w:rFonts w:ascii="Times New Roman" w:eastAsia="Times New Roman" w:hAnsi="Times New Roman" w:cs="Times New Roman"/>
          <w:kern w:val="0"/>
          <w:sz w:val="22"/>
          <w:szCs w:val="22"/>
          <w:lang w:val="lt-LT"/>
          <w14:ligatures w14:val="none"/>
        </w:rPr>
        <w:t xml:space="preserve">atidarę </w:t>
      </w:r>
      <w:proofErr w:type="spellStart"/>
      <w:r w:rsidRPr="001C66E1">
        <w:rPr>
          <w:rFonts w:ascii="Times New Roman" w:eastAsia="Times New Roman" w:hAnsi="Times New Roman" w:cs="Times New Roman"/>
          <w:kern w:val="0"/>
          <w:sz w:val="22"/>
          <w:szCs w:val="22"/>
          <w:lang w:val="lt-LT"/>
          <w14:ligatures w14:val="none"/>
        </w:rPr>
        <w:t>talpyklę</w:t>
      </w:r>
      <w:proofErr w:type="spellEnd"/>
      <w:r w:rsidRPr="001C66E1">
        <w:rPr>
          <w:rFonts w:ascii="Times New Roman" w:eastAsia="Times New Roman" w:hAnsi="Times New Roman" w:cs="Times New Roman"/>
          <w:kern w:val="0"/>
          <w:sz w:val="22"/>
          <w:szCs w:val="22"/>
          <w:lang w:val="lt-LT"/>
          <w14:ligatures w14:val="none"/>
        </w:rPr>
        <w:t xml:space="preserve"> nuimkite dangtelio žiedelį, jei jis atsilaisvina.</w:t>
      </w:r>
    </w:p>
    <w:p w14:paraId="319E1063"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Laikykite apverstą </w:t>
      </w:r>
      <w:proofErr w:type="spellStart"/>
      <w:r w:rsidRPr="001C66E1">
        <w:rPr>
          <w:rFonts w:ascii="Times New Roman" w:eastAsia="Times New Roman" w:hAnsi="Times New Roman" w:cs="Times New Roman"/>
          <w:kern w:val="0"/>
          <w:sz w:val="22"/>
          <w:szCs w:val="22"/>
          <w:lang w:val="lt-LT"/>
          <w14:ligatures w14:val="none"/>
        </w:rPr>
        <w:t>talpyklę</w:t>
      </w:r>
      <w:proofErr w:type="spellEnd"/>
      <w:r w:rsidRPr="001C66E1">
        <w:rPr>
          <w:rFonts w:ascii="Times New Roman" w:eastAsia="Times New Roman" w:hAnsi="Times New Roman" w:cs="Times New Roman"/>
          <w:kern w:val="0"/>
          <w:sz w:val="22"/>
          <w:szCs w:val="22"/>
          <w:lang w:val="lt-LT"/>
          <w14:ligatures w14:val="none"/>
        </w:rPr>
        <w:t xml:space="preserve"> vienos rankos nykščiu ir didžiuoju pirštu (1 pav.).</w:t>
      </w:r>
    </w:p>
    <w:p w14:paraId="17E772A8"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Atloškite galvą. Kitos rankos smiliumi atsargiai patraukite žemyn apatinį voką, kad tarp voko ir akies obuolio susidarytų kišenėlė (2 pav.).</w:t>
      </w:r>
    </w:p>
    <w:p w14:paraId="25265A35"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Laikykite lašintuvo galą virš akies. Naudokitės veidrodžiu, jei tai padeda.</w:t>
      </w:r>
    </w:p>
    <w:p w14:paraId="4B5F63CE"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Nelieskite lašintuvo galu akies, voko ar kito paviršiaus,</w:t>
      </w:r>
      <w:r w:rsidRPr="001C66E1">
        <w:rPr>
          <w:rFonts w:ascii="Times New Roman" w:eastAsia="Times New Roman" w:hAnsi="Times New Roman" w:cs="Times New Roman"/>
          <w:b/>
          <w:kern w:val="0"/>
          <w:sz w:val="22"/>
          <w:szCs w:val="22"/>
          <w:lang w:val="lt-LT"/>
          <w14:ligatures w14:val="none"/>
        </w:rPr>
        <w:t xml:space="preserve"> </w:t>
      </w:r>
      <w:r w:rsidRPr="001C66E1">
        <w:rPr>
          <w:rFonts w:ascii="Times New Roman" w:eastAsia="Times New Roman" w:hAnsi="Times New Roman" w:cs="Times New Roman"/>
          <w:kern w:val="0"/>
          <w:sz w:val="22"/>
          <w:szCs w:val="22"/>
          <w:lang w:val="lt-LT"/>
          <w14:ligatures w14:val="none"/>
        </w:rPr>
        <w:t>nes lašai gali užsiteršti.</w:t>
      </w:r>
    </w:p>
    <w:p w14:paraId="2584AF0A"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Lengvai paspauskite smiliumi </w:t>
      </w:r>
      <w:proofErr w:type="spellStart"/>
      <w:r w:rsidRPr="001C66E1">
        <w:rPr>
          <w:rFonts w:ascii="Times New Roman" w:eastAsia="Times New Roman" w:hAnsi="Times New Roman" w:cs="Times New Roman"/>
          <w:kern w:val="0"/>
          <w:sz w:val="22"/>
          <w:szCs w:val="22"/>
          <w:lang w:val="lt-LT"/>
          <w14:ligatures w14:val="none"/>
        </w:rPr>
        <w:t>talpyklės</w:t>
      </w:r>
      <w:proofErr w:type="spellEnd"/>
      <w:r w:rsidRPr="001C66E1">
        <w:rPr>
          <w:rFonts w:ascii="Times New Roman" w:eastAsia="Times New Roman" w:hAnsi="Times New Roman" w:cs="Times New Roman"/>
          <w:kern w:val="0"/>
          <w:sz w:val="22"/>
          <w:szCs w:val="22"/>
          <w:lang w:val="lt-LT"/>
          <w14:ligatures w14:val="none"/>
        </w:rPr>
        <w:t xml:space="preserve"> dugną, kad </w:t>
      </w: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lašas įlašėtų į plyšį tarp akies ir apatinio voko (3 pav.).</w:t>
      </w:r>
    </w:p>
    <w:p w14:paraId="6E3BE2A7"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Atleiskite apatinį voką, užsimerkite ir nestipriai užspauskite pirštu akies kampą prie nosies (4 pav.), kad mažiau vaisto patektų į visą organizmą.</w:t>
      </w:r>
    </w:p>
    <w:p w14:paraId="0A732093"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Jei reikia, tokiu pačiu būdu vartokite vaisto į kitą akį. </w:t>
      </w:r>
    </w:p>
    <w:p w14:paraId="7DB55D46" w14:textId="77777777" w:rsidR="00EB63AA" w:rsidRPr="001C66E1" w:rsidRDefault="00EB63AA" w:rsidP="00EB63AA">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Uždėkite ir sandariai užsukite </w:t>
      </w:r>
      <w:proofErr w:type="spellStart"/>
      <w:r w:rsidRPr="001C66E1">
        <w:rPr>
          <w:rFonts w:ascii="Times New Roman" w:eastAsia="Times New Roman" w:hAnsi="Times New Roman" w:cs="Times New Roman"/>
          <w:kern w:val="0"/>
          <w:sz w:val="22"/>
          <w:szCs w:val="22"/>
          <w:lang w:val="lt-LT"/>
          <w14:ligatures w14:val="none"/>
        </w:rPr>
        <w:t>talpyklės</w:t>
      </w:r>
      <w:proofErr w:type="spellEnd"/>
      <w:r w:rsidRPr="001C66E1">
        <w:rPr>
          <w:rFonts w:ascii="Times New Roman" w:eastAsia="Times New Roman" w:hAnsi="Times New Roman" w:cs="Times New Roman"/>
          <w:kern w:val="0"/>
          <w:sz w:val="22"/>
          <w:szCs w:val="22"/>
          <w:lang w:val="lt-LT"/>
          <w14:ligatures w14:val="none"/>
        </w:rPr>
        <w:t xml:space="preserve"> dangtelį.</w:t>
      </w:r>
    </w:p>
    <w:p w14:paraId="31C83746"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8FD412F" w14:textId="77777777" w:rsidR="00EB63AA" w:rsidRPr="001C66E1" w:rsidRDefault="00EB63AA" w:rsidP="00EB63AA">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1C66E1">
        <w:rPr>
          <w:rFonts w:ascii="Times New Roman" w:eastAsia="Times New Roman" w:hAnsi="Times New Roman" w:cs="Times New Roman"/>
          <w:b/>
          <w:bCs/>
          <w:kern w:val="0"/>
          <w:sz w:val="22"/>
          <w:szCs w:val="22"/>
          <w:lang w:val="lt-LT"/>
          <w14:ligatures w14:val="none"/>
        </w:rPr>
        <w:t>Tobrex</w:t>
      </w:r>
      <w:proofErr w:type="spellEnd"/>
      <w:r w:rsidRPr="001C66E1">
        <w:rPr>
          <w:rFonts w:ascii="Times New Roman" w:eastAsia="Times New Roman" w:hAnsi="Times New Roman" w:cs="Times New Roman"/>
          <w:b/>
          <w:bCs/>
          <w:kern w:val="0"/>
          <w:sz w:val="22"/>
          <w:szCs w:val="22"/>
          <w:lang w:val="lt-LT"/>
          <w14:ligatures w14:val="none"/>
        </w:rPr>
        <w:t xml:space="preserve"> dozę</w:t>
      </w:r>
    </w:p>
    <w:p w14:paraId="56BA9039" w14:textId="77777777" w:rsidR="00EB63AA" w:rsidRPr="001C66E1" w:rsidRDefault="00EB63AA" w:rsidP="00EB63AA">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akių lašų perteklių iš akies (akių) galima išplauti drungnu vandeniu. Vis dėlto šalutinis poveikis nėra tikėtinas. Daugiau produkto nevartokite, toliau vartokite įprastu laiku.</w:t>
      </w:r>
    </w:p>
    <w:p w14:paraId="4E3BC6FA" w14:textId="77777777" w:rsidR="00EB63AA" w:rsidRPr="001C66E1" w:rsidRDefault="00EB63AA" w:rsidP="00EB63AA">
      <w:pPr>
        <w:spacing w:after="0" w:line="220" w:lineRule="exact"/>
        <w:rPr>
          <w:rFonts w:ascii="Times New Roman" w:eastAsia="Times New Roman" w:hAnsi="Times New Roman" w:cs="Times New Roman"/>
          <w:b/>
          <w:bCs/>
          <w:kern w:val="0"/>
          <w:sz w:val="22"/>
          <w:szCs w:val="22"/>
          <w:lang w:val="lt-LT"/>
          <w14:ligatures w14:val="none"/>
        </w:rPr>
      </w:pPr>
    </w:p>
    <w:p w14:paraId="664D50B7" w14:textId="77777777" w:rsidR="00EB63AA" w:rsidRPr="001C66E1" w:rsidRDefault="00EB63AA" w:rsidP="00EB63AA">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lastRenderedPageBreak/>
        <w:t xml:space="preserve">Pamiršus pavartoti </w:t>
      </w:r>
      <w:proofErr w:type="spellStart"/>
      <w:r w:rsidRPr="001C66E1">
        <w:rPr>
          <w:rFonts w:ascii="Times New Roman" w:eastAsia="Times New Roman" w:hAnsi="Times New Roman" w:cs="Times New Roman"/>
          <w:b/>
          <w:bCs/>
          <w:kern w:val="0"/>
          <w:sz w:val="22"/>
          <w:szCs w:val="22"/>
          <w:lang w:val="lt-LT"/>
          <w14:ligatures w14:val="none"/>
        </w:rPr>
        <w:t>Tobrex</w:t>
      </w:r>
      <w:proofErr w:type="spellEnd"/>
    </w:p>
    <w:p w14:paraId="3F1E6BE6"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Vartokite, kai tik prisiminsite. Jei beveik atėjęs laikas vartoti vaistą kitą kartą, praleiskite užmirštąją dozę ir toliau vartokite įprastu laiku. Negalima vartoti dvigubos dozės norint kompensuoti praleistą dozę.</w:t>
      </w:r>
    </w:p>
    <w:p w14:paraId="0D1E3438"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5AC5FDC4"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 nepataikėte pavartoti, vartokite dar kartą.</w:t>
      </w:r>
    </w:p>
    <w:p w14:paraId="78A53598"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75060FE9"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 xml:space="preserve">Nustojus vartoti </w:t>
      </w:r>
      <w:proofErr w:type="spellStart"/>
      <w:r w:rsidRPr="001C66E1">
        <w:rPr>
          <w:rFonts w:ascii="Times New Roman" w:eastAsia="Times New Roman" w:hAnsi="Times New Roman" w:cs="Times New Roman"/>
          <w:b/>
          <w:kern w:val="0"/>
          <w:sz w:val="22"/>
          <w:szCs w:val="22"/>
          <w:lang w:val="lt-LT"/>
          <w14:ligatures w14:val="none"/>
        </w:rPr>
        <w:t>Tobrex</w:t>
      </w:r>
      <w:proofErr w:type="spellEnd"/>
    </w:p>
    <w:p w14:paraId="049D5C0D" w14:textId="77777777" w:rsidR="00EB63AA" w:rsidRPr="001C66E1" w:rsidRDefault="00EB63AA" w:rsidP="00EB63AA">
      <w:pPr>
        <w:numPr>
          <w:ilvl w:val="12"/>
          <w:numId w:val="0"/>
        </w:numPr>
        <w:spacing w:after="0" w:line="240" w:lineRule="auto"/>
        <w:ind w:right="-29"/>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23E122AF"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0EFC63C0"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038B7DDE" w14:textId="77777777" w:rsidR="00EB63AA" w:rsidRPr="001C66E1" w:rsidRDefault="00EB63AA" w:rsidP="00EB63AA">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4.</w:t>
      </w:r>
      <w:r w:rsidRPr="001C66E1">
        <w:rPr>
          <w:rFonts w:ascii="Times New Roman" w:eastAsia="Times New Roman" w:hAnsi="Times New Roman" w:cs="Times New Roman"/>
          <w:b/>
          <w:kern w:val="0"/>
          <w:sz w:val="22"/>
          <w:szCs w:val="22"/>
          <w:lang w:val="lt-LT"/>
          <w14:ligatures w14:val="none"/>
        </w:rPr>
        <w:tab/>
        <w:t>Galimas šalutinis poveikis</w:t>
      </w:r>
    </w:p>
    <w:p w14:paraId="19685B35"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537FC483"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Šis vaistas, kaip ir visi kiti, gali sukelti šalutinį poveikį, nors jis pasireiškia ne visiems žmonėms.</w:t>
      </w:r>
    </w:p>
    <w:p w14:paraId="67A2C1A2"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69EB6134" w14:textId="77777777" w:rsidR="00EB63AA" w:rsidRPr="001C66E1" w:rsidRDefault="00EB63AA" w:rsidP="00EB63AA">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Toliau išvardyti šalutiniai poveikiai pastebėti vartojant tobramicino akių lašus:</w:t>
      </w:r>
      <w:r w:rsidRPr="001C66E1">
        <w:rPr>
          <w:rFonts w:ascii="Times New Roman" w:eastAsia="Times New Roman" w:hAnsi="Times New Roman" w:cs="Times New Roman"/>
          <w:kern w:val="0"/>
          <w:sz w:val="22"/>
          <w:szCs w:val="22"/>
          <w:lang w:val="lt-LT"/>
          <w14:ligatures w14:val="none"/>
        </w:rPr>
        <w:t xml:space="preserve"> </w:t>
      </w:r>
    </w:p>
    <w:p w14:paraId="05FD03AD" w14:textId="77777777" w:rsidR="00EB63AA" w:rsidRPr="001C66E1" w:rsidRDefault="00EB63AA" w:rsidP="00EB63AA">
      <w:pPr>
        <w:tabs>
          <w:tab w:val="left" w:pos="567"/>
        </w:tabs>
        <w:spacing w:after="0" w:line="240" w:lineRule="auto"/>
        <w:rPr>
          <w:rFonts w:ascii="Times New Roman" w:eastAsia="Times New Roman" w:hAnsi="Times New Roman" w:cs="Times New Roman"/>
          <w:i/>
          <w:kern w:val="0"/>
          <w:sz w:val="22"/>
          <w:szCs w:val="22"/>
          <w:lang w:val="lt-LT"/>
          <w14:ligatures w14:val="none"/>
        </w:rPr>
      </w:pPr>
    </w:p>
    <w:p w14:paraId="5682BA05" w14:textId="77777777" w:rsidR="00EB63AA" w:rsidRPr="001C66E1" w:rsidRDefault="00EB63AA" w:rsidP="00EB63AA">
      <w:pPr>
        <w:widowControl w:val="0"/>
        <w:spacing w:after="0" w:line="240" w:lineRule="auto"/>
        <w:ind w:right="-2"/>
        <w:rPr>
          <w:rFonts w:ascii="Times New Roman" w:eastAsia="Times New Roman" w:hAnsi="Times New Roman" w:cs="Times New Roman"/>
          <w:b/>
          <w:bCs/>
          <w:noProof/>
          <w:snapToGrid w:val="0"/>
          <w:kern w:val="0"/>
          <w:sz w:val="22"/>
          <w:szCs w:val="22"/>
          <w:lang w:val="lt-LT"/>
          <w14:ligatures w14:val="none"/>
        </w:rPr>
      </w:pPr>
      <w:r w:rsidRPr="001C66E1">
        <w:rPr>
          <w:rFonts w:ascii="Times New Roman" w:eastAsia="Times New Roman" w:hAnsi="Times New Roman" w:cs="Times New Roman"/>
          <w:b/>
          <w:bCs/>
          <w:noProof/>
          <w:snapToGrid w:val="0"/>
          <w:kern w:val="0"/>
          <w:sz w:val="22"/>
          <w:szCs w:val="22"/>
          <w:lang w:val="lt-LT"/>
          <w14:ligatures w14:val="none"/>
        </w:rPr>
        <w:t>Dažni šalutinio poveikio reiškiniai (gali pasireikšti rečiau kaip 1 iš 10 asmenų):</w:t>
      </w:r>
    </w:p>
    <w:p w14:paraId="7027382A" w14:textId="77777777" w:rsidR="00EB63AA" w:rsidRPr="001C66E1" w:rsidRDefault="00EB63AA" w:rsidP="00EB63AA">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Akių sutrikimai: akies diskomfortas, akies paraudimas.</w:t>
      </w:r>
    </w:p>
    <w:p w14:paraId="2BA2A81B" w14:textId="77777777" w:rsidR="00EB63AA" w:rsidRPr="001C66E1" w:rsidRDefault="00EB63AA" w:rsidP="00EB63AA">
      <w:pPr>
        <w:widowControl w:val="0"/>
        <w:spacing w:after="0" w:line="240" w:lineRule="auto"/>
        <w:ind w:right="-2"/>
        <w:rPr>
          <w:rFonts w:ascii="Times New Roman" w:eastAsia="Times New Roman" w:hAnsi="Times New Roman" w:cs="Times New Roman"/>
          <w:i/>
          <w:kern w:val="0"/>
          <w:sz w:val="22"/>
          <w:szCs w:val="22"/>
          <w:lang w:val="lt-LT"/>
          <w14:ligatures w14:val="none"/>
        </w:rPr>
      </w:pPr>
    </w:p>
    <w:p w14:paraId="1A17EF99" w14:textId="77777777" w:rsidR="00EB63AA" w:rsidRPr="001C66E1" w:rsidRDefault="00EB63AA" w:rsidP="00EB63AA">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b/>
          <w:bCs/>
          <w:noProof/>
          <w:snapToGrid w:val="0"/>
          <w:kern w:val="0"/>
          <w:sz w:val="22"/>
          <w:szCs w:val="22"/>
          <w:lang w:val="lt-LT"/>
          <w14:ligatures w14:val="none"/>
        </w:rPr>
        <w:t>Nedažni šalutinio poveikio reiškiniai (gali pasireikšti rečiau kaip 1 iš 100 asmenų):</w:t>
      </w:r>
    </w:p>
    <w:p w14:paraId="234F879E" w14:textId="77777777" w:rsidR="00EB63AA" w:rsidRPr="001C66E1" w:rsidRDefault="00EB63AA" w:rsidP="00EB63AA">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14:paraId="3D12735E" w14:textId="77777777" w:rsidR="00EB63AA" w:rsidRPr="001C66E1" w:rsidRDefault="00EB63AA" w:rsidP="00EB63AA">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Bendrieji sutrikimai: alergija (padidėjęs jautrumas), galvos skausmas, dilgėlinė, odos uždegimas, sumažėjęs blakstienų augimas arba jų skaičius, odos pigmentacijos išnykimas, niežėjimas ir odos sausumas.</w:t>
      </w:r>
    </w:p>
    <w:p w14:paraId="07E0B51E" w14:textId="77777777" w:rsidR="00EB63AA" w:rsidRPr="001C66E1" w:rsidRDefault="00EB63AA" w:rsidP="00EB63AA">
      <w:pPr>
        <w:widowControl w:val="0"/>
        <w:autoSpaceDE w:val="0"/>
        <w:autoSpaceDN w:val="0"/>
        <w:adjustRightInd w:val="0"/>
        <w:spacing w:after="0" w:line="240" w:lineRule="auto"/>
        <w:rPr>
          <w:rFonts w:ascii="Times New Roman" w:eastAsia="Times New Roman" w:hAnsi="Times New Roman" w:cs="Times New Roman"/>
          <w:i/>
          <w:kern w:val="0"/>
          <w:sz w:val="22"/>
          <w:szCs w:val="22"/>
          <w:lang w:val="lt-LT"/>
          <w14:ligatures w14:val="none"/>
        </w:rPr>
      </w:pPr>
    </w:p>
    <w:p w14:paraId="5290FCD0" w14:textId="77777777" w:rsidR="00EB63AA" w:rsidRPr="001C66E1" w:rsidRDefault="00EB63AA" w:rsidP="00EB63AA">
      <w:pPr>
        <w:widowControl w:val="0"/>
        <w:spacing w:after="0" w:line="240" w:lineRule="auto"/>
        <w:ind w:right="-2"/>
        <w:rPr>
          <w:rFonts w:ascii="Times New Roman" w:eastAsia="Times New Roman" w:hAnsi="Times New Roman" w:cs="Times New Roman"/>
          <w:b/>
          <w:bCs/>
          <w:noProof/>
          <w:snapToGrid w:val="0"/>
          <w:kern w:val="0"/>
          <w:sz w:val="22"/>
          <w:szCs w:val="22"/>
          <w:lang w:val="lt-LT"/>
          <w14:ligatures w14:val="none"/>
        </w:rPr>
      </w:pPr>
      <w:r w:rsidRPr="001C66E1">
        <w:rPr>
          <w:rFonts w:ascii="Times New Roman" w:eastAsia="Times New Roman" w:hAnsi="Times New Roman" w:cs="Times New Roman"/>
          <w:b/>
          <w:bCs/>
          <w:noProof/>
          <w:snapToGrid w:val="0"/>
          <w:kern w:val="0"/>
          <w:sz w:val="22"/>
          <w:szCs w:val="22"/>
          <w:lang w:val="lt-LT"/>
          <w14:ligatures w14:val="none"/>
        </w:rPr>
        <w:t>Šalutinio poveikio reiškiniai, kurių dažnis nežinomas (negali būti apskaičiuotas pagal turimus duomenis):</w:t>
      </w:r>
    </w:p>
    <w:p w14:paraId="1F3FAB41" w14:textId="77777777" w:rsidR="00EB63AA" w:rsidRPr="001C66E1" w:rsidRDefault="00EB63AA" w:rsidP="00EB63AA">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Akių sutrikimai: akies alergija, akies sudirginimas, voko niežėjimas.</w:t>
      </w:r>
    </w:p>
    <w:p w14:paraId="6899A178" w14:textId="77777777" w:rsidR="00EB63AA" w:rsidRPr="001C66E1" w:rsidRDefault="00EB63AA" w:rsidP="00EB63AA">
      <w:pPr>
        <w:widowControl w:val="0"/>
        <w:numPr>
          <w:ilvl w:val="12"/>
          <w:numId w:val="0"/>
        </w:numPr>
        <w:suppressAutoHyphens/>
        <w:spacing w:after="0" w:line="240" w:lineRule="auto"/>
        <w:ind w:right="-29"/>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Bendrieji sutrikimai: sunki alerginė reakcija, sunkios odos reakcijos (</w:t>
      </w:r>
      <w:r w:rsidRPr="001C66E1">
        <w:rPr>
          <w:rFonts w:ascii="Times New Roman" w:eastAsia="Times New Roman" w:hAnsi="Times New Roman" w:cs="Times New Roman"/>
          <w:i/>
          <w:noProof/>
          <w:kern w:val="0"/>
          <w:sz w:val="22"/>
          <w:szCs w:val="22"/>
          <w:lang w:val="lt-LT"/>
          <w14:ligatures w14:val="none"/>
        </w:rPr>
        <w:t>Strevens</w:t>
      </w:r>
      <w:r w:rsidRPr="001C66E1">
        <w:rPr>
          <w:rFonts w:ascii="Times New Roman" w:eastAsia="Times New Roman" w:hAnsi="Times New Roman" w:cs="Times New Roman"/>
          <w:i/>
          <w:noProof/>
          <w:kern w:val="0"/>
          <w:sz w:val="22"/>
          <w:szCs w:val="22"/>
          <w:lang w:val="lt-LT"/>
          <w14:ligatures w14:val="none"/>
        </w:rPr>
        <w:noBreakHyphen/>
        <w:t>Johnson</w:t>
      </w:r>
      <w:r w:rsidRPr="001C66E1">
        <w:rPr>
          <w:rFonts w:ascii="Times New Roman" w:eastAsia="Times New Roman" w:hAnsi="Times New Roman" w:cs="Times New Roman"/>
          <w:noProof/>
          <w:kern w:val="0"/>
          <w:sz w:val="22"/>
          <w:szCs w:val="22"/>
          <w:lang w:val="lt-LT"/>
          <w14:ligatures w14:val="none"/>
        </w:rPr>
        <w:t xml:space="preserve"> sindromas ir daugiaformė eritema)</w:t>
      </w:r>
      <w:r w:rsidRPr="001C66E1">
        <w:rPr>
          <w:rFonts w:ascii="Times New Roman" w:eastAsia="Times New Roman" w:hAnsi="Times New Roman" w:cs="Times New Roman"/>
          <w:kern w:val="0"/>
          <w:sz w:val="22"/>
          <w:szCs w:val="22"/>
          <w:lang w:val="lt-LT"/>
          <w14:ligatures w14:val="none"/>
        </w:rPr>
        <w:t>.</w:t>
      </w:r>
    </w:p>
    <w:p w14:paraId="68D47606"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39C0A091" w14:textId="77777777" w:rsidR="00EB63AA" w:rsidRPr="001C66E1" w:rsidRDefault="00EB63AA" w:rsidP="00EB63AA">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1C66E1">
        <w:rPr>
          <w:rFonts w:ascii="Times New Roman" w:eastAsia="Times New Roman" w:hAnsi="Times New Roman" w:cs="Times New Roman"/>
          <w:b/>
          <w:noProof/>
          <w:snapToGrid w:val="0"/>
          <w:kern w:val="0"/>
          <w:sz w:val="22"/>
          <w:szCs w:val="22"/>
          <w:lang w:val="lt-LT"/>
          <w14:ligatures w14:val="none"/>
        </w:rPr>
        <w:t>Pranešimas apie šalutinį poveikį</w:t>
      </w:r>
    </w:p>
    <w:p w14:paraId="2DDCB318" w14:textId="77777777" w:rsidR="00EB63AA" w:rsidRPr="001C66E1" w:rsidRDefault="00EB63AA" w:rsidP="00EB63AA">
      <w:pPr>
        <w:tabs>
          <w:tab w:val="left" w:pos="567"/>
        </w:tabs>
        <w:spacing w:line="260" w:lineRule="exact"/>
        <w:ind w:right="-1"/>
        <w:rPr>
          <w:rFonts w:ascii="Times New Roman" w:eastAsia="Times New Roman" w:hAnsi="Times New Roman" w:cs="Times New Roman"/>
          <w:snapToGrid w:val="0"/>
          <w:kern w:val="0"/>
          <w:sz w:val="22"/>
          <w:lang w:val="lt-LT"/>
          <w14:ligatures w14:val="none"/>
        </w:rPr>
      </w:pPr>
      <w:r w:rsidRPr="001C66E1">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1C66E1">
        <w:rPr>
          <w:rFonts w:ascii="Times New Roman" w:eastAsia="Times New Roman" w:hAnsi="Times New Roman" w:cs="Times New Roman"/>
          <w:snapToGrid w:val="0"/>
          <w:kern w:val="0"/>
          <w:sz w:val="22"/>
          <w:szCs w:val="22"/>
          <w:lang w:val="lt-LT"/>
          <w14:ligatures w14:val="none"/>
        </w:rPr>
        <w:t>.</w:t>
      </w:r>
      <w:r w:rsidRPr="001C66E1">
        <w:rPr>
          <w:rFonts w:ascii="Times New Roman" w:eastAsia="Times New Roman" w:hAnsi="Times New Roman" w:cs="Times New Roman"/>
          <w:noProof/>
          <w:snapToGrid w:val="0"/>
          <w:kern w:val="0"/>
          <w:sz w:val="22"/>
          <w:szCs w:val="22"/>
          <w:lang w:val="lt-LT"/>
          <w14:ligatures w14:val="none"/>
        </w:rPr>
        <w:t xml:space="preserve"> </w:t>
      </w:r>
      <w:r w:rsidRPr="001C66E1">
        <w:rPr>
          <w:rFonts w:ascii="Times New Roman" w:eastAsia="Times New Roman" w:hAnsi="Times New Roman" w:cs="Times New Roman"/>
          <w:snapToGrid w:val="0"/>
          <w:kern w:val="0"/>
          <w:sz w:val="22"/>
          <w:lang w:val="lt-LT"/>
          <w14:ligatures w14:val="none"/>
        </w:rPr>
        <w:t xml:space="preserve">Pranešimą apie šalutinį poveikį galite užpildyti ir pateikti Valstybinės vaistų kontrolės tarnybos prie Lietuvos Respublikos sveikatos apsaugos ministerijos tinklalapyje </w:t>
      </w:r>
      <w:hyperlink r:id="rId10" w:history="1">
        <w:r w:rsidRPr="001C66E1">
          <w:rPr>
            <w:rFonts w:ascii="Times New Roman" w:eastAsia="Times New Roman" w:hAnsi="Times New Roman" w:cs="Times New Roman"/>
            <w:snapToGrid w:val="0"/>
            <w:color w:val="0563C1"/>
            <w:kern w:val="0"/>
            <w:sz w:val="22"/>
            <w:u w:val="single"/>
            <w:lang w:val="lt-LT"/>
            <w14:ligatures w14:val="none"/>
          </w:rPr>
          <w:t>https://vvkt.lrv.lt/lt/</w:t>
        </w:r>
      </w:hyperlink>
      <w:r w:rsidRPr="001C66E1">
        <w:rPr>
          <w:rFonts w:ascii="Times New Roman" w:eastAsia="Times New Roman" w:hAnsi="Times New Roman" w:cs="Times New Roman"/>
          <w:snapToGrid w:val="0"/>
          <w:kern w:val="0"/>
          <w:sz w:val="22"/>
          <w:lang w:val="lt-LT"/>
          <w14:ligatures w14:val="none"/>
        </w:rPr>
        <w:t xml:space="preserve"> nurodytais būdais arba paskambinti nemokamu telefonu 8 800 73 568. Pranešdami apie šalutinį poveikį galite mums padėti gauti daugiau informacijos apie šio vaisto saugumą.</w:t>
      </w:r>
    </w:p>
    <w:p w14:paraId="06CF6016" w14:textId="77777777" w:rsidR="00EB63AA" w:rsidRPr="001C66E1" w:rsidRDefault="00EB63AA" w:rsidP="00EB63AA">
      <w:pPr>
        <w:tabs>
          <w:tab w:val="left" w:pos="567"/>
        </w:tabs>
        <w:spacing w:after="0" w:line="260" w:lineRule="exact"/>
        <w:rPr>
          <w:rFonts w:ascii="Times New Roman" w:eastAsia="Times New Roman" w:hAnsi="Times New Roman" w:cs="Times New Roman"/>
          <w:kern w:val="0"/>
          <w:sz w:val="22"/>
          <w:szCs w:val="22"/>
          <w:lang w:val="lt-LT"/>
          <w14:ligatures w14:val="none"/>
        </w:rPr>
      </w:pPr>
    </w:p>
    <w:p w14:paraId="5CA5E097" w14:textId="77777777" w:rsidR="00EB63AA" w:rsidRPr="001C66E1" w:rsidRDefault="00EB63AA" w:rsidP="00EB63AA">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5.</w:t>
      </w:r>
      <w:r w:rsidRPr="001C66E1">
        <w:rPr>
          <w:rFonts w:ascii="Times New Roman" w:eastAsia="Times New Roman" w:hAnsi="Times New Roman" w:cs="Times New Roman"/>
          <w:b/>
          <w:kern w:val="0"/>
          <w:sz w:val="22"/>
          <w:szCs w:val="22"/>
          <w:lang w:val="lt-LT"/>
          <w14:ligatures w14:val="none"/>
        </w:rPr>
        <w:tab/>
        <w:t xml:space="preserve">Kaip laikyti </w:t>
      </w:r>
      <w:proofErr w:type="spellStart"/>
      <w:r w:rsidRPr="001C66E1">
        <w:rPr>
          <w:rFonts w:ascii="Times New Roman" w:eastAsia="Times New Roman" w:hAnsi="Times New Roman" w:cs="Times New Roman"/>
          <w:b/>
          <w:kern w:val="0"/>
          <w:sz w:val="22"/>
          <w:szCs w:val="22"/>
          <w:lang w:val="lt-LT"/>
          <w14:ligatures w14:val="none"/>
        </w:rPr>
        <w:t>Tobrex</w:t>
      </w:r>
      <w:proofErr w:type="spellEnd"/>
    </w:p>
    <w:p w14:paraId="62A5EE53"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12B4CE75" w14:textId="77777777" w:rsidR="00EB63AA" w:rsidRPr="001C66E1" w:rsidRDefault="00EB63AA" w:rsidP="00EB63AA">
      <w:pPr>
        <w:numPr>
          <w:ilvl w:val="12"/>
          <w:numId w:val="0"/>
        </w:numPr>
        <w:spacing w:after="0" w:line="240" w:lineRule="auto"/>
        <w:ind w:right="-2"/>
        <w:rPr>
          <w:rFonts w:ascii="Times New Roman" w:eastAsia="Times New Roman" w:hAnsi="Times New Roman" w:cs="Times New Roman"/>
          <w:snapToGrid w:val="0"/>
          <w:kern w:val="0"/>
          <w:sz w:val="22"/>
          <w:szCs w:val="22"/>
          <w:lang w:val="lt-LT"/>
          <w14:ligatures w14:val="none"/>
        </w:rPr>
      </w:pPr>
      <w:r w:rsidRPr="001C66E1">
        <w:rPr>
          <w:rFonts w:ascii="Times New Roman" w:eastAsia="Times New Roman" w:hAnsi="Times New Roman" w:cs="Times New Roman"/>
          <w:noProof/>
          <w:snapToGrid w:val="0"/>
          <w:kern w:val="0"/>
          <w:sz w:val="22"/>
          <w:szCs w:val="22"/>
          <w:lang w:val="lt-LT"/>
          <w14:ligatures w14:val="none"/>
        </w:rPr>
        <w:t>Šį vaistą laikykite vaikams nepastebimoje ir nepasiekiamoje vietoje.</w:t>
      </w:r>
    </w:p>
    <w:p w14:paraId="3D610BFC"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4F15A633"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Pirmą kartą atidarius </w:t>
      </w:r>
      <w:proofErr w:type="spellStart"/>
      <w:r w:rsidRPr="001C66E1">
        <w:rPr>
          <w:rFonts w:ascii="Times New Roman" w:eastAsia="Times New Roman" w:hAnsi="Times New Roman" w:cs="Times New Roman"/>
          <w:kern w:val="0"/>
          <w:sz w:val="22"/>
          <w:szCs w:val="22"/>
          <w:lang w:val="lt-LT"/>
          <w14:ligatures w14:val="none"/>
        </w:rPr>
        <w:t>talpyklę</w:t>
      </w:r>
      <w:proofErr w:type="spellEnd"/>
      <w:r w:rsidRPr="001C66E1">
        <w:rPr>
          <w:rFonts w:ascii="Times New Roman" w:eastAsia="Times New Roman" w:hAnsi="Times New Roman" w:cs="Times New Roman"/>
          <w:kern w:val="0"/>
          <w:sz w:val="22"/>
          <w:szCs w:val="22"/>
          <w:lang w:val="lt-LT"/>
          <w14:ligatures w14:val="none"/>
        </w:rPr>
        <w:t xml:space="preserve">, vaisto tinkamumo laikas </w:t>
      </w:r>
      <w:r w:rsidRPr="001C66E1">
        <w:rPr>
          <w:rFonts w:ascii="Times New Roman" w:eastAsia="Times New Roman" w:hAnsi="Times New Roman" w:cs="Times New Roman"/>
          <w:kern w:val="0"/>
          <w:sz w:val="22"/>
          <w:szCs w:val="22"/>
          <w:lang w:val="lt-LT"/>
          <w14:ligatures w14:val="none"/>
        </w:rPr>
        <w:noBreakHyphen/>
        <w:t xml:space="preserve"> 4 savaitės.</w:t>
      </w:r>
    </w:p>
    <w:p w14:paraId="0C95E2B3"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Užsirašykite, kada atsukote </w:t>
      </w:r>
      <w:proofErr w:type="spellStart"/>
      <w:r w:rsidRPr="001C66E1">
        <w:rPr>
          <w:rFonts w:ascii="Times New Roman" w:eastAsia="Times New Roman" w:hAnsi="Times New Roman" w:cs="Times New Roman"/>
          <w:kern w:val="0"/>
          <w:sz w:val="22"/>
          <w:szCs w:val="22"/>
          <w:lang w:val="lt-LT"/>
          <w14:ligatures w14:val="none"/>
        </w:rPr>
        <w:t>talpyklę</w:t>
      </w:r>
      <w:proofErr w:type="spellEnd"/>
      <w:r w:rsidRPr="001C66E1">
        <w:rPr>
          <w:rFonts w:ascii="Times New Roman" w:eastAsia="Times New Roman" w:hAnsi="Times New Roman" w:cs="Times New Roman"/>
          <w:kern w:val="0"/>
          <w:sz w:val="22"/>
          <w:szCs w:val="22"/>
          <w:lang w:val="lt-LT"/>
          <w14:ligatures w14:val="none"/>
        </w:rPr>
        <w:t xml:space="preserve"> žemiau esančiame laukelyje:</w:t>
      </w:r>
    </w:p>
    <w:p w14:paraId="6D269D4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Atidaryta:</w:t>
      </w:r>
    </w:p>
    <w:p w14:paraId="7D6CAC18"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4D1305EF" w14:textId="77777777" w:rsidR="00EB63AA" w:rsidRPr="001C66E1" w:rsidRDefault="00EB63AA" w:rsidP="00EB63AA">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Laikyti ne aukštesnėje kaip 25 °C temperatūroje.</w:t>
      </w:r>
    </w:p>
    <w:p w14:paraId="6DD78D58"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Talpyklę</w:t>
      </w:r>
      <w:proofErr w:type="spellEnd"/>
      <w:r w:rsidRPr="001C66E1">
        <w:rPr>
          <w:rFonts w:ascii="Times New Roman" w:eastAsia="Times New Roman" w:hAnsi="Times New Roman" w:cs="Times New Roman"/>
          <w:kern w:val="0"/>
          <w:sz w:val="22"/>
          <w:szCs w:val="22"/>
          <w:lang w:val="lt-LT"/>
          <w14:ligatures w14:val="none"/>
        </w:rPr>
        <w:t xml:space="preserve"> laikyti sandarią.</w:t>
      </w:r>
    </w:p>
    <w:p w14:paraId="01565BEA"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910C5B2"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Ant dėžutės ir </w:t>
      </w:r>
      <w:proofErr w:type="spellStart"/>
      <w:r w:rsidRPr="001C66E1">
        <w:rPr>
          <w:rFonts w:ascii="Times New Roman" w:eastAsia="Times New Roman" w:hAnsi="Times New Roman" w:cs="Times New Roman"/>
          <w:kern w:val="0"/>
          <w:sz w:val="22"/>
          <w:szCs w:val="22"/>
          <w:lang w:val="lt-LT"/>
          <w14:ligatures w14:val="none"/>
        </w:rPr>
        <w:t>talpyklės</w:t>
      </w:r>
      <w:proofErr w:type="spellEnd"/>
      <w:r w:rsidRPr="001C66E1">
        <w:rPr>
          <w:rFonts w:ascii="Times New Roman" w:eastAsia="Times New Roman" w:hAnsi="Times New Roman" w:cs="Times New Roman"/>
          <w:kern w:val="0"/>
          <w:sz w:val="22"/>
          <w:szCs w:val="22"/>
          <w:lang w:val="lt-LT"/>
          <w14:ligatures w14:val="none"/>
        </w:rPr>
        <w:t xml:space="preserve"> po „EXP“ nurodytam tinkamumo laikui pasibaigus, šio vaisto vartoti negalima. Vaistas tinkamas vartoti iki paskutinės nurodyto mėnesio dienos.</w:t>
      </w:r>
    </w:p>
    <w:p w14:paraId="437D2584"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331514D1"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lastRenderedPageBreak/>
        <w:t>Vaistų negalima išmesti į kanalizaciją arba su buitinėmis atliekomis. Kaip išmesti nereikalingus vaistus, klauskite vaistininko. Šios priemonės padės apsaugoti aplinką.</w:t>
      </w:r>
    </w:p>
    <w:p w14:paraId="4ACC63ED"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1E225850" w14:textId="77777777" w:rsidR="00EB63AA" w:rsidRPr="001C66E1" w:rsidRDefault="00EB63AA" w:rsidP="00EB63AA">
      <w:pPr>
        <w:spacing w:after="0" w:line="240" w:lineRule="auto"/>
        <w:rPr>
          <w:rFonts w:ascii="Times New Roman" w:eastAsia="Times New Roman" w:hAnsi="Times New Roman" w:cs="Times New Roman"/>
          <w:b/>
          <w:kern w:val="0"/>
          <w:sz w:val="22"/>
          <w:szCs w:val="22"/>
          <w:lang w:val="lt-LT"/>
          <w14:ligatures w14:val="none"/>
        </w:rPr>
      </w:pPr>
    </w:p>
    <w:p w14:paraId="26A2A70B" w14:textId="77777777" w:rsidR="00EB63AA" w:rsidRPr="001C66E1" w:rsidRDefault="00EB63AA" w:rsidP="00EB63AA">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6.</w:t>
      </w:r>
      <w:r w:rsidRPr="001C66E1">
        <w:rPr>
          <w:rFonts w:ascii="Times New Roman" w:eastAsia="Times New Roman" w:hAnsi="Times New Roman" w:cs="Times New Roman"/>
          <w:b/>
          <w:kern w:val="0"/>
          <w:sz w:val="22"/>
          <w:szCs w:val="22"/>
          <w:lang w:val="lt-LT"/>
          <w14:ligatures w14:val="none"/>
        </w:rPr>
        <w:tab/>
        <w:t>Pakuotės turinys ir kita informacija</w:t>
      </w:r>
    </w:p>
    <w:p w14:paraId="48EF0A64"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156E7D6A" w14:textId="77777777" w:rsidR="00EB63AA" w:rsidRPr="001C66E1" w:rsidRDefault="00EB63AA" w:rsidP="00EB63AA">
      <w:pPr>
        <w:spacing w:after="0" w:line="220" w:lineRule="exact"/>
        <w:rPr>
          <w:rFonts w:ascii="Times New Roman" w:eastAsia="Times New Roman" w:hAnsi="Times New Roman" w:cs="Times New Roman"/>
          <w:b/>
          <w:bCs/>
          <w:kern w:val="0"/>
          <w:sz w:val="22"/>
          <w:szCs w:val="22"/>
          <w:lang w:val="lt-LT"/>
          <w14:ligatures w14:val="none"/>
        </w:rPr>
      </w:pPr>
      <w:proofErr w:type="spellStart"/>
      <w:r w:rsidRPr="001C66E1">
        <w:rPr>
          <w:rFonts w:ascii="Times New Roman" w:eastAsia="Times New Roman" w:hAnsi="Times New Roman" w:cs="Times New Roman"/>
          <w:b/>
          <w:bCs/>
          <w:kern w:val="0"/>
          <w:sz w:val="22"/>
          <w:szCs w:val="22"/>
          <w:lang w:val="lt-LT"/>
          <w14:ligatures w14:val="none"/>
        </w:rPr>
        <w:t>Tobrex</w:t>
      </w:r>
      <w:proofErr w:type="spellEnd"/>
      <w:r w:rsidRPr="001C66E1">
        <w:rPr>
          <w:rFonts w:ascii="Times New Roman" w:eastAsia="Times New Roman" w:hAnsi="Times New Roman" w:cs="Times New Roman"/>
          <w:b/>
          <w:bCs/>
          <w:kern w:val="0"/>
          <w:sz w:val="22"/>
          <w:szCs w:val="22"/>
          <w:lang w:val="lt-LT"/>
          <w14:ligatures w14:val="none"/>
        </w:rPr>
        <w:t xml:space="preserve"> sudėtis</w:t>
      </w:r>
    </w:p>
    <w:p w14:paraId="4ACE123D"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5E9E99FB"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Veiklioji medžiaga yra tobramicinas. Viename mililitre akių lašų yra 3 mg tobramicino.</w:t>
      </w:r>
    </w:p>
    <w:p w14:paraId="05861AA3" w14:textId="77777777" w:rsidR="00EB63AA" w:rsidRPr="001C66E1" w:rsidRDefault="00EB63AA" w:rsidP="00EB63AA">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Pagalbinės medžiagos yra boro rūgštis (E284), bevandenis natrio sulfatas (E514), natrio chloridas, tiloksapolis, benzalkonio chloridas ir išgrynintasis vanduo. Be to, yra labai mažai natrio hidroksido ir (arba) sulfato rūgšties normaliam rūgštingumui (pH) palaikyti.</w:t>
      </w:r>
    </w:p>
    <w:p w14:paraId="04B89AA3" w14:textId="77777777" w:rsidR="00EB63AA" w:rsidRPr="001C66E1" w:rsidRDefault="00EB63AA" w:rsidP="00EB63AA">
      <w:pPr>
        <w:spacing w:after="0" w:line="240" w:lineRule="auto"/>
        <w:rPr>
          <w:rFonts w:ascii="Times New Roman" w:eastAsia="Times New Roman" w:hAnsi="Times New Roman" w:cs="Times New Roman"/>
          <w:noProof/>
          <w:kern w:val="0"/>
          <w:sz w:val="22"/>
          <w:szCs w:val="22"/>
          <w:lang w:val="lt-LT"/>
          <w14:ligatures w14:val="none"/>
        </w:rPr>
      </w:pPr>
    </w:p>
    <w:p w14:paraId="39111444" w14:textId="77777777" w:rsidR="00EB63AA" w:rsidRPr="001C66E1" w:rsidRDefault="00EB63AA" w:rsidP="00EB63AA">
      <w:pPr>
        <w:spacing w:after="0" w:line="240" w:lineRule="auto"/>
        <w:rPr>
          <w:rFonts w:ascii="Times New Roman" w:eastAsia="Times New Roman" w:hAnsi="Times New Roman" w:cs="Times New Roman"/>
          <w:b/>
          <w:bCs/>
          <w:kern w:val="0"/>
          <w:sz w:val="22"/>
          <w:szCs w:val="22"/>
          <w:lang w:val="lt-LT"/>
          <w14:ligatures w14:val="none"/>
        </w:rPr>
      </w:pPr>
      <w:proofErr w:type="spellStart"/>
      <w:r w:rsidRPr="001C66E1">
        <w:rPr>
          <w:rFonts w:ascii="Times New Roman" w:eastAsia="Times New Roman" w:hAnsi="Times New Roman" w:cs="Times New Roman"/>
          <w:b/>
          <w:bCs/>
          <w:kern w:val="0"/>
          <w:sz w:val="22"/>
          <w:szCs w:val="22"/>
          <w:lang w:val="lt-LT"/>
          <w14:ligatures w14:val="none"/>
        </w:rPr>
        <w:t>Tobrex</w:t>
      </w:r>
      <w:proofErr w:type="spellEnd"/>
      <w:r w:rsidRPr="001C66E1">
        <w:rPr>
          <w:rFonts w:ascii="Times New Roman" w:eastAsia="Times New Roman" w:hAnsi="Times New Roman" w:cs="Times New Roman"/>
          <w:b/>
          <w:bCs/>
          <w:kern w:val="0"/>
          <w:sz w:val="22"/>
          <w:szCs w:val="22"/>
          <w:lang w:val="lt-LT"/>
          <w14:ligatures w14:val="none"/>
        </w:rPr>
        <w:t xml:space="preserve"> išvaizda ir kiekis pakuotėje</w:t>
      </w:r>
    </w:p>
    <w:p w14:paraId="5F433F41"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Tobrex</w:t>
      </w:r>
      <w:proofErr w:type="spellEnd"/>
      <w:r w:rsidRPr="001C66E1">
        <w:rPr>
          <w:rFonts w:ascii="Times New Roman" w:eastAsia="Times New Roman" w:hAnsi="Times New Roman" w:cs="Times New Roman"/>
          <w:kern w:val="0"/>
          <w:sz w:val="22"/>
          <w:szCs w:val="22"/>
          <w:lang w:val="lt-LT"/>
          <w14:ligatures w14:val="none"/>
        </w:rPr>
        <w:t xml:space="preserve"> yra skaidrus, bespalvis, gelsvas arba rudas tirpalas, supilstytas į 5 ml plastiko </w:t>
      </w:r>
      <w:proofErr w:type="spellStart"/>
      <w:r w:rsidRPr="001C66E1">
        <w:rPr>
          <w:rFonts w:ascii="Times New Roman" w:eastAsia="Times New Roman" w:hAnsi="Times New Roman" w:cs="Times New Roman"/>
          <w:kern w:val="0"/>
          <w:sz w:val="22"/>
          <w:szCs w:val="22"/>
          <w:lang w:val="lt-LT"/>
          <w14:ligatures w14:val="none"/>
        </w:rPr>
        <w:t>talpykles</w:t>
      </w:r>
      <w:proofErr w:type="spellEnd"/>
      <w:r w:rsidRPr="001C66E1">
        <w:rPr>
          <w:rFonts w:ascii="Times New Roman" w:eastAsia="Times New Roman" w:hAnsi="Times New Roman" w:cs="Times New Roman"/>
          <w:kern w:val="0"/>
          <w:sz w:val="22"/>
          <w:szCs w:val="22"/>
          <w:lang w:val="lt-LT"/>
          <w14:ligatures w14:val="none"/>
        </w:rPr>
        <w:t xml:space="preserve"> su lašintuvu, užsuktas dangteliais, kurių negalima atsukti neatplėšus apsauginės juostelės.</w:t>
      </w:r>
    </w:p>
    <w:p w14:paraId="31DE968D"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Kartono dėžutėje yra viena 5 ml </w:t>
      </w:r>
      <w:proofErr w:type="spellStart"/>
      <w:r w:rsidRPr="001C66E1">
        <w:rPr>
          <w:rFonts w:ascii="Times New Roman" w:eastAsia="Times New Roman" w:hAnsi="Times New Roman" w:cs="Times New Roman"/>
          <w:kern w:val="0"/>
          <w:sz w:val="22"/>
          <w:szCs w:val="22"/>
          <w:lang w:val="lt-LT"/>
          <w14:ligatures w14:val="none"/>
        </w:rPr>
        <w:t>talpyklė</w:t>
      </w:r>
      <w:proofErr w:type="spellEnd"/>
      <w:r w:rsidRPr="001C66E1">
        <w:rPr>
          <w:rFonts w:ascii="Times New Roman" w:eastAsia="Times New Roman" w:hAnsi="Times New Roman" w:cs="Times New Roman"/>
          <w:kern w:val="0"/>
          <w:sz w:val="22"/>
          <w:szCs w:val="22"/>
          <w:lang w:val="lt-LT"/>
          <w14:ligatures w14:val="none"/>
        </w:rPr>
        <w:t xml:space="preserve"> su lašintuvu.</w:t>
      </w:r>
    </w:p>
    <w:p w14:paraId="43427551"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79B72F3" w14:textId="77777777" w:rsidR="00EB63AA" w:rsidRPr="001C66E1" w:rsidRDefault="00EB63AA" w:rsidP="00EB63AA">
      <w:pPr>
        <w:spacing w:after="0" w:line="240" w:lineRule="auto"/>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kern w:val="0"/>
          <w:sz w:val="22"/>
          <w:szCs w:val="24"/>
          <w:lang w:val="lt-LT" w:eastAsia="lt-LT"/>
          <w14:ligatures w14:val="none"/>
        </w:rPr>
        <w:t>Registruotojas</w:t>
      </w:r>
    </w:p>
    <w:p w14:paraId="5195BBE7" w14:textId="77777777" w:rsidR="00EB63AA" w:rsidRPr="001C66E1" w:rsidRDefault="00EB63AA" w:rsidP="00EB63AA">
      <w:pPr>
        <w:spacing w:after="0" w:line="240" w:lineRule="auto"/>
        <w:jc w:val="both"/>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 xml:space="preserve">SIA </w:t>
      </w:r>
      <w:r w:rsidRPr="001C66E1">
        <w:rPr>
          <w:rFonts w:ascii="Times New Roman" w:eastAsia="Times New Roman" w:hAnsi="Times New Roman" w:cs="Times New Roman"/>
          <w:snapToGrid w:val="0"/>
          <w:kern w:val="0"/>
          <w:sz w:val="22"/>
          <w:szCs w:val="22"/>
          <w:lang w:val="et-EE"/>
          <w14:ligatures w14:val="none"/>
        </w:rPr>
        <w:t>Novartis Baltics</w:t>
      </w:r>
    </w:p>
    <w:p w14:paraId="78566EC5" w14:textId="77777777" w:rsidR="00EB63AA" w:rsidRPr="001C66E1" w:rsidRDefault="00EB63AA" w:rsidP="00EB63AA">
      <w:pPr>
        <w:spacing w:after="0" w:line="240" w:lineRule="auto"/>
        <w:jc w:val="both"/>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Skanstes iela 25</w:t>
      </w:r>
    </w:p>
    <w:p w14:paraId="26E48450" w14:textId="77777777" w:rsidR="00EB63AA" w:rsidRPr="001C66E1" w:rsidRDefault="00EB63AA" w:rsidP="00EB63AA">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LV–1013, Rīga</w:t>
      </w:r>
    </w:p>
    <w:p w14:paraId="27B4B792" w14:textId="77777777" w:rsidR="00EB63AA" w:rsidRPr="001C66E1" w:rsidRDefault="00EB63AA" w:rsidP="00EB63AA">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Latvija</w:t>
      </w:r>
    </w:p>
    <w:p w14:paraId="5AF332F4" w14:textId="77777777" w:rsidR="00EB63AA" w:rsidRPr="001C66E1" w:rsidRDefault="00EB63AA" w:rsidP="00EB63AA">
      <w:pPr>
        <w:tabs>
          <w:tab w:val="left" w:pos="567"/>
          <w:tab w:val="left" w:pos="4820"/>
        </w:tabs>
        <w:spacing w:after="0" w:line="240" w:lineRule="auto"/>
        <w:rPr>
          <w:rFonts w:ascii="Times New Roman" w:eastAsia="Times New Roman" w:hAnsi="Times New Roman" w:cs="Times New Roman"/>
          <w:b/>
          <w:kern w:val="0"/>
          <w:sz w:val="22"/>
          <w:szCs w:val="22"/>
          <w:lang w:val="lt-LT"/>
          <w14:ligatures w14:val="none"/>
        </w:rPr>
      </w:pPr>
    </w:p>
    <w:p w14:paraId="3EF6AF74" w14:textId="77777777" w:rsidR="00EB63AA" w:rsidRPr="001C66E1" w:rsidRDefault="00EB63AA" w:rsidP="00EB63AA">
      <w:pPr>
        <w:tabs>
          <w:tab w:val="left" w:pos="567"/>
          <w:tab w:val="left" w:pos="4820"/>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Gamintojas</w:t>
      </w:r>
    </w:p>
    <w:p w14:paraId="18B5D5CD" w14:textId="77777777" w:rsidR="00EB63AA" w:rsidRPr="001C66E1" w:rsidRDefault="00EB63AA" w:rsidP="00EB63AA">
      <w:pPr>
        <w:tabs>
          <w:tab w:val="left" w:pos="567"/>
          <w:tab w:val="left" w:pos="4820"/>
        </w:tabs>
        <w:spacing w:after="0" w:line="240" w:lineRule="auto"/>
        <w:rPr>
          <w:rFonts w:ascii="Times New Roman" w:eastAsia="Calibri" w:hAnsi="Times New Roman"/>
          <w:kern w:val="0"/>
          <w:sz w:val="22"/>
          <w:highlight w:val="lightGray"/>
          <w:lang w:val="lt-LT"/>
          <w14:ligatures w14:val="none"/>
        </w:rPr>
      </w:pPr>
      <w:r w:rsidRPr="001C66E1">
        <w:rPr>
          <w:rFonts w:ascii="Times New Roman" w:eastAsia="Calibri" w:hAnsi="Times New Roman"/>
          <w:kern w:val="0"/>
          <w:sz w:val="22"/>
          <w:highlight w:val="lightGray"/>
          <w14:ligatures w14:val="none"/>
        </w:rPr>
        <w:t>Novartis Manufacturing NV</w:t>
      </w:r>
    </w:p>
    <w:p w14:paraId="12D7D917" w14:textId="77777777" w:rsidR="00EB63AA" w:rsidRPr="001C66E1" w:rsidRDefault="00EB63AA" w:rsidP="00EB63AA">
      <w:pPr>
        <w:tabs>
          <w:tab w:val="left" w:pos="567"/>
          <w:tab w:val="left" w:pos="4820"/>
        </w:tabs>
        <w:spacing w:after="0" w:line="240" w:lineRule="auto"/>
        <w:rPr>
          <w:rFonts w:ascii="Times New Roman" w:eastAsia="Calibri" w:hAnsi="Times New Roman"/>
          <w:kern w:val="0"/>
          <w:sz w:val="22"/>
          <w:highlight w:val="lightGray"/>
          <w:lang w:val="lt-LT"/>
          <w14:ligatures w14:val="none"/>
        </w:rPr>
      </w:pPr>
      <w:proofErr w:type="spellStart"/>
      <w:r w:rsidRPr="001C66E1">
        <w:rPr>
          <w:rFonts w:ascii="Times New Roman" w:eastAsia="Calibri" w:hAnsi="Times New Roman"/>
          <w:kern w:val="0"/>
          <w:sz w:val="22"/>
          <w:highlight w:val="lightGray"/>
          <w:lang w:val="lt-LT"/>
          <w14:ligatures w14:val="none"/>
        </w:rPr>
        <w:t>Rijksweg</w:t>
      </w:r>
      <w:proofErr w:type="spellEnd"/>
      <w:r w:rsidRPr="001C66E1">
        <w:rPr>
          <w:rFonts w:ascii="Times New Roman" w:eastAsia="Calibri" w:hAnsi="Times New Roman"/>
          <w:kern w:val="0"/>
          <w:sz w:val="22"/>
          <w:highlight w:val="lightGray"/>
          <w:lang w:val="lt-LT"/>
          <w14:ligatures w14:val="none"/>
        </w:rPr>
        <w:t xml:space="preserve"> 14</w:t>
      </w:r>
    </w:p>
    <w:p w14:paraId="7DB002FF" w14:textId="77777777" w:rsidR="00EB63AA" w:rsidRPr="001C66E1" w:rsidRDefault="00EB63AA" w:rsidP="00EB63AA">
      <w:pPr>
        <w:tabs>
          <w:tab w:val="left" w:pos="567"/>
          <w:tab w:val="left" w:pos="4820"/>
        </w:tabs>
        <w:spacing w:after="0" w:line="240" w:lineRule="auto"/>
        <w:rPr>
          <w:rFonts w:ascii="Times New Roman" w:eastAsia="Calibri" w:hAnsi="Times New Roman"/>
          <w:kern w:val="0"/>
          <w:sz w:val="22"/>
          <w:highlight w:val="lightGray"/>
          <w:lang w:val="lt-LT"/>
          <w14:ligatures w14:val="none"/>
        </w:rPr>
      </w:pPr>
      <w:r w:rsidRPr="001C66E1">
        <w:rPr>
          <w:rFonts w:ascii="Times New Roman" w:eastAsia="Calibri" w:hAnsi="Times New Roman"/>
          <w:kern w:val="0"/>
          <w:sz w:val="22"/>
          <w:highlight w:val="lightGray"/>
          <w:lang w:val="lt-LT"/>
          <w14:ligatures w14:val="none"/>
        </w:rPr>
        <w:t xml:space="preserve">2870 </w:t>
      </w:r>
      <w:proofErr w:type="spellStart"/>
      <w:r w:rsidRPr="001C66E1">
        <w:rPr>
          <w:rFonts w:ascii="Times New Roman" w:eastAsia="Calibri" w:hAnsi="Times New Roman"/>
          <w:kern w:val="0"/>
          <w:sz w:val="22"/>
          <w:highlight w:val="lightGray"/>
          <w:lang w:val="lt-LT"/>
          <w14:ligatures w14:val="none"/>
        </w:rPr>
        <w:t>Puurs</w:t>
      </w:r>
      <w:proofErr w:type="spellEnd"/>
      <w:r w:rsidRPr="001C66E1">
        <w:rPr>
          <w:rFonts w:ascii="Times New Roman" w:eastAsia="Calibri" w:hAnsi="Times New Roman"/>
          <w:kern w:val="0"/>
          <w:sz w:val="22"/>
          <w:highlight w:val="lightGray"/>
          <w14:ligatures w14:val="none"/>
        </w:rPr>
        <w:t>-Sint-</w:t>
      </w:r>
      <w:proofErr w:type="spellStart"/>
      <w:r w:rsidRPr="001C66E1">
        <w:rPr>
          <w:rFonts w:ascii="Times New Roman" w:eastAsia="Calibri" w:hAnsi="Times New Roman"/>
          <w:kern w:val="0"/>
          <w:sz w:val="22"/>
          <w:highlight w:val="lightGray"/>
          <w14:ligatures w14:val="none"/>
        </w:rPr>
        <w:t>Amands</w:t>
      </w:r>
      <w:proofErr w:type="spellEnd"/>
    </w:p>
    <w:p w14:paraId="646FE0F4" w14:textId="77777777" w:rsidR="00EB63AA" w:rsidRPr="001C66E1" w:rsidRDefault="00EB63AA" w:rsidP="00EB63AA">
      <w:pPr>
        <w:spacing w:after="0" w:line="240" w:lineRule="auto"/>
        <w:rPr>
          <w:rFonts w:ascii="Times New Roman" w:eastAsia="Calibri" w:hAnsi="Times New Roman"/>
          <w:kern w:val="0"/>
          <w:sz w:val="22"/>
          <w:lang w:val="lt-LT"/>
          <w14:ligatures w14:val="none"/>
        </w:rPr>
      </w:pPr>
      <w:r w:rsidRPr="001C66E1">
        <w:rPr>
          <w:rFonts w:ascii="Times New Roman" w:eastAsia="Calibri" w:hAnsi="Times New Roman"/>
          <w:kern w:val="0"/>
          <w:sz w:val="22"/>
          <w:highlight w:val="lightGray"/>
          <w:lang w:val="lt-LT"/>
          <w14:ligatures w14:val="none"/>
        </w:rPr>
        <w:t>Belgija</w:t>
      </w:r>
    </w:p>
    <w:p w14:paraId="3315D545"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7A38FBB"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arba</w:t>
      </w:r>
    </w:p>
    <w:p w14:paraId="08CDE6B5"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5E186533"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Novartis</w:t>
      </w:r>
      <w:proofErr w:type="spellEnd"/>
      <w:r w:rsidRPr="001C66E1">
        <w:rPr>
          <w:rFonts w:ascii="Times New Roman" w:eastAsia="Times New Roman" w:hAnsi="Times New Roman" w:cs="Times New Roman"/>
          <w:kern w:val="0"/>
          <w:sz w:val="22"/>
          <w:szCs w:val="22"/>
          <w:lang w:val="lt-LT"/>
          <w14:ligatures w14:val="none"/>
        </w:rPr>
        <w:t xml:space="preserve"> </w:t>
      </w:r>
      <w:proofErr w:type="spellStart"/>
      <w:r w:rsidRPr="001C66E1">
        <w:rPr>
          <w:rFonts w:ascii="Times New Roman" w:eastAsia="Times New Roman" w:hAnsi="Times New Roman" w:cs="Times New Roman"/>
          <w:kern w:val="0"/>
          <w:sz w:val="22"/>
          <w:szCs w:val="22"/>
          <w:lang w:val="lt-LT"/>
          <w14:ligatures w14:val="none"/>
        </w:rPr>
        <w:t>Farmacéutica</w:t>
      </w:r>
      <w:proofErr w:type="spellEnd"/>
      <w:r w:rsidRPr="001C66E1">
        <w:rPr>
          <w:rFonts w:ascii="Times New Roman" w:eastAsia="Times New Roman" w:hAnsi="Times New Roman" w:cs="Times New Roman"/>
          <w:kern w:val="0"/>
          <w:sz w:val="22"/>
          <w:szCs w:val="22"/>
          <w:lang w:val="lt-LT"/>
          <w14:ligatures w14:val="none"/>
        </w:rPr>
        <w:t>, S.A.</w:t>
      </w:r>
    </w:p>
    <w:p w14:paraId="68EF3F40"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roofErr w:type="spellStart"/>
      <w:r w:rsidRPr="001C66E1">
        <w:rPr>
          <w:rFonts w:ascii="Times New Roman" w:eastAsia="Times New Roman" w:hAnsi="Times New Roman" w:cs="Times New Roman"/>
          <w:kern w:val="0"/>
          <w:sz w:val="22"/>
          <w:szCs w:val="22"/>
          <w:lang w:val="lt-LT"/>
          <w14:ligatures w14:val="none"/>
        </w:rPr>
        <w:t>Gran</w:t>
      </w:r>
      <w:proofErr w:type="spellEnd"/>
      <w:r w:rsidRPr="001C66E1">
        <w:rPr>
          <w:rFonts w:ascii="Times New Roman" w:eastAsia="Times New Roman" w:hAnsi="Times New Roman" w:cs="Times New Roman"/>
          <w:kern w:val="0"/>
          <w:sz w:val="22"/>
          <w:szCs w:val="22"/>
          <w:lang w:val="lt-LT"/>
          <w14:ligatures w14:val="none"/>
        </w:rPr>
        <w:t xml:space="preserve"> Via de les </w:t>
      </w:r>
      <w:proofErr w:type="spellStart"/>
      <w:r w:rsidRPr="001C66E1">
        <w:rPr>
          <w:rFonts w:ascii="Times New Roman" w:eastAsia="Times New Roman" w:hAnsi="Times New Roman" w:cs="Times New Roman"/>
          <w:kern w:val="0"/>
          <w:sz w:val="22"/>
          <w:szCs w:val="22"/>
          <w:lang w:val="lt-LT"/>
          <w14:ligatures w14:val="none"/>
        </w:rPr>
        <w:t>Corts</w:t>
      </w:r>
      <w:proofErr w:type="spellEnd"/>
      <w:r w:rsidRPr="001C66E1">
        <w:rPr>
          <w:rFonts w:ascii="Times New Roman" w:eastAsia="Times New Roman" w:hAnsi="Times New Roman" w:cs="Times New Roman"/>
          <w:kern w:val="0"/>
          <w:sz w:val="22"/>
          <w:szCs w:val="22"/>
          <w:lang w:val="lt-LT"/>
          <w14:ligatures w14:val="none"/>
        </w:rPr>
        <w:t xml:space="preserve"> </w:t>
      </w:r>
      <w:proofErr w:type="spellStart"/>
      <w:r w:rsidRPr="001C66E1">
        <w:rPr>
          <w:rFonts w:ascii="Times New Roman" w:eastAsia="Times New Roman" w:hAnsi="Times New Roman" w:cs="Times New Roman"/>
          <w:kern w:val="0"/>
          <w:sz w:val="22"/>
          <w:szCs w:val="22"/>
          <w:lang w:val="lt-LT"/>
          <w14:ligatures w14:val="none"/>
        </w:rPr>
        <w:t>Catalanes</w:t>
      </w:r>
      <w:proofErr w:type="spellEnd"/>
      <w:r w:rsidRPr="001C66E1">
        <w:rPr>
          <w:rFonts w:ascii="Times New Roman" w:eastAsia="Times New Roman" w:hAnsi="Times New Roman" w:cs="Times New Roman"/>
          <w:kern w:val="0"/>
          <w:sz w:val="22"/>
          <w:szCs w:val="22"/>
          <w:lang w:val="lt-LT"/>
          <w14:ligatures w14:val="none"/>
        </w:rPr>
        <w:t>, 764</w:t>
      </w:r>
    </w:p>
    <w:p w14:paraId="3D5A5F67"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08013 </w:t>
      </w:r>
      <w:proofErr w:type="spellStart"/>
      <w:r w:rsidRPr="001C66E1">
        <w:rPr>
          <w:rFonts w:ascii="Times New Roman" w:eastAsia="Times New Roman" w:hAnsi="Times New Roman" w:cs="Times New Roman"/>
          <w:kern w:val="0"/>
          <w:sz w:val="22"/>
          <w:szCs w:val="22"/>
          <w:lang w:val="lt-LT"/>
          <w14:ligatures w14:val="none"/>
        </w:rPr>
        <w:t>Barcelona</w:t>
      </w:r>
      <w:proofErr w:type="spellEnd"/>
    </w:p>
    <w:p w14:paraId="4F0AD480"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Ispanija</w:t>
      </w:r>
    </w:p>
    <w:p w14:paraId="6D87036C"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p w14:paraId="6F9B26AA"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Jeigu apie šį vaistą norite sužinoti daugiau, kreipkitės į vietinį </w:t>
      </w:r>
      <w:r w:rsidRPr="001C66E1">
        <w:rPr>
          <w:rFonts w:ascii="Times New Roman" w:eastAsia="MS Mincho" w:hAnsi="Times New Roman" w:cs="Times New Roman"/>
          <w:kern w:val="0"/>
          <w:sz w:val="22"/>
          <w:szCs w:val="22"/>
          <w:lang w:val="lt-LT" w:eastAsia="lt-LT"/>
          <w14:ligatures w14:val="none"/>
        </w:rPr>
        <w:t xml:space="preserve">registruotojo </w:t>
      </w:r>
      <w:r w:rsidRPr="001C66E1">
        <w:rPr>
          <w:rFonts w:ascii="Times New Roman" w:eastAsia="Times New Roman" w:hAnsi="Times New Roman" w:cs="Times New Roman"/>
          <w:noProof/>
          <w:kern w:val="0"/>
          <w:sz w:val="22"/>
          <w:szCs w:val="22"/>
          <w:lang w:val="lt-LT"/>
          <w14:ligatures w14:val="none"/>
        </w:rPr>
        <w:t>atstovą.</w:t>
      </w:r>
    </w:p>
    <w:p w14:paraId="2E273F45" w14:textId="77777777" w:rsidR="00EB63AA" w:rsidRPr="001C66E1" w:rsidRDefault="00EB63AA" w:rsidP="00EB63AA">
      <w:pPr>
        <w:spacing w:after="0" w:line="240" w:lineRule="auto"/>
        <w:rPr>
          <w:rFonts w:ascii="Times New Roman" w:eastAsia="Times New Roman" w:hAnsi="Times New Roman" w:cs="Times New Roman"/>
          <w:kern w:val="0"/>
          <w:sz w:val="22"/>
          <w:szCs w:val="22"/>
          <w:lang w:val="lt-LT"/>
          <w14:ligatures w14:val="none"/>
        </w:rPr>
      </w:pPr>
    </w:p>
    <w:tbl>
      <w:tblPr>
        <w:tblW w:w="4678" w:type="dxa"/>
        <w:tblInd w:w="-34" w:type="dxa"/>
        <w:tblLayout w:type="fixed"/>
        <w:tblLook w:val="0000" w:firstRow="0" w:lastRow="0" w:firstColumn="0" w:lastColumn="0" w:noHBand="0" w:noVBand="0"/>
      </w:tblPr>
      <w:tblGrid>
        <w:gridCol w:w="4678"/>
      </w:tblGrid>
      <w:tr w:rsidR="00EB63AA" w:rsidRPr="001C66E1" w14:paraId="0810C1F9" w14:textId="77777777" w:rsidTr="00D03136">
        <w:tc>
          <w:tcPr>
            <w:tcW w:w="4678" w:type="dxa"/>
          </w:tcPr>
          <w:p w14:paraId="32B3091E" w14:textId="77777777" w:rsidR="00EB63AA" w:rsidRPr="001C66E1" w:rsidRDefault="00EB63AA" w:rsidP="00D03136">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SIA </w:t>
            </w:r>
            <w:r w:rsidRPr="001C66E1">
              <w:rPr>
                <w:rFonts w:ascii="Times New Roman" w:eastAsia="Times New Roman" w:hAnsi="Times New Roman" w:cs="Times New Roman"/>
                <w:kern w:val="0"/>
                <w:sz w:val="22"/>
                <w:szCs w:val="22"/>
                <w:lang w:val="et-EE"/>
                <w14:ligatures w14:val="none"/>
              </w:rPr>
              <w:t xml:space="preserve">Novartis Baltics </w:t>
            </w:r>
            <w:r w:rsidRPr="001C66E1">
              <w:rPr>
                <w:rFonts w:ascii="Times New Roman" w:eastAsia="Times New Roman" w:hAnsi="Times New Roman" w:cs="Times New Roman"/>
                <w:kern w:val="0"/>
                <w:sz w:val="22"/>
                <w:szCs w:val="22"/>
                <w:lang w:val="lt-LT"/>
                <w14:ligatures w14:val="none"/>
              </w:rPr>
              <w:t>Lietuvos filialas</w:t>
            </w:r>
          </w:p>
          <w:p w14:paraId="19718F94" w14:textId="77777777" w:rsidR="00EB63AA" w:rsidRPr="001C66E1" w:rsidRDefault="00EB63AA" w:rsidP="00D03136">
            <w:pPr>
              <w:tabs>
                <w:tab w:val="left" w:pos="567"/>
              </w:tabs>
              <w:spacing w:after="0" w:line="240" w:lineRule="auto"/>
              <w:rPr>
                <w:rFonts w:ascii="Times New Roman" w:eastAsia="Times New Roman" w:hAnsi="Times New Roman" w:cs="Times New Roman"/>
                <w:bCs/>
                <w:iCs/>
                <w:kern w:val="0"/>
                <w:sz w:val="22"/>
                <w:szCs w:val="22"/>
                <w:lang w:val="lt-LT"/>
                <w14:ligatures w14:val="none"/>
              </w:rPr>
            </w:pPr>
            <w:r w:rsidRPr="001C66E1">
              <w:rPr>
                <w:rFonts w:ascii="Times New Roman" w:eastAsia="Times New Roman" w:hAnsi="Times New Roman" w:cs="Times New Roman"/>
                <w:bCs/>
                <w:iCs/>
                <w:kern w:val="0"/>
                <w:sz w:val="22"/>
                <w:szCs w:val="22"/>
                <w:lang w:val="lt-LT"/>
                <w14:ligatures w14:val="none"/>
              </w:rPr>
              <w:t>Upės g. 19–1</w:t>
            </w:r>
          </w:p>
          <w:p w14:paraId="349DE5C7" w14:textId="77777777" w:rsidR="00EB63AA" w:rsidRPr="001C66E1" w:rsidRDefault="00EB63AA" w:rsidP="00D03136">
            <w:pPr>
              <w:tabs>
                <w:tab w:val="left" w:pos="567"/>
              </w:tabs>
              <w:spacing w:after="0" w:line="240" w:lineRule="auto"/>
              <w:rPr>
                <w:rFonts w:ascii="Times New Roman" w:eastAsia="Times New Roman" w:hAnsi="Times New Roman" w:cs="Times New Roman"/>
                <w:bCs/>
                <w:iCs/>
                <w:kern w:val="0"/>
                <w:sz w:val="22"/>
                <w:szCs w:val="22"/>
                <w:lang w:val="lt-LT"/>
                <w14:ligatures w14:val="none"/>
              </w:rPr>
            </w:pPr>
            <w:r w:rsidRPr="001C66E1">
              <w:rPr>
                <w:rFonts w:ascii="Times New Roman" w:eastAsia="Times New Roman" w:hAnsi="Times New Roman" w:cs="Times New Roman"/>
                <w:bCs/>
                <w:iCs/>
                <w:kern w:val="0"/>
                <w:sz w:val="22"/>
                <w:szCs w:val="22"/>
                <w:lang w:val="lt-LT"/>
                <w14:ligatures w14:val="none"/>
              </w:rPr>
              <w:t>LT–08128</w:t>
            </w:r>
            <w:r w:rsidRPr="001C66E1" w:rsidDel="00D17A0E">
              <w:rPr>
                <w:rFonts w:ascii="Times New Roman" w:eastAsia="Times New Roman" w:hAnsi="Times New Roman" w:cs="Times New Roman"/>
                <w:bCs/>
                <w:iCs/>
                <w:kern w:val="0"/>
                <w:sz w:val="22"/>
                <w:szCs w:val="22"/>
                <w:lang w:val="lt-LT"/>
                <w14:ligatures w14:val="none"/>
              </w:rPr>
              <w:t xml:space="preserve"> </w:t>
            </w:r>
            <w:r w:rsidRPr="001C66E1">
              <w:rPr>
                <w:rFonts w:ascii="Times New Roman" w:eastAsia="Times New Roman" w:hAnsi="Times New Roman" w:cs="Times New Roman"/>
                <w:bCs/>
                <w:iCs/>
                <w:kern w:val="0"/>
                <w:sz w:val="22"/>
                <w:szCs w:val="22"/>
                <w:lang w:val="lt-LT"/>
                <w14:ligatures w14:val="none"/>
              </w:rPr>
              <w:t>Vilnius</w:t>
            </w:r>
          </w:p>
          <w:p w14:paraId="2884C1EF" w14:textId="77777777" w:rsidR="00EB63AA" w:rsidRPr="001C66E1" w:rsidRDefault="00EB63AA" w:rsidP="00D03136">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bCs/>
                <w:iCs/>
                <w:kern w:val="0"/>
                <w:sz w:val="22"/>
                <w:szCs w:val="22"/>
                <w:lang w:val="lt-LT"/>
                <w14:ligatures w14:val="none"/>
              </w:rPr>
              <w:t>Tel. +370 5 269 1650</w:t>
            </w:r>
          </w:p>
        </w:tc>
      </w:tr>
    </w:tbl>
    <w:p w14:paraId="05EE2043" w14:textId="77777777" w:rsidR="00EB63AA" w:rsidRPr="001C66E1" w:rsidRDefault="00EB63AA" w:rsidP="00EB63AA">
      <w:pPr>
        <w:spacing w:after="0" w:line="240" w:lineRule="auto"/>
        <w:rPr>
          <w:rFonts w:ascii="Times New Roman" w:eastAsia="Times New Roman" w:hAnsi="Times New Roman" w:cs="Times New Roman"/>
          <w:b/>
          <w:bCs/>
          <w:kern w:val="0"/>
          <w:sz w:val="22"/>
          <w:szCs w:val="22"/>
          <w:lang w:val="lt-LT"/>
          <w14:ligatures w14:val="none"/>
        </w:rPr>
      </w:pPr>
    </w:p>
    <w:p w14:paraId="1B5863AA" w14:textId="77777777" w:rsidR="00EB63AA" w:rsidRPr="001C66E1" w:rsidRDefault="00EB63AA" w:rsidP="00EB63AA">
      <w:pPr>
        <w:spacing w:after="0" w:line="240" w:lineRule="auto"/>
        <w:rPr>
          <w:rFonts w:ascii="Times New Roman" w:eastAsia="Times New Roman" w:hAnsi="Times New Roman" w:cs="Times New Roman"/>
          <w:b/>
          <w:bCs/>
          <w:kern w:val="0"/>
          <w:sz w:val="22"/>
          <w:szCs w:val="22"/>
          <w:lang w:val="lt-LT"/>
          <w14:ligatures w14:val="none"/>
        </w:rPr>
      </w:pPr>
    </w:p>
    <w:p w14:paraId="28F42283"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Šis pakuotės lapelis</w:t>
      </w:r>
      <w:r w:rsidRPr="001C66E1">
        <w:rPr>
          <w:rFonts w:ascii="Times New Roman" w:eastAsia="Times New Roman" w:hAnsi="Times New Roman" w:cs="Times New Roman"/>
          <w:b/>
          <w:kern w:val="0"/>
          <w:sz w:val="22"/>
          <w:szCs w:val="22"/>
          <w:lang w:val="lt-LT"/>
          <w14:ligatures w14:val="none"/>
        </w:rPr>
        <w:t xml:space="preserve"> paskutinį kartą peržiūrėtas 2025-</w:t>
      </w:r>
      <w:r>
        <w:rPr>
          <w:rFonts w:ascii="Times New Roman" w:eastAsia="Times New Roman" w:hAnsi="Times New Roman" w:cs="Times New Roman"/>
          <w:b/>
          <w:kern w:val="0"/>
          <w:sz w:val="22"/>
          <w:szCs w:val="22"/>
          <w:lang w:val="lt-LT"/>
          <w14:ligatures w14:val="none"/>
        </w:rPr>
        <w:t>1</w:t>
      </w:r>
      <w:r w:rsidRPr="001C66E1">
        <w:rPr>
          <w:rFonts w:ascii="Times New Roman" w:eastAsia="Times New Roman" w:hAnsi="Times New Roman" w:cs="Times New Roman"/>
          <w:b/>
          <w:kern w:val="0"/>
          <w:sz w:val="22"/>
          <w:szCs w:val="22"/>
          <w:lang w:val="lt-LT"/>
          <w14:ligatures w14:val="none"/>
        </w:rPr>
        <w:t>0-</w:t>
      </w:r>
      <w:r>
        <w:rPr>
          <w:rFonts w:ascii="Times New Roman" w:eastAsia="Times New Roman" w:hAnsi="Times New Roman" w:cs="Times New Roman"/>
          <w:b/>
          <w:kern w:val="0"/>
          <w:sz w:val="22"/>
          <w:szCs w:val="22"/>
          <w:lang w:val="lt-LT"/>
          <w14:ligatures w14:val="none"/>
        </w:rPr>
        <w:t>23</w:t>
      </w:r>
      <w:r w:rsidRPr="001C66E1">
        <w:rPr>
          <w:rFonts w:ascii="Times New Roman" w:eastAsia="Times New Roman" w:hAnsi="Times New Roman" w:cs="Times New Roman"/>
          <w:b/>
          <w:kern w:val="0"/>
          <w:sz w:val="22"/>
          <w:szCs w:val="22"/>
          <w:lang w:val="lt-LT"/>
          <w14:ligatures w14:val="none"/>
        </w:rPr>
        <w:t xml:space="preserve">.  </w:t>
      </w:r>
    </w:p>
    <w:p w14:paraId="38DCC672"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08B5C880" w14:textId="77777777" w:rsidR="00EB63AA" w:rsidRPr="001C66E1" w:rsidRDefault="00EB63AA" w:rsidP="00EB63AA">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1C66E1">
        <w:rPr>
          <w:rFonts w:ascii="Times New Roman" w:eastAsia="Times New Roman" w:hAnsi="Times New Roman" w:cs="Times New Roman"/>
          <w:i/>
          <w:kern w:val="0"/>
          <w:sz w:val="22"/>
          <w:szCs w:val="22"/>
          <w:lang w:val="lt-LT"/>
          <w14:ligatures w14:val="none"/>
        </w:rPr>
        <w:t xml:space="preserve"> </w:t>
      </w:r>
      <w:hyperlink r:id="rId11" w:history="1">
        <w:r w:rsidRPr="001C66E1">
          <w:rPr>
            <w:rFonts w:ascii="Times New Roman" w:eastAsia="Times New Roman" w:hAnsi="Times New Roman" w:cs="Times New Roman"/>
            <w:color w:val="0563C1"/>
            <w:kern w:val="0"/>
            <w:sz w:val="22"/>
            <w:szCs w:val="22"/>
            <w:u w:val="single"/>
            <w:lang w:val="lt-LT"/>
            <w14:ligatures w14:val="none"/>
          </w:rPr>
          <w:t>https://vvkt.lrv.lt/lt/</w:t>
        </w:r>
      </w:hyperlink>
      <w:r w:rsidRPr="001C66E1">
        <w:rPr>
          <w:rFonts w:ascii="Times New Roman" w:eastAsia="Times New Roman" w:hAnsi="Times New Roman" w:cs="Times New Roman"/>
          <w:color w:val="0000FF"/>
          <w:kern w:val="0"/>
          <w:sz w:val="22"/>
          <w:szCs w:val="22"/>
          <w:lang w:val="lt-LT"/>
          <w14:ligatures w14:val="none"/>
        </w:rPr>
        <w:t>.</w:t>
      </w:r>
    </w:p>
    <w:p w14:paraId="51475A5E" w14:textId="77777777" w:rsidR="00222FED" w:rsidRDefault="00222FED"/>
    <w:sectPr w:rsidR="00222FED" w:rsidSect="00EB63AA">
      <w:headerReference w:type="default" r:id="rId12"/>
      <w:footerReference w:type="even" r:id="rId13"/>
      <w:footerReference w:type="default" r:id="rId14"/>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C0F0" w14:textId="77777777" w:rsidR="00EB63AA" w:rsidRDefault="00EB63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43DA3FC" w14:textId="77777777" w:rsidR="00EB63AA" w:rsidRDefault="00EB63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3CB6" w14:textId="77777777" w:rsidR="00EB63AA" w:rsidRDefault="00EB63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3DECC30" w14:textId="77777777" w:rsidR="00EB63AA" w:rsidRDefault="00EB63A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D000" w14:textId="77777777" w:rsidR="00EB63AA" w:rsidRDefault="00EB63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A3830"/>
    <w:multiLevelType w:val="hybridMultilevel"/>
    <w:tmpl w:val="D11E18E2"/>
    <w:lvl w:ilvl="0" w:tplc="4C1C52EE">
      <w:start w:val="3"/>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831411670">
    <w:abstractNumId w:val="0"/>
  </w:num>
  <w:num w:numId="2" w16cid:durableId="789979991">
    <w:abstractNumId w:val="2"/>
  </w:num>
  <w:num w:numId="3" w16cid:durableId="11013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A"/>
    <w:rsid w:val="00067A41"/>
    <w:rsid w:val="00222FED"/>
    <w:rsid w:val="005F173E"/>
    <w:rsid w:val="008B3AD4"/>
    <w:rsid w:val="00984A0A"/>
    <w:rsid w:val="00D047C4"/>
    <w:rsid w:val="00EB63A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2BBEEC"/>
  <w15:chartTrackingRefBased/>
  <w15:docId w15:val="{C6AA775D-2DF8-402B-A8E4-B1C107D5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63AA"/>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EB6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6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63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63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63A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B63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63A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63A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63A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63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63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63A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63A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63A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B63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63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63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63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6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63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63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63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63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63AA"/>
    <w:rPr>
      <w:i/>
      <w:iCs/>
      <w:color w:val="404040" w:themeColor="text1" w:themeTint="BF"/>
    </w:rPr>
  </w:style>
  <w:style w:type="paragraph" w:styleId="Sraopastraipa">
    <w:name w:val="List Paragraph"/>
    <w:basedOn w:val="prastasis"/>
    <w:uiPriority w:val="34"/>
    <w:qFormat/>
    <w:rsid w:val="00EB63AA"/>
    <w:pPr>
      <w:ind w:left="720"/>
      <w:contextualSpacing/>
    </w:pPr>
  </w:style>
  <w:style w:type="character" w:styleId="Rykuspabraukimas">
    <w:name w:val="Intense Emphasis"/>
    <w:basedOn w:val="Numatytasispastraiposriftas"/>
    <w:uiPriority w:val="21"/>
    <w:qFormat/>
    <w:rsid w:val="00EB63AA"/>
    <w:rPr>
      <w:i/>
      <w:iCs/>
      <w:color w:val="0F4761" w:themeColor="accent1" w:themeShade="BF"/>
    </w:rPr>
  </w:style>
  <w:style w:type="paragraph" w:styleId="Iskirtacitata">
    <w:name w:val="Intense Quote"/>
    <w:basedOn w:val="prastasis"/>
    <w:next w:val="prastasis"/>
    <w:link w:val="IskirtacitataDiagrama"/>
    <w:uiPriority w:val="30"/>
    <w:qFormat/>
    <w:rsid w:val="00EB6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63AA"/>
    <w:rPr>
      <w:i/>
      <w:iCs/>
      <w:color w:val="0F4761" w:themeColor="accent1" w:themeShade="BF"/>
    </w:rPr>
  </w:style>
  <w:style w:type="character" w:styleId="Rykinuoroda">
    <w:name w:val="Intense Reference"/>
    <w:basedOn w:val="Numatytasispastraiposriftas"/>
    <w:uiPriority w:val="32"/>
    <w:qFormat/>
    <w:rsid w:val="00EB63AA"/>
    <w:rPr>
      <w:b/>
      <w:bCs/>
      <w:smallCaps/>
      <w:color w:val="0F4761" w:themeColor="accent1" w:themeShade="BF"/>
      <w:spacing w:val="5"/>
    </w:rPr>
  </w:style>
  <w:style w:type="paragraph" w:styleId="Porat">
    <w:name w:val="footer"/>
    <w:basedOn w:val="prastasis"/>
    <w:link w:val="PoratDiagrama"/>
    <w:uiPriority w:val="99"/>
    <w:semiHidden/>
    <w:unhideWhenUsed/>
    <w:rsid w:val="00EB63AA"/>
    <w:pPr>
      <w:tabs>
        <w:tab w:val="center" w:pos="4986"/>
        <w:tab w:val="right" w:pos="9972"/>
      </w:tabs>
      <w:spacing w:after="0" w:line="240" w:lineRule="auto"/>
    </w:pPr>
    <w:rPr>
      <w:rFonts w:ascii="Calibri" w:hAnsi="Calibri" w:cs="Times New Roman"/>
      <w:kern w:val="0"/>
      <w:sz w:val="22"/>
      <w:szCs w:val="22"/>
      <w14:ligatures w14:val="none"/>
    </w:rPr>
  </w:style>
  <w:style w:type="character" w:customStyle="1" w:styleId="PoratDiagrama">
    <w:name w:val="Poraštė Diagrama"/>
    <w:basedOn w:val="Numatytasispastraiposriftas"/>
    <w:link w:val="Porat"/>
    <w:uiPriority w:val="99"/>
    <w:semiHidden/>
    <w:rsid w:val="00EB63AA"/>
    <w:rPr>
      <w:rFonts w:ascii="Calibri" w:hAnsi="Calibri"/>
      <w:kern w:val="0"/>
      <w:lang w:val="en-US"/>
      <w14:ligatures w14:val="none"/>
    </w:rPr>
  </w:style>
  <w:style w:type="character" w:styleId="Puslapionumeris">
    <w:name w:val="page number"/>
    <w:basedOn w:val="Numatytasispastraiposriftas"/>
    <w:rsid w:val="00EB63AA"/>
  </w:style>
  <w:style w:type="paragraph" w:styleId="Antrats">
    <w:name w:val="header"/>
    <w:basedOn w:val="prastasis"/>
    <w:link w:val="AntratsDiagrama"/>
    <w:uiPriority w:val="99"/>
    <w:unhideWhenUsed/>
    <w:rsid w:val="00EB63AA"/>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EB63AA"/>
    <w:rPr>
      <w:rFonts w:ascii="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vvkt.lrv.lt/l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7743</Words>
  <Characters>4414</Characters>
  <Application>Microsoft Office Word</Application>
  <DocSecurity>0</DocSecurity>
  <Lines>36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2026-02-13T12:34:00Z</dcterms:created>
  <dcterms:modified xsi:type="dcterms:W3CDTF">2026-02-13T12:34:00Z</dcterms:modified>
</cp:coreProperties>
</file>