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3B" w:rsidRPr="00762BF6" w:rsidRDefault="0095323B" w:rsidP="0095323B">
      <w:pPr>
        <w:pStyle w:val="TTEMEASMCA"/>
        <w:rPr>
          <w:sz w:val="22"/>
          <w:szCs w:val="22"/>
          <w:lang w:val="lt-LT"/>
        </w:rPr>
      </w:pPr>
      <w:bookmarkStart w:id="0" w:name="_Toc129243263"/>
      <w:bookmarkStart w:id="1" w:name="_Toc129243138"/>
      <w:r w:rsidRPr="00762BF6">
        <w:rPr>
          <w:caps w:val="0"/>
          <w:sz w:val="22"/>
          <w:szCs w:val="22"/>
          <w:lang w:val="lt-LT"/>
        </w:rPr>
        <w:t>Pakuotės lapelis: informacija vartotojui</w:t>
      </w:r>
      <w:bookmarkEnd w:id="0"/>
      <w:bookmarkEnd w:id="1"/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762BF6">
        <w:rPr>
          <w:b/>
          <w:sz w:val="22"/>
          <w:szCs w:val="22"/>
        </w:rPr>
        <w:t>Pentoxifyllinum</w:t>
      </w:r>
      <w:proofErr w:type="spellEnd"/>
      <w:r w:rsidRPr="00762BF6">
        <w:rPr>
          <w:b/>
          <w:sz w:val="22"/>
          <w:szCs w:val="22"/>
        </w:rPr>
        <w:t xml:space="preserve"> SANITAS 20 mg/ml injekcinis ar infuzinis tirpalas</w:t>
      </w:r>
    </w:p>
    <w:p w:rsidR="0095323B" w:rsidRPr="00762BF6" w:rsidRDefault="0095323B" w:rsidP="0095323B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762BF6">
        <w:rPr>
          <w:sz w:val="22"/>
          <w:szCs w:val="22"/>
        </w:rPr>
        <w:t>Pentoksifilinas</w:t>
      </w:r>
      <w:proofErr w:type="spellEnd"/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bEMEASMCA"/>
      </w:pPr>
      <w:r w:rsidRPr="00762BF6">
        <w:t>Atidžiai perskaitykite visą šį lapelį, prieš pradėdami vartoti vaistą, nes jame pateikiama Jums svarbi informacija.</w:t>
      </w:r>
    </w:p>
    <w:p w:rsidR="0095323B" w:rsidRPr="00762BF6" w:rsidRDefault="0095323B" w:rsidP="0095323B">
      <w:pPr>
        <w:pStyle w:val="BT-EMEASMCA"/>
        <w:tabs>
          <w:tab w:val="num" w:pos="720"/>
        </w:tabs>
      </w:pPr>
      <w:r w:rsidRPr="00762BF6">
        <w:t>Neišmeskite šio lapelio, nes vėl gali prireikti jį perskaityti.</w:t>
      </w:r>
    </w:p>
    <w:p w:rsidR="0095323B" w:rsidRPr="00762BF6" w:rsidRDefault="0095323B" w:rsidP="0095323B">
      <w:pPr>
        <w:pStyle w:val="BT-EMEASMCA"/>
        <w:tabs>
          <w:tab w:val="num" w:pos="720"/>
        </w:tabs>
      </w:pPr>
      <w:r w:rsidRPr="00762BF6">
        <w:t>Jeigu kiltų daugiau klausimų, kreipkitės į gydytoją arba vaistininką.</w:t>
      </w:r>
    </w:p>
    <w:p w:rsidR="0095323B" w:rsidRPr="00762BF6" w:rsidRDefault="0095323B" w:rsidP="0095323B">
      <w:pPr>
        <w:pStyle w:val="BT-EMEASMCA"/>
        <w:tabs>
          <w:tab w:val="num" w:pos="720"/>
        </w:tabs>
      </w:pPr>
      <w:r w:rsidRPr="00762BF6">
        <w:t>Šis vaistas skirtas tik Jums, todėl kitiems žmonėms jo duoti negalima. Vaistas gali jiems pakenkti (net tiems, kurių ligos požymiai yra tokie patys kaip Jūsų).</w:t>
      </w:r>
    </w:p>
    <w:p w:rsidR="0095323B" w:rsidRPr="00762BF6" w:rsidRDefault="0095323B" w:rsidP="0095323B">
      <w:pPr>
        <w:pStyle w:val="BT-EMEASMCA"/>
        <w:tabs>
          <w:tab w:val="num" w:pos="720"/>
        </w:tabs>
      </w:pPr>
      <w:r w:rsidRPr="00762BF6">
        <w:t>Jeigu pasireiškė šalutinis poveikis (net jeigu jis šiame lapelyje nenurodytas), kreipkitės į gydytoją arba vaistininką. Žr. 4 skyrių.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bEMEASMCA"/>
      </w:pPr>
      <w:r w:rsidRPr="00762BF6">
        <w:t>Apie ką rašoma šiame lapelyje?</w:t>
      </w:r>
    </w:p>
    <w:p w:rsidR="0095323B" w:rsidRPr="00762BF6" w:rsidRDefault="0095323B" w:rsidP="0095323B">
      <w:pPr>
        <w:pStyle w:val="BTEMEASMCA"/>
      </w:pPr>
      <w:r w:rsidRPr="00762BF6">
        <w:t>1.</w:t>
      </w:r>
      <w:r w:rsidRPr="00762BF6">
        <w:tab/>
        <w:t>Kas yra Pentoxifyllinum SANITAS ir kam jis vartojamas</w:t>
      </w:r>
    </w:p>
    <w:p w:rsidR="0095323B" w:rsidRPr="00762BF6" w:rsidRDefault="0095323B" w:rsidP="0095323B">
      <w:pPr>
        <w:pStyle w:val="BTEMEASMCA"/>
      </w:pPr>
      <w:r w:rsidRPr="00762BF6">
        <w:t>2.</w:t>
      </w:r>
      <w:r w:rsidRPr="00762BF6">
        <w:tab/>
        <w:t xml:space="preserve">Kas žinotina prieš vartojant </w:t>
      </w:r>
      <w:r w:rsidRPr="00762BF6">
        <w:rPr>
          <w:bCs/>
          <w:iCs/>
        </w:rPr>
        <w:t>Pentoxifyllinum SANITAS</w:t>
      </w:r>
    </w:p>
    <w:p w:rsidR="0095323B" w:rsidRPr="00762BF6" w:rsidRDefault="0095323B" w:rsidP="0095323B">
      <w:pPr>
        <w:pStyle w:val="BTEMEASMCA"/>
      </w:pPr>
      <w:r w:rsidRPr="00762BF6">
        <w:t>3.</w:t>
      </w:r>
      <w:r w:rsidRPr="00762BF6">
        <w:tab/>
        <w:t>Kaip vartoti Pentoxifyllinum SANITAS</w:t>
      </w:r>
    </w:p>
    <w:p w:rsidR="0095323B" w:rsidRPr="00762BF6" w:rsidRDefault="0095323B" w:rsidP="0095323B">
      <w:pPr>
        <w:pStyle w:val="BTEMEASMCA"/>
      </w:pPr>
      <w:r w:rsidRPr="00762BF6">
        <w:t>4.</w:t>
      </w:r>
      <w:r w:rsidRPr="00762BF6">
        <w:tab/>
        <w:t>Galimas šalutinis poveikis</w:t>
      </w:r>
    </w:p>
    <w:p w:rsidR="0095323B" w:rsidRPr="00762BF6" w:rsidRDefault="0095323B" w:rsidP="0095323B">
      <w:pPr>
        <w:pStyle w:val="BTEMEASMCA"/>
      </w:pPr>
      <w:r w:rsidRPr="00762BF6">
        <w:t>5.</w:t>
      </w:r>
      <w:r w:rsidRPr="00762BF6">
        <w:tab/>
        <w:t>Kaip laikyti Pentoxifyllinum SANITAS</w:t>
      </w:r>
    </w:p>
    <w:p w:rsidR="0095323B" w:rsidRPr="00762BF6" w:rsidRDefault="0095323B" w:rsidP="0095323B">
      <w:pPr>
        <w:pStyle w:val="BTEMEASMCA"/>
      </w:pPr>
      <w:r w:rsidRPr="00762BF6">
        <w:t>6.</w:t>
      </w:r>
      <w:r w:rsidRPr="00762BF6">
        <w:tab/>
        <w:t>Pakuotės turinys ir kita informacija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2" w:name="_Toc129243264"/>
      <w:bookmarkStart w:id="3" w:name="_Toc129243139"/>
      <w:r w:rsidRPr="00762BF6">
        <w:rPr>
          <w:lang w:val="lt-LT"/>
        </w:rPr>
        <w:t>1.</w:t>
      </w:r>
      <w:r w:rsidRPr="00762BF6">
        <w:rPr>
          <w:lang w:val="lt-LT"/>
        </w:rPr>
        <w:tab/>
        <w:t xml:space="preserve">Kas yra </w:t>
      </w:r>
      <w:proofErr w:type="spellStart"/>
      <w:r w:rsidRPr="00762BF6">
        <w:rPr>
          <w:lang w:val="lt-LT"/>
        </w:rPr>
        <w:t>Pentoxifyllinum</w:t>
      </w:r>
      <w:proofErr w:type="spellEnd"/>
      <w:r w:rsidRPr="00762BF6">
        <w:rPr>
          <w:lang w:val="lt-LT"/>
        </w:rPr>
        <w:t xml:space="preserve"> SANITAS ir kam jis vartojamas</w:t>
      </w:r>
      <w:bookmarkEnd w:id="2"/>
      <w:bookmarkEnd w:id="3"/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 w:rsidRPr="00762BF6">
        <w:rPr>
          <w:sz w:val="22"/>
          <w:szCs w:val="22"/>
        </w:rPr>
        <w:t xml:space="preserve">Veiklioji </w:t>
      </w:r>
      <w:proofErr w:type="spellStart"/>
      <w:r w:rsidRPr="00762BF6">
        <w:rPr>
          <w:sz w:val="22"/>
          <w:szCs w:val="22"/>
        </w:rPr>
        <w:t>Pentoxifyllinum</w:t>
      </w:r>
      <w:proofErr w:type="spellEnd"/>
      <w:r w:rsidRPr="00762BF6">
        <w:rPr>
          <w:sz w:val="22"/>
          <w:szCs w:val="22"/>
        </w:rPr>
        <w:t xml:space="preserve"> SANITAS medžiaga </w:t>
      </w:r>
      <w:proofErr w:type="spellStart"/>
      <w:r w:rsidRPr="00762BF6">
        <w:rPr>
          <w:sz w:val="22"/>
          <w:szCs w:val="22"/>
        </w:rPr>
        <w:t>pentoksifilinas</w:t>
      </w:r>
      <w:proofErr w:type="spellEnd"/>
      <w:r w:rsidRPr="00762BF6">
        <w:rPr>
          <w:sz w:val="22"/>
          <w:szCs w:val="22"/>
        </w:rPr>
        <w:t xml:space="preserve"> gerina kraujo tekėjimą kraujagyslėmis.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proofErr w:type="spellStart"/>
      <w:r w:rsidRPr="00762BF6">
        <w:rPr>
          <w:sz w:val="22"/>
          <w:szCs w:val="22"/>
        </w:rPr>
        <w:t>Pentoxifyllinum</w:t>
      </w:r>
      <w:proofErr w:type="spellEnd"/>
      <w:r w:rsidRPr="00762BF6">
        <w:rPr>
          <w:sz w:val="22"/>
          <w:szCs w:val="22"/>
        </w:rPr>
        <w:t xml:space="preserve"> SANITAS vartojama galūnių kraujotakos sutrikimui, pvz., protarpiniam šlubavimui, gydyti.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4" w:name="_Toc129243265"/>
      <w:bookmarkStart w:id="5" w:name="_Toc129243140"/>
      <w:r w:rsidRPr="00762BF6">
        <w:rPr>
          <w:lang w:val="lt-LT"/>
        </w:rPr>
        <w:t>2.</w:t>
      </w:r>
      <w:r w:rsidRPr="00762BF6">
        <w:rPr>
          <w:lang w:val="lt-LT"/>
        </w:rPr>
        <w:tab/>
        <w:t xml:space="preserve">Kas žinotina prieš vartojant </w:t>
      </w:r>
      <w:bookmarkEnd w:id="4"/>
      <w:bookmarkEnd w:id="5"/>
      <w:proofErr w:type="spellStart"/>
      <w:r w:rsidRPr="00762BF6">
        <w:rPr>
          <w:lang w:val="lt-LT"/>
        </w:rPr>
        <w:t>Pentoxifyllinum</w:t>
      </w:r>
      <w:proofErr w:type="spellEnd"/>
      <w:r w:rsidRPr="00762BF6">
        <w:rPr>
          <w:lang w:val="lt-LT"/>
        </w:rPr>
        <w:t xml:space="preserve"> SANITAS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3EMEASMCA"/>
      </w:pPr>
      <w:proofErr w:type="spellStart"/>
      <w:r w:rsidRPr="00762BF6">
        <w:t>Pentoxifyllinum</w:t>
      </w:r>
      <w:proofErr w:type="spellEnd"/>
      <w:r w:rsidRPr="00762BF6">
        <w:t xml:space="preserve"> SANITAS vartoti negalima:</w:t>
      </w:r>
    </w:p>
    <w:p w:rsidR="0095323B" w:rsidRPr="00762BF6" w:rsidRDefault="0095323B" w:rsidP="0095323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 xml:space="preserve">jeigu yra alergija </w:t>
      </w:r>
      <w:proofErr w:type="spellStart"/>
      <w:r w:rsidRPr="00762BF6">
        <w:rPr>
          <w:spacing w:val="-3"/>
          <w:sz w:val="22"/>
          <w:szCs w:val="22"/>
        </w:rPr>
        <w:t>pentoksifilinui</w:t>
      </w:r>
      <w:proofErr w:type="spellEnd"/>
      <w:r w:rsidRPr="00762BF6">
        <w:rPr>
          <w:spacing w:val="-3"/>
          <w:sz w:val="22"/>
          <w:szCs w:val="22"/>
        </w:rPr>
        <w:t xml:space="preserve">, </w:t>
      </w:r>
      <w:proofErr w:type="spellStart"/>
      <w:r w:rsidRPr="00762BF6">
        <w:rPr>
          <w:spacing w:val="-3"/>
          <w:sz w:val="22"/>
          <w:szCs w:val="22"/>
        </w:rPr>
        <w:t>metilksantino</w:t>
      </w:r>
      <w:proofErr w:type="spellEnd"/>
      <w:r w:rsidRPr="00762BF6">
        <w:rPr>
          <w:spacing w:val="-3"/>
          <w:sz w:val="22"/>
          <w:szCs w:val="22"/>
        </w:rPr>
        <w:t xml:space="preserve"> dariniams</w:t>
      </w:r>
      <w:r w:rsidRPr="00762BF6">
        <w:rPr>
          <w:sz w:val="22"/>
          <w:szCs w:val="22"/>
        </w:rPr>
        <w:t xml:space="preserve"> arba bet kuriai pagalbinei šio vaisto medžiagai (jos išvardytos 6 skyriuje);</w:t>
      </w:r>
    </w:p>
    <w:p w:rsidR="0095323B" w:rsidRPr="00762BF6" w:rsidRDefault="0095323B" w:rsidP="0095323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jei neseniai ištiko miokardo infarktas arba yra sunkus širdies ritmo sutrikimas;</w:t>
      </w:r>
    </w:p>
    <w:p w:rsidR="0095323B" w:rsidRPr="00762BF6" w:rsidRDefault="0095323B" w:rsidP="0095323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jei yra sunkus kraujavimas arba atsirado didelių kraujosruvų;</w:t>
      </w:r>
    </w:p>
    <w:p w:rsidR="0095323B" w:rsidRPr="00762BF6" w:rsidRDefault="0095323B" w:rsidP="0095323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jei yra kraujo krešėjimo sutrikimų.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3EMEASMCA"/>
      </w:pPr>
      <w:r w:rsidRPr="00762BF6">
        <w:t>Įspėjimai ir atsargumo priemonės</w:t>
      </w:r>
    </w:p>
    <w:p w:rsidR="0095323B" w:rsidRPr="00762BF6" w:rsidRDefault="0095323B" w:rsidP="0095323B">
      <w:pPr>
        <w:pStyle w:val="PI-3EMEASMCA"/>
      </w:pPr>
      <w:r w:rsidRPr="00762BF6">
        <w:t xml:space="preserve">Pasitarkite su gydytoju arba vaistininku, prieš pradėdami vartoti </w:t>
      </w:r>
      <w:proofErr w:type="spellStart"/>
      <w:r w:rsidRPr="00762BF6">
        <w:t>Pentoxifyllinum</w:t>
      </w:r>
      <w:proofErr w:type="spellEnd"/>
      <w:r w:rsidRPr="00762BF6">
        <w:t xml:space="preserve"> SANITAS.</w:t>
      </w:r>
    </w:p>
    <w:p w:rsidR="0095323B" w:rsidRPr="00762BF6" w:rsidRDefault="0095323B" w:rsidP="0095323B">
      <w:pPr>
        <w:pStyle w:val="PI-3EMEASMCA"/>
      </w:pPr>
      <w:r w:rsidRPr="00762BF6">
        <w:t>Specialių atsargumo priemonių reikia: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ligoniams, kuriems yra sunki vainikinių ar smegenų arterijų sklerozė;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 xml:space="preserve">pacientams, kurių kraujo spaudimas yra mažas arba kurių kraujotaka labili, nes po </w:t>
      </w:r>
      <w:proofErr w:type="spellStart"/>
      <w:r w:rsidRPr="00762BF6">
        <w:rPr>
          <w:sz w:val="22"/>
          <w:szCs w:val="22"/>
        </w:rPr>
        <w:t>pentoksifilino</w:t>
      </w:r>
      <w:proofErr w:type="spellEnd"/>
      <w:r w:rsidRPr="00762BF6">
        <w:rPr>
          <w:sz w:val="22"/>
          <w:szCs w:val="22"/>
        </w:rPr>
        <w:t xml:space="preserve"> suleidimo gali staiga sumažėti kraujo spaudimas ir pasireikšti </w:t>
      </w:r>
      <w:proofErr w:type="spellStart"/>
      <w:r w:rsidRPr="00762BF6">
        <w:rPr>
          <w:sz w:val="22"/>
          <w:szCs w:val="22"/>
        </w:rPr>
        <w:t>kolapsas</w:t>
      </w:r>
      <w:proofErr w:type="spellEnd"/>
      <w:r w:rsidRPr="00762BF6">
        <w:rPr>
          <w:sz w:val="22"/>
          <w:szCs w:val="22"/>
        </w:rPr>
        <w:t xml:space="preserve"> bei skausmas ar spaudimas krūtinėje. Infuzijos metu rekomenduojama matuoti kraujo spaudimą;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jei yra širdies funkcijos nepakankamumas. Tokiu atveju būtina vartoti pakankamą širdį veikiančių glikozidų dozę;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 xml:space="preserve">jei yra inkstų funkcijos sutrikimas. Tokiu atveju dozę reikia sumažinti (žr. 3 skyrių „Kaip vartoti </w:t>
      </w:r>
      <w:proofErr w:type="spellStart"/>
      <w:r w:rsidRPr="00762BF6">
        <w:rPr>
          <w:sz w:val="22"/>
          <w:szCs w:val="22"/>
        </w:rPr>
        <w:t>Pentoxifyllinum</w:t>
      </w:r>
      <w:proofErr w:type="spellEnd"/>
      <w:r w:rsidRPr="00762BF6">
        <w:rPr>
          <w:sz w:val="22"/>
          <w:szCs w:val="22"/>
        </w:rPr>
        <w:t xml:space="preserve"> SANITAS);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cukriniu diabetu sergantiems ligoniams (kad neatsirastų hipoglikemijos, reikia koreguoti insulino dozę).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3EMEASMCA"/>
      </w:pPr>
      <w:r w:rsidRPr="00762BF6">
        <w:t xml:space="preserve">Kiti vaistai ir </w:t>
      </w:r>
      <w:proofErr w:type="spellStart"/>
      <w:r w:rsidRPr="00762BF6">
        <w:t>Pentoxifyllinum</w:t>
      </w:r>
      <w:proofErr w:type="spellEnd"/>
      <w:r w:rsidRPr="00762BF6">
        <w:t xml:space="preserve"> SANITAS </w:t>
      </w:r>
    </w:p>
    <w:p w:rsidR="0095323B" w:rsidRPr="00762BF6" w:rsidRDefault="0095323B" w:rsidP="0095323B">
      <w:pPr>
        <w:pStyle w:val="BTEMEASMCA"/>
      </w:pPr>
      <w:r w:rsidRPr="00762BF6">
        <w:lastRenderedPageBreak/>
        <w:t>Jeigu vartojate arba neseniai vartojote kitų vaistų arba dėl to nesate tikri, apie tai pasakykite gydytojui arba vaistininkui.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agrindinistekstas2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>Ypač svarbu pasakyti gydytojui, jei vartojate: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kraujo spaudimą mažinančių (</w:t>
      </w:r>
      <w:proofErr w:type="spellStart"/>
      <w:r w:rsidRPr="00762BF6">
        <w:rPr>
          <w:sz w:val="22"/>
          <w:szCs w:val="22"/>
        </w:rPr>
        <w:t>antihipertenzinių</w:t>
      </w:r>
      <w:proofErr w:type="spellEnd"/>
      <w:r w:rsidRPr="00762BF6">
        <w:rPr>
          <w:sz w:val="22"/>
          <w:szCs w:val="22"/>
        </w:rPr>
        <w:t>) vaistų;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insulino ir kitokių vaistų nuo diabeto (gali sumažėti cukraus kiekis kraujyje);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 xml:space="preserve">vaistų, kuriuose yra </w:t>
      </w:r>
      <w:proofErr w:type="spellStart"/>
      <w:r w:rsidRPr="00762BF6">
        <w:rPr>
          <w:sz w:val="22"/>
          <w:szCs w:val="22"/>
        </w:rPr>
        <w:t>teofilino</w:t>
      </w:r>
      <w:proofErr w:type="spellEnd"/>
      <w:r w:rsidRPr="00762BF6">
        <w:rPr>
          <w:sz w:val="22"/>
          <w:szCs w:val="22"/>
        </w:rPr>
        <w:t>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762BF6">
        <w:rPr>
          <w:sz w:val="22"/>
          <w:szCs w:val="22"/>
        </w:rPr>
        <w:t>kraujo krešėjimą slopinančių vaistų;</w:t>
      </w:r>
    </w:p>
    <w:p w:rsidR="0095323B" w:rsidRPr="00762BF6" w:rsidRDefault="0095323B" w:rsidP="0095323B">
      <w:pPr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762BF6">
        <w:rPr>
          <w:sz w:val="22"/>
          <w:szCs w:val="22"/>
        </w:rPr>
        <w:t>ketorolako</w:t>
      </w:r>
      <w:proofErr w:type="spellEnd"/>
      <w:r w:rsidRPr="00762BF6">
        <w:rPr>
          <w:sz w:val="22"/>
          <w:szCs w:val="22"/>
        </w:rPr>
        <w:t xml:space="preserve"> (vaisto nuo skausmo ir uždegimo).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3EMEASMCA"/>
      </w:pPr>
      <w:r w:rsidRPr="00762BF6">
        <w:t>Nėštumas ir žindymo laikotarpis</w:t>
      </w:r>
    </w:p>
    <w:p w:rsidR="0095323B" w:rsidRPr="00762BF6" w:rsidRDefault="0095323B" w:rsidP="0095323B">
      <w:pPr>
        <w:pStyle w:val="BTEMEASMCA"/>
      </w:pPr>
      <w:r w:rsidRPr="00762BF6">
        <w:t>Jeigu esate nėščia, žindote kūdikį, manote, kad galbūt esate nėščia, arba planuojate pastoti, tai prieš vartodama šį vaistą, pasitarkite su gydytoju arba vaistininku.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762BF6">
        <w:rPr>
          <w:spacing w:val="-3"/>
          <w:sz w:val="22"/>
          <w:szCs w:val="22"/>
        </w:rPr>
        <w:t xml:space="preserve">Nėščių moterų gydymo šiuo vaistu patirties nepakanka. </w:t>
      </w:r>
      <w:proofErr w:type="spellStart"/>
      <w:r w:rsidRPr="00762BF6">
        <w:rPr>
          <w:spacing w:val="-3"/>
          <w:sz w:val="22"/>
          <w:szCs w:val="22"/>
        </w:rPr>
        <w:t>Pentoksifilino</w:t>
      </w:r>
      <w:proofErr w:type="spellEnd"/>
      <w:r w:rsidRPr="00762BF6">
        <w:rPr>
          <w:spacing w:val="-3"/>
          <w:sz w:val="22"/>
          <w:szCs w:val="22"/>
        </w:rPr>
        <w:t xml:space="preserve"> nėštumo metu vartoti galima tik būtinu atveju.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762BF6">
        <w:rPr>
          <w:spacing w:val="-3"/>
          <w:sz w:val="22"/>
          <w:szCs w:val="22"/>
        </w:rPr>
        <w:t xml:space="preserve">Nedidelis </w:t>
      </w:r>
      <w:proofErr w:type="spellStart"/>
      <w:r w:rsidRPr="00762BF6">
        <w:rPr>
          <w:spacing w:val="-3"/>
          <w:sz w:val="22"/>
          <w:szCs w:val="22"/>
        </w:rPr>
        <w:t>pentoksifilino</w:t>
      </w:r>
      <w:proofErr w:type="spellEnd"/>
      <w:r w:rsidRPr="00762BF6">
        <w:rPr>
          <w:spacing w:val="-3"/>
          <w:sz w:val="22"/>
          <w:szCs w:val="22"/>
        </w:rPr>
        <w:t xml:space="preserve"> kiekis patenka į moters pieną. Jeigu žindote kūdikį, tai prieš Jums skirdamas šio vaisto, gydytojas apsvarstys rizikos ir naudos santykį.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</w:p>
    <w:p w:rsidR="0095323B" w:rsidRPr="00762BF6" w:rsidRDefault="0095323B" w:rsidP="0095323B">
      <w:pPr>
        <w:ind w:left="567" w:hanging="567"/>
        <w:rPr>
          <w:b/>
          <w:sz w:val="22"/>
          <w:szCs w:val="22"/>
        </w:rPr>
      </w:pPr>
      <w:r w:rsidRPr="00762BF6">
        <w:rPr>
          <w:b/>
          <w:sz w:val="22"/>
          <w:szCs w:val="22"/>
        </w:rPr>
        <w:t>Vairavimas ir mechanizmų valdymas</w:t>
      </w:r>
    </w:p>
    <w:p w:rsidR="0095323B" w:rsidRPr="00762BF6" w:rsidRDefault="0095323B" w:rsidP="0095323B">
      <w:pPr>
        <w:rPr>
          <w:sz w:val="22"/>
          <w:szCs w:val="22"/>
        </w:rPr>
      </w:pPr>
      <w:proofErr w:type="spellStart"/>
      <w:r w:rsidRPr="00762BF6">
        <w:rPr>
          <w:spacing w:val="-3"/>
          <w:sz w:val="22"/>
          <w:szCs w:val="22"/>
        </w:rPr>
        <w:t>Pentoxifyllinum</w:t>
      </w:r>
      <w:proofErr w:type="spellEnd"/>
      <w:r w:rsidRPr="00762BF6">
        <w:rPr>
          <w:spacing w:val="-3"/>
          <w:sz w:val="22"/>
          <w:szCs w:val="22"/>
        </w:rPr>
        <w:t xml:space="preserve"> SANITAS gebėjimo vairuoti ir valdyti mechanizmus neveikia arba veikia nereikšmingai.</w:t>
      </w:r>
      <w:r w:rsidRPr="00762BF6">
        <w:rPr>
          <w:sz w:val="22"/>
          <w:szCs w:val="22"/>
        </w:rPr>
        <w:t xml:space="preserve"> Tačiau reikėtų nepamiršti, kad vartojant </w:t>
      </w:r>
      <w:proofErr w:type="spellStart"/>
      <w:r w:rsidRPr="00762BF6">
        <w:rPr>
          <w:sz w:val="22"/>
          <w:szCs w:val="22"/>
        </w:rPr>
        <w:t>pentoksifiliną</w:t>
      </w:r>
      <w:proofErr w:type="spellEnd"/>
      <w:r w:rsidRPr="00762BF6">
        <w:rPr>
          <w:sz w:val="22"/>
          <w:szCs w:val="22"/>
        </w:rPr>
        <w:t xml:space="preserve"> gali atsirasti galvos svaigimas.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3EMEASMCA"/>
      </w:pPr>
      <w:proofErr w:type="spellStart"/>
      <w:r w:rsidRPr="00762BF6">
        <w:t>Pentoxifyllinum</w:t>
      </w:r>
      <w:proofErr w:type="spellEnd"/>
      <w:r w:rsidRPr="00762BF6">
        <w:t xml:space="preserve"> SANITAS sudėtyje yra natrio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Kiekvienoje š</w:t>
      </w:r>
      <w:r w:rsidRPr="00762BF6">
        <w:rPr>
          <w:sz w:val="22"/>
          <w:szCs w:val="22"/>
          <w:lang w:val="lt-LT"/>
        </w:rPr>
        <w:t>io vaisto dozėje (5 ml) yra 13 mg natrio (valgomosios druskos sudedamosios dalies)</w:t>
      </w:r>
      <w:r>
        <w:rPr>
          <w:sz w:val="22"/>
          <w:szCs w:val="22"/>
          <w:lang w:val="lt-LT"/>
        </w:rPr>
        <w:t>. Didžiausioje</w:t>
      </w:r>
      <w:r w:rsidRPr="00762BF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šio vaisto </w:t>
      </w:r>
      <w:r w:rsidRPr="00762BF6">
        <w:rPr>
          <w:sz w:val="22"/>
          <w:szCs w:val="22"/>
          <w:lang w:val="lt-LT"/>
        </w:rPr>
        <w:t>paros dozėje (6 ampulėse) yra 78</w:t>
      </w:r>
      <w:r>
        <w:rPr>
          <w:sz w:val="22"/>
          <w:szCs w:val="22"/>
          <w:lang w:val="lt-LT"/>
        </w:rPr>
        <w:t> </w:t>
      </w:r>
      <w:r w:rsidRPr="00762BF6">
        <w:rPr>
          <w:sz w:val="22"/>
          <w:szCs w:val="22"/>
          <w:lang w:val="lt-LT"/>
        </w:rPr>
        <w:t>mg natrio</w:t>
      </w:r>
      <w:r>
        <w:rPr>
          <w:sz w:val="22"/>
          <w:szCs w:val="22"/>
          <w:lang w:val="lt-LT"/>
        </w:rPr>
        <w:t>.</w:t>
      </w:r>
      <w:r w:rsidRPr="00762BF6" w:rsidDel="001408D5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</w:t>
      </w:r>
      <w:r w:rsidRPr="00762BF6">
        <w:rPr>
          <w:sz w:val="22"/>
          <w:szCs w:val="22"/>
          <w:lang w:val="lt-LT"/>
        </w:rPr>
        <w:t xml:space="preserve">ai atitinka </w:t>
      </w:r>
      <w:r>
        <w:rPr>
          <w:sz w:val="22"/>
          <w:szCs w:val="22"/>
          <w:lang w:val="lt-LT"/>
        </w:rPr>
        <w:t>3,9 </w:t>
      </w:r>
      <w:r w:rsidRPr="00762BF6">
        <w:rPr>
          <w:sz w:val="22"/>
          <w:szCs w:val="22"/>
          <w:lang w:val="lt-LT"/>
        </w:rPr>
        <w:t>% didžiausios rekomenduojamos natrio paros normos suaugusiesiems.</w:t>
      </w:r>
    </w:p>
    <w:p w:rsidR="0095323B" w:rsidRPr="00762BF6" w:rsidRDefault="0095323B" w:rsidP="0095323B">
      <w:pPr>
        <w:pStyle w:val="PI-3EMEASMCA"/>
      </w:pPr>
    </w:p>
    <w:p w:rsidR="0095323B" w:rsidRPr="00762BF6" w:rsidRDefault="0095323B" w:rsidP="0095323B">
      <w:pPr>
        <w:pStyle w:val="PI-3EMEASMCA"/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6" w:name="_Toc129243266"/>
      <w:bookmarkStart w:id="7" w:name="_Toc129243141"/>
      <w:r w:rsidRPr="00762BF6">
        <w:rPr>
          <w:lang w:val="lt-LT"/>
        </w:rPr>
        <w:t>3.</w:t>
      </w:r>
      <w:r w:rsidRPr="00762BF6">
        <w:rPr>
          <w:lang w:val="lt-LT"/>
        </w:rPr>
        <w:tab/>
        <w:t xml:space="preserve">Kaip vartoti </w:t>
      </w:r>
      <w:bookmarkEnd w:id="6"/>
      <w:bookmarkEnd w:id="7"/>
      <w:proofErr w:type="spellStart"/>
      <w:r w:rsidRPr="00762BF6">
        <w:rPr>
          <w:lang w:val="lt-LT"/>
        </w:rPr>
        <w:t>Pentoxifyllinum</w:t>
      </w:r>
      <w:proofErr w:type="spellEnd"/>
      <w:r w:rsidRPr="00762BF6">
        <w:rPr>
          <w:lang w:val="lt-LT"/>
        </w:rPr>
        <w:t xml:space="preserve"> SANITAS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sz w:val="22"/>
          <w:szCs w:val="22"/>
        </w:rPr>
        <w:t>Visada vartokite šį vaistą tiksliai kaip nurodė gydytojas. Jeigu abejojate, kreipkitės į gydytoją arba vaistininką.</w:t>
      </w:r>
    </w:p>
    <w:p w:rsidR="0095323B" w:rsidRPr="00762BF6" w:rsidRDefault="0095323B" w:rsidP="0095323B">
      <w:pPr>
        <w:rPr>
          <w:i/>
          <w:sz w:val="22"/>
          <w:szCs w:val="22"/>
        </w:rPr>
      </w:pP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762BF6">
        <w:rPr>
          <w:sz w:val="22"/>
          <w:szCs w:val="22"/>
          <w:u w:val="single"/>
          <w:lang w:val="lt-LT"/>
        </w:rPr>
        <w:t>Dozavimas suaugusiems žmonėms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Dozė parenkama atsižvelgiant į kraujotakos sutrikimo pobūdį ir sunkumą bei vaisto toleravimą. Gydymo pradžioje reikia atlikti vaisto toleravimo testą: į veną suleidžiama pusė </w:t>
      </w:r>
      <w:proofErr w:type="spellStart"/>
      <w:r w:rsidRPr="00762BF6">
        <w:rPr>
          <w:sz w:val="22"/>
          <w:szCs w:val="22"/>
          <w:lang w:val="lt-LT"/>
        </w:rPr>
        <w:t>Pentoxifyllinum</w:t>
      </w:r>
      <w:proofErr w:type="spellEnd"/>
      <w:r w:rsidRPr="00762BF6">
        <w:rPr>
          <w:sz w:val="22"/>
          <w:szCs w:val="22"/>
          <w:lang w:val="lt-LT"/>
        </w:rPr>
        <w:t xml:space="preserve"> SANITAS ampulės (2,5 ml), praskiestos 10 ml </w:t>
      </w:r>
      <w:proofErr w:type="spellStart"/>
      <w:r w:rsidRPr="00762BF6">
        <w:rPr>
          <w:sz w:val="22"/>
          <w:szCs w:val="22"/>
          <w:lang w:val="lt-LT"/>
        </w:rPr>
        <w:t>izotoniniu</w:t>
      </w:r>
      <w:proofErr w:type="spellEnd"/>
      <w:r w:rsidRPr="00762BF6">
        <w:rPr>
          <w:sz w:val="22"/>
          <w:szCs w:val="22"/>
          <w:lang w:val="lt-LT"/>
        </w:rPr>
        <w:t xml:space="preserve"> natrio chlorido tirpalu. 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Vaistas vartojamas 1-2 kartus per dieną labai lėtai (per 5 minutes) į veną arba arteriją suleidžiant 1 ampulę tirpalo (100 mg </w:t>
      </w:r>
      <w:proofErr w:type="spellStart"/>
      <w:r w:rsidRPr="00762BF6">
        <w:rPr>
          <w:sz w:val="22"/>
          <w:szCs w:val="22"/>
          <w:lang w:val="lt-LT"/>
        </w:rPr>
        <w:t>pentoksifilino</w:t>
      </w:r>
      <w:proofErr w:type="spellEnd"/>
      <w:r w:rsidRPr="00762BF6">
        <w:rPr>
          <w:sz w:val="22"/>
          <w:szCs w:val="22"/>
          <w:lang w:val="lt-LT"/>
        </w:rPr>
        <w:t xml:space="preserve">). 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Geresnis poveikis pasireiškia vaisto </w:t>
      </w:r>
      <w:proofErr w:type="spellStart"/>
      <w:r w:rsidRPr="00762BF6">
        <w:rPr>
          <w:sz w:val="22"/>
          <w:szCs w:val="22"/>
          <w:lang w:val="lt-LT"/>
        </w:rPr>
        <w:t>infuzuojant</w:t>
      </w:r>
      <w:proofErr w:type="spellEnd"/>
      <w:r w:rsidRPr="00762BF6">
        <w:rPr>
          <w:sz w:val="22"/>
          <w:szCs w:val="22"/>
          <w:lang w:val="lt-LT"/>
        </w:rPr>
        <w:t xml:space="preserve">: 200 mg arba 300 mg </w:t>
      </w:r>
      <w:proofErr w:type="spellStart"/>
      <w:r w:rsidRPr="00762BF6">
        <w:rPr>
          <w:sz w:val="22"/>
          <w:szCs w:val="22"/>
          <w:lang w:val="lt-LT"/>
        </w:rPr>
        <w:t>pentoksifilino</w:t>
      </w:r>
      <w:proofErr w:type="spellEnd"/>
      <w:r w:rsidRPr="00762BF6">
        <w:rPr>
          <w:sz w:val="22"/>
          <w:szCs w:val="22"/>
          <w:lang w:val="lt-LT"/>
        </w:rPr>
        <w:t xml:space="preserve"> praskiedžiama 250 ml arba 500 ml infuzinio tirpalo ir lašinama du kartus per parą. Jeigu pacientas infuzijos netoleruoja, rekomenduojama vaisto lašinti tik kartą per parą, o likusią dozę suvartoti geriamąją vaisto forma.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Pacientams, kurie kenčia nuo didelio skausmo arba kuriems yra gangrena ar opa, vaisto rekomenduojama </w:t>
      </w:r>
      <w:proofErr w:type="spellStart"/>
      <w:r w:rsidRPr="00762BF6">
        <w:rPr>
          <w:sz w:val="22"/>
          <w:szCs w:val="22"/>
          <w:lang w:val="lt-LT"/>
        </w:rPr>
        <w:t>infuzuoti</w:t>
      </w:r>
      <w:proofErr w:type="spellEnd"/>
      <w:r w:rsidRPr="00762BF6">
        <w:rPr>
          <w:sz w:val="22"/>
          <w:szCs w:val="22"/>
          <w:lang w:val="lt-LT"/>
        </w:rPr>
        <w:t xml:space="preserve"> 24 valandas.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>Pacientų, kurių kraujo spaudimas yra mažas, o kraujotaka labili, bei ligonių, kuriems kraujo spaudimo sumažėjimas kelia didelę riziką, gydymą reikia pradėti nuo mažos dozės ir ją didinti palaipsniui.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Vienkartinė dozė yra 0,6 mg/kg kūno svorio/per valandą. Maksimali </w:t>
      </w:r>
      <w:proofErr w:type="spellStart"/>
      <w:r w:rsidRPr="00762BF6">
        <w:rPr>
          <w:sz w:val="22"/>
          <w:szCs w:val="22"/>
          <w:lang w:val="lt-LT"/>
        </w:rPr>
        <w:t>pentoksifilino</w:t>
      </w:r>
      <w:proofErr w:type="spellEnd"/>
      <w:r w:rsidRPr="00762BF6">
        <w:rPr>
          <w:sz w:val="22"/>
          <w:szCs w:val="22"/>
          <w:lang w:val="lt-LT"/>
        </w:rPr>
        <w:t xml:space="preserve"> paros dozė yra 600 mg.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762BF6">
        <w:rPr>
          <w:sz w:val="22"/>
          <w:szCs w:val="22"/>
          <w:u w:val="single"/>
          <w:lang w:val="lt-LT"/>
        </w:rPr>
        <w:t>Dozavimas, jei yra inkstų funkcijos sutrikimas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>Jei yra inkstų funkcijos sutrikimas (</w:t>
      </w:r>
      <w:proofErr w:type="spellStart"/>
      <w:r w:rsidRPr="00762BF6">
        <w:rPr>
          <w:sz w:val="22"/>
          <w:szCs w:val="22"/>
          <w:lang w:val="lt-LT"/>
        </w:rPr>
        <w:t>kreatinino</w:t>
      </w:r>
      <w:proofErr w:type="spellEnd"/>
      <w:r w:rsidRPr="00762BF6">
        <w:rPr>
          <w:sz w:val="22"/>
          <w:szCs w:val="22"/>
          <w:lang w:val="lt-LT"/>
        </w:rPr>
        <w:t xml:space="preserve"> klirensas mažesnis kaip 30 ml/min.), dozę reikia sumažinti 30</w:t>
      </w:r>
      <w:r w:rsidRPr="00762BF6">
        <w:rPr>
          <w:sz w:val="22"/>
          <w:szCs w:val="22"/>
          <w:lang w:val="lt-LT"/>
        </w:rPr>
        <w:noBreakHyphen/>
        <w:t>50 %, tačiau dozė priklauso ir nuo individualaus toleravimo.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762BF6">
        <w:rPr>
          <w:sz w:val="22"/>
          <w:szCs w:val="22"/>
          <w:u w:val="single"/>
          <w:lang w:val="lt-LT"/>
        </w:rPr>
        <w:t>Dozavimas, jei yra sunkus kepenų funkcijos sutrikimas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>Jei yra sunkus kepenų funkcijos sutrikimas, dozę reikia mažinti.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762BF6">
        <w:rPr>
          <w:sz w:val="22"/>
          <w:szCs w:val="22"/>
          <w:u w:val="single"/>
          <w:lang w:val="lt-LT"/>
        </w:rPr>
        <w:lastRenderedPageBreak/>
        <w:t>Dozavimas vaikams</w:t>
      </w:r>
    </w:p>
    <w:p w:rsidR="0095323B" w:rsidRPr="00762BF6" w:rsidRDefault="0095323B" w:rsidP="0095323B">
      <w:pPr>
        <w:pStyle w:val="Pagrindinistekstas"/>
        <w:spacing w:after="0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 xml:space="preserve">Vaikų gydymo </w:t>
      </w:r>
      <w:proofErr w:type="spellStart"/>
      <w:r w:rsidRPr="00762BF6">
        <w:rPr>
          <w:sz w:val="22"/>
          <w:szCs w:val="22"/>
          <w:lang w:val="lt-LT"/>
        </w:rPr>
        <w:t>pentoksifilinu</w:t>
      </w:r>
      <w:proofErr w:type="spellEnd"/>
      <w:r w:rsidRPr="00762BF6">
        <w:rPr>
          <w:sz w:val="22"/>
          <w:szCs w:val="22"/>
          <w:lang w:val="lt-LT"/>
        </w:rPr>
        <w:t xml:space="preserve"> patirties nepakanka.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3EMEASMCA"/>
      </w:pPr>
      <w:r w:rsidRPr="00762BF6">
        <w:t xml:space="preserve">Ką daryti pavartojus per didelę </w:t>
      </w:r>
      <w:proofErr w:type="spellStart"/>
      <w:r w:rsidRPr="00762BF6">
        <w:rPr>
          <w:iCs/>
        </w:rPr>
        <w:t>Pentoxifyllinum</w:t>
      </w:r>
      <w:proofErr w:type="spellEnd"/>
      <w:r w:rsidRPr="00762BF6">
        <w:rPr>
          <w:iCs/>
        </w:rPr>
        <w:t xml:space="preserve"> SANITAS</w:t>
      </w:r>
      <w:r w:rsidRPr="00762BF6">
        <w:t xml:space="preserve"> dozę?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762BF6">
        <w:rPr>
          <w:spacing w:val="-3"/>
          <w:sz w:val="22"/>
          <w:szCs w:val="22"/>
        </w:rPr>
        <w:t xml:space="preserve">Perdozavimas gali pasireikšti </w:t>
      </w:r>
      <w:proofErr w:type="spellStart"/>
      <w:r w:rsidRPr="00762BF6">
        <w:rPr>
          <w:spacing w:val="-3"/>
          <w:sz w:val="22"/>
          <w:szCs w:val="22"/>
        </w:rPr>
        <w:t>hipotenzija</w:t>
      </w:r>
      <w:proofErr w:type="spellEnd"/>
      <w:r w:rsidRPr="00762BF6">
        <w:rPr>
          <w:spacing w:val="-3"/>
          <w:sz w:val="22"/>
          <w:szCs w:val="22"/>
        </w:rPr>
        <w:t xml:space="preserve"> (kraujo spaudimo sumažėjimu), </w:t>
      </w:r>
      <w:proofErr w:type="spellStart"/>
      <w:r w:rsidRPr="00762BF6">
        <w:rPr>
          <w:spacing w:val="-3"/>
          <w:sz w:val="22"/>
          <w:szCs w:val="22"/>
        </w:rPr>
        <w:t>bradikardija</w:t>
      </w:r>
      <w:proofErr w:type="spellEnd"/>
      <w:r w:rsidRPr="00762BF6">
        <w:rPr>
          <w:spacing w:val="-3"/>
          <w:sz w:val="22"/>
          <w:szCs w:val="22"/>
        </w:rPr>
        <w:t xml:space="preserve"> (širdies plakimo suretėjimu) bei </w:t>
      </w:r>
      <w:proofErr w:type="spellStart"/>
      <w:r w:rsidRPr="00762BF6">
        <w:rPr>
          <w:spacing w:val="-3"/>
          <w:sz w:val="22"/>
          <w:szCs w:val="22"/>
        </w:rPr>
        <w:t>atrioventrikuline</w:t>
      </w:r>
      <w:proofErr w:type="spellEnd"/>
      <w:r w:rsidRPr="00762BF6">
        <w:rPr>
          <w:spacing w:val="-3"/>
          <w:sz w:val="22"/>
          <w:szCs w:val="22"/>
        </w:rPr>
        <w:t xml:space="preserve"> blokada (širdies ritmo sutrikimu).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762BF6">
        <w:rPr>
          <w:spacing w:val="-3"/>
          <w:sz w:val="22"/>
          <w:szCs w:val="22"/>
        </w:rPr>
        <w:t xml:space="preserve">Perdozavimo gydymas yra simptominis, specifinio priešnuodžio nėra. Pasireiškus </w:t>
      </w:r>
      <w:proofErr w:type="spellStart"/>
      <w:r w:rsidRPr="00762BF6">
        <w:rPr>
          <w:spacing w:val="-3"/>
          <w:sz w:val="22"/>
          <w:szCs w:val="22"/>
        </w:rPr>
        <w:t>bradikardijai</w:t>
      </w:r>
      <w:proofErr w:type="spellEnd"/>
      <w:r w:rsidRPr="00762BF6">
        <w:rPr>
          <w:spacing w:val="-3"/>
          <w:sz w:val="22"/>
          <w:szCs w:val="22"/>
        </w:rPr>
        <w:t xml:space="preserve"> galima švirkšti atropino.</w:t>
      </w: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sz w:val="22"/>
          <w:szCs w:val="22"/>
        </w:rPr>
        <w:t>Jei perdozavote ar vaisto netyčia nurijo vaikas, nedelsdami kreipkitės į gydytoją.</w:t>
      </w:r>
    </w:p>
    <w:p w:rsidR="0095323B" w:rsidRPr="00762BF6" w:rsidRDefault="0095323B" w:rsidP="0095323B">
      <w:pPr>
        <w:rPr>
          <w:i/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8" w:name="_Toc129243267"/>
      <w:bookmarkStart w:id="9" w:name="_Toc129243142"/>
      <w:r w:rsidRPr="00762BF6">
        <w:rPr>
          <w:lang w:val="lt-LT"/>
        </w:rPr>
        <w:t>4.</w:t>
      </w:r>
      <w:r w:rsidRPr="00762BF6">
        <w:rPr>
          <w:lang w:val="lt-LT"/>
        </w:rPr>
        <w:tab/>
        <w:t>Galimas šalutinis poveikis</w:t>
      </w:r>
      <w:bookmarkEnd w:id="8"/>
      <w:bookmarkEnd w:id="9"/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sz w:val="22"/>
          <w:szCs w:val="22"/>
        </w:rPr>
        <w:t>Šis vaistas, kaip ir visi kiti, gali sukelti šalutinį poveikį, nors jis pasireiškia ne visiems žmonėms.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b/>
          <w:sz w:val="22"/>
          <w:szCs w:val="22"/>
        </w:rPr>
        <w:t>Dažnas šalutinis poveikis</w:t>
      </w:r>
      <w:r w:rsidRPr="00762BF6">
        <w:rPr>
          <w:sz w:val="22"/>
          <w:szCs w:val="22"/>
        </w:rPr>
        <w:t xml:space="preserve"> (pasireiškia 1–10 vartotojų iš 100): pykinimas, vėmimas ir dispepsija, pilvo pūtimas, viduriavimas, pilvo skausmas.</w:t>
      </w:r>
    </w:p>
    <w:p w:rsidR="0095323B" w:rsidRPr="00762BF6" w:rsidRDefault="0095323B" w:rsidP="0095323B">
      <w:pPr>
        <w:rPr>
          <w:b/>
          <w:sz w:val="22"/>
          <w:szCs w:val="22"/>
        </w:rPr>
      </w:pPr>
    </w:p>
    <w:p w:rsidR="0095323B" w:rsidRPr="00762BF6" w:rsidRDefault="0095323B" w:rsidP="0095323B">
      <w:pPr>
        <w:rPr>
          <w:bCs/>
          <w:iCs/>
          <w:sz w:val="22"/>
          <w:szCs w:val="22"/>
        </w:rPr>
      </w:pPr>
      <w:r w:rsidRPr="00762BF6">
        <w:rPr>
          <w:b/>
          <w:sz w:val="22"/>
          <w:szCs w:val="22"/>
        </w:rPr>
        <w:t>Nedažnas</w:t>
      </w:r>
      <w:r w:rsidRPr="00762BF6">
        <w:rPr>
          <w:sz w:val="22"/>
          <w:szCs w:val="22"/>
        </w:rPr>
        <w:t xml:space="preserve"> </w:t>
      </w:r>
      <w:r w:rsidRPr="00762BF6">
        <w:rPr>
          <w:b/>
          <w:sz w:val="22"/>
          <w:szCs w:val="22"/>
        </w:rPr>
        <w:t>šalutinis poveikis</w:t>
      </w:r>
      <w:r w:rsidRPr="00762BF6">
        <w:rPr>
          <w:sz w:val="22"/>
          <w:szCs w:val="22"/>
        </w:rPr>
        <w:t xml:space="preserve"> (pasireiškia 1–10 vartotojų iš 1000): rėmuo, burnos džiūvimas, troškulys, anoreksija (apetito sumažėjimas), vidurių užkietėjimas, galvos svaigimas, galvos skausmas, drebulys, traukuliai, paraudimas, </w:t>
      </w:r>
      <w:r w:rsidRPr="00762BF6">
        <w:rPr>
          <w:snapToGrid w:val="0"/>
          <w:sz w:val="22"/>
          <w:szCs w:val="22"/>
        </w:rPr>
        <w:t>neaiškus matymas, konjunktyvitas (akių junginės uždegimas), skotoma (akipločio defektas), kr</w:t>
      </w:r>
      <w:r w:rsidRPr="00762BF6">
        <w:rPr>
          <w:bCs/>
          <w:iCs/>
          <w:sz w:val="22"/>
          <w:szCs w:val="22"/>
        </w:rPr>
        <w:t>aujavimas iš nosies, nosies gleivinės paburkimas, laringitas (gerklų uždegimas), gerklės skausmas, į gripą panašių simptomų atsiradimas, dusulys,</w:t>
      </w:r>
      <w:r w:rsidRPr="00762BF6">
        <w:rPr>
          <w:sz w:val="22"/>
          <w:szCs w:val="22"/>
        </w:rPr>
        <w:t xml:space="preserve"> miego sutrikimai (nemiga),</w:t>
      </w:r>
      <w:r w:rsidRPr="00762BF6">
        <w:rPr>
          <w:b/>
          <w:i/>
          <w:sz w:val="22"/>
          <w:szCs w:val="22"/>
        </w:rPr>
        <w:t xml:space="preserve"> </w:t>
      </w:r>
      <w:r w:rsidRPr="00762BF6">
        <w:rPr>
          <w:sz w:val="22"/>
          <w:szCs w:val="22"/>
        </w:rPr>
        <w:t>sumišimas, nerimas</w:t>
      </w:r>
      <w:r w:rsidRPr="00762BF6">
        <w:rPr>
          <w:bCs/>
          <w:iCs/>
          <w:sz w:val="22"/>
          <w:szCs w:val="22"/>
        </w:rPr>
        <w:t>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b/>
          <w:sz w:val="22"/>
          <w:szCs w:val="22"/>
        </w:rPr>
        <w:t>Retas</w:t>
      </w:r>
      <w:r w:rsidRPr="00762BF6">
        <w:rPr>
          <w:sz w:val="22"/>
          <w:szCs w:val="22"/>
        </w:rPr>
        <w:t xml:space="preserve"> </w:t>
      </w:r>
      <w:r w:rsidRPr="00762BF6">
        <w:rPr>
          <w:b/>
          <w:sz w:val="22"/>
          <w:szCs w:val="22"/>
        </w:rPr>
        <w:t>šalutinis poveikis</w:t>
      </w:r>
      <w:r w:rsidRPr="00762BF6">
        <w:rPr>
          <w:sz w:val="22"/>
          <w:szCs w:val="22"/>
        </w:rPr>
        <w:t xml:space="preserve"> (pasireiškia 1–10 vartotojų iš 10000): kraujavimas iš virškinamojo trakto, </w:t>
      </w:r>
      <w:proofErr w:type="spellStart"/>
      <w:r w:rsidRPr="00762BF6">
        <w:rPr>
          <w:sz w:val="22"/>
          <w:szCs w:val="22"/>
        </w:rPr>
        <w:t>cholestazė</w:t>
      </w:r>
      <w:proofErr w:type="spellEnd"/>
      <w:r w:rsidRPr="00762BF6">
        <w:rPr>
          <w:sz w:val="22"/>
          <w:szCs w:val="22"/>
        </w:rPr>
        <w:t xml:space="preserve">, </w:t>
      </w:r>
      <w:r w:rsidRPr="00762BF6">
        <w:rPr>
          <w:bCs/>
          <w:iCs/>
          <w:sz w:val="22"/>
          <w:szCs w:val="22"/>
        </w:rPr>
        <w:t>n</w:t>
      </w:r>
      <w:r w:rsidRPr="00762BF6">
        <w:rPr>
          <w:sz w:val="22"/>
          <w:szCs w:val="22"/>
        </w:rPr>
        <w:t xml:space="preserve">uovargis, haliucinacijos, padidėjusio jautrumo reakcijos (išbėrimas, dilgėlinė, niežulys, odos paraudimas, </w:t>
      </w:r>
      <w:proofErr w:type="spellStart"/>
      <w:r w:rsidRPr="00762BF6">
        <w:rPr>
          <w:sz w:val="22"/>
          <w:szCs w:val="22"/>
        </w:rPr>
        <w:t>angioedema</w:t>
      </w:r>
      <w:proofErr w:type="spellEnd"/>
      <w:r w:rsidRPr="00762BF6">
        <w:rPr>
          <w:sz w:val="22"/>
          <w:szCs w:val="22"/>
        </w:rPr>
        <w:t xml:space="preserve">, anafilaksinis šokas (jos pasireiškia nedažnai ir paprastai praeina nutraukus ar pristabdžius vaisto vartojimą), padidėjęs prakaitavimas, pirštų nagų trapumas/ lūžinėjimas, </w:t>
      </w:r>
      <w:proofErr w:type="spellStart"/>
      <w:r w:rsidRPr="00762BF6">
        <w:rPr>
          <w:sz w:val="22"/>
          <w:szCs w:val="22"/>
        </w:rPr>
        <w:t>tachikardija</w:t>
      </w:r>
      <w:proofErr w:type="spellEnd"/>
      <w:r w:rsidRPr="00762BF6">
        <w:rPr>
          <w:sz w:val="22"/>
          <w:szCs w:val="22"/>
        </w:rPr>
        <w:t xml:space="preserve"> (padidėjęs širdies susitraukimų dažnis), ritmo sutrikimai, krūtinės anginos (skausmo krūtinėje) simptomai, </w:t>
      </w:r>
      <w:proofErr w:type="spellStart"/>
      <w:r w:rsidRPr="00762BF6">
        <w:rPr>
          <w:sz w:val="22"/>
          <w:szCs w:val="22"/>
        </w:rPr>
        <w:t>hipotenzija</w:t>
      </w:r>
      <w:proofErr w:type="spellEnd"/>
      <w:r w:rsidRPr="00762BF6">
        <w:rPr>
          <w:sz w:val="22"/>
          <w:szCs w:val="22"/>
        </w:rPr>
        <w:t xml:space="preserve"> (žemas arterinis kraujo spaudimas), ausies skausmas, kepenų fermentų kiekio kraujyje padidėjimas, </w:t>
      </w:r>
      <w:proofErr w:type="spellStart"/>
      <w:r w:rsidRPr="00762BF6">
        <w:rPr>
          <w:sz w:val="22"/>
          <w:szCs w:val="22"/>
        </w:rPr>
        <w:t>fibrinogeno</w:t>
      </w:r>
      <w:proofErr w:type="spellEnd"/>
      <w:r w:rsidRPr="00762BF6">
        <w:rPr>
          <w:sz w:val="22"/>
          <w:szCs w:val="22"/>
        </w:rPr>
        <w:t xml:space="preserve"> kiekio kraujyje sumažėjimas, hipoglikemija (sumažėjęs cukraus kiekis kraujyje), bronchų spazmas. </w:t>
      </w:r>
    </w:p>
    <w:p w:rsidR="0095323B" w:rsidRPr="00762BF6" w:rsidRDefault="0095323B" w:rsidP="0095323B">
      <w:pPr>
        <w:jc w:val="both"/>
        <w:rPr>
          <w:b/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b/>
          <w:sz w:val="22"/>
          <w:szCs w:val="22"/>
        </w:rPr>
        <w:t>Labai retas</w:t>
      </w:r>
      <w:r w:rsidRPr="00762BF6">
        <w:rPr>
          <w:sz w:val="22"/>
          <w:szCs w:val="22"/>
        </w:rPr>
        <w:t xml:space="preserve"> </w:t>
      </w:r>
      <w:r w:rsidRPr="00762BF6">
        <w:rPr>
          <w:b/>
          <w:sz w:val="22"/>
          <w:szCs w:val="22"/>
        </w:rPr>
        <w:t>šalutinis poveikis</w:t>
      </w:r>
      <w:r w:rsidRPr="00762BF6">
        <w:rPr>
          <w:sz w:val="22"/>
          <w:szCs w:val="22"/>
        </w:rPr>
        <w:t xml:space="preserve"> (pasireiškia mažiau negu 1 vartotojui iš 10000): kraujo ląstelių kiekio sutrikimai, (gydymo metu būtina sekti kraujo tyrimų rodmenis), kraujavimas (pvz.: į odą, į gleivines ar į virškinimo traktą), jei yra kraujavimas į tinklainę, būtina gydymą šiuo vaistu nutraukti; neramumas, </w:t>
      </w:r>
      <w:proofErr w:type="spellStart"/>
      <w:r w:rsidRPr="00762BF6">
        <w:rPr>
          <w:sz w:val="22"/>
          <w:szCs w:val="22"/>
        </w:rPr>
        <w:t>aseptinis</w:t>
      </w:r>
      <w:proofErr w:type="spellEnd"/>
      <w:r w:rsidRPr="00762BF6">
        <w:rPr>
          <w:sz w:val="22"/>
          <w:szCs w:val="22"/>
        </w:rPr>
        <w:t xml:space="preserve"> meningitas,</w:t>
      </w:r>
      <w:r w:rsidRPr="00762BF6">
        <w:rPr>
          <w:bCs/>
          <w:iCs/>
          <w:sz w:val="22"/>
          <w:szCs w:val="22"/>
        </w:rPr>
        <w:t xml:space="preserve"> padidėję kaklo limfmazgiai</w:t>
      </w:r>
      <w:r w:rsidRPr="00762BF6">
        <w:rPr>
          <w:sz w:val="22"/>
          <w:szCs w:val="22"/>
        </w:rPr>
        <w:t xml:space="preserve">. 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b/>
          <w:noProof/>
          <w:sz w:val="22"/>
          <w:szCs w:val="22"/>
        </w:rPr>
        <w:t>Pranešimas apie šalutinį poveikį</w:t>
      </w: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62BF6">
        <w:rPr>
          <w:sz w:val="22"/>
          <w:szCs w:val="22"/>
          <w:lang w:eastAsia="zh-CN"/>
        </w:rPr>
        <w:t>elefonu 8 800 73568</w:t>
      </w:r>
      <w:r w:rsidRPr="00762BF6">
        <w:rPr>
          <w:sz w:val="22"/>
          <w:szCs w:val="22"/>
        </w:rPr>
        <w:t xml:space="preserve"> arba užpildyti interneto svetainėje </w:t>
      </w:r>
      <w:hyperlink r:id="rId5" w:history="1">
        <w:r w:rsidRPr="00762BF6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762BF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62BF6">
        <w:rPr>
          <w:sz w:val="22"/>
          <w:szCs w:val="22"/>
          <w:lang w:eastAsia="zh-CN"/>
        </w:rPr>
        <w:t xml:space="preserve">nemokamu </w:t>
      </w:r>
      <w:r w:rsidRPr="00762BF6">
        <w:rPr>
          <w:sz w:val="22"/>
          <w:szCs w:val="22"/>
        </w:rPr>
        <w:t>fakso numeriu 8 800 20131</w:t>
      </w:r>
      <w:r w:rsidRPr="00762BF6">
        <w:rPr>
          <w:sz w:val="22"/>
          <w:szCs w:val="22"/>
          <w:lang w:eastAsia="zh-CN"/>
        </w:rPr>
        <w:t xml:space="preserve">, </w:t>
      </w:r>
      <w:r w:rsidRPr="00762BF6">
        <w:rPr>
          <w:sz w:val="22"/>
          <w:szCs w:val="22"/>
        </w:rPr>
        <w:t xml:space="preserve">el. paštu </w:t>
      </w:r>
      <w:hyperlink r:id="rId6" w:history="1">
        <w:r w:rsidRPr="00762BF6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762BF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62BF6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762BF6">
        <w:rPr>
          <w:sz w:val="22"/>
          <w:szCs w:val="22"/>
        </w:rPr>
        <w:t>). Pranešdami apie šalutinį poveikį galite mums padėti gauti daugiau informacijos apie šio vaisto saugumą.</w:t>
      </w: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10" w:name="_Toc129243268"/>
      <w:bookmarkStart w:id="11" w:name="_Toc129243143"/>
      <w:r w:rsidRPr="00762BF6">
        <w:rPr>
          <w:lang w:val="lt-LT"/>
        </w:rPr>
        <w:t>5.</w:t>
      </w:r>
      <w:r w:rsidRPr="00762BF6">
        <w:rPr>
          <w:lang w:val="lt-LT"/>
        </w:rPr>
        <w:tab/>
        <w:t xml:space="preserve">Kaip laikyti </w:t>
      </w:r>
      <w:bookmarkEnd w:id="10"/>
      <w:bookmarkEnd w:id="11"/>
      <w:proofErr w:type="spellStart"/>
      <w:r w:rsidRPr="00762BF6">
        <w:rPr>
          <w:lang w:val="lt-LT"/>
        </w:rPr>
        <w:t>Pentoxifyllinum</w:t>
      </w:r>
      <w:proofErr w:type="spellEnd"/>
      <w:r w:rsidRPr="00762BF6">
        <w:rPr>
          <w:lang w:val="lt-LT"/>
        </w:rPr>
        <w:t xml:space="preserve"> SANITAS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  <w:r w:rsidRPr="00762BF6">
        <w:t>Šį vaistą laikykite vaikams nepastebimoje ir nepasiekiamoje vietoje.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agrindinistekstas2"/>
        <w:rPr>
          <w:sz w:val="22"/>
          <w:szCs w:val="22"/>
          <w:lang w:val="lt-LT"/>
        </w:rPr>
      </w:pPr>
      <w:r w:rsidRPr="00762BF6">
        <w:rPr>
          <w:sz w:val="22"/>
          <w:szCs w:val="22"/>
          <w:lang w:val="lt-LT"/>
        </w:rPr>
        <w:t>Laikyti ne aukštesnėje kaip 25 °C temperatūroje. Negalima šaldyti.</w:t>
      </w:r>
    </w:p>
    <w:p w:rsidR="0095323B" w:rsidRPr="00762BF6" w:rsidRDefault="0095323B" w:rsidP="0095323B">
      <w:pPr>
        <w:pStyle w:val="BTEMEASMCA"/>
      </w:pPr>
      <w:r w:rsidRPr="00762BF6">
        <w:lastRenderedPageBreak/>
        <w:t>Praskiestą vaistą vartoti nedelsiant.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  <w:r w:rsidRPr="00762BF6">
        <w:t>Ant ampulės etiketės po „Tinka iki“ ir dėžutės po „EXP“  nurodytam tinkamumo laikui pasibaigus, šio vaisto vartoti negalima. Vaistas tinkamas vartoti iki paskutinės nurodyto mėnesio dienos.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  <w:r w:rsidRPr="00762BF6">
        <w:t>Vaistų negalima išpilti į kanalizaciją arba su buitinėmis atliekomis. Kaip išmesti nereikalingus vaistus, klauskite vaistininko. Šios priemonės padės apsaugoti aplinką.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1EMEASMCA"/>
        <w:rPr>
          <w:lang w:val="lt-LT"/>
        </w:rPr>
      </w:pPr>
      <w:bookmarkStart w:id="12" w:name="_Toc129243269"/>
      <w:bookmarkStart w:id="13" w:name="_Toc129243144"/>
      <w:r w:rsidRPr="00762BF6">
        <w:rPr>
          <w:lang w:val="lt-LT"/>
        </w:rPr>
        <w:t>6.</w:t>
      </w:r>
      <w:r w:rsidRPr="00762BF6">
        <w:rPr>
          <w:lang w:val="lt-LT"/>
        </w:rPr>
        <w:tab/>
        <w:t>Pakuotės turinys ir kita informacija</w:t>
      </w:r>
      <w:bookmarkEnd w:id="12"/>
      <w:bookmarkEnd w:id="13"/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3EMEASMCA"/>
      </w:pPr>
      <w:proofErr w:type="spellStart"/>
      <w:r w:rsidRPr="00762BF6">
        <w:t>Pentoxifyllinum</w:t>
      </w:r>
      <w:proofErr w:type="spellEnd"/>
      <w:r w:rsidRPr="00762BF6">
        <w:t xml:space="preserve"> SANITAS sudėtis</w:t>
      </w:r>
    </w:p>
    <w:p w:rsidR="0095323B" w:rsidRPr="00762BF6" w:rsidRDefault="0095323B" w:rsidP="0095323B">
      <w:pPr>
        <w:suppressAutoHyphens/>
        <w:ind w:left="567" w:hanging="567"/>
        <w:rPr>
          <w:sz w:val="22"/>
          <w:szCs w:val="22"/>
        </w:rPr>
      </w:pPr>
      <w:r w:rsidRPr="00762BF6">
        <w:rPr>
          <w:kern w:val="16"/>
          <w:sz w:val="22"/>
          <w:szCs w:val="22"/>
        </w:rPr>
        <w:t>-</w:t>
      </w:r>
      <w:r w:rsidRPr="00762BF6">
        <w:rPr>
          <w:kern w:val="16"/>
          <w:sz w:val="22"/>
          <w:szCs w:val="22"/>
        </w:rPr>
        <w:tab/>
        <w:t xml:space="preserve">Veiklioji medžiaga yra </w:t>
      </w:r>
      <w:proofErr w:type="spellStart"/>
      <w:r w:rsidRPr="00762BF6">
        <w:rPr>
          <w:kern w:val="16"/>
          <w:sz w:val="22"/>
          <w:szCs w:val="22"/>
        </w:rPr>
        <w:t>pentoksifilinas</w:t>
      </w:r>
      <w:proofErr w:type="spellEnd"/>
      <w:r w:rsidRPr="00762BF6">
        <w:rPr>
          <w:kern w:val="16"/>
          <w:sz w:val="22"/>
          <w:szCs w:val="22"/>
        </w:rPr>
        <w:t xml:space="preserve">. 1 ml yra 20 mg </w:t>
      </w:r>
      <w:proofErr w:type="spellStart"/>
      <w:r w:rsidRPr="00762BF6">
        <w:rPr>
          <w:kern w:val="16"/>
          <w:sz w:val="22"/>
          <w:szCs w:val="22"/>
        </w:rPr>
        <w:t>pentoksifilino</w:t>
      </w:r>
      <w:proofErr w:type="spellEnd"/>
      <w:r w:rsidRPr="00762BF6">
        <w:rPr>
          <w:kern w:val="16"/>
          <w:sz w:val="22"/>
          <w:szCs w:val="22"/>
        </w:rPr>
        <w:t xml:space="preserve">. Vienoje ampulėje (5 ml) yra </w:t>
      </w:r>
      <w:r w:rsidRPr="00762BF6">
        <w:rPr>
          <w:sz w:val="22"/>
          <w:szCs w:val="22"/>
        </w:rPr>
        <w:t xml:space="preserve">100 mg </w:t>
      </w:r>
      <w:proofErr w:type="spellStart"/>
      <w:r w:rsidRPr="00762BF6">
        <w:rPr>
          <w:sz w:val="22"/>
          <w:szCs w:val="22"/>
        </w:rPr>
        <w:t>pentoksifilino</w:t>
      </w:r>
      <w:proofErr w:type="spellEnd"/>
      <w:r w:rsidRPr="00762BF6">
        <w:rPr>
          <w:sz w:val="22"/>
          <w:szCs w:val="22"/>
        </w:rPr>
        <w:t>.</w:t>
      </w:r>
    </w:p>
    <w:p w:rsidR="0095323B" w:rsidRPr="00762BF6" w:rsidRDefault="0095323B" w:rsidP="0095323B">
      <w:pPr>
        <w:pStyle w:val="Pagrindinistekstas"/>
        <w:spacing w:after="0"/>
        <w:ind w:left="567" w:hanging="567"/>
        <w:rPr>
          <w:sz w:val="22"/>
          <w:szCs w:val="22"/>
          <w:lang w:val="lt-LT"/>
        </w:rPr>
      </w:pPr>
      <w:r w:rsidRPr="00762BF6">
        <w:rPr>
          <w:kern w:val="16"/>
          <w:sz w:val="22"/>
          <w:szCs w:val="22"/>
          <w:lang w:val="lt-LT"/>
        </w:rPr>
        <w:t>-</w:t>
      </w:r>
      <w:r w:rsidRPr="00762BF6">
        <w:rPr>
          <w:kern w:val="16"/>
          <w:sz w:val="22"/>
          <w:szCs w:val="22"/>
          <w:lang w:val="lt-LT"/>
        </w:rPr>
        <w:tab/>
        <w:t xml:space="preserve">Pagalbinės medžiagos yra </w:t>
      </w:r>
      <w:r w:rsidRPr="00762BF6">
        <w:rPr>
          <w:sz w:val="22"/>
          <w:szCs w:val="22"/>
          <w:lang w:val="lt-LT"/>
        </w:rPr>
        <w:t>natrio chloridas, natrio-vandenilio karbonatas (pH koreguoti) ir injekcinis vanduo</w:t>
      </w:r>
      <w:r w:rsidRPr="00762BF6">
        <w:rPr>
          <w:kern w:val="16"/>
          <w:sz w:val="22"/>
          <w:szCs w:val="22"/>
          <w:lang w:val="lt-LT"/>
        </w:rPr>
        <w:t>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3EMEASMCA"/>
      </w:pPr>
      <w:proofErr w:type="spellStart"/>
      <w:r w:rsidRPr="00762BF6">
        <w:rPr>
          <w:iCs/>
        </w:rPr>
        <w:t>Pentoxifyllinum</w:t>
      </w:r>
      <w:proofErr w:type="spellEnd"/>
      <w:r w:rsidRPr="00762BF6">
        <w:rPr>
          <w:iCs/>
        </w:rPr>
        <w:t xml:space="preserve"> SANITAS</w:t>
      </w:r>
      <w:r w:rsidRPr="00762BF6">
        <w:t xml:space="preserve"> išvaizda ir kiekis pakuotėje</w:t>
      </w:r>
    </w:p>
    <w:p w:rsidR="0095323B" w:rsidRPr="00762BF6" w:rsidRDefault="0095323B" w:rsidP="00953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z w:val="22"/>
          <w:szCs w:val="22"/>
        </w:rPr>
      </w:pPr>
      <w:r w:rsidRPr="00762BF6">
        <w:rPr>
          <w:sz w:val="22"/>
          <w:szCs w:val="22"/>
        </w:rPr>
        <w:t>Skaidrus bespalvis injekcinis ar infuzinis tirpalas. Kartono dėžutėje yra penkios 5 ml ampulės.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PI-3EMEASMCA"/>
      </w:pPr>
      <w:r w:rsidRPr="00762BF6">
        <w:t>Registruotojas</w:t>
      </w:r>
    </w:p>
    <w:p w:rsidR="0095323B" w:rsidRPr="00762BF6" w:rsidRDefault="0095323B" w:rsidP="0095323B">
      <w:pPr>
        <w:rPr>
          <w:sz w:val="22"/>
          <w:szCs w:val="22"/>
        </w:rPr>
      </w:pPr>
      <w:proofErr w:type="spellStart"/>
      <w:r w:rsidRPr="00762BF6">
        <w:rPr>
          <w:sz w:val="22"/>
          <w:szCs w:val="22"/>
        </w:rPr>
        <w:t>PharmaSwiss</w:t>
      </w:r>
      <w:proofErr w:type="spellEnd"/>
      <w:r w:rsidRPr="00762BF6">
        <w:rPr>
          <w:sz w:val="22"/>
          <w:szCs w:val="22"/>
        </w:rPr>
        <w:t xml:space="preserve"> </w:t>
      </w:r>
      <w:proofErr w:type="spellStart"/>
      <w:r w:rsidRPr="00762BF6">
        <w:rPr>
          <w:sz w:val="22"/>
          <w:szCs w:val="22"/>
        </w:rPr>
        <w:t>Česká</w:t>
      </w:r>
      <w:proofErr w:type="spellEnd"/>
      <w:r w:rsidRPr="00762BF6">
        <w:rPr>
          <w:sz w:val="22"/>
          <w:szCs w:val="22"/>
        </w:rPr>
        <w:t xml:space="preserve"> </w:t>
      </w:r>
      <w:proofErr w:type="spellStart"/>
      <w:r w:rsidRPr="00762BF6">
        <w:rPr>
          <w:sz w:val="22"/>
          <w:szCs w:val="22"/>
        </w:rPr>
        <w:t>republika</w:t>
      </w:r>
      <w:proofErr w:type="spellEnd"/>
      <w:r w:rsidRPr="00762BF6">
        <w:rPr>
          <w:sz w:val="22"/>
          <w:szCs w:val="22"/>
        </w:rPr>
        <w:t xml:space="preserve"> </w:t>
      </w:r>
      <w:proofErr w:type="spellStart"/>
      <w:r w:rsidRPr="00762BF6">
        <w:rPr>
          <w:sz w:val="22"/>
          <w:szCs w:val="22"/>
        </w:rPr>
        <w:t>s.r.o</w:t>
      </w:r>
      <w:proofErr w:type="spellEnd"/>
      <w:r w:rsidRPr="00762BF6">
        <w:rPr>
          <w:sz w:val="22"/>
          <w:szCs w:val="22"/>
        </w:rPr>
        <w:t>.</w:t>
      </w:r>
    </w:p>
    <w:p w:rsidR="0095323B" w:rsidRPr="00762BF6" w:rsidRDefault="0095323B" w:rsidP="0095323B">
      <w:pPr>
        <w:rPr>
          <w:sz w:val="22"/>
          <w:szCs w:val="22"/>
        </w:rPr>
      </w:pPr>
      <w:proofErr w:type="spellStart"/>
      <w:r w:rsidRPr="00762BF6">
        <w:rPr>
          <w:sz w:val="22"/>
          <w:szCs w:val="22"/>
        </w:rPr>
        <w:t>Jankovcova</w:t>
      </w:r>
      <w:proofErr w:type="spellEnd"/>
      <w:r w:rsidRPr="00762BF6">
        <w:rPr>
          <w:sz w:val="22"/>
          <w:szCs w:val="22"/>
        </w:rPr>
        <w:t xml:space="preserve"> 1569/2c </w:t>
      </w:r>
    </w:p>
    <w:p w:rsidR="0095323B" w:rsidRPr="00762BF6" w:rsidRDefault="0095323B" w:rsidP="0095323B">
      <w:pPr>
        <w:rPr>
          <w:sz w:val="22"/>
          <w:szCs w:val="22"/>
        </w:rPr>
      </w:pPr>
      <w:r w:rsidRPr="00762BF6">
        <w:rPr>
          <w:sz w:val="22"/>
          <w:szCs w:val="22"/>
        </w:rPr>
        <w:t xml:space="preserve">170 00 </w:t>
      </w:r>
      <w:proofErr w:type="spellStart"/>
      <w:r w:rsidRPr="00762BF6">
        <w:rPr>
          <w:sz w:val="22"/>
          <w:szCs w:val="22"/>
        </w:rPr>
        <w:t>Prague</w:t>
      </w:r>
      <w:proofErr w:type="spellEnd"/>
      <w:r w:rsidRPr="00762BF6">
        <w:rPr>
          <w:sz w:val="22"/>
          <w:szCs w:val="22"/>
        </w:rPr>
        <w:t xml:space="preserve"> 7 </w:t>
      </w:r>
    </w:p>
    <w:p w:rsidR="0095323B" w:rsidRPr="00762BF6" w:rsidRDefault="0095323B" w:rsidP="0095323B">
      <w:pPr>
        <w:pStyle w:val="PI-3EMEASMCA"/>
        <w:rPr>
          <w:b w:val="0"/>
        </w:rPr>
      </w:pPr>
      <w:r w:rsidRPr="00762BF6">
        <w:rPr>
          <w:b w:val="0"/>
        </w:rPr>
        <w:t>Čekija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  <w:r w:rsidRPr="00762BF6">
        <w:rPr>
          <w:b/>
        </w:rPr>
        <w:t>Gamintojas</w:t>
      </w:r>
    </w:p>
    <w:p w:rsidR="0095323B" w:rsidRPr="00762BF6" w:rsidRDefault="0095323B" w:rsidP="0095323B">
      <w:pPr>
        <w:pStyle w:val="BTEMEASMCA"/>
      </w:pPr>
      <w:r w:rsidRPr="00762BF6">
        <w:t>UAB Santonika</w:t>
      </w:r>
    </w:p>
    <w:p w:rsidR="0095323B" w:rsidRPr="00762BF6" w:rsidRDefault="0095323B" w:rsidP="0095323B">
      <w:pPr>
        <w:pStyle w:val="BTEMEASMCA"/>
      </w:pPr>
      <w:r w:rsidRPr="00762BF6">
        <w:t>Veiverių g. 134B, LT-46353 Kaunas</w:t>
      </w:r>
    </w:p>
    <w:p w:rsidR="0095323B" w:rsidRPr="00762BF6" w:rsidRDefault="0095323B" w:rsidP="0095323B">
      <w:pPr>
        <w:pStyle w:val="BTEMEASMCA"/>
      </w:pPr>
      <w:r w:rsidRPr="00762BF6">
        <w:t>Lietuva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  <w:r w:rsidRPr="00762BF6">
        <w:t>Jeigu apie šį vaistą norite sužinoti daugiau, kreipkitės į vietinį registruotojo atstovą.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  <w:rPr>
          <w:rFonts w:eastAsia="MS Mincho"/>
        </w:rPr>
      </w:pPr>
      <w:r w:rsidRPr="00762BF6">
        <w:rPr>
          <w:rFonts w:eastAsia="MS Mincho"/>
        </w:rPr>
        <w:t>UAB „PharmaSwiss“</w:t>
      </w:r>
    </w:p>
    <w:p w:rsidR="0095323B" w:rsidRPr="00762BF6" w:rsidRDefault="0095323B" w:rsidP="0095323B">
      <w:pPr>
        <w:pStyle w:val="BTEMEASMCA"/>
        <w:rPr>
          <w:rFonts w:eastAsia="MS Mincho"/>
        </w:rPr>
      </w:pPr>
      <w:r w:rsidRPr="00762BF6">
        <w:rPr>
          <w:rFonts w:eastAsia="MS Mincho"/>
        </w:rPr>
        <w:t>Tel. +370 5 2790 762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bEMEASMCA"/>
      </w:pPr>
      <w:r w:rsidRPr="00762BF6">
        <w:rPr>
          <w:bCs/>
        </w:rPr>
        <w:t>Šis pakuotės lapelis</w:t>
      </w:r>
      <w:r w:rsidRPr="00762BF6">
        <w:t xml:space="preserve"> paskutinį kartą peržiūrėta</w:t>
      </w:r>
      <w:r>
        <w:t>s</w:t>
      </w:r>
      <w:r w:rsidRPr="00762BF6">
        <w:t xml:space="preserve"> </w:t>
      </w:r>
      <w:r>
        <w:t>2021-04-22.</w:t>
      </w:r>
    </w:p>
    <w:p w:rsidR="0095323B" w:rsidRPr="00762BF6" w:rsidRDefault="0095323B" w:rsidP="0095323B">
      <w:pPr>
        <w:pStyle w:val="BTbEMEASMCA"/>
      </w:pPr>
    </w:p>
    <w:p w:rsidR="0095323B" w:rsidRPr="00762BF6" w:rsidRDefault="0095323B" w:rsidP="0095323B">
      <w:pPr>
        <w:rPr>
          <w:sz w:val="22"/>
          <w:szCs w:val="22"/>
        </w:rPr>
      </w:pPr>
    </w:p>
    <w:p w:rsidR="0095323B" w:rsidRPr="00762BF6" w:rsidRDefault="0095323B" w:rsidP="0095323B">
      <w:pPr>
        <w:pStyle w:val="BTEMEASMCA"/>
      </w:pPr>
      <w:r w:rsidRPr="00762BF6">
        <w:t xml:space="preserve">Išsami informacija apie šį </w:t>
      </w:r>
      <w:r w:rsidRPr="00762BF6">
        <w:rPr>
          <w:szCs w:val="24"/>
        </w:rPr>
        <w:t>vaistą</w:t>
      </w:r>
      <w:r w:rsidRPr="00762BF6">
        <w:t xml:space="preserve"> pateikiama Valstybinės vaistų kontrolės tarnybos prie Lietuvos Respublikos sveikatos apsaugos ministerijos tinklalapyje</w:t>
      </w:r>
      <w:r w:rsidRPr="00762BF6">
        <w:rPr>
          <w:i/>
          <w:szCs w:val="24"/>
        </w:rPr>
        <w:t xml:space="preserve"> </w:t>
      </w:r>
      <w:hyperlink r:id="rId8" w:history="1">
        <w:r w:rsidRPr="00762BF6">
          <w:rPr>
            <w:rStyle w:val="Hipersaitas"/>
            <w:rFonts w:eastAsia="SimSun"/>
          </w:rPr>
          <w:t>http://www.vvkt.lt/</w:t>
        </w:r>
      </w:hyperlink>
      <w:r w:rsidRPr="00762BF6">
        <w:t>.</w:t>
      </w:r>
    </w:p>
    <w:p w:rsidR="0095323B" w:rsidRPr="00762BF6" w:rsidRDefault="0095323B" w:rsidP="0095323B">
      <w:pPr>
        <w:pStyle w:val="BTEMEASMCA"/>
      </w:pPr>
    </w:p>
    <w:p w:rsidR="0095323B" w:rsidRPr="00762BF6" w:rsidRDefault="0095323B" w:rsidP="0095323B">
      <w:pPr>
        <w:pStyle w:val="BTEMEASMCA"/>
      </w:pPr>
    </w:p>
    <w:p w:rsidR="009041DB" w:rsidRDefault="009041DB">
      <w:bookmarkStart w:id="14" w:name="_GoBack"/>
      <w:bookmarkEnd w:id="1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3FDB"/>
    <w:multiLevelType w:val="hybridMultilevel"/>
    <w:tmpl w:val="DB90DCC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A62C8854"/>
    <w:lvl w:ilvl="0" w:tplc="7EFC04A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E39"/>
    <w:multiLevelType w:val="hybridMultilevel"/>
    <w:tmpl w:val="AA2A7D8C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B"/>
    <w:rsid w:val="009041DB"/>
    <w:rsid w:val="0095323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14F5-7ABC-4BC6-A698-CD89919D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2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3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3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5323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95323B"/>
    <w:pPr>
      <w:spacing w:after="120"/>
    </w:pPr>
    <w:rPr>
      <w:lang w:val="en-US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323B"/>
    <w:rPr>
      <w:rFonts w:ascii="Times New Roman" w:hAnsi="Times New Roman" w:cs="Times New Roman"/>
      <w:sz w:val="24"/>
      <w:szCs w:val="24"/>
      <w:lang w:val="en-US" w:eastAsia="x-none"/>
    </w:rPr>
  </w:style>
  <w:style w:type="paragraph" w:styleId="Pagrindinistekstas2">
    <w:name w:val="Body Text 2"/>
    <w:basedOn w:val="prastasis"/>
    <w:link w:val="Pagrindinistekstas2Diagrama"/>
    <w:rsid w:val="0095323B"/>
    <w:rPr>
      <w:sz w:val="20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5323B"/>
    <w:rPr>
      <w:rFonts w:ascii="Times New Roman" w:hAnsi="Times New Roman" w:cs="Times New Roman"/>
      <w:sz w:val="20"/>
      <w:szCs w:val="24"/>
      <w:lang w:val="x-none" w:eastAsia="x-none"/>
    </w:rPr>
  </w:style>
  <w:style w:type="paragraph" w:customStyle="1" w:styleId="PI-1EMEASMCA">
    <w:name w:val="PI-1 EMEA_SMCA"/>
    <w:basedOn w:val="Antrat2"/>
    <w:autoRedefine/>
    <w:rsid w:val="0095323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95323B"/>
    <w:rPr>
      <w:noProof/>
      <w:sz w:val="22"/>
      <w:szCs w:val="22"/>
      <w:lang w:eastAsia="x-none"/>
    </w:rPr>
  </w:style>
  <w:style w:type="paragraph" w:customStyle="1" w:styleId="TTEMEASMCA">
    <w:name w:val="TT EMEA_SMCA"/>
    <w:basedOn w:val="Antrat1"/>
    <w:link w:val="TTEMEASMCAChar"/>
    <w:autoRedefine/>
    <w:rsid w:val="0095323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95323B"/>
    <w:rPr>
      <w:rFonts w:ascii="Times New Roman" w:hAnsi="Times New Roman" w:cs="Times New Roman"/>
      <w:b/>
      <w:caps/>
      <w:sz w:val="20"/>
      <w:szCs w:val="20"/>
      <w:lang w:val="en-US" w:eastAsia="x-none"/>
    </w:rPr>
  </w:style>
  <w:style w:type="paragraph" w:customStyle="1" w:styleId="BT-EMEASMCA">
    <w:name w:val="BT- EMEA_SMCA"/>
    <w:basedOn w:val="BTEMEASMCA"/>
    <w:autoRedefine/>
    <w:rsid w:val="0095323B"/>
    <w:pPr>
      <w:numPr>
        <w:numId w:val="1"/>
      </w:numPr>
      <w:tabs>
        <w:tab w:val="clear" w:pos="720"/>
        <w:tab w:val="num" w:pos="360"/>
      </w:tabs>
      <w:ind w:left="426" w:hanging="426"/>
    </w:pPr>
  </w:style>
  <w:style w:type="paragraph" w:customStyle="1" w:styleId="PI-3EMEASMCA">
    <w:name w:val="PI-3 EMEA_SMCA"/>
    <w:basedOn w:val="prastasis"/>
    <w:autoRedefine/>
    <w:rsid w:val="0095323B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5323B"/>
    <w:rPr>
      <w:b/>
    </w:rPr>
  </w:style>
  <w:style w:type="character" w:customStyle="1" w:styleId="BTEMEASMCAChar">
    <w:name w:val="BT EMEA_SMCA Char"/>
    <w:link w:val="BTEMEASMCA"/>
    <w:rsid w:val="0095323B"/>
    <w:rPr>
      <w:rFonts w:ascii="Times New Roman" w:hAnsi="Times New Roman" w:cs="Times New Roman"/>
      <w:noProof/>
      <w:lang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3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53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6788</Words>
  <Characters>3870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2021-04-26T11:23:00Z</dcterms:created>
  <dcterms:modified xsi:type="dcterms:W3CDTF">2021-04-26T11:24:00Z</dcterms:modified>
</cp:coreProperties>
</file>