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E2" w:rsidRPr="003B41F2" w:rsidRDefault="005746E2" w:rsidP="005746E2">
      <w:pPr>
        <w:jc w:val="center"/>
        <w:outlineLvl w:val="0"/>
        <w:rPr>
          <w:rFonts w:ascii="Times New Roman" w:hAnsi="Times New Roman"/>
          <w:b/>
          <w:noProof/>
          <w:sz w:val="22"/>
          <w:szCs w:val="22"/>
        </w:rPr>
      </w:pPr>
      <w:r w:rsidRPr="003B41F2">
        <w:rPr>
          <w:rFonts w:ascii="Times New Roman" w:hAnsi="Times New Roman"/>
          <w:b/>
          <w:snapToGrid w:val="0"/>
          <w:sz w:val="22"/>
          <w:szCs w:val="22"/>
        </w:rPr>
        <w:t>Pakuotės lapelis:</w:t>
      </w:r>
      <w:r w:rsidRPr="003B41F2">
        <w:rPr>
          <w:rFonts w:ascii="Times New Roman" w:hAnsi="Times New Roman"/>
          <w:b/>
          <w:bCs/>
          <w:iCs/>
          <w:snapToGrid w:val="0"/>
          <w:sz w:val="22"/>
          <w:szCs w:val="22"/>
        </w:rPr>
        <w:t xml:space="preserve"> </w:t>
      </w:r>
      <w:r w:rsidRPr="003B41F2">
        <w:rPr>
          <w:rFonts w:ascii="Times New Roman" w:hAnsi="Times New Roman"/>
          <w:b/>
          <w:snapToGrid w:val="0"/>
          <w:sz w:val="22"/>
          <w:szCs w:val="22"/>
        </w:rPr>
        <w:t>informacija pacientui</w:t>
      </w:r>
    </w:p>
    <w:p w:rsidR="005746E2" w:rsidRPr="003B41F2" w:rsidRDefault="005746E2" w:rsidP="005746E2">
      <w:pPr>
        <w:jc w:val="center"/>
        <w:outlineLvl w:val="0"/>
        <w:rPr>
          <w:rFonts w:ascii="Times New Roman" w:hAnsi="Times New Roman"/>
          <w:b/>
          <w:noProof/>
          <w:sz w:val="22"/>
          <w:szCs w:val="22"/>
        </w:rPr>
      </w:pPr>
    </w:p>
    <w:p w:rsidR="005746E2" w:rsidRPr="003B41F2" w:rsidRDefault="005746E2" w:rsidP="005746E2">
      <w:pPr>
        <w:numPr>
          <w:ilvl w:val="12"/>
          <w:numId w:val="0"/>
        </w:numPr>
        <w:jc w:val="center"/>
        <w:rPr>
          <w:rFonts w:ascii="Times New Roman" w:hAnsi="Times New Roman"/>
          <w:b/>
          <w:bCs/>
          <w:noProof/>
          <w:sz w:val="22"/>
          <w:szCs w:val="22"/>
        </w:rPr>
      </w:pPr>
      <w:r w:rsidRPr="003B41F2">
        <w:rPr>
          <w:rFonts w:ascii="Times New Roman" w:hAnsi="Times New Roman"/>
          <w:b/>
          <w:bCs/>
          <w:noProof/>
          <w:sz w:val="22"/>
          <w:szCs w:val="22"/>
        </w:rPr>
        <w:t>Lidoposterin 50mg/g tepalas</w:t>
      </w:r>
    </w:p>
    <w:p w:rsidR="005746E2" w:rsidRPr="003B41F2" w:rsidRDefault="005746E2" w:rsidP="005746E2">
      <w:pPr>
        <w:numPr>
          <w:ilvl w:val="12"/>
          <w:numId w:val="0"/>
        </w:numPr>
        <w:jc w:val="center"/>
        <w:rPr>
          <w:rFonts w:ascii="Times New Roman" w:hAnsi="Times New Roman"/>
          <w:bCs/>
          <w:noProof/>
          <w:sz w:val="22"/>
          <w:szCs w:val="22"/>
        </w:rPr>
      </w:pPr>
      <w:r>
        <w:rPr>
          <w:rFonts w:ascii="Times New Roman" w:hAnsi="Times New Roman"/>
          <w:bCs/>
          <w:noProof/>
          <w:sz w:val="22"/>
          <w:szCs w:val="22"/>
        </w:rPr>
        <w:t>l</w:t>
      </w:r>
      <w:r w:rsidRPr="003B41F2">
        <w:rPr>
          <w:rFonts w:ascii="Times New Roman" w:hAnsi="Times New Roman"/>
          <w:bCs/>
          <w:noProof/>
          <w:sz w:val="22"/>
          <w:szCs w:val="22"/>
        </w:rPr>
        <w:t>idokainas</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 xml:space="preserve">Atidžiai perskaitykite visą šį lapelį, </w:t>
      </w:r>
      <w:r w:rsidRPr="003B41F2">
        <w:rPr>
          <w:rFonts w:ascii="Times New Roman" w:hAnsi="Times New Roman"/>
          <w:b/>
          <w:noProof/>
          <w:snapToGrid w:val="0"/>
          <w:sz w:val="22"/>
          <w:szCs w:val="22"/>
        </w:rPr>
        <w:t xml:space="preserve">prieš pradėdami vartoti vaistą, </w:t>
      </w:r>
      <w:r w:rsidRPr="003B41F2">
        <w:rPr>
          <w:rFonts w:ascii="Times New Roman" w:hAnsi="Times New Roman"/>
          <w:b/>
          <w:noProof/>
          <w:sz w:val="22"/>
          <w:szCs w:val="22"/>
        </w:rPr>
        <w:t>nes jame pateikiama Jums svarbi informacija.</w:t>
      </w:r>
    </w:p>
    <w:p w:rsidR="005746E2" w:rsidRPr="003B41F2" w:rsidRDefault="005746E2" w:rsidP="005746E2">
      <w:pPr>
        <w:rPr>
          <w:rFonts w:ascii="Times New Roman" w:hAnsi="Times New Roman"/>
          <w:b/>
          <w:noProof/>
          <w:sz w:val="22"/>
          <w:szCs w:val="22"/>
        </w:rPr>
      </w:pPr>
      <w:r w:rsidRPr="003B41F2">
        <w:rPr>
          <w:rFonts w:ascii="Times New Roman" w:hAnsi="Times New Roman"/>
          <w:noProof/>
          <w:snapToGrid w:val="0"/>
          <w:sz w:val="22"/>
          <w:szCs w:val="22"/>
        </w:rPr>
        <w:t>Visada vartokite šį vaistą tiksliai kaip aprašyta šiame lapelyje arba kaip nurodė gydytojas arba vaistininkas.</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Neišmeskite šio lapelio, nes vėl gali prireikti jį perskaityti.</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Jeigu norite sužinoti daugiau arba pasitarti, kreipkitės į vaistininką.</w:t>
      </w:r>
    </w:p>
    <w:p w:rsidR="005746E2" w:rsidRPr="003B41F2" w:rsidRDefault="005746E2" w:rsidP="005746E2">
      <w:pPr>
        <w:numPr>
          <w:ilvl w:val="0"/>
          <w:numId w:val="1"/>
        </w:numPr>
        <w:ind w:left="728" w:hanging="742"/>
        <w:rPr>
          <w:rFonts w:ascii="Times New Roman" w:hAnsi="Times New Roman"/>
          <w:noProof/>
          <w:sz w:val="22"/>
          <w:szCs w:val="22"/>
        </w:rPr>
      </w:pPr>
      <w:r w:rsidRPr="003B41F2">
        <w:rPr>
          <w:rFonts w:ascii="Times New Roman" w:hAnsi="Times New Roman"/>
          <w:noProof/>
          <w:sz w:val="22"/>
          <w:szCs w:val="22"/>
        </w:rPr>
        <w:t xml:space="preserve">Jeigu pasireiškė šalutinis poveikis </w:t>
      </w:r>
      <w:r w:rsidRPr="003B41F2">
        <w:rPr>
          <w:rFonts w:ascii="Times New Roman" w:hAnsi="Times New Roman"/>
          <w:noProof/>
          <w:snapToGrid w:val="0"/>
          <w:sz w:val="22"/>
          <w:szCs w:val="22"/>
        </w:rPr>
        <w:t>(net jeigu jis šiame lapelyje nenurodytas), kreipkitės į gydytoją arba vaistininką. Žr. 4 skyrių.</w:t>
      </w:r>
    </w:p>
    <w:p w:rsidR="005746E2" w:rsidRPr="003B41F2" w:rsidRDefault="005746E2" w:rsidP="005746E2">
      <w:pPr>
        <w:numPr>
          <w:ilvl w:val="0"/>
          <w:numId w:val="1"/>
        </w:numPr>
        <w:ind w:left="728" w:hanging="742"/>
        <w:rPr>
          <w:rFonts w:ascii="Times New Roman" w:hAnsi="Times New Roman"/>
          <w:noProof/>
          <w:sz w:val="22"/>
          <w:szCs w:val="22"/>
        </w:rPr>
      </w:pPr>
      <w:r w:rsidRPr="003B41F2">
        <w:rPr>
          <w:rFonts w:ascii="Times New Roman" w:hAnsi="Times New Roman"/>
          <w:noProof/>
          <w:sz w:val="22"/>
          <w:szCs w:val="22"/>
        </w:rPr>
        <w:t xml:space="preserve">Jeigu per </w:t>
      </w:r>
      <w:r>
        <w:rPr>
          <w:rFonts w:ascii="Times New Roman" w:hAnsi="Times New Roman"/>
          <w:noProof/>
          <w:sz w:val="22"/>
          <w:szCs w:val="22"/>
        </w:rPr>
        <w:t>7</w:t>
      </w:r>
      <w:r w:rsidRPr="003B41F2">
        <w:rPr>
          <w:rFonts w:ascii="Times New Roman" w:hAnsi="Times New Roman"/>
          <w:noProof/>
          <w:sz w:val="22"/>
          <w:szCs w:val="22"/>
        </w:rPr>
        <w:t xml:space="preserve"> dienas Jūsų savijauta nepagerėjo arba net pablogėjo, kreipkitės į gydytoją.</w:t>
      </w:r>
    </w:p>
    <w:p w:rsidR="005746E2" w:rsidRPr="003B41F2" w:rsidRDefault="005746E2" w:rsidP="005746E2">
      <w:pPr>
        <w:numPr>
          <w:ilvl w:val="12"/>
          <w:numId w:val="0"/>
        </w:numPr>
        <w:outlineLvl w:val="0"/>
        <w:rPr>
          <w:rFonts w:ascii="Times New Roman" w:hAnsi="Times New Roman"/>
          <w:b/>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Apie ką rašoma šiame lapelyje?</w:t>
      </w:r>
    </w:p>
    <w:p w:rsidR="005746E2" w:rsidRPr="003B41F2" w:rsidRDefault="005746E2" w:rsidP="005746E2">
      <w:pPr>
        <w:rPr>
          <w:rFonts w:ascii="Times New Roman" w:hAnsi="Times New Roman"/>
          <w:b/>
          <w:noProof/>
          <w:sz w:val="22"/>
          <w:szCs w:val="22"/>
        </w:rPr>
      </w:pP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1.</w:t>
      </w:r>
      <w:r w:rsidRPr="003B41F2">
        <w:rPr>
          <w:rFonts w:ascii="Times New Roman" w:hAnsi="Times New Roman"/>
          <w:noProof/>
          <w:sz w:val="22"/>
          <w:szCs w:val="22"/>
        </w:rPr>
        <w:tab/>
        <w:t>Kas yra Lidoposterin ir kam jis vartojamas</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2.</w:t>
      </w:r>
      <w:r w:rsidRPr="003B41F2">
        <w:rPr>
          <w:rFonts w:ascii="Times New Roman" w:hAnsi="Times New Roman"/>
          <w:noProof/>
          <w:sz w:val="22"/>
          <w:szCs w:val="22"/>
        </w:rPr>
        <w:tab/>
        <w:t>Kas žinotina prieš vartojant Lidoposterin</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3.</w:t>
      </w:r>
      <w:r w:rsidRPr="003B41F2">
        <w:rPr>
          <w:rFonts w:ascii="Times New Roman" w:hAnsi="Times New Roman"/>
          <w:noProof/>
          <w:sz w:val="22"/>
          <w:szCs w:val="22"/>
        </w:rPr>
        <w:tab/>
        <w:t>Kaip vartoti Lidoposterin</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4.</w:t>
      </w:r>
      <w:r w:rsidRPr="003B41F2">
        <w:rPr>
          <w:rFonts w:ascii="Times New Roman" w:hAnsi="Times New Roman"/>
          <w:noProof/>
          <w:sz w:val="22"/>
          <w:szCs w:val="22"/>
        </w:rPr>
        <w:tab/>
        <w:t>Galimas šalutinis poveikis</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5.</w:t>
      </w:r>
      <w:r w:rsidRPr="003B41F2">
        <w:rPr>
          <w:rFonts w:ascii="Times New Roman" w:hAnsi="Times New Roman"/>
          <w:noProof/>
          <w:sz w:val="22"/>
          <w:szCs w:val="22"/>
        </w:rPr>
        <w:tab/>
        <w:t>Kaip laikyti Lidoposterin</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6.</w:t>
      </w:r>
      <w:r w:rsidRPr="003B41F2">
        <w:rPr>
          <w:rFonts w:ascii="Times New Roman" w:hAnsi="Times New Roman"/>
          <w:noProof/>
          <w:sz w:val="22"/>
          <w:szCs w:val="22"/>
        </w:rPr>
        <w:tab/>
        <w:t>Pakuotės turinys ir kita informacija</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1.</w:t>
      </w:r>
      <w:r w:rsidRPr="003B41F2">
        <w:rPr>
          <w:rFonts w:ascii="Times New Roman" w:hAnsi="Times New Roman"/>
          <w:b/>
          <w:noProof/>
          <w:sz w:val="22"/>
          <w:szCs w:val="22"/>
        </w:rPr>
        <w:tab/>
        <w:t>Kas yra Lidoposterin ir kam jis vartojamas</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Vaistas tinka dėl hemorojaus mazgų, išangės įtrūkimo, fistulės, pūlinio arba tiesiosios žarnos uždegimo atsiradusiam išangės srities niežuliui bei skausmui malšinti. Be to, jo vartojama prieš išangės ir tiesiosios žarnos apžiūrą ar operaciją ir po jos.</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2.</w:t>
      </w:r>
      <w:r w:rsidRPr="003B41F2">
        <w:rPr>
          <w:rFonts w:ascii="Times New Roman" w:hAnsi="Times New Roman"/>
          <w:b/>
          <w:noProof/>
          <w:sz w:val="22"/>
          <w:szCs w:val="22"/>
        </w:rPr>
        <w:tab/>
        <w:t>Kas žinotina prieš vartojant Lidoposterin</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b/>
          <w:caps/>
          <w:noProof/>
          <w:sz w:val="22"/>
          <w:szCs w:val="22"/>
        </w:rPr>
      </w:pPr>
      <w:r w:rsidRPr="003B41F2">
        <w:rPr>
          <w:rFonts w:ascii="Times New Roman" w:hAnsi="Times New Roman"/>
          <w:b/>
          <w:bCs/>
          <w:noProof/>
          <w:sz w:val="22"/>
          <w:szCs w:val="22"/>
        </w:rPr>
        <w:t xml:space="preserve">Lidoposterin vartoti </w:t>
      </w:r>
      <w:r>
        <w:rPr>
          <w:rFonts w:ascii="Times New Roman" w:hAnsi="Times New Roman"/>
          <w:b/>
          <w:bCs/>
          <w:noProof/>
          <w:sz w:val="22"/>
          <w:szCs w:val="22"/>
        </w:rPr>
        <w:t>draudžiama</w:t>
      </w:r>
      <w:r w:rsidRPr="003B41F2">
        <w:rPr>
          <w:rFonts w:ascii="Times New Roman" w:hAnsi="Times New Roman"/>
          <w:b/>
          <w:bCs/>
          <w:noProof/>
          <w:sz w:val="22"/>
          <w:szCs w:val="22"/>
        </w:rPr>
        <w:t>:</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w:t>
      </w:r>
      <w:r w:rsidRPr="003B41F2">
        <w:rPr>
          <w:rFonts w:ascii="Times New Roman" w:hAnsi="Times New Roman"/>
          <w:noProof/>
          <w:sz w:val="22"/>
          <w:szCs w:val="22"/>
        </w:rPr>
        <w:tab/>
        <w:t>jeigu yra alergija lidokainui arba bet kuriai pagalbinei šio vaisto medžiagai (jos išvardytos 6 skyriuje).</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pStyle w:val="Pagrindinistekstas"/>
        <w:widowControl w:val="0"/>
        <w:spacing w:line="240" w:lineRule="auto"/>
        <w:rPr>
          <w:b/>
          <w:noProof/>
          <w:sz w:val="22"/>
          <w:szCs w:val="22"/>
        </w:rPr>
      </w:pPr>
      <w:r w:rsidRPr="003B41F2">
        <w:rPr>
          <w:b/>
          <w:noProof/>
          <w:sz w:val="22"/>
          <w:szCs w:val="22"/>
        </w:rPr>
        <w:t>Įspėjimai ir atsargumo priemonės</w:t>
      </w:r>
    </w:p>
    <w:p w:rsidR="005746E2" w:rsidRDefault="005746E2" w:rsidP="005746E2">
      <w:pPr>
        <w:pStyle w:val="Pagrindinistekstas"/>
        <w:widowControl w:val="0"/>
        <w:spacing w:line="240" w:lineRule="auto"/>
        <w:rPr>
          <w:noProof/>
          <w:snapToGrid w:val="0"/>
          <w:sz w:val="22"/>
          <w:szCs w:val="22"/>
        </w:rPr>
      </w:pPr>
      <w:r w:rsidRPr="003B41F2">
        <w:rPr>
          <w:noProof/>
          <w:snapToGrid w:val="0"/>
          <w:sz w:val="22"/>
          <w:szCs w:val="22"/>
        </w:rPr>
        <w:t>Pasitarkite su gydytoju arba vaistininku, prieš pradėdami vartoti Lidoposterin.</w:t>
      </w:r>
    </w:p>
    <w:p w:rsidR="005746E2" w:rsidRDefault="005746E2" w:rsidP="005746E2">
      <w:pPr>
        <w:pStyle w:val="Pagrindinistekstas"/>
        <w:widowControl w:val="0"/>
        <w:spacing w:line="240" w:lineRule="auto"/>
        <w:rPr>
          <w:noProof/>
          <w:snapToGrid w:val="0"/>
          <w:sz w:val="22"/>
          <w:szCs w:val="22"/>
        </w:rPr>
      </w:pPr>
    </w:p>
    <w:p w:rsidR="005746E2" w:rsidRPr="002B3272" w:rsidRDefault="005746E2" w:rsidP="005746E2">
      <w:pPr>
        <w:pStyle w:val="Pagrindinistekstas"/>
        <w:widowControl w:val="0"/>
        <w:spacing w:line="240" w:lineRule="auto"/>
        <w:rPr>
          <w:noProof/>
          <w:snapToGrid w:val="0"/>
          <w:sz w:val="22"/>
          <w:szCs w:val="22"/>
        </w:rPr>
      </w:pPr>
      <w:r w:rsidRPr="002B3272">
        <w:rPr>
          <w:noProof/>
          <w:snapToGrid w:val="0"/>
          <w:sz w:val="22"/>
          <w:szCs w:val="22"/>
        </w:rPr>
        <w:t>Jei jums pasireiškė širdies problemų, prieš vartodami šio vaistinio preparato pasitarkite su gydytoju. Šiuos pacientus reikia atidžiai stebėti, ar jiems nepasireiškia nepageidaujamas papildomas poveikis širdžiai.</w:t>
      </w:r>
    </w:p>
    <w:p w:rsidR="005746E2" w:rsidRDefault="005746E2" w:rsidP="005746E2">
      <w:pPr>
        <w:pStyle w:val="Pagrindinistekstas"/>
        <w:widowControl w:val="0"/>
        <w:spacing w:line="240" w:lineRule="auto"/>
        <w:rPr>
          <w:noProof/>
          <w:snapToGrid w:val="0"/>
          <w:sz w:val="22"/>
          <w:szCs w:val="22"/>
        </w:rPr>
      </w:pPr>
    </w:p>
    <w:p w:rsidR="005746E2" w:rsidRDefault="005746E2" w:rsidP="005746E2">
      <w:pPr>
        <w:rPr>
          <w:rFonts w:ascii="Times New Roman" w:hAnsi="Times New Roman"/>
          <w:sz w:val="22"/>
          <w:szCs w:val="22"/>
        </w:rPr>
      </w:pPr>
      <w:r>
        <w:rPr>
          <w:rFonts w:ascii="Times New Roman" w:hAnsi="Times New Roman"/>
          <w:sz w:val="22"/>
          <w:szCs w:val="22"/>
        </w:rPr>
        <w:t>Jei</w:t>
      </w:r>
      <w:r w:rsidRPr="003B41F2">
        <w:rPr>
          <w:rFonts w:ascii="Times New Roman" w:hAnsi="Times New Roman"/>
          <w:sz w:val="22"/>
          <w:szCs w:val="22"/>
        </w:rPr>
        <w:t xml:space="preserve"> yra grybel</w:t>
      </w:r>
      <w:r>
        <w:rPr>
          <w:rFonts w:ascii="Times New Roman" w:hAnsi="Times New Roman"/>
          <w:sz w:val="22"/>
          <w:szCs w:val="22"/>
        </w:rPr>
        <w:t>inė infekcija</w:t>
      </w:r>
      <w:r w:rsidRPr="003B41F2">
        <w:rPr>
          <w:rFonts w:ascii="Times New Roman" w:hAnsi="Times New Roman"/>
          <w:sz w:val="22"/>
          <w:szCs w:val="22"/>
        </w:rPr>
        <w:t>, kartu su vaistu būtina vartoti lokalaus poveikio vaistų nuo grybelių.</w:t>
      </w:r>
    </w:p>
    <w:p w:rsidR="005746E2" w:rsidRDefault="005746E2" w:rsidP="005746E2">
      <w:pPr>
        <w:rPr>
          <w:rFonts w:ascii="Times New Roman" w:hAnsi="Times New Roman"/>
          <w:sz w:val="22"/>
          <w:szCs w:val="22"/>
        </w:rPr>
      </w:pPr>
    </w:p>
    <w:p w:rsidR="005746E2" w:rsidRPr="00D31F9C" w:rsidRDefault="005746E2" w:rsidP="005746E2">
      <w:pPr>
        <w:rPr>
          <w:rFonts w:ascii="Times New Roman" w:hAnsi="Times New Roman"/>
          <w:b/>
          <w:bCs/>
          <w:sz w:val="22"/>
          <w:szCs w:val="22"/>
        </w:rPr>
      </w:pPr>
      <w:r w:rsidRPr="00D31F9C">
        <w:rPr>
          <w:rFonts w:ascii="Times New Roman" w:hAnsi="Times New Roman"/>
          <w:b/>
          <w:bCs/>
          <w:sz w:val="22"/>
          <w:szCs w:val="22"/>
        </w:rPr>
        <w:t>Vaikai</w:t>
      </w:r>
    </w:p>
    <w:p w:rsidR="005746E2" w:rsidRPr="003B41F2" w:rsidRDefault="005746E2" w:rsidP="005746E2">
      <w:pPr>
        <w:rPr>
          <w:rFonts w:ascii="Times New Roman" w:hAnsi="Times New Roman"/>
          <w:sz w:val="22"/>
          <w:szCs w:val="22"/>
        </w:rPr>
      </w:pPr>
      <w:proofErr w:type="spellStart"/>
      <w:r w:rsidRPr="003219DD">
        <w:rPr>
          <w:rFonts w:ascii="Times New Roman" w:hAnsi="Times New Roman"/>
          <w:sz w:val="22"/>
          <w:szCs w:val="22"/>
        </w:rPr>
        <w:t>Lidoposterin</w:t>
      </w:r>
      <w:proofErr w:type="spellEnd"/>
      <w:r w:rsidRPr="003219DD">
        <w:rPr>
          <w:rFonts w:ascii="Times New Roman" w:hAnsi="Times New Roman"/>
          <w:sz w:val="22"/>
          <w:szCs w:val="22"/>
        </w:rPr>
        <w:t xml:space="preserve"> saugumas vaikams iki 12 metų (sveriantiems mažiau nei 50 kg) neištirtas. Duomenų nėra.</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Kiti vaistai ir Lidoposterin</w:t>
      </w:r>
    </w:p>
    <w:p w:rsidR="005746E2" w:rsidRPr="003B41F2" w:rsidRDefault="005746E2" w:rsidP="005746E2">
      <w:pPr>
        <w:rPr>
          <w:rFonts w:ascii="Times New Roman" w:hAnsi="Times New Roman"/>
          <w:noProof/>
          <w:sz w:val="22"/>
          <w:szCs w:val="22"/>
        </w:rPr>
      </w:pPr>
      <w:r w:rsidRPr="003B41F2">
        <w:rPr>
          <w:rFonts w:ascii="Times New Roman" w:hAnsi="Times New Roman"/>
          <w:noProof/>
          <w:sz w:val="22"/>
          <w:szCs w:val="22"/>
        </w:rPr>
        <w:t xml:space="preserve">Jeigu vartojate arba neseniai vartojote kitų vaistų </w:t>
      </w:r>
      <w:r w:rsidRPr="003B41F2">
        <w:rPr>
          <w:rFonts w:ascii="Times New Roman" w:hAnsi="Times New Roman"/>
          <w:noProof/>
          <w:snapToGrid w:val="0"/>
          <w:sz w:val="22"/>
          <w:szCs w:val="22"/>
        </w:rPr>
        <w:t xml:space="preserve">arba dėl to nesate tikri, apie tai </w:t>
      </w:r>
      <w:r w:rsidRPr="003B41F2">
        <w:rPr>
          <w:rFonts w:ascii="Times New Roman" w:hAnsi="Times New Roman"/>
          <w:noProof/>
          <w:sz w:val="22"/>
          <w:szCs w:val="22"/>
        </w:rPr>
        <w:t>pasakykite gydytojui arba vaistininkui.</w:t>
      </w:r>
    </w:p>
    <w:p w:rsidR="005746E2" w:rsidRPr="002B3272" w:rsidRDefault="005746E2" w:rsidP="005746E2">
      <w:pPr>
        <w:numPr>
          <w:ilvl w:val="12"/>
          <w:numId w:val="0"/>
        </w:numPr>
        <w:tabs>
          <w:tab w:val="left" w:pos="1290"/>
        </w:tabs>
        <w:rPr>
          <w:rFonts w:ascii="Times New Roman" w:hAnsi="Times New Roman"/>
          <w:noProof/>
          <w:sz w:val="22"/>
          <w:szCs w:val="22"/>
        </w:rPr>
      </w:pPr>
      <w:r w:rsidRPr="002B3272">
        <w:rPr>
          <w:rFonts w:ascii="Times New Roman" w:hAnsi="Times New Roman"/>
          <w:noProof/>
          <w:sz w:val="22"/>
          <w:szCs w:val="22"/>
        </w:rPr>
        <w:t>Lidoposterin gali paveikti vaistinius preparatus arba jam gali turėti įtakos tam tikri vaistiniai preparatai, kurių sudėtyje yra toliau išvardytų veikliųjų medžiagų:</w:t>
      </w:r>
    </w:p>
    <w:p w:rsidR="005746E2" w:rsidRPr="002B3272" w:rsidRDefault="005746E2" w:rsidP="005746E2">
      <w:pPr>
        <w:numPr>
          <w:ilvl w:val="12"/>
          <w:numId w:val="0"/>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lastRenderedPageBreak/>
        <w:t>-</w:t>
      </w:r>
      <w:r w:rsidRPr="002B3272">
        <w:rPr>
          <w:rFonts w:ascii="Times New Roman" w:hAnsi="Times New Roman"/>
          <w:noProof/>
          <w:sz w:val="22"/>
          <w:szCs w:val="22"/>
        </w:rPr>
        <w:tab/>
        <w:t>kiti vietiškai veikiantys anestetikai; kartu su Lidoposterin nevartokite kitų vietiškai veikiančių anestetikų.</w:t>
      </w:r>
    </w:p>
    <w:p w:rsidR="005746E2" w:rsidRPr="002B3272" w:rsidRDefault="005746E2" w:rsidP="005746E2">
      <w:pPr>
        <w:numPr>
          <w:ilvl w:val="12"/>
          <w:numId w:val="0"/>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w:t>
      </w:r>
      <w:r w:rsidRPr="002B3272">
        <w:rPr>
          <w:rFonts w:ascii="Times New Roman" w:hAnsi="Times New Roman"/>
          <w:noProof/>
          <w:sz w:val="22"/>
          <w:szCs w:val="22"/>
        </w:rPr>
        <w:tab/>
      </w:r>
      <w:r>
        <w:rPr>
          <w:rFonts w:ascii="Times New Roman" w:hAnsi="Times New Roman"/>
          <w:noProof/>
          <w:sz w:val="22"/>
          <w:szCs w:val="22"/>
        </w:rPr>
        <w:t>V</w:t>
      </w:r>
      <w:r w:rsidRPr="002B3272">
        <w:rPr>
          <w:rFonts w:ascii="Times New Roman" w:hAnsi="Times New Roman"/>
          <w:noProof/>
          <w:sz w:val="22"/>
          <w:szCs w:val="22"/>
        </w:rPr>
        <w:t>aistiniai preparatai, vartojami gydyti nuo nereguliaraus širdies plakimo (vadinamieji antiaritminiai vaistiniai preparatai).</w:t>
      </w:r>
    </w:p>
    <w:p w:rsidR="005746E2" w:rsidRPr="002B3272" w:rsidRDefault="005746E2" w:rsidP="005746E2">
      <w:pPr>
        <w:numPr>
          <w:ilvl w:val="0"/>
          <w:numId w:val="2"/>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 xml:space="preserve">Vaistiniai preparatai, vartojami gydyti nuo aukšto kraujospūdžio (vadinamieji beta </w:t>
      </w:r>
      <w:r>
        <w:rPr>
          <w:rFonts w:ascii="Times New Roman" w:hAnsi="Times New Roman"/>
          <w:noProof/>
          <w:sz w:val="22"/>
          <w:szCs w:val="22"/>
        </w:rPr>
        <w:t>adreno</w:t>
      </w:r>
      <w:r w:rsidRPr="002B3272">
        <w:rPr>
          <w:rFonts w:ascii="Times New Roman" w:hAnsi="Times New Roman"/>
          <w:noProof/>
          <w:sz w:val="22"/>
          <w:szCs w:val="22"/>
        </w:rPr>
        <w:t>blokatoriai).</w:t>
      </w:r>
    </w:p>
    <w:p w:rsidR="005746E2" w:rsidRPr="002B3272" w:rsidRDefault="005746E2" w:rsidP="005746E2">
      <w:pPr>
        <w:numPr>
          <w:ilvl w:val="0"/>
          <w:numId w:val="2"/>
        </w:numPr>
        <w:tabs>
          <w:tab w:val="left" w:pos="1290"/>
        </w:tabs>
        <w:ind w:left="567" w:hanging="567"/>
        <w:rPr>
          <w:rFonts w:ascii="Times New Roman" w:hAnsi="Times New Roman"/>
          <w:noProof/>
          <w:sz w:val="22"/>
          <w:szCs w:val="22"/>
        </w:rPr>
      </w:pPr>
      <w:r w:rsidRPr="002B3272">
        <w:rPr>
          <w:rFonts w:ascii="Times New Roman" w:hAnsi="Times New Roman"/>
          <w:noProof/>
          <w:sz w:val="22"/>
          <w:szCs w:val="22"/>
        </w:rPr>
        <w:t>Vaistiniai preparatai, kurių veiklioji medžiaga yra cimetidinas, vartojamas nuo rėmens ir skrandžio opų.</w:t>
      </w:r>
    </w:p>
    <w:p w:rsidR="005746E2" w:rsidRPr="003B41F2" w:rsidRDefault="005746E2" w:rsidP="005746E2">
      <w:pPr>
        <w:numPr>
          <w:ilvl w:val="12"/>
          <w:numId w:val="0"/>
        </w:numPr>
        <w:tabs>
          <w:tab w:val="left" w:pos="1290"/>
        </w:tabs>
        <w:rPr>
          <w:rFonts w:ascii="Times New Roman" w:hAnsi="Times New Roman"/>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Nėštumas ir žindymo laikotarpis</w:t>
      </w:r>
    </w:p>
    <w:p w:rsidR="005746E2" w:rsidRDefault="005746E2" w:rsidP="005746E2">
      <w:pPr>
        <w:rPr>
          <w:rFonts w:ascii="Times New Roman" w:hAnsi="Times New Roman"/>
          <w:snapToGrid w:val="0"/>
          <w:sz w:val="22"/>
          <w:szCs w:val="22"/>
        </w:rPr>
      </w:pPr>
      <w:r w:rsidRPr="003B41F2">
        <w:rPr>
          <w:rFonts w:ascii="Times New Roman" w:hAnsi="Times New Roman"/>
          <w:noProof/>
          <w:snapToGrid w:val="0"/>
          <w:sz w:val="22"/>
          <w:szCs w:val="22"/>
        </w:rPr>
        <w:t>Jeigu esate nėščia, žindote kūdikį, manote, kad galbūt esate nėščia, arba planuojate pastoti, tai prieš vartodama šį vaistą, pasitarkite su gydytoju arba vaistininku.</w:t>
      </w:r>
      <w:r w:rsidRPr="003B41F2">
        <w:rPr>
          <w:rFonts w:ascii="Times New Roman" w:hAnsi="Times New Roman"/>
          <w:snapToGrid w:val="0"/>
          <w:sz w:val="22"/>
          <w:szCs w:val="22"/>
        </w:rPr>
        <w:t xml:space="preserve"> </w:t>
      </w:r>
    </w:p>
    <w:p w:rsidR="005746E2" w:rsidRPr="003B41F2" w:rsidRDefault="005746E2" w:rsidP="005746E2">
      <w:pPr>
        <w:rPr>
          <w:rFonts w:ascii="Times New Roman" w:hAnsi="Times New Roman"/>
          <w:snapToGrid w:val="0"/>
          <w:sz w:val="22"/>
          <w:szCs w:val="22"/>
        </w:rPr>
      </w:pPr>
    </w:p>
    <w:p w:rsidR="005746E2" w:rsidRPr="003219DD" w:rsidRDefault="005746E2" w:rsidP="005746E2">
      <w:pPr>
        <w:rPr>
          <w:rFonts w:ascii="Times New Roman" w:hAnsi="Times New Roman"/>
          <w:sz w:val="22"/>
          <w:szCs w:val="22"/>
          <w:u w:val="single"/>
        </w:rPr>
      </w:pPr>
      <w:r w:rsidRPr="003219DD">
        <w:rPr>
          <w:rFonts w:ascii="Times New Roman" w:hAnsi="Times New Roman"/>
          <w:sz w:val="22"/>
          <w:szCs w:val="22"/>
          <w:u w:val="single"/>
        </w:rPr>
        <w:t>Nėštumas</w:t>
      </w:r>
    </w:p>
    <w:p w:rsidR="005746E2" w:rsidRPr="003219DD" w:rsidRDefault="005746E2" w:rsidP="005746E2">
      <w:pPr>
        <w:rPr>
          <w:rFonts w:ascii="Times New Roman" w:hAnsi="Times New Roman"/>
          <w:sz w:val="22"/>
          <w:szCs w:val="22"/>
        </w:rPr>
      </w:pPr>
      <w:proofErr w:type="spellStart"/>
      <w:r w:rsidRPr="003219DD">
        <w:rPr>
          <w:rFonts w:ascii="Times New Roman" w:hAnsi="Times New Roman"/>
          <w:sz w:val="22"/>
          <w:szCs w:val="22"/>
        </w:rPr>
        <w:t>Lidokainas</w:t>
      </w:r>
      <w:proofErr w:type="spellEnd"/>
      <w:r w:rsidRPr="003219DD">
        <w:rPr>
          <w:rFonts w:ascii="Times New Roman" w:hAnsi="Times New Roman"/>
          <w:sz w:val="22"/>
          <w:szCs w:val="22"/>
        </w:rPr>
        <w:t xml:space="preserve"> prasiskverbia per placentą. Galima rizika žmonėms nežinoma. Pasitarkite su gydytoju prieš pradėdami varto</w:t>
      </w:r>
      <w:r>
        <w:rPr>
          <w:rFonts w:ascii="Times New Roman" w:hAnsi="Times New Roman"/>
          <w:sz w:val="22"/>
          <w:szCs w:val="22"/>
        </w:rPr>
        <w:t>ti</w:t>
      </w:r>
      <w:r w:rsidRPr="003219DD">
        <w:rPr>
          <w:rFonts w:ascii="Times New Roman" w:hAnsi="Times New Roman"/>
          <w:sz w:val="22"/>
          <w:szCs w:val="22"/>
        </w:rPr>
        <w:t xml:space="preserve"> </w:t>
      </w:r>
      <w:proofErr w:type="spellStart"/>
      <w:r w:rsidRPr="003219DD">
        <w:rPr>
          <w:rFonts w:ascii="Times New Roman" w:hAnsi="Times New Roman"/>
          <w:sz w:val="22"/>
          <w:szCs w:val="22"/>
        </w:rPr>
        <w:t>Lidoposterin</w:t>
      </w:r>
      <w:proofErr w:type="spellEnd"/>
      <w:r w:rsidRPr="003219DD">
        <w:rPr>
          <w:rFonts w:ascii="Times New Roman" w:hAnsi="Times New Roman"/>
          <w:sz w:val="22"/>
          <w:szCs w:val="22"/>
        </w:rPr>
        <w:t xml:space="preserve"> nėštumo laikotarpiu.</w:t>
      </w:r>
    </w:p>
    <w:p w:rsidR="005746E2" w:rsidRPr="003219DD" w:rsidRDefault="005746E2" w:rsidP="005746E2">
      <w:pPr>
        <w:rPr>
          <w:rFonts w:ascii="Times New Roman" w:hAnsi="Times New Roman"/>
          <w:sz w:val="22"/>
          <w:szCs w:val="22"/>
        </w:rPr>
      </w:pPr>
    </w:p>
    <w:p w:rsidR="005746E2" w:rsidRPr="003219DD" w:rsidRDefault="005746E2" w:rsidP="005746E2">
      <w:pPr>
        <w:rPr>
          <w:rFonts w:ascii="Times New Roman" w:hAnsi="Times New Roman"/>
          <w:sz w:val="22"/>
          <w:szCs w:val="22"/>
          <w:u w:val="single"/>
        </w:rPr>
      </w:pPr>
      <w:r w:rsidRPr="003219DD">
        <w:rPr>
          <w:rFonts w:ascii="Times New Roman" w:hAnsi="Times New Roman"/>
          <w:sz w:val="22"/>
          <w:szCs w:val="22"/>
          <w:u w:val="single"/>
        </w:rPr>
        <w:t>Žindymas</w:t>
      </w:r>
    </w:p>
    <w:p w:rsidR="005746E2" w:rsidRPr="003219DD" w:rsidRDefault="005746E2" w:rsidP="005746E2">
      <w:pPr>
        <w:rPr>
          <w:rFonts w:ascii="Times New Roman" w:hAnsi="Times New Roman"/>
          <w:sz w:val="22"/>
          <w:szCs w:val="22"/>
        </w:rPr>
      </w:pPr>
      <w:r w:rsidRPr="003219DD">
        <w:rPr>
          <w:rFonts w:ascii="Times New Roman" w:hAnsi="Times New Roman"/>
          <w:sz w:val="22"/>
          <w:szCs w:val="22"/>
        </w:rPr>
        <w:t xml:space="preserve">Veiklioji </w:t>
      </w:r>
      <w:proofErr w:type="spellStart"/>
      <w:r w:rsidRPr="003219DD">
        <w:rPr>
          <w:rFonts w:ascii="Times New Roman" w:hAnsi="Times New Roman"/>
          <w:sz w:val="22"/>
          <w:szCs w:val="22"/>
        </w:rPr>
        <w:t>Lidoposterin</w:t>
      </w:r>
      <w:proofErr w:type="spellEnd"/>
      <w:r w:rsidRPr="003219DD">
        <w:rPr>
          <w:rFonts w:ascii="Times New Roman" w:hAnsi="Times New Roman"/>
          <w:sz w:val="22"/>
          <w:szCs w:val="22"/>
        </w:rPr>
        <w:t xml:space="preserve"> medžiaga išsiskiria į motinos pieną, tačiau žindomam kūdikiui poveikio nesukelia. Tačiau prieš vartodami </w:t>
      </w:r>
      <w:proofErr w:type="spellStart"/>
      <w:r w:rsidRPr="003219DD">
        <w:rPr>
          <w:rFonts w:ascii="Times New Roman" w:hAnsi="Times New Roman"/>
          <w:sz w:val="22"/>
          <w:szCs w:val="22"/>
        </w:rPr>
        <w:t>Lidoposterin</w:t>
      </w:r>
      <w:proofErr w:type="spellEnd"/>
      <w:r>
        <w:rPr>
          <w:rFonts w:ascii="Times New Roman" w:hAnsi="Times New Roman"/>
          <w:sz w:val="22"/>
          <w:szCs w:val="22"/>
        </w:rPr>
        <w:t xml:space="preserve"> </w:t>
      </w:r>
      <w:r w:rsidRPr="003219DD">
        <w:rPr>
          <w:rFonts w:ascii="Times New Roman" w:hAnsi="Times New Roman"/>
          <w:sz w:val="22"/>
          <w:szCs w:val="22"/>
        </w:rPr>
        <w:t>žindymo laikotarpiu, pasitarkite su gydytoju.</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Vairavimas ir mechanizmų valdymas</w:t>
      </w:r>
    </w:p>
    <w:p w:rsidR="005746E2" w:rsidRPr="003B41F2" w:rsidRDefault="005746E2" w:rsidP="005746E2">
      <w:pPr>
        <w:pStyle w:val="Pagrindinistekstas"/>
        <w:spacing w:line="240" w:lineRule="auto"/>
        <w:rPr>
          <w:sz w:val="22"/>
          <w:szCs w:val="22"/>
        </w:rPr>
      </w:pPr>
      <w:r w:rsidRPr="003B41F2">
        <w:rPr>
          <w:sz w:val="22"/>
          <w:szCs w:val="22"/>
        </w:rPr>
        <w:t xml:space="preserve">Poveikio gebėjimui vairuoti transportą ir valdyti mechanizmus nepastebėta. </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b/>
          <w:noProof/>
          <w:sz w:val="22"/>
          <w:szCs w:val="22"/>
        </w:rPr>
      </w:pPr>
      <w:r w:rsidRPr="003B41F2">
        <w:rPr>
          <w:rFonts w:ascii="Times New Roman" w:hAnsi="Times New Roman"/>
          <w:b/>
          <w:noProof/>
          <w:sz w:val="22"/>
          <w:szCs w:val="22"/>
        </w:rPr>
        <w:t>Lidoposterin sudėtyje yra cetilo alkoholio.</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Cetilo alkoholis gali sukelti lokalių odos reakcijų (pvz., kontaktinį dermatitą).</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outlineLvl w:val="0"/>
        <w:rPr>
          <w:rFonts w:ascii="Times New Roman" w:hAnsi="Times New Roman"/>
          <w:b/>
          <w:caps/>
          <w:noProof/>
          <w:sz w:val="22"/>
          <w:szCs w:val="22"/>
        </w:rPr>
      </w:pPr>
      <w:r w:rsidRPr="003B41F2">
        <w:rPr>
          <w:rFonts w:ascii="Times New Roman" w:hAnsi="Times New Roman"/>
          <w:b/>
          <w:noProof/>
          <w:sz w:val="22"/>
          <w:szCs w:val="22"/>
        </w:rPr>
        <w:t>3.</w:t>
      </w:r>
      <w:r w:rsidRPr="003B41F2">
        <w:rPr>
          <w:rFonts w:ascii="Times New Roman" w:hAnsi="Times New Roman"/>
          <w:b/>
          <w:noProof/>
          <w:sz w:val="22"/>
          <w:szCs w:val="22"/>
        </w:rPr>
        <w:tab/>
        <w:t>Kaip vartoti Lidoposterin</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noProof/>
          <w:snapToGrid w:val="0"/>
          <w:sz w:val="22"/>
          <w:szCs w:val="22"/>
        </w:rPr>
      </w:pPr>
      <w:r w:rsidRPr="003B41F2">
        <w:rPr>
          <w:rFonts w:ascii="Times New Roman" w:hAnsi="Times New Roman"/>
          <w:noProof/>
          <w:snapToGrid w:val="0"/>
          <w:sz w:val="22"/>
          <w:szCs w:val="22"/>
        </w:rPr>
        <w:t>Visada vartokite šį vaistą tiksliai kaip aprašyta šiame lapelyje arba kaip nurodė gydytojas arba vaistininkas.</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Jeigu abejojate, kreipkitės į gydytoją arba vaistininką.</w:t>
      </w:r>
    </w:p>
    <w:p w:rsidR="005746E2" w:rsidRPr="003B41F2" w:rsidRDefault="005746E2" w:rsidP="005746E2">
      <w:pPr>
        <w:rPr>
          <w:rFonts w:ascii="Times New Roman" w:hAnsi="Times New Roman"/>
          <w:noProof/>
          <w:snapToGrid w:val="0"/>
          <w:sz w:val="22"/>
          <w:szCs w:val="22"/>
        </w:rPr>
      </w:pPr>
    </w:p>
    <w:p w:rsidR="005746E2" w:rsidRPr="002B3272" w:rsidRDefault="005746E2" w:rsidP="005746E2">
      <w:pPr>
        <w:rPr>
          <w:rFonts w:ascii="Times New Roman" w:hAnsi="Times New Roman"/>
          <w:noProof/>
          <w:snapToGrid w:val="0"/>
          <w:sz w:val="22"/>
          <w:szCs w:val="22"/>
        </w:rPr>
      </w:pPr>
      <w:r w:rsidRPr="002B3272">
        <w:rPr>
          <w:rFonts w:ascii="Times New Roman" w:hAnsi="Times New Roman"/>
          <w:noProof/>
          <w:snapToGrid w:val="0"/>
          <w:sz w:val="22"/>
          <w:szCs w:val="22"/>
        </w:rPr>
        <w:t>Rekomenduojama dozė</w:t>
      </w:r>
    </w:p>
    <w:p w:rsidR="005746E2" w:rsidRPr="003B41F2" w:rsidRDefault="005746E2" w:rsidP="005746E2">
      <w:pPr>
        <w:rPr>
          <w:rFonts w:ascii="Times New Roman" w:hAnsi="Times New Roman"/>
          <w:noProof/>
          <w:sz w:val="22"/>
          <w:szCs w:val="22"/>
        </w:rPr>
      </w:pPr>
      <w:r w:rsidRPr="002B3272">
        <w:rPr>
          <w:rFonts w:ascii="Times New Roman" w:hAnsi="Times New Roman"/>
          <w:noProof/>
          <w:snapToGrid w:val="0"/>
          <w:sz w:val="22"/>
          <w:szCs w:val="22"/>
        </w:rPr>
        <w:t>Pradedant gydyti tepalo vartojama 2–3 kartus per parą, vėliau – du kartus per parą.</w:t>
      </w:r>
    </w:p>
    <w:p w:rsidR="005746E2" w:rsidRPr="003B41F2" w:rsidRDefault="005746E2" w:rsidP="005746E2">
      <w:pPr>
        <w:rPr>
          <w:rFonts w:ascii="Times New Roman" w:hAnsi="Times New Roman"/>
          <w:noProof/>
          <w:sz w:val="22"/>
          <w:szCs w:val="22"/>
        </w:rPr>
      </w:pP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 xml:space="preserve">Vaisto kiekis priklauso nuo gydomo odos bei gleivinės ploto. </w:t>
      </w:r>
      <w:proofErr w:type="spellStart"/>
      <w:r w:rsidRPr="003B41F2">
        <w:rPr>
          <w:rFonts w:ascii="Times New Roman" w:hAnsi="Times New Roman"/>
          <w:sz w:val="22"/>
          <w:szCs w:val="22"/>
        </w:rPr>
        <w:t>Lidoposterin</w:t>
      </w:r>
      <w:proofErr w:type="spellEnd"/>
      <w:r w:rsidRPr="003B41F2">
        <w:rPr>
          <w:rFonts w:ascii="Times New Roman" w:hAnsi="Times New Roman"/>
          <w:sz w:val="22"/>
          <w:szCs w:val="22"/>
        </w:rPr>
        <w:t xml:space="preserve"> sudėtyje yra lokaliai veikiantis anestetikas, kurio poveikis pasireiškia greitai, todėl vaisto rekomenduojama tepti mažai. Didžiausia vienkartinė dozė yra 2,5 g tepalo (125 mg </w:t>
      </w:r>
      <w:proofErr w:type="spellStart"/>
      <w:r w:rsidRPr="003B41F2">
        <w:rPr>
          <w:rFonts w:ascii="Times New Roman" w:hAnsi="Times New Roman"/>
          <w:sz w:val="22"/>
          <w:szCs w:val="22"/>
        </w:rPr>
        <w:t>lidokaino</w:t>
      </w:r>
      <w:proofErr w:type="spellEnd"/>
      <w:r w:rsidRPr="003B41F2">
        <w:rPr>
          <w:rFonts w:ascii="Times New Roman" w:hAnsi="Times New Roman"/>
          <w:sz w:val="22"/>
          <w:szCs w:val="22"/>
        </w:rPr>
        <w:t xml:space="preserve">). Jos viršyti nepatariama. </w:t>
      </w: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 xml:space="preserve">Iš ryto ir vakare, ypač po tuštinimosi, gydomą odą ir gleivinę tepalu reikia atsargiai patepti, po to pirštu atsargiai įtrinti. Kad būtų lengva tepti, vaistą rekomenduojama laikyti 18 – 25 </w:t>
      </w:r>
      <w:r w:rsidRPr="003B41F2">
        <w:rPr>
          <w:rFonts w:ascii="Times New Roman" w:hAnsi="Times New Roman"/>
          <w:sz w:val="22"/>
          <w:szCs w:val="22"/>
        </w:rPr>
        <w:sym w:font="Symbol" w:char="F0B0"/>
      </w:r>
      <w:r w:rsidRPr="003B41F2">
        <w:rPr>
          <w:rFonts w:ascii="Times New Roman" w:hAnsi="Times New Roman"/>
          <w:sz w:val="22"/>
          <w:szCs w:val="22"/>
        </w:rPr>
        <w:t>C temperatūroje.</w:t>
      </w: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Kad po operacijos išangės išorėje greičiau gytų žaizda bei išnyktų skausmas, iš pradžių galima naudoti marlės juostelę, užteptą reikiamu preparato kiekiu.</w:t>
      </w:r>
    </w:p>
    <w:p w:rsidR="005746E2" w:rsidRDefault="005746E2" w:rsidP="005746E2">
      <w:pPr>
        <w:rPr>
          <w:rFonts w:ascii="Times New Roman" w:hAnsi="Times New Roman"/>
          <w:sz w:val="22"/>
          <w:szCs w:val="22"/>
        </w:rPr>
      </w:pPr>
      <w:r w:rsidRPr="003B41F2">
        <w:rPr>
          <w:rFonts w:ascii="Times New Roman" w:hAnsi="Times New Roman"/>
          <w:sz w:val="22"/>
          <w:szCs w:val="22"/>
        </w:rPr>
        <w:t xml:space="preserve">Kiekvienoje pakuotėje yra kaniulė, kurios šone yra anga. Šiuo įtaisu galima be </w:t>
      </w:r>
      <w:r w:rsidRPr="000469D5">
        <w:rPr>
          <w:rFonts w:ascii="Times New Roman" w:hAnsi="Times New Roman"/>
          <w:sz w:val="22"/>
          <w:szCs w:val="22"/>
        </w:rPr>
        <w:t>vargo įvesti į išangės</w:t>
      </w:r>
      <w:r w:rsidRPr="003B41F2">
        <w:rPr>
          <w:rFonts w:ascii="Times New Roman" w:hAnsi="Times New Roman"/>
          <w:sz w:val="22"/>
          <w:szCs w:val="22"/>
        </w:rPr>
        <w:t xml:space="preserve"> kanalą reikiamą tepalo kiekį.</w:t>
      </w:r>
    </w:p>
    <w:p w:rsidR="005746E2" w:rsidRPr="003B41F2" w:rsidRDefault="005746E2" w:rsidP="005746E2">
      <w:pPr>
        <w:rPr>
          <w:rFonts w:ascii="Times New Roman" w:hAnsi="Times New Roman"/>
          <w:sz w:val="22"/>
          <w:szCs w:val="22"/>
        </w:rPr>
      </w:pPr>
    </w:p>
    <w:p w:rsidR="005746E2" w:rsidRPr="003B41F2" w:rsidRDefault="005746E2" w:rsidP="005746E2">
      <w:pPr>
        <w:pStyle w:val="Antrat2"/>
        <w:spacing w:line="240" w:lineRule="auto"/>
        <w:jc w:val="left"/>
        <w:rPr>
          <w:i w:val="0"/>
          <w:sz w:val="22"/>
          <w:szCs w:val="22"/>
          <w:u w:val="single"/>
        </w:rPr>
      </w:pPr>
      <w:r w:rsidRPr="003B41F2">
        <w:rPr>
          <w:i w:val="0"/>
          <w:sz w:val="22"/>
          <w:szCs w:val="22"/>
          <w:u w:val="single"/>
        </w:rPr>
        <w:t>Kaniulės naudojimas</w:t>
      </w: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 xml:space="preserve">Ant tūbelės užsukama kaniulė ir pašalinama jos viršūnė. Tūbelė spaudžiama tol, kol tepalas pradeda lįsti pro šoninę kaniulės angą. Po to visa kaniulė atsargiai įkišama į tiesiąją žarną. </w:t>
      </w:r>
    </w:p>
    <w:p w:rsidR="005746E2" w:rsidRPr="003B41F2" w:rsidRDefault="005746E2" w:rsidP="005746E2">
      <w:pPr>
        <w:pStyle w:val="Pagrindinistekstas"/>
        <w:spacing w:line="240" w:lineRule="auto"/>
        <w:jc w:val="left"/>
        <w:rPr>
          <w:sz w:val="22"/>
          <w:szCs w:val="22"/>
        </w:rPr>
      </w:pPr>
      <w:r w:rsidRPr="003B41F2">
        <w:rPr>
          <w:sz w:val="22"/>
          <w:szCs w:val="22"/>
        </w:rPr>
        <w:t xml:space="preserve">Kaniulę įkišti lengviau, jei ji prieš tai patepama trupučiu tepalo. Tūbelę paspaudus dar kartą, tepalas patenka į išangės kanalą. Kad jis tolygiai pasiskirstytų, tūbelę reikia atsargiai pasukinėti. </w:t>
      </w:r>
      <w:r>
        <w:rPr>
          <w:sz w:val="22"/>
          <w:szCs w:val="22"/>
        </w:rPr>
        <w:t>Po naudojimo k</w:t>
      </w:r>
      <w:r w:rsidRPr="003B41F2">
        <w:rPr>
          <w:sz w:val="22"/>
          <w:szCs w:val="22"/>
        </w:rPr>
        <w:t>aniulę būtina išvalyti: iš jos pro šoninę angą išspausti truputį tepalo, nušluostyti paviršių sugeriamuoju popieriumi ir vėl tvirtai užsukti viršūnę. Sandariai laikomas tepalas mažiau džiūsta.</w:t>
      </w:r>
    </w:p>
    <w:p w:rsidR="005746E2" w:rsidRPr="00D3373E" w:rsidRDefault="005746E2" w:rsidP="005746E2">
      <w:pPr>
        <w:rPr>
          <w:rFonts w:ascii="Times New Roman" w:hAnsi="Times New Roman"/>
          <w:sz w:val="22"/>
          <w:szCs w:val="22"/>
        </w:rPr>
      </w:pPr>
      <w:r w:rsidRPr="00D3373E">
        <w:rPr>
          <w:rFonts w:ascii="Times New Roman" w:hAnsi="Times New Roman"/>
          <w:sz w:val="22"/>
          <w:szCs w:val="22"/>
        </w:rPr>
        <w:t xml:space="preserve">Jeigu tepalo ilgesnį laiką nenaudojate, </w:t>
      </w:r>
      <w:proofErr w:type="spellStart"/>
      <w:r w:rsidRPr="00D3373E">
        <w:rPr>
          <w:rFonts w:ascii="Times New Roman" w:hAnsi="Times New Roman"/>
          <w:sz w:val="22"/>
          <w:szCs w:val="22"/>
        </w:rPr>
        <w:t>aplikatorių</w:t>
      </w:r>
      <w:proofErr w:type="spellEnd"/>
      <w:r w:rsidRPr="00D3373E">
        <w:rPr>
          <w:rFonts w:ascii="Times New Roman" w:hAnsi="Times New Roman"/>
          <w:sz w:val="22"/>
          <w:szCs w:val="22"/>
        </w:rPr>
        <w:t xml:space="preserve"> reikia atsukti ir nuvalyti šiltu vandeniu.</w:t>
      </w:r>
    </w:p>
    <w:p w:rsidR="005746E2" w:rsidRPr="003B41F2" w:rsidRDefault="005746E2" w:rsidP="005746E2">
      <w:pPr>
        <w:rPr>
          <w:rFonts w:ascii="Times New Roman" w:hAnsi="Times New Roman"/>
          <w:sz w:val="22"/>
          <w:szCs w:val="22"/>
        </w:rPr>
      </w:pPr>
    </w:p>
    <w:p w:rsidR="005746E2" w:rsidRPr="003B41F2" w:rsidRDefault="005746E2" w:rsidP="005746E2">
      <w:pPr>
        <w:pStyle w:val="Antrat8"/>
        <w:spacing w:line="240" w:lineRule="auto"/>
        <w:jc w:val="left"/>
        <w:rPr>
          <w:i/>
          <w:sz w:val="22"/>
          <w:szCs w:val="22"/>
        </w:rPr>
      </w:pPr>
      <w:r w:rsidRPr="003B41F2">
        <w:rPr>
          <w:i/>
          <w:sz w:val="22"/>
          <w:szCs w:val="22"/>
        </w:rPr>
        <w:lastRenderedPageBreak/>
        <w:t>Žinotina</w:t>
      </w:r>
    </w:p>
    <w:p w:rsidR="005746E2" w:rsidRDefault="005746E2" w:rsidP="005746E2">
      <w:pPr>
        <w:rPr>
          <w:rFonts w:ascii="Times New Roman" w:hAnsi="Times New Roman"/>
          <w:sz w:val="22"/>
          <w:szCs w:val="22"/>
        </w:rPr>
      </w:pPr>
      <w:r w:rsidRPr="003B41F2">
        <w:rPr>
          <w:rFonts w:ascii="Times New Roman" w:hAnsi="Times New Roman"/>
          <w:sz w:val="22"/>
          <w:szCs w:val="22"/>
        </w:rPr>
        <w:t xml:space="preserve">Tepalas, vartojamas išangės srityje, dėl kūno temperatūros gali sutepti apatinius drabužius, todėl patariama naudoti minkštą įklotą, pvz., popierinę nosinę, vatą ar kt. </w:t>
      </w:r>
    </w:p>
    <w:p w:rsidR="005746E2" w:rsidRPr="003B41F2" w:rsidRDefault="005746E2" w:rsidP="005746E2">
      <w:pPr>
        <w:rPr>
          <w:rFonts w:ascii="Times New Roman" w:hAnsi="Times New Roman"/>
          <w:sz w:val="22"/>
          <w:szCs w:val="22"/>
        </w:rPr>
      </w:pPr>
    </w:p>
    <w:p w:rsidR="005746E2" w:rsidRPr="002B3272" w:rsidRDefault="005746E2" w:rsidP="005746E2">
      <w:pPr>
        <w:rPr>
          <w:rFonts w:ascii="Times New Roman" w:hAnsi="Times New Roman"/>
          <w:sz w:val="22"/>
          <w:szCs w:val="22"/>
          <w:u w:val="single"/>
        </w:rPr>
      </w:pPr>
      <w:r w:rsidRPr="002B3272">
        <w:rPr>
          <w:rFonts w:ascii="Times New Roman" w:hAnsi="Times New Roman"/>
          <w:sz w:val="22"/>
          <w:szCs w:val="22"/>
          <w:u w:val="single"/>
        </w:rPr>
        <w:t xml:space="preserve">Kiek vartoti </w:t>
      </w:r>
      <w:proofErr w:type="spellStart"/>
      <w:r w:rsidRPr="002B3272">
        <w:rPr>
          <w:rFonts w:ascii="Times New Roman" w:hAnsi="Times New Roman"/>
          <w:sz w:val="22"/>
          <w:szCs w:val="22"/>
          <w:u w:val="single"/>
        </w:rPr>
        <w:t>Lidoposterin</w:t>
      </w:r>
      <w:proofErr w:type="spellEnd"/>
    </w:p>
    <w:p w:rsidR="005746E2" w:rsidRDefault="005746E2" w:rsidP="005746E2">
      <w:pPr>
        <w:rPr>
          <w:rFonts w:ascii="Times New Roman" w:hAnsi="Times New Roman"/>
          <w:sz w:val="22"/>
          <w:szCs w:val="22"/>
        </w:rPr>
      </w:pPr>
      <w:r w:rsidRPr="002B3272">
        <w:rPr>
          <w:rFonts w:ascii="Times New Roman" w:hAnsi="Times New Roman"/>
          <w:sz w:val="22"/>
          <w:szCs w:val="22"/>
        </w:rPr>
        <w:t xml:space="preserve">Vartojimo trukmė priklauso nuo simptomų pobūdžio ir sunkumo, tačiau tepalo nepasitarus su gydytoju </w:t>
      </w:r>
      <w:r>
        <w:rPr>
          <w:rFonts w:ascii="Times New Roman" w:hAnsi="Times New Roman"/>
          <w:sz w:val="22"/>
          <w:szCs w:val="22"/>
        </w:rPr>
        <w:t>negalima</w:t>
      </w:r>
      <w:r w:rsidRPr="002B3272">
        <w:rPr>
          <w:rFonts w:ascii="Times New Roman" w:hAnsi="Times New Roman"/>
          <w:sz w:val="22"/>
          <w:szCs w:val="22"/>
        </w:rPr>
        <w:t xml:space="preserve"> nenutrūkstamai vartoti ilgiau nei 7 paras. </w:t>
      </w:r>
      <w:r>
        <w:rPr>
          <w:rFonts w:ascii="Times New Roman" w:hAnsi="Times New Roman"/>
          <w:sz w:val="22"/>
          <w:szCs w:val="22"/>
        </w:rPr>
        <w:t xml:space="preserve">Jei simptomai pasikartoja, </w:t>
      </w:r>
      <w:proofErr w:type="spellStart"/>
      <w:r w:rsidRPr="003B41F2">
        <w:rPr>
          <w:rFonts w:ascii="Times New Roman" w:hAnsi="Times New Roman"/>
          <w:sz w:val="22"/>
          <w:szCs w:val="22"/>
        </w:rPr>
        <w:t>Lidoposterin</w:t>
      </w:r>
      <w:proofErr w:type="spellEnd"/>
      <w:r w:rsidRPr="003B41F2">
        <w:rPr>
          <w:rFonts w:ascii="Times New Roman" w:hAnsi="Times New Roman"/>
          <w:sz w:val="22"/>
          <w:szCs w:val="22"/>
        </w:rPr>
        <w:t xml:space="preserve"> tepalo galima pradėti vartoti iš naujo.</w:t>
      </w:r>
    </w:p>
    <w:p w:rsidR="005746E2" w:rsidRDefault="005746E2" w:rsidP="005746E2">
      <w:pPr>
        <w:rPr>
          <w:rFonts w:ascii="Times New Roman" w:hAnsi="Times New Roman"/>
          <w:sz w:val="22"/>
          <w:szCs w:val="22"/>
        </w:rPr>
      </w:pPr>
    </w:p>
    <w:p w:rsidR="005746E2" w:rsidRDefault="005746E2" w:rsidP="005746E2">
      <w:pPr>
        <w:rPr>
          <w:rFonts w:ascii="Times New Roman" w:hAnsi="Times New Roman"/>
          <w:b/>
          <w:bCs/>
          <w:sz w:val="22"/>
          <w:szCs w:val="22"/>
        </w:rPr>
      </w:pPr>
      <w:r w:rsidRPr="00D31F9C">
        <w:rPr>
          <w:rFonts w:ascii="Times New Roman" w:hAnsi="Times New Roman"/>
          <w:b/>
          <w:bCs/>
          <w:sz w:val="22"/>
          <w:szCs w:val="22"/>
        </w:rPr>
        <w:t>Vartojimas vaikams ir paaugliams</w:t>
      </w:r>
    </w:p>
    <w:p w:rsidR="005746E2" w:rsidRPr="00D31F9C" w:rsidRDefault="005746E2" w:rsidP="005746E2">
      <w:pPr>
        <w:rPr>
          <w:rFonts w:ascii="Times New Roman" w:hAnsi="Times New Roman"/>
          <w:sz w:val="22"/>
          <w:szCs w:val="22"/>
        </w:rPr>
      </w:pPr>
      <w:r w:rsidRPr="00D31F9C">
        <w:rPr>
          <w:rFonts w:ascii="Times New Roman" w:hAnsi="Times New Roman"/>
          <w:sz w:val="22"/>
          <w:szCs w:val="22"/>
        </w:rPr>
        <w:t>Pirmiau nurodytos rekomenduojamos dozės taip pat taikytinos vyresniems nei 12 metų vaikams ir paaugliams, sveriantiems ≥50 kg.</w:t>
      </w:r>
    </w:p>
    <w:p w:rsidR="005746E2" w:rsidRPr="00D31F9C" w:rsidRDefault="005746E2" w:rsidP="005746E2">
      <w:pPr>
        <w:rPr>
          <w:rFonts w:ascii="Times New Roman" w:hAnsi="Times New Roman"/>
          <w:b/>
          <w:bCs/>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Ką daryti pavartojus per didelę Lidoposterin dozę</w:t>
      </w:r>
    </w:p>
    <w:p w:rsidR="005746E2" w:rsidRPr="003B41F2" w:rsidRDefault="005746E2" w:rsidP="005746E2">
      <w:pPr>
        <w:pStyle w:val="Pagrindinistekstas"/>
        <w:widowControl w:val="0"/>
        <w:spacing w:line="240" w:lineRule="auto"/>
        <w:jc w:val="left"/>
        <w:rPr>
          <w:sz w:val="22"/>
          <w:szCs w:val="22"/>
        </w:rPr>
      </w:pPr>
      <w:proofErr w:type="spellStart"/>
      <w:r w:rsidRPr="003B41F2">
        <w:rPr>
          <w:sz w:val="22"/>
          <w:szCs w:val="22"/>
        </w:rPr>
        <w:t>Lidoposterin</w:t>
      </w:r>
      <w:proofErr w:type="spellEnd"/>
      <w:r w:rsidRPr="003B41F2">
        <w:rPr>
          <w:sz w:val="22"/>
          <w:szCs w:val="22"/>
        </w:rPr>
        <w:t xml:space="preserve"> tepalo perdozavimo ar apsinuodijimo juo atvejų nežinoma. Kadangi veiklioji medžiaga </w:t>
      </w:r>
      <w:r>
        <w:rPr>
          <w:sz w:val="22"/>
          <w:szCs w:val="22"/>
        </w:rPr>
        <w:t>sukelia</w:t>
      </w:r>
      <w:r w:rsidRPr="003B41F2">
        <w:rPr>
          <w:sz w:val="22"/>
          <w:szCs w:val="22"/>
        </w:rPr>
        <w:t xml:space="preserve"> lokalų poveikį išangės srities odoje ir gleivinėje, perdozuoti vaisto, vartojant laikantis nurodymų, neįmanoma.</w:t>
      </w:r>
    </w:p>
    <w:p w:rsidR="005746E2" w:rsidRPr="003B41F2" w:rsidRDefault="005746E2" w:rsidP="005746E2">
      <w:pPr>
        <w:pStyle w:val="Pagrindinistekstas"/>
        <w:widowControl w:val="0"/>
        <w:spacing w:line="240" w:lineRule="auto"/>
        <w:jc w:val="left"/>
        <w:rPr>
          <w:sz w:val="22"/>
          <w:szCs w:val="22"/>
        </w:rPr>
      </w:pPr>
      <w:r w:rsidRPr="003B41F2">
        <w:rPr>
          <w:sz w:val="22"/>
          <w:szCs w:val="22"/>
        </w:rPr>
        <w:t xml:space="preserve">Jei pacientas, ypač vaikas, netyčia nuryja tepalo, gali sutrikti virškinimo trakto veikla: atsiranda pilvo skausmas, pykinimas. Tik prarijus labai didelę </w:t>
      </w:r>
      <w:proofErr w:type="spellStart"/>
      <w:r w:rsidRPr="003B41F2">
        <w:rPr>
          <w:sz w:val="22"/>
          <w:szCs w:val="22"/>
        </w:rPr>
        <w:t>lidokaino</w:t>
      </w:r>
      <w:proofErr w:type="spellEnd"/>
      <w:r w:rsidRPr="003B41F2">
        <w:rPr>
          <w:sz w:val="22"/>
          <w:szCs w:val="22"/>
        </w:rPr>
        <w:t xml:space="preserve"> dozę, sutrinka orientacija, prasideda traukuliai, kvėpavimo slopinimas, gali ištikti net </w:t>
      </w:r>
      <w:proofErr w:type="spellStart"/>
      <w:r w:rsidRPr="003B41F2">
        <w:rPr>
          <w:sz w:val="22"/>
          <w:szCs w:val="22"/>
        </w:rPr>
        <w:t>kardiogeninis</w:t>
      </w:r>
      <w:proofErr w:type="spellEnd"/>
      <w:r w:rsidRPr="003B41F2">
        <w:rPr>
          <w:sz w:val="22"/>
          <w:szCs w:val="22"/>
        </w:rPr>
        <w:t xml:space="preserve"> šokas.</w:t>
      </w:r>
    </w:p>
    <w:p w:rsidR="005746E2" w:rsidRPr="003B41F2" w:rsidRDefault="005746E2" w:rsidP="005746E2">
      <w:pPr>
        <w:pStyle w:val="Pagrindinistekstas"/>
        <w:widowControl w:val="0"/>
        <w:spacing w:line="240" w:lineRule="auto"/>
        <w:jc w:val="left"/>
        <w:rPr>
          <w:sz w:val="22"/>
          <w:szCs w:val="22"/>
        </w:rPr>
      </w:pPr>
      <w:proofErr w:type="spellStart"/>
      <w:r w:rsidRPr="003B41F2">
        <w:rPr>
          <w:sz w:val="22"/>
          <w:szCs w:val="22"/>
        </w:rPr>
        <w:t>Lidokainui</w:t>
      </w:r>
      <w:proofErr w:type="spellEnd"/>
      <w:r w:rsidRPr="003B41F2">
        <w:rPr>
          <w:sz w:val="22"/>
          <w:szCs w:val="22"/>
        </w:rPr>
        <w:t xml:space="preserve"> specifinio priešnuodžio nėra.</w:t>
      </w:r>
    </w:p>
    <w:p w:rsidR="005746E2" w:rsidRPr="003B41F2" w:rsidRDefault="005746E2" w:rsidP="005746E2">
      <w:pPr>
        <w:rPr>
          <w:rFonts w:ascii="Times New Roman" w:hAnsi="Times New Roman"/>
          <w:b/>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noProof/>
          <w:sz w:val="22"/>
          <w:szCs w:val="22"/>
        </w:rPr>
        <w:t xml:space="preserve">Pamiršus pavartoti Lidoposterin </w:t>
      </w: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Negalima vartoti dvigubos dozės norint kompensuoti praleistą dozę.</w:t>
      </w:r>
    </w:p>
    <w:p w:rsidR="005746E2" w:rsidRPr="003B41F2" w:rsidRDefault="005746E2" w:rsidP="005746E2">
      <w:pPr>
        <w:rPr>
          <w:rFonts w:ascii="Times New Roman" w:hAnsi="Times New Roman"/>
          <w:noProof/>
          <w:sz w:val="22"/>
          <w:szCs w:val="22"/>
        </w:rPr>
      </w:pPr>
    </w:p>
    <w:p w:rsidR="005746E2" w:rsidRDefault="005746E2" w:rsidP="005746E2">
      <w:pPr>
        <w:rPr>
          <w:rFonts w:ascii="Times New Roman" w:hAnsi="Times New Roman"/>
          <w:b/>
          <w:noProof/>
          <w:sz w:val="22"/>
          <w:szCs w:val="22"/>
        </w:rPr>
      </w:pPr>
      <w:r w:rsidRPr="003B41F2">
        <w:rPr>
          <w:rFonts w:ascii="Times New Roman" w:hAnsi="Times New Roman"/>
          <w:b/>
          <w:noProof/>
          <w:sz w:val="22"/>
          <w:szCs w:val="22"/>
        </w:rPr>
        <w:t>Nustojus vartoti Lidoposterin</w:t>
      </w:r>
    </w:p>
    <w:p w:rsidR="005746E2" w:rsidRPr="00D31F9C" w:rsidRDefault="005746E2" w:rsidP="005746E2">
      <w:pPr>
        <w:rPr>
          <w:rFonts w:ascii="Times New Roman" w:hAnsi="Times New Roman"/>
          <w:bCs/>
          <w:noProof/>
          <w:sz w:val="22"/>
          <w:szCs w:val="22"/>
        </w:rPr>
      </w:pPr>
      <w:r w:rsidRPr="00D31F9C">
        <w:rPr>
          <w:rFonts w:ascii="Times New Roman" w:hAnsi="Times New Roman"/>
          <w:bCs/>
          <w:noProof/>
          <w:sz w:val="22"/>
          <w:szCs w:val="22"/>
        </w:rPr>
        <w:t>Lidoposterin vartojimą galima nutraukti, kai simptomai išnyksta; dozės po truputį mažinti nereikia.</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Jeigu kiltų daugiau klausimų dėl šio vaisto vartojimo, kreipkitės į gydytoją arba  vaistininką.</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rPr>
          <w:rFonts w:ascii="Times New Roman" w:hAnsi="Times New Roman"/>
          <w:b/>
          <w:noProof/>
          <w:sz w:val="22"/>
          <w:szCs w:val="22"/>
        </w:rPr>
      </w:pPr>
      <w:r w:rsidRPr="003B41F2">
        <w:rPr>
          <w:rFonts w:ascii="Times New Roman" w:hAnsi="Times New Roman"/>
          <w:b/>
          <w:caps/>
          <w:noProof/>
          <w:sz w:val="22"/>
          <w:szCs w:val="22"/>
        </w:rPr>
        <w:t>4.</w:t>
      </w:r>
      <w:r w:rsidRPr="003B41F2">
        <w:rPr>
          <w:rFonts w:ascii="Times New Roman" w:hAnsi="Times New Roman"/>
          <w:b/>
          <w:caps/>
          <w:noProof/>
          <w:sz w:val="22"/>
          <w:szCs w:val="22"/>
        </w:rPr>
        <w:tab/>
      </w:r>
      <w:r w:rsidRPr="003B41F2">
        <w:rPr>
          <w:rFonts w:ascii="Times New Roman" w:hAnsi="Times New Roman"/>
          <w:b/>
          <w:noProof/>
          <w:sz w:val="22"/>
          <w:szCs w:val="22"/>
        </w:rPr>
        <w:t>Galimas šalutinis poveikis</w:t>
      </w:r>
    </w:p>
    <w:p w:rsidR="005746E2" w:rsidRPr="003B41F2" w:rsidRDefault="005746E2" w:rsidP="005746E2">
      <w:pPr>
        <w:numPr>
          <w:ilvl w:val="12"/>
          <w:numId w:val="0"/>
        </w:numPr>
        <w:outlineLvl w:val="0"/>
        <w:rPr>
          <w:rFonts w:ascii="Times New Roman" w:hAnsi="Times New Roman"/>
          <w:b/>
          <w:caps/>
          <w:noProof/>
          <w:sz w:val="22"/>
          <w:szCs w:val="22"/>
        </w:rPr>
      </w:pPr>
    </w:p>
    <w:p w:rsidR="005746E2" w:rsidRDefault="005746E2" w:rsidP="005746E2">
      <w:pPr>
        <w:rPr>
          <w:rFonts w:ascii="Times New Roman" w:hAnsi="Times New Roman"/>
          <w:noProof/>
          <w:sz w:val="22"/>
          <w:szCs w:val="22"/>
        </w:rPr>
      </w:pPr>
      <w:r w:rsidRPr="003B41F2">
        <w:rPr>
          <w:rFonts w:ascii="Times New Roman" w:hAnsi="Times New Roman"/>
          <w:noProof/>
          <w:snapToGrid w:val="0"/>
          <w:sz w:val="22"/>
          <w:szCs w:val="22"/>
        </w:rPr>
        <w:t>Šis vaistas, kaip ir visi kiti, gali sukelti šalutinį poveikį</w:t>
      </w:r>
      <w:r w:rsidRPr="003B41F2">
        <w:rPr>
          <w:rFonts w:ascii="Times New Roman" w:hAnsi="Times New Roman"/>
          <w:noProof/>
          <w:sz w:val="22"/>
          <w:szCs w:val="22"/>
        </w:rPr>
        <w:t>, nors jis pasireiškia ne visiems žmonėms.</w:t>
      </w:r>
    </w:p>
    <w:p w:rsidR="005746E2" w:rsidRDefault="005746E2" w:rsidP="005746E2">
      <w:pPr>
        <w:rPr>
          <w:rFonts w:ascii="Times New Roman" w:hAnsi="Times New Roman"/>
          <w:noProof/>
          <w:sz w:val="22"/>
          <w:szCs w:val="22"/>
        </w:rPr>
      </w:pPr>
    </w:p>
    <w:p w:rsidR="005746E2" w:rsidRDefault="005746E2" w:rsidP="005746E2">
      <w:pPr>
        <w:rPr>
          <w:rFonts w:ascii="Times New Roman" w:hAnsi="Times New Roman"/>
          <w:b/>
          <w:bCs/>
          <w:noProof/>
          <w:sz w:val="22"/>
          <w:szCs w:val="22"/>
          <w:u w:val="single"/>
        </w:rPr>
      </w:pPr>
      <w:r w:rsidRPr="00296210">
        <w:rPr>
          <w:rFonts w:ascii="Times New Roman" w:hAnsi="Times New Roman"/>
          <w:b/>
          <w:bCs/>
          <w:noProof/>
          <w:sz w:val="22"/>
          <w:szCs w:val="22"/>
          <w:u w:val="single"/>
        </w:rPr>
        <w:t>Labai dažni šalutinio poveikio reiškiniai (gali pasireikšti ne rečiau kaip 1 iš 10 asmenų):</w:t>
      </w:r>
    </w:p>
    <w:p w:rsidR="005746E2" w:rsidRPr="00296210" w:rsidRDefault="005746E2" w:rsidP="005746E2">
      <w:pPr>
        <w:rPr>
          <w:rFonts w:ascii="Times New Roman" w:hAnsi="Times New Roman"/>
          <w:noProof/>
          <w:sz w:val="22"/>
          <w:szCs w:val="22"/>
        </w:rPr>
      </w:pPr>
      <w:r w:rsidRPr="00296210">
        <w:rPr>
          <w:rFonts w:ascii="Times New Roman" w:hAnsi="Times New Roman"/>
          <w:noProof/>
          <w:sz w:val="22"/>
          <w:szCs w:val="22"/>
        </w:rPr>
        <w:t>Niežėjimas ir deginimas išangės srityje. Tai gali būti padidėjusio jautrumo reakcijos (pvz., kontaktinės alergijos) požymis.</w:t>
      </w:r>
    </w:p>
    <w:p w:rsidR="005746E2" w:rsidRPr="00D31F9C" w:rsidRDefault="005746E2" w:rsidP="005746E2">
      <w:pPr>
        <w:rPr>
          <w:rFonts w:ascii="Times New Roman" w:hAnsi="Times New Roman"/>
          <w:noProof/>
          <w:sz w:val="22"/>
          <w:szCs w:val="22"/>
        </w:rPr>
      </w:pPr>
    </w:p>
    <w:p w:rsidR="005746E2" w:rsidRPr="00296210" w:rsidRDefault="005746E2" w:rsidP="005746E2">
      <w:pPr>
        <w:rPr>
          <w:rFonts w:ascii="Times New Roman" w:hAnsi="Times New Roman"/>
          <w:noProof/>
          <w:sz w:val="22"/>
          <w:szCs w:val="22"/>
          <w:u w:val="single"/>
        </w:rPr>
      </w:pPr>
      <w:r w:rsidRPr="00296210">
        <w:rPr>
          <w:rFonts w:ascii="Times New Roman" w:hAnsi="Times New Roman"/>
          <w:b/>
          <w:bCs/>
          <w:noProof/>
          <w:sz w:val="22"/>
          <w:szCs w:val="22"/>
          <w:u w:val="single"/>
        </w:rPr>
        <w:t>Dažni šalutinio poveikio reiškiniai (gali pasireikšti rečiau kaip 1 iš 10 asmenų</w:t>
      </w:r>
      <w:r>
        <w:rPr>
          <w:rFonts w:ascii="Times New Roman" w:hAnsi="Times New Roman"/>
          <w:b/>
          <w:bCs/>
          <w:noProof/>
          <w:sz w:val="22"/>
          <w:szCs w:val="22"/>
          <w:u w:val="single"/>
        </w:rPr>
        <w:t>):</w:t>
      </w:r>
    </w:p>
    <w:p w:rsidR="005746E2" w:rsidRPr="00296210" w:rsidRDefault="005746E2" w:rsidP="005746E2">
      <w:pPr>
        <w:rPr>
          <w:rFonts w:ascii="Times New Roman" w:hAnsi="Times New Roman"/>
          <w:noProof/>
          <w:sz w:val="22"/>
          <w:szCs w:val="22"/>
        </w:rPr>
      </w:pPr>
      <w:r w:rsidRPr="00296210">
        <w:rPr>
          <w:rFonts w:ascii="Times New Roman" w:hAnsi="Times New Roman"/>
          <w:noProof/>
          <w:sz w:val="22"/>
          <w:szCs w:val="22"/>
        </w:rPr>
        <w:t>Viduriavimas</w:t>
      </w:r>
      <w:r>
        <w:rPr>
          <w:rFonts w:ascii="Times New Roman" w:hAnsi="Times New Roman"/>
          <w:noProof/>
          <w:sz w:val="22"/>
          <w:szCs w:val="22"/>
        </w:rPr>
        <w:t>.</w:t>
      </w:r>
    </w:p>
    <w:p w:rsidR="005746E2" w:rsidRPr="00D31F9C" w:rsidRDefault="005746E2" w:rsidP="005746E2">
      <w:pPr>
        <w:rPr>
          <w:rFonts w:ascii="Times New Roman" w:hAnsi="Times New Roman"/>
          <w:noProof/>
          <w:sz w:val="22"/>
          <w:szCs w:val="22"/>
        </w:rPr>
      </w:pPr>
    </w:p>
    <w:p w:rsidR="005746E2" w:rsidRDefault="005746E2" w:rsidP="005746E2">
      <w:pPr>
        <w:rPr>
          <w:rFonts w:ascii="Times New Roman" w:hAnsi="Times New Roman"/>
          <w:b/>
          <w:bCs/>
          <w:noProof/>
          <w:sz w:val="22"/>
          <w:szCs w:val="22"/>
          <w:u w:val="single"/>
        </w:rPr>
      </w:pPr>
      <w:r w:rsidRPr="00296210">
        <w:rPr>
          <w:rFonts w:ascii="Times New Roman" w:hAnsi="Times New Roman"/>
          <w:b/>
          <w:bCs/>
          <w:noProof/>
          <w:sz w:val="22"/>
          <w:szCs w:val="22"/>
          <w:u w:val="single"/>
        </w:rPr>
        <w:t xml:space="preserve">Nedažni šalutinio poveikio reiškiniai (gali pasireikšti rečiau kaip 1 iš 100 asmenų): </w:t>
      </w:r>
    </w:p>
    <w:p w:rsidR="005746E2" w:rsidRPr="00296210" w:rsidRDefault="005746E2" w:rsidP="005746E2">
      <w:pPr>
        <w:rPr>
          <w:rFonts w:ascii="Times New Roman" w:hAnsi="Times New Roman"/>
          <w:noProof/>
          <w:sz w:val="22"/>
          <w:szCs w:val="22"/>
        </w:rPr>
      </w:pPr>
      <w:r w:rsidRPr="00296210">
        <w:rPr>
          <w:rFonts w:ascii="Times New Roman" w:hAnsi="Times New Roman"/>
          <w:noProof/>
          <w:sz w:val="22"/>
          <w:szCs w:val="22"/>
        </w:rPr>
        <w:t>Diskomfortas, paraudimas išangės</w:t>
      </w:r>
      <w:r>
        <w:rPr>
          <w:rFonts w:ascii="Times New Roman" w:hAnsi="Times New Roman"/>
          <w:noProof/>
          <w:sz w:val="22"/>
          <w:szCs w:val="22"/>
        </w:rPr>
        <w:t xml:space="preserve"> </w:t>
      </w:r>
      <w:r w:rsidRPr="00296210">
        <w:rPr>
          <w:rFonts w:ascii="Times New Roman" w:hAnsi="Times New Roman"/>
          <w:noProof/>
          <w:sz w:val="22"/>
          <w:szCs w:val="22"/>
        </w:rPr>
        <w:t>srityje</w:t>
      </w:r>
      <w:r>
        <w:rPr>
          <w:rFonts w:ascii="Times New Roman" w:hAnsi="Times New Roman"/>
          <w:noProof/>
          <w:sz w:val="22"/>
          <w:szCs w:val="22"/>
        </w:rPr>
        <w:t>.</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b/>
          <w:noProof/>
          <w:sz w:val="22"/>
          <w:szCs w:val="22"/>
        </w:rPr>
      </w:pPr>
      <w:r w:rsidRPr="003B41F2">
        <w:rPr>
          <w:rFonts w:ascii="Times New Roman" w:hAnsi="Times New Roman"/>
          <w:b/>
          <w:noProof/>
          <w:sz w:val="22"/>
          <w:szCs w:val="22"/>
        </w:rPr>
        <w:t>Pranešimas apie šalutinį poveikį</w:t>
      </w:r>
    </w:p>
    <w:p w:rsidR="005746E2" w:rsidRPr="00296210"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Jeigu pasireiškė šalutinis poveikis, įskaitant šiame lapelyje nenurodytą, pasakykite gydytojui arba vaistininkui</w:t>
      </w:r>
      <w:r w:rsidRPr="003B41F2">
        <w:rPr>
          <w:rFonts w:ascii="Times New Roman" w:hAnsi="Times New Roman"/>
          <w:sz w:val="22"/>
          <w:szCs w:val="22"/>
        </w:rPr>
        <w:t>.</w:t>
      </w:r>
      <w:r w:rsidRPr="003B41F2">
        <w:rPr>
          <w:rFonts w:ascii="Times New Roman" w:hAnsi="Times New Roman"/>
          <w:noProof/>
          <w:sz w:val="22"/>
          <w:szCs w:val="22"/>
        </w:rPr>
        <w:t xml:space="preserve"> </w:t>
      </w:r>
      <w:r w:rsidRPr="00296210">
        <w:rPr>
          <w:rFonts w:ascii="Times New Roman" w:hAnsi="Times New Roman"/>
          <w:noProof/>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96210">
          <w:rPr>
            <w:rStyle w:val="Hipersaitas"/>
            <w:rFonts w:ascii="Times New Roman" w:hAnsi="Times New Roman"/>
            <w:noProof/>
            <w:sz w:val="22"/>
            <w:szCs w:val="22"/>
          </w:rPr>
          <w:t>https://vapris.vvkt.lt/vvkt-web/public/nrv</w:t>
        </w:r>
      </w:hyperlink>
      <w:r w:rsidRPr="00296210">
        <w:rPr>
          <w:rFonts w:ascii="Times New Roman" w:hAnsi="Times New Roman"/>
          <w:noProof/>
          <w:sz w:val="22"/>
          <w:szCs w:val="22"/>
        </w:rPr>
        <w:t xml:space="preserve"> arba užpildant </w:t>
      </w:r>
      <w:r w:rsidRPr="00767AF5">
        <w:rPr>
          <w:rFonts w:ascii="Times New Roman" w:hAnsi="Times New Roman"/>
          <w:noProof/>
          <w:sz w:val="22"/>
          <w:szCs w:val="22"/>
        </w:rPr>
        <w:t>Paciento pranešimo apie įtariamą nepageidaujamą reakciją (ĮNR) formą</w:t>
      </w:r>
      <w:r w:rsidRPr="00296210">
        <w:rPr>
          <w:rFonts w:ascii="Times New Roman" w:hAnsi="Times New Roman"/>
          <w:noProof/>
          <w:sz w:val="22"/>
          <w:szCs w:val="22"/>
        </w:rPr>
        <w:t xml:space="preserve">, kuri skelbiama </w:t>
      </w:r>
      <w:hyperlink r:id="rId6" w:history="1">
        <w:r w:rsidRPr="00296210">
          <w:rPr>
            <w:rStyle w:val="Hipersaitas"/>
            <w:rFonts w:ascii="Times New Roman" w:hAnsi="Times New Roman"/>
            <w:noProof/>
            <w:sz w:val="22"/>
            <w:szCs w:val="22"/>
          </w:rPr>
          <w:t>https://www.vvkt.lt/index.php?4004286486</w:t>
        </w:r>
      </w:hyperlink>
      <w:r w:rsidRPr="00296210">
        <w:rPr>
          <w:rFonts w:ascii="Times New Roman" w:hAnsi="Times New Roman"/>
          <w:noProof/>
          <w:sz w:val="22"/>
          <w:szCs w:val="22"/>
        </w:rPr>
        <w:t xml:space="preserve">, ir atsiunčiant elektroniniu paštu (adresu </w:t>
      </w:r>
      <w:hyperlink r:id="rId7" w:history="1">
        <w:r w:rsidRPr="00296210">
          <w:rPr>
            <w:rStyle w:val="Hipersaitas"/>
            <w:rFonts w:ascii="Times New Roman" w:hAnsi="Times New Roman"/>
            <w:noProof/>
            <w:sz w:val="22"/>
            <w:szCs w:val="22"/>
          </w:rPr>
          <w:t>NepageidaujamaR@vvkt.lt</w:t>
        </w:r>
      </w:hyperlink>
      <w:r w:rsidRPr="00296210">
        <w:rPr>
          <w:rFonts w:ascii="Times New Roman" w:hAnsi="Times New Roman"/>
          <w:noProof/>
          <w:sz w:val="22"/>
          <w:szCs w:val="22"/>
        </w:rPr>
        <w:t>) arba nemokamu telefonu 8 800 73 568.</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Pranešdami apie šalutinį poveikį galite mums padėti gauti daugiau informacijos apie šio vaisto saugumą.</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b/>
          <w:noProof/>
          <w:sz w:val="22"/>
          <w:szCs w:val="22"/>
        </w:rPr>
        <w:t>5.</w:t>
      </w:r>
      <w:r w:rsidRPr="003B41F2">
        <w:rPr>
          <w:rFonts w:ascii="Times New Roman" w:hAnsi="Times New Roman"/>
          <w:b/>
          <w:noProof/>
          <w:sz w:val="22"/>
          <w:szCs w:val="22"/>
        </w:rPr>
        <w:tab/>
        <w:t>Kaip laikyti Lidoposterin</w:t>
      </w:r>
    </w:p>
    <w:p w:rsidR="005746E2" w:rsidRPr="003B41F2" w:rsidRDefault="005746E2" w:rsidP="005746E2">
      <w:pPr>
        <w:rPr>
          <w:rFonts w:ascii="Times New Roman" w:hAnsi="Times New Roman"/>
          <w:noProof/>
          <w:color w:val="008000"/>
          <w:sz w:val="22"/>
          <w:szCs w:val="22"/>
        </w:rPr>
      </w:pP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Šį vaistą laikykite vaikams nepastebimoje ir nepasiekiamoje vietoje.</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rPr>
          <w:rFonts w:ascii="Times New Roman" w:hAnsi="Times New Roman"/>
          <w:sz w:val="22"/>
          <w:szCs w:val="22"/>
        </w:rPr>
      </w:pPr>
      <w:r w:rsidRPr="003B41F2">
        <w:rPr>
          <w:rFonts w:ascii="Times New Roman" w:hAnsi="Times New Roman"/>
          <w:sz w:val="22"/>
          <w:szCs w:val="22"/>
        </w:rPr>
        <w:t xml:space="preserve">Laikyti ne aukštesnėje kaip 25 </w:t>
      </w:r>
      <w:r w:rsidRPr="003B41F2">
        <w:rPr>
          <w:rFonts w:ascii="Times New Roman" w:hAnsi="Times New Roman"/>
          <w:sz w:val="22"/>
          <w:szCs w:val="22"/>
        </w:rPr>
        <w:sym w:font="Symbol" w:char="F0B0"/>
      </w:r>
      <w:r w:rsidRPr="003B41F2">
        <w:rPr>
          <w:rFonts w:ascii="Times New Roman" w:hAnsi="Times New Roman"/>
          <w:sz w:val="22"/>
          <w:szCs w:val="22"/>
        </w:rPr>
        <w:t>C temperatūroje.</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Pirmą kartą tūbelę atsukus, tepalą reikia suvartoti per 6 mėnesius.</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pStyle w:val="Pagrindinistekstas"/>
        <w:spacing w:line="240" w:lineRule="auto"/>
        <w:jc w:val="left"/>
        <w:rPr>
          <w:noProof/>
          <w:sz w:val="22"/>
          <w:szCs w:val="22"/>
        </w:rPr>
      </w:pPr>
      <w:r w:rsidRPr="003B41F2">
        <w:rPr>
          <w:noProof/>
          <w:sz w:val="22"/>
          <w:szCs w:val="22"/>
        </w:rPr>
        <w:t>Ant dėžutės ir tūbelės po „Tinka iki“ nurodytam tinkamumo laikui pasibaigus, šio vaisto vartoti negalima. Vaistas tinkamas vartoti iki paskutinės nurodyto mėnesio dienos.</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napToGrid w:val="0"/>
          <w:sz w:val="22"/>
          <w:szCs w:val="22"/>
        </w:rPr>
        <w:t>Vaistų negalima išmesti į kanalizaciją arba su buitinėmis atliekomis.</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Kaip išmesti nereikalingus vaistus, klauskite vaistininko.</w:t>
      </w:r>
      <w:r w:rsidRPr="003B41F2">
        <w:rPr>
          <w:rFonts w:ascii="Times New Roman" w:hAnsi="Times New Roman"/>
          <w:snapToGrid w:val="0"/>
          <w:sz w:val="22"/>
          <w:szCs w:val="22"/>
        </w:rPr>
        <w:t xml:space="preserve"> </w:t>
      </w:r>
      <w:r w:rsidRPr="003B41F2">
        <w:rPr>
          <w:rFonts w:ascii="Times New Roman" w:hAnsi="Times New Roman"/>
          <w:noProof/>
          <w:snapToGrid w:val="0"/>
          <w:sz w:val="22"/>
          <w:szCs w:val="22"/>
        </w:rPr>
        <w:t>Šios priemonės padės apsaugoti aplinką</w:t>
      </w:r>
      <w:r w:rsidRPr="003B41F2">
        <w:rPr>
          <w:rFonts w:ascii="Times New Roman" w:hAnsi="Times New Roman"/>
          <w:noProof/>
          <w:sz w:val="22"/>
          <w:szCs w:val="22"/>
        </w:rPr>
        <w:t>.</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b/>
          <w:noProof/>
          <w:sz w:val="22"/>
          <w:szCs w:val="22"/>
        </w:rPr>
      </w:pPr>
      <w:r w:rsidRPr="003B41F2">
        <w:rPr>
          <w:rFonts w:ascii="Times New Roman" w:hAnsi="Times New Roman"/>
          <w:b/>
          <w:noProof/>
          <w:sz w:val="22"/>
          <w:szCs w:val="22"/>
        </w:rPr>
        <w:t>6.</w:t>
      </w:r>
      <w:r w:rsidRPr="003B41F2">
        <w:rPr>
          <w:rFonts w:ascii="Times New Roman" w:hAnsi="Times New Roman"/>
          <w:b/>
          <w:noProof/>
          <w:sz w:val="22"/>
          <w:szCs w:val="22"/>
        </w:rPr>
        <w:tab/>
        <w:t>Pakuotės turinys ir kita informacija</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u w:val="single"/>
        </w:rPr>
      </w:pPr>
      <w:r w:rsidRPr="003B41F2">
        <w:rPr>
          <w:rFonts w:ascii="Times New Roman" w:hAnsi="Times New Roman"/>
          <w:b/>
          <w:bCs/>
          <w:noProof/>
          <w:sz w:val="22"/>
          <w:szCs w:val="22"/>
        </w:rPr>
        <w:t>Lidoposterin sudėtis</w:t>
      </w:r>
    </w:p>
    <w:p w:rsidR="005746E2" w:rsidRPr="003B41F2" w:rsidRDefault="005746E2" w:rsidP="005746E2">
      <w:pPr>
        <w:numPr>
          <w:ilvl w:val="0"/>
          <w:numId w:val="1"/>
        </w:numPr>
        <w:ind w:left="0" w:firstLine="0"/>
        <w:rPr>
          <w:rFonts w:ascii="Times New Roman" w:hAnsi="Times New Roman"/>
          <w:i/>
          <w:iCs/>
          <w:noProof/>
          <w:sz w:val="22"/>
          <w:szCs w:val="22"/>
        </w:rPr>
      </w:pPr>
      <w:r w:rsidRPr="003B41F2">
        <w:rPr>
          <w:rFonts w:ascii="Times New Roman" w:hAnsi="Times New Roman"/>
          <w:noProof/>
          <w:sz w:val="22"/>
          <w:szCs w:val="22"/>
        </w:rPr>
        <w:t>Veiklioji medžiaga yra l</w:t>
      </w:r>
      <w:proofErr w:type="spellStart"/>
      <w:r w:rsidRPr="003B41F2">
        <w:rPr>
          <w:rFonts w:ascii="Times New Roman" w:hAnsi="Times New Roman"/>
          <w:sz w:val="22"/>
          <w:szCs w:val="22"/>
        </w:rPr>
        <w:t>idokainas</w:t>
      </w:r>
      <w:proofErr w:type="spellEnd"/>
      <w:r w:rsidRPr="003B41F2">
        <w:rPr>
          <w:rFonts w:ascii="Times New Roman" w:hAnsi="Times New Roman"/>
          <w:sz w:val="22"/>
          <w:szCs w:val="22"/>
        </w:rPr>
        <w:t xml:space="preserve">. 1 g tepalo yra 50 mg </w:t>
      </w:r>
      <w:proofErr w:type="spellStart"/>
      <w:r w:rsidRPr="003B41F2">
        <w:rPr>
          <w:rFonts w:ascii="Times New Roman" w:hAnsi="Times New Roman"/>
          <w:sz w:val="22"/>
          <w:szCs w:val="22"/>
        </w:rPr>
        <w:t>lidokaino</w:t>
      </w:r>
      <w:proofErr w:type="spellEnd"/>
      <w:r w:rsidRPr="003B41F2">
        <w:rPr>
          <w:rFonts w:ascii="Times New Roman" w:hAnsi="Times New Roman"/>
          <w:sz w:val="22"/>
          <w:szCs w:val="22"/>
        </w:rPr>
        <w:t>.</w:t>
      </w:r>
    </w:p>
    <w:p w:rsidR="005746E2" w:rsidRPr="003B41F2" w:rsidRDefault="005746E2" w:rsidP="005746E2">
      <w:pPr>
        <w:numPr>
          <w:ilvl w:val="0"/>
          <w:numId w:val="1"/>
        </w:numPr>
        <w:ind w:left="0" w:firstLine="0"/>
        <w:rPr>
          <w:rFonts w:ascii="Times New Roman" w:hAnsi="Times New Roman"/>
          <w:noProof/>
          <w:sz w:val="22"/>
          <w:szCs w:val="22"/>
        </w:rPr>
      </w:pPr>
      <w:r w:rsidRPr="003B41F2">
        <w:rPr>
          <w:rFonts w:ascii="Times New Roman" w:hAnsi="Times New Roman"/>
          <w:noProof/>
          <w:sz w:val="22"/>
          <w:szCs w:val="22"/>
        </w:rPr>
        <w:t>Pagalbinės medžiagos yra c</w:t>
      </w:r>
      <w:r w:rsidRPr="003B41F2">
        <w:rPr>
          <w:rFonts w:ascii="Times New Roman" w:hAnsi="Times New Roman"/>
          <w:sz w:val="22"/>
          <w:szCs w:val="22"/>
        </w:rPr>
        <w:t xml:space="preserve">etilo alkoholis, </w:t>
      </w:r>
      <w:proofErr w:type="spellStart"/>
      <w:r w:rsidRPr="003B41F2">
        <w:rPr>
          <w:rFonts w:ascii="Times New Roman" w:hAnsi="Times New Roman"/>
          <w:sz w:val="22"/>
          <w:szCs w:val="22"/>
        </w:rPr>
        <w:t>makrogoliai</w:t>
      </w:r>
      <w:proofErr w:type="spellEnd"/>
      <w:r w:rsidRPr="003B41F2">
        <w:rPr>
          <w:rFonts w:ascii="Times New Roman" w:hAnsi="Times New Roman"/>
          <w:sz w:val="22"/>
          <w:szCs w:val="22"/>
        </w:rPr>
        <w:t xml:space="preserve"> (400, 1500, 3000), išgrynintas vanduo</w:t>
      </w:r>
      <w:r w:rsidRPr="003B41F2">
        <w:rPr>
          <w:rFonts w:ascii="Times New Roman" w:hAnsi="Times New Roman"/>
          <w:noProof/>
          <w:sz w:val="22"/>
          <w:szCs w:val="22"/>
        </w:rPr>
        <w:t>.</w:t>
      </w:r>
      <w:r w:rsidRPr="003B41F2">
        <w:rPr>
          <w:rFonts w:ascii="Times New Roman" w:hAnsi="Times New Roman"/>
          <w:i/>
          <w:noProof/>
          <w:color w:val="008000"/>
          <w:sz w:val="22"/>
          <w:szCs w:val="22"/>
        </w:rPr>
        <w:t xml:space="preserve"> </w:t>
      </w:r>
    </w:p>
    <w:p w:rsidR="005746E2" w:rsidRPr="003B41F2" w:rsidRDefault="005746E2" w:rsidP="005746E2">
      <w:p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b/>
          <w:bCs/>
          <w:noProof/>
          <w:sz w:val="22"/>
          <w:szCs w:val="22"/>
        </w:rPr>
      </w:pPr>
      <w:proofErr w:type="spellStart"/>
      <w:r w:rsidRPr="003B41F2">
        <w:rPr>
          <w:rFonts w:ascii="Times New Roman" w:hAnsi="Times New Roman"/>
          <w:b/>
          <w:sz w:val="22"/>
          <w:szCs w:val="22"/>
        </w:rPr>
        <w:t>Lidoposterin</w:t>
      </w:r>
      <w:proofErr w:type="spellEnd"/>
      <w:r w:rsidRPr="003B41F2">
        <w:rPr>
          <w:rFonts w:ascii="Times New Roman" w:hAnsi="Times New Roman"/>
          <w:b/>
          <w:sz w:val="22"/>
          <w:szCs w:val="22"/>
        </w:rPr>
        <w:t xml:space="preserve"> išvaizda ir kiekis pakuotėje</w:t>
      </w:r>
      <w:r w:rsidRPr="003B41F2">
        <w:rPr>
          <w:rFonts w:ascii="Times New Roman" w:hAnsi="Times New Roman"/>
          <w:b/>
          <w:bCs/>
          <w:noProof/>
          <w:sz w:val="22"/>
          <w:szCs w:val="22"/>
        </w:rPr>
        <w:t xml:space="preserve"> </w:t>
      </w: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noProof/>
          <w:sz w:val="22"/>
          <w:szCs w:val="22"/>
        </w:rPr>
        <w:t>Homogeninės konsistencijos, baltas, bekvapis tepalas.</w:t>
      </w:r>
    </w:p>
    <w:p w:rsidR="005746E2" w:rsidRPr="003B41F2" w:rsidRDefault="005746E2" w:rsidP="005746E2">
      <w:pPr>
        <w:jc w:val="both"/>
        <w:rPr>
          <w:rFonts w:ascii="Times New Roman" w:hAnsi="Times New Roman"/>
          <w:sz w:val="22"/>
          <w:szCs w:val="22"/>
        </w:rPr>
      </w:pPr>
      <w:r w:rsidRPr="003B41F2">
        <w:rPr>
          <w:rFonts w:ascii="Times New Roman" w:hAnsi="Times New Roman"/>
          <w:sz w:val="22"/>
          <w:szCs w:val="22"/>
        </w:rPr>
        <w:t>Pakuotėje yra aliuminio tūbelė, kurioje yra 25 g tepalo, su užsukamuoju plastmasiniu dangteliu ir kaniulė.</w:t>
      </w:r>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numPr>
          <w:ilvl w:val="12"/>
          <w:numId w:val="0"/>
        </w:numPr>
        <w:rPr>
          <w:rFonts w:ascii="Times New Roman" w:hAnsi="Times New Roman"/>
          <w:noProof/>
          <w:sz w:val="22"/>
          <w:szCs w:val="22"/>
        </w:rPr>
      </w:pPr>
      <w:r w:rsidRPr="003B41F2">
        <w:rPr>
          <w:rFonts w:ascii="Times New Roman" w:hAnsi="Times New Roman"/>
          <w:b/>
          <w:sz w:val="22"/>
          <w:szCs w:val="22"/>
        </w:rPr>
        <w:t>Registruotojas</w:t>
      </w:r>
      <w:r w:rsidRPr="003B41F2" w:rsidDel="00440707">
        <w:rPr>
          <w:rFonts w:ascii="Times New Roman" w:hAnsi="Times New Roman"/>
          <w:b/>
          <w:sz w:val="22"/>
          <w:szCs w:val="22"/>
        </w:rPr>
        <w:t xml:space="preserve"> </w:t>
      </w:r>
      <w:r>
        <w:rPr>
          <w:rFonts w:ascii="Times New Roman" w:hAnsi="Times New Roman"/>
          <w:b/>
          <w:sz w:val="22"/>
          <w:szCs w:val="22"/>
        </w:rPr>
        <w:t xml:space="preserve"> ir gamintojas</w:t>
      </w:r>
    </w:p>
    <w:p w:rsidR="005746E2" w:rsidRPr="003B41F2" w:rsidRDefault="005746E2" w:rsidP="005746E2">
      <w:pPr>
        <w:jc w:val="both"/>
        <w:rPr>
          <w:rFonts w:ascii="Times New Roman" w:hAnsi="Times New Roman"/>
          <w:sz w:val="22"/>
          <w:szCs w:val="22"/>
        </w:rPr>
      </w:pPr>
      <w:r w:rsidRPr="003B41F2">
        <w:rPr>
          <w:rFonts w:ascii="Times New Roman" w:hAnsi="Times New Roman"/>
          <w:sz w:val="22"/>
          <w:szCs w:val="22"/>
        </w:rPr>
        <w:t xml:space="preserve">DR. KADE </w:t>
      </w:r>
      <w:proofErr w:type="spellStart"/>
      <w:r w:rsidRPr="003B41F2">
        <w:rPr>
          <w:rFonts w:ascii="Times New Roman" w:hAnsi="Times New Roman"/>
          <w:sz w:val="22"/>
          <w:szCs w:val="22"/>
        </w:rPr>
        <w:t>Pharmazeutische</w:t>
      </w:r>
      <w:proofErr w:type="spellEnd"/>
      <w:r w:rsidRPr="003B41F2">
        <w:rPr>
          <w:rFonts w:ascii="Times New Roman" w:hAnsi="Times New Roman"/>
          <w:sz w:val="22"/>
          <w:szCs w:val="22"/>
        </w:rPr>
        <w:t xml:space="preserve"> </w:t>
      </w:r>
      <w:proofErr w:type="spellStart"/>
      <w:r w:rsidRPr="003B41F2">
        <w:rPr>
          <w:rFonts w:ascii="Times New Roman" w:hAnsi="Times New Roman"/>
          <w:sz w:val="22"/>
          <w:szCs w:val="22"/>
        </w:rPr>
        <w:t>Fabrik</w:t>
      </w:r>
      <w:proofErr w:type="spellEnd"/>
      <w:r w:rsidRPr="003B41F2">
        <w:rPr>
          <w:rFonts w:ascii="Times New Roman" w:hAnsi="Times New Roman"/>
          <w:sz w:val="22"/>
          <w:szCs w:val="22"/>
        </w:rPr>
        <w:t xml:space="preserve"> </w:t>
      </w:r>
      <w:proofErr w:type="spellStart"/>
      <w:r w:rsidRPr="003B41F2">
        <w:rPr>
          <w:rFonts w:ascii="Times New Roman" w:hAnsi="Times New Roman"/>
          <w:sz w:val="22"/>
          <w:szCs w:val="22"/>
        </w:rPr>
        <w:t>GmbH</w:t>
      </w:r>
      <w:proofErr w:type="spellEnd"/>
    </w:p>
    <w:p w:rsidR="005746E2" w:rsidRPr="003B41F2" w:rsidRDefault="005746E2" w:rsidP="005746E2">
      <w:pPr>
        <w:jc w:val="both"/>
        <w:rPr>
          <w:rFonts w:ascii="Times New Roman" w:hAnsi="Times New Roman"/>
          <w:sz w:val="22"/>
          <w:szCs w:val="22"/>
        </w:rPr>
      </w:pPr>
      <w:proofErr w:type="spellStart"/>
      <w:r w:rsidRPr="003B41F2">
        <w:rPr>
          <w:rFonts w:ascii="Times New Roman" w:hAnsi="Times New Roman"/>
          <w:sz w:val="22"/>
          <w:szCs w:val="22"/>
        </w:rPr>
        <w:t>Rigistra</w:t>
      </w:r>
      <w:proofErr w:type="spellEnd"/>
      <w:r w:rsidRPr="003B41F2">
        <w:rPr>
          <w:rFonts w:ascii="Times New Roman" w:hAnsi="Times New Roman"/>
          <w:sz w:val="22"/>
          <w:szCs w:val="22"/>
        </w:rPr>
        <w:t>βe 2</w:t>
      </w:r>
    </w:p>
    <w:p w:rsidR="005746E2" w:rsidRPr="003B41F2" w:rsidRDefault="005746E2" w:rsidP="005746E2">
      <w:pPr>
        <w:jc w:val="both"/>
        <w:rPr>
          <w:rFonts w:ascii="Times New Roman" w:hAnsi="Times New Roman"/>
          <w:sz w:val="22"/>
          <w:szCs w:val="22"/>
        </w:rPr>
      </w:pPr>
      <w:r w:rsidRPr="003B41F2">
        <w:rPr>
          <w:rFonts w:ascii="Times New Roman" w:hAnsi="Times New Roman"/>
          <w:sz w:val="22"/>
          <w:szCs w:val="22"/>
        </w:rPr>
        <w:t xml:space="preserve">12277 </w:t>
      </w:r>
      <w:proofErr w:type="spellStart"/>
      <w:r w:rsidRPr="003B41F2">
        <w:rPr>
          <w:rFonts w:ascii="Times New Roman" w:hAnsi="Times New Roman"/>
          <w:sz w:val="22"/>
          <w:szCs w:val="22"/>
        </w:rPr>
        <w:t>Berlin</w:t>
      </w:r>
      <w:proofErr w:type="spellEnd"/>
      <w:r w:rsidRPr="003B41F2">
        <w:rPr>
          <w:rFonts w:ascii="Times New Roman" w:hAnsi="Times New Roman"/>
          <w:sz w:val="22"/>
          <w:szCs w:val="22"/>
        </w:rPr>
        <w:t>, Vokietija</w:t>
      </w:r>
    </w:p>
    <w:p w:rsidR="005746E2" w:rsidRPr="003B41F2" w:rsidRDefault="005746E2" w:rsidP="005746E2">
      <w:pPr>
        <w:pStyle w:val="Pagrindinistekstas2"/>
        <w:overflowPunct w:val="0"/>
        <w:autoSpaceDE w:val="0"/>
        <w:spacing w:line="240" w:lineRule="auto"/>
        <w:textAlignment w:val="baseline"/>
        <w:rPr>
          <w:bCs/>
          <w:sz w:val="22"/>
          <w:szCs w:val="22"/>
        </w:rPr>
      </w:pPr>
      <w:r w:rsidRPr="003B41F2">
        <w:rPr>
          <w:bCs/>
          <w:sz w:val="22"/>
          <w:szCs w:val="22"/>
        </w:rPr>
        <w:t xml:space="preserve">Tel. </w:t>
      </w:r>
      <w:r w:rsidRPr="003B41F2">
        <w:rPr>
          <w:bCs/>
          <w:sz w:val="22"/>
          <w:szCs w:val="22"/>
          <w:lang w:val="en-US"/>
        </w:rPr>
        <w:t>+49</w:t>
      </w:r>
      <w:r w:rsidRPr="003B41F2">
        <w:rPr>
          <w:bCs/>
          <w:sz w:val="22"/>
          <w:szCs w:val="22"/>
        </w:rPr>
        <w:t xml:space="preserve"> 30/7 20 82-0 </w:t>
      </w:r>
    </w:p>
    <w:p w:rsidR="005746E2" w:rsidRPr="003B41F2" w:rsidRDefault="005746E2" w:rsidP="005746E2">
      <w:pPr>
        <w:pStyle w:val="Pagrindinistekstas2"/>
        <w:overflowPunct w:val="0"/>
        <w:autoSpaceDE w:val="0"/>
        <w:spacing w:line="240" w:lineRule="auto"/>
        <w:textAlignment w:val="baseline"/>
        <w:rPr>
          <w:bCs/>
          <w:sz w:val="22"/>
          <w:szCs w:val="22"/>
        </w:rPr>
      </w:pPr>
      <w:r w:rsidRPr="003B41F2">
        <w:rPr>
          <w:bCs/>
          <w:sz w:val="22"/>
          <w:szCs w:val="22"/>
        </w:rPr>
        <w:t>Faksas +49 30/7 20 82-200</w:t>
      </w:r>
    </w:p>
    <w:p w:rsidR="005746E2" w:rsidRDefault="005746E2" w:rsidP="005746E2">
      <w:pPr>
        <w:jc w:val="both"/>
        <w:rPr>
          <w:rStyle w:val="Hipersaitas"/>
          <w:rFonts w:ascii="Times New Roman" w:hAnsi="Times New Roman"/>
          <w:iCs/>
          <w:sz w:val="22"/>
          <w:szCs w:val="22"/>
        </w:rPr>
      </w:pPr>
      <w:r w:rsidRPr="003B41F2">
        <w:rPr>
          <w:rFonts w:ascii="Times New Roman" w:hAnsi="Times New Roman"/>
          <w:sz w:val="22"/>
          <w:szCs w:val="22"/>
        </w:rPr>
        <w:t xml:space="preserve">El. paštas </w:t>
      </w:r>
      <w:hyperlink r:id="rId8" w:history="1">
        <w:r w:rsidRPr="003B41F2">
          <w:rPr>
            <w:rStyle w:val="Hipersaitas"/>
            <w:rFonts w:ascii="Times New Roman" w:hAnsi="Times New Roman"/>
            <w:iCs/>
            <w:sz w:val="22"/>
            <w:szCs w:val="22"/>
          </w:rPr>
          <w:t>info@kade.de</w:t>
        </w:r>
      </w:hyperlink>
    </w:p>
    <w:p w:rsidR="005746E2" w:rsidRPr="003B41F2" w:rsidRDefault="005746E2" w:rsidP="005746E2">
      <w:pPr>
        <w:numPr>
          <w:ilvl w:val="12"/>
          <w:numId w:val="0"/>
        </w:numPr>
        <w:rPr>
          <w:rFonts w:ascii="Times New Roman" w:hAnsi="Times New Roman"/>
          <w:noProof/>
          <w:sz w:val="22"/>
          <w:szCs w:val="22"/>
        </w:rPr>
      </w:pPr>
    </w:p>
    <w:p w:rsidR="005746E2" w:rsidRPr="003B41F2" w:rsidRDefault="005746E2" w:rsidP="005746E2">
      <w:pPr>
        <w:pStyle w:val="Pagrindinistekstas"/>
        <w:spacing w:line="240" w:lineRule="auto"/>
        <w:rPr>
          <w:iCs/>
          <w:color w:val="000000"/>
          <w:sz w:val="22"/>
          <w:szCs w:val="22"/>
        </w:rPr>
      </w:pPr>
      <w:r w:rsidRPr="003B41F2">
        <w:rPr>
          <w:noProof/>
          <w:snapToGrid w:val="0"/>
          <w:sz w:val="22"/>
          <w:szCs w:val="22"/>
        </w:rPr>
        <w:t>Jeigu apie šį vaistą norite sužinoti daugiau, kreipkitės į vietinį r</w:t>
      </w:r>
      <w:proofErr w:type="spellStart"/>
      <w:r w:rsidRPr="003B41F2">
        <w:rPr>
          <w:snapToGrid w:val="0"/>
          <w:sz w:val="22"/>
          <w:szCs w:val="22"/>
        </w:rPr>
        <w:t>egistruotojo</w:t>
      </w:r>
      <w:proofErr w:type="spellEnd"/>
      <w:r w:rsidRPr="003B41F2" w:rsidDel="00440707">
        <w:rPr>
          <w:noProof/>
          <w:snapToGrid w:val="0"/>
          <w:sz w:val="22"/>
          <w:szCs w:val="22"/>
        </w:rPr>
        <w:t xml:space="preserve"> </w:t>
      </w:r>
      <w:r w:rsidRPr="003B41F2">
        <w:rPr>
          <w:noProof/>
          <w:snapToGrid w:val="0"/>
          <w:sz w:val="22"/>
          <w:szCs w:val="22"/>
        </w:rPr>
        <w:t>atstovą</w:t>
      </w:r>
      <w:r w:rsidRPr="003B41F2">
        <w:rPr>
          <w:iCs/>
          <w:color w:val="000000"/>
          <w:sz w:val="22"/>
          <w:szCs w:val="22"/>
        </w:rPr>
        <w:t>:</w:t>
      </w:r>
    </w:p>
    <w:p w:rsidR="005746E2" w:rsidRPr="003B41F2" w:rsidRDefault="005746E2" w:rsidP="005746E2">
      <w:pPr>
        <w:pStyle w:val="Pagrindinistekstas"/>
        <w:spacing w:line="240" w:lineRule="auto"/>
        <w:rPr>
          <w:iCs/>
          <w:color w:val="000000"/>
          <w:sz w:val="22"/>
          <w:szCs w:val="22"/>
        </w:rPr>
      </w:pPr>
    </w:p>
    <w:p w:rsidR="005746E2" w:rsidRPr="003B41F2" w:rsidRDefault="005746E2" w:rsidP="005746E2">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UAB Morfėjus</w:t>
      </w:r>
    </w:p>
    <w:p w:rsidR="005746E2" w:rsidRPr="003B41F2" w:rsidRDefault="005746E2" w:rsidP="005746E2">
      <w:pPr>
        <w:tabs>
          <w:tab w:val="left" w:pos="360"/>
          <w:tab w:val="left" w:pos="3060"/>
        </w:tabs>
        <w:rPr>
          <w:rFonts w:ascii="Times New Roman" w:hAnsi="Times New Roman"/>
          <w:sz w:val="22"/>
          <w:szCs w:val="22"/>
          <w:lang w:val="lv-LV"/>
        </w:rPr>
      </w:pPr>
      <w:r w:rsidRPr="003B41F2">
        <w:rPr>
          <w:rFonts w:ascii="Times New Roman" w:hAnsi="Times New Roman"/>
          <w:sz w:val="22"/>
          <w:szCs w:val="22"/>
        </w:rPr>
        <w:t>Žalgirio g. 9</w:t>
      </w:r>
      <w:r w:rsidRPr="003B41F2">
        <w:rPr>
          <w:rFonts w:ascii="Times New Roman" w:hAnsi="Times New Roman"/>
          <w:sz w:val="22"/>
          <w:szCs w:val="22"/>
          <w:lang w:val="lv-LV"/>
        </w:rPr>
        <w:t>3-42</w:t>
      </w:r>
    </w:p>
    <w:p w:rsidR="005746E2" w:rsidRPr="003B41F2" w:rsidRDefault="005746E2" w:rsidP="005746E2">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sz w:val="22"/>
          <w:szCs w:val="22"/>
        </w:rPr>
        <w:t>LT-082</w:t>
      </w:r>
      <w:r>
        <w:rPr>
          <w:rFonts w:ascii="Times New Roman" w:hAnsi="Times New Roman"/>
          <w:sz w:val="22"/>
          <w:szCs w:val="22"/>
        </w:rPr>
        <w:t>18</w:t>
      </w:r>
      <w:r w:rsidRPr="003B41F2">
        <w:rPr>
          <w:rFonts w:ascii="Times New Roman" w:hAnsi="Times New Roman"/>
          <w:sz w:val="22"/>
          <w:szCs w:val="22"/>
        </w:rPr>
        <w:t xml:space="preserve"> Vilnius</w:t>
      </w:r>
    </w:p>
    <w:p w:rsidR="005746E2" w:rsidRPr="003B41F2" w:rsidRDefault="005746E2" w:rsidP="005746E2">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 xml:space="preserve">Tel. +370 </w:t>
      </w:r>
      <w:r>
        <w:rPr>
          <w:rFonts w:ascii="Times New Roman" w:hAnsi="Times New Roman"/>
          <w:noProof/>
          <w:snapToGrid w:val="0"/>
          <w:sz w:val="22"/>
          <w:szCs w:val="22"/>
        </w:rPr>
        <w:t xml:space="preserve">5 </w:t>
      </w:r>
      <w:r w:rsidRPr="003B41F2">
        <w:rPr>
          <w:rFonts w:ascii="Times New Roman" w:hAnsi="Times New Roman"/>
          <w:noProof/>
          <w:snapToGrid w:val="0"/>
          <w:sz w:val="22"/>
          <w:szCs w:val="22"/>
        </w:rPr>
        <w:t>2796328</w:t>
      </w:r>
    </w:p>
    <w:p w:rsidR="005746E2" w:rsidRPr="003B41F2" w:rsidRDefault="005746E2" w:rsidP="005746E2">
      <w:pPr>
        <w:numPr>
          <w:ilvl w:val="12"/>
          <w:numId w:val="0"/>
        </w:numPr>
        <w:tabs>
          <w:tab w:val="left" w:pos="567"/>
        </w:tabs>
        <w:spacing w:line="260" w:lineRule="exact"/>
        <w:ind w:right="-2"/>
        <w:rPr>
          <w:rFonts w:ascii="Times New Roman" w:hAnsi="Times New Roman"/>
          <w:noProof/>
          <w:snapToGrid w:val="0"/>
          <w:sz w:val="22"/>
          <w:szCs w:val="22"/>
        </w:rPr>
      </w:pPr>
      <w:r w:rsidRPr="003B41F2">
        <w:rPr>
          <w:rFonts w:ascii="Times New Roman" w:hAnsi="Times New Roman"/>
          <w:noProof/>
          <w:snapToGrid w:val="0"/>
          <w:sz w:val="22"/>
          <w:szCs w:val="22"/>
        </w:rPr>
        <w:t>El. paštas info@morfejus.lt</w:t>
      </w:r>
    </w:p>
    <w:p w:rsidR="005746E2" w:rsidRPr="003B41F2" w:rsidRDefault="005746E2" w:rsidP="005746E2">
      <w:pPr>
        <w:pStyle w:val="Pagrindinistekstas"/>
        <w:spacing w:line="240" w:lineRule="auto"/>
        <w:rPr>
          <w:iCs/>
          <w:color w:val="000000"/>
          <w:sz w:val="22"/>
          <w:szCs w:val="22"/>
        </w:rPr>
      </w:pPr>
    </w:p>
    <w:p w:rsidR="005746E2" w:rsidRPr="003B41F2" w:rsidRDefault="005746E2" w:rsidP="005746E2">
      <w:pPr>
        <w:pStyle w:val="Pagrindinistekstas"/>
        <w:spacing w:line="240" w:lineRule="auto"/>
        <w:rPr>
          <w:b/>
          <w:iCs/>
          <w:color w:val="000000"/>
          <w:sz w:val="22"/>
          <w:szCs w:val="22"/>
        </w:rPr>
      </w:pPr>
      <w:r w:rsidRPr="003B41F2">
        <w:rPr>
          <w:b/>
          <w:bCs/>
          <w:iCs/>
          <w:noProof/>
          <w:color w:val="000000"/>
          <w:sz w:val="22"/>
          <w:szCs w:val="22"/>
        </w:rPr>
        <w:t>Šis pakuotės</w:t>
      </w:r>
      <w:r w:rsidRPr="003B41F2">
        <w:rPr>
          <w:b/>
          <w:iCs/>
          <w:color w:val="000000"/>
          <w:sz w:val="22"/>
          <w:szCs w:val="22"/>
        </w:rPr>
        <w:t xml:space="preserve"> lapelis paskutinį kartą peržiūrėtas</w:t>
      </w:r>
      <w:r>
        <w:rPr>
          <w:b/>
          <w:iCs/>
          <w:color w:val="000000"/>
          <w:sz w:val="22"/>
          <w:szCs w:val="22"/>
        </w:rPr>
        <w:t xml:space="preserve"> 2023-08-16</w:t>
      </w:r>
      <w:r w:rsidRPr="003B41F2">
        <w:rPr>
          <w:b/>
          <w:iCs/>
          <w:color w:val="000000"/>
          <w:sz w:val="22"/>
          <w:szCs w:val="22"/>
        </w:rPr>
        <w:t>.</w:t>
      </w:r>
    </w:p>
    <w:p w:rsidR="005746E2" w:rsidRPr="003B41F2" w:rsidRDefault="005746E2" w:rsidP="005746E2">
      <w:pPr>
        <w:pStyle w:val="BTEMEASMCA"/>
        <w:rPr>
          <w:color w:val="000000"/>
        </w:rPr>
      </w:pPr>
    </w:p>
    <w:p w:rsidR="005746E2" w:rsidRPr="003B41F2" w:rsidRDefault="005746E2" w:rsidP="005746E2">
      <w:pPr>
        <w:numPr>
          <w:ilvl w:val="12"/>
          <w:numId w:val="0"/>
        </w:numPr>
        <w:ind w:right="-2"/>
        <w:rPr>
          <w:rFonts w:ascii="Times New Roman" w:hAnsi="Times New Roman"/>
          <w:b/>
          <w:snapToGrid w:val="0"/>
          <w:sz w:val="22"/>
          <w:szCs w:val="22"/>
        </w:rPr>
      </w:pPr>
      <w:r w:rsidRPr="003B41F2">
        <w:rPr>
          <w:rFonts w:ascii="Times New Roman" w:hAnsi="Times New Roman"/>
          <w:b/>
          <w:noProof/>
          <w:snapToGrid w:val="0"/>
          <w:sz w:val="22"/>
          <w:szCs w:val="22"/>
        </w:rPr>
        <w:t>Kiti informacijos šaltiniai</w:t>
      </w:r>
    </w:p>
    <w:p w:rsidR="005746E2" w:rsidRPr="003B41F2" w:rsidRDefault="005746E2" w:rsidP="005746E2">
      <w:pPr>
        <w:numPr>
          <w:ilvl w:val="12"/>
          <w:numId w:val="0"/>
        </w:numPr>
        <w:tabs>
          <w:tab w:val="left" w:pos="567"/>
        </w:tabs>
        <w:ind w:right="-2"/>
        <w:rPr>
          <w:rFonts w:ascii="Times New Roman" w:hAnsi="Times New Roman"/>
          <w:i/>
          <w:snapToGrid w:val="0"/>
          <w:sz w:val="22"/>
          <w:szCs w:val="22"/>
        </w:rPr>
      </w:pPr>
    </w:p>
    <w:p w:rsidR="005746E2" w:rsidRDefault="005746E2" w:rsidP="005746E2">
      <w:pPr>
        <w:numPr>
          <w:ilvl w:val="12"/>
          <w:numId w:val="0"/>
        </w:numPr>
        <w:tabs>
          <w:tab w:val="left" w:pos="567"/>
        </w:tabs>
        <w:ind w:right="-2"/>
        <w:rPr>
          <w:rFonts w:ascii="Times New Roman" w:hAnsi="Times New Roman"/>
          <w:snapToGrid w:val="0"/>
          <w:sz w:val="22"/>
          <w:szCs w:val="22"/>
        </w:rPr>
      </w:pPr>
      <w:r w:rsidRPr="003B41F2">
        <w:rPr>
          <w:rFonts w:ascii="Times New Roman" w:hAnsi="Times New Roman"/>
          <w:snapToGrid w:val="0"/>
          <w:sz w:val="22"/>
          <w:szCs w:val="22"/>
        </w:rPr>
        <w:t>Išsami informacija apie šį vaistą pateikiama Valstybinės vaistų kontrolės tarnybos prie Lietuvos Respublikos sveikatos apsaugos ministerijos tinklalapyje</w:t>
      </w:r>
      <w:r w:rsidRPr="003B41F2">
        <w:rPr>
          <w:rFonts w:ascii="Times New Roman" w:hAnsi="Times New Roman"/>
          <w:i/>
          <w:snapToGrid w:val="0"/>
          <w:sz w:val="22"/>
          <w:szCs w:val="22"/>
        </w:rPr>
        <w:t xml:space="preserve"> </w:t>
      </w:r>
      <w:hyperlink r:id="rId9" w:history="1">
        <w:r w:rsidRPr="003B41F2">
          <w:rPr>
            <w:rFonts w:ascii="Times New Roman" w:eastAsia="SimSun" w:hAnsi="Times New Roman"/>
            <w:snapToGrid w:val="0"/>
            <w:color w:val="0000FF"/>
            <w:sz w:val="22"/>
            <w:szCs w:val="22"/>
            <w:u w:val="single"/>
          </w:rPr>
          <w:t>http://www.vvkt.lt/</w:t>
        </w:r>
      </w:hyperlink>
      <w:r w:rsidRPr="003B41F2">
        <w:rPr>
          <w:rFonts w:ascii="Times New Roman" w:hAnsi="Times New Roman"/>
          <w:snapToGrid w:val="0"/>
          <w:sz w:val="22"/>
          <w:szCs w:val="22"/>
        </w:rPr>
        <w:t>.</w:t>
      </w:r>
      <w:r>
        <w:rPr>
          <w:rFonts w:ascii="Times New Roman" w:hAnsi="Times New Roman"/>
          <w:snapToGrid w:val="0"/>
          <w:sz w:val="22"/>
          <w:szCs w:val="22"/>
        </w:rPr>
        <w:t xml:space="preserve">   </w:t>
      </w:r>
    </w:p>
    <w:p w:rsidR="005746E2" w:rsidRDefault="005746E2" w:rsidP="005746E2">
      <w:pPr>
        <w:numPr>
          <w:ilvl w:val="12"/>
          <w:numId w:val="0"/>
        </w:numPr>
        <w:tabs>
          <w:tab w:val="left" w:pos="567"/>
        </w:tabs>
        <w:ind w:right="-2"/>
        <w:rPr>
          <w:rFonts w:ascii="Times New Roman" w:hAnsi="Times New Roman"/>
          <w:snapToGrid w:val="0"/>
          <w:sz w:val="22"/>
          <w:szCs w:val="22"/>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016738"/>
    <w:multiLevelType w:val="hybridMultilevel"/>
    <w:tmpl w:val="4A04063A"/>
    <w:lvl w:ilvl="0" w:tplc="30D0F2F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2"/>
    <w:rsid w:val="00004415"/>
    <w:rsid w:val="00234094"/>
    <w:rsid w:val="002A211A"/>
    <w:rsid w:val="00344695"/>
    <w:rsid w:val="00356AB3"/>
    <w:rsid w:val="004216A4"/>
    <w:rsid w:val="005311B8"/>
    <w:rsid w:val="005746E2"/>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CE0E2-29DD-44FF-9C21-DDBCC64F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6E2"/>
    <w:pPr>
      <w:spacing w:after="0" w:line="240" w:lineRule="auto"/>
    </w:pPr>
    <w:rPr>
      <w:rFonts w:ascii="TimesLT" w:hAnsi="TimesLT" w:cs="Times New Roman"/>
      <w:sz w:val="24"/>
      <w:szCs w:val="20"/>
    </w:rPr>
  </w:style>
  <w:style w:type="paragraph" w:styleId="Antrat2">
    <w:name w:val="heading 2"/>
    <w:basedOn w:val="prastasis"/>
    <w:next w:val="prastasis"/>
    <w:link w:val="Antrat2Diagrama"/>
    <w:qFormat/>
    <w:rsid w:val="005746E2"/>
    <w:pPr>
      <w:keepNext/>
      <w:spacing w:line="420" w:lineRule="exact"/>
      <w:jc w:val="both"/>
      <w:outlineLvl w:val="1"/>
    </w:pPr>
    <w:rPr>
      <w:rFonts w:ascii="Times New Roman" w:hAnsi="Times New Roman"/>
      <w:i/>
    </w:rPr>
  </w:style>
  <w:style w:type="paragraph" w:styleId="Antrat8">
    <w:name w:val="heading 8"/>
    <w:basedOn w:val="prastasis"/>
    <w:next w:val="prastasis"/>
    <w:link w:val="Antrat8Diagrama"/>
    <w:qFormat/>
    <w:rsid w:val="005746E2"/>
    <w:pPr>
      <w:keepNext/>
      <w:spacing w:line="360" w:lineRule="auto"/>
      <w:jc w:val="both"/>
      <w:outlineLvl w:val="7"/>
    </w:pPr>
    <w:rPr>
      <w:rFonts w:ascii="Times New Roman" w:hAnsi="Times New Roman"/>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746E2"/>
    <w:rPr>
      <w:rFonts w:ascii="Times New Roman" w:hAnsi="Times New Roman" w:cs="Times New Roman"/>
      <w:i/>
      <w:sz w:val="24"/>
      <w:szCs w:val="20"/>
    </w:rPr>
  </w:style>
  <w:style w:type="character" w:customStyle="1" w:styleId="Antrat8Diagrama">
    <w:name w:val="Antraštė 8 Diagrama"/>
    <w:basedOn w:val="Numatytasispastraiposriftas"/>
    <w:link w:val="Antrat8"/>
    <w:rsid w:val="005746E2"/>
    <w:rPr>
      <w:rFonts w:ascii="Times New Roman" w:hAnsi="Times New Roman" w:cs="Times New Roman"/>
      <w:sz w:val="24"/>
      <w:szCs w:val="20"/>
      <w:u w:val="single"/>
    </w:rPr>
  </w:style>
  <w:style w:type="paragraph" w:styleId="Pagrindinistekstas">
    <w:name w:val="Body Text"/>
    <w:basedOn w:val="prastasis"/>
    <w:link w:val="PagrindinistekstasDiagrama"/>
    <w:rsid w:val="005746E2"/>
    <w:pPr>
      <w:spacing w:line="420" w:lineRule="exact"/>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5746E2"/>
    <w:rPr>
      <w:rFonts w:ascii="Times New Roman" w:hAnsi="Times New Roman" w:cs="Times New Roman"/>
      <w:sz w:val="24"/>
      <w:szCs w:val="20"/>
    </w:rPr>
  </w:style>
  <w:style w:type="paragraph" w:styleId="Pagrindinistekstas2">
    <w:name w:val="Body Text 2"/>
    <w:basedOn w:val="prastasis"/>
    <w:link w:val="Pagrindinistekstas2Diagrama"/>
    <w:rsid w:val="005746E2"/>
    <w:pPr>
      <w:spacing w:line="360" w:lineRule="auto"/>
      <w:jc w:val="both"/>
    </w:pPr>
    <w:rPr>
      <w:rFonts w:ascii="Times New Roman" w:hAnsi="Times New Roman"/>
    </w:rPr>
  </w:style>
  <w:style w:type="character" w:customStyle="1" w:styleId="Pagrindinistekstas2Diagrama">
    <w:name w:val="Pagrindinis tekstas 2 Diagrama"/>
    <w:basedOn w:val="Numatytasispastraiposriftas"/>
    <w:link w:val="Pagrindinistekstas2"/>
    <w:rsid w:val="005746E2"/>
    <w:rPr>
      <w:rFonts w:ascii="Times New Roman" w:hAnsi="Times New Roman" w:cs="Times New Roman"/>
      <w:sz w:val="24"/>
      <w:szCs w:val="20"/>
    </w:rPr>
  </w:style>
  <w:style w:type="paragraph" w:customStyle="1" w:styleId="BTEMEASMCA">
    <w:name w:val="BT EMEA_SMCA"/>
    <w:basedOn w:val="prastasis"/>
    <w:rsid w:val="005746E2"/>
    <w:pPr>
      <w:suppressAutoHyphens/>
    </w:pPr>
    <w:rPr>
      <w:rFonts w:ascii="Times New Roman" w:hAnsi="Times New Roman"/>
      <w:sz w:val="22"/>
      <w:szCs w:val="22"/>
      <w:lang w:eastAsia="ar-SA"/>
    </w:rPr>
  </w:style>
  <w:style w:type="character" w:styleId="Hipersaitas">
    <w:name w:val="Hyperlink"/>
    <w:uiPriority w:val="99"/>
    <w:rsid w:val="00574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de.d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6407</Words>
  <Characters>3653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2023-08-17T06:34:00Z</dcterms:created>
  <dcterms:modified xsi:type="dcterms:W3CDTF">2023-08-17T06:34:00Z</dcterms:modified>
</cp:coreProperties>
</file>