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D60" w:rsidRPr="00C531FE" w:rsidRDefault="00EA3D60" w:rsidP="00EA3D60">
      <w:pPr>
        <w:tabs>
          <w:tab w:val="clear" w:pos="567"/>
        </w:tabs>
        <w:spacing w:line="240" w:lineRule="auto"/>
        <w:jc w:val="center"/>
        <w:outlineLvl w:val="0"/>
        <w:rPr>
          <w:b/>
          <w:bCs/>
          <w:szCs w:val="22"/>
          <w:lang w:val="lt-LT"/>
        </w:rPr>
      </w:pPr>
      <w:bookmarkStart w:id="0" w:name="_Toc129243138"/>
      <w:bookmarkStart w:id="1" w:name="_Toc129243263"/>
      <w:r w:rsidRPr="00C531FE">
        <w:rPr>
          <w:b/>
          <w:bCs/>
          <w:szCs w:val="22"/>
          <w:lang w:val="lt-LT"/>
        </w:rPr>
        <w:t>Pakuotės lapelis: informacija vartotojui</w:t>
      </w:r>
    </w:p>
    <w:bookmarkEnd w:id="0"/>
    <w:bookmarkEnd w:id="1"/>
    <w:p w:rsidR="00EA3D60" w:rsidRPr="00C531FE" w:rsidRDefault="00EA3D60" w:rsidP="00EA3D60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:rsidR="00EA3D60" w:rsidRPr="00C531FE" w:rsidRDefault="00EA3D60" w:rsidP="00EA3D60">
      <w:pPr>
        <w:widowControl w:val="0"/>
        <w:tabs>
          <w:tab w:val="clear" w:pos="567"/>
        </w:tabs>
        <w:spacing w:line="240" w:lineRule="auto"/>
        <w:jc w:val="center"/>
        <w:rPr>
          <w:b/>
          <w:bCs/>
          <w:szCs w:val="22"/>
          <w:lang w:val="lt-LT"/>
        </w:rPr>
      </w:pPr>
      <w:r w:rsidRPr="00C531FE">
        <w:rPr>
          <w:b/>
          <w:bCs/>
          <w:szCs w:val="22"/>
          <w:lang w:val="lt-LT"/>
        </w:rPr>
        <w:t>Rovamycine 1,5 mln. TV plėvele dengtos tabletės</w:t>
      </w:r>
    </w:p>
    <w:p w:rsidR="00EA3D60" w:rsidRPr="00C531FE" w:rsidRDefault="00EA3D60" w:rsidP="00EA3D6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szCs w:val="22"/>
          <w:lang w:val="lt-LT"/>
        </w:rPr>
      </w:pPr>
      <w:r w:rsidRPr="00C531FE">
        <w:rPr>
          <w:b/>
          <w:bCs/>
          <w:szCs w:val="22"/>
          <w:lang w:val="lt-LT"/>
        </w:rPr>
        <w:t>Rovamycine 3 mln. TV plėvele dengtos tabletės</w:t>
      </w:r>
    </w:p>
    <w:p w:rsidR="00EA3D60" w:rsidRPr="00C531FE" w:rsidRDefault="00EA3D60" w:rsidP="00EA3D6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  <w:r w:rsidRPr="00C531FE">
        <w:rPr>
          <w:szCs w:val="22"/>
          <w:lang w:val="lt-LT"/>
        </w:rPr>
        <w:t>Spiramicinas</w:t>
      </w:r>
    </w:p>
    <w:p w:rsidR="00EA3D60" w:rsidRPr="00C531FE" w:rsidRDefault="00EA3D60" w:rsidP="00EA3D60">
      <w:p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:rsidR="00EA3D60" w:rsidRPr="00C531FE" w:rsidRDefault="00EA3D60" w:rsidP="00EA3D60">
      <w:pPr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C531FE">
        <w:rPr>
          <w:b/>
          <w:szCs w:val="22"/>
          <w:lang w:val="lt-LT"/>
        </w:rPr>
        <w:t>Atidžiai perskaitykite visą šį lapelį, prieš pradėdami vartoti vaistą, nes jame pateikiama Jums svarbi informacija.</w:t>
      </w:r>
    </w:p>
    <w:p w:rsidR="00EA3D60" w:rsidRPr="00C531FE" w:rsidRDefault="00EA3D60" w:rsidP="00EA3D60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C531FE">
        <w:rPr>
          <w:szCs w:val="22"/>
          <w:lang w:val="lt-LT"/>
        </w:rPr>
        <w:t>Neišmeskite šio lapelio, nes vėl gali prireikti jį perskaityti.</w:t>
      </w:r>
    </w:p>
    <w:p w:rsidR="00EA3D60" w:rsidRPr="00C531FE" w:rsidRDefault="00EA3D60" w:rsidP="00EA3D60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C531FE">
        <w:rPr>
          <w:szCs w:val="22"/>
          <w:lang w:val="lt-LT"/>
        </w:rPr>
        <w:t>Jeigu kiltų daugiau klausimų, kreipkitės į gydytoją arba vaistininką.</w:t>
      </w:r>
    </w:p>
    <w:p w:rsidR="00EA3D60" w:rsidRPr="00C531FE" w:rsidRDefault="00EA3D60" w:rsidP="00EA3D60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C531FE">
        <w:rPr>
          <w:szCs w:val="22"/>
          <w:lang w:val="lt-LT"/>
        </w:rPr>
        <w:t>Šis vaistas skirtas tik Jums, todėl kitiems žmonėms jo duoti negalima. Vaistas gali jiems pakenkti (net tiems, kurių ligos požymiai yra tokie patys kaip Jūsų).</w:t>
      </w:r>
    </w:p>
    <w:p w:rsidR="00EA3D60" w:rsidRPr="00C531FE" w:rsidRDefault="00EA3D60" w:rsidP="00EA3D60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C531FE">
        <w:rPr>
          <w:szCs w:val="22"/>
          <w:lang w:val="lt-LT"/>
        </w:rPr>
        <w:t xml:space="preserve">Jeigu pasireiškė šalutinis poveikis </w:t>
      </w:r>
      <w:r w:rsidRPr="00C531FE">
        <w:rPr>
          <w:noProof/>
          <w:szCs w:val="22"/>
          <w:lang w:val="lt-LT"/>
        </w:rPr>
        <w:t xml:space="preserve">(net jeigu jis šiame lapelyje nenurodytas), kreipkitės į </w:t>
      </w:r>
      <w:r w:rsidRPr="00C531FE">
        <w:rPr>
          <w:szCs w:val="22"/>
          <w:lang w:val="lt-LT"/>
        </w:rPr>
        <w:t>gydytoją arba vaistininką. Žr. 4 skyrių.</w:t>
      </w:r>
    </w:p>
    <w:p w:rsidR="00EA3D60" w:rsidRPr="00C531FE" w:rsidRDefault="00EA3D60" w:rsidP="00EA3D60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A3D60" w:rsidRPr="009C7BDC" w:rsidRDefault="00EA3D60" w:rsidP="00EA3D60">
      <w:pPr>
        <w:keepNext/>
        <w:jc w:val="both"/>
        <w:outlineLvl w:val="3"/>
        <w:rPr>
          <w:b/>
          <w:bCs/>
          <w:snapToGrid w:val="0"/>
          <w:szCs w:val="28"/>
          <w:lang w:val="lt-LT" w:eastAsia="x-none"/>
        </w:rPr>
      </w:pPr>
      <w:r w:rsidRPr="009C7BDC">
        <w:rPr>
          <w:b/>
          <w:bCs/>
          <w:snapToGrid w:val="0"/>
          <w:szCs w:val="28"/>
          <w:lang w:val="lt-LT" w:eastAsia="x-none"/>
        </w:rPr>
        <w:t>Apie ką rašoma šiame lapelyje?</w:t>
      </w:r>
    </w:p>
    <w:p w:rsidR="00EA3D60" w:rsidRDefault="00EA3D60" w:rsidP="00EA3D60">
      <w:pPr>
        <w:tabs>
          <w:tab w:val="clear" w:pos="567"/>
          <w:tab w:val="left" w:pos="709"/>
        </w:tabs>
        <w:spacing w:line="240" w:lineRule="auto"/>
        <w:ind w:left="709" w:hanging="709"/>
        <w:rPr>
          <w:b/>
          <w:szCs w:val="22"/>
          <w:lang w:val="lt-LT"/>
        </w:rPr>
      </w:pPr>
    </w:p>
    <w:p w:rsidR="00EA3D60" w:rsidRPr="00C531FE" w:rsidRDefault="00EA3D60" w:rsidP="00EA3D60">
      <w:pPr>
        <w:tabs>
          <w:tab w:val="clear" w:pos="567"/>
          <w:tab w:val="left" w:pos="709"/>
        </w:tabs>
        <w:spacing w:line="240" w:lineRule="auto"/>
        <w:ind w:left="709" w:hanging="709"/>
        <w:rPr>
          <w:szCs w:val="22"/>
          <w:lang w:val="lt-LT"/>
        </w:rPr>
      </w:pPr>
      <w:r w:rsidRPr="00C531FE">
        <w:rPr>
          <w:szCs w:val="22"/>
          <w:lang w:val="lt-LT"/>
        </w:rPr>
        <w:t>1.</w:t>
      </w:r>
      <w:r w:rsidRPr="00C531FE">
        <w:rPr>
          <w:szCs w:val="22"/>
          <w:lang w:val="lt-LT"/>
        </w:rPr>
        <w:tab/>
        <w:t>Kas yra Rovamycine ir kam jis vartojamas</w:t>
      </w:r>
    </w:p>
    <w:p w:rsidR="00EA3D60" w:rsidRPr="00C531FE" w:rsidRDefault="00EA3D60" w:rsidP="00EA3D60">
      <w:pPr>
        <w:tabs>
          <w:tab w:val="clear" w:pos="567"/>
          <w:tab w:val="left" w:pos="709"/>
        </w:tabs>
        <w:spacing w:line="240" w:lineRule="auto"/>
        <w:ind w:left="709" w:hanging="709"/>
        <w:rPr>
          <w:szCs w:val="22"/>
          <w:lang w:val="lt-LT"/>
        </w:rPr>
      </w:pPr>
      <w:r w:rsidRPr="00C531FE">
        <w:rPr>
          <w:szCs w:val="22"/>
          <w:lang w:val="lt-LT"/>
        </w:rPr>
        <w:t>2.</w:t>
      </w:r>
      <w:r w:rsidRPr="00C531FE">
        <w:rPr>
          <w:szCs w:val="22"/>
          <w:lang w:val="lt-LT"/>
        </w:rPr>
        <w:tab/>
        <w:t>Kas žinotina prieš vartojant Rovamycine</w:t>
      </w:r>
    </w:p>
    <w:p w:rsidR="00EA3D60" w:rsidRPr="00C531FE" w:rsidRDefault="00EA3D60" w:rsidP="00EA3D60">
      <w:pPr>
        <w:tabs>
          <w:tab w:val="clear" w:pos="567"/>
          <w:tab w:val="left" w:pos="709"/>
        </w:tabs>
        <w:spacing w:line="240" w:lineRule="auto"/>
        <w:ind w:left="709" w:hanging="709"/>
        <w:rPr>
          <w:szCs w:val="22"/>
          <w:lang w:val="lt-LT"/>
        </w:rPr>
      </w:pPr>
      <w:r w:rsidRPr="00C531FE">
        <w:rPr>
          <w:szCs w:val="22"/>
          <w:lang w:val="lt-LT"/>
        </w:rPr>
        <w:t>3.</w:t>
      </w:r>
      <w:r w:rsidRPr="00C531FE">
        <w:rPr>
          <w:szCs w:val="22"/>
          <w:lang w:val="lt-LT"/>
        </w:rPr>
        <w:tab/>
        <w:t>Kaip vartoti Rovamycine</w:t>
      </w:r>
    </w:p>
    <w:p w:rsidR="00EA3D60" w:rsidRPr="00C531FE" w:rsidRDefault="00EA3D60" w:rsidP="00EA3D60">
      <w:pPr>
        <w:tabs>
          <w:tab w:val="clear" w:pos="567"/>
          <w:tab w:val="left" w:pos="709"/>
        </w:tabs>
        <w:spacing w:line="240" w:lineRule="auto"/>
        <w:ind w:left="709" w:hanging="709"/>
        <w:rPr>
          <w:szCs w:val="22"/>
          <w:lang w:val="lt-LT"/>
        </w:rPr>
      </w:pPr>
      <w:r w:rsidRPr="00C531FE">
        <w:rPr>
          <w:szCs w:val="22"/>
          <w:lang w:val="lt-LT"/>
        </w:rPr>
        <w:t>4.</w:t>
      </w:r>
      <w:r w:rsidRPr="00C531FE">
        <w:rPr>
          <w:szCs w:val="22"/>
          <w:lang w:val="lt-LT"/>
        </w:rPr>
        <w:tab/>
        <w:t>Galimas šalutinis poveikis</w:t>
      </w:r>
    </w:p>
    <w:p w:rsidR="00EA3D60" w:rsidRPr="00C531FE" w:rsidRDefault="00EA3D60" w:rsidP="00EA3D60">
      <w:pPr>
        <w:tabs>
          <w:tab w:val="clear" w:pos="567"/>
          <w:tab w:val="left" w:pos="709"/>
        </w:tabs>
        <w:spacing w:line="240" w:lineRule="auto"/>
        <w:ind w:left="709" w:hanging="709"/>
        <w:rPr>
          <w:szCs w:val="22"/>
          <w:lang w:val="lt-LT"/>
        </w:rPr>
      </w:pPr>
      <w:r w:rsidRPr="00C531FE">
        <w:rPr>
          <w:szCs w:val="22"/>
          <w:lang w:val="lt-LT"/>
        </w:rPr>
        <w:t>5.</w:t>
      </w:r>
      <w:r w:rsidRPr="00C531FE">
        <w:rPr>
          <w:szCs w:val="22"/>
          <w:lang w:val="lt-LT"/>
        </w:rPr>
        <w:tab/>
        <w:t>Kaip laikyti Rovamycine</w:t>
      </w:r>
    </w:p>
    <w:p w:rsidR="00EA3D60" w:rsidRPr="00C531FE" w:rsidRDefault="00EA3D60" w:rsidP="00EA3D60">
      <w:pPr>
        <w:tabs>
          <w:tab w:val="clear" w:pos="567"/>
          <w:tab w:val="left" w:pos="709"/>
        </w:tabs>
        <w:spacing w:line="240" w:lineRule="auto"/>
        <w:ind w:left="709" w:hanging="709"/>
        <w:rPr>
          <w:szCs w:val="22"/>
          <w:lang w:val="lt-LT"/>
        </w:rPr>
      </w:pPr>
      <w:r w:rsidRPr="00C531FE">
        <w:rPr>
          <w:szCs w:val="22"/>
          <w:lang w:val="lt-LT"/>
        </w:rPr>
        <w:t>6.</w:t>
      </w:r>
      <w:r w:rsidRPr="00C531FE">
        <w:rPr>
          <w:szCs w:val="22"/>
          <w:lang w:val="lt-LT"/>
        </w:rPr>
        <w:tab/>
        <w:t>Pakuotės turinys ir kita informacija</w:t>
      </w:r>
    </w:p>
    <w:p w:rsidR="00EA3D60" w:rsidRPr="00C531FE" w:rsidRDefault="00EA3D60" w:rsidP="00EA3D6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EA3D60" w:rsidRPr="00C531FE" w:rsidRDefault="00EA3D60" w:rsidP="00EA3D6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EA3D60" w:rsidRPr="00C531FE" w:rsidRDefault="00EA3D60" w:rsidP="00EA3D60">
      <w:pPr>
        <w:numPr>
          <w:ilvl w:val="12"/>
          <w:numId w:val="0"/>
        </w:numPr>
        <w:spacing w:line="240" w:lineRule="auto"/>
        <w:ind w:left="567" w:hanging="567"/>
        <w:outlineLvl w:val="0"/>
        <w:rPr>
          <w:szCs w:val="22"/>
          <w:lang w:val="lt-LT"/>
        </w:rPr>
      </w:pPr>
      <w:r w:rsidRPr="00C531FE">
        <w:rPr>
          <w:b/>
          <w:szCs w:val="22"/>
          <w:lang w:val="lt-LT"/>
        </w:rPr>
        <w:t>1.</w:t>
      </w:r>
      <w:r w:rsidRPr="00C531FE">
        <w:rPr>
          <w:b/>
          <w:szCs w:val="22"/>
          <w:lang w:val="lt-LT"/>
        </w:rPr>
        <w:tab/>
        <w:t>Kas yra Rovamycine ir kam jis vartojamas</w:t>
      </w:r>
    </w:p>
    <w:p w:rsidR="00EA3D60" w:rsidRPr="00C531FE" w:rsidRDefault="00EA3D60" w:rsidP="00EA3D60">
      <w:pPr>
        <w:spacing w:line="240" w:lineRule="auto"/>
        <w:ind w:left="567" w:hanging="567"/>
        <w:rPr>
          <w:szCs w:val="22"/>
          <w:lang w:val="lt-LT"/>
        </w:rPr>
      </w:pPr>
    </w:p>
    <w:p w:rsidR="00EA3D60" w:rsidRPr="00C531FE" w:rsidRDefault="00EA3D60" w:rsidP="00EA3D60">
      <w:pPr>
        <w:spacing w:line="240" w:lineRule="auto"/>
        <w:rPr>
          <w:szCs w:val="22"/>
          <w:lang w:val="lt-LT"/>
        </w:rPr>
      </w:pPr>
      <w:r w:rsidRPr="00C531FE">
        <w:rPr>
          <w:szCs w:val="22"/>
          <w:lang w:val="lt-LT"/>
        </w:rPr>
        <w:t xml:space="preserve">Rovamycine sudėtyje yra veikliosios medžiagos spiramicino, kuris yra makrolidų grupės antibiotikas. </w:t>
      </w:r>
    </w:p>
    <w:p w:rsidR="00EA3D60" w:rsidRPr="00C531FE" w:rsidRDefault="00EA3D60" w:rsidP="00EA3D60">
      <w:pPr>
        <w:spacing w:line="240" w:lineRule="auto"/>
        <w:rPr>
          <w:szCs w:val="22"/>
          <w:lang w:val="lt-LT"/>
        </w:rPr>
      </w:pPr>
    </w:p>
    <w:p w:rsidR="00EA3D60" w:rsidRPr="00C531FE" w:rsidRDefault="00EA3D60" w:rsidP="00EA3D60">
      <w:pPr>
        <w:spacing w:line="240" w:lineRule="auto"/>
        <w:rPr>
          <w:szCs w:val="22"/>
          <w:lang w:val="lt-LT"/>
        </w:rPr>
      </w:pPr>
      <w:r w:rsidRPr="00C531FE">
        <w:rPr>
          <w:szCs w:val="22"/>
          <w:lang w:val="lt-LT"/>
        </w:rPr>
        <w:t xml:space="preserve">Rovamycine skirtas vartoti suaugusiems žmonėms ir vaikams nuo 6 metų amžiaus, sveriantiems daugiau kaip 20 kg. </w:t>
      </w:r>
    </w:p>
    <w:p w:rsidR="00EA3D60" w:rsidRPr="00C531FE" w:rsidRDefault="00EA3D60" w:rsidP="00EA3D60">
      <w:pPr>
        <w:spacing w:line="240" w:lineRule="auto"/>
        <w:rPr>
          <w:szCs w:val="22"/>
          <w:lang w:val="lt-LT"/>
        </w:rPr>
      </w:pPr>
      <w:r w:rsidRPr="00C531FE">
        <w:rPr>
          <w:szCs w:val="22"/>
          <w:lang w:val="lt-LT"/>
        </w:rPr>
        <w:t>Rovamycine skiriamas spiramicinui jautrių mikroorganizmų sukeltų infekcinių ligų gydymui:</w:t>
      </w:r>
    </w:p>
    <w:p w:rsidR="00EA3D60" w:rsidRPr="00C531FE" w:rsidRDefault="00EA3D60" w:rsidP="00EA3D60">
      <w:pPr>
        <w:spacing w:line="240" w:lineRule="auto"/>
        <w:ind w:left="567" w:hanging="567"/>
        <w:rPr>
          <w:szCs w:val="22"/>
          <w:lang w:val="lt-LT"/>
        </w:rPr>
      </w:pPr>
      <w:r w:rsidRPr="00C531FE">
        <w:rPr>
          <w:szCs w:val="22"/>
          <w:lang w:val="lt-LT"/>
        </w:rPr>
        <w:t>-</w:t>
      </w:r>
      <w:r w:rsidRPr="00C531FE">
        <w:rPr>
          <w:szCs w:val="22"/>
          <w:lang w:val="lt-LT"/>
        </w:rPr>
        <w:tab/>
        <w:t>viršutinių kvėpavimo takų (pvz., faringito (ryklės uždegimo));</w:t>
      </w:r>
    </w:p>
    <w:p w:rsidR="00EA3D60" w:rsidRPr="00C531FE" w:rsidRDefault="00EA3D60" w:rsidP="00EA3D60">
      <w:pPr>
        <w:spacing w:line="240" w:lineRule="auto"/>
        <w:ind w:left="567" w:hanging="567"/>
        <w:rPr>
          <w:szCs w:val="22"/>
          <w:lang w:val="lt-LT"/>
        </w:rPr>
      </w:pPr>
      <w:r w:rsidRPr="00C531FE">
        <w:rPr>
          <w:szCs w:val="22"/>
          <w:lang w:val="lt-LT"/>
        </w:rPr>
        <w:t>-</w:t>
      </w:r>
      <w:r w:rsidRPr="00C531FE">
        <w:rPr>
          <w:szCs w:val="22"/>
          <w:lang w:val="lt-LT"/>
        </w:rPr>
        <w:tab/>
        <w:t>apatinių kvėpavimo takų (bendruomenėje įgyto plaučių uždegimo);</w:t>
      </w:r>
    </w:p>
    <w:p w:rsidR="00EA3D60" w:rsidRPr="00C531FE" w:rsidRDefault="00EA3D60" w:rsidP="00EA3D60">
      <w:pPr>
        <w:numPr>
          <w:ilvl w:val="0"/>
          <w:numId w:val="3"/>
        </w:numPr>
        <w:tabs>
          <w:tab w:val="clear" w:pos="360"/>
          <w:tab w:val="num" w:pos="567"/>
        </w:tabs>
        <w:spacing w:line="240" w:lineRule="auto"/>
        <w:ind w:left="567" w:hanging="567"/>
        <w:rPr>
          <w:szCs w:val="22"/>
          <w:lang w:val="lt-LT"/>
        </w:rPr>
      </w:pPr>
      <w:r w:rsidRPr="00C531FE">
        <w:rPr>
          <w:szCs w:val="22"/>
          <w:lang w:val="lt-LT"/>
        </w:rPr>
        <w:t>nėščių moterų toksoplazmozės.</w:t>
      </w:r>
    </w:p>
    <w:p w:rsidR="00EA3D60" w:rsidRPr="00C531FE" w:rsidRDefault="00EA3D60" w:rsidP="00EA3D6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EA3D60" w:rsidRPr="00C531FE" w:rsidRDefault="00EA3D60" w:rsidP="00EA3D6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EA3D60" w:rsidRPr="00C531FE" w:rsidRDefault="00EA3D60" w:rsidP="00EA3D60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szCs w:val="22"/>
          <w:lang w:val="lt-LT"/>
        </w:rPr>
      </w:pPr>
      <w:r w:rsidRPr="00C531FE">
        <w:rPr>
          <w:b/>
          <w:szCs w:val="22"/>
          <w:lang w:val="lt-LT"/>
        </w:rPr>
        <w:t>2.</w:t>
      </w:r>
      <w:r w:rsidRPr="00C531FE">
        <w:rPr>
          <w:b/>
          <w:szCs w:val="22"/>
          <w:lang w:val="lt-LT"/>
        </w:rPr>
        <w:tab/>
        <w:t>Kas žinotina prieš vartojant Rovamycine</w:t>
      </w:r>
    </w:p>
    <w:p w:rsidR="00EA3D60" w:rsidRPr="00C531FE" w:rsidRDefault="00EA3D60" w:rsidP="00EA3D60">
      <w:pPr>
        <w:spacing w:line="240" w:lineRule="auto"/>
        <w:ind w:left="567" w:hanging="567"/>
        <w:rPr>
          <w:szCs w:val="22"/>
          <w:lang w:val="lt-LT"/>
        </w:rPr>
      </w:pPr>
    </w:p>
    <w:p w:rsidR="00EA3D60" w:rsidRPr="00C531FE" w:rsidRDefault="00EA3D60" w:rsidP="00EA3D60">
      <w:pPr>
        <w:spacing w:line="240" w:lineRule="auto"/>
        <w:ind w:left="567" w:hanging="567"/>
        <w:rPr>
          <w:b/>
          <w:bCs/>
          <w:caps/>
          <w:szCs w:val="22"/>
          <w:lang w:val="lt-LT"/>
        </w:rPr>
      </w:pPr>
      <w:r w:rsidRPr="00C531FE">
        <w:rPr>
          <w:b/>
          <w:bCs/>
          <w:szCs w:val="22"/>
          <w:lang w:val="lt-LT"/>
        </w:rPr>
        <w:t>Rovamycine vartoti negalima:</w:t>
      </w:r>
    </w:p>
    <w:p w:rsidR="00EA3D60" w:rsidRPr="00C531FE" w:rsidRDefault="00EA3D60" w:rsidP="00EA3D60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C531FE">
        <w:rPr>
          <w:szCs w:val="22"/>
          <w:lang w:val="lt-LT"/>
        </w:rPr>
        <w:t>-</w:t>
      </w:r>
      <w:r w:rsidRPr="00C531FE">
        <w:rPr>
          <w:szCs w:val="22"/>
          <w:lang w:val="lt-LT"/>
        </w:rPr>
        <w:tab/>
        <w:t xml:space="preserve">jeigu yra alergija spiramicinui arba bet kuriai pagalbinei šio vaisto medžiagai </w:t>
      </w:r>
      <w:r w:rsidRPr="00C531FE">
        <w:rPr>
          <w:noProof/>
          <w:szCs w:val="22"/>
          <w:lang w:val="lt-LT"/>
        </w:rPr>
        <w:t>(jos išvardytos 6 skyriuje);</w:t>
      </w:r>
    </w:p>
    <w:p w:rsidR="00EA3D60" w:rsidRPr="00C531FE" w:rsidRDefault="00EA3D60" w:rsidP="00EA3D60">
      <w:pPr>
        <w:numPr>
          <w:ilvl w:val="0"/>
          <w:numId w:val="2"/>
        </w:numPr>
        <w:spacing w:line="240" w:lineRule="auto"/>
        <w:rPr>
          <w:szCs w:val="22"/>
          <w:lang w:val="lt-LT"/>
        </w:rPr>
      </w:pPr>
      <w:r w:rsidRPr="00C531FE">
        <w:rPr>
          <w:szCs w:val="22"/>
          <w:lang w:val="lt-LT"/>
        </w:rPr>
        <w:t>jeigu yra alergija kitiems makrolidų grupės antibiotikams;</w:t>
      </w:r>
    </w:p>
    <w:p w:rsidR="00EA3D60" w:rsidRPr="00C531FE" w:rsidRDefault="00EA3D60" w:rsidP="00EA3D60">
      <w:pPr>
        <w:numPr>
          <w:ilvl w:val="0"/>
          <w:numId w:val="2"/>
        </w:numPr>
        <w:spacing w:line="240" w:lineRule="auto"/>
        <w:rPr>
          <w:szCs w:val="22"/>
          <w:lang w:val="lt-LT"/>
        </w:rPr>
      </w:pPr>
      <w:r w:rsidRPr="00C531FE">
        <w:rPr>
          <w:szCs w:val="22"/>
          <w:lang w:val="lt-LT"/>
        </w:rPr>
        <w:t>kartu su skalsių preparatais (ypač tokiais, kuriais gydoma migrena).</w:t>
      </w:r>
    </w:p>
    <w:p w:rsidR="00EA3D60" w:rsidRPr="00C531FE" w:rsidRDefault="00EA3D60" w:rsidP="00EA3D60">
      <w:pPr>
        <w:spacing w:line="240" w:lineRule="auto"/>
        <w:ind w:left="567" w:hanging="567"/>
        <w:rPr>
          <w:szCs w:val="22"/>
          <w:lang w:val="lt-LT"/>
        </w:rPr>
      </w:pPr>
    </w:p>
    <w:p w:rsidR="00EA3D60" w:rsidRDefault="00EA3D60" w:rsidP="00EA3D60">
      <w:pPr>
        <w:keepNext/>
        <w:jc w:val="both"/>
        <w:outlineLvl w:val="3"/>
        <w:rPr>
          <w:b/>
          <w:noProof/>
          <w:szCs w:val="22"/>
          <w:lang w:val="lt-LT"/>
        </w:rPr>
      </w:pPr>
      <w:r w:rsidRPr="00C531FE">
        <w:rPr>
          <w:b/>
          <w:noProof/>
          <w:szCs w:val="22"/>
          <w:lang w:val="lt-LT"/>
        </w:rPr>
        <w:t>Įspėjimai ir atsargumo priemon</w:t>
      </w:r>
      <w:r>
        <w:rPr>
          <w:b/>
          <w:noProof/>
          <w:szCs w:val="22"/>
          <w:lang w:val="lt-LT"/>
        </w:rPr>
        <w:t xml:space="preserve">ės </w:t>
      </w:r>
    </w:p>
    <w:p w:rsidR="00EA3D60" w:rsidRDefault="00EA3D60" w:rsidP="00EA3D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  <w:lang w:val="lt-LT"/>
        </w:rPr>
      </w:pPr>
      <w:r w:rsidRPr="00C531FE">
        <w:rPr>
          <w:noProof/>
          <w:szCs w:val="22"/>
          <w:lang w:val="lt-LT"/>
        </w:rPr>
        <w:t>Pasitarkite su gydytoju arba vaistininku, prieš pradėdami vartoti Rovamycine.</w:t>
      </w:r>
    </w:p>
    <w:p w:rsidR="00EA3D60" w:rsidRDefault="00EA3D60" w:rsidP="00EA3D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C531FE">
        <w:rPr>
          <w:bCs/>
          <w:szCs w:val="22"/>
          <w:lang w:val="lt-LT"/>
        </w:rPr>
        <w:t>Jei</w:t>
      </w:r>
      <w:r w:rsidRPr="00C531FE">
        <w:rPr>
          <w:szCs w:val="22"/>
          <w:lang w:val="lt-LT"/>
        </w:rPr>
        <w:t xml:space="preserve"> organizme nepakanka gliukozės 6- fosfatdehidrogenazės, labai retais atvejais gali pasireikšti ūminė hemolizė (eritrocitų irimas). Tokiems ligoniams Rovamycine vartoti nerekomenduojama</w:t>
      </w:r>
      <w:r>
        <w:rPr>
          <w:szCs w:val="22"/>
          <w:lang w:val="lt-LT"/>
        </w:rPr>
        <w:t>.</w:t>
      </w:r>
    </w:p>
    <w:p w:rsidR="00EA3D60" w:rsidRDefault="00EA3D60" w:rsidP="00EA3D6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EA3D60" w:rsidRPr="00BE089D" w:rsidRDefault="00EA3D60" w:rsidP="00EA3D60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Rovamycine</w:t>
      </w:r>
      <w:r w:rsidRPr="009945A0">
        <w:rPr>
          <w:szCs w:val="22"/>
          <w:lang w:val="lt-LT"/>
        </w:rPr>
        <w:t xml:space="preserve"> būtina atsargiai vartoti pacientams, kuriems </w:t>
      </w:r>
      <w:r w:rsidRPr="00BE089D">
        <w:rPr>
          <w:szCs w:val="22"/>
          <w:lang w:val="lt-LT"/>
        </w:rPr>
        <w:t>elektrokardiogramoje (EKG)</w:t>
      </w:r>
      <w:r>
        <w:rPr>
          <w:szCs w:val="22"/>
          <w:lang w:val="lt-LT"/>
        </w:rPr>
        <w:t xml:space="preserve"> </w:t>
      </w:r>
      <w:r w:rsidRPr="009945A0">
        <w:rPr>
          <w:szCs w:val="22"/>
          <w:lang w:val="lt-LT"/>
        </w:rPr>
        <w:t>yra QT intervalo pailgėjim</w:t>
      </w:r>
      <w:r>
        <w:rPr>
          <w:szCs w:val="22"/>
          <w:lang w:val="lt-LT"/>
        </w:rPr>
        <w:t>as, rodantis širdies ritmo sutrikimą. Veiksniai, galintys skatinti tokį ritmo sutrikimo atsiradimą:</w:t>
      </w:r>
      <w:r w:rsidRPr="00BE089D">
        <w:rPr>
          <w:szCs w:val="22"/>
          <w:lang w:val="lt-LT"/>
        </w:rPr>
        <w:t xml:space="preserve"> </w:t>
      </w:r>
    </w:p>
    <w:p w:rsidR="00EA3D60" w:rsidRDefault="00EA3D60" w:rsidP="00EA3D60">
      <w:pPr>
        <w:numPr>
          <w:ilvl w:val="0"/>
          <w:numId w:val="5"/>
        </w:numPr>
        <w:tabs>
          <w:tab w:val="clear" w:pos="360"/>
          <w:tab w:val="num" w:pos="567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kraujyje yra mažai kalio arba magnio;</w:t>
      </w:r>
    </w:p>
    <w:p w:rsidR="00EA3D60" w:rsidRPr="00D74C08" w:rsidRDefault="00EA3D60" w:rsidP="00EA3D60">
      <w:pPr>
        <w:numPr>
          <w:ilvl w:val="0"/>
          <w:numId w:val="5"/>
        </w:numPr>
        <w:tabs>
          <w:tab w:val="clear" w:pos="360"/>
          <w:tab w:val="num" w:pos="567"/>
        </w:tabs>
        <w:spacing w:line="240" w:lineRule="auto"/>
        <w:ind w:left="567" w:hanging="567"/>
        <w:rPr>
          <w:szCs w:val="22"/>
          <w:lang w:val="lt-LT"/>
        </w:rPr>
      </w:pPr>
      <w:r w:rsidRPr="00D74C08">
        <w:rPr>
          <w:szCs w:val="22"/>
          <w:lang w:val="lt-LT"/>
        </w:rPr>
        <w:t>įgimt</w:t>
      </w:r>
      <w:r>
        <w:rPr>
          <w:szCs w:val="22"/>
          <w:lang w:val="lt-LT"/>
        </w:rPr>
        <w:t>as</w:t>
      </w:r>
      <w:r w:rsidRPr="00D74C08">
        <w:rPr>
          <w:szCs w:val="22"/>
          <w:lang w:val="lt-LT"/>
        </w:rPr>
        <w:t xml:space="preserve"> ilgo QT sindromas;</w:t>
      </w:r>
    </w:p>
    <w:p w:rsidR="00EA3D60" w:rsidRPr="00D74C08" w:rsidRDefault="00EA3D60" w:rsidP="00EA3D60">
      <w:pPr>
        <w:numPr>
          <w:ilvl w:val="0"/>
          <w:numId w:val="5"/>
        </w:numPr>
        <w:tabs>
          <w:tab w:val="clear" w:pos="360"/>
          <w:tab w:val="num" w:pos="567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sergate širdies liga</w:t>
      </w:r>
      <w:r w:rsidRPr="00D74C08">
        <w:rPr>
          <w:szCs w:val="22"/>
          <w:lang w:val="lt-LT"/>
        </w:rPr>
        <w:t xml:space="preserve"> (pvz., </w:t>
      </w:r>
      <w:r>
        <w:rPr>
          <w:szCs w:val="22"/>
          <w:lang w:val="lt-LT"/>
        </w:rPr>
        <w:t xml:space="preserve">yra </w:t>
      </w:r>
      <w:r w:rsidRPr="00D74C08">
        <w:rPr>
          <w:szCs w:val="22"/>
          <w:lang w:val="lt-LT"/>
        </w:rPr>
        <w:t xml:space="preserve">širdies nepakankamumas, </w:t>
      </w:r>
      <w:r>
        <w:rPr>
          <w:szCs w:val="22"/>
          <w:lang w:val="lt-LT"/>
        </w:rPr>
        <w:t>ištiko širdies priepuolis arba širdis plaka labai retai</w:t>
      </w:r>
      <w:r w:rsidRPr="00D74C08">
        <w:rPr>
          <w:szCs w:val="22"/>
          <w:lang w:val="lt-LT"/>
        </w:rPr>
        <w:t>);</w:t>
      </w:r>
    </w:p>
    <w:p w:rsidR="00EA3D60" w:rsidRPr="00D74C08" w:rsidRDefault="00EA3D60" w:rsidP="00EA3D60">
      <w:pPr>
        <w:numPr>
          <w:ilvl w:val="0"/>
          <w:numId w:val="5"/>
        </w:numPr>
        <w:tabs>
          <w:tab w:val="clear" w:pos="360"/>
          <w:tab w:val="num" w:pos="567"/>
        </w:tabs>
        <w:spacing w:line="240" w:lineRule="auto"/>
        <w:ind w:left="567" w:hanging="567"/>
        <w:rPr>
          <w:szCs w:val="22"/>
          <w:lang w:val="lt-LT"/>
        </w:rPr>
      </w:pPr>
      <w:r w:rsidRPr="00D74C08">
        <w:rPr>
          <w:szCs w:val="22"/>
          <w:lang w:val="lt-LT"/>
        </w:rPr>
        <w:lastRenderedPageBreak/>
        <w:t>kartu vartoja</w:t>
      </w:r>
      <w:r>
        <w:rPr>
          <w:szCs w:val="22"/>
          <w:lang w:val="lt-LT"/>
        </w:rPr>
        <w:t>te</w:t>
      </w:r>
      <w:r w:rsidRPr="00D74C08">
        <w:rPr>
          <w:szCs w:val="22"/>
          <w:lang w:val="lt-LT"/>
        </w:rPr>
        <w:t xml:space="preserve"> QT intervalą ilginančių </w:t>
      </w:r>
      <w:r>
        <w:rPr>
          <w:szCs w:val="22"/>
          <w:lang w:val="lt-LT"/>
        </w:rPr>
        <w:t>vaistų</w:t>
      </w:r>
      <w:r w:rsidRPr="00D74C08">
        <w:rPr>
          <w:szCs w:val="22"/>
          <w:lang w:val="lt-LT"/>
        </w:rPr>
        <w:t xml:space="preserve"> (pvz., </w:t>
      </w:r>
      <w:r>
        <w:rPr>
          <w:szCs w:val="22"/>
          <w:lang w:val="lt-LT"/>
        </w:rPr>
        <w:t>vaistų</w:t>
      </w:r>
      <w:r w:rsidRPr="00D74C08">
        <w:rPr>
          <w:szCs w:val="22"/>
          <w:lang w:val="lt-LT"/>
        </w:rPr>
        <w:t xml:space="preserve"> nuo ritmo sutrikimo, antidepresantų, </w:t>
      </w:r>
      <w:r>
        <w:rPr>
          <w:szCs w:val="22"/>
          <w:lang w:val="lt-LT"/>
        </w:rPr>
        <w:t>vaistų</w:t>
      </w:r>
      <w:r w:rsidRPr="00D74C08">
        <w:rPr>
          <w:szCs w:val="22"/>
          <w:lang w:val="lt-LT"/>
        </w:rPr>
        <w:t xml:space="preserve"> nuo infekcinių ligų </w:t>
      </w:r>
      <w:r>
        <w:rPr>
          <w:szCs w:val="22"/>
          <w:lang w:val="lt-LT"/>
        </w:rPr>
        <w:t>ar</w:t>
      </w:r>
      <w:r w:rsidRPr="00D74C08">
        <w:rPr>
          <w:szCs w:val="22"/>
          <w:lang w:val="lt-LT"/>
        </w:rPr>
        <w:t xml:space="preserve"> </w:t>
      </w:r>
      <w:r>
        <w:rPr>
          <w:szCs w:val="22"/>
          <w:lang w:val="lt-LT"/>
        </w:rPr>
        <w:t>psichikos sutrikimų</w:t>
      </w:r>
      <w:r w:rsidRPr="00D74C08">
        <w:rPr>
          <w:szCs w:val="22"/>
          <w:lang w:val="lt-LT"/>
        </w:rPr>
        <w:t>).</w:t>
      </w:r>
    </w:p>
    <w:p w:rsidR="00EA3D60" w:rsidRDefault="00EA3D60" w:rsidP="00EA3D60">
      <w:pPr>
        <w:spacing w:line="240" w:lineRule="auto"/>
        <w:rPr>
          <w:szCs w:val="22"/>
          <w:lang w:val="lt-LT"/>
        </w:rPr>
      </w:pPr>
    </w:p>
    <w:p w:rsidR="00EA3D60" w:rsidRPr="00C531FE" w:rsidRDefault="00EA3D60" w:rsidP="00EA3D60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Vartojant </w:t>
      </w:r>
      <w:r w:rsidRPr="00C531FE">
        <w:rPr>
          <w:szCs w:val="22"/>
          <w:lang w:val="lt-LT"/>
        </w:rPr>
        <w:t>Rovamycine</w:t>
      </w:r>
      <w:r>
        <w:rPr>
          <w:szCs w:val="22"/>
          <w:lang w:val="lt-LT"/>
        </w:rPr>
        <w:t xml:space="preserve"> gali pasireikšti sunkių odos reakcijų (</w:t>
      </w:r>
      <w:r w:rsidRPr="00694C7E">
        <w:rPr>
          <w:i/>
          <w:szCs w:val="22"/>
          <w:lang w:val="lt-LT"/>
        </w:rPr>
        <w:t>Stevens-Johnson</w:t>
      </w:r>
      <w:r w:rsidRPr="00F44F3F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sindromas, toksinė epidermio nekrolizė, ūminė išplitusi egzanteminė pustuliozė). Jei atsiranda sunkaus odos pažeidimo požymių </w:t>
      </w:r>
      <w:r w:rsidRPr="00F44F3F">
        <w:rPr>
          <w:szCs w:val="22"/>
          <w:lang w:val="lt-LT"/>
        </w:rPr>
        <w:t>(</w:t>
      </w:r>
      <w:r>
        <w:rPr>
          <w:szCs w:val="22"/>
          <w:lang w:val="lt-LT"/>
        </w:rPr>
        <w:t xml:space="preserve">pvz., progresuojantis odos išbėrimas, odos pūslės ar lupimasis, gleivinės pažeidimas), būtina nutraukti </w:t>
      </w:r>
      <w:r w:rsidRPr="00F44F3F">
        <w:rPr>
          <w:szCs w:val="22"/>
          <w:lang w:val="lt-LT"/>
        </w:rPr>
        <w:t xml:space="preserve">Rovamycine </w:t>
      </w:r>
      <w:r>
        <w:rPr>
          <w:szCs w:val="22"/>
          <w:lang w:val="lt-LT"/>
        </w:rPr>
        <w:t>vartojimą ir kreiptis į gydytoją</w:t>
      </w:r>
      <w:r w:rsidRPr="00F44F3F">
        <w:rPr>
          <w:szCs w:val="22"/>
          <w:lang w:val="lt-LT"/>
        </w:rPr>
        <w:t>.</w:t>
      </w:r>
    </w:p>
    <w:p w:rsidR="00EA3D60" w:rsidRPr="00C531FE" w:rsidRDefault="00EA3D60" w:rsidP="00EA3D60">
      <w:pPr>
        <w:spacing w:line="240" w:lineRule="auto"/>
        <w:rPr>
          <w:szCs w:val="22"/>
          <w:lang w:val="lt-LT"/>
        </w:rPr>
      </w:pPr>
    </w:p>
    <w:p w:rsidR="00EA3D60" w:rsidRPr="00C531FE" w:rsidRDefault="00EA3D60" w:rsidP="00EA3D60">
      <w:pPr>
        <w:keepNext/>
        <w:jc w:val="both"/>
        <w:outlineLvl w:val="3"/>
        <w:rPr>
          <w:b/>
          <w:noProof/>
          <w:szCs w:val="22"/>
          <w:lang w:val="lt-LT"/>
        </w:rPr>
      </w:pPr>
      <w:r w:rsidRPr="00C531FE">
        <w:rPr>
          <w:b/>
          <w:noProof/>
          <w:szCs w:val="22"/>
          <w:lang w:val="lt-LT"/>
        </w:rPr>
        <w:t>Kiti vaistai ir Rovamycine</w:t>
      </w:r>
    </w:p>
    <w:p w:rsidR="00EA3D60" w:rsidRPr="00C531FE" w:rsidRDefault="00EA3D60" w:rsidP="00EA3D60">
      <w:pPr>
        <w:spacing w:line="240" w:lineRule="auto"/>
        <w:rPr>
          <w:szCs w:val="22"/>
          <w:lang w:val="lt-LT"/>
        </w:rPr>
      </w:pPr>
      <w:r w:rsidRPr="00C531FE">
        <w:rPr>
          <w:szCs w:val="22"/>
          <w:lang w:val="lt-LT"/>
        </w:rPr>
        <w:t>Jeigu vartojate arba neseniai vartojote kitų vaistų</w:t>
      </w:r>
      <w:r w:rsidRPr="00C531FE">
        <w:rPr>
          <w:noProof/>
          <w:szCs w:val="22"/>
          <w:lang w:val="lt-LT"/>
        </w:rPr>
        <w:t xml:space="preserve"> arba dėl to nesate tikri</w:t>
      </w:r>
      <w:r w:rsidRPr="00C531FE">
        <w:rPr>
          <w:szCs w:val="22"/>
          <w:lang w:val="lt-LT"/>
        </w:rPr>
        <w:t>, apie tai pasakykite gydytojui arba vaistininkui.</w:t>
      </w:r>
    </w:p>
    <w:p w:rsidR="00EA3D60" w:rsidRDefault="00EA3D60" w:rsidP="00EA3D60">
      <w:pPr>
        <w:spacing w:line="240" w:lineRule="auto"/>
        <w:rPr>
          <w:szCs w:val="22"/>
          <w:lang w:val="lt-LT"/>
        </w:rPr>
      </w:pPr>
      <w:r w:rsidRPr="00C531FE">
        <w:rPr>
          <w:szCs w:val="22"/>
          <w:lang w:val="lt-LT"/>
        </w:rPr>
        <w:t>Kartu vartojant levodopos, karbidopos pasisavinimas silpnėja ir levodopos koncentracija plazmoje mažėja. Pacientai turi būti atidžiai sekami ir jei būtina, koreguojama levodopos dozė.</w:t>
      </w:r>
    </w:p>
    <w:p w:rsidR="00EA3D60" w:rsidRPr="00C531FE" w:rsidRDefault="00EA3D60" w:rsidP="00EA3D60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Pasakykite gydytojui, jei vartojate vaistų</w:t>
      </w:r>
      <w:r w:rsidRPr="00D74C08">
        <w:rPr>
          <w:szCs w:val="22"/>
          <w:lang w:val="lt-LT"/>
        </w:rPr>
        <w:t xml:space="preserve"> nuo ritmo sutrikimo, antidepresantų, </w:t>
      </w:r>
      <w:r>
        <w:rPr>
          <w:szCs w:val="22"/>
          <w:lang w:val="lt-LT"/>
        </w:rPr>
        <w:t>vaistų</w:t>
      </w:r>
      <w:r w:rsidRPr="00D74C08">
        <w:rPr>
          <w:szCs w:val="22"/>
          <w:lang w:val="lt-LT"/>
        </w:rPr>
        <w:t xml:space="preserve"> nuo infekcinių ligų </w:t>
      </w:r>
      <w:r>
        <w:rPr>
          <w:szCs w:val="22"/>
          <w:lang w:val="lt-LT"/>
        </w:rPr>
        <w:t>ar</w:t>
      </w:r>
      <w:r w:rsidRPr="00D74C08">
        <w:rPr>
          <w:szCs w:val="22"/>
          <w:lang w:val="lt-LT"/>
        </w:rPr>
        <w:t xml:space="preserve"> </w:t>
      </w:r>
      <w:r>
        <w:rPr>
          <w:szCs w:val="22"/>
          <w:lang w:val="lt-LT"/>
        </w:rPr>
        <w:t>psichikos sutrikimų, nes gali pasireikšti elektrokardiogramoje (EKG) matomas QT intervalo pailgėjimas, galintis sukelti sunkių širdies ritmo sutrikimų.</w:t>
      </w:r>
    </w:p>
    <w:p w:rsidR="00EA3D60" w:rsidRPr="00C531FE" w:rsidRDefault="00EA3D60" w:rsidP="00EA3D6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EA3D60" w:rsidRPr="00C531FE" w:rsidRDefault="00EA3D60" w:rsidP="00EA3D60">
      <w:pPr>
        <w:spacing w:line="240" w:lineRule="auto"/>
        <w:ind w:left="567" w:hanging="567"/>
        <w:rPr>
          <w:b/>
          <w:szCs w:val="22"/>
          <w:lang w:val="lt-LT"/>
        </w:rPr>
      </w:pPr>
      <w:r w:rsidRPr="00C531FE">
        <w:rPr>
          <w:b/>
          <w:szCs w:val="22"/>
          <w:lang w:val="lt-LT"/>
        </w:rPr>
        <w:t>Nėštumas ir žindymo laikotarpis</w:t>
      </w:r>
    </w:p>
    <w:p w:rsidR="00EA3D60" w:rsidRPr="00C531FE" w:rsidRDefault="00EA3D60" w:rsidP="00EA3D60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C531FE">
        <w:rPr>
          <w:noProof/>
          <w:szCs w:val="22"/>
          <w:lang w:val="lt-LT"/>
        </w:rPr>
        <w:t xml:space="preserve">Jeigu esate nėščia, žindote kūdikį, manote, kad galbūt esate nėščia, arba planuojate pastoti, tai prieš vartodama šį vaistą, pasitarkite su </w:t>
      </w:r>
      <w:r w:rsidRPr="00C531FE">
        <w:rPr>
          <w:szCs w:val="22"/>
          <w:lang w:val="lt-LT"/>
        </w:rPr>
        <w:t>gydytoju arba vaistininku.</w:t>
      </w:r>
    </w:p>
    <w:p w:rsidR="00EA3D60" w:rsidRPr="00C531FE" w:rsidRDefault="00EA3D60" w:rsidP="00EA3D60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:rsidR="00EA3D60" w:rsidRPr="00C531FE" w:rsidRDefault="00EA3D60" w:rsidP="00EA3D60">
      <w:pPr>
        <w:spacing w:line="240" w:lineRule="auto"/>
        <w:ind w:left="567" w:hanging="567"/>
        <w:rPr>
          <w:bCs/>
          <w:i/>
          <w:iCs/>
          <w:szCs w:val="22"/>
          <w:lang w:val="lt-LT"/>
        </w:rPr>
      </w:pPr>
      <w:r w:rsidRPr="00C531FE">
        <w:rPr>
          <w:bCs/>
          <w:i/>
          <w:iCs/>
          <w:szCs w:val="22"/>
          <w:lang w:val="lt-LT"/>
        </w:rPr>
        <w:t>Nėštumas</w:t>
      </w:r>
    </w:p>
    <w:p w:rsidR="00EA3D60" w:rsidRPr="00C531FE" w:rsidRDefault="00EA3D60" w:rsidP="00EA3D60">
      <w:pPr>
        <w:keepNext/>
        <w:spacing w:line="240" w:lineRule="auto"/>
        <w:outlineLvl w:val="3"/>
        <w:rPr>
          <w:bCs/>
          <w:iCs/>
          <w:szCs w:val="22"/>
          <w:lang w:val="lt-LT"/>
        </w:rPr>
      </w:pPr>
      <w:r w:rsidRPr="00C531FE">
        <w:rPr>
          <w:bCs/>
          <w:iCs/>
          <w:szCs w:val="22"/>
          <w:lang w:val="lt-LT"/>
        </w:rPr>
        <w:t xml:space="preserve">Ar saugu vartoti spiramicino nėštumo metu, nežinoma, nes tyrimų neatlikta, tačiau iki šiol daugelį metų nėščių moterų vartotas vaistas žalingo poveikio nesukėlė. </w:t>
      </w:r>
    </w:p>
    <w:p w:rsidR="00EA3D60" w:rsidRPr="00C531FE" w:rsidRDefault="00EA3D60" w:rsidP="00EA3D60">
      <w:pPr>
        <w:rPr>
          <w:szCs w:val="22"/>
          <w:lang w:val="lt-LT"/>
        </w:rPr>
      </w:pPr>
    </w:p>
    <w:p w:rsidR="00EA3D60" w:rsidRPr="00C531FE" w:rsidRDefault="00EA3D60" w:rsidP="00EA3D60">
      <w:pPr>
        <w:spacing w:line="240" w:lineRule="auto"/>
        <w:rPr>
          <w:bCs/>
          <w:i/>
          <w:iCs/>
          <w:szCs w:val="22"/>
          <w:lang w:val="lt-LT"/>
        </w:rPr>
      </w:pPr>
      <w:r w:rsidRPr="00C531FE">
        <w:rPr>
          <w:bCs/>
          <w:i/>
          <w:iCs/>
          <w:szCs w:val="22"/>
          <w:lang w:val="lt-LT"/>
        </w:rPr>
        <w:t>Žindymo laikotarpis</w:t>
      </w:r>
    </w:p>
    <w:p w:rsidR="00EA3D60" w:rsidRPr="00C531FE" w:rsidRDefault="00EA3D60" w:rsidP="00EA3D60">
      <w:pPr>
        <w:spacing w:line="240" w:lineRule="auto"/>
        <w:rPr>
          <w:bCs/>
          <w:iCs/>
          <w:szCs w:val="22"/>
          <w:lang w:val="lt-LT"/>
        </w:rPr>
      </w:pPr>
      <w:r w:rsidRPr="00C531FE">
        <w:rPr>
          <w:bCs/>
          <w:iCs/>
          <w:szCs w:val="22"/>
          <w:lang w:val="lt-LT"/>
        </w:rPr>
        <w:t>Kadangi spiramicino prasiskverbia į motinos pieną, žindamai moteriai jo vartoti nerekomenduojama.</w:t>
      </w:r>
    </w:p>
    <w:p w:rsidR="00EA3D60" w:rsidRPr="00C531FE" w:rsidRDefault="00EA3D60" w:rsidP="00EA3D60">
      <w:pPr>
        <w:spacing w:line="240" w:lineRule="auto"/>
        <w:ind w:left="567" w:hanging="567"/>
        <w:rPr>
          <w:szCs w:val="22"/>
          <w:lang w:val="lt-LT"/>
        </w:rPr>
      </w:pPr>
    </w:p>
    <w:p w:rsidR="00EA3D60" w:rsidRPr="00C531FE" w:rsidRDefault="00EA3D60" w:rsidP="00EA3D60">
      <w:pPr>
        <w:spacing w:line="240" w:lineRule="auto"/>
        <w:ind w:left="567" w:hanging="567"/>
        <w:rPr>
          <w:b/>
          <w:szCs w:val="22"/>
          <w:lang w:val="lt-LT"/>
        </w:rPr>
      </w:pPr>
      <w:r w:rsidRPr="00C531FE">
        <w:rPr>
          <w:b/>
          <w:szCs w:val="22"/>
          <w:lang w:val="lt-LT"/>
        </w:rPr>
        <w:t>Vairavimas ir mechanizmų valdymas</w:t>
      </w:r>
    </w:p>
    <w:p w:rsidR="00EA3D60" w:rsidRPr="00C531FE" w:rsidRDefault="00EA3D60" w:rsidP="00EA3D60">
      <w:pPr>
        <w:spacing w:line="240" w:lineRule="auto"/>
        <w:ind w:left="567" w:hanging="567"/>
        <w:rPr>
          <w:szCs w:val="22"/>
          <w:lang w:val="lt-LT"/>
        </w:rPr>
      </w:pPr>
      <w:r w:rsidRPr="00C531FE">
        <w:rPr>
          <w:szCs w:val="22"/>
          <w:lang w:val="lt-LT"/>
        </w:rPr>
        <w:t>Duomenys neaktualūs.</w:t>
      </w:r>
    </w:p>
    <w:p w:rsidR="00EA3D60" w:rsidRPr="00C531FE" w:rsidRDefault="00EA3D60" w:rsidP="00EA3D6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EA3D60" w:rsidRPr="00C531FE" w:rsidRDefault="00EA3D60" w:rsidP="00EA3D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A3D60" w:rsidRPr="00C531FE" w:rsidRDefault="00EA3D60" w:rsidP="00EA3D60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caps/>
          <w:szCs w:val="22"/>
          <w:lang w:val="lt-LT"/>
        </w:rPr>
      </w:pPr>
      <w:r w:rsidRPr="00C531FE">
        <w:rPr>
          <w:b/>
          <w:szCs w:val="22"/>
          <w:lang w:val="lt-LT"/>
        </w:rPr>
        <w:t>3.</w:t>
      </w:r>
      <w:r w:rsidRPr="00C531FE">
        <w:rPr>
          <w:b/>
          <w:szCs w:val="22"/>
          <w:lang w:val="lt-LT"/>
        </w:rPr>
        <w:tab/>
        <w:t>Kaip vartoti Rovamycine</w:t>
      </w:r>
    </w:p>
    <w:p w:rsidR="00EA3D60" w:rsidRPr="00C531FE" w:rsidRDefault="00EA3D60" w:rsidP="00EA3D60">
      <w:pPr>
        <w:spacing w:line="240" w:lineRule="auto"/>
        <w:ind w:left="567" w:hanging="567"/>
        <w:rPr>
          <w:szCs w:val="22"/>
          <w:lang w:val="lt-LT"/>
        </w:rPr>
      </w:pPr>
    </w:p>
    <w:p w:rsidR="00EA3D60" w:rsidRPr="00C531FE" w:rsidRDefault="00EA3D60" w:rsidP="00EA3D60">
      <w:pPr>
        <w:spacing w:line="240" w:lineRule="auto"/>
        <w:rPr>
          <w:szCs w:val="22"/>
          <w:lang w:val="lt-LT"/>
        </w:rPr>
      </w:pPr>
      <w:r w:rsidRPr="00C531FE">
        <w:rPr>
          <w:szCs w:val="22"/>
          <w:lang w:val="lt-LT"/>
        </w:rPr>
        <w:t xml:space="preserve">Visada vartokite </w:t>
      </w:r>
      <w:r w:rsidRPr="00C531FE">
        <w:rPr>
          <w:noProof/>
          <w:szCs w:val="22"/>
          <w:lang w:val="lt-LT"/>
        </w:rPr>
        <w:t xml:space="preserve">šį vaistą </w:t>
      </w:r>
      <w:r w:rsidRPr="00C531FE">
        <w:rPr>
          <w:szCs w:val="22"/>
          <w:lang w:val="lt-LT"/>
        </w:rPr>
        <w:t>tiksliai kaip nurodė gydytojas. Jeigu abejojate, kreipkitės į gydytoją arba vaistininką.</w:t>
      </w:r>
    </w:p>
    <w:p w:rsidR="00EA3D60" w:rsidRPr="00C531FE" w:rsidRDefault="00EA3D60" w:rsidP="00EA3D60">
      <w:pPr>
        <w:keepNext/>
        <w:spacing w:line="240" w:lineRule="auto"/>
        <w:outlineLvl w:val="3"/>
        <w:rPr>
          <w:bCs/>
          <w:iCs/>
          <w:szCs w:val="22"/>
          <w:lang w:val="lt-LT"/>
        </w:rPr>
      </w:pPr>
    </w:p>
    <w:p w:rsidR="00EA3D60" w:rsidRPr="00C531FE" w:rsidRDefault="00EA3D60" w:rsidP="00EA3D60">
      <w:pPr>
        <w:keepNext/>
        <w:spacing w:line="240" w:lineRule="auto"/>
        <w:outlineLvl w:val="3"/>
        <w:rPr>
          <w:bCs/>
          <w:iCs/>
          <w:szCs w:val="22"/>
          <w:lang w:val="lt-LT"/>
        </w:rPr>
      </w:pPr>
      <w:r w:rsidRPr="00C531FE">
        <w:rPr>
          <w:bCs/>
          <w:iCs/>
          <w:szCs w:val="22"/>
          <w:lang w:val="lt-LT"/>
        </w:rPr>
        <w:t>Vaistas yra geriamas.</w:t>
      </w:r>
    </w:p>
    <w:p w:rsidR="00EA3D60" w:rsidRPr="00C531FE" w:rsidRDefault="00EA3D60" w:rsidP="00EA3D60">
      <w:pPr>
        <w:keepNext/>
        <w:spacing w:line="240" w:lineRule="auto"/>
        <w:outlineLvl w:val="3"/>
        <w:rPr>
          <w:i/>
          <w:szCs w:val="22"/>
          <w:lang w:val="lt-LT"/>
        </w:rPr>
      </w:pPr>
    </w:p>
    <w:p w:rsidR="00EA3D60" w:rsidRPr="00C531FE" w:rsidRDefault="00EA3D60" w:rsidP="00EA3D60">
      <w:pPr>
        <w:keepNext/>
        <w:spacing w:line="240" w:lineRule="auto"/>
        <w:outlineLvl w:val="3"/>
        <w:rPr>
          <w:iCs/>
          <w:szCs w:val="22"/>
          <w:u w:val="single"/>
          <w:lang w:val="lt-LT"/>
        </w:rPr>
      </w:pPr>
      <w:r w:rsidRPr="00C531FE">
        <w:rPr>
          <w:iCs/>
          <w:szCs w:val="22"/>
          <w:u w:val="single"/>
          <w:lang w:val="lt-LT"/>
        </w:rPr>
        <w:t>Dozavimas</w:t>
      </w:r>
    </w:p>
    <w:p w:rsidR="00EA3D60" w:rsidRPr="00C531FE" w:rsidRDefault="00EA3D60" w:rsidP="00EA3D60">
      <w:pPr>
        <w:spacing w:line="240" w:lineRule="auto"/>
        <w:rPr>
          <w:szCs w:val="22"/>
          <w:lang w:val="lt-LT"/>
        </w:rPr>
      </w:pPr>
    </w:p>
    <w:p w:rsidR="00EA3D60" w:rsidRPr="00C531FE" w:rsidRDefault="00EA3D60" w:rsidP="00EA3D60">
      <w:pPr>
        <w:spacing w:line="240" w:lineRule="auto"/>
        <w:rPr>
          <w:i/>
          <w:iCs/>
          <w:szCs w:val="22"/>
          <w:lang w:val="lt-LT"/>
        </w:rPr>
      </w:pPr>
      <w:r w:rsidRPr="00C531FE">
        <w:rPr>
          <w:i/>
          <w:iCs/>
          <w:szCs w:val="22"/>
          <w:lang w:val="lt-LT"/>
        </w:rPr>
        <w:t>Suaugę žmonės</w:t>
      </w:r>
    </w:p>
    <w:p w:rsidR="00EA3D60" w:rsidRPr="00C531FE" w:rsidRDefault="00EA3D60" w:rsidP="00EA3D60">
      <w:pPr>
        <w:spacing w:line="240" w:lineRule="auto"/>
        <w:rPr>
          <w:szCs w:val="22"/>
          <w:lang w:val="lt-LT"/>
        </w:rPr>
      </w:pPr>
      <w:r w:rsidRPr="00C531FE">
        <w:rPr>
          <w:szCs w:val="22"/>
          <w:lang w:val="lt-LT"/>
        </w:rPr>
        <w:t>Paprastai suaugusiam žmogui per parą reikia gerti 6 – 9 mln. TV dozę, padalytą į 2 – 3 lygias dalis.</w:t>
      </w:r>
    </w:p>
    <w:p w:rsidR="00EA3D60" w:rsidRPr="00C531FE" w:rsidRDefault="00EA3D60" w:rsidP="00EA3D60">
      <w:pPr>
        <w:spacing w:line="240" w:lineRule="auto"/>
        <w:rPr>
          <w:szCs w:val="22"/>
          <w:lang w:val="lt-LT"/>
        </w:rPr>
      </w:pPr>
      <w:r w:rsidRPr="00C531FE">
        <w:rPr>
          <w:szCs w:val="22"/>
          <w:u w:val="single"/>
          <w:lang w:val="lt-LT"/>
        </w:rPr>
        <w:t>6 mln. TV dozė</w:t>
      </w:r>
      <w:r w:rsidRPr="00C531FE">
        <w:rPr>
          <w:szCs w:val="22"/>
          <w:lang w:val="lt-LT"/>
        </w:rPr>
        <w:t xml:space="preserve">. Du kartus per parą reikia gerti po dvi 1,5 mln. TV tabletes arba po vieną 3 mln. TV tabletę. </w:t>
      </w:r>
    </w:p>
    <w:p w:rsidR="00EA3D60" w:rsidRPr="00C531FE" w:rsidRDefault="00EA3D60" w:rsidP="00EA3D60">
      <w:pPr>
        <w:spacing w:line="240" w:lineRule="auto"/>
        <w:rPr>
          <w:szCs w:val="22"/>
          <w:lang w:val="lt-LT"/>
        </w:rPr>
      </w:pPr>
      <w:r w:rsidRPr="00C531FE">
        <w:rPr>
          <w:szCs w:val="22"/>
          <w:u w:val="single"/>
          <w:lang w:val="lt-LT"/>
        </w:rPr>
        <w:t>9 mln. TV dozė</w:t>
      </w:r>
      <w:r w:rsidRPr="00C531FE">
        <w:rPr>
          <w:szCs w:val="22"/>
          <w:lang w:val="lt-LT"/>
        </w:rPr>
        <w:t xml:space="preserve">. Tris kartus per parą reikia gerti po dvi 1,5 mln. TV tabletes arba po vieną 3 mln. TV tabletę. </w:t>
      </w:r>
    </w:p>
    <w:p w:rsidR="00EA3D60" w:rsidRPr="00C531FE" w:rsidRDefault="00EA3D60" w:rsidP="00EA3D60">
      <w:pPr>
        <w:spacing w:line="240" w:lineRule="auto"/>
        <w:rPr>
          <w:szCs w:val="22"/>
          <w:lang w:val="lt-LT"/>
        </w:rPr>
      </w:pPr>
    </w:p>
    <w:p w:rsidR="00EA3D60" w:rsidRPr="00C531FE" w:rsidRDefault="00EA3D60" w:rsidP="00EA3D60">
      <w:pPr>
        <w:spacing w:line="240" w:lineRule="auto"/>
        <w:rPr>
          <w:szCs w:val="22"/>
          <w:lang w:val="lt-LT"/>
        </w:rPr>
      </w:pPr>
      <w:r w:rsidRPr="00C531FE">
        <w:rPr>
          <w:szCs w:val="22"/>
          <w:lang w:val="lt-LT"/>
        </w:rPr>
        <w:t xml:space="preserve">Sergant faringitu ar bendruomenėje įgytu plaučių uždegimu, įprastinė paros dozė suaugusiesiems </w:t>
      </w:r>
      <w:r>
        <w:rPr>
          <w:szCs w:val="22"/>
          <w:lang w:val="lt-LT"/>
        </w:rPr>
        <w:t xml:space="preserve">- </w:t>
      </w:r>
      <w:r w:rsidRPr="00C531FE">
        <w:rPr>
          <w:szCs w:val="22"/>
          <w:lang w:val="lt-LT"/>
        </w:rPr>
        <w:t>6 mln. TV.</w:t>
      </w:r>
    </w:p>
    <w:p w:rsidR="00EA3D60" w:rsidRPr="00C531FE" w:rsidRDefault="00EA3D60" w:rsidP="00EA3D60">
      <w:pPr>
        <w:spacing w:line="240" w:lineRule="auto"/>
        <w:rPr>
          <w:szCs w:val="22"/>
          <w:lang w:val="lt-LT"/>
        </w:rPr>
      </w:pPr>
    </w:p>
    <w:p w:rsidR="00EA3D60" w:rsidRPr="00C531FE" w:rsidRDefault="00EA3D60" w:rsidP="00EA3D60">
      <w:pPr>
        <w:spacing w:line="240" w:lineRule="auto"/>
        <w:rPr>
          <w:i/>
          <w:szCs w:val="22"/>
          <w:lang w:val="lt-LT"/>
        </w:rPr>
      </w:pPr>
      <w:r w:rsidRPr="00C531FE">
        <w:rPr>
          <w:szCs w:val="22"/>
          <w:lang w:val="lt-LT"/>
        </w:rPr>
        <w:t>Nėščioms moterims sergant toksoplazmoze, įprastinė paros dozė - 9 mln. TV.</w:t>
      </w:r>
    </w:p>
    <w:p w:rsidR="00EA3D60" w:rsidRPr="00C531FE" w:rsidRDefault="00EA3D60" w:rsidP="00EA3D60">
      <w:pPr>
        <w:spacing w:line="240" w:lineRule="auto"/>
        <w:rPr>
          <w:szCs w:val="22"/>
          <w:lang w:val="lt-LT"/>
        </w:rPr>
      </w:pPr>
    </w:p>
    <w:p w:rsidR="00EA3D60" w:rsidRPr="00C531FE" w:rsidRDefault="00EA3D60" w:rsidP="00EA3D60">
      <w:pPr>
        <w:keepNext/>
        <w:jc w:val="both"/>
        <w:outlineLvl w:val="3"/>
        <w:rPr>
          <w:b/>
          <w:noProof/>
          <w:szCs w:val="22"/>
          <w:lang w:val="lt-LT"/>
        </w:rPr>
      </w:pPr>
      <w:r w:rsidRPr="00C531FE">
        <w:rPr>
          <w:b/>
          <w:noProof/>
          <w:szCs w:val="22"/>
          <w:lang w:val="lt-LT"/>
        </w:rPr>
        <w:t>Vartojimas vaikams ir paaugliams</w:t>
      </w:r>
    </w:p>
    <w:p w:rsidR="00EA3D60" w:rsidRPr="00C531FE" w:rsidRDefault="00EA3D60" w:rsidP="00EA3D60">
      <w:pPr>
        <w:spacing w:line="240" w:lineRule="auto"/>
        <w:rPr>
          <w:i/>
          <w:iCs/>
          <w:szCs w:val="22"/>
          <w:lang w:val="lt-LT"/>
        </w:rPr>
      </w:pPr>
      <w:r w:rsidRPr="00C531FE">
        <w:rPr>
          <w:i/>
          <w:iCs/>
          <w:szCs w:val="22"/>
          <w:lang w:val="lt-LT"/>
        </w:rPr>
        <w:t>Vaikai, sveriantys 20 kg arba daugiau</w:t>
      </w:r>
    </w:p>
    <w:p w:rsidR="00EA3D60" w:rsidRPr="00C531FE" w:rsidRDefault="00EA3D60" w:rsidP="00EA3D60">
      <w:pPr>
        <w:spacing w:line="240" w:lineRule="auto"/>
        <w:rPr>
          <w:szCs w:val="22"/>
          <w:lang w:val="lt-LT"/>
        </w:rPr>
      </w:pPr>
      <w:r w:rsidRPr="00C531FE">
        <w:rPr>
          <w:szCs w:val="22"/>
          <w:lang w:val="lt-LT"/>
        </w:rPr>
        <w:t>Vaikams per parą reikia gerti 1,5 – 3 mln. TV /10 kg kūno svorio dozę, padalytą į 2 – 3 lygias dalis.</w:t>
      </w:r>
    </w:p>
    <w:p w:rsidR="00EA3D60" w:rsidRPr="00C531FE" w:rsidRDefault="00EA3D60" w:rsidP="00EA3D60">
      <w:pPr>
        <w:spacing w:line="240" w:lineRule="auto"/>
        <w:rPr>
          <w:szCs w:val="22"/>
          <w:lang w:val="lt-LT"/>
        </w:rPr>
      </w:pPr>
      <w:r w:rsidRPr="00C531FE">
        <w:rPr>
          <w:szCs w:val="22"/>
          <w:lang w:val="lt-LT"/>
        </w:rPr>
        <w:t>Šis vaistas gali būti skiriamas vaikams nuo 6 metų amžiaus.</w:t>
      </w:r>
    </w:p>
    <w:p w:rsidR="00EA3D60" w:rsidRPr="00C531FE" w:rsidRDefault="00EA3D60" w:rsidP="00EA3D60">
      <w:pPr>
        <w:spacing w:line="240" w:lineRule="auto"/>
        <w:rPr>
          <w:szCs w:val="22"/>
          <w:lang w:val="lt-LT"/>
        </w:rPr>
      </w:pPr>
    </w:p>
    <w:p w:rsidR="00EA3D60" w:rsidRPr="00C531FE" w:rsidRDefault="00EA3D60" w:rsidP="00EA3D60">
      <w:pPr>
        <w:keepNext/>
        <w:keepLines/>
        <w:spacing w:line="240" w:lineRule="auto"/>
        <w:rPr>
          <w:i/>
          <w:iCs/>
          <w:szCs w:val="22"/>
          <w:u w:val="single"/>
          <w:lang w:val="lt-LT"/>
        </w:rPr>
      </w:pPr>
      <w:r w:rsidRPr="00C531FE">
        <w:rPr>
          <w:i/>
          <w:iCs/>
          <w:szCs w:val="22"/>
          <w:u w:val="single"/>
          <w:lang w:val="lt-LT"/>
        </w:rPr>
        <w:t>Specialių grupių pacientai</w:t>
      </w:r>
    </w:p>
    <w:p w:rsidR="00EA3D60" w:rsidRPr="00C531FE" w:rsidRDefault="00EA3D60" w:rsidP="00EA3D60">
      <w:pPr>
        <w:keepNext/>
        <w:keepLines/>
        <w:spacing w:line="240" w:lineRule="auto"/>
        <w:rPr>
          <w:i/>
          <w:iCs/>
          <w:szCs w:val="22"/>
          <w:lang w:val="lt-LT"/>
        </w:rPr>
      </w:pPr>
      <w:r w:rsidRPr="00C531FE">
        <w:rPr>
          <w:i/>
          <w:iCs/>
          <w:szCs w:val="22"/>
          <w:lang w:val="lt-LT"/>
        </w:rPr>
        <w:t>Pacientai, kurių inkstų funkcija sutrikusi</w:t>
      </w:r>
    </w:p>
    <w:p w:rsidR="00EA3D60" w:rsidRPr="00C531FE" w:rsidRDefault="00EA3D60" w:rsidP="00EA3D60">
      <w:pPr>
        <w:keepNext/>
        <w:keepLines/>
        <w:spacing w:line="240" w:lineRule="auto"/>
        <w:rPr>
          <w:szCs w:val="22"/>
          <w:lang w:val="lt-LT"/>
        </w:rPr>
      </w:pPr>
      <w:r w:rsidRPr="00C531FE">
        <w:rPr>
          <w:szCs w:val="22"/>
          <w:lang w:val="lt-LT"/>
        </w:rPr>
        <w:t xml:space="preserve">Kadangi vaisto su šlapimu išsiskiria labai mažai, dozės koreguoti nereikia. </w:t>
      </w:r>
    </w:p>
    <w:p w:rsidR="00EA3D60" w:rsidRPr="00C531FE" w:rsidRDefault="00EA3D60" w:rsidP="00EA3D60">
      <w:pPr>
        <w:spacing w:line="240" w:lineRule="auto"/>
        <w:rPr>
          <w:szCs w:val="22"/>
          <w:lang w:val="lt-LT"/>
        </w:rPr>
      </w:pPr>
    </w:p>
    <w:p w:rsidR="00EA3D60" w:rsidRPr="00C531FE" w:rsidRDefault="00EA3D60" w:rsidP="00EA3D60">
      <w:pPr>
        <w:spacing w:line="240" w:lineRule="auto"/>
        <w:rPr>
          <w:i/>
          <w:szCs w:val="22"/>
          <w:lang w:val="lt-LT"/>
        </w:rPr>
      </w:pPr>
      <w:r w:rsidRPr="00C531FE">
        <w:rPr>
          <w:i/>
          <w:szCs w:val="22"/>
          <w:lang w:val="lt-LT"/>
        </w:rPr>
        <w:t>Pacientai, kurių kepenų funkcija sutrikusi ir senyvi pacientai</w:t>
      </w:r>
    </w:p>
    <w:p w:rsidR="00EA3D60" w:rsidRPr="00C531FE" w:rsidRDefault="00EA3D60" w:rsidP="00EA3D60">
      <w:pPr>
        <w:spacing w:line="240" w:lineRule="auto"/>
        <w:rPr>
          <w:szCs w:val="22"/>
          <w:lang w:val="lt-LT"/>
        </w:rPr>
      </w:pPr>
      <w:r w:rsidRPr="00C531FE">
        <w:rPr>
          <w:szCs w:val="22"/>
          <w:lang w:val="lt-LT"/>
        </w:rPr>
        <w:t>Dozės koreguoti nereikia.</w:t>
      </w:r>
    </w:p>
    <w:p w:rsidR="00EA3D60" w:rsidRPr="00C531FE" w:rsidRDefault="00EA3D60" w:rsidP="00EA3D60">
      <w:pPr>
        <w:spacing w:line="240" w:lineRule="auto"/>
        <w:ind w:left="567" w:hanging="567"/>
        <w:rPr>
          <w:szCs w:val="22"/>
          <w:lang w:val="lt-LT"/>
        </w:rPr>
      </w:pPr>
    </w:p>
    <w:p w:rsidR="00EA3D60" w:rsidRPr="00C531FE" w:rsidRDefault="00EA3D60" w:rsidP="00EA3D60">
      <w:pPr>
        <w:spacing w:line="240" w:lineRule="auto"/>
        <w:ind w:left="567" w:hanging="567"/>
        <w:rPr>
          <w:b/>
          <w:szCs w:val="22"/>
          <w:lang w:val="lt-LT"/>
        </w:rPr>
      </w:pPr>
      <w:r w:rsidRPr="00C531FE">
        <w:rPr>
          <w:b/>
          <w:szCs w:val="22"/>
          <w:lang w:val="lt-LT"/>
        </w:rPr>
        <w:t>Ką daryti pavartojus per didelę Rovamycine dozę?</w:t>
      </w:r>
    </w:p>
    <w:p w:rsidR="00EA3D60" w:rsidRPr="00C531FE" w:rsidRDefault="00EA3D60" w:rsidP="00EA3D60">
      <w:pPr>
        <w:tabs>
          <w:tab w:val="clear" w:pos="567"/>
          <w:tab w:val="left" w:pos="0"/>
        </w:tabs>
        <w:spacing w:line="240" w:lineRule="auto"/>
        <w:rPr>
          <w:b/>
          <w:szCs w:val="22"/>
          <w:lang w:val="lt-LT"/>
        </w:rPr>
      </w:pPr>
      <w:r w:rsidRPr="00C531FE">
        <w:rPr>
          <w:szCs w:val="22"/>
          <w:lang w:val="lt-LT"/>
        </w:rPr>
        <w:t>Specifinio priešnuodžio nėra. Jei įtariama, kad vaisto perdozuota labai daug, rekomenduojamas simptominis ir palaikomasis gydymas.</w:t>
      </w:r>
      <w:r>
        <w:rPr>
          <w:szCs w:val="22"/>
          <w:lang w:val="lt-LT"/>
        </w:rPr>
        <w:t xml:space="preserve"> Perdozavus gydytojas gali paskirti stebėti Jūsų elektrokardiogramą (EKG).</w:t>
      </w:r>
    </w:p>
    <w:p w:rsidR="00EA3D60" w:rsidRPr="00C531FE" w:rsidRDefault="00EA3D60" w:rsidP="00EA3D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A3D60" w:rsidRPr="00C531FE" w:rsidRDefault="00EA3D60" w:rsidP="00EA3D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C531FE">
        <w:rPr>
          <w:szCs w:val="22"/>
          <w:lang w:val="lt-LT"/>
        </w:rPr>
        <w:t>Jeigu kiltų bet kokių klausimų dėl šio vaisto vartojimo, kreipkitės į gydytoją arba vaistininką.</w:t>
      </w:r>
    </w:p>
    <w:p w:rsidR="00EA3D60" w:rsidRPr="00C531FE" w:rsidRDefault="00EA3D60" w:rsidP="00EA3D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A3D60" w:rsidRPr="00C531FE" w:rsidRDefault="00EA3D60" w:rsidP="00EA3D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A3D60" w:rsidRPr="00C531FE" w:rsidRDefault="00EA3D60" w:rsidP="00EA3D60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caps/>
          <w:szCs w:val="22"/>
          <w:lang w:val="lt-LT"/>
        </w:rPr>
      </w:pPr>
      <w:r w:rsidRPr="00C531FE">
        <w:rPr>
          <w:b/>
          <w:caps/>
          <w:szCs w:val="22"/>
          <w:lang w:val="lt-LT"/>
        </w:rPr>
        <w:t>4.</w:t>
      </w:r>
      <w:r w:rsidRPr="00C531FE">
        <w:rPr>
          <w:b/>
          <w:caps/>
          <w:szCs w:val="22"/>
          <w:lang w:val="lt-LT"/>
        </w:rPr>
        <w:tab/>
      </w:r>
      <w:r w:rsidRPr="00C531FE">
        <w:rPr>
          <w:b/>
          <w:szCs w:val="22"/>
          <w:lang w:val="lt-LT"/>
        </w:rPr>
        <w:t>Galimas šalutinis poveikis</w:t>
      </w:r>
    </w:p>
    <w:p w:rsidR="00EA3D60" w:rsidRPr="00C531FE" w:rsidRDefault="00EA3D60" w:rsidP="00EA3D60">
      <w:pPr>
        <w:spacing w:line="240" w:lineRule="auto"/>
        <w:ind w:left="567" w:hanging="567"/>
        <w:rPr>
          <w:szCs w:val="22"/>
          <w:lang w:val="lt-LT"/>
        </w:rPr>
      </w:pPr>
    </w:p>
    <w:p w:rsidR="00EA3D60" w:rsidRPr="00C531FE" w:rsidRDefault="00EA3D60" w:rsidP="00EA3D60">
      <w:pPr>
        <w:spacing w:line="240" w:lineRule="auto"/>
        <w:ind w:left="567" w:hanging="567"/>
        <w:rPr>
          <w:szCs w:val="22"/>
          <w:lang w:val="lt-LT"/>
        </w:rPr>
      </w:pPr>
      <w:r w:rsidRPr="00C531FE">
        <w:rPr>
          <w:szCs w:val="22"/>
          <w:lang w:val="lt-LT"/>
        </w:rPr>
        <w:t>Šis vaistas, kaip ir visi kiti, gali sukelti šalutinį poveikį, nors jis pasireiškia ne visiems žmonėms.</w:t>
      </w:r>
    </w:p>
    <w:p w:rsidR="00EA3D60" w:rsidRPr="00C531FE" w:rsidRDefault="00EA3D60" w:rsidP="00EA3D60">
      <w:pPr>
        <w:spacing w:line="240" w:lineRule="auto"/>
        <w:ind w:left="567" w:hanging="567"/>
        <w:rPr>
          <w:szCs w:val="22"/>
          <w:lang w:val="lt-LT"/>
        </w:rPr>
      </w:pPr>
    </w:p>
    <w:p w:rsidR="00EA3D60" w:rsidRPr="00C531FE" w:rsidRDefault="00EA3D60" w:rsidP="00EA3D60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C531FE">
        <w:rPr>
          <w:szCs w:val="22"/>
          <w:lang w:val="lt-LT"/>
        </w:rPr>
        <w:t xml:space="preserve">Nepageidaujami poveikiai suklasifikuoti į grupes pagal dažnį naudojant šį susitarimą: </w:t>
      </w:r>
      <w:r>
        <w:rPr>
          <w:szCs w:val="22"/>
          <w:lang w:val="lt-LT"/>
        </w:rPr>
        <w:t>l</w:t>
      </w:r>
      <w:r w:rsidRPr="00C531FE">
        <w:rPr>
          <w:szCs w:val="22"/>
          <w:lang w:val="lt-LT"/>
        </w:rPr>
        <w:t>abai dažni (≥1/10), dažni (nuo ≥1/100 iki &lt;1/10), nedažni (nuo ≥1/1000 iki &lt;1/100), reti (nuo ≥1/10000 iki &lt;1/1000), labai reti (&lt;1/10000), dažnis nežinomas (negali būti įvertintas pagal turimus duomenis).</w:t>
      </w:r>
    </w:p>
    <w:p w:rsidR="00EA3D60" w:rsidRPr="00C531FE" w:rsidRDefault="00EA3D60" w:rsidP="00EA3D60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:rsidR="00EA3D60" w:rsidRPr="00C531FE" w:rsidRDefault="00EA3D60" w:rsidP="00EA3D6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531FE">
        <w:rPr>
          <w:i/>
          <w:iCs/>
          <w:szCs w:val="22"/>
          <w:lang w:val="lt-LT"/>
        </w:rPr>
        <w:t>Virškinimo trakto sutrikimai</w:t>
      </w:r>
    </w:p>
    <w:p w:rsidR="00EA3D60" w:rsidRPr="00C531FE" w:rsidRDefault="00EA3D60" w:rsidP="00EA3D6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531FE">
        <w:rPr>
          <w:szCs w:val="22"/>
          <w:lang w:val="lt-LT"/>
        </w:rPr>
        <w:t xml:space="preserve">Dažni: </w:t>
      </w:r>
      <w:r>
        <w:rPr>
          <w:szCs w:val="22"/>
          <w:lang w:val="lt-LT"/>
        </w:rPr>
        <w:t xml:space="preserve">pilvo skausmas, </w:t>
      </w:r>
      <w:r w:rsidRPr="00C531FE">
        <w:rPr>
          <w:szCs w:val="22"/>
          <w:lang w:val="lt-LT"/>
        </w:rPr>
        <w:t>pykinimas, vėmimas, viduriavimas, pseudomembraninis kolitas (storosios žarnos uždegimas, kurį išprovokuoja antibiotikų vartojimas).</w:t>
      </w:r>
    </w:p>
    <w:p w:rsidR="00EA3D60" w:rsidRPr="00C531FE" w:rsidRDefault="00EA3D60" w:rsidP="00EA3D60">
      <w:pPr>
        <w:tabs>
          <w:tab w:val="clear" w:pos="567"/>
        </w:tabs>
        <w:spacing w:line="240" w:lineRule="auto"/>
        <w:rPr>
          <w:i/>
          <w:iCs/>
          <w:szCs w:val="22"/>
          <w:lang w:val="lt-LT"/>
        </w:rPr>
      </w:pPr>
    </w:p>
    <w:p w:rsidR="00EA3D60" w:rsidRPr="00C531FE" w:rsidRDefault="00EA3D60" w:rsidP="00EA3D6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531FE">
        <w:rPr>
          <w:i/>
          <w:iCs/>
          <w:szCs w:val="22"/>
          <w:lang w:val="lt-LT"/>
        </w:rPr>
        <w:t>Odos ir poodinio audinio sutrikimai</w:t>
      </w:r>
      <w:r w:rsidRPr="00C531FE">
        <w:rPr>
          <w:szCs w:val="22"/>
          <w:lang w:val="lt-LT"/>
        </w:rPr>
        <w:t xml:space="preserve"> </w:t>
      </w:r>
    </w:p>
    <w:p w:rsidR="00EA3D60" w:rsidRPr="00C531FE" w:rsidRDefault="00EA3D60" w:rsidP="00EA3D6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531FE">
        <w:rPr>
          <w:szCs w:val="22"/>
          <w:lang w:val="lt-LT"/>
        </w:rPr>
        <w:t>Dažni: išbėrimas.</w:t>
      </w:r>
    </w:p>
    <w:p w:rsidR="00EA3D60" w:rsidRPr="00C531FE" w:rsidRDefault="00EA3D60" w:rsidP="00EA3D6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531FE">
        <w:rPr>
          <w:szCs w:val="22"/>
          <w:lang w:val="lt-LT"/>
        </w:rPr>
        <w:t>Dažnis nežinomas: niežėjimas, dilgėlinė (odą išberia niežtinčiais spuogais), angioneurozinė edema (sunkus veido, liežuvio, ryklės arba gerklų pabrinkimas)</w:t>
      </w:r>
      <w:r>
        <w:rPr>
          <w:szCs w:val="22"/>
          <w:lang w:val="lt-LT"/>
        </w:rPr>
        <w:t>, sunkios odos reakcijos (</w:t>
      </w:r>
      <w:r w:rsidRPr="00694C7E">
        <w:rPr>
          <w:i/>
          <w:szCs w:val="22"/>
          <w:lang w:val="lt-LT"/>
        </w:rPr>
        <w:t>Stevens-Johnson</w:t>
      </w:r>
      <w:r w:rsidRPr="00F44F3F">
        <w:rPr>
          <w:szCs w:val="22"/>
          <w:lang w:val="lt-LT"/>
        </w:rPr>
        <w:t xml:space="preserve"> </w:t>
      </w:r>
      <w:r>
        <w:rPr>
          <w:szCs w:val="22"/>
          <w:lang w:val="lt-LT"/>
        </w:rPr>
        <w:t>sindromas, toksinė epidermio nekrolizė, ūminė išplitusi egzanteminė pustuliozė), kurioms būdingas progresuojantis odos išbėrimas, odos pūslės ar lupimasis</w:t>
      </w:r>
      <w:r w:rsidRPr="00F77A3B">
        <w:rPr>
          <w:szCs w:val="22"/>
          <w:lang w:val="lt-LT"/>
        </w:rPr>
        <w:t xml:space="preserve"> </w:t>
      </w:r>
      <w:r>
        <w:rPr>
          <w:szCs w:val="22"/>
          <w:lang w:val="lt-LT"/>
        </w:rPr>
        <w:t>ir gleivinės pažeidimas</w:t>
      </w:r>
      <w:r w:rsidRPr="00C531FE">
        <w:rPr>
          <w:szCs w:val="22"/>
          <w:lang w:val="lt-LT"/>
        </w:rPr>
        <w:t>.</w:t>
      </w:r>
    </w:p>
    <w:p w:rsidR="00EA3D60" w:rsidRPr="00C531FE" w:rsidRDefault="00EA3D60" w:rsidP="00EA3D6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EA3D60" w:rsidRPr="00C531FE" w:rsidRDefault="00EA3D60" w:rsidP="00EA3D60">
      <w:pPr>
        <w:tabs>
          <w:tab w:val="clear" w:pos="567"/>
        </w:tabs>
        <w:spacing w:line="240" w:lineRule="auto"/>
        <w:rPr>
          <w:i/>
          <w:szCs w:val="22"/>
          <w:lang w:val="lt-LT"/>
        </w:rPr>
      </w:pPr>
      <w:r w:rsidRPr="00C531FE">
        <w:rPr>
          <w:i/>
          <w:szCs w:val="22"/>
          <w:lang w:val="lt-LT"/>
        </w:rPr>
        <w:t>Imuninės sistemos sutrikimai</w:t>
      </w:r>
    </w:p>
    <w:p w:rsidR="00EA3D60" w:rsidRPr="00C531FE" w:rsidRDefault="00EA3D60" w:rsidP="00EA3D6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531FE">
        <w:rPr>
          <w:szCs w:val="22"/>
          <w:lang w:val="lt-LT"/>
        </w:rPr>
        <w:t>Dažnis nežinomas: anafilaksinis šokas (staigiai pasireiškia sunki alerginė reakcija), vaskulitas (kraujagyslių uždegimas), Henocho ir Schonleino purpura (viena iš sisteminio kraujagyslių uždegimo formų).</w:t>
      </w:r>
    </w:p>
    <w:p w:rsidR="00EA3D60" w:rsidRPr="00C531FE" w:rsidRDefault="00EA3D60" w:rsidP="00EA3D6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EA3D60" w:rsidRPr="00C531FE" w:rsidRDefault="00EA3D60" w:rsidP="00EA3D6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531FE">
        <w:rPr>
          <w:i/>
          <w:iCs/>
          <w:szCs w:val="22"/>
          <w:lang w:val="lt-LT"/>
        </w:rPr>
        <w:t>Nervų sistemos sutrikimai</w:t>
      </w:r>
    </w:p>
    <w:p w:rsidR="00EA3D60" w:rsidRDefault="00EA3D60" w:rsidP="00EA3D60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Labai d</w:t>
      </w:r>
      <w:r w:rsidRPr="00C531FE">
        <w:rPr>
          <w:szCs w:val="22"/>
          <w:lang w:val="lt-LT"/>
        </w:rPr>
        <w:t xml:space="preserve">ažni: </w:t>
      </w:r>
      <w:r>
        <w:rPr>
          <w:szCs w:val="22"/>
          <w:lang w:val="lt-LT"/>
        </w:rPr>
        <w:t>laikina</w:t>
      </w:r>
      <w:r w:rsidRPr="00C531FE">
        <w:rPr>
          <w:szCs w:val="22"/>
          <w:lang w:val="lt-LT"/>
        </w:rPr>
        <w:t xml:space="preserve"> parestezija (jutimo sutrikimas).</w:t>
      </w:r>
    </w:p>
    <w:p w:rsidR="00EA3D60" w:rsidRDefault="00EA3D60" w:rsidP="00EA3D60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Dažni: laikinas skonio pojūčio sutrikimas.</w:t>
      </w:r>
    </w:p>
    <w:p w:rsidR="00EA3D60" w:rsidRDefault="00EA3D60" w:rsidP="00EA3D6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EA3D60" w:rsidRPr="00C531FE" w:rsidRDefault="00EA3D60" w:rsidP="00EA3D60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i/>
          <w:iCs/>
          <w:szCs w:val="22"/>
          <w:lang w:val="lt-LT"/>
        </w:rPr>
        <w:t>Širdies sutrikimai</w:t>
      </w:r>
    </w:p>
    <w:p w:rsidR="00EA3D60" w:rsidRPr="00C531FE" w:rsidRDefault="00EA3D60" w:rsidP="00EA3D60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Dažnis nežinomas</w:t>
      </w:r>
      <w:r w:rsidRPr="00C531FE">
        <w:rPr>
          <w:szCs w:val="22"/>
          <w:lang w:val="lt-LT"/>
        </w:rPr>
        <w:t xml:space="preserve">: </w:t>
      </w:r>
      <w:r>
        <w:rPr>
          <w:szCs w:val="22"/>
          <w:lang w:val="lt-LT"/>
        </w:rPr>
        <w:t xml:space="preserve">įvairūs širdies ritmo sutrikimai (tarp jų ir sunkūs, galintys sukelti širdies sustojimą). </w:t>
      </w:r>
    </w:p>
    <w:p w:rsidR="00EA3D60" w:rsidRPr="00C531FE" w:rsidRDefault="00EA3D60" w:rsidP="00EA3D60">
      <w:pPr>
        <w:tabs>
          <w:tab w:val="clear" w:pos="567"/>
        </w:tabs>
        <w:spacing w:line="240" w:lineRule="auto"/>
        <w:rPr>
          <w:i/>
          <w:iCs/>
          <w:szCs w:val="22"/>
          <w:lang w:val="lt-LT"/>
        </w:rPr>
      </w:pPr>
    </w:p>
    <w:p w:rsidR="00EA3D60" w:rsidRPr="00C531FE" w:rsidRDefault="00EA3D60" w:rsidP="00EA3D6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531FE">
        <w:rPr>
          <w:i/>
          <w:iCs/>
          <w:szCs w:val="22"/>
          <w:lang w:val="lt-LT"/>
        </w:rPr>
        <w:t>Kraujo ir limfinė sistema</w:t>
      </w:r>
      <w:r w:rsidRPr="00C531FE">
        <w:rPr>
          <w:szCs w:val="22"/>
          <w:lang w:val="lt-LT"/>
        </w:rPr>
        <w:t xml:space="preserve"> </w:t>
      </w:r>
    </w:p>
    <w:p w:rsidR="00EA3D60" w:rsidRPr="00C531FE" w:rsidRDefault="00EA3D60" w:rsidP="00EA3D6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531FE">
        <w:rPr>
          <w:szCs w:val="22"/>
          <w:lang w:val="lt-LT"/>
        </w:rPr>
        <w:t>Dažnis nežinomas: ūminė hemolizė (eritrocitų irimas) (žr. 2 skyriaus poskyrį “Įspėjimai ir atsargumo priemonės”)</w:t>
      </w:r>
      <w:r>
        <w:rPr>
          <w:szCs w:val="22"/>
          <w:lang w:val="lt-LT"/>
        </w:rPr>
        <w:t>, baltųjų kraujo ląstelių kiekio sumažėjimas (neutropenija, leukopenija).</w:t>
      </w:r>
    </w:p>
    <w:p w:rsidR="00EA3D60" w:rsidRPr="00C531FE" w:rsidRDefault="00EA3D60" w:rsidP="00EA3D60">
      <w:pPr>
        <w:spacing w:line="240" w:lineRule="auto"/>
        <w:ind w:left="567" w:hanging="567"/>
        <w:rPr>
          <w:szCs w:val="22"/>
          <w:lang w:val="lt-LT"/>
        </w:rPr>
      </w:pPr>
    </w:p>
    <w:p w:rsidR="00EA3D60" w:rsidRPr="00C531FE" w:rsidRDefault="00EA3D60" w:rsidP="00EA3D60">
      <w:pPr>
        <w:spacing w:line="240" w:lineRule="auto"/>
        <w:rPr>
          <w:i/>
          <w:szCs w:val="22"/>
          <w:lang w:val="lt-LT"/>
        </w:rPr>
      </w:pPr>
      <w:r w:rsidRPr="00C531FE">
        <w:rPr>
          <w:i/>
          <w:szCs w:val="22"/>
          <w:lang w:val="lt-LT"/>
        </w:rPr>
        <w:t>Kepenų, tulžies pūslės ir latakų sutrikimai</w:t>
      </w:r>
    </w:p>
    <w:p w:rsidR="00EA3D60" w:rsidRPr="00C531FE" w:rsidRDefault="00EA3D60" w:rsidP="00EA3D60">
      <w:pPr>
        <w:spacing w:line="240" w:lineRule="auto"/>
        <w:rPr>
          <w:szCs w:val="22"/>
          <w:lang w:val="lt-LT"/>
        </w:rPr>
      </w:pPr>
      <w:r w:rsidRPr="00C531FE">
        <w:rPr>
          <w:szCs w:val="22"/>
          <w:lang w:val="lt-LT"/>
        </w:rPr>
        <w:t>Dažnis nežinomas: kepenų pažeidimas, įskaitant hepatoceliulinį (kepenų uždegimą, kai pažeidžiamos kepenų ląstelės) ir cholestazinį (kepenų uždegimą, kai sutrinka tulžies tekėjimas) hepatitą.</w:t>
      </w:r>
    </w:p>
    <w:p w:rsidR="00EA3D60" w:rsidRPr="00C531FE" w:rsidRDefault="00EA3D60" w:rsidP="00EA3D60">
      <w:pPr>
        <w:spacing w:line="240" w:lineRule="auto"/>
        <w:ind w:left="567" w:hanging="567"/>
        <w:rPr>
          <w:i/>
          <w:iCs/>
          <w:szCs w:val="22"/>
          <w:lang w:val="lt-LT"/>
        </w:rPr>
      </w:pPr>
    </w:p>
    <w:p w:rsidR="00EA3D60" w:rsidRPr="00C531FE" w:rsidRDefault="00EA3D60" w:rsidP="00EA3D60">
      <w:pPr>
        <w:spacing w:line="240" w:lineRule="auto"/>
        <w:ind w:left="567" w:hanging="567"/>
        <w:rPr>
          <w:i/>
          <w:iCs/>
          <w:szCs w:val="22"/>
          <w:lang w:val="lt-LT"/>
        </w:rPr>
      </w:pPr>
      <w:r w:rsidRPr="00C531FE">
        <w:rPr>
          <w:i/>
          <w:iCs/>
          <w:szCs w:val="22"/>
          <w:lang w:val="lt-LT"/>
        </w:rPr>
        <w:t>Tyrimai</w:t>
      </w:r>
    </w:p>
    <w:p w:rsidR="00EA3D60" w:rsidRPr="00C531FE" w:rsidRDefault="00EA3D60" w:rsidP="00EA3D6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531FE">
        <w:rPr>
          <w:szCs w:val="22"/>
          <w:lang w:val="lt-LT"/>
        </w:rPr>
        <w:lastRenderedPageBreak/>
        <w:t>Dažnis nežinomas: kepenų funkcijos tyrimo rodmenų pokytis</w:t>
      </w:r>
      <w:r>
        <w:rPr>
          <w:szCs w:val="22"/>
          <w:lang w:val="lt-LT"/>
        </w:rPr>
        <w:t>, elektrokardiogramos pokyčiai (QT intervalo pailgėjimas)</w:t>
      </w:r>
      <w:r w:rsidRPr="00C531FE">
        <w:rPr>
          <w:szCs w:val="22"/>
          <w:lang w:val="lt-LT"/>
        </w:rPr>
        <w:t>.</w:t>
      </w:r>
    </w:p>
    <w:p w:rsidR="00EA3D60" w:rsidRPr="00C531FE" w:rsidRDefault="00EA3D60" w:rsidP="00EA3D60">
      <w:pPr>
        <w:spacing w:line="240" w:lineRule="auto"/>
        <w:ind w:left="567" w:hanging="567"/>
        <w:rPr>
          <w:szCs w:val="22"/>
          <w:lang w:val="lt-LT"/>
        </w:rPr>
      </w:pPr>
    </w:p>
    <w:p w:rsidR="00EA3D60" w:rsidRPr="00C531FE" w:rsidRDefault="00EA3D60" w:rsidP="00EA3D60">
      <w:pPr>
        <w:spacing w:line="240" w:lineRule="auto"/>
        <w:rPr>
          <w:b/>
          <w:szCs w:val="22"/>
          <w:lang w:val="lt-LT"/>
        </w:rPr>
      </w:pPr>
      <w:r w:rsidRPr="00C531FE">
        <w:rPr>
          <w:b/>
          <w:noProof/>
          <w:szCs w:val="22"/>
          <w:lang w:val="lt-LT"/>
        </w:rPr>
        <w:t>Pranešimas apie šalutinį poveikį</w:t>
      </w:r>
    </w:p>
    <w:p w:rsidR="00EA3D60" w:rsidRPr="00C531FE" w:rsidRDefault="00EA3D60" w:rsidP="00EA3D60">
      <w:pPr>
        <w:rPr>
          <w:szCs w:val="22"/>
          <w:lang w:val="lt-LT"/>
        </w:rPr>
      </w:pPr>
      <w:r w:rsidRPr="002C0571">
        <w:rPr>
          <w:lang w:val="lt-LT"/>
        </w:rPr>
        <w:t>Jeigu pasireiškė šalutinis poveikis</w:t>
      </w:r>
      <w:r w:rsidRPr="002C0571">
        <w:rPr>
          <w:noProof/>
          <w:snapToGrid w:val="0"/>
          <w:lang w:val="lt-LT"/>
        </w:rPr>
        <w:t>, įskaitant</w:t>
      </w:r>
      <w:r w:rsidRPr="002C0571">
        <w:rPr>
          <w:lang w:val="lt-LT"/>
        </w:rPr>
        <w:t xml:space="preserve"> šiame lapelyje nenurodytą, pasakykite gydytojui arba vaistininkui.</w:t>
      </w:r>
      <w:r w:rsidRPr="002C0571">
        <w:rPr>
          <w:noProof/>
          <w:snapToGrid w:val="0"/>
          <w:lang w:val="lt-LT"/>
        </w:rPr>
        <w:t xml:space="preserve"> </w:t>
      </w:r>
      <w:r w:rsidRPr="002C0571">
        <w:rPr>
          <w:snapToGrid w:val="0"/>
          <w:lang w:val="lt-LT"/>
        </w:rPr>
        <w:t>Apie šalutinį poveikį taip pat galite pranešti Valstybinei vaistų kontrolės tarnybai prie Lietuvos Respublikos sveikatos apsaugos ministerijos nemokamu t</w:t>
      </w:r>
      <w:r w:rsidRPr="002C0571">
        <w:rPr>
          <w:snapToGrid w:val="0"/>
          <w:lang w:val="lt-LT" w:eastAsia="zh-CN"/>
        </w:rPr>
        <w:t>elefonu 8 800 73568</w:t>
      </w:r>
      <w:r w:rsidRPr="002C0571">
        <w:rPr>
          <w:snapToGrid w:val="0"/>
          <w:lang w:val="lt-LT"/>
        </w:rPr>
        <w:t xml:space="preserve"> arba užpildyti interneto svetainėje </w:t>
      </w:r>
      <w:hyperlink r:id="rId5" w:history="1">
        <w:r w:rsidRPr="002C0571">
          <w:rPr>
            <w:rFonts w:eastAsia="SimSun"/>
            <w:snapToGrid w:val="0"/>
            <w:color w:val="0000FF"/>
            <w:u w:val="single"/>
            <w:lang w:val="lt-LT"/>
          </w:rPr>
          <w:t>www.vvkt.lt</w:t>
        </w:r>
      </w:hyperlink>
      <w:r w:rsidRPr="002C0571">
        <w:rPr>
          <w:snapToGrid w:val="0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2C0571">
        <w:rPr>
          <w:snapToGrid w:val="0"/>
          <w:lang w:val="lt-LT" w:eastAsia="zh-CN"/>
        </w:rPr>
        <w:t xml:space="preserve">nemokamu </w:t>
      </w:r>
      <w:r w:rsidRPr="002C0571">
        <w:rPr>
          <w:snapToGrid w:val="0"/>
          <w:lang w:val="lt-LT"/>
        </w:rPr>
        <w:t>fakso numeriu 8 800 20131</w:t>
      </w:r>
      <w:r w:rsidRPr="002C0571">
        <w:rPr>
          <w:snapToGrid w:val="0"/>
          <w:lang w:val="lt-LT" w:eastAsia="zh-CN"/>
        </w:rPr>
        <w:t xml:space="preserve">, </w:t>
      </w:r>
      <w:r w:rsidRPr="002C0571">
        <w:rPr>
          <w:snapToGrid w:val="0"/>
          <w:lang w:val="lt-LT"/>
        </w:rPr>
        <w:t xml:space="preserve">el. paštu </w:t>
      </w:r>
      <w:hyperlink r:id="rId6" w:history="1">
        <w:r w:rsidRPr="002C0571">
          <w:rPr>
            <w:rFonts w:eastAsia="SimSun"/>
            <w:snapToGrid w:val="0"/>
            <w:color w:val="0000FF"/>
            <w:u w:val="single"/>
            <w:lang w:val="lt-LT"/>
          </w:rPr>
          <w:t>NepageidaujamaR@vvkt.lt</w:t>
        </w:r>
      </w:hyperlink>
      <w:r w:rsidRPr="002C0571">
        <w:rPr>
          <w:snapToGrid w:val="0"/>
          <w:lang w:val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2C0571">
          <w:rPr>
            <w:rFonts w:eastAsia="SimSun"/>
            <w:snapToGrid w:val="0"/>
            <w:color w:val="0000FF"/>
            <w:u w:val="single"/>
            <w:lang w:val="lt-LT"/>
          </w:rPr>
          <w:t>http://www.vvkt.lt</w:t>
        </w:r>
      </w:hyperlink>
      <w:r w:rsidRPr="002C0571">
        <w:rPr>
          <w:snapToGrid w:val="0"/>
          <w:lang w:val="lt-LT"/>
        </w:rPr>
        <w:t>). Pranešdami apie šalutinį poveikį galite mums padėti gauti daugiau informacijos apie šio vaisto saugumą.</w:t>
      </w:r>
    </w:p>
    <w:p w:rsidR="00EA3D60" w:rsidRPr="00C531FE" w:rsidRDefault="00EA3D60" w:rsidP="00EA3D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A3D60" w:rsidRPr="00C531FE" w:rsidRDefault="00EA3D60" w:rsidP="00EA3D60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C531FE">
        <w:rPr>
          <w:b/>
          <w:szCs w:val="22"/>
          <w:lang w:val="lt-LT"/>
        </w:rPr>
        <w:t>5.</w:t>
      </w:r>
      <w:r w:rsidRPr="00C531FE">
        <w:rPr>
          <w:b/>
          <w:szCs w:val="22"/>
          <w:lang w:val="lt-LT"/>
        </w:rPr>
        <w:tab/>
        <w:t>Kaip laikyti Rovamycine</w:t>
      </w:r>
    </w:p>
    <w:p w:rsidR="00EA3D60" w:rsidRPr="00C531FE" w:rsidRDefault="00EA3D60" w:rsidP="00EA3D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A3D60" w:rsidRPr="00C531FE" w:rsidRDefault="00EA3D60" w:rsidP="00EA3D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C531FE">
        <w:rPr>
          <w:noProof/>
          <w:szCs w:val="22"/>
          <w:lang w:val="lt-LT"/>
        </w:rPr>
        <w:t xml:space="preserve">Šį vaistą laikykite </w:t>
      </w:r>
      <w:r w:rsidRPr="00C531FE">
        <w:rPr>
          <w:szCs w:val="22"/>
          <w:lang w:val="lt-LT"/>
        </w:rPr>
        <w:t>vaikams nepastebimoje ir nepasiekiamoje vietoje.</w:t>
      </w:r>
    </w:p>
    <w:p w:rsidR="00EA3D60" w:rsidRPr="00C531FE" w:rsidRDefault="00EA3D60" w:rsidP="00EA3D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A3D60" w:rsidRPr="00C531FE" w:rsidRDefault="00EA3D60" w:rsidP="00EA3D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szCs w:val="22"/>
          <w:lang w:val="lt-LT"/>
        </w:rPr>
      </w:pPr>
      <w:r w:rsidRPr="00C531FE">
        <w:rPr>
          <w:i/>
          <w:iCs/>
          <w:szCs w:val="22"/>
          <w:lang w:val="lt-LT"/>
        </w:rPr>
        <w:t>Rovamycine 1,5 mln. TV plėvele dengtos tabletės</w:t>
      </w:r>
    </w:p>
    <w:p w:rsidR="00EA3D60" w:rsidRPr="00C531FE" w:rsidRDefault="00EA3D60" w:rsidP="00EA3D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lang w:val="lt-LT"/>
        </w:rPr>
      </w:pPr>
      <w:r w:rsidRPr="00C531FE">
        <w:rPr>
          <w:iCs/>
          <w:szCs w:val="22"/>
          <w:lang w:val="lt-LT"/>
        </w:rPr>
        <w:t>Šiam vaist</w:t>
      </w:r>
      <w:r>
        <w:rPr>
          <w:iCs/>
          <w:szCs w:val="22"/>
          <w:lang w:val="lt-LT"/>
        </w:rPr>
        <w:t>ui</w:t>
      </w:r>
      <w:r w:rsidRPr="00C531FE">
        <w:rPr>
          <w:iCs/>
          <w:szCs w:val="22"/>
          <w:lang w:val="lt-LT"/>
        </w:rPr>
        <w:t xml:space="preserve"> specialių laikymo sąlygų nereikia.</w:t>
      </w:r>
    </w:p>
    <w:p w:rsidR="00EA3D60" w:rsidRPr="00C531FE" w:rsidRDefault="00EA3D60" w:rsidP="00EA3D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lang w:val="lt-LT"/>
        </w:rPr>
      </w:pPr>
    </w:p>
    <w:p w:rsidR="00EA3D60" w:rsidRPr="00C531FE" w:rsidRDefault="00EA3D60" w:rsidP="00EA3D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szCs w:val="22"/>
          <w:lang w:val="lt-LT"/>
        </w:rPr>
      </w:pPr>
      <w:r w:rsidRPr="00C531FE">
        <w:rPr>
          <w:i/>
          <w:iCs/>
          <w:szCs w:val="22"/>
          <w:lang w:val="lt-LT"/>
        </w:rPr>
        <w:t>Rovamycine 3 mln. TV plėvele dengtos tabletės</w:t>
      </w:r>
    </w:p>
    <w:p w:rsidR="00EA3D60" w:rsidRPr="00C531FE" w:rsidRDefault="00EA3D60" w:rsidP="00EA3D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lang w:val="lt-LT"/>
        </w:rPr>
      </w:pPr>
      <w:r w:rsidRPr="00C531FE">
        <w:rPr>
          <w:iCs/>
          <w:szCs w:val="22"/>
          <w:lang w:val="lt-LT"/>
        </w:rPr>
        <w:t xml:space="preserve">Laikyti žemesnėje kaip 25 </w:t>
      </w:r>
      <w:r w:rsidRPr="00C531FE">
        <w:rPr>
          <w:iCs/>
          <w:szCs w:val="22"/>
          <w:lang w:val="lt-LT"/>
        </w:rPr>
        <w:sym w:font="Symbol" w:char="F0B0"/>
      </w:r>
      <w:r w:rsidRPr="00C531FE">
        <w:rPr>
          <w:iCs/>
          <w:szCs w:val="22"/>
          <w:lang w:val="lt-LT"/>
        </w:rPr>
        <w:t>C temperatūroje.</w:t>
      </w:r>
    </w:p>
    <w:p w:rsidR="00EA3D60" w:rsidRPr="00C531FE" w:rsidRDefault="00EA3D60" w:rsidP="00EA3D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A3D60" w:rsidRPr="00C531FE" w:rsidRDefault="00EA3D60" w:rsidP="00EA3D60">
      <w:pPr>
        <w:tabs>
          <w:tab w:val="clear" w:pos="567"/>
        </w:tabs>
        <w:spacing w:line="240" w:lineRule="auto"/>
        <w:rPr>
          <w:iCs/>
          <w:szCs w:val="22"/>
          <w:lang w:val="lt-LT"/>
        </w:rPr>
      </w:pPr>
      <w:r w:rsidRPr="00C531FE">
        <w:rPr>
          <w:iCs/>
          <w:szCs w:val="22"/>
          <w:lang w:val="lt-LT"/>
        </w:rPr>
        <w:t>Ant dėžutės ir lizdinės plokštelės po „EXP“ nurodytam tinkamumo laikui pasibaigus, šio vaisto vartoti negalima. Vaistas tinkamas vartoti iki paskutinės to mėnesio dienos.</w:t>
      </w:r>
    </w:p>
    <w:p w:rsidR="00EA3D60" w:rsidRPr="00C531FE" w:rsidRDefault="00EA3D60" w:rsidP="00EA3D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A3D60" w:rsidRPr="00C531FE" w:rsidRDefault="00EA3D60" w:rsidP="00EA3D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C531FE">
        <w:rPr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EA3D60" w:rsidRPr="00C531FE" w:rsidRDefault="00EA3D60" w:rsidP="00EA3D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A3D60" w:rsidRPr="00C531FE" w:rsidRDefault="00EA3D60" w:rsidP="00EA3D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A3D60" w:rsidRPr="00C531FE" w:rsidRDefault="00EA3D60" w:rsidP="00EA3D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C531FE">
        <w:rPr>
          <w:b/>
          <w:szCs w:val="22"/>
          <w:lang w:val="lt-LT"/>
        </w:rPr>
        <w:t>6.</w:t>
      </w:r>
      <w:r w:rsidRPr="00C531FE">
        <w:rPr>
          <w:b/>
          <w:szCs w:val="22"/>
          <w:lang w:val="lt-LT"/>
        </w:rPr>
        <w:tab/>
      </w:r>
      <w:r w:rsidRPr="00C531FE">
        <w:rPr>
          <w:b/>
          <w:bCs/>
          <w:szCs w:val="22"/>
          <w:lang w:val="lt-LT"/>
        </w:rPr>
        <w:t>Pakuotės turinys ir kita informacija</w:t>
      </w:r>
    </w:p>
    <w:p w:rsidR="00EA3D60" w:rsidRPr="00C531FE" w:rsidRDefault="00EA3D60" w:rsidP="00EA3D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A3D60" w:rsidRPr="00C531FE" w:rsidRDefault="00EA3D60" w:rsidP="00EA3D60">
      <w:pPr>
        <w:tabs>
          <w:tab w:val="clear" w:pos="567"/>
        </w:tabs>
        <w:spacing w:line="220" w:lineRule="exact"/>
        <w:rPr>
          <w:b/>
          <w:bCs/>
          <w:szCs w:val="22"/>
          <w:lang w:val="lt-LT"/>
        </w:rPr>
      </w:pPr>
      <w:r w:rsidRPr="00C531FE">
        <w:rPr>
          <w:b/>
          <w:bCs/>
          <w:szCs w:val="22"/>
          <w:lang w:val="lt-LT"/>
        </w:rPr>
        <w:t>Rovamycine sudėtis</w:t>
      </w:r>
    </w:p>
    <w:p w:rsidR="00EA3D60" w:rsidRPr="00C531FE" w:rsidRDefault="00EA3D60" w:rsidP="00EA3D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lt-LT"/>
        </w:rPr>
      </w:pPr>
    </w:p>
    <w:p w:rsidR="00EA3D60" w:rsidRPr="00C531FE" w:rsidRDefault="00EA3D60" w:rsidP="00EA3D60">
      <w:pPr>
        <w:numPr>
          <w:ilvl w:val="0"/>
          <w:numId w:val="3"/>
        </w:numPr>
        <w:tabs>
          <w:tab w:val="clear" w:pos="567"/>
        </w:tabs>
        <w:spacing w:line="240" w:lineRule="auto"/>
        <w:ind w:left="426" w:hanging="426"/>
        <w:rPr>
          <w:szCs w:val="22"/>
          <w:lang w:val="lt-LT"/>
        </w:rPr>
      </w:pPr>
      <w:r w:rsidRPr="00C531FE">
        <w:rPr>
          <w:szCs w:val="22"/>
          <w:lang w:val="lt-LT"/>
        </w:rPr>
        <w:t>Veiklioji medžiaga yra spiramicinas. Kiekvienoje plėvele dengtoje tabletėje yra 1,5 mln. TV arba 3 mln. TV</w:t>
      </w:r>
      <w:r>
        <w:rPr>
          <w:szCs w:val="22"/>
          <w:lang w:val="lt-LT"/>
        </w:rPr>
        <w:t xml:space="preserve"> </w:t>
      </w:r>
      <w:r w:rsidRPr="00C531FE">
        <w:rPr>
          <w:szCs w:val="22"/>
          <w:lang w:val="lt-LT"/>
        </w:rPr>
        <w:t>spiramicino.</w:t>
      </w:r>
    </w:p>
    <w:p w:rsidR="00EA3D60" w:rsidRPr="00C531FE" w:rsidRDefault="00EA3D60" w:rsidP="00EA3D60">
      <w:pPr>
        <w:numPr>
          <w:ilvl w:val="0"/>
          <w:numId w:val="1"/>
        </w:numPr>
        <w:tabs>
          <w:tab w:val="clear" w:pos="567"/>
        </w:tabs>
        <w:spacing w:line="240" w:lineRule="auto"/>
        <w:ind w:left="426" w:right="-2" w:hanging="426"/>
        <w:rPr>
          <w:szCs w:val="22"/>
          <w:lang w:val="lt-LT"/>
        </w:rPr>
      </w:pPr>
      <w:r w:rsidRPr="00C531FE">
        <w:rPr>
          <w:szCs w:val="22"/>
          <w:lang w:val="lt-LT"/>
        </w:rPr>
        <w:t>Pagalbinės medžiagos tabletės branduolyje yra koloidinis bevandenis silicio dioksidas, magnio stearatas, pregelifikuotas krakmolas, hidroksipropilceliuliozė, kroskarmeliozės natrio druska, mikrokristalinė celiuliozė; tabletės plėvelėje -</w:t>
      </w:r>
      <w:r>
        <w:rPr>
          <w:szCs w:val="22"/>
          <w:lang w:val="lt-LT"/>
        </w:rPr>
        <w:t xml:space="preserve"> </w:t>
      </w:r>
      <w:r w:rsidRPr="00C531FE">
        <w:rPr>
          <w:szCs w:val="22"/>
          <w:lang w:val="lt-LT"/>
        </w:rPr>
        <w:t>hipromeliozė, makrogolis 6000, titano dioksidas (E171).</w:t>
      </w:r>
    </w:p>
    <w:p w:rsidR="00EA3D60" w:rsidRPr="00C531FE" w:rsidRDefault="00EA3D60" w:rsidP="00EA3D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lt-LT"/>
        </w:rPr>
      </w:pPr>
    </w:p>
    <w:p w:rsidR="00EA3D60" w:rsidRPr="00C531FE" w:rsidRDefault="00EA3D60" w:rsidP="00EA3D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lt-LT"/>
        </w:rPr>
      </w:pPr>
      <w:r w:rsidRPr="00C531FE">
        <w:rPr>
          <w:b/>
          <w:bCs/>
          <w:szCs w:val="22"/>
          <w:lang w:val="lt-LT"/>
        </w:rPr>
        <w:t>Rovamycine išvaizda ir kiekis pakuotėje</w:t>
      </w:r>
    </w:p>
    <w:p w:rsidR="00EA3D60" w:rsidRPr="00C531FE" w:rsidRDefault="00EA3D60" w:rsidP="00EA3D60">
      <w:pPr>
        <w:numPr>
          <w:ilvl w:val="12"/>
          <w:numId w:val="0"/>
        </w:numPr>
        <w:tabs>
          <w:tab w:val="clear" w:pos="567"/>
          <w:tab w:val="left" w:pos="5775"/>
        </w:tabs>
        <w:spacing w:line="240" w:lineRule="auto"/>
        <w:ind w:right="-2"/>
        <w:rPr>
          <w:b/>
          <w:bCs/>
          <w:szCs w:val="22"/>
          <w:lang w:val="lt-LT"/>
        </w:rPr>
      </w:pPr>
      <w:r>
        <w:rPr>
          <w:b/>
          <w:bCs/>
          <w:szCs w:val="22"/>
          <w:lang w:val="lt-LT"/>
        </w:rPr>
        <w:tab/>
      </w:r>
    </w:p>
    <w:p w:rsidR="00EA3D60" w:rsidRPr="00C531FE" w:rsidRDefault="00EA3D60" w:rsidP="00EA3D60">
      <w:pPr>
        <w:keepNext/>
        <w:widowControl w:val="0"/>
        <w:tabs>
          <w:tab w:val="clear" w:pos="567"/>
          <w:tab w:val="left" w:pos="-720"/>
          <w:tab w:val="left" w:pos="4536"/>
        </w:tabs>
        <w:suppressAutoHyphens/>
        <w:spacing w:line="240" w:lineRule="auto"/>
        <w:outlineLvl w:val="5"/>
        <w:rPr>
          <w:iCs/>
          <w:szCs w:val="22"/>
          <w:lang w:val="lt-LT"/>
        </w:rPr>
      </w:pPr>
      <w:r w:rsidRPr="00C531FE">
        <w:rPr>
          <w:iCs/>
          <w:szCs w:val="22"/>
          <w:lang w:val="lt-LT"/>
        </w:rPr>
        <w:t>Rovamycine 1,5 mln. TV: baltos ar kremiškai baltos, abipus išgaubtos, apvalios plėvele dengtos tabletės. Vienoje pusėje įspausta „RPR107“.</w:t>
      </w:r>
    </w:p>
    <w:p w:rsidR="00EA3D60" w:rsidRPr="00C531FE" w:rsidRDefault="00EA3D60" w:rsidP="00EA3D60">
      <w:pPr>
        <w:keepNext/>
        <w:widowControl w:val="0"/>
        <w:tabs>
          <w:tab w:val="clear" w:pos="567"/>
        </w:tabs>
        <w:spacing w:line="240" w:lineRule="auto"/>
        <w:outlineLvl w:val="5"/>
        <w:rPr>
          <w:iCs/>
          <w:szCs w:val="22"/>
          <w:lang w:val="lt-LT"/>
        </w:rPr>
      </w:pPr>
      <w:r w:rsidRPr="00C531FE">
        <w:rPr>
          <w:iCs/>
          <w:szCs w:val="22"/>
          <w:lang w:val="lt-LT"/>
        </w:rPr>
        <w:t>Rovamycine 3 mln. TV: kremiškai baltos, abipus išgaubtos, apvalios plėvele dengtos tabletės. Vienoje pusėje įspausta „ROVA 3“.</w:t>
      </w:r>
    </w:p>
    <w:p w:rsidR="00EA3D60" w:rsidRPr="00C531FE" w:rsidRDefault="00EA3D60" w:rsidP="00EA3D60">
      <w:pPr>
        <w:keepNext/>
        <w:widowControl w:val="0"/>
        <w:tabs>
          <w:tab w:val="clear" w:pos="567"/>
        </w:tabs>
        <w:spacing w:line="240" w:lineRule="auto"/>
        <w:outlineLvl w:val="5"/>
        <w:rPr>
          <w:i/>
          <w:iCs/>
          <w:szCs w:val="22"/>
          <w:lang w:val="lt-LT"/>
        </w:rPr>
      </w:pPr>
    </w:p>
    <w:p w:rsidR="00EA3D60" w:rsidRPr="00C531FE" w:rsidRDefault="00EA3D60" w:rsidP="00EA3D60">
      <w:pPr>
        <w:keepNext/>
        <w:widowControl w:val="0"/>
        <w:tabs>
          <w:tab w:val="clear" w:pos="567"/>
        </w:tabs>
        <w:spacing w:line="240" w:lineRule="auto"/>
        <w:outlineLvl w:val="5"/>
        <w:rPr>
          <w:i/>
          <w:iCs/>
          <w:szCs w:val="22"/>
          <w:lang w:val="lt-LT"/>
        </w:rPr>
      </w:pPr>
      <w:r w:rsidRPr="00C531FE">
        <w:rPr>
          <w:i/>
          <w:iCs/>
          <w:szCs w:val="22"/>
          <w:lang w:val="lt-LT"/>
        </w:rPr>
        <w:t>Rovamycine 1,5 mln. TV plėvele dengtos tabletės</w:t>
      </w:r>
    </w:p>
    <w:p w:rsidR="00EA3D60" w:rsidRPr="00C531FE" w:rsidRDefault="00EA3D60" w:rsidP="00EA3D60">
      <w:pPr>
        <w:spacing w:line="240" w:lineRule="auto"/>
        <w:rPr>
          <w:szCs w:val="22"/>
          <w:lang w:val="lt-LT"/>
        </w:rPr>
      </w:pPr>
      <w:r w:rsidRPr="00C531FE">
        <w:rPr>
          <w:szCs w:val="22"/>
          <w:lang w:val="lt-LT"/>
        </w:rPr>
        <w:t xml:space="preserve">Dėžutėje yra 16 plėvele dengtų tablečių PVC/aliuminio lizdinėse plokštelėse. </w:t>
      </w:r>
    </w:p>
    <w:p w:rsidR="00EA3D60" w:rsidRPr="00C531FE" w:rsidRDefault="00EA3D60" w:rsidP="00EA3D60">
      <w:pPr>
        <w:keepNext/>
        <w:widowControl w:val="0"/>
        <w:tabs>
          <w:tab w:val="clear" w:pos="567"/>
        </w:tabs>
        <w:spacing w:line="240" w:lineRule="auto"/>
        <w:outlineLvl w:val="5"/>
        <w:rPr>
          <w:i/>
          <w:iCs/>
          <w:szCs w:val="22"/>
          <w:lang w:val="lt-LT"/>
        </w:rPr>
      </w:pPr>
      <w:r w:rsidRPr="00C531FE">
        <w:rPr>
          <w:i/>
          <w:iCs/>
          <w:szCs w:val="22"/>
          <w:lang w:val="lt-LT"/>
        </w:rPr>
        <w:t>Rovamycine 3 mln. TV plėvele dengtos tabletės</w:t>
      </w:r>
    </w:p>
    <w:p w:rsidR="00EA3D60" w:rsidRPr="00C531FE" w:rsidRDefault="00EA3D60" w:rsidP="00EA3D60">
      <w:pPr>
        <w:spacing w:line="240" w:lineRule="auto"/>
        <w:rPr>
          <w:szCs w:val="22"/>
          <w:lang w:val="lt-LT"/>
        </w:rPr>
      </w:pPr>
      <w:r w:rsidRPr="00C531FE">
        <w:rPr>
          <w:szCs w:val="22"/>
          <w:lang w:val="lt-LT"/>
        </w:rPr>
        <w:t xml:space="preserve">Dėžutėje yra 10 plėvele dengtų tablečių PVC/aliuminio lizdinėse plokštelėse. </w:t>
      </w:r>
    </w:p>
    <w:p w:rsidR="00EA3D60" w:rsidRPr="00C531FE" w:rsidRDefault="00EA3D60" w:rsidP="00EA3D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A3D60" w:rsidRDefault="00EA3D60" w:rsidP="00EA3D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lt-LT"/>
        </w:rPr>
      </w:pPr>
      <w:r>
        <w:rPr>
          <w:b/>
          <w:bCs/>
          <w:szCs w:val="22"/>
          <w:lang w:val="lt-LT"/>
        </w:rPr>
        <w:t>Registruotojas ir gamintojai</w:t>
      </w:r>
    </w:p>
    <w:p w:rsidR="00EA3D60" w:rsidRPr="00C531FE" w:rsidRDefault="00EA3D60" w:rsidP="00EA3D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lt-LT"/>
        </w:rPr>
      </w:pPr>
    </w:p>
    <w:p w:rsidR="00EA3D60" w:rsidRPr="00A72D96" w:rsidRDefault="00EA3D60" w:rsidP="00EA3D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i/>
          <w:szCs w:val="22"/>
          <w:lang w:val="lt-LT"/>
        </w:rPr>
      </w:pPr>
      <w:r w:rsidRPr="00A72D96">
        <w:rPr>
          <w:bCs/>
          <w:i/>
          <w:szCs w:val="22"/>
          <w:lang w:val="lt-LT"/>
        </w:rPr>
        <w:lastRenderedPageBreak/>
        <w:t>Registruotojas</w:t>
      </w:r>
    </w:p>
    <w:p w:rsidR="00EA3D60" w:rsidRPr="00C531FE" w:rsidRDefault="00EA3D60" w:rsidP="00EA3D60">
      <w:pPr>
        <w:spacing w:line="240" w:lineRule="auto"/>
        <w:rPr>
          <w:szCs w:val="22"/>
          <w:lang w:val="lt-LT"/>
        </w:rPr>
      </w:pPr>
      <w:r w:rsidRPr="00C531FE">
        <w:rPr>
          <w:szCs w:val="22"/>
          <w:lang w:val="lt-LT"/>
        </w:rPr>
        <w:t xml:space="preserve">UAB </w:t>
      </w:r>
      <w:r>
        <w:rPr>
          <w:szCs w:val="22"/>
          <w:lang w:val="lt-LT"/>
        </w:rPr>
        <w:t>„</w:t>
      </w:r>
      <w:r w:rsidRPr="00C531FE">
        <w:rPr>
          <w:szCs w:val="22"/>
          <w:lang w:val="lt-LT"/>
        </w:rPr>
        <w:t>SANOFI-AVENTIS LIETUVA”</w:t>
      </w:r>
    </w:p>
    <w:p w:rsidR="00EA3D60" w:rsidRPr="00C531FE" w:rsidRDefault="00EA3D60" w:rsidP="00EA3D60">
      <w:pPr>
        <w:spacing w:line="240" w:lineRule="auto"/>
        <w:rPr>
          <w:szCs w:val="22"/>
          <w:lang w:val="lt-LT"/>
        </w:rPr>
      </w:pPr>
      <w:r w:rsidRPr="00C531FE">
        <w:rPr>
          <w:szCs w:val="22"/>
          <w:lang w:val="lt-LT"/>
        </w:rPr>
        <w:t>A.Juozapavičiaus g. 6/2</w:t>
      </w:r>
    </w:p>
    <w:p w:rsidR="00EA3D60" w:rsidRPr="00C531FE" w:rsidRDefault="00EA3D60" w:rsidP="00EA3D60">
      <w:pPr>
        <w:spacing w:line="240" w:lineRule="auto"/>
        <w:rPr>
          <w:szCs w:val="22"/>
          <w:lang w:val="lt-LT"/>
        </w:rPr>
      </w:pPr>
      <w:r w:rsidRPr="00C531FE">
        <w:rPr>
          <w:szCs w:val="22"/>
          <w:lang w:val="lt-LT"/>
        </w:rPr>
        <w:t>LT-09310 Vilnius</w:t>
      </w:r>
    </w:p>
    <w:p w:rsidR="00EA3D60" w:rsidRPr="00C531FE" w:rsidRDefault="00EA3D60" w:rsidP="00EA3D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C531FE">
        <w:rPr>
          <w:szCs w:val="22"/>
          <w:lang w:val="lt-LT"/>
        </w:rPr>
        <w:t>Lietuva</w:t>
      </w:r>
    </w:p>
    <w:p w:rsidR="00EA3D60" w:rsidRPr="00C531FE" w:rsidRDefault="00EA3D60" w:rsidP="00EA3D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A3D60" w:rsidRPr="00927E29" w:rsidRDefault="00EA3D60" w:rsidP="00EA3D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  <w:lang w:val="lt-LT"/>
        </w:rPr>
      </w:pPr>
      <w:r w:rsidRPr="00927E29">
        <w:rPr>
          <w:i/>
          <w:szCs w:val="22"/>
          <w:lang w:val="lt-LT"/>
        </w:rPr>
        <w:t>Gamintoja</w:t>
      </w:r>
      <w:r>
        <w:rPr>
          <w:i/>
          <w:szCs w:val="22"/>
          <w:lang w:val="lt-LT"/>
        </w:rPr>
        <w:t>i</w:t>
      </w:r>
    </w:p>
    <w:p w:rsidR="00EA3D60" w:rsidRPr="00C531FE" w:rsidRDefault="00EA3D60" w:rsidP="00EA3D60">
      <w:pPr>
        <w:rPr>
          <w:szCs w:val="22"/>
          <w:lang w:val="lt-LT"/>
        </w:rPr>
      </w:pPr>
      <w:r w:rsidRPr="00C531FE">
        <w:rPr>
          <w:szCs w:val="22"/>
          <w:lang w:val="lt-LT"/>
        </w:rPr>
        <w:t>SANOFI-AVENTIS Zrt.</w:t>
      </w:r>
    </w:p>
    <w:p w:rsidR="00EA3D60" w:rsidRPr="00C531FE" w:rsidRDefault="00EA3D60" w:rsidP="00EA3D60">
      <w:pPr>
        <w:rPr>
          <w:szCs w:val="22"/>
          <w:lang w:val="lt-LT"/>
        </w:rPr>
      </w:pPr>
      <w:r w:rsidRPr="00C531FE">
        <w:rPr>
          <w:szCs w:val="22"/>
          <w:lang w:val="lt-LT"/>
        </w:rPr>
        <w:t>Campona u.1. (Harbor Park)</w:t>
      </w:r>
    </w:p>
    <w:p w:rsidR="00EA3D60" w:rsidRPr="00C531FE" w:rsidRDefault="00EA3D60" w:rsidP="00EA3D60">
      <w:pPr>
        <w:rPr>
          <w:szCs w:val="22"/>
          <w:lang w:val="lt-LT"/>
        </w:rPr>
      </w:pPr>
      <w:r w:rsidRPr="00C531FE">
        <w:rPr>
          <w:szCs w:val="22"/>
          <w:lang w:val="lt-LT"/>
        </w:rPr>
        <w:t xml:space="preserve">1225 Budapest </w:t>
      </w:r>
    </w:p>
    <w:p w:rsidR="00EA3D60" w:rsidRPr="00C531FE" w:rsidRDefault="00EA3D60" w:rsidP="00EA3D60">
      <w:pPr>
        <w:rPr>
          <w:szCs w:val="22"/>
          <w:lang w:val="lt-LT"/>
        </w:rPr>
      </w:pPr>
      <w:r w:rsidRPr="00C531FE">
        <w:rPr>
          <w:szCs w:val="22"/>
          <w:lang w:val="lt-LT"/>
        </w:rPr>
        <w:t>Vengrija</w:t>
      </w:r>
    </w:p>
    <w:p w:rsidR="00EA3D60" w:rsidRPr="00C531FE" w:rsidRDefault="00EA3D60" w:rsidP="00EA3D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A3D60" w:rsidRPr="00C531FE" w:rsidRDefault="00EA3D60" w:rsidP="00EA3D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C531FE">
        <w:rPr>
          <w:szCs w:val="22"/>
          <w:lang w:val="lt-LT"/>
        </w:rPr>
        <w:t>arba</w:t>
      </w:r>
    </w:p>
    <w:p w:rsidR="00EA3D60" w:rsidRPr="00C531FE" w:rsidRDefault="00EA3D60" w:rsidP="00EA3D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A3D60" w:rsidRPr="00C531FE" w:rsidRDefault="00EA3D60" w:rsidP="00EA3D60">
      <w:pPr>
        <w:rPr>
          <w:szCs w:val="22"/>
          <w:lang w:val="lt-LT"/>
        </w:rPr>
      </w:pPr>
      <w:r w:rsidRPr="00C531FE">
        <w:rPr>
          <w:szCs w:val="22"/>
          <w:lang w:val="lt-LT"/>
        </w:rPr>
        <w:t>Sanofi S.p.A.</w:t>
      </w:r>
    </w:p>
    <w:p w:rsidR="00EA3D60" w:rsidRPr="00C531FE" w:rsidRDefault="00EA3D60" w:rsidP="00EA3D60">
      <w:pPr>
        <w:rPr>
          <w:szCs w:val="22"/>
          <w:lang w:val="lt-LT"/>
        </w:rPr>
      </w:pPr>
      <w:r w:rsidRPr="00C531FE">
        <w:rPr>
          <w:szCs w:val="22"/>
          <w:lang w:val="lt-LT"/>
        </w:rPr>
        <w:t xml:space="preserve">StradaStatale 17, Km 22 </w:t>
      </w:r>
    </w:p>
    <w:p w:rsidR="00EA3D60" w:rsidRPr="00C531FE" w:rsidRDefault="00EA3D60" w:rsidP="00EA3D60">
      <w:pPr>
        <w:rPr>
          <w:szCs w:val="22"/>
          <w:lang w:val="lt-LT"/>
        </w:rPr>
      </w:pPr>
      <w:r w:rsidRPr="00C531FE">
        <w:rPr>
          <w:szCs w:val="22"/>
          <w:lang w:val="lt-LT"/>
        </w:rPr>
        <w:t xml:space="preserve">67019 Scoppito (AQ) </w:t>
      </w:r>
    </w:p>
    <w:p w:rsidR="00EA3D60" w:rsidRPr="00C531FE" w:rsidRDefault="00EA3D60" w:rsidP="00EA3D60">
      <w:pPr>
        <w:rPr>
          <w:szCs w:val="22"/>
          <w:lang w:val="lt-LT"/>
        </w:rPr>
      </w:pPr>
      <w:r w:rsidRPr="00C531FE">
        <w:rPr>
          <w:szCs w:val="22"/>
          <w:lang w:val="lt-LT"/>
        </w:rPr>
        <w:t>Italija</w:t>
      </w:r>
    </w:p>
    <w:p w:rsidR="00EA3D60" w:rsidRPr="00C531FE" w:rsidRDefault="00EA3D60" w:rsidP="00EA3D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A3D60" w:rsidRPr="00C531FE" w:rsidRDefault="00EA3D60" w:rsidP="00EA3D60">
      <w:pPr>
        <w:spacing w:line="240" w:lineRule="auto"/>
        <w:rPr>
          <w:szCs w:val="22"/>
          <w:lang w:val="lt-LT"/>
        </w:rPr>
      </w:pPr>
      <w:r w:rsidRPr="00C531FE">
        <w:rPr>
          <w:szCs w:val="22"/>
          <w:lang w:val="lt-LT"/>
        </w:rPr>
        <w:t xml:space="preserve">Jeigu apie šį vaistą norite sužinoti daugiau, kreipkitės į </w:t>
      </w:r>
      <w:r>
        <w:rPr>
          <w:szCs w:val="22"/>
          <w:lang w:val="lt-LT"/>
        </w:rPr>
        <w:t>registruotoją</w:t>
      </w:r>
      <w:r w:rsidRPr="00C531FE">
        <w:rPr>
          <w:szCs w:val="22"/>
          <w:lang w:val="lt-LT"/>
        </w:rPr>
        <w:t>.</w:t>
      </w:r>
    </w:p>
    <w:p w:rsidR="00EA3D60" w:rsidRPr="00C531FE" w:rsidRDefault="00EA3D60" w:rsidP="00EA3D60">
      <w:pPr>
        <w:spacing w:line="240" w:lineRule="auto"/>
        <w:rPr>
          <w:szCs w:val="22"/>
          <w:lang w:val="lt-LT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EA3D60" w:rsidRPr="00C531FE" w:rsidTr="00E95343">
        <w:tc>
          <w:tcPr>
            <w:tcW w:w="4678" w:type="dxa"/>
          </w:tcPr>
          <w:p w:rsidR="00EA3D60" w:rsidRPr="00C531FE" w:rsidRDefault="00EA3D60" w:rsidP="00E95343">
            <w:pPr>
              <w:spacing w:line="240" w:lineRule="auto"/>
              <w:ind w:right="-449"/>
              <w:rPr>
                <w:szCs w:val="22"/>
                <w:lang w:val="lt-LT"/>
              </w:rPr>
            </w:pPr>
            <w:r w:rsidRPr="00C531FE">
              <w:rPr>
                <w:szCs w:val="22"/>
                <w:lang w:val="lt-LT"/>
              </w:rPr>
              <w:t xml:space="preserve">UAB </w:t>
            </w:r>
            <w:r>
              <w:rPr>
                <w:szCs w:val="22"/>
                <w:lang w:val="lt-LT"/>
              </w:rPr>
              <w:t>„</w:t>
            </w:r>
            <w:r w:rsidRPr="00C531FE">
              <w:rPr>
                <w:szCs w:val="22"/>
                <w:lang w:val="lt-LT"/>
              </w:rPr>
              <w:t>SANOFI-AVENTIS LIETUVA”</w:t>
            </w:r>
          </w:p>
          <w:p w:rsidR="00EA3D60" w:rsidRPr="00C531FE" w:rsidRDefault="00EA3D60" w:rsidP="00E95343">
            <w:pPr>
              <w:spacing w:line="240" w:lineRule="auto"/>
              <w:ind w:right="-449"/>
              <w:rPr>
                <w:szCs w:val="22"/>
                <w:lang w:val="lt-LT"/>
              </w:rPr>
            </w:pPr>
            <w:r w:rsidRPr="00C531FE">
              <w:rPr>
                <w:szCs w:val="22"/>
                <w:lang w:val="lt-LT"/>
              </w:rPr>
              <w:t>A.Juozapavičiaus g. 6/2</w:t>
            </w:r>
          </w:p>
          <w:p w:rsidR="00EA3D60" w:rsidRPr="00C531FE" w:rsidRDefault="00EA3D60" w:rsidP="00E95343">
            <w:pPr>
              <w:spacing w:line="240" w:lineRule="auto"/>
              <w:ind w:right="-449"/>
              <w:rPr>
                <w:szCs w:val="22"/>
                <w:lang w:val="lt-LT"/>
              </w:rPr>
            </w:pPr>
            <w:r w:rsidRPr="00C531FE">
              <w:rPr>
                <w:szCs w:val="22"/>
                <w:lang w:val="lt-LT"/>
              </w:rPr>
              <w:t>LT–09310 Vilnius</w:t>
            </w:r>
          </w:p>
          <w:p w:rsidR="00EA3D60" w:rsidRPr="00C531FE" w:rsidRDefault="00EA3D60" w:rsidP="00E95343">
            <w:pPr>
              <w:spacing w:line="240" w:lineRule="auto"/>
              <w:ind w:right="-449"/>
              <w:rPr>
                <w:szCs w:val="22"/>
                <w:lang w:val="lt-LT"/>
              </w:rPr>
            </w:pPr>
            <w:r w:rsidRPr="00C531FE">
              <w:rPr>
                <w:szCs w:val="22"/>
                <w:lang w:val="lt-LT"/>
              </w:rPr>
              <w:t>Tel. +370 5 275 5224</w:t>
            </w:r>
          </w:p>
        </w:tc>
      </w:tr>
    </w:tbl>
    <w:p w:rsidR="00EA3D60" w:rsidRPr="00C531FE" w:rsidRDefault="00EA3D60" w:rsidP="00EA3D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A3D60" w:rsidRPr="00C531FE" w:rsidRDefault="00EA3D60" w:rsidP="00EA3D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A3D60" w:rsidRPr="00C531FE" w:rsidRDefault="00EA3D60" w:rsidP="00EA3D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lt-LT"/>
        </w:rPr>
      </w:pPr>
      <w:r w:rsidRPr="00C531FE">
        <w:rPr>
          <w:b/>
          <w:bCs/>
          <w:szCs w:val="22"/>
          <w:lang w:val="lt-LT"/>
        </w:rPr>
        <w:t xml:space="preserve">Šis pakuotės </w:t>
      </w:r>
      <w:r w:rsidRPr="00C531FE">
        <w:rPr>
          <w:b/>
          <w:szCs w:val="22"/>
          <w:lang w:val="lt-LT"/>
        </w:rPr>
        <w:t xml:space="preserve">lapelis paskutinį kartą peržiūrėtas </w:t>
      </w:r>
      <w:r>
        <w:rPr>
          <w:b/>
          <w:szCs w:val="22"/>
          <w:lang w:val="lt-LT"/>
        </w:rPr>
        <w:t>2019-09-03.</w:t>
      </w:r>
    </w:p>
    <w:p w:rsidR="00EA3D60" w:rsidRPr="00C531FE" w:rsidRDefault="00EA3D60" w:rsidP="00EA3D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lt-LT"/>
        </w:rPr>
      </w:pPr>
    </w:p>
    <w:p w:rsidR="00EA3D60" w:rsidRPr="00C531FE" w:rsidRDefault="00EA3D60" w:rsidP="00EA3D60">
      <w:pPr>
        <w:rPr>
          <w:color w:val="0000FF"/>
          <w:szCs w:val="22"/>
          <w:u w:val="single"/>
          <w:lang w:val="lt-LT"/>
        </w:rPr>
      </w:pPr>
      <w:r w:rsidRPr="00C531FE">
        <w:rPr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C531FE">
        <w:rPr>
          <w:i/>
          <w:szCs w:val="22"/>
          <w:lang w:val="lt-LT"/>
        </w:rPr>
        <w:t xml:space="preserve"> </w:t>
      </w:r>
      <w:hyperlink r:id="rId8" w:history="1">
        <w:r w:rsidRPr="00C531FE">
          <w:rPr>
            <w:color w:val="0000FF"/>
            <w:szCs w:val="22"/>
            <w:u w:val="single"/>
            <w:lang w:val="lt-LT"/>
          </w:rPr>
          <w:t>http://www.vvkt.lt/</w:t>
        </w:r>
      </w:hyperlink>
    </w:p>
    <w:p w:rsidR="00EA3D60" w:rsidRPr="00C531FE" w:rsidRDefault="00EA3D60" w:rsidP="00EA3D60">
      <w:pPr>
        <w:rPr>
          <w:color w:val="0000FF"/>
          <w:szCs w:val="22"/>
          <w:u w:val="single"/>
          <w:lang w:val="lt-LT"/>
        </w:rPr>
      </w:pPr>
    </w:p>
    <w:p w:rsidR="00EA3D60" w:rsidRPr="00595F9E" w:rsidRDefault="00EA3D60" w:rsidP="00EA3D60">
      <w:pPr>
        <w:tabs>
          <w:tab w:val="clear" w:pos="567"/>
        </w:tabs>
        <w:spacing w:line="240" w:lineRule="auto"/>
        <w:ind w:right="113"/>
        <w:rPr>
          <w:szCs w:val="22"/>
          <w:lang w:val="lt-LT"/>
        </w:rPr>
      </w:pPr>
    </w:p>
    <w:p w:rsidR="00EA3D60" w:rsidRPr="00C531FE" w:rsidRDefault="00EA3D60" w:rsidP="00EA3D60">
      <w:pPr>
        <w:rPr>
          <w:color w:val="0000FF"/>
          <w:szCs w:val="22"/>
          <w:u w:val="single"/>
          <w:lang w:val="lt-LT"/>
        </w:rPr>
      </w:pPr>
    </w:p>
    <w:p w:rsidR="007334BB" w:rsidRDefault="007334BB">
      <w:bookmarkStart w:id="2" w:name="_GoBack"/>
      <w:bookmarkEnd w:id="2"/>
    </w:p>
    <w:sectPr w:rsidR="007334BB" w:rsidSect="004571AD">
      <w:footerReference w:type="default" r:id="rId9"/>
      <w:footerReference w:type="first" r:id="rId1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D02" w:rsidRDefault="00EA3D60">
    <w:pPr>
      <w:pStyle w:val="Por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  <w:rFonts w:ascii="Arial" w:hAnsi="Arial" w:cs="Arial"/>
      </w:rPr>
      <w:fldChar w:fldCharType="begin"/>
    </w:r>
    <w:r>
      <w:rPr>
        <w:rStyle w:val="Puslapionumeris"/>
        <w:rFonts w:ascii="Arial" w:hAnsi="Arial" w:cs="Arial"/>
      </w:rPr>
      <w:instrText xml:space="preserve">PAGE  </w:instrText>
    </w:r>
    <w:r>
      <w:rPr>
        <w:rStyle w:val="Puslapionumeris"/>
        <w:rFonts w:ascii="Arial" w:hAnsi="Arial" w:cs="Arial"/>
      </w:rPr>
      <w:fldChar w:fldCharType="separate"/>
    </w:r>
    <w:r>
      <w:rPr>
        <w:rStyle w:val="Puslapionumeris"/>
        <w:rFonts w:ascii="Arial" w:hAnsi="Arial" w:cs="Arial"/>
        <w:noProof/>
      </w:rPr>
      <w:t>5</w:t>
    </w:r>
    <w:r>
      <w:rPr>
        <w:rStyle w:val="Puslapionumeris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D02" w:rsidRDefault="00EA3D60">
    <w:pPr>
      <w:pStyle w:val="Por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  <w:rFonts w:ascii="Arial" w:hAnsi="Arial" w:cs="Arial"/>
      </w:rPr>
      <w:fldChar w:fldCharType="begin"/>
    </w:r>
    <w:r>
      <w:rPr>
        <w:rStyle w:val="Puslapionumeris"/>
        <w:rFonts w:ascii="Arial" w:hAnsi="Arial" w:cs="Arial"/>
      </w:rPr>
      <w:instrText xml:space="preserve">PAGE  </w:instrText>
    </w:r>
    <w:r>
      <w:rPr>
        <w:rStyle w:val="Puslapionumeris"/>
        <w:rFonts w:ascii="Arial" w:hAnsi="Arial" w:cs="Arial"/>
      </w:rPr>
      <w:fldChar w:fldCharType="separate"/>
    </w:r>
    <w:r>
      <w:rPr>
        <w:rStyle w:val="Puslapionumeris"/>
        <w:rFonts w:ascii="Arial" w:hAnsi="Arial" w:cs="Arial"/>
        <w:noProof/>
      </w:rPr>
      <w:t>1</w:t>
    </w:r>
    <w:r>
      <w:rPr>
        <w:rStyle w:val="Puslapionumeris"/>
        <w:rFonts w:ascii="Arial" w:hAnsi="Arial" w:cs="Arial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9A60A68"/>
    <w:multiLevelType w:val="hybridMultilevel"/>
    <w:tmpl w:val="DA1637F6"/>
    <w:lvl w:ilvl="0" w:tplc="48486C6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B73A7"/>
    <w:multiLevelType w:val="hybridMultilevel"/>
    <w:tmpl w:val="26F0081E"/>
    <w:lvl w:ilvl="0" w:tplc="7D78EF38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A5840"/>
    <w:multiLevelType w:val="hybridMultilevel"/>
    <w:tmpl w:val="A448DBD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30C24"/>
    <w:multiLevelType w:val="hybridMultilevel"/>
    <w:tmpl w:val="EB9454AC"/>
    <w:lvl w:ilvl="0" w:tplc="675C9558">
      <w:start w:val="2003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D60"/>
    <w:rsid w:val="007334BB"/>
    <w:rsid w:val="00EA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04EA9-CDC6-4C32-8B90-7A731FB2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3D60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EA3D60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oratDiagrama">
    <w:name w:val="Poraštė Diagrama"/>
    <w:basedOn w:val="Numatytasispastraiposriftas"/>
    <w:link w:val="Porat"/>
    <w:rsid w:val="00EA3D60"/>
    <w:rPr>
      <w:rFonts w:ascii="Helvetica" w:eastAsia="Times New Roman" w:hAnsi="Helvetica" w:cs="Times New Roman"/>
      <w:sz w:val="16"/>
      <w:szCs w:val="20"/>
      <w:lang w:val="en-GB"/>
    </w:rPr>
  </w:style>
  <w:style w:type="character" w:styleId="Puslapionumeris">
    <w:name w:val="page number"/>
    <w:basedOn w:val="Numatytasispastraiposriftas"/>
    <w:rsid w:val="00EA3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vvkt.lt/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7103</Words>
  <Characters>4049</Characters>
  <Application>Microsoft Office Word</Application>
  <DocSecurity>0</DocSecurity>
  <Lines>33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2019-09-11T07:39:00Z</dcterms:created>
  <dcterms:modified xsi:type="dcterms:W3CDTF">2019-09-11T07:40:00Z</dcterms:modified>
</cp:coreProperties>
</file>