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69D2" w:rsidRDefault="006D69D2" w:rsidP="006D69D2">
      <w:pPr>
        <w:tabs>
          <w:tab w:val="left" w:pos="567"/>
        </w:tabs>
        <w:ind w:left="567" w:hanging="567"/>
        <w:jc w:val="center"/>
        <w:outlineLvl w:val="0"/>
        <w:rPr>
          <w:b/>
          <w:caps/>
          <w:sz w:val="22"/>
          <w:szCs w:val="22"/>
        </w:rPr>
      </w:pPr>
      <w:r>
        <w:rPr>
          <w:rFonts w:eastAsia="SimSun"/>
          <w:b/>
          <w:iCs/>
          <w:sz w:val="22"/>
          <w:szCs w:val="22"/>
          <w:lang w:eastAsia="zh-CN"/>
        </w:rPr>
        <w:t>Pakuotės lapelis: informacija pacientui</w:t>
      </w:r>
    </w:p>
    <w:p w:rsidR="006D69D2" w:rsidRDefault="006D69D2" w:rsidP="006D69D2">
      <w:pPr>
        <w:jc w:val="center"/>
        <w:rPr>
          <w:sz w:val="22"/>
          <w:szCs w:val="22"/>
        </w:rPr>
      </w:pPr>
    </w:p>
    <w:p w:rsidR="006D69D2" w:rsidRDefault="006D69D2" w:rsidP="006D69D2">
      <w:pPr>
        <w:jc w:val="center"/>
        <w:rPr>
          <w:b/>
          <w:sz w:val="22"/>
          <w:szCs w:val="22"/>
        </w:rPr>
      </w:pPr>
      <w:r>
        <w:rPr>
          <w:b/>
          <w:sz w:val="22"/>
          <w:szCs w:val="22"/>
        </w:rPr>
        <w:t>OXYCORT 30 mg/10 mg/g tepalas</w:t>
      </w:r>
    </w:p>
    <w:p w:rsidR="006D69D2" w:rsidRDefault="006D69D2" w:rsidP="006D69D2">
      <w:pPr>
        <w:pStyle w:val="BTEMEASMCA"/>
        <w:jc w:val="center"/>
        <w:rPr>
          <w:szCs w:val="22"/>
        </w:rPr>
      </w:pPr>
      <w:r>
        <w:rPr>
          <w:szCs w:val="22"/>
        </w:rPr>
        <w:t>Oksitetraciklinas ir hidrokortizono acetatas</w:t>
      </w:r>
    </w:p>
    <w:p w:rsidR="006D69D2" w:rsidRDefault="006D69D2" w:rsidP="006D69D2">
      <w:pPr>
        <w:jc w:val="center"/>
        <w:rPr>
          <w:sz w:val="22"/>
          <w:szCs w:val="22"/>
        </w:rPr>
      </w:pPr>
    </w:p>
    <w:p w:rsidR="006D69D2" w:rsidRDefault="006D69D2" w:rsidP="006D69D2">
      <w:pPr>
        <w:suppressAutoHyphens/>
        <w:rPr>
          <w:sz w:val="22"/>
          <w:szCs w:val="22"/>
        </w:rPr>
      </w:pPr>
      <w:r>
        <w:rPr>
          <w:b/>
          <w:sz w:val="22"/>
          <w:szCs w:val="22"/>
        </w:rPr>
        <w:t>Atidžiai perskaitykite visą šį lapelį, prieš pradėdami vartoti vaistą, nes jame pateikiama Jums svarbi informacija.</w:t>
      </w:r>
    </w:p>
    <w:p w:rsidR="006D69D2" w:rsidRDefault="006D69D2" w:rsidP="006D69D2">
      <w:pPr>
        <w:numPr>
          <w:ilvl w:val="0"/>
          <w:numId w:val="1"/>
        </w:numPr>
        <w:ind w:left="567" w:right="-2" w:hanging="567"/>
        <w:rPr>
          <w:sz w:val="22"/>
          <w:szCs w:val="22"/>
        </w:rPr>
      </w:pPr>
      <w:r>
        <w:rPr>
          <w:sz w:val="22"/>
          <w:szCs w:val="22"/>
        </w:rPr>
        <w:t xml:space="preserve">Neišmeskite šio lapelio, nes vėl gali prireikti jį perskaityti. </w:t>
      </w:r>
    </w:p>
    <w:p w:rsidR="006D69D2" w:rsidRDefault="006D69D2" w:rsidP="006D69D2">
      <w:pPr>
        <w:numPr>
          <w:ilvl w:val="0"/>
          <w:numId w:val="1"/>
        </w:numPr>
        <w:ind w:left="567" w:right="-2" w:hanging="567"/>
        <w:rPr>
          <w:sz w:val="22"/>
          <w:szCs w:val="22"/>
        </w:rPr>
      </w:pPr>
      <w:r>
        <w:rPr>
          <w:sz w:val="22"/>
          <w:szCs w:val="22"/>
        </w:rPr>
        <w:t>Jeigu kiltų daugiau klausimų, kreipkitės į gydytoją arba vaistininką.</w:t>
      </w:r>
    </w:p>
    <w:p w:rsidR="006D69D2" w:rsidRDefault="006D69D2" w:rsidP="006D69D2">
      <w:pPr>
        <w:ind w:left="567" w:right="-2" w:hanging="567"/>
        <w:rPr>
          <w:sz w:val="22"/>
          <w:szCs w:val="22"/>
        </w:rPr>
      </w:pPr>
      <w:r>
        <w:rPr>
          <w:sz w:val="22"/>
          <w:szCs w:val="22"/>
        </w:rPr>
        <w:t>-</w:t>
      </w:r>
      <w:r>
        <w:rPr>
          <w:sz w:val="22"/>
          <w:szCs w:val="22"/>
        </w:rPr>
        <w:tab/>
        <w:t>Šis vaistas skirtas tik Jums, todėl kitiems žmonėms jo duoti negalima. Vaistas gali jiems pakenkti (net tiems, kurių ligos požymiai yra tokie patys kaip Jūsų).</w:t>
      </w:r>
    </w:p>
    <w:p w:rsidR="006D69D2" w:rsidRPr="00FC1512" w:rsidRDefault="006D69D2" w:rsidP="006D69D2">
      <w:pPr>
        <w:pStyle w:val="Sraopastraipa1"/>
        <w:numPr>
          <w:ilvl w:val="0"/>
          <w:numId w:val="2"/>
        </w:numPr>
        <w:ind w:left="567" w:hanging="567"/>
        <w:rPr>
          <w:szCs w:val="22"/>
        </w:rPr>
      </w:pPr>
      <w:r>
        <w:rPr>
          <w:rFonts w:ascii="Times New Roman" w:hAnsi="Times New Roman"/>
          <w:sz w:val="22"/>
          <w:szCs w:val="22"/>
        </w:rPr>
        <w:t>Jeigu pasireiškė šalutinis poveikis (net jeigu jis šiame lapelyje nenurodytas), kreipkitės į gydytoją arba vaistininką. Žr. 4 skyrių.</w:t>
      </w:r>
    </w:p>
    <w:p w:rsidR="006D69D2" w:rsidRDefault="006D69D2" w:rsidP="006D69D2">
      <w:pPr>
        <w:pStyle w:val="BTEMEASMCA"/>
        <w:rPr>
          <w:szCs w:val="22"/>
        </w:rPr>
      </w:pPr>
    </w:p>
    <w:p w:rsidR="006D69D2" w:rsidRDefault="006D69D2" w:rsidP="006D69D2">
      <w:pPr>
        <w:pStyle w:val="BTbEMEASMCA"/>
        <w:rPr>
          <w:szCs w:val="22"/>
        </w:rPr>
      </w:pPr>
      <w:r w:rsidRPr="0023186A">
        <w:rPr>
          <w:szCs w:val="22"/>
        </w:rPr>
        <w:t>Apie ką rašoma šiame lapelyje?</w:t>
      </w:r>
    </w:p>
    <w:p w:rsidR="006D69D2" w:rsidRDefault="006D69D2" w:rsidP="006D69D2">
      <w:pPr>
        <w:pStyle w:val="BTbEMEASMCA"/>
        <w:rPr>
          <w:szCs w:val="22"/>
        </w:rPr>
      </w:pPr>
    </w:p>
    <w:p w:rsidR="006D69D2" w:rsidRDefault="006D69D2" w:rsidP="006D69D2">
      <w:pPr>
        <w:pStyle w:val="BTEMEASMCA"/>
        <w:numPr>
          <w:ilvl w:val="0"/>
          <w:numId w:val="3"/>
        </w:numPr>
        <w:ind w:left="567" w:hanging="567"/>
        <w:rPr>
          <w:szCs w:val="22"/>
        </w:rPr>
      </w:pPr>
      <w:r>
        <w:rPr>
          <w:szCs w:val="22"/>
        </w:rPr>
        <w:t>Kas yra OXYCORT ir kam jis vartojamas</w:t>
      </w:r>
    </w:p>
    <w:p w:rsidR="006D69D2" w:rsidRDefault="006D69D2" w:rsidP="006D69D2">
      <w:pPr>
        <w:pStyle w:val="BTEMEASMCA"/>
        <w:numPr>
          <w:ilvl w:val="0"/>
          <w:numId w:val="3"/>
        </w:numPr>
        <w:ind w:left="567" w:hanging="567"/>
        <w:rPr>
          <w:szCs w:val="22"/>
        </w:rPr>
      </w:pPr>
      <w:r>
        <w:rPr>
          <w:szCs w:val="22"/>
        </w:rPr>
        <w:t xml:space="preserve">Kas žinotina prieš vartojant OXYCORT </w:t>
      </w:r>
    </w:p>
    <w:p w:rsidR="006D69D2" w:rsidRDefault="006D69D2" w:rsidP="006D69D2">
      <w:pPr>
        <w:pStyle w:val="BTEMEASMCA"/>
        <w:numPr>
          <w:ilvl w:val="0"/>
          <w:numId w:val="3"/>
        </w:numPr>
        <w:ind w:left="567" w:hanging="567"/>
        <w:rPr>
          <w:szCs w:val="22"/>
        </w:rPr>
      </w:pPr>
      <w:r>
        <w:rPr>
          <w:szCs w:val="22"/>
        </w:rPr>
        <w:t xml:space="preserve">Kaip vartoti OXYCORT </w:t>
      </w:r>
    </w:p>
    <w:p w:rsidR="006D69D2" w:rsidRDefault="006D69D2" w:rsidP="006D69D2">
      <w:pPr>
        <w:pStyle w:val="BTEMEASMCA"/>
        <w:numPr>
          <w:ilvl w:val="0"/>
          <w:numId w:val="3"/>
        </w:numPr>
        <w:ind w:left="567" w:hanging="567"/>
        <w:rPr>
          <w:szCs w:val="22"/>
        </w:rPr>
      </w:pPr>
      <w:r>
        <w:rPr>
          <w:szCs w:val="22"/>
        </w:rPr>
        <w:t>Galimas šalutinis poveikis</w:t>
      </w:r>
    </w:p>
    <w:p w:rsidR="006D69D2" w:rsidRDefault="006D69D2" w:rsidP="006D69D2">
      <w:pPr>
        <w:pStyle w:val="BTEMEASMCA"/>
        <w:numPr>
          <w:ilvl w:val="0"/>
          <w:numId w:val="3"/>
        </w:numPr>
        <w:ind w:left="567" w:hanging="567"/>
        <w:rPr>
          <w:szCs w:val="22"/>
        </w:rPr>
      </w:pPr>
      <w:r>
        <w:rPr>
          <w:szCs w:val="22"/>
        </w:rPr>
        <w:t xml:space="preserve">Kaip laikyti OXYCORT </w:t>
      </w:r>
    </w:p>
    <w:p w:rsidR="006D69D2" w:rsidRDefault="006D69D2" w:rsidP="006D69D2">
      <w:pPr>
        <w:pStyle w:val="BTEMEASMCA"/>
        <w:numPr>
          <w:ilvl w:val="0"/>
          <w:numId w:val="3"/>
        </w:numPr>
        <w:ind w:left="567" w:hanging="567"/>
        <w:rPr>
          <w:szCs w:val="22"/>
        </w:rPr>
      </w:pPr>
      <w:r>
        <w:rPr>
          <w:szCs w:val="22"/>
        </w:rPr>
        <w:t>Pakuotės turinys ir kita informacija</w:t>
      </w:r>
    </w:p>
    <w:p w:rsidR="006D69D2" w:rsidRDefault="006D69D2" w:rsidP="006D69D2">
      <w:pPr>
        <w:pStyle w:val="BTEMEASMCA"/>
        <w:rPr>
          <w:szCs w:val="22"/>
        </w:rPr>
      </w:pPr>
    </w:p>
    <w:p w:rsidR="006D69D2" w:rsidRDefault="006D69D2" w:rsidP="006D69D2">
      <w:pPr>
        <w:pStyle w:val="BTEMEASMCA"/>
        <w:rPr>
          <w:szCs w:val="22"/>
        </w:rPr>
      </w:pPr>
    </w:p>
    <w:p w:rsidR="006D69D2" w:rsidRDefault="006D69D2" w:rsidP="006D69D2">
      <w:pPr>
        <w:pStyle w:val="PI-1EMEASMCA"/>
      </w:pPr>
      <w:bookmarkStart w:id="0" w:name="_Toc129243139"/>
      <w:bookmarkStart w:id="1" w:name="_Toc129243264"/>
      <w:r>
        <w:t>1.</w:t>
      </w:r>
      <w:r>
        <w:tab/>
      </w:r>
      <w:bookmarkEnd w:id="0"/>
      <w:bookmarkEnd w:id="1"/>
      <w:r>
        <w:t>Kas yra OXYCORT ir kam jis vartojamas</w:t>
      </w:r>
    </w:p>
    <w:p w:rsidR="006D69D2" w:rsidRDefault="006D69D2" w:rsidP="006D69D2">
      <w:pPr>
        <w:pStyle w:val="BTEMEASMCA"/>
        <w:rPr>
          <w:szCs w:val="22"/>
        </w:rPr>
      </w:pPr>
    </w:p>
    <w:p w:rsidR="006D69D2" w:rsidRDefault="006D69D2" w:rsidP="006D69D2">
      <w:pPr>
        <w:widowControl w:val="0"/>
        <w:tabs>
          <w:tab w:val="left" w:pos="567"/>
        </w:tabs>
        <w:rPr>
          <w:snapToGrid w:val="0"/>
          <w:sz w:val="22"/>
          <w:szCs w:val="22"/>
          <w:lang w:eastAsia="pl-PL"/>
        </w:rPr>
      </w:pPr>
      <w:r>
        <w:rPr>
          <w:snapToGrid w:val="0"/>
          <w:sz w:val="22"/>
          <w:szCs w:val="22"/>
          <w:lang w:eastAsia="pl-PL"/>
        </w:rPr>
        <w:t xml:space="preserve">OXYCORT tepalui būdingas kombinuotas sudėtyje esančių veikliųjų medžiagų poveikis. </w:t>
      </w:r>
    </w:p>
    <w:p w:rsidR="006D69D2" w:rsidRDefault="006D69D2" w:rsidP="006D69D2">
      <w:pPr>
        <w:tabs>
          <w:tab w:val="left" w:pos="567"/>
        </w:tabs>
        <w:rPr>
          <w:sz w:val="22"/>
          <w:szCs w:val="22"/>
        </w:rPr>
      </w:pPr>
      <w:proofErr w:type="spellStart"/>
      <w:r>
        <w:rPr>
          <w:snapToGrid w:val="0"/>
          <w:sz w:val="22"/>
          <w:szCs w:val="22"/>
          <w:lang w:eastAsia="pl-PL"/>
        </w:rPr>
        <w:t>Oksitetraciklinas</w:t>
      </w:r>
      <w:proofErr w:type="spellEnd"/>
      <w:r>
        <w:rPr>
          <w:snapToGrid w:val="0"/>
          <w:sz w:val="22"/>
          <w:szCs w:val="22"/>
          <w:lang w:eastAsia="pl-PL"/>
        </w:rPr>
        <w:t xml:space="preserve"> yra </w:t>
      </w:r>
      <w:proofErr w:type="spellStart"/>
      <w:r>
        <w:rPr>
          <w:snapToGrid w:val="0"/>
          <w:sz w:val="22"/>
          <w:szCs w:val="22"/>
          <w:lang w:eastAsia="pl-PL"/>
        </w:rPr>
        <w:t>tetraciklinų</w:t>
      </w:r>
      <w:proofErr w:type="spellEnd"/>
      <w:r>
        <w:rPr>
          <w:snapToGrid w:val="0"/>
          <w:sz w:val="22"/>
          <w:szCs w:val="22"/>
          <w:lang w:eastAsia="pl-PL"/>
        </w:rPr>
        <w:t xml:space="preserve"> grupės antibiotikas. </w:t>
      </w:r>
      <w:r>
        <w:rPr>
          <w:sz w:val="22"/>
          <w:szCs w:val="22"/>
        </w:rPr>
        <w:t xml:space="preserve">Hidrokortizono acetatas yra </w:t>
      </w:r>
      <w:proofErr w:type="spellStart"/>
      <w:r>
        <w:rPr>
          <w:sz w:val="22"/>
          <w:szCs w:val="22"/>
        </w:rPr>
        <w:t>gliukokortikoidas</w:t>
      </w:r>
      <w:proofErr w:type="spellEnd"/>
      <w:r>
        <w:rPr>
          <w:sz w:val="22"/>
          <w:szCs w:val="22"/>
        </w:rPr>
        <w:t>. Pavartotas lokaliai jis sukelia nestiprų uždegimą ir alergiją slopinantį poveikį.</w:t>
      </w:r>
    </w:p>
    <w:p w:rsidR="006D69D2" w:rsidRDefault="006D69D2" w:rsidP="006D69D2">
      <w:pPr>
        <w:widowControl w:val="0"/>
        <w:tabs>
          <w:tab w:val="left" w:pos="567"/>
        </w:tabs>
        <w:rPr>
          <w:snapToGrid w:val="0"/>
          <w:sz w:val="22"/>
          <w:szCs w:val="22"/>
          <w:lang w:eastAsia="pl-PL"/>
        </w:rPr>
      </w:pPr>
    </w:p>
    <w:p w:rsidR="006D69D2" w:rsidRDefault="006D69D2" w:rsidP="006D69D2">
      <w:pPr>
        <w:pStyle w:val="BTEMEASMCA"/>
        <w:rPr>
          <w:szCs w:val="22"/>
        </w:rPr>
      </w:pPr>
      <w:r>
        <w:rPr>
          <w:szCs w:val="22"/>
        </w:rPr>
        <w:t>OXYCORT vartojama lengvam odos uždegimui, komplikuotam bakterine infekcija, gydyti.</w:t>
      </w:r>
    </w:p>
    <w:p w:rsidR="006D69D2" w:rsidRDefault="006D69D2" w:rsidP="006D69D2">
      <w:pPr>
        <w:widowControl w:val="0"/>
        <w:tabs>
          <w:tab w:val="left" w:pos="567"/>
        </w:tabs>
        <w:rPr>
          <w:sz w:val="22"/>
          <w:szCs w:val="22"/>
        </w:rPr>
      </w:pPr>
    </w:p>
    <w:p w:rsidR="006D69D2" w:rsidRDefault="006D69D2" w:rsidP="006D69D2">
      <w:pPr>
        <w:pStyle w:val="BTEMEASMCA"/>
        <w:rPr>
          <w:szCs w:val="22"/>
        </w:rPr>
      </w:pPr>
    </w:p>
    <w:p w:rsidR="006D69D2" w:rsidRDefault="006D69D2" w:rsidP="006D69D2">
      <w:pPr>
        <w:pStyle w:val="PI-1EMEASMCA"/>
      </w:pPr>
      <w:bookmarkStart w:id="2" w:name="_Toc129243140"/>
      <w:bookmarkStart w:id="3" w:name="_Toc129243265"/>
      <w:r>
        <w:t>2.</w:t>
      </w:r>
      <w:r>
        <w:tab/>
      </w:r>
      <w:bookmarkEnd w:id="2"/>
      <w:bookmarkEnd w:id="3"/>
      <w:r>
        <w:t>Kas žinotina prieš vartojant OXYCORT</w:t>
      </w:r>
    </w:p>
    <w:p w:rsidR="006D69D2" w:rsidRDefault="006D69D2" w:rsidP="006D69D2">
      <w:pPr>
        <w:pStyle w:val="BTEMEASMCA"/>
        <w:rPr>
          <w:szCs w:val="22"/>
        </w:rPr>
      </w:pPr>
    </w:p>
    <w:p w:rsidR="006D69D2" w:rsidRDefault="006D69D2" w:rsidP="006D69D2">
      <w:pPr>
        <w:pStyle w:val="PI-3EMEASMCA"/>
      </w:pPr>
      <w:r>
        <w:t>OXYCORT tepalo vartoti negalima:</w:t>
      </w:r>
    </w:p>
    <w:p w:rsidR="006D69D2" w:rsidRDefault="006D69D2" w:rsidP="006D69D2">
      <w:pPr>
        <w:tabs>
          <w:tab w:val="left" w:pos="567"/>
        </w:tabs>
        <w:ind w:left="567" w:hanging="567"/>
        <w:rPr>
          <w:sz w:val="22"/>
          <w:szCs w:val="22"/>
        </w:rPr>
      </w:pPr>
      <w:r>
        <w:rPr>
          <w:sz w:val="22"/>
          <w:szCs w:val="22"/>
        </w:rPr>
        <w:t>-</w:t>
      </w:r>
      <w:r>
        <w:rPr>
          <w:sz w:val="22"/>
          <w:szCs w:val="22"/>
        </w:rPr>
        <w:tab/>
        <w:t>jeigu yra alergija veikliosioms medžiagoms arba bet kuriai pagalbinei šio vaisto medžiagai (jos išvardytos 6 skyriuje);</w:t>
      </w:r>
    </w:p>
    <w:p w:rsidR="006D69D2" w:rsidRDefault="006D69D2" w:rsidP="006D69D2">
      <w:pPr>
        <w:tabs>
          <w:tab w:val="left" w:pos="567"/>
        </w:tabs>
        <w:ind w:left="567" w:hanging="567"/>
        <w:rPr>
          <w:sz w:val="22"/>
          <w:szCs w:val="22"/>
        </w:rPr>
      </w:pPr>
      <w:r>
        <w:rPr>
          <w:sz w:val="22"/>
          <w:szCs w:val="22"/>
        </w:rPr>
        <w:t>-</w:t>
      </w:r>
      <w:r>
        <w:rPr>
          <w:sz w:val="22"/>
          <w:szCs w:val="22"/>
        </w:rPr>
        <w:tab/>
        <w:t>jeigu yra bakterijų, virusų ar grybelių sukeltas odos pažeidimas;</w:t>
      </w:r>
    </w:p>
    <w:p w:rsidR="006D69D2" w:rsidRDefault="006D69D2" w:rsidP="006D69D2">
      <w:pPr>
        <w:tabs>
          <w:tab w:val="left" w:pos="567"/>
        </w:tabs>
        <w:ind w:left="567" w:hanging="567"/>
        <w:rPr>
          <w:sz w:val="22"/>
          <w:szCs w:val="22"/>
        </w:rPr>
      </w:pPr>
      <w:r>
        <w:rPr>
          <w:sz w:val="22"/>
          <w:szCs w:val="22"/>
        </w:rPr>
        <w:t>-</w:t>
      </w:r>
      <w:r>
        <w:rPr>
          <w:sz w:val="22"/>
          <w:szCs w:val="22"/>
        </w:rPr>
        <w:tab/>
        <w:t>jeigu yra paprastieji arba raudonieji spuogai;</w:t>
      </w:r>
    </w:p>
    <w:p w:rsidR="006D69D2" w:rsidRDefault="006D69D2" w:rsidP="006D69D2">
      <w:pPr>
        <w:tabs>
          <w:tab w:val="left" w:pos="567"/>
        </w:tabs>
        <w:ind w:left="567" w:hanging="567"/>
        <w:rPr>
          <w:sz w:val="22"/>
          <w:szCs w:val="22"/>
        </w:rPr>
      </w:pPr>
      <w:r>
        <w:rPr>
          <w:sz w:val="22"/>
          <w:szCs w:val="22"/>
        </w:rPr>
        <w:t>-</w:t>
      </w:r>
      <w:r>
        <w:rPr>
          <w:sz w:val="22"/>
          <w:szCs w:val="22"/>
        </w:rPr>
        <w:tab/>
        <w:t>jeigu yra apyburnio odos uždegimas;</w:t>
      </w:r>
    </w:p>
    <w:p w:rsidR="006D69D2" w:rsidRDefault="006D69D2" w:rsidP="006D69D2">
      <w:pPr>
        <w:tabs>
          <w:tab w:val="left" w:pos="567"/>
        </w:tabs>
        <w:ind w:left="567" w:hanging="567"/>
        <w:rPr>
          <w:sz w:val="22"/>
          <w:szCs w:val="22"/>
        </w:rPr>
      </w:pPr>
      <w:r>
        <w:rPr>
          <w:sz w:val="22"/>
          <w:szCs w:val="22"/>
        </w:rPr>
        <w:t>-</w:t>
      </w:r>
      <w:r>
        <w:rPr>
          <w:sz w:val="22"/>
          <w:szCs w:val="22"/>
        </w:rPr>
        <w:tab/>
        <w:t xml:space="preserve">jei yra tuberkuliozinių odos pokyčių, sifilis, odos vėžys ar </w:t>
      </w:r>
      <w:proofErr w:type="spellStart"/>
      <w:r>
        <w:rPr>
          <w:sz w:val="22"/>
          <w:szCs w:val="22"/>
        </w:rPr>
        <w:t>ikivėžinė</w:t>
      </w:r>
      <w:proofErr w:type="spellEnd"/>
      <w:r>
        <w:rPr>
          <w:sz w:val="22"/>
          <w:szCs w:val="22"/>
        </w:rPr>
        <w:t xml:space="preserve"> būklė;</w:t>
      </w:r>
    </w:p>
    <w:p w:rsidR="006D69D2" w:rsidRDefault="006D69D2" w:rsidP="006D69D2">
      <w:pPr>
        <w:tabs>
          <w:tab w:val="left" w:pos="567"/>
        </w:tabs>
        <w:ind w:left="567" w:hanging="567"/>
        <w:rPr>
          <w:sz w:val="22"/>
          <w:szCs w:val="22"/>
        </w:rPr>
      </w:pPr>
      <w:r>
        <w:rPr>
          <w:sz w:val="22"/>
          <w:szCs w:val="22"/>
        </w:rPr>
        <w:t>-</w:t>
      </w:r>
      <w:r>
        <w:rPr>
          <w:sz w:val="22"/>
          <w:szCs w:val="22"/>
        </w:rPr>
        <w:tab/>
        <w:t>jeigu yra odos išopėjimas ar odos suplonėjimu pasireiškiantis odos sutrikimas;</w:t>
      </w:r>
    </w:p>
    <w:p w:rsidR="006D69D2" w:rsidRDefault="006D69D2" w:rsidP="006D69D2">
      <w:pPr>
        <w:tabs>
          <w:tab w:val="left" w:pos="567"/>
        </w:tabs>
        <w:ind w:left="567" w:hanging="567"/>
        <w:rPr>
          <w:sz w:val="22"/>
          <w:szCs w:val="22"/>
        </w:rPr>
      </w:pPr>
      <w:r>
        <w:rPr>
          <w:sz w:val="22"/>
          <w:szCs w:val="22"/>
        </w:rPr>
        <w:t>-</w:t>
      </w:r>
      <w:r>
        <w:rPr>
          <w:sz w:val="22"/>
          <w:szCs w:val="22"/>
        </w:rPr>
        <w:tab/>
        <w:t>jaunesniems kaip 2 metų vaikams.</w:t>
      </w:r>
    </w:p>
    <w:p w:rsidR="006D69D2" w:rsidRDefault="006D69D2" w:rsidP="006D69D2">
      <w:pPr>
        <w:pStyle w:val="BTEMEASMCA"/>
        <w:rPr>
          <w:szCs w:val="22"/>
        </w:rPr>
      </w:pPr>
    </w:p>
    <w:p w:rsidR="006D69D2" w:rsidRDefault="006D69D2" w:rsidP="006D69D2">
      <w:pPr>
        <w:pStyle w:val="Antrat4"/>
        <w:rPr>
          <w:noProof w:val="0"/>
          <w:szCs w:val="22"/>
        </w:rPr>
      </w:pPr>
      <w:r>
        <w:rPr>
          <w:noProof w:val="0"/>
          <w:szCs w:val="22"/>
        </w:rPr>
        <w:t xml:space="preserve">Įspėjimai ir atsargumo priemonės </w:t>
      </w:r>
    </w:p>
    <w:p w:rsidR="006D69D2" w:rsidRDefault="006D69D2" w:rsidP="006D69D2">
      <w:pPr>
        <w:ind w:right="-2"/>
        <w:rPr>
          <w:sz w:val="22"/>
          <w:szCs w:val="22"/>
        </w:rPr>
      </w:pPr>
      <w:r>
        <w:rPr>
          <w:sz w:val="22"/>
          <w:szCs w:val="22"/>
        </w:rPr>
        <w:t>Pasitarkite su gydytoju arba vaistininku, prieš pradėdami vartoti OXYCORT.</w:t>
      </w:r>
    </w:p>
    <w:p w:rsidR="006D69D2" w:rsidRDefault="006D69D2" w:rsidP="006D69D2">
      <w:pPr>
        <w:ind w:right="-2"/>
        <w:rPr>
          <w:sz w:val="22"/>
          <w:szCs w:val="22"/>
        </w:rPr>
      </w:pPr>
    </w:p>
    <w:p w:rsidR="006D69D2" w:rsidRDefault="006D69D2" w:rsidP="006D69D2">
      <w:pPr>
        <w:tabs>
          <w:tab w:val="left" w:pos="567"/>
        </w:tabs>
        <w:rPr>
          <w:sz w:val="22"/>
          <w:szCs w:val="22"/>
        </w:rPr>
      </w:pPr>
      <w:r>
        <w:rPr>
          <w:sz w:val="22"/>
          <w:szCs w:val="22"/>
        </w:rPr>
        <w:t>Vaisto negalima vartoti ilgiau nei nurodė gydytojas. Jei tepalo vartojama ilgai, gali sumažėti antibiotikų veiksmingumas ir padidėti naujos infekcijos pavojus.</w:t>
      </w:r>
    </w:p>
    <w:p w:rsidR="006D69D2" w:rsidRDefault="006D69D2" w:rsidP="006D69D2">
      <w:pPr>
        <w:tabs>
          <w:tab w:val="left" w:pos="567"/>
        </w:tabs>
        <w:rPr>
          <w:sz w:val="22"/>
          <w:szCs w:val="22"/>
        </w:rPr>
      </w:pPr>
      <w:r>
        <w:rPr>
          <w:sz w:val="22"/>
          <w:szCs w:val="22"/>
        </w:rPr>
        <w:t>Tepalu tepti veido, pažastų ar kirkšnių odą galima tik gydytojo leidimu ir tik būtinu atveju, kadangi dėl absorbcijos sustiprėjimo padidėja šalutinio poveikio pavojus.</w:t>
      </w:r>
    </w:p>
    <w:p w:rsidR="006D69D2" w:rsidRDefault="006D69D2" w:rsidP="006D69D2">
      <w:pPr>
        <w:rPr>
          <w:sz w:val="22"/>
          <w:szCs w:val="22"/>
        </w:rPr>
      </w:pPr>
      <w:r>
        <w:rPr>
          <w:sz w:val="22"/>
          <w:szCs w:val="22"/>
        </w:rPr>
        <w:t>Jei yra uždaro ar atviro kampo glaukoma bei katarakta, tepalu tepti akių vokus arba odą arti jų draudžiama, nes gali sustiprėti minėtų ligų simptomai.</w:t>
      </w:r>
    </w:p>
    <w:p w:rsidR="006D69D2" w:rsidRDefault="006D69D2" w:rsidP="006D69D2">
      <w:pPr>
        <w:rPr>
          <w:sz w:val="22"/>
          <w:szCs w:val="22"/>
        </w:rPr>
      </w:pPr>
      <w:r>
        <w:rPr>
          <w:sz w:val="22"/>
          <w:szCs w:val="22"/>
        </w:rPr>
        <w:t>Jeigu pradėtumėte matyti lyg per miglą arba jums pasireikštų kiti regėjimo sutrikimai, kreipkitės į savo gydytoją.</w:t>
      </w:r>
    </w:p>
    <w:p w:rsidR="006D69D2" w:rsidRDefault="006D69D2" w:rsidP="006D69D2">
      <w:pPr>
        <w:tabs>
          <w:tab w:val="left" w:pos="567"/>
        </w:tabs>
        <w:rPr>
          <w:sz w:val="22"/>
          <w:szCs w:val="22"/>
        </w:rPr>
      </w:pPr>
      <w:r>
        <w:rPr>
          <w:sz w:val="22"/>
          <w:szCs w:val="22"/>
        </w:rPr>
        <w:t>Jei oda suplonėjusi (ypač senyviems žmonėms), OXYCORT būtina vartoti atsargiai.</w:t>
      </w:r>
    </w:p>
    <w:p w:rsidR="006D69D2" w:rsidRDefault="006D69D2" w:rsidP="006D69D2">
      <w:pPr>
        <w:tabs>
          <w:tab w:val="left" w:pos="567"/>
        </w:tabs>
        <w:rPr>
          <w:sz w:val="22"/>
          <w:szCs w:val="22"/>
        </w:rPr>
      </w:pPr>
      <w:r>
        <w:rPr>
          <w:bCs/>
          <w:iCs/>
          <w:sz w:val="22"/>
          <w:szCs w:val="22"/>
        </w:rPr>
        <w:lastRenderedPageBreak/>
        <w:t>OXYCORT nerekomenduojama vartoti esant suplonėjusiai odai, odos žaizdai, paprastiesiems spuogams, silpnoms odos venoms, išangės ir lyties organų vietų niežėjimui. Taip pat reikėtų vengti tepti šio tepalo ant atvirų žaizdų ir gleivinių.</w:t>
      </w:r>
    </w:p>
    <w:p w:rsidR="006D69D2" w:rsidRDefault="006D69D2" w:rsidP="006D69D2">
      <w:pPr>
        <w:pStyle w:val="BTEMEASMCA"/>
        <w:rPr>
          <w:szCs w:val="22"/>
        </w:rPr>
      </w:pPr>
      <w:r>
        <w:rPr>
          <w:szCs w:val="22"/>
        </w:rPr>
        <w:t>Šio tepalo negalima tepti po orui nepralaidžiu tvarsčiu, nes odos pažeidimas gali sustiprėti.</w:t>
      </w:r>
    </w:p>
    <w:p w:rsidR="006D69D2" w:rsidRDefault="006D69D2" w:rsidP="006D69D2">
      <w:pPr>
        <w:pStyle w:val="BTEMEASMCA"/>
        <w:rPr>
          <w:szCs w:val="22"/>
        </w:rPr>
      </w:pPr>
    </w:p>
    <w:p w:rsidR="006D69D2" w:rsidRDefault="006D69D2" w:rsidP="006D69D2">
      <w:pPr>
        <w:pStyle w:val="Antrat4"/>
        <w:jc w:val="left"/>
        <w:rPr>
          <w:szCs w:val="22"/>
        </w:rPr>
      </w:pPr>
      <w:r>
        <w:rPr>
          <w:szCs w:val="22"/>
        </w:rPr>
        <w:t>Vaikams ir paaugliams</w:t>
      </w:r>
    </w:p>
    <w:p w:rsidR="006D69D2" w:rsidRDefault="006D69D2" w:rsidP="006D69D2">
      <w:pPr>
        <w:pStyle w:val="BTEMEASMCA"/>
        <w:rPr>
          <w:szCs w:val="22"/>
        </w:rPr>
      </w:pPr>
      <w:r>
        <w:rPr>
          <w:szCs w:val="22"/>
        </w:rPr>
        <w:t>Saugumas ir veiksmingumas vaikams neištirtas, todėl šio vaisto vaikams vartoti nerekomenduojama. Negalima vartoti jaunesniems kaip dviejų metų vaikams.</w:t>
      </w:r>
    </w:p>
    <w:p w:rsidR="006D69D2" w:rsidRDefault="006D69D2" w:rsidP="006D69D2">
      <w:pPr>
        <w:pStyle w:val="BTEMEASMCA"/>
        <w:rPr>
          <w:szCs w:val="22"/>
        </w:rPr>
      </w:pPr>
    </w:p>
    <w:p w:rsidR="006D69D2" w:rsidRDefault="006D69D2" w:rsidP="006D69D2">
      <w:pPr>
        <w:keepNext/>
        <w:tabs>
          <w:tab w:val="left" w:pos="567"/>
        </w:tabs>
        <w:spacing w:line="260" w:lineRule="exact"/>
        <w:jc w:val="both"/>
        <w:outlineLvl w:val="3"/>
        <w:rPr>
          <w:b/>
          <w:bCs/>
          <w:snapToGrid w:val="0"/>
          <w:sz w:val="22"/>
          <w:szCs w:val="22"/>
        </w:rPr>
      </w:pPr>
      <w:r>
        <w:rPr>
          <w:b/>
          <w:bCs/>
          <w:snapToGrid w:val="0"/>
          <w:sz w:val="22"/>
          <w:szCs w:val="22"/>
        </w:rPr>
        <w:t>Kiti vaistai ir OXYCORT</w:t>
      </w:r>
    </w:p>
    <w:p w:rsidR="006D69D2" w:rsidRDefault="006D69D2" w:rsidP="006D69D2">
      <w:pPr>
        <w:numPr>
          <w:ilvl w:val="12"/>
          <w:numId w:val="0"/>
        </w:numPr>
        <w:ind w:right="-2"/>
        <w:rPr>
          <w:snapToGrid w:val="0"/>
          <w:sz w:val="22"/>
          <w:szCs w:val="22"/>
        </w:rPr>
      </w:pPr>
      <w:r>
        <w:rPr>
          <w:snapToGrid w:val="0"/>
          <w:sz w:val="22"/>
          <w:szCs w:val="22"/>
        </w:rPr>
        <w:t>Jeigu vartojate ar neseniai vartojote kitų vaistų arba dėl to nesate tikri, apie tai pasakykite gydytojui arba vaistininkui.</w:t>
      </w:r>
    </w:p>
    <w:p w:rsidR="006D69D2" w:rsidRDefault="006D69D2" w:rsidP="006D69D2">
      <w:pPr>
        <w:tabs>
          <w:tab w:val="left" w:pos="567"/>
        </w:tabs>
        <w:rPr>
          <w:sz w:val="22"/>
          <w:szCs w:val="22"/>
        </w:rPr>
      </w:pPr>
    </w:p>
    <w:p w:rsidR="006D69D2" w:rsidRDefault="006D69D2" w:rsidP="006D69D2">
      <w:pPr>
        <w:tabs>
          <w:tab w:val="left" w:pos="567"/>
        </w:tabs>
        <w:rPr>
          <w:sz w:val="22"/>
          <w:szCs w:val="22"/>
        </w:rPr>
      </w:pPr>
      <w:r>
        <w:rPr>
          <w:sz w:val="22"/>
          <w:szCs w:val="22"/>
        </w:rPr>
        <w:t>OXYCORT tepalu gydant odos pažeidimą, ypač tepant juo didelį odos plotą, skiepytis nuo vėjaraupių negalima, kadangi poveikis gali būti nepakankamas.</w:t>
      </w:r>
    </w:p>
    <w:p w:rsidR="006D69D2" w:rsidRDefault="006D69D2" w:rsidP="006D69D2">
      <w:pPr>
        <w:pStyle w:val="BTEMEASMCA"/>
        <w:rPr>
          <w:szCs w:val="22"/>
        </w:rPr>
      </w:pPr>
    </w:p>
    <w:p w:rsidR="006D69D2" w:rsidRDefault="006D69D2" w:rsidP="006D69D2">
      <w:pPr>
        <w:spacing w:line="220" w:lineRule="exact"/>
        <w:rPr>
          <w:b/>
          <w:bCs/>
          <w:sz w:val="22"/>
          <w:szCs w:val="22"/>
        </w:rPr>
      </w:pPr>
      <w:r>
        <w:rPr>
          <w:b/>
          <w:bCs/>
          <w:sz w:val="22"/>
          <w:szCs w:val="22"/>
        </w:rPr>
        <w:t>Nėštumas ir žindymo laikotarpis</w:t>
      </w:r>
    </w:p>
    <w:p w:rsidR="006D69D2" w:rsidRDefault="006D69D2" w:rsidP="006D69D2">
      <w:pPr>
        <w:rPr>
          <w:sz w:val="22"/>
          <w:szCs w:val="22"/>
        </w:rPr>
      </w:pPr>
      <w:r>
        <w:rPr>
          <w:snapToGrid w:val="0"/>
          <w:sz w:val="22"/>
          <w:szCs w:val="22"/>
        </w:rPr>
        <w:t>Jeigu esate nėščia, žindote kūdikį, manote, kad galbūt esate nėščia, arba planuojate pastoti, tai prieš vartodama šį vaistą, pasitarkite su</w:t>
      </w:r>
      <w:r>
        <w:rPr>
          <w:sz w:val="22"/>
          <w:szCs w:val="22"/>
        </w:rPr>
        <w:t xml:space="preserve"> gydytoju arba vaistininku.</w:t>
      </w:r>
    </w:p>
    <w:p w:rsidR="006D69D2" w:rsidRDefault="006D69D2" w:rsidP="006D69D2">
      <w:pPr>
        <w:rPr>
          <w:sz w:val="22"/>
          <w:szCs w:val="22"/>
        </w:rPr>
      </w:pPr>
      <w:r>
        <w:rPr>
          <w:sz w:val="22"/>
          <w:szCs w:val="22"/>
        </w:rPr>
        <w:t>Nėštumo ir žindymo laikotarpiu šio vaisto vartoti negalima.</w:t>
      </w:r>
    </w:p>
    <w:p w:rsidR="006D69D2" w:rsidRDefault="006D69D2" w:rsidP="006D69D2">
      <w:pPr>
        <w:pStyle w:val="BTEMEASMCA"/>
        <w:rPr>
          <w:szCs w:val="22"/>
        </w:rPr>
      </w:pPr>
    </w:p>
    <w:p w:rsidR="006D69D2" w:rsidRDefault="006D69D2" w:rsidP="006D69D2">
      <w:pPr>
        <w:pStyle w:val="PI-3EMEASMCA"/>
      </w:pPr>
      <w:r>
        <w:t>Vairavimas ir mechanizmų valdymas</w:t>
      </w:r>
    </w:p>
    <w:p w:rsidR="006D69D2" w:rsidRDefault="006D69D2" w:rsidP="006D69D2">
      <w:pPr>
        <w:tabs>
          <w:tab w:val="left" w:pos="567"/>
        </w:tabs>
        <w:rPr>
          <w:sz w:val="22"/>
          <w:szCs w:val="22"/>
        </w:rPr>
      </w:pPr>
      <w:r>
        <w:rPr>
          <w:sz w:val="22"/>
          <w:szCs w:val="22"/>
        </w:rPr>
        <w:t xml:space="preserve">Šis vaistas gebėjimo vairuoti ir valdyti mechanizmus neveikia. </w:t>
      </w:r>
    </w:p>
    <w:p w:rsidR="006D69D2" w:rsidRDefault="006D69D2" w:rsidP="006D69D2">
      <w:pPr>
        <w:pStyle w:val="BTEMEASMCA"/>
        <w:rPr>
          <w:szCs w:val="22"/>
        </w:rPr>
      </w:pPr>
    </w:p>
    <w:p w:rsidR="006D69D2" w:rsidRDefault="006D69D2" w:rsidP="006D69D2">
      <w:pPr>
        <w:pStyle w:val="BTEMEASMCA"/>
        <w:rPr>
          <w:szCs w:val="22"/>
        </w:rPr>
      </w:pPr>
    </w:p>
    <w:p w:rsidR="006D69D2" w:rsidRDefault="006D69D2" w:rsidP="006D69D2">
      <w:pPr>
        <w:pStyle w:val="PI-1EMEASMCA"/>
      </w:pPr>
      <w:bookmarkStart w:id="4" w:name="_Toc129243141"/>
      <w:bookmarkStart w:id="5" w:name="_Toc129243266"/>
      <w:r>
        <w:t>3.</w:t>
      </w:r>
      <w:r>
        <w:tab/>
      </w:r>
      <w:bookmarkEnd w:id="4"/>
      <w:bookmarkEnd w:id="5"/>
      <w:r>
        <w:t xml:space="preserve">Kaip vartoti OXYCORT </w:t>
      </w:r>
    </w:p>
    <w:p w:rsidR="006D69D2" w:rsidRDefault="006D69D2" w:rsidP="006D69D2">
      <w:pPr>
        <w:pStyle w:val="BTEMEASMCA"/>
        <w:rPr>
          <w:szCs w:val="22"/>
        </w:rPr>
      </w:pPr>
    </w:p>
    <w:p w:rsidR="006D69D2" w:rsidRDefault="006D69D2" w:rsidP="006D69D2">
      <w:pPr>
        <w:rPr>
          <w:sz w:val="22"/>
          <w:szCs w:val="22"/>
        </w:rPr>
      </w:pPr>
      <w:r>
        <w:rPr>
          <w:snapToGrid w:val="0"/>
          <w:sz w:val="22"/>
          <w:szCs w:val="22"/>
        </w:rPr>
        <w:t>Visada vartokite šį vaistą tiksliai kaip nurodė gydytojas</w:t>
      </w:r>
      <w:r>
        <w:rPr>
          <w:sz w:val="22"/>
          <w:szCs w:val="22"/>
        </w:rPr>
        <w:t>. Jeigu abejojate, kreipkitės į gydytoją arba vaistininką.</w:t>
      </w:r>
    </w:p>
    <w:p w:rsidR="006D69D2" w:rsidRDefault="006D69D2" w:rsidP="006D69D2">
      <w:pPr>
        <w:rPr>
          <w:sz w:val="22"/>
          <w:szCs w:val="22"/>
        </w:rPr>
      </w:pPr>
    </w:p>
    <w:p w:rsidR="006D69D2" w:rsidRDefault="006D69D2" w:rsidP="006D69D2">
      <w:pPr>
        <w:widowControl w:val="0"/>
        <w:tabs>
          <w:tab w:val="left" w:pos="567"/>
        </w:tabs>
        <w:rPr>
          <w:sz w:val="22"/>
          <w:szCs w:val="22"/>
        </w:rPr>
      </w:pPr>
      <w:r>
        <w:rPr>
          <w:sz w:val="22"/>
          <w:szCs w:val="22"/>
        </w:rPr>
        <w:t>Jei gydytojas nenurodė kitaip, ant pažeistos odos ne dažniau kaip 2</w:t>
      </w:r>
      <w:r>
        <w:rPr>
          <w:sz w:val="22"/>
          <w:szCs w:val="22"/>
        </w:rPr>
        <w:noBreakHyphen/>
        <w:t xml:space="preserve">3 kartus per dieną reikia užtepti ploną sluoksnį tepalo. </w:t>
      </w:r>
      <w:r>
        <w:rPr>
          <w:snapToGrid w:val="0"/>
          <w:sz w:val="22"/>
          <w:szCs w:val="22"/>
          <w:lang w:eastAsia="pl-PL"/>
        </w:rPr>
        <w:t>Paprastai gydoma 1 – 2 savaites.</w:t>
      </w:r>
      <w:r>
        <w:rPr>
          <w:sz w:val="22"/>
          <w:szCs w:val="22"/>
        </w:rPr>
        <w:t xml:space="preserve"> Ilgiau kaip dvi savaites be pertraukos vaisto vartoti draudžiama. Per savaitę galima suvartoti ne daugiau kaip 1 tūbelę tepalo.</w:t>
      </w:r>
    </w:p>
    <w:p w:rsidR="006D69D2" w:rsidRDefault="006D69D2" w:rsidP="006D69D2">
      <w:pPr>
        <w:widowControl w:val="0"/>
        <w:tabs>
          <w:tab w:val="left" w:pos="567"/>
        </w:tabs>
        <w:rPr>
          <w:sz w:val="22"/>
          <w:szCs w:val="22"/>
        </w:rPr>
      </w:pPr>
    </w:p>
    <w:p w:rsidR="006D69D2" w:rsidRDefault="006D69D2" w:rsidP="006D69D2">
      <w:pPr>
        <w:rPr>
          <w:sz w:val="22"/>
          <w:szCs w:val="22"/>
        </w:rPr>
      </w:pPr>
      <w:r>
        <w:rPr>
          <w:sz w:val="22"/>
          <w:szCs w:val="22"/>
        </w:rPr>
        <w:t xml:space="preserve">Veido odą galima tepti ne ilgiau kaip savaitę. </w:t>
      </w:r>
    </w:p>
    <w:p w:rsidR="006D69D2" w:rsidRDefault="006D69D2" w:rsidP="006D69D2">
      <w:pPr>
        <w:rPr>
          <w:sz w:val="22"/>
          <w:szCs w:val="22"/>
        </w:rPr>
      </w:pPr>
    </w:p>
    <w:p w:rsidR="006D69D2" w:rsidRDefault="006D69D2" w:rsidP="006D69D2">
      <w:pPr>
        <w:rPr>
          <w:b/>
          <w:sz w:val="22"/>
          <w:szCs w:val="22"/>
        </w:rPr>
      </w:pPr>
      <w:r>
        <w:rPr>
          <w:b/>
          <w:sz w:val="22"/>
          <w:szCs w:val="22"/>
        </w:rPr>
        <w:t>Ką daryti pavartojus per didelę OXYCORT dozę?</w:t>
      </w:r>
    </w:p>
    <w:p w:rsidR="006D69D2" w:rsidRDefault="006D69D2" w:rsidP="006D69D2">
      <w:pPr>
        <w:numPr>
          <w:ilvl w:val="12"/>
          <w:numId w:val="0"/>
        </w:numPr>
        <w:ind w:right="-2"/>
        <w:jc w:val="both"/>
        <w:rPr>
          <w:sz w:val="22"/>
          <w:szCs w:val="22"/>
        </w:rPr>
      </w:pPr>
      <w:r>
        <w:rPr>
          <w:sz w:val="22"/>
          <w:szCs w:val="22"/>
        </w:rPr>
        <w:t>Jei suklydę pavartojote per didelę vaisto dozę arba netyčia jo nurijote, nedelsdami kreipkitės į gydytoją.</w:t>
      </w:r>
    </w:p>
    <w:p w:rsidR="006D69D2" w:rsidRDefault="006D69D2" w:rsidP="006D69D2">
      <w:pPr>
        <w:rPr>
          <w:sz w:val="22"/>
          <w:szCs w:val="22"/>
        </w:rPr>
      </w:pPr>
    </w:p>
    <w:p w:rsidR="006D69D2" w:rsidRDefault="006D69D2" w:rsidP="006D69D2">
      <w:pPr>
        <w:pStyle w:val="BTEMEASMCA"/>
        <w:rPr>
          <w:b/>
          <w:szCs w:val="22"/>
        </w:rPr>
      </w:pPr>
      <w:r>
        <w:rPr>
          <w:b/>
          <w:szCs w:val="22"/>
        </w:rPr>
        <w:t>Pamiršus pavartoti OXYCORT</w:t>
      </w:r>
    </w:p>
    <w:p w:rsidR="006D69D2" w:rsidRDefault="006D69D2" w:rsidP="006D69D2">
      <w:pPr>
        <w:pStyle w:val="BTEMEASMCA"/>
        <w:rPr>
          <w:szCs w:val="22"/>
        </w:rPr>
      </w:pPr>
      <w:r>
        <w:rPr>
          <w:szCs w:val="22"/>
        </w:rPr>
        <w:t xml:space="preserve">Negalima vartoti dvigubos dozės norint kompensuoti praleistą dozę. </w:t>
      </w:r>
    </w:p>
    <w:p w:rsidR="006D69D2" w:rsidRDefault="006D69D2" w:rsidP="006D69D2">
      <w:pPr>
        <w:pStyle w:val="BTEMEASMCA"/>
        <w:rPr>
          <w:szCs w:val="22"/>
        </w:rPr>
      </w:pPr>
      <w:r>
        <w:rPr>
          <w:szCs w:val="22"/>
        </w:rPr>
        <w:t>Jeigu kiltų daugiau klausimų dėl šio vaisto vartojimo, kreipkitės į gydytoją arba vaistininką.</w:t>
      </w:r>
    </w:p>
    <w:p w:rsidR="006D69D2" w:rsidRDefault="006D69D2" w:rsidP="006D69D2">
      <w:pPr>
        <w:pStyle w:val="BTEMEASMCA"/>
        <w:rPr>
          <w:szCs w:val="22"/>
        </w:rPr>
      </w:pPr>
    </w:p>
    <w:p w:rsidR="006D69D2" w:rsidRDefault="006D69D2" w:rsidP="006D69D2">
      <w:pPr>
        <w:pStyle w:val="BTEMEASMCA"/>
        <w:rPr>
          <w:szCs w:val="22"/>
        </w:rPr>
      </w:pPr>
    </w:p>
    <w:p w:rsidR="006D69D2" w:rsidRDefault="006D69D2" w:rsidP="006D69D2">
      <w:pPr>
        <w:pStyle w:val="PI-1EMEASMCA"/>
      </w:pPr>
      <w:bookmarkStart w:id="6" w:name="_Toc129243142"/>
      <w:bookmarkStart w:id="7" w:name="_Toc129243267"/>
      <w:r>
        <w:t>4.</w:t>
      </w:r>
      <w:r>
        <w:tab/>
        <w:t>Galimas šalutinis poveikis</w:t>
      </w:r>
      <w:bookmarkEnd w:id="6"/>
      <w:bookmarkEnd w:id="7"/>
    </w:p>
    <w:p w:rsidR="006D69D2" w:rsidRDefault="006D69D2" w:rsidP="006D69D2">
      <w:pPr>
        <w:pStyle w:val="BTEMEASMCA"/>
        <w:rPr>
          <w:szCs w:val="22"/>
        </w:rPr>
      </w:pPr>
    </w:p>
    <w:p w:rsidR="006D69D2" w:rsidRDefault="006D69D2" w:rsidP="006D69D2">
      <w:pPr>
        <w:numPr>
          <w:ilvl w:val="12"/>
          <w:numId w:val="0"/>
        </w:numPr>
        <w:ind w:right="-29"/>
        <w:rPr>
          <w:snapToGrid w:val="0"/>
          <w:sz w:val="22"/>
          <w:szCs w:val="22"/>
        </w:rPr>
      </w:pPr>
      <w:r>
        <w:rPr>
          <w:snapToGrid w:val="0"/>
          <w:sz w:val="22"/>
          <w:szCs w:val="22"/>
        </w:rPr>
        <w:t>Šis vaistas, kaip ir visi kiti, gali sukelti šalutinį poveikį, nors jis pasireiškia ne visiems žmonėms.</w:t>
      </w:r>
    </w:p>
    <w:p w:rsidR="006D69D2" w:rsidRDefault="006D69D2" w:rsidP="006D69D2">
      <w:pPr>
        <w:pStyle w:val="BTEMEASMCA"/>
        <w:rPr>
          <w:szCs w:val="22"/>
        </w:rPr>
      </w:pPr>
    </w:p>
    <w:p w:rsidR="006D69D2" w:rsidRDefault="006D69D2" w:rsidP="006D69D2">
      <w:pPr>
        <w:tabs>
          <w:tab w:val="left" w:pos="0"/>
          <w:tab w:val="left" w:pos="567"/>
        </w:tabs>
        <w:rPr>
          <w:sz w:val="22"/>
          <w:szCs w:val="22"/>
        </w:rPr>
      </w:pPr>
      <w:r>
        <w:rPr>
          <w:sz w:val="22"/>
          <w:szCs w:val="22"/>
        </w:rPr>
        <w:t>Dažnis nežinomas (</w:t>
      </w:r>
      <w:r>
        <w:rPr>
          <w:snapToGrid w:val="0"/>
          <w:sz w:val="22"/>
          <w:szCs w:val="22"/>
        </w:rPr>
        <w:t>negali būti apskaičiuotas pagal turimus duomenis</w:t>
      </w:r>
      <w:r>
        <w:rPr>
          <w:sz w:val="22"/>
          <w:szCs w:val="22"/>
        </w:rPr>
        <w:t>).</w:t>
      </w:r>
    </w:p>
    <w:p w:rsidR="006D69D2" w:rsidRDefault="006D69D2" w:rsidP="006D69D2">
      <w:pPr>
        <w:tabs>
          <w:tab w:val="left" w:pos="0"/>
          <w:tab w:val="left" w:pos="567"/>
        </w:tabs>
        <w:rPr>
          <w:sz w:val="22"/>
          <w:szCs w:val="22"/>
        </w:rPr>
      </w:pPr>
      <w:proofErr w:type="spellStart"/>
      <w:r>
        <w:rPr>
          <w:sz w:val="22"/>
          <w:szCs w:val="22"/>
        </w:rPr>
        <w:t>Blastomikozė</w:t>
      </w:r>
      <w:proofErr w:type="spellEnd"/>
      <w:r>
        <w:rPr>
          <w:sz w:val="22"/>
          <w:szCs w:val="22"/>
        </w:rPr>
        <w:t xml:space="preserve"> (grybelių infekcija), atsparių bakterijų padermių atsiradimas, alerginės reakcijos, odos deginimas, niežulys, dirginimas, išbėrimas, odos audinių suplonėjimas, odos sausumas, plaukuotumo padidėjimas, odos </w:t>
      </w:r>
      <w:proofErr w:type="spellStart"/>
      <w:r>
        <w:rPr>
          <w:sz w:val="22"/>
          <w:szCs w:val="22"/>
        </w:rPr>
        <w:t>depigmentacija</w:t>
      </w:r>
      <w:proofErr w:type="spellEnd"/>
      <w:r>
        <w:rPr>
          <w:sz w:val="22"/>
          <w:szCs w:val="22"/>
        </w:rPr>
        <w:t xml:space="preserve"> ar spalvos pokytis, apyburnio odos uždegimas, odos </w:t>
      </w:r>
      <w:proofErr w:type="spellStart"/>
      <w:r>
        <w:rPr>
          <w:sz w:val="22"/>
          <w:szCs w:val="22"/>
        </w:rPr>
        <w:t>maceracija</w:t>
      </w:r>
      <w:proofErr w:type="spellEnd"/>
      <w:r>
        <w:rPr>
          <w:sz w:val="22"/>
          <w:szCs w:val="22"/>
        </w:rPr>
        <w:t xml:space="preserve"> </w:t>
      </w:r>
      <w:r>
        <w:rPr>
          <w:iCs/>
          <w:sz w:val="22"/>
          <w:szCs w:val="22"/>
        </w:rPr>
        <w:t>(suminkštėjimas)</w:t>
      </w:r>
      <w:r>
        <w:rPr>
          <w:sz w:val="22"/>
          <w:szCs w:val="22"/>
        </w:rPr>
        <w:t xml:space="preserve">, į spuogus panašus pažeidimas, plauko svogūnėlio uždegimas, </w:t>
      </w:r>
      <w:proofErr w:type="spellStart"/>
      <w:r>
        <w:rPr>
          <w:sz w:val="22"/>
          <w:szCs w:val="22"/>
        </w:rPr>
        <w:t>strijos</w:t>
      </w:r>
      <w:proofErr w:type="spellEnd"/>
      <w:r>
        <w:rPr>
          <w:sz w:val="22"/>
          <w:szCs w:val="22"/>
        </w:rPr>
        <w:t xml:space="preserve">, prakaitinė, antrinė infekcija, miglotas matymas. Vaisto vartojant ilgai ant veido odos, gali atsirasti odos suplonėjimas ir </w:t>
      </w:r>
      <w:proofErr w:type="spellStart"/>
      <w:r>
        <w:rPr>
          <w:sz w:val="22"/>
          <w:szCs w:val="22"/>
        </w:rPr>
        <w:t>telangiektazijos</w:t>
      </w:r>
      <w:proofErr w:type="spellEnd"/>
      <w:r>
        <w:rPr>
          <w:sz w:val="22"/>
          <w:szCs w:val="22"/>
        </w:rPr>
        <w:t xml:space="preserve"> (odos kraujagyslių išsiplėtimas).</w:t>
      </w:r>
    </w:p>
    <w:p w:rsidR="006D69D2" w:rsidRDefault="006D69D2" w:rsidP="006D69D2">
      <w:pPr>
        <w:tabs>
          <w:tab w:val="left" w:pos="0"/>
          <w:tab w:val="left" w:pos="567"/>
        </w:tabs>
        <w:rPr>
          <w:sz w:val="22"/>
          <w:szCs w:val="22"/>
        </w:rPr>
      </w:pPr>
    </w:p>
    <w:p w:rsidR="006D69D2" w:rsidRDefault="006D69D2" w:rsidP="006D69D2">
      <w:pPr>
        <w:tabs>
          <w:tab w:val="left" w:pos="0"/>
          <w:tab w:val="left" w:pos="567"/>
        </w:tabs>
        <w:rPr>
          <w:sz w:val="22"/>
          <w:szCs w:val="22"/>
        </w:rPr>
      </w:pPr>
      <w:r>
        <w:rPr>
          <w:sz w:val="22"/>
          <w:szCs w:val="22"/>
        </w:rPr>
        <w:lastRenderedPageBreak/>
        <w:t>Dėl hidrokortizono patekimo į kraujotaką galimas sisteminis šalutinis kortikosteroidų poveikis, įskaitant antinksčių veiklos sutrikimą.</w:t>
      </w:r>
    </w:p>
    <w:p w:rsidR="006D69D2" w:rsidRDefault="006D69D2" w:rsidP="006D69D2">
      <w:pPr>
        <w:tabs>
          <w:tab w:val="left" w:pos="0"/>
          <w:tab w:val="left" w:pos="567"/>
        </w:tabs>
        <w:rPr>
          <w:sz w:val="22"/>
          <w:szCs w:val="22"/>
        </w:rPr>
      </w:pPr>
    </w:p>
    <w:p w:rsidR="006D69D2" w:rsidRDefault="006D69D2" w:rsidP="006D69D2">
      <w:pPr>
        <w:tabs>
          <w:tab w:val="left" w:pos="567"/>
        </w:tabs>
        <w:rPr>
          <w:b/>
          <w:snapToGrid w:val="0"/>
          <w:sz w:val="22"/>
          <w:szCs w:val="22"/>
        </w:rPr>
      </w:pPr>
      <w:r>
        <w:rPr>
          <w:b/>
          <w:snapToGrid w:val="0"/>
          <w:sz w:val="22"/>
          <w:szCs w:val="22"/>
        </w:rPr>
        <w:t>Pranešimas apie šalutinį poveikį</w:t>
      </w:r>
    </w:p>
    <w:p w:rsidR="006D69D2" w:rsidRDefault="006D69D2" w:rsidP="006D69D2">
      <w:pPr>
        <w:ind w:right="-449"/>
        <w:rPr>
          <w:noProof/>
          <w:sz w:val="22"/>
          <w:szCs w:val="22"/>
        </w:rPr>
      </w:pPr>
      <w:r>
        <w:rPr>
          <w:sz w:val="22"/>
          <w:szCs w:val="22"/>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Pr>
          <w:sz w:val="22"/>
          <w:szCs w:val="22"/>
          <w:lang w:eastAsia="zh-CN"/>
        </w:rPr>
        <w:t>elefonu 8 800 73568</w:t>
      </w:r>
      <w:r>
        <w:rPr>
          <w:sz w:val="22"/>
          <w:szCs w:val="22"/>
        </w:rPr>
        <w:t xml:space="preserve"> arba užpildyti interneto svetainėje </w:t>
      </w:r>
      <w:hyperlink r:id="rId5" w:history="1">
        <w:r>
          <w:rPr>
            <w:rStyle w:val="Hipersaitas"/>
            <w:rFonts w:eastAsia="SimSun"/>
            <w:sz w:val="22"/>
            <w:szCs w:val="22"/>
          </w:rPr>
          <w:t>www.vvkt.lt</w:t>
        </w:r>
      </w:hyperlink>
      <w:r>
        <w:rPr>
          <w:sz w:val="22"/>
          <w:szCs w:val="22"/>
        </w:rPr>
        <w:t xml:space="preserve"> esančią formą ir pateikti ją Valstybinei vaistų kontrolės tarnybai prie Lietuvos Respublikos sveikatos apsaugos ministerijos vienu iš šių būdų: raštu (adresu Žirmūnų g. 139A, LT-09120 Vilnius), </w:t>
      </w:r>
      <w:r>
        <w:rPr>
          <w:sz w:val="22"/>
          <w:szCs w:val="22"/>
          <w:lang w:eastAsia="zh-CN"/>
        </w:rPr>
        <w:t xml:space="preserve">nemokamu </w:t>
      </w:r>
      <w:r>
        <w:rPr>
          <w:sz w:val="22"/>
          <w:szCs w:val="22"/>
        </w:rPr>
        <w:t>fakso numeriu 8 800 20131</w:t>
      </w:r>
      <w:r>
        <w:rPr>
          <w:sz w:val="22"/>
          <w:szCs w:val="22"/>
          <w:lang w:eastAsia="zh-CN"/>
        </w:rPr>
        <w:t xml:space="preserve">, </w:t>
      </w:r>
      <w:r>
        <w:rPr>
          <w:sz w:val="22"/>
          <w:szCs w:val="22"/>
        </w:rPr>
        <w:t xml:space="preserve">el. paštu </w:t>
      </w:r>
      <w:hyperlink r:id="rId6" w:history="1">
        <w:r>
          <w:rPr>
            <w:rStyle w:val="Hipersaitas"/>
            <w:rFonts w:eastAsia="SimSun"/>
            <w:sz w:val="22"/>
            <w:szCs w:val="22"/>
          </w:rPr>
          <w:t>NepageidaujamaR@vvkt.lt</w:t>
        </w:r>
      </w:hyperlink>
      <w:r>
        <w:rPr>
          <w:sz w:val="22"/>
          <w:szCs w:val="22"/>
        </w:rPr>
        <w:t xml:space="preserve">, taip pat per Valstybinės vaistų kontrolės tarnybos prie Lietuvos Respublikos sveikatos apsaugos ministerijos interneto svetainę (adresu </w:t>
      </w:r>
      <w:hyperlink r:id="rId7" w:history="1">
        <w:r>
          <w:rPr>
            <w:rStyle w:val="Hipersaitas"/>
            <w:rFonts w:eastAsia="SimSun"/>
            <w:sz w:val="22"/>
            <w:szCs w:val="22"/>
          </w:rPr>
          <w:t>http://www.vvkt.lt</w:t>
        </w:r>
      </w:hyperlink>
      <w:r>
        <w:rPr>
          <w:sz w:val="22"/>
          <w:szCs w:val="22"/>
        </w:rPr>
        <w:t>). Pranešdami apie šalutinį poveikį galite mums padėti gauti daugiau informacijos apie šio vaisto saugumą.</w:t>
      </w:r>
    </w:p>
    <w:p w:rsidR="006D69D2" w:rsidRDefault="006D69D2" w:rsidP="006D69D2">
      <w:pPr>
        <w:pStyle w:val="BTEMEASMCA"/>
        <w:rPr>
          <w:szCs w:val="22"/>
        </w:rPr>
      </w:pPr>
    </w:p>
    <w:p w:rsidR="006D69D2" w:rsidRDefault="006D69D2" w:rsidP="006D69D2">
      <w:pPr>
        <w:pStyle w:val="BTEMEASMCA"/>
        <w:rPr>
          <w:szCs w:val="22"/>
        </w:rPr>
      </w:pPr>
    </w:p>
    <w:p w:rsidR="006D69D2" w:rsidRDefault="006D69D2" w:rsidP="006D69D2">
      <w:pPr>
        <w:pStyle w:val="PI-1EMEASMCA"/>
      </w:pPr>
      <w:bookmarkStart w:id="8" w:name="_Toc129243143"/>
      <w:bookmarkStart w:id="9" w:name="_Toc129243268"/>
      <w:r>
        <w:t>5.</w:t>
      </w:r>
      <w:r>
        <w:tab/>
        <w:t xml:space="preserve">Kaip laikyti </w:t>
      </w:r>
      <w:bookmarkEnd w:id="8"/>
      <w:bookmarkEnd w:id="9"/>
      <w:r>
        <w:t xml:space="preserve">OXYCORT </w:t>
      </w:r>
    </w:p>
    <w:p w:rsidR="006D69D2" w:rsidRDefault="006D69D2" w:rsidP="006D69D2">
      <w:pPr>
        <w:pStyle w:val="BTEMEASMCA"/>
        <w:rPr>
          <w:szCs w:val="22"/>
        </w:rPr>
      </w:pPr>
    </w:p>
    <w:p w:rsidR="006D69D2" w:rsidRDefault="006D69D2" w:rsidP="006D69D2">
      <w:pPr>
        <w:pStyle w:val="BTEMEASMCA"/>
        <w:rPr>
          <w:szCs w:val="22"/>
        </w:rPr>
      </w:pPr>
      <w:r>
        <w:rPr>
          <w:szCs w:val="22"/>
        </w:rPr>
        <w:t>Šį vaistą laikykite vaikams nepastebimoje ir nepasiekiamoje vietoje.</w:t>
      </w:r>
    </w:p>
    <w:p w:rsidR="006D69D2" w:rsidRDefault="006D69D2" w:rsidP="006D69D2">
      <w:pPr>
        <w:tabs>
          <w:tab w:val="left" w:pos="567"/>
        </w:tabs>
        <w:rPr>
          <w:bCs/>
          <w:sz w:val="22"/>
          <w:szCs w:val="22"/>
        </w:rPr>
      </w:pPr>
    </w:p>
    <w:p w:rsidR="006D69D2" w:rsidRDefault="006D69D2" w:rsidP="006D69D2">
      <w:pPr>
        <w:tabs>
          <w:tab w:val="left" w:pos="567"/>
        </w:tabs>
        <w:rPr>
          <w:bCs/>
          <w:sz w:val="22"/>
          <w:szCs w:val="22"/>
        </w:rPr>
      </w:pPr>
      <w:r>
        <w:rPr>
          <w:bCs/>
          <w:sz w:val="22"/>
          <w:szCs w:val="22"/>
        </w:rPr>
        <w:t xml:space="preserve">Laikyti ne aukštesnėje kaip 25 °C temperatūroje. </w:t>
      </w:r>
    </w:p>
    <w:p w:rsidR="006D69D2" w:rsidRDefault="006D69D2" w:rsidP="006D69D2">
      <w:pPr>
        <w:pStyle w:val="BTEMEASMCA"/>
        <w:rPr>
          <w:szCs w:val="22"/>
        </w:rPr>
      </w:pPr>
    </w:p>
    <w:p w:rsidR="006D69D2" w:rsidRDefault="006D69D2" w:rsidP="006D69D2">
      <w:pPr>
        <w:pStyle w:val="BTEMEASMCA"/>
        <w:rPr>
          <w:szCs w:val="22"/>
        </w:rPr>
      </w:pPr>
      <w:r>
        <w:rPr>
          <w:szCs w:val="22"/>
        </w:rPr>
        <w:t>Ant dėžutės ir ant tūbelės po „EXP“ nurodytam tinkamumo laikui pasibaigus, šio vaisto vartoti negalima. Vaistas tinkamas iki paskutinės nurodyto mėnesio dienos.</w:t>
      </w:r>
    </w:p>
    <w:p w:rsidR="006D69D2" w:rsidRDefault="006D69D2" w:rsidP="006D69D2">
      <w:pPr>
        <w:pStyle w:val="BTEMEASMCA"/>
        <w:rPr>
          <w:szCs w:val="22"/>
        </w:rPr>
      </w:pPr>
    </w:p>
    <w:p w:rsidR="006D69D2" w:rsidRDefault="006D69D2" w:rsidP="006D69D2">
      <w:pPr>
        <w:pStyle w:val="BTEMEASMCA"/>
        <w:rPr>
          <w:szCs w:val="22"/>
        </w:rPr>
      </w:pPr>
      <w:r>
        <w:rPr>
          <w:szCs w:val="22"/>
        </w:rPr>
        <w:t>Vaistų negalima išmesti į kanalizaciją arba su buitinėmis atliekomis. Kaip išmesti nereikalingus vaistus, klauskite vaistininko. Šios priemonės padės apsaugoti aplinką.</w:t>
      </w:r>
    </w:p>
    <w:p w:rsidR="006D69D2" w:rsidRDefault="006D69D2" w:rsidP="006D69D2">
      <w:pPr>
        <w:pStyle w:val="BTEMEASMCA"/>
        <w:rPr>
          <w:szCs w:val="22"/>
        </w:rPr>
      </w:pPr>
    </w:p>
    <w:p w:rsidR="006D69D2" w:rsidRDefault="006D69D2" w:rsidP="006D69D2">
      <w:pPr>
        <w:pStyle w:val="BTEMEASMCA"/>
        <w:rPr>
          <w:szCs w:val="22"/>
        </w:rPr>
      </w:pPr>
    </w:p>
    <w:p w:rsidR="006D69D2" w:rsidRDefault="006D69D2" w:rsidP="006D69D2">
      <w:pPr>
        <w:pStyle w:val="PI-1EMEASMCA"/>
      </w:pPr>
      <w:bookmarkStart w:id="10" w:name="_Toc129243144"/>
      <w:bookmarkStart w:id="11" w:name="_Toc129243269"/>
      <w:r>
        <w:t>6.</w:t>
      </w:r>
      <w:r>
        <w:tab/>
      </w:r>
      <w:bookmarkEnd w:id="10"/>
      <w:bookmarkEnd w:id="11"/>
      <w:r>
        <w:t>Pakuotės turinys ir kita informacija</w:t>
      </w:r>
    </w:p>
    <w:p w:rsidR="006D69D2" w:rsidRDefault="006D69D2" w:rsidP="006D69D2">
      <w:pPr>
        <w:pStyle w:val="BTEMEASMCA"/>
        <w:rPr>
          <w:szCs w:val="22"/>
        </w:rPr>
      </w:pPr>
    </w:p>
    <w:p w:rsidR="006D69D2" w:rsidRDefault="006D69D2" w:rsidP="006D69D2">
      <w:pPr>
        <w:pStyle w:val="PI-3EMEASMCA"/>
      </w:pPr>
      <w:r>
        <w:t>OXYCORT sudėtis</w:t>
      </w:r>
    </w:p>
    <w:p w:rsidR="006D69D2" w:rsidRDefault="006D69D2" w:rsidP="006D69D2">
      <w:pPr>
        <w:ind w:left="540" w:hanging="540"/>
        <w:rPr>
          <w:sz w:val="22"/>
          <w:szCs w:val="22"/>
        </w:rPr>
      </w:pPr>
      <w:r>
        <w:rPr>
          <w:b/>
          <w:sz w:val="22"/>
          <w:szCs w:val="22"/>
        </w:rPr>
        <w:t>-</w:t>
      </w:r>
      <w:r>
        <w:rPr>
          <w:b/>
          <w:sz w:val="22"/>
          <w:szCs w:val="22"/>
        </w:rPr>
        <w:tab/>
      </w:r>
      <w:r>
        <w:rPr>
          <w:sz w:val="22"/>
          <w:szCs w:val="22"/>
        </w:rPr>
        <w:t xml:space="preserve">Veikliosios medžiagos yra </w:t>
      </w:r>
      <w:proofErr w:type="spellStart"/>
      <w:r>
        <w:rPr>
          <w:snapToGrid w:val="0"/>
          <w:sz w:val="22"/>
          <w:szCs w:val="22"/>
          <w:lang w:eastAsia="pl-PL"/>
        </w:rPr>
        <w:t>oksitetraciklinas</w:t>
      </w:r>
      <w:proofErr w:type="spellEnd"/>
      <w:r>
        <w:rPr>
          <w:snapToGrid w:val="0"/>
          <w:sz w:val="22"/>
          <w:szCs w:val="22"/>
          <w:lang w:eastAsia="pl-PL"/>
        </w:rPr>
        <w:t xml:space="preserve"> ir hidrokortizono acetatas</w:t>
      </w:r>
      <w:r>
        <w:rPr>
          <w:sz w:val="22"/>
          <w:szCs w:val="22"/>
        </w:rPr>
        <w:t xml:space="preserve">. 1 g tepalo yra </w:t>
      </w:r>
      <w:r>
        <w:rPr>
          <w:snapToGrid w:val="0"/>
          <w:sz w:val="22"/>
          <w:szCs w:val="22"/>
          <w:lang w:eastAsia="pl-PL"/>
        </w:rPr>
        <w:t xml:space="preserve">30 mg </w:t>
      </w:r>
      <w:proofErr w:type="spellStart"/>
      <w:r>
        <w:rPr>
          <w:snapToGrid w:val="0"/>
          <w:sz w:val="22"/>
          <w:szCs w:val="22"/>
          <w:lang w:eastAsia="pl-PL"/>
        </w:rPr>
        <w:t>oksitetraciklino</w:t>
      </w:r>
      <w:proofErr w:type="spellEnd"/>
      <w:r>
        <w:rPr>
          <w:snapToGrid w:val="0"/>
          <w:sz w:val="22"/>
          <w:szCs w:val="22"/>
          <w:lang w:eastAsia="pl-PL"/>
        </w:rPr>
        <w:t xml:space="preserve"> (hidrochlorido pavidalu) ir 10 mg hidrokortizono acetato</w:t>
      </w:r>
      <w:r>
        <w:rPr>
          <w:sz w:val="22"/>
          <w:szCs w:val="22"/>
        </w:rPr>
        <w:t>.</w:t>
      </w:r>
    </w:p>
    <w:p w:rsidR="006D69D2" w:rsidRDefault="006D69D2" w:rsidP="006D69D2">
      <w:pPr>
        <w:tabs>
          <w:tab w:val="left" w:pos="0"/>
        </w:tabs>
        <w:ind w:left="540" w:hanging="540"/>
        <w:rPr>
          <w:sz w:val="22"/>
          <w:szCs w:val="22"/>
        </w:rPr>
      </w:pPr>
      <w:r>
        <w:rPr>
          <w:sz w:val="22"/>
          <w:szCs w:val="22"/>
        </w:rPr>
        <w:t>-</w:t>
      </w:r>
      <w:r>
        <w:rPr>
          <w:sz w:val="22"/>
          <w:szCs w:val="22"/>
        </w:rPr>
        <w:tab/>
        <w:t>Pagalbinė medžiaga yra</w:t>
      </w:r>
      <w:r>
        <w:rPr>
          <w:b/>
          <w:i/>
          <w:sz w:val="22"/>
          <w:szCs w:val="22"/>
        </w:rPr>
        <w:t xml:space="preserve"> </w:t>
      </w:r>
      <w:r>
        <w:rPr>
          <w:sz w:val="22"/>
          <w:szCs w:val="22"/>
        </w:rPr>
        <w:t>minkštasis baltas parafinas.</w:t>
      </w:r>
    </w:p>
    <w:p w:rsidR="006D69D2" w:rsidRDefault="006D69D2" w:rsidP="006D69D2">
      <w:pPr>
        <w:pStyle w:val="BTEMEASMCA"/>
        <w:rPr>
          <w:szCs w:val="22"/>
        </w:rPr>
      </w:pPr>
    </w:p>
    <w:p w:rsidR="006D69D2" w:rsidRDefault="006D69D2" w:rsidP="006D69D2">
      <w:pPr>
        <w:pStyle w:val="PI-3EMEASMCA"/>
      </w:pPr>
      <w:r>
        <w:t>OXYCORT išvaizda ir kiekis pakuotėje</w:t>
      </w:r>
    </w:p>
    <w:p w:rsidR="006D69D2" w:rsidRDefault="006D69D2" w:rsidP="006D69D2">
      <w:pPr>
        <w:pStyle w:val="BTEMEASMCA"/>
        <w:rPr>
          <w:szCs w:val="22"/>
        </w:rPr>
      </w:pPr>
      <w:r>
        <w:rPr>
          <w:szCs w:val="22"/>
        </w:rPr>
        <w:t>OXYCORT yra geltonas, homogeniškas, riebus tepalas.</w:t>
      </w:r>
    </w:p>
    <w:p w:rsidR="006D69D2" w:rsidRDefault="006D69D2" w:rsidP="006D69D2">
      <w:pPr>
        <w:tabs>
          <w:tab w:val="left" w:pos="567"/>
        </w:tabs>
        <w:ind w:left="567" w:hanging="567"/>
        <w:rPr>
          <w:sz w:val="22"/>
          <w:szCs w:val="22"/>
        </w:rPr>
      </w:pPr>
      <w:r>
        <w:rPr>
          <w:sz w:val="22"/>
          <w:szCs w:val="22"/>
        </w:rPr>
        <w:t>Aliuminio tūbelėje yra 10 g tepalo.</w:t>
      </w:r>
    </w:p>
    <w:p w:rsidR="006D69D2" w:rsidRDefault="006D69D2" w:rsidP="006D69D2">
      <w:pPr>
        <w:pStyle w:val="BTEMEASMCA"/>
        <w:rPr>
          <w:szCs w:val="22"/>
        </w:rPr>
      </w:pPr>
    </w:p>
    <w:p w:rsidR="006D69D2" w:rsidRDefault="006D69D2" w:rsidP="006D69D2">
      <w:pPr>
        <w:pStyle w:val="PI-3EMEASMCA"/>
      </w:pPr>
      <w:r>
        <w:t>Registruotojas ir gamintojas</w:t>
      </w:r>
    </w:p>
    <w:p w:rsidR="006D69D2" w:rsidRDefault="006D69D2" w:rsidP="006D69D2">
      <w:pPr>
        <w:pStyle w:val="PI-3EMEASMCA"/>
      </w:pPr>
    </w:p>
    <w:p w:rsidR="006D69D2" w:rsidRDefault="006D69D2" w:rsidP="006D69D2">
      <w:pPr>
        <w:pStyle w:val="PI-3EMEASMCA"/>
      </w:pPr>
      <w:r>
        <w:t>Registruotojas</w:t>
      </w:r>
    </w:p>
    <w:p w:rsidR="006D69D2" w:rsidRPr="00403756" w:rsidRDefault="006D69D2" w:rsidP="006D69D2">
      <w:pPr>
        <w:rPr>
          <w:sz w:val="22"/>
          <w:szCs w:val="22"/>
        </w:rPr>
      </w:pPr>
      <w:proofErr w:type="spellStart"/>
      <w:r w:rsidRPr="00403756">
        <w:rPr>
          <w:sz w:val="22"/>
          <w:szCs w:val="22"/>
        </w:rPr>
        <w:t>Bausch</w:t>
      </w:r>
      <w:proofErr w:type="spellEnd"/>
      <w:r w:rsidRPr="00403756">
        <w:rPr>
          <w:sz w:val="22"/>
          <w:szCs w:val="22"/>
        </w:rPr>
        <w:t xml:space="preserve"> </w:t>
      </w:r>
      <w:proofErr w:type="spellStart"/>
      <w:r w:rsidRPr="00403756">
        <w:rPr>
          <w:sz w:val="22"/>
          <w:szCs w:val="22"/>
        </w:rPr>
        <w:t>Health</w:t>
      </w:r>
      <w:proofErr w:type="spellEnd"/>
      <w:r w:rsidRPr="00403756">
        <w:rPr>
          <w:sz w:val="22"/>
          <w:szCs w:val="22"/>
        </w:rPr>
        <w:t xml:space="preserve"> </w:t>
      </w:r>
      <w:proofErr w:type="spellStart"/>
      <w:r w:rsidRPr="00403756">
        <w:rPr>
          <w:sz w:val="22"/>
          <w:szCs w:val="22"/>
        </w:rPr>
        <w:t>Ireland</w:t>
      </w:r>
      <w:proofErr w:type="spellEnd"/>
      <w:r w:rsidRPr="00403756">
        <w:rPr>
          <w:sz w:val="22"/>
          <w:szCs w:val="22"/>
        </w:rPr>
        <w:t xml:space="preserve"> </w:t>
      </w:r>
      <w:proofErr w:type="spellStart"/>
      <w:r w:rsidRPr="00403756">
        <w:rPr>
          <w:sz w:val="22"/>
          <w:szCs w:val="22"/>
        </w:rPr>
        <w:t>Limited</w:t>
      </w:r>
      <w:proofErr w:type="spellEnd"/>
    </w:p>
    <w:p w:rsidR="006D69D2" w:rsidRPr="00403756" w:rsidRDefault="006D69D2" w:rsidP="006D69D2">
      <w:pPr>
        <w:rPr>
          <w:sz w:val="22"/>
          <w:szCs w:val="22"/>
        </w:rPr>
      </w:pPr>
      <w:r w:rsidRPr="00403756">
        <w:rPr>
          <w:sz w:val="22"/>
          <w:szCs w:val="22"/>
        </w:rPr>
        <w:t xml:space="preserve">3013 Lake </w:t>
      </w:r>
      <w:proofErr w:type="spellStart"/>
      <w:r w:rsidRPr="00403756">
        <w:rPr>
          <w:sz w:val="22"/>
          <w:szCs w:val="22"/>
        </w:rPr>
        <w:t>Drive</w:t>
      </w:r>
      <w:proofErr w:type="spellEnd"/>
    </w:p>
    <w:p w:rsidR="006D69D2" w:rsidRPr="00403756" w:rsidRDefault="006D69D2" w:rsidP="006D69D2">
      <w:pPr>
        <w:rPr>
          <w:sz w:val="22"/>
          <w:szCs w:val="22"/>
        </w:rPr>
      </w:pPr>
      <w:proofErr w:type="spellStart"/>
      <w:r w:rsidRPr="00403756">
        <w:rPr>
          <w:sz w:val="22"/>
          <w:szCs w:val="22"/>
        </w:rPr>
        <w:t>Citywest</w:t>
      </w:r>
      <w:proofErr w:type="spellEnd"/>
      <w:r w:rsidRPr="00403756">
        <w:rPr>
          <w:sz w:val="22"/>
          <w:szCs w:val="22"/>
        </w:rPr>
        <w:t xml:space="preserve"> </w:t>
      </w:r>
      <w:proofErr w:type="spellStart"/>
      <w:r w:rsidRPr="00403756">
        <w:rPr>
          <w:sz w:val="22"/>
          <w:szCs w:val="22"/>
        </w:rPr>
        <w:t>Business</w:t>
      </w:r>
      <w:proofErr w:type="spellEnd"/>
      <w:r w:rsidRPr="00403756">
        <w:rPr>
          <w:sz w:val="22"/>
          <w:szCs w:val="22"/>
        </w:rPr>
        <w:t xml:space="preserve"> </w:t>
      </w:r>
      <w:proofErr w:type="spellStart"/>
      <w:r w:rsidRPr="00403756">
        <w:rPr>
          <w:sz w:val="22"/>
          <w:szCs w:val="22"/>
        </w:rPr>
        <w:t>Campus</w:t>
      </w:r>
      <w:proofErr w:type="spellEnd"/>
    </w:p>
    <w:p w:rsidR="006D69D2" w:rsidRPr="00403756" w:rsidRDefault="006D69D2" w:rsidP="006D69D2">
      <w:pPr>
        <w:rPr>
          <w:sz w:val="22"/>
          <w:szCs w:val="22"/>
        </w:rPr>
      </w:pPr>
      <w:r w:rsidRPr="00403756">
        <w:rPr>
          <w:sz w:val="22"/>
          <w:szCs w:val="22"/>
        </w:rPr>
        <w:t>Dublin 24, D24PPT3</w:t>
      </w:r>
    </w:p>
    <w:p w:rsidR="006D69D2" w:rsidRDefault="006D69D2" w:rsidP="006D69D2">
      <w:pPr>
        <w:pStyle w:val="BTEMEASMCA"/>
        <w:rPr>
          <w:szCs w:val="22"/>
        </w:rPr>
      </w:pPr>
      <w:r w:rsidRPr="00403756">
        <w:rPr>
          <w:szCs w:val="22"/>
        </w:rPr>
        <w:t>Airija</w:t>
      </w:r>
    </w:p>
    <w:p w:rsidR="006D69D2" w:rsidRDefault="006D69D2" w:rsidP="006D69D2">
      <w:pPr>
        <w:tabs>
          <w:tab w:val="left" w:pos="567"/>
        </w:tabs>
        <w:ind w:left="567" w:hanging="567"/>
        <w:rPr>
          <w:sz w:val="22"/>
          <w:szCs w:val="22"/>
        </w:rPr>
      </w:pPr>
    </w:p>
    <w:p w:rsidR="006D69D2" w:rsidRDefault="006D69D2" w:rsidP="006D69D2">
      <w:pPr>
        <w:pStyle w:val="PI-3EMEASMCA"/>
      </w:pPr>
      <w:r>
        <w:t>Gamintojas</w:t>
      </w:r>
    </w:p>
    <w:p w:rsidR="006D69D2" w:rsidRDefault="006D69D2" w:rsidP="006D69D2">
      <w:pPr>
        <w:tabs>
          <w:tab w:val="left" w:pos="567"/>
        </w:tabs>
        <w:ind w:left="567" w:hanging="567"/>
        <w:rPr>
          <w:sz w:val="22"/>
          <w:szCs w:val="22"/>
        </w:rPr>
      </w:pPr>
      <w:r>
        <w:rPr>
          <w:sz w:val="22"/>
          <w:szCs w:val="22"/>
        </w:rPr>
        <w:t xml:space="preserve">Works </w:t>
      </w:r>
      <w:proofErr w:type="spellStart"/>
      <w:r>
        <w:rPr>
          <w:sz w:val="22"/>
          <w:szCs w:val="22"/>
        </w:rPr>
        <w:t>Jelfa</w:t>
      </w:r>
      <w:proofErr w:type="spellEnd"/>
      <w:r>
        <w:rPr>
          <w:sz w:val="22"/>
          <w:szCs w:val="22"/>
        </w:rPr>
        <w:t xml:space="preserve"> S.A.</w:t>
      </w:r>
    </w:p>
    <w:p w:rsidR="006D69D2" w:rsidRDefault="006D69D2" w:rsidP="006D69D2">
      <w:pPr>
        <w:tabs>
          <w:tab w:val="left" w:pos="567"/>
        </w:tabs>
        <w:ind w:left="567" w:hanging="567"/>
        <w:rPr>
          <w:sz w:val="22"/>
          <w:szCs w:val="22"/>
        </w:rPr>
      </w:pPr>
      <w:r>
        <w:rPr>
          <w:sz w:val="22"/>
          <w:szCs w:val="22"/>
        </w:rPr>
        <w:t xml:space="preserve">58-500 </w:t>
      </w:r>
      <w:proofErr w:type="spellStart"/>
      <w:r>
        <w:rPr>
          <w:sz w:val="22"/>
          <w:szCs w:val="22"/>
        </w:rPr>
        <w:t>Jelenia</w:t>
      </w:r>
      <w:proofErr w:type="spellEnd"/>
      <w:r>
        <w:rPr>
          <w:sz w:val="22"/>
          <w:szCs w:val="22"/>
        </w:rPr>
        <w:t xml:space="preserve"> </w:t>
      </w:r>
      <w:proofErr w:type="spellStart"/>
      <w:r>
        <w:rPr>
          <w:sz w:val="22"/>
          <w:szCs w:val="22"/>
        </w:rPr>
        <w:t>Gora</w:t>
      </w:r>
      <w:proofErr w:type="spellEnd"/>
      <w:r>
        <w:rPr>
          <w:sz w:val="22"/>
          <w:szCs w:val="22"/>
        </w:rPr>
        <w:t xml:space="preserve"> </w:t>
      </w:r>
    </w:p>
    <w:p w:rsidR="006D69D2" w:rsidRDefault="006D69D2" w:rsidP="006D69D2">
      <w:pPr>
        <w:tabs>
          <w:tab w:val="left" w:pos="567"/>
        </w:tabs>
        <w:ind w:left="567" w:hanging="567"/>
        <w:rPr>
          <w:sz w:val="22"/>
          <w:szCs w:val="22"/>
        </w:rPr>
      </w:pPr>
      <w:proofErr w:type="spellStart"/>
      <w:r>
        <w:rPr>
          <w:sz w:val="22"/>
          <w:szCs w:val="22"/>
        </w:rPr>
        <w:t>ul</w:t>
      </w:r>
      <w:proofErr w:type="spellEnd"/>
      <w:r>
        <w:rPr>
          <w:sz w:val="22"/>
          <w:szCs w:val="22"/>
        </w:rPr>
        <w:t xml:space="preserve">. </w:t>
      </w:r>
      <w:proofErr w:type="spellStart"/>
      <w:r>
        <w:rPr>
          <w:sz w:val="22"/>
          <w:szCs w:val="22"/>
        </w:rPr>
        <w:t>Wincentego</w:t>
      </w:r>
      <w:proofErr w:type="spellEnd"/>
      <w:r>
        <w:rPr>
          <w:sz w:val="22"/>
          <w:szCs w:val="22"/>
        </w:rPr>
        <w:t xml:space="preserve"> </w:t>
      </w:r>
      <w:proofErr w:type="spellStart"/>
      <w:r>
        <w:rPr>
          <w:sz w:val="22"/>
          <w:szCs w:val="22"/>
        </w:rPr>
        <w:t>Pola</w:t>
      </w:r>
      <w:proofErr w:type="spellEnd"/>
      <w:r>
        <w:rPr>
          <w:sz w:val="22"/>
          <w:szCs w:val="22"/>
        </w:rPr>
        <w:t xml:space="preserve"> 21</w:t>
      </w:r>
    </w:p>
    <w:p w:rsidR="006D69D2" w:rsidRDefault="006D69D2" w:rsidP="006D69D2">
      <w:pPr>
        <w:tabs>
          <w:tab w:val="left" w:pos="567"/>
        </w:tabs>
        <w:ind w:left="567" w:hanging="567"/>
        <w:rPr>
          <w:sz w:val="22"/>
          <w:szCs w:val="22"/>
        </w:rPr>
      </w:pPr>
      <w:r>
        <w:rPr>
          <w:sz w:val="22"/>
          <w:szCs w:val="22"/>
        </w:rPr>
        <w:t>Lenkija</w:t>
      </w:r>
    </w:p>
    <w:p w:rsidR="006D69D2" w:rsidRDefault="006D69D2" w:rsidP="006D69D2">
      <w:pPr>
        <w:pStyle w:val="BTEMEASMCA"/>
        <w:rPr>
          <w:szCs w:val="22"/>
        </w:rPr>
      </w:pPr>
    </w:p>
    <w:p w:rsidR="006D69D2" w:rsidRDefault="006D69D2" w:rsidP="006D69D2">
      <w:pPr>
        <w:rPr>
          <w:sz w:val="22"/>
          <w:szCs w:val="22"/>
        </w:rPr>
      </w:pPr>
      <w:r>
        <w:rPr>
          <w:sz w:val="22"/>
          <w:szCs w:val="22"/>
        </w:rPr>
        <w:t>Jeigu apie šį vaistą norite sužinoti daugiau, kreipkitės į vietinį registruotojo atstovą.</w:t>
      </w:r>
    </w:p>
    <w:p w:rsidR="006D69D2" w:rsidRDefault="006D69D2" w:rsidP="006D69D2">
      <w:pPr>
        <w:rPr>
          <w:sz w:val="22"/>
          <w:szCs w:val="22"/>
        </w:rPr>
      </w:pPr>
    </w:p>
    <w:p w:rsidR="006D69D2" w:rsidRDefault="006D69D2" w:rsidP="006D69D2">
      <w:pPr>
        <w:rPr>
          <w:rFonts w:eastAsia="MS Mincho"/>
          <w:sz w:val="22"/>
          <w:szCs w:val="22"/>
        </w:rPr>
      </w:pPr>
      <w:r>
        <w:rPr>
          <w:rFonts w:eastAsia="MS Mincho"/>
          <w:sz w:val="22"/>
          <w:szCs w:val="22"/>
        </w:rPr>
        <w:t>UAB „</w:t>
      </w:r>
      <w:proofErr w:type="spellStart"/>
      <w:r>
        <w:rPr>
          <w:rFonts w:eastAsia="MS Mincho"/>
          <w:sz w:val="22"/>
          <w:szCs w:val="22"/>
        </w:rPr>
        <w:t>PharmaSwiss</w:t>
      </w:r>
      <w:proofErr w:type="spellEnd"/>
      <w:r>
        <w:rPr>
          <w:rFonts w:eastAsia="MS Mincho"/>
          <w:sz w:val="22"/>
          <w:szCs w:val="22"/>
        </w:rPr>
        <w:t xml:space="preserve">“ </w:t>
      </w:r>
    </w:p>
    <w:p w:rsidR="006D69D2" w:rsidRDefault="006D69D2" w:rsidP="006D69D2">
      <w:pPr>
        <w:rPr>
          <w:rFonts w:eastAsia="MS Mincho"/>
          <w:sz w:val="22"/>
          <w:szCs w:val="22"/>
        </w:rPr>
      </w:pPr>
      <w:r>
        <w:rPr>
          <w:rFonts w:eastAsia="MS Mincho"/>
          <w:sz w:val="22"/>
          <w:szCs w:val="22"/>
        </w:rPr>
        <w:t xml:space="preserve">Užnerio g. 1 </w:t>
      </w:r>
    </w:p>
    <w:p w:rsidR="006D69D2" w:rsidRDefault="006D69D2" w:rsidP="006D69D2">
      <w:pPr>
        <w:rPr>
          <w:rFonts w:eastAsia="MS Mincho"/>
          <w:sz w:val="22"/>
          <w:szCs w:val="22"/>
        </w:rPr>
      </w:pPr>
      <w:r>
        <w:rPr>
          <w:rFonts w:eastAsia="MS Mincho"/>
          <w:sz w:val="22"/>
          <w:szCs w:val="22"/>
        </w:rPr>
        <w:lastRenderedPageBreak/>
        <w:t xml:space="preserve">LT-47484 </w:t>
      </w:r>
    </w:p>
    <w:p w:rsidR="006D69D2" w:rsidRDefault="006D69D2" w:rsidP="006D69D2">
      <w:pPr>
        <w:rPr>
          <w:rFonts w:eastAsia="MS Mincho"/>
          <w:sz w:val="22"/>
          <w:szCs w:val="22"/>
        </w:rPr>
      </w:pPr>
      <w:r>
        <w:rPr>
          <w:rFonts w:eastAsia="MS Mincho"/>
          <w:sz w:val="22"/>
          <w:szCs w:val="22"/>
        </w:rPr>
        <w:t>Kaunas</w:t>
      </w:r>
    </w:p>
    <w:p w:rsidR="006D69D2" w:rsidRDefault="006D69D2" w:rsidP="006D69D2">
      <w:pPr>
        <w:rPr>
          <w:rFonts w:eastAsia="MS Mincho"/>
          <w:sz w:val="22"/>
          <w:szCs w:val="22"/>
        </w:rPr>
      </w:pPr>
      <w:r>
        <w:rPr>
          <w:rFonts w:eastAsia="MS Mincho"/>
          <w:sz w:val="22"/>
          <w:szCs w:val="22"/>
        </w:rPr>
        <w:t>Tel. +370 5 2790 762</w:t>
      </w:r>
    </w:p>
    <w:p w:rsidR="006D69D2" w:rsidRDefault="006D69D2" w:rsidP="006D69D2">
      <w:pPr>
        <w:rPr>
          <w:sz w:val="22"/>
          <w:szCs w:val="22"/>
        </w:rPr>
      </w:pPr>
    </w:p>
    <w:p w:rsidR="006D69D2" w:rsidRDefault="006D69D2" w:rsidP="006D69D2">
      <w:pPr>
        <w:rPr>
          <w:sz w:val="22"/>
          <w:szCs w:val="22"/>
        </w:rPr>
      </w:pPr>
      <w:r>
        <w:rPr>
          <w:b/>
          <w:bCs/>
          <w:sz w:val="22"/>
          <w:szCs w:val="22"/>
        </w:rPr>
        <w:t>Šis pakuotės lapelis</w:t>
      </w:r>
      <w:r>
        <w:rPr>
          <w:b/>
          <w:sz w:val="22"/>
          <w:szCs w:val="22"/>
        </w:rPr>
        <w:t xml:space="preserve"> paskutinį kartą peržiūrėtas 2020-09-23.</w:t>
      </w:r>
    </w:p>
    <w:p w:rsidR="006D69D2" w:rsidRDefault="006D69D2" w:rsidP="006D69D2">
      <w:pPr>
        <w:rPr>
          <w:sz w:val="22"/>
          <w:szCs w:val="22"/>
        </w:rPr>
      </w:pPr>
    </w:p>
    <w:p w:rsidR="006D69D2" w:rsidRDefault="006D69D2" w:rsidP="006D69D2">
      <w:pPr>
        <w:numPr>
          <w:ilvl w:val="12"/>
          <w:numId w:val="0"/>
        </w:numPr>
        <w:tabs>
          <w:tab w:val="left" w:pos="567"/>
        </w:tabs>
        <w:ind w:right="-2"/>
        <w:rPr>
          <w:snapToGrid w:val="0"/>
          <w:sz w:val="22"/>
          <w:szCs w:val="22"/>
        </w:rPr>
      </w:pPr>
      <w:r>
        <w:rPr>
          <w:snapToGrid w:val="0"/>
          <w:sz w:val="22"/>
          <w:szCs w:val="22"/>
        </w:rPr>
        <w:t>Išsami informacija apie šį vaistą pateikiama Valstybinės vaistų kontrolės tarnybos prie Lietuvos Respublikos sveikatos apsaugos ministerijos tinklalapyje</w:t>
      </w:r>
      <w:r>
        <w:rPr>
          <w:i/>
          <w:snapToGrid w:val="0"/>
          <w:sz w:val="22"/>
          <w:szCs w:val="22"/>
        </w:rPr>
        <w:t xml:space="preserve"> </w:t>
      </w:r>
      <w:hyperlink r:id="rId8" w:history="1">
        <w:r>
          <w:rPr>
            <w:rStyle w:val="Hipersaitas"/>
            <w:rFonts w:eastAsia="SimSun"/>
            <w:snapToGrid w:val="0"/>
            <w:sz w:val="22"/>
            <w:szCs w:val="22"/>
          </w:rPr>
          <w:t>http://www.vvkt.lt/</w:t>
        </w:r>
      </w:hyperlink>
      <w:r>
        <w:rPr>
          <w:snapToGrid w:val="0"/>
          <w:sz w:val="22"/>
          <w:szCs w:val="22"/>
        </w:rPr>
        <w:t>.</w:t>
      </w:r>
    </w:p>
    <w:p w:rsidR="006D69D2" w:rsidRDefault="006D69D2" w:rsidP="006D69D2">
      <w:pPr>
        <w:rPr>
          <w:sz w:val="22"/>
          <w:szCs w:val="22"/>
        </w:rPr>
      </w:pPr>
      <w:bookmarkStart w:id="12" w:name="_GoBack"/>
      <w:bookmarkEnd w:id="12"/>
    </w:p>
    <w:p w:rsidR="006D69D2" w:rsidRDefault="006D69D2" w:rsidP="006D69D2">
      <w:pPr>
        <w:rPr>
          <w:sz w:val="22"/>
          <w:szCs w:val="22"/>
        </w:rPr>
      </w:pPr>
    </w:p>
    <w:p w:rsidR="006D69D2" w:rsidRDefault="006D69D2" w:rsidP="006D69D2"/>
    <w:p w:rsidR="001F47F2" w:rsidRDefault="001F47F2"/>
    <w:sectPr w:rsidR="001F47F2" w:rsidSect="005659C6">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TimesLT">
    <w:altName w:val="Times New Roman"/>
    <w:charset w:val="00"/>
    <w:family w:val="roman"/>
    <w:pitch w:val="variable"/>
    <w:sig w:usb0="00000007" w:usb1="00000000" w:usb2="00000000" w:usb3="00000000" w:csb0="00000081"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roman"/>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6EA62952"/>
    <w:multiLevelType w:val="hybridMultilevel"/>
    <w:tmpl w:val="C04EF504"/>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6F8927B7"/>
    <w:multiLevelType w:val="hybridMultilevel"/>
    <w:tmpl w:val="5A9C6860"/>
    <w:lvl w:ilvl="0" w:tplc="5BEA827C">
      <w:start w:val="1"/>
      <w:numFmt w:val="decimal"/>
      <w:lvlText w:val="%1."/>
      <w:lvlJc w:val="left"/>
      <w:pPr>
        <w:ind w:left="1656" w:hanging="1296"/>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num w:numId="1">
    <w:abstractNumId w:val="0"/>
    <w:lvlOverride w:ilvl="0">
      <w:lvl w:ilvl="0">
        <w:numFmt w:val="bullet"/>
        <w:lvlText w:val="-"/>
        <w:lvlJc w:val="left"/>
        <w:pPr>
          <w:ind w:left="360" w:hanging="360"/>
        </w:pPr>
        <w:rPr>
          <w:rFonts w:cs="Times New Roman"/>
        </w:rPr>
      </w:lvl>
    </w:lvlOverride>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9D2"/>
    <w:rsid w:val="001F47F2"/>
    <w:rsid w:val="006D69D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0BCB60-9D16-4902-9F3F-5590CCC6F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D69D2"/>
    <w:pPr>
      <w:spacing w:after="0" w:line="240" w:lineRule="auto"/>
    </w:pPr>
    <w:rPr>
      <w:rFonts w:ascii="Times New Roman" w:eastAsia="Times New Roman" w:hAnsi="Times New Roman" w:cs="Times New Roman"/>
      <w:sz w:val="24"/>
      <w:szCs w:val="24"/>
    </w:rPr>
  </w:style>
  <w:style w:type="paragraph" w:styleId="Antrat2">
    <w:name w:val="heading 2"/>
    <w:basedOn w:val="prastasis"/>
    <w:next w:val="prastasis"/>
    <w:link w:val="Antrat2Diagrama"/>
    <w:uiPriority w:val="9"/>
    <w:semiHidden/>
    <w:unhideWhenUsed/>
    <w:qFormat/>
    <w:rsid w:val="006D69D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4">
    <w:name w:val="heading 4"/>
    <w:basedOn w:val="prastasis"/>
    <w:next w:val="prastasis"/>
    <w:link w:val="Antrat4Diagrama"/>
    <w:qFormat/>
    <w:rsid w:val="006D69D2"/>
    <w:pPr>
      <w:keepNext/>
      <w:tabs>
        <w:tab w:val="left" w:pos="567"/>
      </w:tabs>
      <w:spacing w:line="260" w:lineRule="exact"/>
      <w:jc w:val="both"/>
      <w:outlineLvl w:val="3"/>
    </w:pPr>
    <w:rPr>
      <w:b/>
      <w:noProof/>
      <w:sz w:val="22"/>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rsid w:val="006D69D2"/>
    <w:rPr>
      <w:rFonts w:ascii="Times New Roman" w:eastAsia="Times New Roman" w:hAnsi="Times New Roman" w:cs="Times New Roman"/>
      <w:b/>
      <w:noProof/>
      <w:szCs w:val="20"/>
      <w:lang w:eastAsia="lt-LT"/>
    </w:rPr>
  </w:style>
  <w:style w:type="character" w:styleId="Hipersaitas">
    <w:name w:val="Hyperlink"/>
    <w:uiPriority w:val="99"/>
    <w:semiHidden/>
    <w:unhideWhenUsed/>
    <w:rsid w:val="006D69D2"/>
    <w:rPr>
      <w:color w:val="0000FF"/>
      <w:u w:val="single"/>
    </w:rPr>
  </w:style>
  <w:style w:type="paragraph" w:customStyle="1" w:styleId="PI-1EMEASMCA">
    <w:name w:val="PI-1 EMEA_SMCA"/>
    <w:basedOn w:val="Antrat2"/>
    <w:autoRedefine/>
    <w:rsid w:val="006D69D2"/>
    <w:pPr>
      <w:keepLines w:val="0"/>
      <w:tabs>
        <w:tab w:val="left" w:pos="567"/>
      </w:tabs>
      <w:spacing w:before="0"/>
      <w:ind w:left="567" w:hanging="567"/>
    </w:pPr>
    <w:rPr>
      <w:rFonts w:ascii="Times New Roman" w:eastAsia="Times New Roman" w:hAnsi="Times New Roman" w:cs="Times New Roman"/>
      <w:b/>
      <w:color w:val="auto"/>
      <w:sz w:val="22"/>
      <w:szCs w:val="22"/>
    </w:rPr>
  </w:style>
  <w:style w:type="character" w:customStyle="1" w:styleId="BTEMEASMCAChar">
    <w:name w:val="BT EMEA_SMCA Char"/>
    <w:link w:val="BTEMEASMCA"/>
    <w:locked/>
    <w:rsid w:val="006D69D2"/>
    <w:rPr>
      <w:rFonts w:ascii="Times New Roman" w:hAnsi="Times New Roman" w:cs="Times New Roman"/>
      <w:noProof/>
      <w:szCs w:val="24"/>
    </w:rPr>
  </w:style>
  <w:style w:type="paragraph" w:customStyle="1" w:styleId="BTEMEASMCA">
    <w:name w:val="BT EMEA_SMCA"/>
    <w:basedOn w:val="prastasis"/>
    <w:link w:val="BTEMEASMCAChar"/>
    <w:autoRedefine/>
    <w:rsid w:val="006D69D2"/>
    <w:pPr>
      <w:snapToGrid w:val="0"/>
    </w:pPr>
    <w:rPr>
      <w:rFonts w:eastAsiaTheme="minorHAnsi"/>
      <w:noProof/>
      <w:sz w:val="22"/>
    </w:rPr>
  </w:style>
  <w:style w:type="paragraph" w:customStyle="1" w:styleId="PI-3EMEASMCA">
    <w:name w:val="PI-3 EMEA_SMCA"/>
    <w:basedOn w:val="prastasis"/>
    <w:autoRedefine/>
    <w:rsid w:val="006D69D2"/>
    <w:pPr>
      <w:spacing w:line="220" w:lineRule="exact"/>
    </w:pPr>
    <w:rPr>
      <w:b/>
      <w:bCs/>
      <w:sz w:val="22"/>
      <w:szCs w:val="22"/>
    </w:rPr>
  </w:style>
  <w:style w:type="paragraph" w:customStyle="1" w:styleId="BTbEMEASMCA">
    <w:name w:val="BT(b) EMEA_SMCA"/>
    <w:basedOn w:val="BTEMEASMCA"/>
    <w:autoRedefine/>
    <w:rsid w:val="006D69D2"/>
    <w:rPr>
      <w:b/>
    </w:rPr>
  </w:style>
  <w:style w:type="paragraph" w:customStyle="1" w:styleId="Sraopastraipa1">
    <w:name w:val="Sąrašo pastraipa1"/>
    <w:basedOn w:val="prastasis"/>
    <w:uiPriority w:val="99"/>
    <w:qFormat/>
    <w:rsid w:val="006D69D2"/>
    <w:pPr>
      <w:ind w:left="720"/>
      <w:contextualSpacing/>
    </w:pPr>
    <w:rPr>
      <w:rFonts w:ascii="TimesLT" w:hAnsi="TimesLT"/>
      <w:szCs w:val="20"/>
      <w:lang w:eastAsia="ru-RU"/>
    </w:rPr>
  </w:style>
  <w:style w:type="character" w:customStyle="1" w:styleId="Antrat2Diagrama">
    <w:name w:val="Antraštė 2 Diagrama"/>
    <w:basedOn w:val="Numatytasispastraiposriftas"/>
    <w:link w:val="Antrat2"/>
    <w:uiPriority w:val="9"/>
    <w:semiHidden/>
    <w:rsid w:val="006D69D2"/>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5142</Words>
  <Characters>2932</Characters>
  <Application>Microsoft Office Word</Application>
  <DocSecurity>0</DocSecurity>
  <Lines>24</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2020-09-25T05:21:00Z</dcterms:created>
  <dcterms:modified xsi:type="dcterms:W3CDTF">2020-09-25T05:21:00Z</dcterms:modified>
</cp:coreProperties>
</file>