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9F5B" w14:textId="77777777" w:rsidR="00C45646" w:rsidRPr="0053375F" w:rsidRDefault="00C45646" w:rsidP="00C45646">
      <w:pPr>
        <w:pStyle w:val="Pavadinimas"/>
        <w:rPr>
          <w:szCs w:val="22"/>
        </w:rPr>
      </w:pPr>
    </w:p>
    <w:p w14:paraId="25563F3A" w14:textId="77777777" w:rsidR="00C45646" w:rsidRPr="0053375F" w:rsidRDefault="00C45646" w:rsidP="00C45646">
      <w:pPr>
        <w:pStyle w:val="Pavadinimas"/>
        <w:rPr>
          <w:szCs w:val="22"/>
        </w:rPr>
      </w:pPr>
    </w:p>
    <w:p w14:paraId="78C44D63" w14:textId="77777777" w:rsidR="00C45646" w:rsidRPr="0053375F" w:rsidRDefault="00C45646" w:rsidP="00C45646">
      <w:pPr>
        <w:pStyle w:val="Pavadinimas"/>
        <w:rPr>
          <w:szCs w:val="22"/>
        </w:rPr>
      </w:pPr>
    </w:p>
    <w:p w14:paraId="1DD9CD72" w14:textId="77777777" w:rsidR="00C45646" w:rsidRPr="0053375F" w:rsidRDefault="00C45646" w:rsidP="00C45646">
      <w:pPr>
        <w:pStyle w:val="Pavadinimas"/>
        <w:rPr>
          <w:szCs w:val="22"/>
        </w:rPr>
      </w:pPr>
    </w:p>
    <w:p w14:paraId="47AB5944" w14:textId="77777777" w:rsidR="00C45646" w:rsidRPr="0053375F" w:rsidRDefault="00C45646" w:rsidP="00C45646">
      <w:pPr>
        <w:pStyle w:val="Pavadinimas"/>
        <w:rPr>
          <w:szCs w:val="22"/>
        </w:rPr>
      </w:pPr>
    </w:p>
    <w:p w14:paraId="138C7127" w14:textId="77777777" w:rsidR="00C45646" w:rsidRPr="0053375F" w:rsidRDefault="00C45646" w:rsidP="00C45646">
      <w:pPr>
        <w:pStyle w:val="Pavadinimas"/>
        <w:rPr>
          <w:szCs w:val="22"/>
        </w:rPr>
      </w:pPr>
    </w:p>
    <w:p w14:paraId="0DDDAAC8" w14:textId="77777777" w:rsidR="00C45646" w:rsidRPr="0053375F" w:rsidRDefault="00C45646" w:rsidP="00C45646">
      <w:pPr>
        <w:pStyle w:val="Pavadinimas"/>
        <w:rPr>
          <w:szCs w:val="22"/>
        </w:rPr>
      </w:pPr>
    </w:p>
    <w:p w14:paraId="0BED6452" w14:textId="77777777" w:rsidR="00C45646" w:rsidRPr="0053375F" w:rsidRDefault="00C45646" w:rsidP="00C45646">
      <w:pPr>
        <w:pStyle w:val="Pavadinimas"/>
        <w:rPr>
          <w:szCs w:val="22"/>
        </w:rPr>
      </w:pPr>
    </w:p>
    <w:p w14:paraId="2D2E50F7" w14:textId="77777777" w:rsidR="00C45646" w:rsidRPr="0053375F" w:rsidRDefault="00C45646" w:rsidP="00C45646">
      <w:pPr>
        <w:pStyle w:val="Pavadinimas"/>
        <w:rPr>
          <w:szCs w:val="22"/>
        </w:rPr>
      </w:pPr>
    </w:p>
    <w:p w14:paraId="64E4EFE4" w14:textId="77777777" w:rsidR="00C45646" w:rsidRPr="0053375F" w:rsidRDefault="00C45646" w:rsidP="00C45646">
      <w:pPr>
        <w:pStyle w:val="Pavadinimas"/>
        <w:rPr>
          <w:szCs w:val="22"/>
        </w:rPr>
      </w:pPr>
    </w:p>
    <w:p w14:paraId="3DD3E7B4" w14:textId="77777777" w:rsidR="00C45646" w:rsidRPr="0053375F" w:rsidRDefault="00C45646" w:rsidP="00C45646">
      <w:pPr>
        <w:pStyle w:val="Pavadinimas"/>
        <w:rPr>
          <w:szCs w:val="22"/>
        </w:rPr>
      </w:pPr>
    </w:p>
    <w:p w14:paraId="056CB11F" w14:textId="77777777" w:rsidR="00C45646" w:rsidRPr="0053375F" w:rsidRDefault="00C45646" w:rsidP="00C45646">
      <w:pPr>
        <w:pStyle w:val="Pavadinimas"/>
        <w:rPr>
          <w:szCs w:val="22"/>
        </w:rPr>
      </w:pPr>
    </w:p>
    <w:p w14:paraId="35D3A5BD" w14:textId="77777777" w:rsidR="00C45646" w:rsidRPr="0053375F" w:rsidRDefault="00C45646" w:rsidP="00C45646">
      <w:pPr>
        <w:pStyle w:val="Pavadinimas"/>
        <w:rPr>
          <w:szCs w:val="22"/>
        </w:rPr>
      </w:pPr>
    </w:p>
    <w:p w14:paraId="138A1556" w14:textId="77777777" w:rsidR="00C45646" w:rsidRPr="0053375F" w:rsidRDefault="00C45646" w:rsidP="00C45646">
      <w:pPr>
        <w:pStyle w:val="Pavadinimas"/>
        <w:rPr>
          <w:szCs w:val="22"/>
        </w:rPr>
      </w:pPr>
    </w:p>
    <w:p w14:paraId="33613745" w14:textId="77777777" w:rsidR="00C45646" w:rsidRPr="0053375F" w:rsidRDefault="00C45646" w:rsidP="00C45646">
      <w:pPr>
        <w:pStyle w:val="Pavadinimas"/>
        <w:rPr>
          <w:szCs w:val="22"/>
        </w:rPr>
      </w:pPr>
    </w:p>
    <w:p w14:paraId="3392204B" w14:textId="77777777" w:rsidR="00C45646" w:rsidRPr="0053375F" w:rsidRDefault="00C45646" w:rsidP="00C45646">
      <w:pPr>
        <w:pStyle w:val="Pavadinimas"/>
        <w:rPr>
          <w:szCs w:val="22"/>
        </w:rPr>
      </w:pPr>
    </w:p>
    <w:p w14:paraId="07EDA901" w14:textId="77777777" w:rsidR="00C45646" w:rsidRPr="0053375F" w:rsidRDefault="00C45646" w:rsidP="00C45646">
      <w:pPr>
        <w:pStyle w:val="Pavadinimas"/>
        <w:rPr>
          <w:szCs w:val="22"/>
        </w:rPr>
      </w:pPr>
    </w:p>
    <w:p w14:paraId="437930FA" w14:textId="77777777" w:rsidR="00C45646" w:rsidRPr="0053375F" w:rsidRDefault="00C45646" w:rsidP="00C45646">
      <w:pPr>
        <w:pStyle w:val="Pavadinimas"/>
        <w:rPr>
          <w:szCs w:val="22"/>
        </w:rPr>
      </w:pPr>
    </w:p>
    <w:p w14:paraId="1B58C7B5" w14:textId="77777777" w:rsidR="00C45646" w:rsidRPr="0053375F" w:rsidRDefault="00C45646" w:rsidP="00C45646">
      <w:pPr>
        <w:pStyle w:val="Pavadinimas"/>
        <w:rPr>
          <w:szCs w:val="22"/>
        </w:rPr>
      </w:pPr>
    </w:p>
    <w:p w14:paraId="37F218E9" w14:textId="77777777" w:rsidR="00C45646" w:rsidRPr="0053375F" w:rsidRDefault="00C45646" w:rsidP="00C45646">
      <w:pPr>
        <w:pStyle w:val="Pavadinimas"/>
        <w:rPr>
          <w:szCs w:val="22"/>
        </w:rPr>
      </w:pPr>
    </w:p>
    <w:p w14:paraId="5DB27849" w14:textId="77777777" w:rsidR="00C45646" w:rsidRPr="0053375F" w:rsidRDefault="00C45646" w:rsidP="00C45646">
      <w:pPr>
        <w:pStyle w:val="Pavadinimas"/>
        <w:rPr>
          <w:szCs w:val="22"/>
        </w:rPr>
      </w:pPr>
    </w:p>
    <w:p w14:paraId="22BD79F7" w14:textId="77777777" w:rsidR="00C45646" w:rsidRPr="0053375F" w:rsidRDefault="00C45646" w:rsidP="00C45646">
      <w:pPr>
        <w:pStyle w:val="Pavadinimas"/>
        <w:rPr>
          <w:szCs w:val="22"/>
        </w:rPr>
      </w:pPr>
    </w:p>
    <w:p w14:paraId="59FCAC5B" w14:textId="77777777" w:rsidR="00C45646" w:rsidRPr="0053375F" w:rsidRDefault="00C45646" w:rsidP="00C45646">
      <w:pPr>
        <w:pStyle w:val="Pavadinimas"/>
        <w:jc w:val="left"/>
        <w:rPr>
          <w:szCs w:val="22"/>
        </w:rPr>
      </w:pPr>
    </w:p>
    <w:p w14:paraId="4D6CFEAB" w14:textId="77777777" w:rsidR="00C45646" w:rsidRPr="0053375F" w:rsidRDefault="00C45646" w:rsidP="00C45646">
      <w:pPr>
        <w:pStyle w:val="Pavadinimas"/>
        <w:outlineLvl w:val="0"/>
        <w:rPr>
          <w:szCs w:val="22"/>
        </w:rPr>
      </w:pPr>
      <w:r w:rsidRPr="0053375F">
        <w:rPr>
          <w:szCs w:val="22"/>
        </w:rPr>
        <w:t>I PRIEDAS</w:t>
      </w:r>
    </w:p>
    <w:p w14:paraId="6972B744" w14:textId="77777777" w:rsidR="00C45646" w:rsidRPr="0053375F" w:rsidRDefault="00C45646" w:rsidP="00C45646">
      <w:pPr>
        <w:pStyle w:val="Pavadinimas"/>
        <w:rPr>
          <w:szCs w:val="22"/>
        </w:rPr>
      </w:pPr>
    </w:p>
    <w:p w14:paraId="70EDA10A" w14:textId="77777777" w:rsidR="00C45646" w:rsidRPr="0053375F" w:rsidRDefault="00C45646" w:rsidP="00C45646">
      <w:pPr>
        <w:pStyle w:val="Pavadinimas"/>
        <w:outlineLvl w:val="0"/>
        <w:rPr>
          <w:szCs w:val="22"/>
        </w:rPr>
      </w:pPr>
      <w:r w:rsidRPr="0053375F">
        <w:rPr>
          <w:szCs w:val="22"/>
        </w:rPr>
        <w:t xml:space="preserve">PREPARATO CHARAKTERISTIKŲ SANTRAUKA </w:t>
      </w:r>
    </w:p>
    <w:p w14:paraId="6747E7B4" w14:textId="77777777" w:rsidR="00C45646" w:rsidRPr="0053375F" w:rsidRDefault="00C45646" w:rsidP="00C45646">
      <w:pPr>
        <w:pStyle w:val="Pavadinimas"/>
        <w:rPr>
          <w:szCs w:val="22"/>
        </w:rPr>
      </w:pPr>
    </w:p>
    <w:p w14:paraId="4C90D3F5"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br w:type="page"/>
      </w:r>
      <w:r w:rsidRPr="0053375F">
        <w:rPr>
          <w:b/>
          <w:bCs/>
          <w:sz w:val="22"/>
          <w:szCs w:val="22"/>
        </w:rPr>
        <w:lastRenderedPageBreak/>
        <w:t>VAISTINIO PREPARATO PAVADINIMAS</w:t>
      </w:r>
    </w:p>
    <w:p w14:paraId="6B204999" w14:textId="77777777" w:rsidR="00C45646" w:rsidRPr="0053375F" w:rsidRDefault="00C45646" w:rsidP="00C45646">
      <w:pPr>
        <w:autoSpaceDE w:val="0"/>
        <w:autoSpaceDN w:val="0"/>
        <w:adjustRightInd w:val="0"/>
        <w:ind w:left="360"/>
        <w:rPr>
          <w:b/>
          <w:bCs/>
          <w:sz w:val="22"/>
          <w:szCs w:val="22"/>
        </w:rPr>
      </w:pPr>
    </w:p>
    <w:p w14:paraId="50B46C7D" w14:textId="77777777" w:rsidR="00C45646" w:rsidRPr="0053375F" w:rsidRDefault="00C45646" w:rsidP="00C45646">
      <w:pPr>
        <w:autoSpaceDE w:val="0"/>
        <w:autoSpaceDN w:val="0"/>
        <w:adjustRightInd w:val="0"/>
        <w:outlineLvl w:val="0"/>
        <w:rPr>
          <w:sz w:val="22"/>
          <w:szCs w:val="22"/>
        </w:rPr>
      </w:pPr>
      <w:proofErr w:type="spellStart"/>
      <w:r w:rsidRPr="0053375F">
        <w:rPr>
          <w:sz w:val="22"/>
          <w:szCs w:val="22"/>
        </w:rPr>
        <w:t>Livial</w:t>
      </w:r>
      <w:proofErr w:type="spellEnd"/>
      <w:r w:rsidRPr="0053375F">
        <w:rPr>
          <w:sz w:val="22"/>
          <w:szCs w:val="22"/>
        </w:rPr>
        <w:t xml:space="preserve"> 2,5 mg tabletės</w:t>
      </w:r>
    </w:p>
    <w:p w14:paraId="34B2E5A1" w14:textId="77777777" w:rsidR="00C45646" w:rsidRPr="0053375F" w:rsidRDefault="00C45646" w:rsidP="00C45646">
      <w:pPr>
        <w:autoSpaceDE w:val="0"/>
        <w:autoSpaceDN w:val="0"/>
        <w:adjustRightInd w:val="0"/>
        <w:rPr>
          <w:sz w:val="22"/>
          <w:szCs w:val="22"/>
        </w:rPr>
      </w:pPr>
    </w:p>
    <w:p w14:paraId="4E2032BF" w14:textId="77777777" w:rsidR="00C45646" w:rsidRPr="0053375F" w:rsidRDefault="00C45646" w:rsidP="00C45646">
      <w:pPr>
        <w:autoSpaceDE w:val="0"/>
        <w:autoSpaceDN w:val="0"/>
        <w:adjustRightInd w:val="0"/>
        <w:rPr>
          <w:sz w:val="22"/>
          <w:szCs w:val="22"/>
        </w:rPr>
      </w:pPr>
    </w:p>
    <w:p w14:paraId="44479A62"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KOKYBINĖ IR KIEKYBINĖ SUDĖTIS</w:t>
      </w:r>
    </w:p>
    <w:p w14:paraId="09FA8902" w14:textId="77777777" w:rsidR="00C45646" w:rsidRPr="0053375F" w:rsidRDefault="00C45646" w:rsidP="00C45646">
      <w:pPr>
        <w:autoSpaceDE w:val="0"/>
        <w:autoSpaceDN w:val="0"/>
        <w:adjustRightInd w:val="0"/>
        <w:rPr>
          <w:sz w:val="22"/>
          <w:szCs w:val="22"/>
        </w:rPr>
      </w:pPr>
    </w:p>
    <w:p w14:paraId="6B66B850" w14:textId="77777777" w:rsidR="00C45646" w:rsidRPr="0053375F" w:rsidRDefault="00C45646" w:rsidP="00C45646">
      <w:pPr>
        <w:autoSpaceDE w:val="0"/>
        <w:autoSpaceDN w:val="0"/>
        <w:adjustRightInd w:val="0"/>
        <w:outlineLvl w:val="0"/>
        <w:rPr>
          <w:sz w:val="22"/>
          <w:szCs w:val="22"/>
        </w:rPr>
      </w:pPr>
      <w:r w:rsidRPr="0053375F">
        <w:rPr>
          <w:sz w:val="22"/>
          <w:szCs w:val="22"/>
        </w:rPr>
        <w:t xml:space="preserve">Kiekvienoje tabletėje yra 2,5 mg </w:t>
      </w:r>
      <w:proofErr w:type="spellStart"/>
      <w:r w:rsidRPr="0053375F">
        <w:rPr>
          <w:sz w:val="22"/>
          <w:szCs w:val="22"/>
        </w:rPr>
        <w:t>tibolono</w:t>
      </w:r>
      <w:proofErr w:type="spellEnd"/>
      <w:r w:rsidRPr="0053375F">
        <w:rPr>
          <w:sz w:val="22"/>
          <w:szCs w:val="22"/>
        </w:rPr>
        <w:t>.</w:t>
      </w:r>
    </w:p>
    <w:p w14:paraId="5EB9C3CE" w14:textId="77777777" w:rsidR="00C45646" w:rsidRPr="0053375F" w:rsidRDefault="00C45646" w:rsidP="00C45646">
      <w:pPr>
        <w:autoSpaceDE w:val="0"/>
        <w:autoSpaceDN w:val="0"/>
        <w:adjustRightInd w:val="0"/>
        <w:rPr>
          <w:sz w:val="22"/>
          <w:szCs w:val="22"/>
        </w:rPr>
      </w:pPr>
    </w:p>
    <w:p w14:paraId="1799A1A9" w14:textId="77777777" w:rsidR="00C45646" w:rsidRPr="00186A14" w:rsidRDefault="00C45646" w:rsidP="00C45646">
      <w:pPr>
        <w:autoSpaceDE w:val="0"/>
        <w:autoSpaceDN w:val="0"/>
        <w:adjustRightInd w:val="0"/>
        <w:outlineLvl w:val="0"/>
        <w:rPr>
          <w:sz w:val="22"/>
          <w:szCs w:val="22"/>
          <w:u w:val="single"/>
        </w:rPr>
      </w:pPr>
      <w:r w:rsidRPr="00186A14">
        <w:rPr>
          <w:sz w:val="22"/>
          <w:szCs w:val="22"/>
          <w:u w:val="single"/>
        </w:rPr>
        <w:t>Pagalbinė medžiaga, kurios poveikis žinomas</w:t>
      </w:r>
    </w:p>
    <w:p w14:paraId="7BDB927A" w14:textId="77777777" w:rsidR="00C45646" w:rsidRPr="0053375F" w:rsidRDefault="00C45646" w:rsidP="00C45646">
      <w:pPr>
        <w:autoSpaceDE w:val="0"/>
        <w:autoSpaceDN w:val="0"/>
        <w:adjustRightInd w:val="0"/>
        <w:outlineLvl w:val="0"/>
        <w:rPr>
          <w:sz w:val="22"/>
          <w:szCs w:val="22"/>
        </w:rPr>
      </w:pPr>
      <w:r w:rsidRPr="0053375F">
        <w:rPr>
          <w:sz w:val="22"/>
          <w:szCs w:val="22"/>
        </w:rPr>
        <w:t>Tabletėje yra 87 mg laktozės.</w:t>
      </w:r>
    </w:p>
    <w:p w14:paraId="318F5A77" w14:textId="77777777" w:rsidR="00C45646" w:rsidRPr="0053375F" w:rsidRDefault="00C45646" w:rsidP="00C45646">
      <w:pPr>
        <w:autoSpaceDE w:val="0"/>
        <w:autoSpaceDN w:val="0"/>
        <w:adjustRightInd w:val="0"/>
        <w:rPr>
          <w:sz w:val="22"/>
          <w:szCs w:val="22"/>
        </w:rPr>
      </w:pPr>
    </w:p>
    <w:p w14:paraId="638E62B7" w14:textId="77777777" w:rsidR="00C45646" w:rsidRPr="0053375F" w:rsidRDefault="00C45646" w:rsidP="00C45646">
      <w:pPr>
        <w:autoSpaceDE w:val="0"/>
        <w:autoSpaceDN w:val="0"/>
        <w:adjustRightInd w:val="0"/>
        <w:outlineLvl w:val="0"/>
        <w:rPr>
          <w:sz w:val="22"/>
          <w:szCs w:val="22"/>
        </w:rPr>
      </w:pPr>
      <w:r w:rsidRPr="0053375F">
        <w:rPr>
          <w:sz w:val="22"/>
          <w:szCs w:val="22"/>
        </w:rPr>
        <w:t>Visos pagalbinės medžiagos išvardytos 6.1 skyriuje.</w:t>
      </w:r>
    </w:p>
    <w:p w14:paraId="686DFE5D" w14:textId="77777777" w:rsidR="00C45646" w:rsidRPr="0053375F" w:rsidRDefault="00C45646" w:rsidP="00C45646">
      <w:pPr>
        <w:autoSpaceDE w:val="0"/>
        <w:autoSpaceDN w:val="0"/>
        <w:adjustRightInd w:val="0"/>
        <w:rPr>
          <w:sz w:val="22"/>
          <w:szCs w:val="22"/>
        </w:rPr>
      </w:pPr>
    </w:p>
    <w:p w14:paraId="5EC4279A" w14:textId="77777777" w:rsidR="00C45646" w:rsidRPr="0053375F" w:rsidRDefault="00C45646" w:rsidP="00C45646">
      <w:pPr>
        <w:autoSpaceDE w:val="0"/>
        <w:autoSpaceDN w:val="0"/>
        <w:adjustRightInd w:val="0"/>
        <w:rPr>
          <w:sz w:val="22"/>
          <w:szCs w:val="22"/>
        </w:rPr>
      </w:pPr>
    </w:p>
    <w:p w14:paraId="2630156A"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FARMACINĖ FORMA</w:t>
      </w:r>
    </w:p>
    <w:p w14:paraId="1DB24E83" w14:textId="77777777" w:rsidR="00C45646" w:rsidRPr="0053375F" w:rsidRDefault="00C45646" w:rsidP="00C45646">
      <w:pPr>
        <w:autoSpaceDE w:val="0"/>
        <w:autoSpaceDN w:val="0"/>
        <w:adjustRightInd w:val="0"/>
        <w:rPr>
          <w:sz w:val="22"/>
          <w:szCs w:val="22"/>
        </w:rPr>
      </w:pPr>
    </w:p>
    <w:p w14:paraId="5C7ACA9C" w14:textId="77777777" w:rsidR="00C45646" w:rsidRPr="0053375F" w:rsidRDefault="00C45646" w:rsidP="00C45646">
      <w:pPr>
        <w:autoSpaceDE w:val="0"/>
        <w:autoSpaceDN w:val="0"/>
        <w:adjustRightInd w:val="0"/>
        <w:outlineLvl w:val="0"/>
        <w:rPr>
          <w:sz w:val="22"/>
          <w:szCs w:val="22"/>
        </w:rPr>
      </w:pPr>
      <w:r w:rsidRPr="0053375F">
        <w:rPr>
          <w:sz w:val="22"/>
          <w:szCs w:val="22"/>
        </w:rPr>
        <w:t>Tabletė.</w:t>
      </w:r>
    </w:p>
    <w:p w14:paraId="6DBBA666" w14:textId="77777777" w:rsidR="00C45646" w:rsidRPr="0053375F" w:rsidRDefault="00C45646" w:rsidP="00C45646">
      <w:pPr>
        <w:autoSpaceDE w:val="0"/>
        <w:autoSpaceDN w:val="0"/>
        <w:adjustRightInd w:val="0"/>
        <w:rPr>
          <w:sz w:val="22"/>
          <w:szCs w:val="22"/>
        </w:rPr>
      </w:pPr>
      <w:r w:rsidRPr="0053375F">
        <w:rPr>
          <w:sz w:val="22"/>
          <w:szCs w:val="22"/>
        </w:rPr>
        <w:t xml:space="preserve">Baltos, apvalios, plokščios, </w:t>
      </w:r>
      <w:smartTag w:uri="urn:schemas-microsoft-com:office:smarttags" w:element="metricconverter">
        <w:smartTagPr>
          <w:attr w:name="ProductID" w:val="6ﾠmm"/>
        </w:smartTagPr>
        <w:r w:rsidRPr="0053375F">
          <w:rPr>
            <w:sz w:val="22"/>
            <w:szCs w:val="22"/>
          </w:rPr>
          <w:t>6 mm</w:t>
        </w:r>
      </w:smartTag>
      <w:r w:rsidRPr="0053375F">
        <w:rPr>
          <w:sz w:val="22"/>
          <w:szCs w:val="22"/>
        </w:rPr>
        <w:t xml:space="preserve"> skersmens, nuožulniais kraštais tabletės. Vienoje jų pusėje užrašyta “</w:t>
      </w:r>
      <w:smartTag w:uri="urn:schemas-microsoft-com:office:smarttags" w:element="metricconverter">
        <w:smartTagPr>
          <w:attr w:name="ProductID" w:val="2”"/>
        </w:smartTagPr>
        <w:r w:rsidRPr="0053375F">
          <w:rPr>
            <w:sz w:val="22"/>
            <w:szCs w:val="22"/>
          </w:rPr>
          <w:t>2”</w:t>
        </w:r>
      </w:smartTag>
      <w:r w:rsidRPr="0053375F">
        <w:rPr>
          <w:sz w:val="22"/>
          <w:szCs w:val="22"/>
        </w:rPr>
        <w:t xml:space="preserve"> ir aukščiau “MK”, kitoje pusėje – ,,</w:t>
      </w:r>
      <w:proofErr w:type="spellStart"/>
      <w:r w:rsidRPr="0053375F">
        <w:rPr>
          <w:sz w:val="22"/>
          <w:szCs w:val="22"/>
        </w:rPr>
        <w:t>Organon</w:t>
      </w:r>
      <w:proofErr w:type="spellEnd"/>
      <w:r w:rsidRPr="0053375F">
        <w:rPr>
          <w:sz w:val="22"/>
          <w:szCs w:val="22"/>
        </w:rPr>
        <w:t>*”.</w:t>
      </w:r>
    </w:p>
    <w:p w14:paraId="52EB8E31" w14:textId="77777777" w:rsidR="00C45646" w:rsidRPr="0053375F" w:rsidRDefault="00C45646" w:rsidP="00C45646">
      <w:pPr>
        <w:autoSpaceDE w:val="0"/>
        <w:autoSpaceDN w:val="0"/>
        <w:adjustRightInd w:val="0"/>
        <w:rPr>
          <w:b/>
          <w:bCs/>
          <w:sz w:val="22"/>
          <w:szCs w:val="22"/>
        </w:rPr>
      </w:pPr>
    </w:p>
    <w:p w14:paraId="31BAC073" w14:textId="77777777" w:rsidR="00C45646" w:rsidRPr="0053375F" w:rsidRDefault="00C45646" w:rsidP="00C45646">
      <w:pPr>
        <w:autoSpaceDE w:val="0"/>
        <w:autoSpaceDN w:val="0"/>
        <w:adjustRightInd w:val="0"/>
        <w:rPr>
          <w:b/>
          <w:bCs/>
          <w:sz w:val="22"/>
          <w:szCs w:val="22"/>
        </w:rPr>
      </w:pPr>
    </w:p>
    <w:p w14:paraId="6475BCAA"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KLINIKINĖ INFORMACIJA</w:t>
      </w:r>
    </w:p>
    <w:p w14:paraId="13D3AB24" w14:textId="77777777" w:rsidR="00C45646" w:rsidRPr="0053375F" w:rsidRDefault="00C45646" w:rsidP="00C45646">
      <w:pPr>
        <w:autoSpaceDE w:val="0"/>
        <w:autoSpaceDN w:val="0"/>
        <w:adjustRightInd w:val="0"/>
        <w:rPr>
          <w:b/>
          <w:bCs/>
          <w:sz w:val="22"/>
          <w:szCs w:val="22"/>
        </w:rPr>
      </w:pPr>
    </w:p>
    <w:p w14:paraId="3A592E57" w14:textId="77777777" w:rsidR="00C45646" w:rsidRPr="0053375F" w:rsidRDefault="00C45646" w:rsidP="00C45646">
      <w:pPr>
        <w:autoSpaceDE w:val="0"/>
        <w:autoSpaceDN w:val="0"/>
        <w:adjustRightInd w:val="0"/>
        <w:ind w:left="540" w:hanging="540"/>
        <w:outlineLvl w:val="0"/>
        <w:rPr>
          <w:sz w:val="22"/>
          <w:szCs w:val="22"/>
        </w:rPr>
      </w:pPr>
      <w:r w:rsidRPr="0053375F">
        <w:rPr>
          <w:b/>
          <w:bCs/>
          <w:sz w:val="22"/>
          <w:szCs w:val="22"/>
        </w:rPr>
        <w:t>4.1</w:t>
      </w:r>
      <w:r w:rsidRPr="0053375F">
        <w:rPr>
          <w:b/>
          <w:bCs/>
          <w:sz w:val="22"/>
          <w:szCs w:val="22"/>
        </w:rPr>
        <w:tab/>
        <w:t>Terapinės indikacijos</w:t>
      </w:r>
    </w:p>
    <w:p w14:paraId="0A53842B" w14:textId="77777777" w:rsidR="00C45646" w:rsidRPr="0053375F" w:rsidRDefault="00C45646" w:rsidP="00C45646">
      <w:pPr>
        <w:autoSpaceDE w:val="0"/>
        <w:autoSpaceDN w:val="0"/>
        <w:adjustRightInd w:val="0"/>
        <w:rPr>
          <w:b/>
          <w:bCs/>
          <w:sz w:val="22"/>
          <w:szCs w:val="22"/>
        </w:rPr>
      </w:pPr>
    </w:p>
    <w:p w14:paraId="410220D1"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Dėl estrogenų trūkumo atsiradusių simptomų gydymas moterims, kurioms praėjo daugiau kaip vieneri metai po menopauzės.</w:t>
      </w:r>
    </w:p>
    <w:p w14:paraId="09B1B870"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Osteoporozės profilaktika moterims po menopauzės, kurioms numatoma didelė kaulų lūžių rizika, kai jos netoleruoja kitų osteoporozės profilaktikai patvirtintų vaistinių preparatų arba jų vartoti negali.</w:t>
      </w:r>
    </w:p>
    <w:p w14:paraId="01FD513F" w14:textId="77777777" w:rsidR="00C45646" w:rsidRPr="0053375F" w:rsidRDefault="00C45646" w:rsidP="00C45646">
      <w:pPr>
        <w:autoSpaceDE w:val="0"/>
        <w:autoSpaceDN w:val="0"/>
        <w:adjustRightInd w:val="0"/>
        <w:rPr>
          <w:b/>
          <w:bCs/>
          <w:sz w:val="22"/>
          <w:szCs w:val="22"/>
        </w:rPr>
      </w:pPr>
    </w:p>
    <w:p w14:paraId="6E2285F9" w14:textId="77777777" w:rsidR="00C45646" w:rsidRPr="0053375F" w:rsidRDefault="00C45646" w:rsidP="00C45646">
      <w:pPr>
        <w:autoSpaceDE w:val="0"/>
        <w:autoSpaceDN w:val="0"/>
        <w:adjustRightInd w:val="0"/>
        <w:rPr>
          <w:sz w:val="22"/>
          <w:szCs w:val="22"/>
        </w:rPr>
      </w:pPr>
      <w:r w:rsidRPr="0053375F">
        <w:rPr>
          <w:sz w:val="22"/>
          <w:szCs w:val="22"/>
        </w:rPr>
        <w:t xml:space="preserve">Ar skirti </w:t>
      </w:r>
      <w:proofErr w:type="spellStart"/>
      <w:r w:rsidRPr="0053375F">
        <w:rPr>
          <w:sz w:val="22"/>
          <w:szCs w:val="22"/>
        </w:rPr>
        <w:t>Livial</w:t>
      </w:r>
      <w:proofErr w:type="spellEnd"/>
      <w:r w:rsidRPr="0053375F">
        <w:rPr>
          <w:sz w:val="22"/>
          <w:szCs w:val="22"/>
        </w:rPr>
        <w:t>, kiekvienai moteriai sprendžiama įvertinus bendrąją individualią riziką ir insulto riziką, ypač vyresnėms kaip 60 metų moterims (žr. 4.4 ir 4.8 skyrius).</w:t>
      </w:r>
    </w:p>
    <w:p w14:paraId="3D7A821E" w14:textId="77777777" w:rsidR="00C45646" w:rsidRPr="0053375F" w:rsidRDefault="00C45646" w:rsidP="00C45646">
      <w:pPr>
        <w:autoSpaceDE w:val="0"/>
        <w:autoSpaceDN w:val="0"/>
        <w:adjustRightInd w:val="0"/>
        <w:rPr>
          <w:b/>
          <w:bCs/>
          <w:sz w:val="22"/>
          <w:szCs w:val="22"/>
        </w:rPr>
      </w:pPr>
    </w:p>
    <w:p w14:paraId="1FDE8F98"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4.2</w:t>
      </w:r>
      <w:r w:rsidRPr="0053375F">
        <w:rPr>
          <w:b/>
          <w:bCs/>
          <w:sz w:val="22"/>
          <w:szCs w:val="22"/>
        </w:rPr>
        <w:tab/>
        <w:t>Dozavimas ir vartojimo metodas</w:t>
      </w:r>
    </w:p>
    <w:p w14:paraId="383773C4" w14:textId="77777777" w:rsidR="00C45646" w:rsidRPr="0053375F" w:rsidRDefault="00C45646" w:rsidP="00C45646">
      <w:pPr>
        <w:autoSpaceDE w:val="0"/>
        <w:autoSpaceDN w:val="0"/>
        <w:adjustRightInd w:val="0"/>
        <w:rPr>
          <w:sz w:val="22"/>
          <w:szCs w:val="22"/>
        </w:rPr>
      </w:pPr>
    </w:p>
    <w:p w14:paraId="4260ECDC" w14:textId="77777777" w:rsidR="0023079D" w:rsidRPr="00186A14" w:rsidRDefault="0023079D" w:rsidP="00C45646">
      <w:pPr>
        <w:autoSpaceDE w:val="0"/>
        <w:autoSpaceDN w:val="0"/>
        <w:adjustRightInd w:val="0"/>
        <w:rPr>
          <w:sz w:val="22"/>
          <w:szCs w:val="22"/>
          <w:u w:val="single"/>
        </w:rPr>
      </w:pPr>
      <w:r w:rsidRPr="00186A14">
        <w:rPr>
          <w:sz w:val="22"/>
          <w:szCs w:val="22"/>
          <w:u w:val="single"/>
        </w:rPr>
        <w:t>Dozavimas</w:t>
      </w:r>
    </w:p>
    <w:p w14:paraId="1B6B98C7" w14:textId="77777777" w:rsidR="00C45646" w:rsidRPr="0053375F" w:rsidRDefault="00C45646" w:rsidP="00C45646">
      <w:pPr>
        <w:autoSpaceDE w:val="0"/>
        <w:autoSpaceDN w:val="0"/>
        <w:adjustRightInd w:val="0"/>
        <w:rPr>
          <w:sz w:val="22"/>
          <w:szCs w:val="22"/>
        </w:rPr>
      </w:pPr>
      <w:r w:rsidRPr="0053375F">
        <w:rPr>
          <w:sz w:val="22"/>
          <w:szCs w:val="22"/>
        </w:rPr>
        <w:t xml:space="preserve">Vartojama viena tabletė per parą. Vyresnėms moterims dozės koreguoti nereikia. </w:t>
      </w:r>
    </w:p>
    <w:p w14:paraId="09D0D081" w14:textId="77777777" w:rsidR="00C45646" w:rsidRPr="0053375F" w:rsidRDefault="00C45646" w:rsidP="00C45646">
      <w:pPr>
        <w:rPr>
          <w:sz w:val="22"/>
          <w:szCs w:val="22"/>
        </w:rPr>
      </w:pPr>
      <w:r w:rsidRPr="0053375F">
        <w:rPr>
          <w:sz w:val="22"/>
          <w:szCs w:val="22"/>
        </w:rPr>
        <w:t xml:space="preserve">Pradiniam </w:t>
      </w:r>
      <w:proofErr w:type="spellStart"/>
      <w:r w:rsidRPr="0053375F">
        <w:rPr>
          <w:sz w:val="22"/>
          <w:szCs w:val="22"/>
        </w:rPr>
        <w:t>pomenopauzinių</w:t>
      </w:r>
      <w:proofErr w:type="spellEnd"/>
      <w:r w:rsidRPr="0053375F">
        <w:rPr>
          <w:sz w:val="22"/>
          <w:szCs w:val="22"/>
        </w:rPr>
        <w:t xml:space="preserve"> simptomų gydymui bei tolesniam gydymui būtina skirti mažiausią veiksmingą vaisto dozę ir kuo trumpiau (žr. 4.4 skyrių).</w:t>
      </w:r>
    </w:p>
    <w:p w14:paraId="2ADB9FE9" w14:textId="77777777" w:rsidR="00C45646" w:rsidRPr="0053375F" w:rsidRDefault="00C45646" w:rsidP="00C45646">
      <w:pPr>
        <w:pStyle w:val="Pagrindinistekstas"/>
        <w:autoSpaceDE/>
        <w:autoSpaceDN/>
        <w:adjustRightInd/>
        <w:rPr>
          <w:szCs w:val="22"/>
        </w:rPr>
      </w:pPr>
      <w:r w:rsidRPr="0053375F">
        <w:rPr>
          <w:szCs w:val="22"/>
        </w:rPr>
        <w:t xml:space="preserve">Gydant </w:t>
      </w:r>
      <w:proofErr w:type="spellStart"/>
      <w:r w:rsidRPr="0053375F">
        <w:rPr>
          <w:szCs w:val="22"/>
        </w:rPr>
        <w:t>Livial</w:t>
      </w:r>
      <w:proofErr w:type="spellEnd"/>
      <w:r w:rsidRPr="0053375F">
        <w:rPr>
          <w:szCs w:val="22"/>
        </w:rPr>
        <w:t xml:space="preserve">, papildomai skirti </w:t>
      </w:r>
      <w:proofErr w:type="spellStart"/>
      <w:r w:rsidRPr="0053375F">
        <w:rPr>
          <w:szCs w:val="22"/>
        </w:rPr>
        <w:t>progestageno</w:t>
      </w:r>
      <w:proofErr w:type="spellEnd"/>
      <w:r w:rsidRPr="0053375F">
        <w:rPr>
          <w:szCs w:val="22"/>
        </w:rPr>
        <w:t xml:space="preserve"> nereikia.</w:t>
      </w:r>
    </w:p>
    <w:p w14:paraId="46926637" w14:textId="77777777" w:rsidR="00C45646" w:rsidRPr="0053375F" w:rsidRDefault="00C45646" w:rsidP="00C45646">
      <w:pPr>
        <w:autoSpaceDE w:val="0"/>
        <w:autoSpaceDN w:val="0"/>
        <w:adjustRightInd w:val="0"/>
        <w:rPr>
          <w:b/>
          <w:bCs/>
          <w:sz w:val="22"/>
          <w:szCs w:val="22"/>
        </w:rPr>
      </w:pPr>
    </w:p>
    <w:p w14:paraId="79682B23" w14:textId="77777777" w:rsidR="00C45646" w:rsidRPr="0053375F" w:rsidRDefault="00C45646" w:rsidP="00C45646">
      <w:pPr>
        <w:autoSpaceDE w:val="0"/>
        <w:autoSpaceDN w:val="0"/>
        <w:adjustRightInd w:val="0"/>
        <w:outlineLvl w:val="0"/>
        <w:rPr>
          <w:i/>
          <w:sz w:val="22"/>
          <w:szCs w:val="22"/>
        </w:rPr>
      </w:pPr>
      <w:r w:rsidRPr="0053375F">
        <w:rPr>
          <w:bCs/>
          <w:i/>
          <w:sz w:val="22"/>
          <w:szCs w:val="22"/>
        </w:rPr>
        <w:t xml:space="preserve">Prieš pradedant vartoti </w:t>
      </w:r>
      <w:proofErr w:type="spellStart"/>
      <w:r w:rsidRPr="0053375F">
        <w:rPr>
          <w:bCs/>
          <w:i/>
          <w:sz w:val="22"/>
          <w:szCs w:val="22"/>
        </w:rPr>
        <w:t>Livial</w:t>
      </w:r>
      <w:proofErr w:type="spellEnd"/>
    </w:p>
    <w:p w14:paraId="2C4BD1C8" w14:textId="77777777" w:rsidR="00C45646" w:rsidRPr="0053375F" w:rsidRDefault="00C45646" w:rsidP="00C45646">
      <w:pPr>
        <w:autoSpaceDE w:val="0"/>
        <w:autoSpaceDN w:val="0"/>
        <w:adjustRightInd w:val="0"/>
        <w:rPr>
          <w:sz w:val="22"/>
          <w:szCs w:val="22"/>
        </w:rPr>
      </w:pPr>
      <w:r w:rsidRPr="0053375F">
        <w:rPr>
          <w:sz w:val="22"/>
          <w:szCs w:val="22"/>
        </w:rPr>
        <w:t xml:space="preserve">Moterys po natūralios menopauzės </w:t>
      </w:r>
      <w:proofErr w:type="spellStart"/>
      <w:r w:rsidRPr="0053375F">
        <w:rPr>
          <w:sz w:val="22"/>
          <w:szCs w:val="22"/>
        </w:rPr>
        <w:t>Livial</w:t>
      </w:r>
      <w:proofErr w:type="spellEnd"/>
      <w:r w:rsidRPr="0053375F">
        <w:rPr>
          <w:sz w:val="22"/>
          <w:szCs w:val="22"/>
        </w:rPr>
        <w:t xml:space="preserve"> turi pradėti vartoti ne anksčiau kaip po 12 mėnesių nuo paskutinių natūralių mėnesinių, o po chirurginės menopauzės – iš karto.</w:t>
      </w:r>
    </w:p>
    <w:p w14:paraId="73BBA711" w14:textId="77777777" w:rsidR="00C45646" w:rsidRPr="0053375F" w:rsidRDefault="00C45646" w:rsidP="00C45646">
      <w:pPr>
        <w:autoSpaceDE w:val="0"/>
        <w:autoSpaceDN w:val="0"/>
        <w:adjustRightInd w:val="0"/>
        <w:rPr>
          <w:b/>
          <w:bCs/>
          <w:sz w:val="22"/>
          <w:szCs w:val="22"/>
        </w:rPr>
      </w:pPr>
    </w:p>
    <w:p w14:paraId="010526F9" w14:textId="77777777" w:rsidR="00C45646" w:rsidRPr="0053375F" w:rsidRDefault="00C45646" w:rsidP="00C45646">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3375F">
        <w:rPr>
          <w:sz w:val="22"/>
          <w:szCs w:val="22"/>
        </w:rPr>
        <w:t xml:space="preserve">Jei </w:t>
      </w:r>
      <w:r w:rsidRPr="0053375F">
        <w:rPr>
          <w:bCs/>
          <w:sz w:val="22"/>
          <w:szCs w:val="22"/>
        </w:rPr>
        <w:t>pakeičiamosios hormonų terapijos</w:t>
      </w:r>
      <w:r w:rsidRPr="0053375F">
        <w:rPr>
          <w:bCs/>
          <w:i/>
          <w:sz w:val="22"/>
          <w:szCs w:val="22"/>
        </w:rPr>
        <w:t xml:space="preserve"> </w:t>
      </w:r>
      <w:r w:rsidRPr="0053375F">
        <w:rPr>
          <w:sz w:val="22"/>
          <w:szCs w:val="22"/>
        </w:rPr>
        <w:t xml:space="preserve">(PHT) preparatų vartojanti ar nevartojanti moteris dėl nenustatytos priežasties nereguliariai ar neplanuotai kraujuoja iš makšties, prieš skiriant </w:t>
      </w:r>
      <w:proofErr w:type="spellStart"/>
      <w:r w:rsidRPr="0053375F">
        <w:rPr>
          <w:sz w:val="22"/>
          <w:szCs w:val="22"/>
        </w:rPr>
        <w:t>Livial</w:t>
      </w:r>
      <w:proofErr w:type="spellEnd"/>
      <w:r w:rsidRPr="0053375F">
        <w:rPr>
          <w:sz w:val="22"/>
          <w:szCs w:val="22"/>
        </w:rPr>
        <w:t>, ją reikia ištirti siekiant atmesti piktybinį procesą (žr. 4.3 skyrių).</w:t>
      </w:r>
    </w:p>
    <w:p w14:paraId="3DB4D23C" w14:textId="77777777" w:rsidR="00C45646" w:rsidRPr="0053375F" w:rsidRDefault="00C45646" w:rsidP="00C45646">
      <w:pPr>
        <w:autoSpaceDE w:val="0"/>
        <w:autoSpaceDN w:val="0"/>
        <w:adjustRightInd w:val="0"/>
        <w:rPr>
          <w:b/>
          <w:bCs/>
          <w:sz w:val="22"/>
          <w:szCs w:val="22"/>
        </w:rPr>
      </w:pPr>
    </w:p>
    <w:p w14:paraId="5CF20EFA" w14:textId="77777777" w:rsidR="00C45646" w:rsidRPr="0053375F" w:rsidRDefault="00C45646" w:rsidP="00C45646">
      <w:pPr>
        <w:keepNext/>
        <w:keepLines/>
        <w:autoSpaceDE w:val="0"/>
        <w:autoSpaceDN w:val="0"/>
        <w:adjustRightInd w:val="0"/>
        <w:rPr>
          <w:bCs/>
          <w:i/>
          <w:sz w:val="22"/>
          <w:szCs w:val="22"/>
        </w:rPr>
      </w:pPr>
      <w:r w:rsidRPr="0053375F">
        <w:rPr>
          <w:bCs/>
          <w:i/>
          <w:sz w:val="22"/>
          <w:szCs w:val="22"/>
        </w:rPr>
        <w:t>Keičiant ciklišką ar nepertraukiamą gydymą sudėtiniais pakeičiamosios hormonų terapijos (PHT) preparatais</w:t>
      </w:r>
    </w:p>
    <w:p w14:paraId="4D35878D" w14:textId="77777777" w:rsidR="00C45646" w:rsidRPr="0053375F" w:rsidRDefault="00C45646" w:rsidP="00C45646">
      <w:pPr>
        <w:keepNext/>
        <w:keepLines/>
        <w:autoSpaceDE w:val="0"/>
        <w:autoSpaceDN w:val="0"/>
        <w:adjustRightInd w:val="0"/>
        <w:rPr>
          <w:sz w:val="22"/>
          <w:szCs w:val="22"/>
        </w:rPr>
      </w:pPr>
      <w:r w:rsidRPr="0053375F">
        <w:rPr>
          <w:sz w:val="22"/>
          <w:szCs w:val="22"/>
        </w:rPr>
        <w:t xml:space="preserve">Moterys, keičiančios gydymą cikliškais PHT preparatais, </w:t>
      </w:r>
      <w:proofErr w:type="spellStart"/>
      <w:r w:rsidRPr="0053375F">
        <w:rPr>
          <w:sz w:val="22"/>
          <w:szCs w:val="22"/>
        </w:rPr>
        <w:t>Livial</w:t>
      </w:r>
      <w:proofErr w:type="spellEnd"/>
      <w:r w:rsidRPr="0053375F">
        <w:rPr>
          <w:sz w:val="22"/>
          <w:szCs w:val="22"/>
        </w:rPr>
        <w:t xml:space="preserve"> turi pradėti vartoti kitą dieną, kai užbaigia buvusį gydymo ciklą. Moterys, keičiančios nepertraukiamą gydymą sudėtiniais PHT preparatais, </w:t>
      </w:r>
      <w:proofErr w:type="spellStart"/>
      <w:r w:rsidRPr="0053375F">
        <w:rPr>
          <w:sz w:val="22"/>
          <w:szCs w:val="22"/>
        </w:rPr>
        <w:t>Livial</w:t>
      </w:r>
      <w:proofErr w:type="spellEnd"/>
      <w:r w:rsidRPr="0053375F">
        <w:rPr>
          <w:sz w:val="22"/>
          <w:szCs w:val="22"/>
        </w:rPr>
        <w:t xml:space="preserve"> gali pradėti vartoti bet kurią dieną.</w:t>
      </w:r>
    </w:p>
    <w:p w14:paraId="199E1A4C" w14:textId="77777777" w:rsidR="00C45646" w:rsidRPr="0053375F" w:rsidRDefault="00C45646" w:rsidP="00C45646">
      <w:pPr>
        <w:autoSpaceDE w:val="0"/>
        <w:autoSpaceDN w:val="0"/>
        <w:adjustRightInd w:val="0"/>
        <w:rPr>
          <w:sz w:val="22"/>
          <w:szCs w:val="22"/>
        </w:rPr>
      </w:pPr>
    </w:p>
    <w:p w14:paraId="61638291" w14:textId="77777777" w:rsidR="00C45646" w:rsidRPr="0053375F" w:rsidRDefault="00C45646" w:rsidP="00C45646">
      <w:pPr>
        <w:autoSpaceDE w:val="0"/>
        <w:autoSpaceDN w:val="0"/>
        <w:adjustRightInd w:val="0"/>
        <w:outlineLvl w:val="0"/>
        <w:rPr>
          <w:sz w:val="22"/>
          <w:szCs w:val="22"/>
        </w:rPr>
      </w:pPr>
      <w:r w:rsidRPr="0053375F">
        <w:rPr>
          <w:bCs/>
          <w:i/>
          <w:sz w:val="22"/>
          <w:szCs w:val="22"/>
        </w:rPr>
        <w:lastRenderedPageBreak/>
        <w:t>Praleista dozė</w:t>
      </w:r>
    </w:p>
    <w:p w14:paraId="4194CDEA" w14:textId="77777777" w:rsidR="00C45646" w:rsidRDefault="00C45646" w:rsidP="00C45646">
      <w:pPr>
        <w:autoSpaceDE w:val="0"/>
        <w:autoSpaceDN w:val="0"/>
        <w:adjustRightInd w:val="0"/>
        <w:rPr>
          <w:sz w:val="22"/>
          <w:szCs w:val="22"/>
        </w:rPr>
      </w:pPr>
      <w:r w:rsidRPr="0053375F">
        <w:rPr>
          <w:sz w:val="22"/>
          <w:szCs w:val="22"/>
        </w:rPr>
        <w:t>Pamirštą pavartoti įprastinę dozę reikia pavartoti tuoj pat prisiminus, jei dar nepraėjo daugiau kaip 12 valandų. Jei praėjo daugiau kaip 12 valandų, užmirštos dozės nebevartoti ir toliau gydytis įprastai. Dėl praleistos dozės gali kraujuoti ar teplioti.</w:t>
      </w:r>
    </w:p>
    <w:p w14:paraId="04AC70AA" w14:textId="77777777" w:rsidR="0023079D" w:rsidRDefault="0023079D" w:rsidP="00C45646">
      <w:pPr>
        <w:autoSpaceDE w:val="0"/>
        <w:autoSpaceDN w:val="0"/>
        <w:adjustRightInd w:val="0"/>
        <w:rPr>
          <w:sz w:val="22"/>
          <w:szCs w:val="22"/>
        </w:rPr>
      </w:pPr>
    </w:p>
    <w:p w14:paraId="666AD763" w14:textId="77777777" w:rsidR="0023079D" w:rsidRPr="00186A14" w:rsidRDefault="0023079D" w:rsidP="00C45646">
      <w:pPr>
        <w:autoSpaceDE w:val="0"/>
        <w:autoSpaceDN w:val="0"/>
        <w:adjustRightInd w:val="0"/>
        <w:rPr>
          <w:sz w:val="22"/>
          <w:szCs w:val="22"/>
          <w:u w:val="single"/>
        </w:rPr>
      </w:pPr>
      <w:r w:rsidRPr="00186A14">
        <w:rPr>
          <w:sz w:val="22"/>
          <w:szCs w:val="22"/>
          <w:u w:val="single"/>
        </w:rPr>
        <w:t>Vartojimo metodas</w:t>
      </w:r>
    </w:p>
    <w:p w14:paraId="2BD5E28F" w14:textId="77777777" w:rsidR="0023079D" w:rsidRPr="0053375F" w:rsidRDefault="0023079D" w:rsidP="0023079D">
      <w:pPr>
        <w:autoSpaceDE w:val="0"/>
        <w:autoSpaceDN w:val="0"/>
        <w:adjustRightInd w:val="0"/>
        <w:rPr>
          <w:sz w:val="22"/>
          <w:szCs w:val="22"/>
        </w:rPr>
      </w:pPr>
      <w:r w:rsidRPr="0053375F">
        <w:rPr>
          <w:sz w:val="22"/>
          <w:szCs w:val="22"/>
        </w:rPr>
        <w:t>Tabletę būtina nuryti užgeriant vandeniu ar kitu gėrimu, pageidautina kasdien tuo pačiu metu.</w:t>
      </w:r>
    </w:p>
    <w:p w14:paraId="47614983" w14:textId="77777777" w:rsidR="00C45646" w:rsidRPr="0053375F" w:rsidRDefault="00C45646" w:rsidP="00C45646">
      <w:pPr>
        <w:autoSpaceDE w:val="0"/>
        <w:autoSpaceDN w:val="0"/>
        <w:adjustRightInd w:val="0"/>
        <w:rPr>
          <w:b/>
          <w:bCs/>
          <w:sz w:val="22"/>
          <w:szCs w:val="22"/>
        </w:rPr>
      </w:pPr>
    </w:p>
    <w:p w14:paraId="7A4DFDF4"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4.3</w:t>
      </w:r>
      <w:r w:rsidRPr="0053375F">
        <w:rPr>
          <w:b/>
          <w:bCs/>
          <w:sz w:val="22"/>
          <w:szCs w:val="22"/>
        </w:rPr>
        <w:tab/>
        <w:t>Kontraindikacijos</w:t>
      </w:r>
    </w:p>
    <w:p w14:paraId="1D1471E7" w14:textId="77777777" w:rsidR="00C45646" w:rsidRPr="0053375F" w:rsidRDefault="00C45646" w:rsidP="00C45646">
      <w:pPr>
        <w:autoSpaceDE w:val="0"/>
        <w:autoSpaceDN w:val="0"/>
        <w:adjustRightInd w:val="0"/>
        <w:rPr>
          <w:b/>
          <w:bCs/>
          <w:sz w:val="22"/>
          <w:szCs w:val="22"/>
        </w:rPr>
      </w:pPr>
    </w:p>
    <w:p w14:paraId="346272ED"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Nėštumo ir žindymo laikotarpis.</w:t>
      </w:r>
    </w:p>
    <w:p w14:paraId="3FDFB6EE"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Nustatytas, anksčiau buvęs arba įtariamas krūties vėžys – </w:t>
      </w:r>
      <w:proofErr w:type="spellStart"/>
      <w:r w:rsidRPr="0053375F">
        <w:rPr>
          <w:sz w:val="22"/>
          <w:szCs w:val="22"/>
        </w:rPr>
        <w:t>tibolonas</w:t>
      </w:r>
      <w:proofErr w:type="spellEnd"/>
      <w:r w:rsidRPr="0053375F">
        <w:rPr>
          <w:sz w:val="22"/>
          <w:szCs w:val="22"/>
        </w:rPr>
        <w:t xml:space="preserve"> padidino krūties vėžio pasikartojimo riziką </w:t>
      </w:r>
      <w:proofErr w:type="spellStart"/>
      <w:r w:rsidRPr="0053375F">
        <w:rPr>
          <w:sz w:val="22"/>
          <w:szCs w:val="22"/>
        </w:rPr>
        <w:t>placebu</w:t>
      </w:r>
      <w:proofErr w:type="spellEnd"/>
      <w:r w:rsidRPr="0053375F">
        <w:rPr>
          <w:sz w:val="22"/>
          <w:szCs w:val="22"/>
        </w:rPr>
        <w:t xml:space="preserve"> kontroliuotame tyrime.</w:t>
      </w:r>
    </w:p>
    <w:p w14:paraId="04799138"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Nustatytas arba įtariamas nuo estrogenų priklausomas piktybinis navikas (pvz., </w:t>
      </w:r>
      <w:proofErr w:type="spellStart"/>
      <w:r w:rsidRPr="0053375F">
        <w:rPr>
          <w:sz w:val="22"/>
          <w:szCs w:val="22"/>
        </w:rPr>
        <w:t>endometriumo</w:t>
      </w:r>
      <w:proofErr w:type="spellEnd"/>
      <w:r w:rsidRPr="0053375F">
        <w:rPr>
          <w:sz w:val="22"/>
          <w:szCs w:val="22"/>
        </w:rPr>
        <w:t xml:space="preserve"> vėžys).</w:t>
      </w:r>
    </w:p>
    <w:p w14:paraId="46C4D321"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color w:val="000000"/>
          <w:sz w:val="22"/>
          <w:szCs w:val="22"/>
        </w:rPr>
        <w:t xml:space="preserve">Neaiškios priežasties </w:t>
      </w:r>
      <w:r w:rsidRPr="0053375F">
        <w:rPr>
          <w:sz w:val="22"/>
          <w:szCs w:val="22"/>
        </w:rPr>
        <w:t>kraujavimas iš lyties organų.</w:t>
      </w:r>
    </w:p>
    <w:p w14:paraId="07E48543"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Negydyta </w:t>
      </w:r>
      <w:proofErr w:type="spellStart"/>
      <w:r w:rsidRPr="0053375F">
        <w:rPr>
          <w:sz w:val="22"/>
          <w:szCs w:val="22"/>
        </w:rPr>
        <w:t>endometriumo</w:t>
      </w:r>
      <w:proofErr w:type="spellEnd"/>
      <w:r w:rsidRPr="0053375F">
        <w:rPr>
          <w:sz w:val="22"/>
          <w:szCs w:val="22"/>
        </w:rPr>
        <w:t xml:space="preserve"> </w:t>
      </w:r>
      <w:proofErr w:type="spellStart"/>
      <w:r w:rsidRPr="0053375F">
        <w:rPr>
          <w:sz w:val="22"/>
          <w:szCs w:val="22"/>
        </w:rPr>
        <w:t>hiperplazija</w:t>
      </w:r>
      <w:proofErr w:type="spellEnd"/>
      <w:r w:rsidRPr="0053375F">
        <w:rPr>
          <w:sz w:val="22"/>
          <w:szCs w:val="22"/>
        </w:rPr>
        <w:t>.</w:t>
      </w:r>
    </w:p>
    <w:p w14:paraId="64D920DF"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Ankstesnė </w:t>
      </w:r>
      <w:proofErr w:type="spellStart"/>
      <w:r w:rsidRPr="0053375F">
        <w:rPr>
          <w:sz w:val="22"/>
          <w:szCs w:val="22"/>
        </w:rPr>
        <w:t>idiopatinė</w:t>
      </w:r>
      <w:proofErr w:type="spellEnd"/>
      <w:r w:rsidRPr="0053375F">
        <w:rPr>
          <w:sz w:val="22"/>
          <w:szCs w:val="22"/>
        </w:rPr>
        <w:t xml:space="preserve"> arba esama venų </w:t>
      </w:r>
      <w:proofErr w:type="spellStart"/>
      <w:r w:rsidRPr="0053375F">
        <w:rPr>
          <w:sz w:val="22"/>
          <w:szCs w:val="22"/>
        </w:rPr>
        <w:t>tromboembolija</w:t>
      </w:r>
      <w:proofErr w:type="spellEnd"/>
      <w:r w:rsidRPr="0053375F">
        <w:rPr>
          <w:sz w:val="22"/>
          <w:szCs w:val="22"/>
        </w:rPr>
        <w:t xml:space="preserve"> (giliųjų venų trombozė, plaučių embolija).</w:t>
      </w:r>
    </w:p>
    <w:p w14:paraId="78CEFA6D"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Nustatyti </w:t>
      </w:r>
      <w:proofErr w:type="spellStart"/>
      <w:r w:rsidRPr="0053375F">
        <w:rPr>
          <w:sz w:val="22"/>
          <w:szCs w:val="22"/>
        </w:rPr>
        <w:t>trombofiliniai</w:t>
      </w:r>
      <w:proofErr w:type="spellEnd"/>
      <w:r w:rsidRPr="0053375F">
        <w:rPr>
          <w:sz w:val="22"/>
          <w:szCs w:val="22"/>
        </w:rPr>
        <w:t xml:space="preserve"> sutrikimai (pvz., baltymo C, baltymo S ar </w:t>
      </w:r>
      <w:proofErr w:type="spellStart"/>
      <w:r w:rsidRPr="0053375F">
        <w:rPr>
          <w:sz w:val="22"/>
          <w:szCs w:val="22"/>
        </w:rPr>
        <w:t>antitrombino</w:t>
      </w:r>
      <w:proofErr w:type="spellEnd"/>
      <w:r w:rsidRPr="0053375F">
        <w:rPr>
          <w:sz w:val="22"/>
          <w:szCs w:val="22"/>
        </w:rPr>
        <w:t xml:space="preserve"> stoka, žr. 4.4 skyrių).</w:t>
      </w:r>
    </w:p>
    <w:p w14:paraId="376A2B9F"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Esama arba buvusi arterijų </w:t>
      </w:r>
      <w:proofErr w:type="spellStart"/>
      <w:r w:rsidRPr="0053375F">
        <w:rPr>
          <w:sz w:val="22"/>
          <w:szCs w:val="22"/>
        </w:rPr>
        <w:t>tromboembolinė</w:t>
      </w:r>
      <w:proofErr w:type="spellEnd"/>
      <w:r w:rsidRPr="0053375F">
        <w:rPr>
          <w:sz w:val="22"/>
          <w:szCs w:val="22"/>
        </w:rPr>
        <w:t xml:space="preserve"> liga (</w:t>
      </w:r>
      <w:proofErr w:type="spellStart"/>
      <w:r w:rsidRPr="0053375F">
        <w:rPr>
          <w:sz w:val="22"/>
          <w:szCs w:val="22"/>
        </w:rPr>
        <w:t>t.y</w:t>
      </w:r>
      <w:proofErr w:type="spellEnd"/>
      <w:r w:rsidRPr="0053375F">
        <w:rPr>
          <w:sz w:val="22"/>
          <w:szCs w:val="22"/>
        </w:rPr>
        <w:t>., krūtinės angina, miokardo infarktas, insultas, praeinantysis smegenų išemijos priepuolis).</w:t>
      </w:r>
    </w:p>
    <w:p w14:paraId="7F184EB2"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Ūminė ar praeityje buvusi kepenų liga, jei kepenų funkcijos rodmenys nesinormalizavo.</w:t>
      </w:r>
    </w:p>
    <w:p w14:paraId="628FFDFF" w14:textId="77777777" w:rsidR="00C45646" w:rsidRPr="0053375F" w:rsidRDefault="00C45646" w:rsidP="00187FB4">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Padidėjęs jautrumas veikliajai </w:t>
      </w:r>
      <w:r w:rsidR="00187FB4">
        <w:rPr>
          <w:sz w:val="22"/>
          <w:szCs w:val="22"/>
        </w:rPr>
        <w:t xml:space="preserve">arba bet kuriai 6.1 skyriuje nurodytai pagalbinei </w:t>
      </w:r>
      <w:r w:rsidRPr="0053375F">
        <w:rPr>
          <w:sz w:val="22"/>
          <w:szCs w:val="22"/>
        </w:rPr>
        <w:t>medžiagai.</w:t>
      </w:r>
    </w:p>
    <w:p w14:paraId="490FF8E0"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proofErr w:type="spellStart"/>
      <w:r w:rsidRPr="0053375F">
        <w:rPr>
          <w:sz w:val="22"/>
          <w:szCs w:val="22"/>
        </w:rPr>
        <w:t>Porfirija</w:t>
      </w:r>
      <w:proofErr w:type="spellEnd"/>
      <w:r w:rsidRPr="0053375F">
        <w:rPr>
          <w:sz w:val="22"/>
          <w:szCs w:val="22"/>
        </w:rPr>
        <w:t>.</w:t>
      </w:r>
    </w:p>
    <w:p w14:paraId="04CB9008" w14:textId="77777777" w:rsidR="00C45646" w:rsidRPr="0053375F" w:rsidRDefault="00C45646" w:rsidP="00C45646">
      <w:pPr>
        <w:autoSpaceDE w:val="0"/>
        <w:autoSpaceDN w:val="0"/>
        <w:adjustRightInd w:val="0"/>
        <w:rPr>
          <w:sz w:val="22"/>
          <w:szCs w:val="22"/>
        </w:rPr>
      </w:pPr>
    </w:p>
    <w:p w14:paraId="1061308A"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4.4</w:t>
      </w:r>
      <w:r w:rsidRPr="0053375F">
        <w:rPr>
          <w:b/>
          <w:bCs/>
          <w:sz w:val="22"/>
          <w:szCs w:val="22"/>
        </w:rPr>
        <w:tab/>
        <w:t>Specialūs įspėjimai ir atsargumo priemonės</w:t>
      </w:r>
    </w:p>
    <w:p w14:paraId="7B8FE95C" w14:textId="77777777" w:rsidR="00C45646" w:rsidRPr="0053375F" w:rsidRDefault="00C45646" w:rsidP="00C45646">
      <w:pPr>
        <w:pStyle w:val="Pagrindinistekstas"/>
        <w:rPr>
          <w:szCs w:val="22"/>
        </w:rPr>
      </w:pPr>
    </w:p>
    <w:p w14:paraId="5AF85659" w14:textId="77777777" w:rsidR="00C45646" w:rsidRPr="0053375F" w:rsidRDefault="00C45646" w:rsidP="00C45646">
      <w:pPr>
        <w:autoSpaceDE w:val="0"/>
        <w:autoSpaceDN w:val="0"/>
        <w:adjustRightInd w:val="0"/>
        <w:rPr>
          <w:sz w:val="22"/>
          <w:szCs w:val="22"/>
        </w:rPr>
      </w:pPr>
      <w:proofErr w:type="spellStart"/>
      <w:r w:rsidRPr="0053375F">
        <w:rPr>
          <w:sz w:val="22"/>
          <w:szCs w:val="22"/>
        </w:rPr>
        <w:t>Livial</w:t>
      </w:r>
      <w:proofErr w:type="spellEnd"/>
      <w:r w:rsidRPr="0053375F">
        <w:rPr>
          <w:sz w:val="22"/>
          <w:szCs w:val="22"/>
        </w:rPr>
        <w:t xml:space="preserve"> reikia gydyti tik tuos </w:t>
      </w:r>
      <w:proofErr w:type="spellStart"/>
      <w:r w:rsidRPr="0053375F">
        <w:rPr>
          <w:sz w:val="22"/>
          <w:szCs w:val="22"/>
        </w:rPr>
        <w:t>pomenopauzinius</w:t>
      </w:r>
      <w:proofErr w:type="spellEnd"/>
      <w:r w:rsidRPr="0053375F">
        <w:rPr>
          <w:sz w:val="22"/>
          <w:szCs w:val="22"/>
        </w:rPr>
        <w:t xml:space="preserve"> simptomus, kurie blogina gyvenimo kokybę. Visada bent kartą per metus reikia atidžiai įvertinti gydymo </w:t>
      </w:r>
      <w:proofErr w:type="spellStart"/>
      <w:r w:rsidRPr="0053375F">
        <w:rPr>
          <w:sz w:val="22"/>
          <w:szCs w:val="22"/>
        </w:rPr>
        <w:t>Livial</w:t>
      </w:r>
      <w:proofErr w:type="spellEnd"/>
      <w:r w:rsidRPr="0053375F">
        <w:rPr>
          <w:sz w:val="22"/>
          <w:szCs w:val="22"/>
        </w:rPr>
        <w:t xml:space="preserve"> naudą bei riziką ir tęsti gydymą tik tada, kai vartojimo nauda persveria galimą riziką.</w:t>
      </w:r>
    </w:p>
    <w:p w14:paraId="04156BC7" w14:textId="77777777" w:rsidR="00C45646" w:rsidRPr="0053375F" w:rsidRDefault="00C45646" w:rsidP="00C45646">
      <w:pPr>
        <w:autoSpaceDE w:val="0"/>
        <w:autoSpaceDN w:val="0"/>
        <w:adjustRightInd w:val="0"/>
        <w:rPr>
          <w:sz w:val="22"/>
          <w:szCs w:val="22"/>
        </w:rPr>
      </w:pPr>
    </w:p>
    <w:p w14:paraId="44D463CB" w14:textId="77777777" w:rsidR="00C45646" w:rsidRPr="0053375F" w:rsidRDefault="00C45646" w:rsidP="00C45646">
      <w:pPr>
        <w:autoSpaceDE w:val="0"/>
        <w:autoSpaceDN w:val="0"/>
        <w:adjustRightInd w:val="0"/>
        <w:rPr>
          <w:sz w:val="22"/>
          <w:szCs w:val="22"/>
        </w:rPr>
      </w:pPr>
      <w:r w:rsidRPr="0053375F">
        <w:rPr>
          <w:sz w:val="22"/>
          <w:szCs w:val="22"/>
        </w:rPr>
        <w:t xml:space="preserve">Kiekvienai moteriai reikia atidžiai įvertinti insulto bei krūties vėžio, o moterims, kurių gimda nepašalinta, ir </w:t>
      </w:r>
      <w:proofErr w:type="spellStart"/>
      <w:r w:rsidRPr="0053375F">
        <w:rPr>
          <w:sz w:val="22"/>
          <w:szCs w:val="22"/>
        </w:rPr>
        <w:t>endometriumo</w:t>
      </w:r>
      <w:proofErr w:type="spellEnd"/>
      <w:r w:rsidRPr="0053375F">
        <w:rPr>
          <w:sz w:val="22"/>
          <w:szCs w:val="22"/>
        </w:rPr>
        <w:t xml:space="preserve"> vėžio, riziką (žr. 4.8 skyrių), atsižvelgiant į asmeninius rizikos veiksnius ir šių vėžinių susirgimų bei insulto dažnumą bei kitas charakteristikas, tokias kaip atsakas į gydymą, sergamumas ir mirtingumas.</w:t>
      </w:r>
    </w:p>
    <w:p w14:paraId="23054CEC" w14:textId="77777777" w:rsidR="00C45646" w:rsidRPr="0053375F" w:rsidRDefault="00C45646" w:rsidP="00C45646">
      <w:pPr>
        <w:autoSpaceDE w:val="0"/>
        <w:autoSpaceDN w:val="0"/>
        <w:adjustRightInd w:val="0"/>
        <w:rPr>
          <w:sz w:val="22"/>
          <w:szCs w:val="22"/>
        </w:rPr>
      </w:pPr>
    </w:p>
    <w:p w14:paraId="1D64BBF9" w14:textId="77777777" w:rsidR="00C45646" w:rsidRPr="0053375F" w:rsidRDefault="00C45646" w:rsidP="00C45646">
      <w:pPr>
        <w:autoSpaceDE w:val="0"/>
        <w:autoSpaceDN w:val="0"/>
        <w:adjustRightInd w:val="0"/>
        <w:rPr>
          <w:sz w:val="22"/>
          <w:szCs w:val="22"/>
        </w:rPr>
      </w:pPr>
      <w:r w:rsidRPr="0053375F">
        <w:rPr>
          <w:sz w:val="22"/>
          <w:szCs w:val="22"/>
        </w:rPr>
        <w:t xml:space="preserve">Su PHT ar </w:t>
      </w:r>
      <w:proofErr w:type="spellStart"/>
      <w:r w:rsidRPr="0053375F">
        <w:rPr>
          <w:sz w:val="22"/>
          <w:szCs w:val="22"/>
        </w:rPr>
        <w:t>tibolono</w:t>
      </w:r>
      <w:proofErr w:type="spellEnd"/>
      <w:r w:rsidRPr="0053375F">
        <w:rPr>
          <w:sz w:val="22"/>
          <w:szCs w:val="22"/>
        </w:rPr>
        <w:t xml:space="preserve"> vartojimu gydant ankstyvą menopauzę susijusios rizikos įrodymų yra nedaug. Dėl mažesnės absoliučiosios rizikos jaunesnėms moterims vis dėlto tokioms moterims rizikos ir naudos santykis gali būti palankesnis, lyginant su vyresnėmis moterimis.</w:t>
      </w:r>
    </w:p>
    <w:p w14:paraId="3C8C08D0" w14:textId="77777777" w:rsidR="00C45646" w:rsidRPr="0053375F" w:rsidRDefault="00C45646" w:rsidP="00C45646">
      <w:pPr>
        <w:autoSpaceDE w:val="0"/>
        <w:autoSpaceDN w:val="0"/>
        <w:adjustRightInd w:val="0"/>
        <w:rPr>
          <w:sz w:val="22"/>
          <w:szCs w:val="22"/>
        </w:rPr>
      </w:pPr>
    </w:p>
    <w:p w14:paraId="633AE6BB"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Medicininė apžiūra (tolesnis stebėjimas)</w:t>
      </w:r>
    </w:p>
    <w:p w14:paraId="65B28599"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Prieš pirmąjį arba kartotinį PHT ar </w:t>
      </w:r>
      <w:proofErr w:type="spellStart"/>
      <w:r w:rsidRPr="0053375F">
        <w:rPr>
          <w:sz w:val="22"/>
          <w:szCs w:val="22"/>
        </w:rPr>
        <w:t>tibolono</w:t>
      </w:r>
      <w:proofErr w:type="spellEnd"/>
      <w:r w:rsidRPr="0053375F">
        <w:rPr>
          <w:sz w:val="22"/>
          <w:szCs w:val="22"/>
        </w:rPr>
        <w:t xml:space="preserve"> skyrimą turi būti surinkta asmens ir šeimos ligos </w:t>
      </w:r>
      <w:proofErr w:type="spellStart"/>
      <w:r w:rsidRPr="0053375F">
        <w:rPr>
          <w:sz w:val="22"/>
          <w:szCs w:val="22"/>
        </w:rPr>
        <w:t>anamnezė</w:t>
      </w:r>
      <w:proofErr w:type="spellEnd"/>
      <w:r w:rsidRPr="0053375F">
        <w:rPr>
          <w:sz w:val="22"/>
          <w:szCs w:val="22"/>
        </w:rPr>
        <w:t xml:space="preserve">. Paskui reikia atlikti fizinį (taip pat mažojo dubens organų bei krūtų) tyrimą, įvertinti kontraindikacijas gydymui bei atsargumo priemones. Gydymo metu rekomenduojamos periodinės apžiūros, kurių dažnumas kiekvienai pacientei parenkamas individualiai. Moteriai reikia nurodyti, apie kokius krūtų pokyčius ji turėtų informuoti gydytoją arba slaugytoją (žr. toliau “Krūties vėžys”). Tyrimai, įskaitant atitinkamus radiologinius metodus, tokius kaip </w:t>
      </w:r>
      <w:proofErr w:type="spellStart"/>
      <w:r w:rsidRPr="0053375F">
        <w:rPr>
          <w:sz w:val="22"/>
          <w:szCs w:val="22"/>
        </w:rPr>
        <w:t>mamografija</w:t>
      </w:r>
      <w:proofErr w:type="spellEnd"/>
      <w:r w:rsidRPr="0053375F">
        <w:rPr>
          <w:sz w:val="22"/>
          <w:szCs w:val="22"/>
        </w:rPr>
        <w:t>, turi būti atliekami vadovaujantis šiuolaikine rekomenduojama pacientės stebėjimo praktika ir atsižvelgiant į individualų klinikinį poreikį.</w:t>
      </w:r>
    </w:p>
    <w:p w14:paraId="0CBC2D7B" w14:textId="77777777" w:rsidR="00C45646" w:rsidRPr="0053375F" w:rsidRDefault="00C45646" w:rsidP="00C45646">
      <w:pPr>
        <w:autoSpaceDE w:val="0"/>
        <w:autoSpaceDN w:val="0"/>
        <w:adjustRightInd w:val="0"/>
        <w:rPr>
          <w:sz w:val="22"/>
          <w:szCs w:val="22"/>
        </w:rPr>
      </w:pPr>
    </w:p>
    <w:p w14:paraId="2A297491" w14:textId="77777777" w:rsidR="00C45646" w:rsidRPr="0053375F" w:rsidRDefault="00C45646" w:rsidP="00186A14">
      <w:pPr>
        <w:keepNext/>
        <w:keepLines/>
        <w:autoSpaceDE w:val="0"/>
        <w:autoSpaceDN w:val="0"/>
        <w:adjustRightInd w:val="0"/>
        <w:outlineLvl w:val="0"/>
        <w:rPr>
          <w:sz w:val="22"/>
          <w:szCs w:val="22"/>
        </w:rPr>
      </w:pPr>
      <w:r w:rsidRPr="0053375F">
        <w:rPr>
          <w:sz w:val="22"/>
          <w:szCs w:val="22"/>
          <w:u w:val="single"/>
        </w:rPr>
        <w:t>Būklės, kurioms esant pacientes būtina stebėti</w:t>
      </w:r>
    </w:p>
    <w:p w14:paraId="1369B0F3" w14:textId="77777777" w:rsidR="00C45646" w:rsidRPr="0053375F" w:rsidRDefault="00C45646" w:rsidP="00C45646">
      <w:pPr>
        <w:keepNext/>
        <w:keepLines/>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Reikia atidžiai stebėti pacientę, jeigu bet kuri toliau nurodyta būklė yra, buvo anksčiau ir (arba) pasunkėjo nėštumo laikotarpiu arba anksčiau gydant hormonais. Reikia prisiminti, jog, vartojant </w:t>
      </w:r>
      <w:proofErr w:type="spellStart"/>
      <w:r w:rsidRPr="0053375F">
        <w:rPr>
          <w:sz w:val="22"/>
          <w:szCs w:val="22"/>
        </w:rPr>
        <w:t>Livial</w:t>
      </w:r>
      <w:proofErr w:type="spellEnd"/>
      <w:r w:rsidRPr="0053375F">
        <w:rPr>
          <w:sz w:val="22"/>
          <w:szCs w:val="22"/>
        </w:rPr>
        <w:t>, šios būklės gali vėl atsirasti arba pasunkėti, ypač:</w:t>
      </w:r>
    </w:p>
    <w:p w14:paraId="58B61EB0"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r>
      <w:proofErr w:type="spellStart"/>
      <w:r w:rsidRPr="0053375F">
        <w:rPr>
          <w:sz w:val="22"/>
          <w:szCs w:val="22"/>
        </w:rPr>
        <w:t>lejomioma</w:t>
      </w:r>
      <w:proofErr w:type="spellEnd"/>
      <w:r w:rsidRPr="0053375F">
        <w:rPr>
          <w:sz w:val="22"/>
          <w:szCs w:val="22"/>
        </w:rPr>
        <w:t xml:space="preserve"> (gimdos </w:t>
      </w:r>
      <w:proofErr w:type="spellStart"/>
      <w:r w:rsidRPr="0053375F">
        <w:rPr>
          <w:sz w:val="22"/>
          <w:szCs w:val="22"/>
        </w:rPr>
        <w:t>fibroma</w:t>
      </w:r>
      <w:proofErr w:type="spellEnd"/>
      <w:r w:rsidRPr="0053375F">
        <w:rPr>
          <w:sz w:val="22"/>
          <w:szCs w:val="22"/>
        </w:rPr>
        <w:t>) arba endometriozė;</w:t>
      </w:r>
    </w:p>
    <w:p w14:paraId="5DC4198E" w14:textId="77777777" w:rsidR="00C45646" w:rsidRPr="0053375F" w:rsidRDefault="00C45646" w:rsidP="00C45646">
      <w:pPr>
        <w:autoSpaceDE w:val="0"/>
        <w:autoSpaceDN w:val="0"/>
        <w:adjustRightInd w:val="0"/>
        <w:ind w:left="1080" w:hanging="540"/>
        <w:rPr>
          <w:sz w:val="22"/>
          <w:szCs w:val="22"/>
        </w:rPr>
      </w:pPr>
      <w:r w:rsidRPr="0053375F">
        <w:rPr>
          <w:sz w:val="22"/>
          <w:szCs w:val="22"/>
        </w:rPr>
        <w:lastRenderedPageBreak/>
        <w:t>-</w:t>
      </w:r>
      <w:r w:rsidRPr="0053375F">
        <w:rPr>
          <w:sz w:val="22"/>
          <w:szCs w:val="22"/>
        </w:rPr>
        <w:tab/>
      </w:r>
      <w:proofErr w:type="spellStart"/>
      <w:r w:rsidRPr="0053375F">
        <w:rPr>
          <w:sz w:val="22"/>
          <w:szCs w:val="22"/>
        </w:rPr>
        <w:t>tromboembolinių</w:t>
      </w:r>
      <w:proofErr w:type="spellEnd"/>
      <w:r w:rsidRPr="0053375F">
        <w:rPr>
          <w:sz w:val="22"/>
          <w:szCs w:val="22"/>
        </w:rPr>
        <w:t xml:space="preserve"> sutrikimų rizikos veiksniai (žr. toliau);</w:t>
      </w:r>
    </w:p>
    <w:p w14:paraId="471551B3"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rizikos veiksniai, nuo estrogenų priklausomiems navikams išsivystyti, pavyzdžiui, 1-ojo laipsnio krūties vėžio paveldimumas;</w:t>
      </w:r>
    </w:p>
    <w:p w14:paraId="17EC1633"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hipertenzija;</w:t>
      </w:r>
    </w:p>
    <w:p w14:paraId="571C51A8"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kepenų sutrikimai (pvz., kepenų adenoma);</w:t>
      </w:r>
    </w:p>
    <w:p w14:paraId="74757D88"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cukrinis diabetas, esant kraujagyslių pažeidimui arba be jo;</w:t>
      </w:r>
    </w:p>
    <w:p w14:paraId="5A5DD300"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tulžies pūslės akmenligė;</w:t>
      </w:r>
    </w:p>
    <w:p w14:paraId="5C7485EF"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migrena arba (sunkus) galvos skausmas;</w:t>
      </w:r>
    </w:p>
    <w:p w14:paraId="7D4300FB"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sisteminė raudonoji vilkligė;</w:t>
      </w:r>
    </w:p>
    <w:p w14:paraId="0E899140"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 xml:space="preserve">buvusi </w:t>
      </w:r>
      <w:proofErr w:type="spellStart"/>
      <w:r w:rsidRPr="0053375F">
        <w:rPr>
          <w:sz w:val="22"/>
          <w:szCs w:val="22"/>
        </w:rPr>
        <w:t>endometriumo</w:t>
      </w:r>
      <w:proofErr w:type="spellEnd"/>
      <w:r w:rsidRPr="0053375F">
        <w:rPr>
          <w:sz w:val="22"/>
          <w:szCs w:val="22"/>
        </w:rPr>
        <w:t xml:space="preserve"> </w:t>
      </w:r>
      <w:proofErr w:type="spellStart"/>
      <w:r w:rsidRPr="0053375F">
        <w:rPr>
          <w:sz w:val="22"/>
          <w:szCs w:val="22"/>
        </w:rPr>
        <w:t>hiperplazija</w:t>
      </w:r>
      <w:proofErr w:type="spellEnd"/>
      <w:r w:rsidRPr="0053375F">
        <w:rPr>
          <w:sz w:val="22"/>
          <w:szCs w:val="22"/>
        </w:rPr>
        <w:t xml:space="preserve"> (žr. toliau);</w:t>
      </w:r>
    </w:p>
    <w:p w14:paraId="4E9605A9"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epilepsija;</w:t>
      </w:r>
    </w:p>
    <w:p w14:paraId="6C64142F"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t>astma;</w:t>
      </w:r>
    </w:p>
    <w:p w14:paraId="56674F93" w14:textId="77777777" w:rsidR="00C45646" w:rsidRPr="0053375F" w:rsidRDefault="00C45646" w:rsidP="00C45646">
      <w:pPr>
        <w:autoSpaceDE w:val="0"/>
        <w:autoSpaceDN w:val="0"/>
        <w:adjustRightInd w:val="0"/>
        <w:ind w:left="1080" w:hanging="540"/>
        <w:rPr>
          <w:sz w:val="22"/>
          <w:szCs w:val="22"/>
        </w:rPr>
      </w:pPr>
      <w:r w:rsidRPr="0053375F">
        <w:rPr>
          <w:sz w:val="22"/>
          <w:szCs w:val="22"/>
        </w:rPr>
        <w:t>-</w:t>
      </w:r>
      <w:r w:rsidRPr="0053375F">
        <w:rPr>
          <w:sz w:val="22"/>
          <w:szCs w:val="22"/>
        </w:rPr>
        <w:tab/>
      </w:r>
      <w:proofErr w:type="spellStart"/>
      <w:r w:rsidRPr="0053375F">
        <w:rPr>
          <w:sz w:val="22"/>
          <w:szCs w:val="22"/>
        </w:rPr>
        <w:t>otosklerozė</w:t>
      </w:r>
      <w:proofErr w:type="spellEnd"/>
      <w:r w:rsidRPr="0053375F">
        <w:rPr>
          <w:sz w:val="22"/>
          <w:szCs w:val="22"/>
        </w:rPr>
        <w:t>.</w:t>
      </w:r>
    </w:p>
    <w:p w14:paraId="5464A806" w14:textId="77777777" w:rsidR="00C45646" w:rsidRPr="0053375F" w:rsidRDefault="00C45646" w:rsidP="00C45646">
      <w:pPr>
        <w:autoSpaceDE w:val="0"/>
        <w:autoSpaceDN w:val="0"/>
        <w:adjustRightInd w:val="0"/>
        <w:rPr>
          <w:sz w:val="22"/>
          <w:szCs w:val="22"/>
        </w:rPr>
      </w:pPr>
    </w:p>
    <w:p w14:paraId="348EBE0E"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Priežastys, dėl kurių gydymą reikia nedelsiant nutraukti</w:t>
      </w:r>
    </w:p>
    <w:p w14:paraId="631DEAB0" w14:textId="77777777" w:rsidR="00C45646" w:rsidRPr="0053375F" w:rsidRDefault="00C45646" w:rsidP="00C45646">
      <w:pPr>
        <w:autoSpaceDE w:val="0"/>
        <w:autoSpaceDN w:val="0"/>
        <w:adjustRightInd w:val="0"/>
        <w:outlineLvl w:val="0"/>
        <w:rPr>
          <w:sz w:val="22"/>
          <w:szCs w:val="22"/>
        </w:rPr>
      </w:pPr>
      <w:r w:rsidRPr="0053375F">
        <w:rPr>
          <w:sz w:val="22"/>
          <w:szCs w:val="22"/>
        </w:rPr>
        <w:t>Gydymą reikia nedelsiant nutraukti, jei atsiranda kontraindikacijų ar šios situacijos:</w:t>
      </w:r>
    </w:p>
    <w:p w14:paraId="0DC14658"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napToGrid w:val="0"/>
          <w:sz w:val="22"/>
          <w:szCs w:val="22"/>
        </w:rPr>
        <w:t>g</w:t>
      </w:r>
      <w:r w:rsidRPr="0053375F">
        <w:rPr>
          <w:sz w:val="22"/>
          <w:szCs w:val="22"/>
        </w:rPr>
        <w:t>elta arba pablogėja kepenų funkcija;</w:t>
      </w:r>
    </w:p>
    <w:p w14:paraId="4AB460BB"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labai padidėja kraujospūdis;</w:t>
      </w:r>
    </w:p>
    <w:p w14:paraId="04EFB9B5"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naujai prasideda </w:t>
      </w:r>
      <w:proofErr w:type="spellStart"/>
      <w:r w:rsidRPr="0053375F">
        <w:rPr>
          <w:sz w:val="22"/>
          <w:szCs w:val="22"/>
        </w:rPr>
        <w:t>migreninis</w:t>
      </w:r>
      <w:proofErr w:type="spellEnd"/>
      <w:r w:rsidRPr="0053375F">
        <w:rPr>
          <w:sz w:val="22"/>
          <w:szCs w:val="22"/>
        </w:rPr>
        <w:t xml:space="preserve"> galvos skausmas.</w:t>
      </w:r>
    </w:p>
    <w:p w14:paraId="7BB40B13" w14:textId="77777777" w:rsidR="00C45646" w:rsidRPr="0053375F" w:rsidRDefault="00C45646" w:rsidP="00C45646">
      <w:pPr>
        <w:autoSpaceDE w:val="0"/>
        <w:autoSpaceDN w:val="0"/>
        <w:adjustRightInd w:val="0"/>
        <w:rPr>
          <w:sz w:val="22"/>
          <w:szCs w:val="22"/>
        </w:rPr>
      </w:pPr>
    </w:p>
    <w:p w14:paraId="4519CC31" w14:textId="77777777" w:rsidR="00C45646" w:rsidRPr="0053375F" w:rsidRDefault="00C45646" w:rsidP="00186A14">
      <w:pPr>
        <w:autoSpaceDE w:val="0"/>
        <w:autoSpaceDN w:val="0"/>
        <w:adjustRightInd w:val="0"/>
        <w:outlineLvl w:val="0"/>
        <w:rPr>
          <w:sz w:val="22"/>
          <w:szCs w:val="22"/>
        </w:rPr>
      </w:pPr>
      <w:proofErr w:type="spellStart"/>
      <w:r w:rsidRPr="0053375F">
        <w:rPr>
          <w:sz w:val="22"/>
          <w:szCs w:val="22"/>
          <w:u w:val="single"/>
        </w:rPr>
        <w:t>Endometriumo</w:t>
      </w:r>
      <w:proofErr w:type="spellEnd"/>
      <w:r w:rsidRPr="0053375F">
        <w:rPr>
          <w:sz w:val="22"/>
          <w:szCs w:val="22"/>
          <w:u w:val="single"/>
        </w:rPr>
        <w:t xml:space="preserve"> </w:t>
      </w:r>
      <w:proofErr w:type="spellStart"/>
      <w:r w:rsidRPr="0053375F">
        <w:rPr>
          <w:sz w:val="22"/>
          <w:szCs w:val="22"/>
          <w:u w:val="single"/>
        </w:rPr>
        <w:t>hiperplazija</w:t>
      </w:r>
      <w:proofErr w:type="spellEnd"/>
      <w:r w:rsidRPr="0053375F">
        <w:rPr>
          <w:sz w:val="22"/>
          <w:szCs w:val="22"/>
          <w:u w:val="single"/>
        </w:rPr>
        <w:t xml:space="preserve"> ir </w:t>
      </w:r>
      <w:proofErr w:type="spellStart"/>
      <w:r w:rsidRPr="0053375F">
        <w:rPr>
          <w:sz w:val="22"/>
          <w:szCs w:val="22"/>
          <w:u w:val="single"/>
        </w:rPr>
        <w:t>karcinoma</w:t>
      </w:r>
      <w:proofErr w:type="spellEnd"/>
    </w:p>
    <w:p w14:paraId="09BB4A0C"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Turimi atsitiktinių imčių kontroliuojamųjų klinikinių tyrimų duomenys yra prieštaringi, visgi stebėjimo tyrimai akivaizdžiai parodė, kad moterims, kurioms įprastine tvarka skiriamas </w:t>
      </w:r>
      <w:proofErr w:type="spellStart"/>
      <w:r w:rsidRPr="0053375F">
        <w:rPr>
          <w:sz w:val="22"/>
          <w:szCs w:val="22"/>
        </w:rPr>
        <w:t>Livial</w:t>
      </w:r>
      <w:proofErr w:type="spellEnd"/>
      <w:r w:rsidRPr="0053375F">
        <w:rPr>
          <w:sz w:val="22"/>
          <w:szCs w:val="22"/>
        </w:rPr>
        <w:t xml:space="preserve">, rizika, kad bus diagnozuotas </w:t>
      </w:r>
      <w:proofErr w:type="spellStart"/>
      <w:r w:rsidRPr="0053375F">
        <w:rPr>
          <w:sz w:val="22"/>
          <w:szCs w:val="22"/>
        </w:rPr>
        <w:t>endometriumo</w:t>
      </w:r>
      <w:proofErr w:type="spellEnd"/>
      <w:r w:rsidRPr="0053375F">
        <w:rPr>
          <w:sz w:val="22"/>
          <w:szCs w:val="22"/>
        </w:rPr>
        <w:t xml:space="preserve"> vėžys, padidėja (taip pat žr. 4.8 skyrių). Šių tyrimų duomenimis, rizika didėja ilgėjant gydymo trukmei. Vartojant </w:t>
      </w:r>
      <w:proofErr w:type="spellStart"/>
      <w:r w:rsidRPr="0053375F">
        <w:rPr>
          <w:sz w:val="22"/>
          <w:szCs w:val="22"/>
        </w:rPr>
        <w:t>tiboloną</w:t>
      </w:r>
      <w:proofErr w:type="spellEnd"/>
      <w:r w:rsidRPr="0053375F">
        <w:rPr>
          <w:sz w:val="22"/>
          <w:szCs w:val="22"/>
        </w:rPr>
        <w:t xml:space="preserve">, </w:t>
      </w:r>
      <w:proofErr w:type="spellStart"/>
      <w:r w:rsidRPr="0053375F">
        <w:rPr>
          <w:sz w:val="22"/>
          <w:szCs w:val="22"/>
        </w:rPr>
        <w:t>transvaginaliniu</w:t>
      </w:r>
      <w:proofErr w:type="spellEnd"/>
      <w:r w:rsidRPr="0053375F">
        <w:rPr>
          <w:sz w:val="22"/>
          <w:szCs w:val="22"/>
        </w:rPr>
        <w:t xml:space="preserve"> ultragarsu išmatuojama storesnė gimdos gleivinė.</w:t>
      </w:r>
    </w:p>
    <w:p w14:paraId="71146474"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Pirmaisiais gydymo mėnesiais gali nereguliariai kraujuoti ar teplioti (žr. 5.1 skyrių). Moteriai reikia patarti pranešti savo gydytojui, jeigu nereguliarus kraujavimas ar tepliojimas tęsiasi praėjus 6 mėnesiams nuo gydymo pradžios, prasideda vėliau nei po šio laikotarpio arba tęsiasi nutraukus gydymą. Moteriai reikia atlikti ginekologinį tyrimą, įskaitant </w:t>
      </w:r>
      <w:proofErr w:type="spellStart"/>
      <w:r w:rsidRPr="0053375F">
        <w:rPr>
          <w:sz w:val="22"/>
          <w:szCs w:val="22"/>
        </w:rPr>
        <w:t>endometriumo</w:t>
      </w:r>
      <w:proofErr w:type="spellEnd"/>
      <w:r w:rsidRPr="0053375F">
        <w:rPr>
          <w:sz w:val="22"/>
          <w:szCs w:val="22"/>
        </w:rPr>
        <w:t xml:space="preserve"> biopsiją, bei paneigti piktybinio </w:t>
      </w:r>
      <w:proofErr w:type="spellStart"/>
      <w:r w:rsidRPr="0053375F">
        <w:rPr>
          <w:sz w:val="22"/>
          <w:szCs w:val="22"/>
        </w:rPr>
        <w:t>endometriumo</w:t>
      </w:r>
      <w:proofErr w:type="spellEnd"/>
      <w:r w:rsidRPr="0053375F">
        <w:rPr>
          <w:sz w:val="22"/>
          <w:szCs w:val="22"/>
        </w:rPr>
        <w:t xml:space="preserve"> naviko diagnozę.</w:t>
      </w:r>
    </w:p>
    <w:p w14:paraId="365EBBE3" w14:textId="77777777" w:rsidR="00C45646" w:rsidRPr="0053375F" w:rsidRDefault="00C45646" w:rsidP="00C45646">
      <w:pPr>
        <w:autoSpaceDE w:val="0"/>
        <w:autoSpaceDN w:val="0"/>
        <w:adjustRightInd w:val="0"/>
        <w:rPr>
          <w:sz w:val="22"/>
          <w:szCs w:val="22"/>
        </w:rPr>
      </w:pPr>
    </w:p>
    <w:p w14:paraId="6B5AD625"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Krūties vėžys</w:t>
      </w:r>
    </w:p>
    <w:p w14:paraId="28743CEF" w14:textId="50079B5E" w:rsidR="006D7935" w:rsidRDefault="006D7935" w:rsidP="00C45646">
      <w:pPr>
        <w:numPr>
          <w:ilvl w:val="0"/>
          <w:numId w:val="1"/>
        </w:numPr>
        <w:tabs>
          <w:tab w:val="clear" w:pos="360"/>
          <w:tab w:val="num" w:pos="540"/>
        </w:tabs>
        <w:autoSpaceDE w:val="0"/>
        <w:autoSpaceDN w:val="0"/>
        <w:adjustRightInd w:val="0"/>
        <w:ind w:left="540" w:hanging="540"/>
        <w:rPr>
          <w:sz w:val="22"/>
          <w:szCs w:val="22"/>
        </w:rPr>
      </w:pPr>
      <w:r w:rsidRPr="006D7935">
        <w:rPr>
          <w:sz w:val="22"/>
          <w:szCs w:val="22"/>
        </w:rPr>
        <w:t xml:space="preserve">Atlikus epidemiologinių tyrimų, įskaitant milijono moterų tyrimą (angl. </w:t>
      </w:r>
      <w:r w:rsidRPr="00A6584F">
        <w:rPr>
          <w:sz w:val="22"/>
        </w:rPr>
        <w:t>MWS</w:t>
      </w:r>
      <w:r w:rsidRPr="006D7935">
        <w:rPr>
          <w:sz w:val="22"/>
          <w:szCs w:val="22"/>
        </w:rPr>
        <w:t xml:space="preserve">), </w:t>
      </w:r>
      <w:proofErr w:type="spellStart"/>
      <w:r w:rsidRPr="006D7935">
        <w:rPr>
          <w:sz w:val="22"/>
          <w:szCs w:val="22"/>
        </w:rPr>
        <w:t>metaanalizę</w:t>
      </w:r>
      <w:proofErr w:type="spellEnd"/>
      <w:r w:rsidRPr="006D7935">
        <w:rPr>
          <w:sz w:val="22"/>
          <w:szCs w:val="22"/>
        </w:rPr>
        <w:t>, nustatytas reikšmingas krūties vėžio rizikos padidėjimas, siejamas su 2,5 mg dozės vartojimu.</w:t>
      </w:r>
      <w:r w:rsidR="00C45646" w:rsidRPr="0053375F">
        <w:rPr>
          <w:sz w:val="22"/>
          <w:szCs w:val="22"/>
        </w:rPr>
        <w:t xml:space="preserve"> Ši rizika išryškėjo per </w:t>
      </w:r>
      <w:r>
        <w:rPr>
          <w:sz w:val="22"/>
          <w:szCs w:val="22"/>
        </w:rPr>
        <w:t xml:space="preserve">trejus </w:t>
      </w:r>
      <w:r w:rsidRPr="006D7935">
        <w:rPr>
          <w:sz w:val="22"/>
          <w:szCs w:val="22"/>
        </w:rPr>
        <w:t>šio vaistinio preparato vartojimo metus ir, kuo ilgiau vaistas buvo vartojamas, tuo ši rizika buvo didesnė (žr. 4.8 skyrių)</w:t>
      </w:r>
      <w:r w:rsidR="00C45646" w:rsidRPr="0053375F">
        <w:rPr>
          <w:sz w:val="22"/>
          <w:szCs w:val="22"/>
        </w:rPr>
        <w:t>.</w:t>
      </w:r>
      <w:r>
        <w:rPr>
          <w:sz w:val="22"/>
          <w:szCs w:val="22"/>
        </w:rPr>
        <w:t xml:space="preserve"> </w:t>
      </w:r>
      <w:r w:rsidRPr="006D7935">
        <w:rPr>
          <w:sz w:val="22"/>
          <w:szCs w:val="22"/>
        </w:rPr>
        <w:t>Nutraukus gydymą, ši padidėjusi rizika ilgainiui sumažės, o laikas, per kurį ji sumažėja iki pradinio lygio, priklauso nuo anksčiau taikytos PHT trukmės. Jeigu PHT taikyta ilgiau kaip 5 metus, tokia rizika gali išlikti 10 metų ir ilgiau.</w:t>
      </w:r>
      <w:r>
        <w:rPr>
          <w:sz w:val="22"/>
          <w:szCs w:val="22"/>
        </w:rPr>
        <w:t xml:space="preserve"> </w:t>
      </w:r>
    </w:p>
    <w:p w14:paraId="16D62BC0" w14:textId="57B8409D" w:rsidR="00C45646" w:rsidRPr="0053375F" w:rsidRDefault="006D7935" w:rsidP="004D3446">
      <w:pPr>
        <w:autoSpaceDE w:val="0"/>
        <w:autoSpaceDN w:val="0"/>
        <w:adjustRightInd w:val="0"/>
        <w:ind w:left="540"/>
        <w:rPr>
          <w:sz w:val="22"/>
          <w:szCs w:val="22"/>
        </w:rPr>
      </w:pPr>
      <w:r w:rsidRPr="006D7935">
        <w:rPr>
          <w:sz w:val="22"/>
          <w:szCs w:val="22"/>
        </w:rPr>
        <w:t xml:space="preserve">Duomenų apie tai, kiek tokia rizika išlieka nutraukus </w:t>
      </w:r>
      <w:proofErr w:type="spellStart"/>
      <w:r w:rsidRPr="006D7935">
        <w:rPr>
          <w:sz w:val="22"/>
          <w:szCs w:val="22"/>
        </w:rPr>
        <w:t>tibolono</w:t>
      </w:r>
      <w:proofErr w:type="spellEnd"/>
      <w:r w:rsidRPr="006D7935">
        <w:rPr>
          <w:sz w:val="22"/>
          <w:szCs w:val="22"/>
        </w:rPr>
        <w:t xml:space="preserve"> vartojimą, nėra, bet negalima atmesti panašaus išliekančios rizikos pobūdžio.</w:t>
      </w:r>
    </w:p>
    <w:p w14:paraId="31592437" w14:textId="77777777" w:rsidR="00C45646" w:rsidRPr="0053375F" w:rsidRDefault="00C45646" w:rsidP="00C45646">
      <w:pPr>
        <w:autoSpaceDE w:val="0"/>
        <w:autoSpaceDN w:val="0"/>
        <w:adjustRightInd w:val="0"/>
        <w:rPr>
          <w:sz w:val="22"/>
          <w:szCs w:val="22"/>
        </w:rPr>
      </w:pPr>
    </w:p>
    <w:p w14:paraId="43CF260D" w14:textId="77777777" w:rsidR="00C45646" w:rsidRPr="0053375F" w:rsidRDefault="00C45646" w:rsidP="00C45646">
      <w:pPr>
        <w:autoSpaceDE w:val="0"/>
        <w:autoSpaceDN w:val="0"/>
        <w:adjustRightInd w:val="0"/>
        <w:rPr>
          <w:sz w:val="22"/>
          <w:szCs w:val="22"/>
        </w:rPr>
      </w:pPr>
      <w:r w:rsidRPr="0053375F">
        <w:rPr>
          <w:sz w:val="22"/>
          <w:szCs w:val="22"/>
          <w:u w:val="single"/>
        </w:rPr>
        <w:t>Kiaušidžių vėžys</w:t>
      </w:r>
    </w:p>
    <w:p w14:paraId="7CF392EA" w14:textId="77777777" w:rsidR="006B70C2" w:rsidRDefault="00C45646" w:rsidP="00186A14">
      <w:pPr>
        <w:numPr>
          <w:ilvl w:val="0"/>
          <w:numId w:val="4"/>
        </w:numPr>
        <w:tabs>
          <w:tab w:val="clear" w:pos="1066"/>
          <w:tab w:val="num" w:pos="567"/>
        </w:tabs>
        <w:autoSpaceDE w:val="0"/>
        <w:autoSpaceDN w:val="0"/>
        <w:adjustRightInd w:val="0"/>
        <w:ind w:left="567" w:hanging="567"/>
        <w:rPr>
          <w:sz w:val="22"/>
          <w:szCs w:val="22"/>
        </w:rPr>
      </w:pPr>
      <w:r w:rsidRPr="0053375F">
        <w:rPr>
          <w:sz w:val="22"/>
          <w:szCs w:val="22"/>
        </w:rPr>
        <w:t>Kiaušidžių vėž</w:t>
      </w:r>
      <w:r w:rsidR="009B352E">
        <w:rPr>
          <w:sz w:val="22"/>
          <w:szCs w:val="22"/>
        </w:rPr>
        <w:t>iu sergama daug rečiau nei krūties vėžiu</w:t>
      </w:r>
      <w:r w:rsidRPr="0053375F">
        <w:rPr>
          <w:sz w:val="22"/>
          <w:szCs w:val="22"/>
        </w:rPr>
        <w:t xml:space="preserve">. </w:t>
      </w:r>
    </w:p>
    <w:p w14:paraId="2758252D" w14:textId="77777777" w:rsidR="006B70C2" w:rsidRDefault="006B70C2" w:rsidP="00186A14">
      <w:pPr>
        <w:autoSpaceDE w:val="0"/>
        <w:autoSpaceDN w:val="0"/>
        <w:adjustRightInd w:val="0"/>
        <w:ind w:left="567"/>
        <w:rPr>
          <w:sz w:val="22"/>
          <w:szCs w:val="22"/>
        </w:rPr>
      </w:pPr>
    </w:p>
    <w:p w14:paraId="7B970716" w14:textId="77777777" w:rsidR="009B352E" w:rsidRDefault="009B352E" w:rsidP="00186A14">
      <w:pPr>
        <w:autoSpaceDE w:val="0"/>
        <w:autoSpaceDN w:val="0"/>
        <w:adjustRightInd w:val="0"/>
        <w:ind w:left="567"/>
        <w:rPr>
          <w:sz w:val="22"/>
          <w:szCs w:val="22"/>
        </w:rPr>
      </w:pPr>
      <w:r w:rsidRPr="00186A14">
        <w:rPr>
          <w:sz w:val="22"/>
          <w:szCs w:val="22"/>
        </w:rPr>
        <w:t xml:space="preserve">Epidemiologiniai didelės </w:t>
      </w:r>
      <w:proofErr w:type="spellStart"/>
      <w:r w:rsidRPr="00186A14">
        <w:rPr>
          <w:sz w:val="22"/>
          <w:szCs w:val="22"/>
        </w:rPr>
        <w:t>metaanalizės</w:t>
      </w:r>
      <w:proofErr w:type="spellEnd"/>
      <w:r w:rsidRPr="00186A14">
        <w:rPr>
          <w:sz w:val="22"/>
          <w:szCs w:val="22"/>
        </w:rPr>
        <w:t xml:space="preserve"> duomenys leidžia manyti, kad moterims, kurios vartoja</w:t>
      </w:r>
      <w:r w:rsidRPr="006B70C2">
        <w:rPr>
          <w:sz w:val="22"/>
          <w:szCs w:val="22"/>
        </w:rPr>
        <w:t xml:space="preserve"> </w:t>
      </w:r>
      <w:r w:rsidRPr="00186A14">
        <w:rPr>
          <w:sz w:val="22"/>
          <w:szCs w:val="22"/>
        </w:rPr>
        <w:t xml:space="preserve">PHT preparatų su vienu estrogenu arba sudėtinių PHT preparatų, kuriuose yra estrogeno ir </w:t>
      </w:r>
      <w:proofErr w:type="spellStart"/>
      <w:r w:rsidRPr="00186A14">
        <w:rPr>
          <w:sz w:val="22"/>
          <w:szCs w:val="22"/>
        </w:rPr>
        <w:t>progestageno</w:t>
      </w:r>
      <w:proofErr w:type="spellEnd"/>
      <w:r w:rsidRPr="00186A14">
        <w:rPr>
          <w:sz w:val="22"/>
          <w:szCs w:val="22"/>
        </w:rPr>
        <w:t>, rizika, kuri pasireiškia per 5 šių preparatų vartojimo metus, būna šiek tiek didesnė ir ji, nustojus vartoti minėtų preparatų, per laiką sumažėja.</w:t>
      </w:r>
    </w:p>
    <w:p w14:paraId="6BF7CBBA" w14:textId="77777777" w:rsidR="006B70C2" w:rsidRPr="006B70C2" w:rsidRDefault="006B70C2" w:rsidP="00186A14">
      <w:pPr>
        <w:autoSpaceDE w:val="0"/>
        <w:autoSpaceDN w:val="0"/>
        <w:adjustRightInd w:val="0"/>
        <w:ind w:left="567"/>
        <w:rPr>
          <w:sz w:val="22"/>
          <w:szCs w:val="22"/>
        </w:rPr>
      </w:pPr>
    </w:p>
    <w:p w14:paraId="1C4F9EC6" w14:textId="77777777" w:rsidR="006B70C2" w:rsidRDefault="00C45646" w:rsidP="00186A14">
      <w:pPr>
        <w:autoSpaceDE w:val="0"/>
        <w:autoSpaceDN w:val="0"/>
        <w:adjustRightInd w:val="0"/>
        <w:ind w:left="567"/>
        <w:rPr>
          <w:sz w:val="22"/>
          <w:szCs w:val="22"/>
        </w:rPr>
      </w:pPr>
      <w:r w:rsidRPr="0053375F">
        <w:rPr>
          <w:sz w:val="22"/>
          <w:szCs w:val="22"/>
        </w:rPr>
        <w:t xml:space="preserve">Kai kurie </w:t>
      </w:r>
      <w:r w:rsidR="009B352E">
        <w:rPr>
          <w:sz w:val="22"/>
          <w:szCs w:val="22"/>
        </w:rPr>
        <w:t xml:space="preserve">kiti </w:t>
      </w:r>
      <w:r w:rsidRPr="0053375F">
        <w:rPr>
          <w:sz w:val="22"/>
          <w:szCs w:val="22"/>
        </w:rPr>
        <w:t xml:space="preserve">tyrimai, įskaitant Moterų sveikatos iniciatyvos </w:t>
      </w:r>
      <w:r w:rsidR="008150DB">
        <w:rPr>
          <w:sz w:val="22"/>
          <w:szCs w:val="22"/>
        </w:rPr>
        <w:t>MSI</w:t>
      </w:r>
      <w:r w:rsidRPr="0053375F">
        <w:rPr>
          <w:sz w:val="22"/>
          <w:szCs w:val="22"/>
        </w:rPr>
        <w:t xml:space="preserve"> (angl. </w:t>
      </w:r>
      <w:proofErr w:type="spellStart"/>
      <w:r w:rsidRPr="0053375F">
        <w:rPr>
          <w:i/>
          <w:sz w:val="22"/>
          <w:szCs w:val="22"/>
        </w:rPr>
        <w:t>Women's</w:t>
      </w:r>
      <w:proofErr w:type="spellEnd"/>
      <w:r w:rsidRPr="0053375F">
        <w:rPr>
          <w:i/>
          <w:sz w:val="22"/>
          <w:szCs w:val="22"/>
        </w:rPr>
        <w:t xml:space="preserve"> </w:t>
      </w:r>
      <w:proofErr w:type="spellStart"/>
      <w:r w:rsidRPr="0053375F">
        <w:rPr>
          <w:i/>
          <w:sz w:val="22"/>
          <w:szCs w:val="22"/>
        </w:rPr>
        <w:t>Health</w:t>
      </w:r>
      <w:proofErr w:type="spellEnd"/>
      <w:r w:rsidRPr="0053375F">
        <w:rPr>
          <w:i/>
          <w:sz w:val="22"/>
          <w:szCs w:val="22"/>
        </w:rPr>
        <w:t xml:space="preserve"> </w:t>
      </w:r>
      <w:proofErr w:type="spellStart"/>
      <w:r w:rsidRPr="0053375F">
        <w:rPr>
          <w:i/>
          <w:sz w:val="22"/>
          <w:szCs w:val="22"/>
        </w:rPr>
        <w:t>Initiative</w:t>
      </w:r>
      <w:proofErr w:type="spellEnd"/>
      <w:r w:rsidR="004A3D26">
        <w:rPr>
          <w:i/>
          <w:sz w:val="22"/>
          <w:szCs w:val="22"/>
        </w:rPr>
        <w:t>,</w:t>
      </w:r>
      <w:r w:rsidR="004A19B8">
        <w:rPr>
          <w:i/>
          <w:sz w:val="22"/>
          <w:szCs w:val="22"/>
        </w:rPr>
        <w:t xml:space="preserve"> </w:t>
      </w:r>
      <w:r w:rsidRPr="0053375F">
        <w:rPr>
          <w:i/>
          <w:sz w:val="22"/>
          <w:szCs w:val="22"/>
        </w:rPr>
        <w:t>WHI</w:t>
      </w:r>
      <w:r w:rsidRPr="0053375F">
        <w:rPr>
          <w:sz w:val="22"/>
          <w:szCs w:val="22"/>
        </w:rPr>
        <w:t>)</w:t>
      </w:r>
      <w:r w:rsidR="008150DB">
        <w:rPr>
          <w:sz w:val="22"/>
          <w:szCs w:val="22"/>
        </w:rPr>
        <w:t xml:space="preserve"> tyrimą</w:t>
      </w:r>
      <w:r w:rsidRPr="0053375F">
        <w:rPr>
          <w:sz w:val="22"/>
          <w:szCs w:val="22"/>
        </w:rPr>
        <w:t xml:space="preserve">, </w:t>
      </w:r>
      <w:r w:rsidR="009B352E">
        <w:rPr>
          <w:sz w:val="22"/>
          <w:szCs w:val="22"/>
        </w:rPr>
        <w:t>leidžia manyti</w:t>
      </w:r>
      <w:r w:rsidRPr="0053375F">
        <w:rPr>
          <w:sz w:val="22"/>
          <w:szCs w:val="22"/>
        </w:rPr>
        <w:t>, kad sudėtin</w:t>
      </w:r>
      <w:r w:rsidR="009B352E">
        <w:rPr>
          <w:sz w:val="22"/>
          <w:szCs w:val="22"/>
        </w:rPr>
        <w:t>ių</w:t>
      </w:r>
      <w:r w:rsidRPr="0053375F">
        <w:rPr>
          <w:sz w:val="22"/>
          <w:szCs w:val="22"/>
        </w:rPr>
        <w:t xml:space="preserve"> PHT </w:t>
      </w:r>
      <w:r w:rsidR="009B352E">
        <w:rPr>
          <w:sz w:val="22"/>
          <w:szCs w:val="22"/>
        </w:rPr>
        <w:t xml:space="preserve">preparatų </w:t>
      </w:r>
      <w:r w:rsidRPr="0053375F">
        <w:rPr>
          <w:sz w:val="22"/>
          <w:szCs w:val="22"/>
        </w:rPr>
        <w:t xml:space="preserve">vartojimas gali </w:t>
      </w:r>
      <w:r w:rsidR="009B352E">
        <w:rPr>
          <w:sz w:val="22"/>
          <w:szCs w:val="22"/>
        </w:rPr>
        <w:t xml:space="preserve">būti susijęs </w:t>
      </w:r>
      <w:r w:rsidR="00707DD4">
        <w:rPr>
          <w:sz w:val="22"/>
          <w:szCs w:val="22"/>
        </w:rPr>
        <w:t xml:space="preserve">su </w:t>
      </w:r>
      <w:r w:rsidR="009B352E">
        <w:rPr>
          <w:sz w:val="22"/>
          <w:szCs w:val="22"/>
        </w:rPr>
        <w:t>panašia</w:t>
      </w:r>
      <w:r w:rsidRPr="0053375F">
        <w:rPr>
          <w:sz w:val="22"/>
          <w:szCs w:val="22"/>
        </w:rPr>
        <w:t xml:space="preserve"> ar</w:t>
      </w:r>
      <w:r w:rsidR="009B352E">
        <w:rPr>
          <w:sz w:val="22"/>
          <w:szCs w:val="22"/>
        </w:rPr>
        <w:t>ba</w:t>
      </w:r>
      <w:r w:rsidRPr="0053375F">
        <w:rPr>
          <w:sz w:val="22"/>
          <w:szCs w:val="22"/>
        </w:rPr>
        <w:t xml:space="preserve"> šiek tiek mažesn</w:t>
      </w:r>
      <w:r w:rsidR="009B352E">
        <w:rPr>
          <w:sz w:val="22"/>
          <w:szCs w:val="22"/>
        </w:rPr>
        <w:t>e</w:t>
      </w:r>
      <w:r w:rsidRPr="0053375F">
        <w:rPr>
          <w:sz w:val="22"/>
          <w:szCs w:val="22"/>
        </w:rPr>
        <w:t xml:space="preserve"> rizik</w:t>
      </w:r>
      <w:r w:rsidR="00707DD4">
        <w:rPr>
          <w:sz w:val="22"/>
          <w:szCs w:val="22"/>
        </w:rPr>
        <w:t>a</w:t>
      </w:r>
      <w:r w:rsidRPr="0053375F">
        <w:rPr>
          <w:sz w:val="22"/>
          <w:szCs w:val="22"/>
        </w:rPr>
        <w:t xml:space="preserve"> (žr. 4.8 skyrių). </w:t>
      </w:r>
    </w:p>
    <w:p w14:paraId="358AE3AD" w14:textId="77777777" w:rsidR="006B70C2" w:rsidRDefault="006B70C2" w:rsidP="00186A14">
      <w:pPr>
        <w:autoSpaceDE w:val="0"/>
        <w:autoSpaceDN w:val="0"/>
        <w:adjustRightInd w:val="0"/>
        <w:ind w:left="567"/>
        <w:rPr>
          <w:sz w:val="22"/>
          <w:szCs w:val="22"/>
        </w:rPr>
      </w:pPr>
    </w:p>
    <w:p w14:paraId="2C4D4435" w14:textId="77777777" w:rsidR="00C45646" w:rsidRPr="0053375F" w:rsidRDefault="00707DD4" w:rsidP="00186A14">
      <w:pPr>
        <w:autoSpaceDE w:val="0"/>
        <w:autoSpaceDN w:val="0"/>
        <w:adjustRightInd w:val="0"/>
        <w:ind w:left="567"/>
        <w:rPr>
          <w:sz w:val="22"/>
          <w:szCs w:val="22"/>
        </w:rPr>
      </w:pPr>
      <w:r>
        <w:rPr>
          <w:sz w:val="22"/>
          <w:szCs w:val="22"/>
        </w:rPr>
        <w:t xml:space="preserve">Atlikus vadinamąjį </w:t>
      </w:r>
      <w:r w:rsidR="00C45646" w:rsidRPr="0053375F">
        <w:rPr>
          <w:sz w:val="22"/>
          <w:szCs w:val="22"/>
        </w:rPr>
        <w:t>Milijono moterų tyrim</w:t>
      </w:r>
      <w:r>
        <w:rPr>
          <w:sz w:val="22"/>
          <w:szCs w:val="22"/>
        </w:rPr>
        <w:t>ą, nustatyta</w:t>
      </w:r>
      <w:r w:rsidR="00C45646" w:rsidRPr="0053375F">
        <w:rPr>
          <w:sz w:val="22"/>
          <w:szCs w:val="22"/>
        </w:rPr>
        <w:t xml:space="preserve">, kad </w:t>
      </w:r>
      <w:r w:rsidR="00006581">
        <w:rPr>
          <w:sz w:val="22"/>
          <w:szCs w:val="22"/>
        </w:rPr>
        <w:t xml:space="preserve">vartojant </w:t>
      </w:r>
      <w:proofErr w:type="spellStart"/>
      <w:r w:rsidR="00006581">
        <w:rPr>
          <w:sz w:val="22"/>
          <w:szCs w:val="22"/>
        </w:rPr>
        <w:t>tiboloną</w:t>
      </w:r>
      <w:proofErr w:type="spellEnd"/>
      <w:r w:rsidR="00006581">
        <w:rPr>
          <w:sz w:val="22"/>
          <w:szCs w:val="22"/>
        </w:rPr>
        <w:t xml:space="preserve">, </w:t>
      </w:r>
      <w:r w:rsidR="00C45646" w:rsidRPr="0053375F">
        <w:rPr>
          <w:sz w:val="22"/>
          <w:szCs w:val="22"/>
        </w:rPr>
        <w:t xml:space="preserve">santykinė kiaušidžių vėžio rizika </w:t>
      </w:r>
      <w:r w:rsidR="00006581">
        <w:rPr>
          <w:sz w:val="22"/>
          <w:szCs w:val="22"/>
        </w:rPr>
        <w:t>yra</w:t>
      </w:r>
      <w:r w:rsidR="00006581" w:rsidRPr="0053375F">
        <w:rPr>
          <w:sz w:val="22"/>
          <w:szCs w:val="22"/>
        </w:rPr>
        <w:t xml:space="preserve"> </w:t>
      </w:r>
      <w:r w:rsidR="00C45646" w:rsidRPr="0053375F">
        <w:rPr>
          <w:sz w:val="22"/>
          <w:szCs w:val="22"/>
        </w:rPr>
        <w:t>panaši į riziką</w:t>
      </w:r>
      <w:r w:rsidR="00006581">
        <w:rPr>
          <w:sz w:val="22"/>
          <w:szCs w:val="22"/>
        </w:rPr>
        <w:t>, siejamą su kitų rūšių PHT preparatų vartojimu.</w:t>
      </w:r>
    </w:p>
    <w:p w14:paraId="2B3E6F5C" w14:textId="77777777" w:rsidR="00C45646" w:rsidRPr="0053375F" w:rsidRDefault="00C45646" w:rsidP="008150DB">
      <w:pPr>
        <w:autoSpaceDE w:val="0"/>
        <w:autoSpaceDN w:val="0"/>
        <w:adjustRightInd w:val="0"/>
        <w:ind w:left="567"/>
        <w:rPr>
          <w:sz w:val="22"/>
          <w:szCs w:val="22"/>
        </w:rPr>
      </w:pPr>
    </w:p>
    <w:p w14:paraId="1542E88D"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 xml:space="preserve">Venų </w:t>
      </w:r>
      <w:proofErr w:type="spellStart"/>
      <w:r w:rsidRPr="0053375F">
        <w:rPr>
          <w:sz w:val="22"/>
          <w:szCs w:val="22"/>
          <w:u w:val="single"/>
        </w:rPr>
        <w:t>tromboembolija</w:t>
      </w:r>
      <w:proofErr w:type="spellEnd"/>
    </w:p>
    <w:p w14:paraId="42E031AE"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Estrogenų ar estrogenų ir </w:t>
      </w:r>
      <w:proofErr w:type="spellStart"/>
      <w:r w:rsidRPr="0053375F">
        <w:rPr>
          <w:sz w:val="22"/>
          <w:szCs w:val="22"/>
        </w:rPr>
        <w:t>progestageno</w:t>
      </w:r>
      <w:proofErr w:type="spellEnd"/>
      <w:r w:rsidRPr="0053375F">
        <w:rPr>
          <w:sz w:val="22"/>
          <w:szCs w:val="22"/>
        </w:rPr>
        <w:t xml:space="preserve"> PHT yra susijusi su 1,3 – 3 kartus padidėjusia venų </w:t>
      </w:r>
      <w:proofErr w:type="spellStart"/>
      <w:r w:rsidRPr="0053375F">
        <w:rPr>
          <w:sz w:val="22"/>
          <w:szCs w:val="22"/>
        </w:rPr>
        <w:t>tromboembolijos</w:t>
      </w:r>
      <w:proofErr w:type="spellEnd"/>
      <w:r w:rsidRPr="0053375F">
        <w:rPr>
          <w:sz w:val="22"/>
          <w:szCs w:val="22"/>
        </w:rPr>
        <w:t xml:space="preserve"> (VTE) (t. y. giliųjų venų trombozės arba plaučių embolijos) rizika. Tokio reiškinio tikimybė yra didesnė pirmaisiais PHT metais, nei vėliau (žr. 4.8 skyrių). Epidemiologiniame tyrime naudojant Jungtinės Karalystės (JK) duomenų bazę nustatyta, kad su </w:t>
      </w:r>
      <w:proofErr w:type="spellStart"/>
      <w:r w:rsidRPr="0053375F">
        <w:rPr>
          <w:sz w:val="22"/>
          <w:szCs w:val="22"/>
        </w:rPr>
        <w:t>tibolono</w:t>
      </w:r>
      <w:proofErr w:type="spellEnd"/>
      <w:r w:rsidRPr="0053375F">
        <w:rPr>
          <w:sz w:val="22"/>
          <w:szCs w:val="22"/>
        </w:rPr>
        <w:t xml:space="preserve"> vartojimu susijęs VTE pavojus yra mažesnis, nei taikant įprastinę PHT, tačiau šiuo metu </w:t>
      </w:r>
      <w:proofErr w:type="spellStart"/>
      <w:r w:rsidRPr="0053375F">
        <w:rPr>
          <w:sz w:val="22"/>
          <w:szCs w:val="22"/>
        </w:rPr>
        <w:t>tiboloną</w:t>
      </w:r>
      <w:proofErr w:type="spellEnd"/>
      <w:r w:rsidRPr="0053375F">
        <w:rPr>
          <w:sz w:val="22"/>
          <w:szCs w:val="22"/>
        </w:rPr>
        <w:t xml:space="preserve"> vartoja tik nedidelė dalis moterų ir šiek tiek padidėjusios rizikos, lyginant su jo nevartojančiomis moterimis, atmesti negalima.</w:t>
      </w:r>
    </w:p>
    <w:p w14:paraId="2DDEAC7D"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Pacientėms, kurioms yra nustatyta </w:t>
      </w:r>
      <w:proofErr w:type="spellStart"/>
      <w:r w:rsidRPr="0053375F">
        <w:rPr>
          <w:sz w:val="22"/>
          <w:szCs w:val="22"/>
        </w:rPr>
        <w:t>trombofilija</w:t>
      </w:r>
      <w:proofErr w:type="spellEnd"/>
      <w:r w:rsidRPr="0053375F">
        <w:rPr>
          <w:sz w:val="22"/>
          <w:szCs w:val="22"/>
        </w:rPr>
        <w:t xml:space="preserve">, VTE rizika yra didesnė, o PHT ar </w:t>
      </w:r>
      <w:proofErr w:type="spellStart"/>
      <w:r w:rsidRPr="0053375F">
        <w:rPr>
          <w:sz w:val="22"/>
          <w:szCs w:val="22"/>
        </w:rPr>
        <w:t>tibolonas</w:t>
      </w:r>
      <w:proofErr w:type="spellEnd"/>
      <w:r w:rsidRPr="0053375F">
        <w:rPr>
          <w:sz w:val="22"/>
          <w:szCs w:val="22"/>
        </w:rPr>
        <w:t xml:space="preserve"> šią riziką gali dar padidinti. Dėl to tokioms pacientėms PHT skirti draudžiama (žr. 4.3 skyrių).</w:t>
      </w:r>
    </w:p>
    <w:p w14:paraId="528C0DCD"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Visuotinai pripažinti VTE rizikos veiksniai yra estrogenų vartojimas, vyresnis amžius, didelė chirurginė operacija, ilga </w:t>
      </w:r>
      <w:proofErr w:type="spellStart"/>
      <w:r w:rsidRPr="0053375F">
        <w:rPr>
          <w:sz w:val="22"/>
          <w:szCs w:val="22"/>
        </w:rPr>
        <w:t>imobilizacija</w:t>
      </w:r>
      <w:proofErr w:type="spellEnd"/>
      <w:r w:rsidRPr="0053375F">
        <w:rPr>
          <w:sz w:val="22"/>
          <w:szCs w:val="22"/>
        </w:rPr>
        <w:t>, nutukimas (KMI &gt; 30 kg/m</w:t>
      </w:r>
      <w:r w:rsidRPr="0053375F">
        <w:rPr>
          <w:sz w:val="22"/>
          <w:szCs w:val="22"/>
          <w:vertAlign w:val="superscript"/>
        </w:rPr>
        <w:t>2</w:t>
      </w:r>
      <w:r w:rsidRPr="0053375F">
        <w:rPr>
          <w:sz w:val="22"/>
          <w:szCs w:val="22"/>
        </w:rPr>
        <w:t xml:space="preserve">), nėštumas ar pogimdyminis laikotarpis, sisteminė raudonoji vilkligė (SRV) ir vėžys. Dėl galimo </w:t>
      </w:r>
      <w:proofErr w:type="spellStart"/>
      <w:r w:rsidRPr="0053375F">
        <w:rPr>
          <w:sz w:val="22"/>
          <w:szCs w:val="22"/>
        </w:rPr>
        <w:t>varikozinių</w:t>
      </w:r>
      <w:proofErr w:type="spellEnd"/>
      <w:r w:rsidRPr="0053375F">
        <w:rPr>
          <w:sz w:val="22"/>
          <w:szCs w:val="22"/>
        </w:rPr>
        <w:t xml:space="preserve"> venų vaidmens VTE vieningo sutarimo nėra. Visoms moterims po operacijos reikia taikyti VTE profilaktikos priemones. Jeigu po planinės operacijos reikės ilgalaikės </w:t>
      </w:r>
      <w:proofErr w:type="spellStart"/>
      <w:r w:rsidRPr="0053375F">
        <w:rPr>
          <w:sz w:val="22"/>
          <w:szCs w:val="22"/>
        </w:rPr>
        <w:t>imobilizacijos</w:t>
      </w:r>
      <w:proofErr w:type="spellEnd"/>
      <w:r w:rsidRPr="0053375F">
        <w:rPr>
          <w:sz w:val="22"/>
          <w:szCs w:val="22"/>
        </w:rPr>
        <w:t>, rekomenduojama likus 4</w:t>
      </w:r>
      <w:r w:rsidRPr="0053375F">
        <w:rPr>
          <w:sz w:val="22"/>
          <w:szCs w:val="22"/>
        </w:rPr>
        <w:noBreakHyphen/>
        <w:t xml:space="preserve">6 savaitėms iki operacijos PHT ar </w:t>
      </w:r>
      <w:proofErr w:type="spellStart"/>
      <w:r w:rsidRPr="0053375F">
        <w:rPr>
          <w:sz w:val="22"/>
          <w:szCs w:val="22"/>
        </w:rPr>
        <w:t>tibolono</w:t>
      </w:r>
      <w:proofErr w:type="spellEnd"/>
      <w:r w:rsidRPr="0053375F">
        <w:rPr>
          <w:sz w:val="22"/>
          <w:szCs w:val="22"/>
        </w:rPr>
        <w:t xml:space="preserve"> vartojimą laikinai nutraukti. Gydymo atnaujinti negalima kol moters judėjimas visiškai neatsistato.</w:t>
      </w:r>
    </w:p>
    <w:p w14:paraId="61FA5BDE" w14:textId="77777777" w:rsidR="00C45646" w:rsidRPr="0053375F" w:rsidRDefault="00C45646" w:rsidP="00C45646">
      <w:pPr>
        <w:numPr>
          <w:ilvl w:val="0"/>
          <w:numId w:val="1"/>
        </w:numPr>
        <w:tabs>
          <w:tab w:val="clear" w:pos="360"/>
          <w:tab w:val="num" w:pos="567"/>
        </w:tabs>
        <w:ind w:left="567" w:hanging="567"/>
        <w:rPr>
          <w:sz w:val="22"/>
          <w:szCs w:val="22"/>
        </w:rPr>
      </w:pPr>
      <w:r w:rsidRPr="0053375F">
        <w:rPr>
          <w:sz w:val="22"/>
          <w:szCs w:val="22"/>
        </w:rPr>
        <w:t xml:space="preserve">VTE nesirgusioms moterims, turinčioms jauname amžiuje tromboze sirgusių pirmos eilės giminaičių, galima pasiūlyti patikrą, prieš tai kruopščiai aptarus jos ribotumą (būtų nustatyta tik dalis </w:t>
      </w:r>
      <w:proofErr w:type="spellStart"/>
      <w:r w:rsidRPr="0053375F">
        <w:rPr>
          <w:sz w:val="22"/>
          <w:szCs w:val="22"/>
        </w:rPr>
        <w:t>trombofilinių</w:t>
      </w:r>
      <w:proofErr w:type="spellEnd"/>
      <w:r w:rsidRPr="0053375F">
        <w:rPr>
          <w:sz w:val="22"/>
          <w:szCs w:val="22"/>
        </w:rPr>
        <w:t xml:space="preserve"> defektų). Jeigu nustatytas </w:t>
      </w:r>
      <w:proofErr w:type="spellStart"/>
      <w:r w:rsidRPr="0053375F">
        <w:rPr>
          <w:sz w:val="22"/>
          <w:szCs w:val="22"/>
        </w:rPr>
        <w:t>trombofilinis</w:t>
      </w:r>
      <w:proofErr w:type="spellEnd"/>
      <w:r w:rsidRPr="0053375F">
        <w:rPr>
          <w:sz w:val="22"/>
          <w:szCs w:val="22"/>
        </w:rPr>
        <w:t xml:space="preserve"> defektas išsiskiria iš šeimos narių trombozių ar jis yra “sunkus” (pvz., </w:t>
      </w:r>
      <w:proofErr w:type="spellStart"/>
      <w:r w:rsidRPr="0053375F">
        <w:rPr>
          <w:sz w:val="22"/>
          <w:szCs w:val="22"/>
        </w:rPr>
        <w:t>antitrombino</w:t>
      </w:r>
      <w:proofErr w:type="spellEnd"/>
      <w:r w:rsidRPr="0053375F">
        <w:rPr>
          <w:sz w:val="22"/>
          <w:szCs w:val="22"/>
        </w:rPr>
        <w:t xml:space="preserve">, baltymo S ar baltymo C stoka arba defektų derinys), tuomet PHT ar </w:t>
      </w:r>
      <w:proofErr w:type="spellStart"/>
      <w:r w:rsidRPr="0053375F">
        <w:rPr>
          <w:sz w:val="22"/>
          <w:szCs w:val="22"/>
        </w:rPr>
        <w:t>tiboloną</w:t>
      </w:r>
      <w:proofErr w:type="spellEnd"/>
      <w:r w:rsidRPr="0053375F">
        <w:rPr>
          <w:sz w:val="22"/>
          <w:szCs w:val="22"/>
        </w:rPr>
        <w:t xml:space="preserve"> skirti draudžiama.</w:t>
      </w:r>
    </w:p>
    <w:p w14:paraId="5CA35127" w14:textId="77777777" w:rsidR="00C45646" w:rsidRPr="0053375F" w:rsidRDefault="00C45646" w:rsidP="00C45646">
      <w:pPr>
        <w:numPr>
          <w:ilvl w:val="0"/>
          <w:numId w:val="1"/>
        </w:numPr>
        <w:tabs>
          <w:tab w:val="clear" w:pos="360"/>
          <w:tab w:val="num" w:pos="540"/>
          <w:tab w:val="num" w:pos="567"/>
        </w:tabs>
        <w:autoSpaceDE w:val="0"/>
        <w:autoSpaceDN w:val="0"/>
        <w:adjustRightInd w:val="0"/>
        <w:ind w:left="567" w:hanging="567"/>
        <w:rPr>
          <w:sz w:val="22"/>
          <w:szCs w:val="22"/>
        </w:rPr>
      </w:pPr>
      <w:r w:rsidRPr="0053375F">
        <w:rPr>
          <w:sz w:val="22"/>
          <w:szCs w:val="22"/>
        </w:rPr>
        <w:t xml:space="preserve">Antikoaguliantais jau gydomoms moterims reikia kruopščiai apsvarstyti PHT ar </w:t>
      </w:r>
      <w:proofErr w:type="spellStart"/>
      <w:r w:rsidRPr="0053375F">
        <w:rPr>
          <w:sz w:val="22"/>
          <w:szCs w:val="22"/>
        </w:rPr>
        <w:t>tibolono</w:t>
      </w:r>
      <w:proofErr w:type="spellEnd"/>
      <w:r w:rsidRPr="0053375F">
        <w:rPr>
          <w:sz w:val="22"/>
          <w:szCs w:val="22"/>
        </w:rPr>
        <w:t xml:space="preserve"> vartojimo naudos ir rizikos santykį.</w:t>
      </w:r>
    </w:p>
    <w:p w14:paraId="006D2887" w14:textId="77777777" w:rsidR="00C45646" w:rsidRPr="0053375F" w:rsidRDefault="00C45646" w:rsidP="00C45646">
      <w:pPr>
        <w:numPr>
          <w:ilvl w:val="0"/>
          <w:numId w:val="1"/>
        </w:numPr>
        <w:tabs>
          <w:tab w:val="clear" w:pos="360"/>
          <w:tab w:val="num" w:pos="540"/>
        </w:tabs>
        <w:autoSpaceDE w:val="0"/>
        <w:autoSpaceDN w:val="0"/>
        <w:adjustRightInd w:val="0"/>
        <w:ind w:left="567" w:hanging="567"/>
        <w:rPr>
          <w:sz w:val="22"/>
          <w:szCs w:val="22"/>
        </w:rPr>
      </w:pPr>
      <w:r w:rsidRPr="0053375F">
        <w:rPr>
          <w:sz w:val="22"/>
          <w:szCs w:val="22"/>
        </w:rPr>
        <w:t xml:space="preserve">Jeigu pradėjus gydymą ištinka VTE, vaisto vartojimą reikia nutraukti. Pacientėms reikia nurodyti, kad nedelsdamos kreiptųsi į gydytoją, jei atsiranda galimos </w:t>
      </w:r>
      <w:proofErr w:type="spellStart"/>
      <w:r w:rsidRPr="0053375F">
        <w:rPr>
          <w:sz w:val="22"/>
          <w:szCs w:val="22"/>
        </w:rPr>
        <w:t>tromboembolijos</w:t>
      </w:r>
      <w:proofErr w:type="spellEnd"/>
      <w:r w:rsidRPr="0053375F">
        <w:rPr>
          <w:sz w:val="22"/>
          <w:szCs w:val="22"/>
        </w:rPr>
        <w:t xml:space="preserve"> simptomų (pvz., skausmingas kojos tinimas, staigus krūtinės skausmas, dusulys).</w:t>
      </w:r>
    </w:p>
    <w:p w14:paraId="76B870F9" w14:textId="77777777" w:rsidR="00C45646" w:rsidRPr="0053375F" w:rsidRDefault="00C45646" w:rsidP="00C45646">
      <w:pPr>
        <w:autoSpaceDE w:val="0"/>
        <w:autoSpaceDN w:val="0"/>
        <w:adjustRightInd w:val="0"/>
        <w:rPr>
          <w:sz w:val="22"/>
          <w:szCs w:val="22"/>
        </w:rPr>
      </w:pPr>
    </w:p>
    <w:p w14:paraId="1CD2E790"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Koronarinė širdies liga (KŠL)</w:t>
      </w:r>
    </w:p>
    <w:p w14:paraId="620A3BEE"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Atsitiktinių imčių kontroliuotų klinikinių tyrimų metu nebuvo įrodyta, kad sudėtinių estrogenų ir </w:t>
      </w:r>
      <w:proofErr w:type="spellStart"/>
      <w:r w:rsidRPr="0053375F">
        <w:rPr>
          <w:sz w:val="22"/>
          <w:szCs w:val="22"/>
        </w:rPr>
        <w:t>progestagenų</w:t>
      </w:r>
      <w:proofErr w:type="spellEnd"/>
      <w:r w:rsidRPr="0053375F">
        <w:rPr>
          <w:sz w:val="22"/>
          <w:szCs w:val="22"/>
        </w:rPr>
        <w:t xml:space="preserve"> arba vieno estrogeno PHT vartojimas apsaugotų KŠL sergančias arba ja nesergančias moteris nuo miokardo infarkto. Epidemiologiniame tyrime naudojant GPRD įrodymų, kad </w:t>
      </w:r>
      <w:proofErr w:type="spellStart"/>
      <w:r w:rsidRPr="0053375F">
        <w:rPr>
          <w:sz w:val="22"/>
          <w:szCs w:val="22"/>
        </w:rPr>
        <w:t>tiboloną</w:t>
      </w:r>
      <w:proofErr w:type="spellEnd"/>
      <w:r w:rsidRPr="0053375F">
        <w:rPr>
          <w:sz w:val="22"/>
          <w:szCs w:val="22"/>
        </w:rPr>
        <w:t xml:space="preserve"> vartojusios moterys po menopauzės būtų buvusios apsaugotos nuo miokardo infarkto, negauta.</w:t>
      </w:r>
    </w:p>
    <w:p w14:paraId="3DA9F147" w14:textId="77777777" w:rsidR="00C45646" w:rsidRPr="0053375F" w:rsidRDefault="00C45646" w:rsidP="00C45646">
      <w:pPr>
        <w:autoSpaceDE w:val="0"/>
        <w:autoSpaceDN w:val="0"/>
        <w:adjustRightInd w:val="0"/>
        <w:rPr>
          <w:sz w:val="22"/>
          <w:szCs w:val="22"/>
        </w:rPr>
      </w:pPr>
    </w:p>
    <w:p w14:paraId="3B9A0623" w14:textId="77777777" w:rsidR="00C45646" w:rsidRPr="0053375F" w:rsidRDefault="00C45646" w:rsidP="00186A14">
      <w:pPr>
        <w:autoSpaceDE w:val="0"/>
        <w:autoSpaceDN w:val="0"/>
        <w:adjustRightInd w:val="0"/>
        <w:outlineLvl w:val="0"/>
        <w:rPr>
          <w:sz w:val="22"/>
          <w:szCs w:val="22"/>
        </w:rPr>
      </w:pPr>
      <w:r w:rsidRPr="0053375F">
        <w:rPr>
          <w:sz w:val="22"/>
          <w:szCs w:val="22"/>
          <w:u w:val="single"/>
        </w:rPr>
        <w:t>Smegenų infarktas</w:t>
      </w:r>
    </w:p>
    <w:p w14:paraId="1EEA4249"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proofErr w:type="spellStart"/>
      <w:r w:rsidRPr="0053375F">
        <w:rPr>
          <w:sz w:val="22"/>
          <w:szCs w:val="22"/>
        </w:rPr>
        <w:t>Tibolonas</w:t>
      </w:r>
      <w:proofErr w:type="spellEnd"/>
      <w:r w:rsidRPr="0053375F">
        <w:rPr>
          <w:sz w:val="22"/>
          <w:szCs w:val="22"/>
        </w:rPr>
        <w:t xml:space="preserve"> nuo pirmųjų gydymo metų didina smegenų infarkto riziką (žr. 4.8 skyrių). Prieš gydymą buvusi insulto rizika labai priklauso nuo amžiaus, taigi </w:t>
      </w:r>
      <w:proofErr w:type="spellStart"/>
      <w:r w:rsidRPr="0053375F">
        <w:rPr>
          <w:sz w:val="22"/>
          <w:szCs w:val="22"/>
        </w:rPr>
        <w:t>tibolono</w:t>
      </w:r>
      <w:proofErr w:type="spellEnd"/>
      <w:r w:rsidRPr="0053375F">
        <w:rPr>
          <w:sz w:val="22"/>
          <w:szCs w:val="22"/>
        </w:rPr>
        <w:t xml:space="preserve"> poveikis senstant didėja.</w:t>
      </w:r>
    </w:p>
    <w:p w14:paraId="1BFDAEA2" w14:textId="77777777" w:rsidR="00C45646" w:rsidRPr="0053375F" w:rsidRDefault="00C45646" w:rsidP="00C45646">
      <w:pPr>
        <w:autoSpaceDE w:val="0"/>
        <w:autoSpaceDN w:val="0"/>
        <w:adjustRightInd w:val="0"/>
        <w:rPr>
          <w:sz w:val="22"/>
          <w:szCs w:val="22"/>
        </w:rPr>
      </w:pPr>
    </w:p>
    <w:p w14:paraId="6E213499" w14:textId="77777777" w:rsidR="00C45646" w:rsidRPr="0053375F" w:rsidRDefault="00C45646" w:rsidP="00186A14">
      <w:pPr>
        <w:keepNext/>
        <w:autoSpaceDE w:val="0"/>
        <w:autoSpaceDN w:val="0"/>
        <w:adjustRightInd w:val="0"/>
        <w:outlineLvl w:val="0"/>
        <w:rPr>
          <w:sz w:val="22"/>
          <w:szCs w:val="22"/>
        </w:rPr>
      </w:pPr>
      <w:r w:rsidRPr="0053375F">
        <w:rPr>
          <w:sz w:val="22"/>
          <w:szCs w:val="22"/>
          <w:u w:val="single"/>
        </w:rPr>
        <w:t>Kitos būklės</w:t>
      </w:r>
    </w:p>
    <w:p w14:paraId="0AEBB0D2"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Šio vaisto negalima vartoti pacientėms, kurioms nustatyta retų paveldimų sutrikimų – </w:t>
      </w:r>
      <w:proofErr w:type="spellStart"/>
      <w:r w:rsidRPr="0053375F">
        <w:rPr>
          <w:sz w:val="22"/>
          <w:szCs w:val="22"/>
        </w:rPr>
        <w:t>galaktozės</w:t>
      </w:r>
      <w:proofErr w:type="spellEnd"/>
      <w:r w:rsidRPr="0053375F">
        <w:rPr>
          <w:sz w:val="22"/>
          <w:szCs w:val="22"/>
        </w:rPr>
        <w:t xml:space="preserve"> </w:t>
      </w:r>
      <w:proofErr w:type="spellStart"/>
      <w:r w:rsidRPr="0053375F">
        <w:rPr>
          <w:sz w:val="22"/>
          <w:szCs w:val="22"/>
        </w:rPr>
        <w:t>netoleravimas</w:t>
      </w:r>
      <w:proofErr w:type="spellEnd"/>
      <w:r w:rsidRPr="0053375F">
        <w:rPr>
          <w:sz w:val="22"/>
          <w:szCs w:val="22"/>
        </w:rPr>
        <w:t xml:space="preserve">, </w:t>
      </w:r>
      <w:proofErr w:type="spellStart"/>
      <w:r w:rsidRPr="0053375F">
        <w:rPr>
          <w:i/>
          <w:sz w:val="22"/>
          <w:szCs w:val="22"/>
        </w:rPr>
        <w:t>Lapp</w:t>
      </w:r>
      <w:proofErr w:type="spellEnd"/>
      <w:r w:rsidRPr="0053375F">
        <w:rPr>
          <w:sz w:val="22"/>
          <w:szCs w:val="22"/>
        </w:rPr>
        <w:t xml:space="preserve"> laktazės stygius arba gliukozės ir </w:t>
      </w:r>
      <w:proofErr w:type="spellStart"/>
      <w:r w:rsidRPr="0053375F">
        <w:rPr>
          <w:sz w:val="22"/>
          <w:szCs w:val="22"/>
        </w:rPr>
        <w:t>galaktozės</w:t>
      </w:r>
      <w:proofErr w:type="spellEnd"/>
      <w:r w:rsidRPr="0053375F">
        <w:rPr>
          <w:sz w:val="22"/>
          <w:szCs w:val="22"/>
        </w:rPr>
        <w:t xml:space="preserve"> </w:t>
      </w:r>
      <w:proofErr w:type="spellStart"/>
      <w:r w:rsidRPr="0053375F">
        <w:rPr>
          <w:sz w:val="22"/>
          <w:szCs w:val="22"/>
        </w:rPr>
        <w:t>malabsorbcija</w:t>
      </w:r>
      <w:proofErr w:type="spellEnd"/>
      <w:r w:rsidRPr="0053375F">
        <w:rPr>
          <w:sz w:val="22"/>
          <w:szCs w:val="22"/>
        </w:rPr>
        <w:t>.</w:t>
      </w:r>
    </w:p>
    <w:p w14:paraId="0EEB16AC"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proofErr w:type="spellStart"/>
      <w:r w:rsidRPr="0053375F">
        <w:rPr>
          <w:sz w:val="22"/>
          <w:szCs w:val="22"/>
        </w:rPr>
        <w:t>Livial</w:t>
      </w:r>
      <w:proofErr w:type="spellEnd"/>
      <w:r w:rsidRPr="0053375F">
        <w:rPr>
          <w:sz w:val="22"/>
          <w:szCs w:val="22"/>
        </w:rPr>
        <w:t xml:space="preserve"> kontracepcijai nevartojamas.</w:t>
      </w:r>
    </w:p>
    <w:p w14:paraId="6BD188AB"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Gydymas </w:t>
      </w:r>
      <w:proofErr w:type="spellStart"/>
      <w:r w:rsidRPr="0053375F">
        <w:rPr>
          <w:sz w:val="22"/>
          <w:szCs w:val="22"/>
        </w:rPr>
        <w:t>Livial</w:t>
      </w:r>
      <w:proofErr w:type="spellEnd"/>
      <w:r w:rsidRPr="0053375F">
        <w:rPr>
          <w:sz w:val="22"/>
          <w:szCs w:val="22"/>
        </w:rPr>
        <w:t xml:space="preserve"> lemia žymų nuo dozės priklausomą DTL cholesterolio koncentracijos sumažėjimą (nuo -16,7 %, dvejus metus vartojant 1,25 mg dozę, iki -21,8 %, dvejus metus vartojant 2,5 mg dozę). Bendroji </w:t>
      </w:r>
      <w:proofErr w:type="spellStart"/>
      <w:r w:rsidRPr="0053375F">
        <w:rPr>
          <w:sz w:val="22"/>
          <w:szCs w:val="22"/>
        </w:rPr>
        <w:t>trigliceridų</w:t>
      </w:r>
      <w:proofErr w:type="spellEnd"/>
      <w:r w:rsidRPr="0053375F">
        <w:rPr>
          <w:sz w:val="22"/>
          <w:szCs w:val="22"/>
        </w:rPr>
        <w:t xml:space="preserve"> ir lipoproteinų koncentracija irgi sumažėja. Bendrojo cholesterolio ir LMTL cholesterolio koncentracijos sumažėjimas nuo dozės nepriklauso. MTL cholesterolio koncentracija nepakito. Klinikinė šio reiškinio reikšmė iki šiol nežinoma.</w:t>
      </w:r>
    </w:p>
    <w:p w14:paraId="6074ED33"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Estrogenai gali sąlygoti skysčių susilaikymą, todėl moteris, kurių širdies arba inkstų funkcija sutrikusi, reikia atidžiai stebėti.</w:t>
      </w:r>
    </w:p>
    <w:p w14:paraId="00BC98B8"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 xml:space="preserve">Moteris, kurioms yra </w:t>
      </w:r>
      <w:proofErr w:type="spellStart"/>
      <w:r w:rsidRPr="0053375F">
        <w:rPr>
          <w:sz w:val="22"/>
          <w:szCs w:val="22"/>
        </w:rPr>
        <w:t>hipertrigliceridemija</w:t>
      </w:r>
      <w:proofErr w:type="spellEnd"/>
      <w:r w:rsidRPr="0053375F">
        <w:rPr>
          <w:sz w:val="22"/>
          <w:szCs w:val="22"/>
        </w:rPr>
        <w:t xml:space="preserve">, PHT ar estrogenų pakeičiamosios terapijos metu reikia atidžiai stebėti, nes pastebėta, kad, vartojant estrogenų, retais atvejais dėl ryškiai padidėjusio plazmos </w:t>
      </w:r>
      <w:proofErr w:type="spellStart"/>
      <w:r w:rsidRPr="0053375F">
        <w:rPr>
          <w:sz w:val="22"/>
          <w:szCs w:val="22"/>
        </w:rPr>
        <w:t>trigliceridų</w:t>
      </w:r>
      <w:proofErr w:type="spellEnd"/>
      <w:r w:rsidRPr="0053375F">
        <w:rPr>
          <w:sz w:val="22"/>
          <w:szCs w:val="22"/>
        </w:rPr>
        <w:t xml:space="preserve"> kiekio pasireiškė pankreatitas.</w:t>
      </w:r>
    </w:p>
    <w:p w14:paraId="5E3B807E"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lastRenderedPageBreak/>
        <w:t xml:space="preserve">Dėl gydymo </w:t>
      </w:r>
      <w:proofErr w:type="spellStart"/>
      <w:r w:rsidRPr="0053375F">
        <w:rPr>
          <w:sz w:val="22"/>
          <w:szCs w:val="22"/>
        </w:rPr>
        <w:t>Livial</w:t>
      </w:r>
      <w:proofErr w:type="spellEnd"/>
      <w:r w:rsidRPr="0053375F">
        <w:rPr>
          <w:sz w:val="22"/>
          <w:szCs w:val="22"/>
        </w:rPr>
        <w:t xml:space="preserve"> šiek tiek sumažėja </w:t>
      </w:r>
      <w:proofErr w:type="spellStart"/>
      <w:r w:rsidRPr="0053375F">
        <w:rPr>
          <w:sz w:val="22"/>
          <w:szCs w:val="22"/>
        </w:rPr>
        <w:t>tiroksiną</w:t>
      </w:r>
      <w:proofErr w:type="spellEnd"/>
      <w:r w:rsidRPr="0053375F">
        <w:rPr>
          <w:sz w:val="22"/>
          <w:szCs w:val="22"/>
        </w:rPr>
        <w:t xml:space="preserve"> surišančio </w:t>
      </w:r>
      <w:proofErr w:type="spellStart"/>
      <w:r w:rsidRPr="0053375F">
        <w:rPr>
          <w:sz w:val="22"/>
          <w:szCs w:val="22"/>
        </w:rPr>
        <w:t>globulino</w:t>
      </w:r>
      <w:proofErr w:type="spellEnd"/>
      <w:r w:rsidRPr="0053375F">
        <w:rPr>
          <w:sz w:val="22"/>
          <w:szCs w:val="22"/>
        </w:rPr>
        <w:t xml:space="preserve"> (TSG) ir bendrojo </w:t>
      </w:r>
      <w:proofErr w:type="spellStart"/>
      <w:r w:rsidRPr="0053375F">
        <w:rPr>
          <w:sz w:val="22"/>
          <w:szCs w:val="22"/>
        </w:rPr>
        <w:t>tiroksino</w:t>
      </w:r>
      <w:proofErr w:type="spellEnd"/>
      <w:r w:rsidRPr="0053375F">
        <w:rPr>
          <w:sz w:val="22"/>
          <w:szCs w:val="22"/>
        </w:rPr>
        <w:t xml:space="preserve"> (T4) kiekiai. Bendra </w:t>
      </w:r>
      <w:proofErr w:type="spellStart"/>
      <w:r w:rsidRPr="0053375F">
        <w:rPr>
          <w:sz w:val="22"/>
          <w:szCs w:val="22"/>
        </w:rPr>
        <w:t>trijodtironino</w:t>
      </w:r>
      <w:proofErr w:type="spellEnd"/>
      <w:r w:rsidRPr="0053375F">
        <w:rPr>
          <w:sz w:val="22"/>
          <w:szCs w:val="22"/>
        </w:rPr>
        <w:t xml:space="preserve"> (T3) koncentracija nekinta. </w:t>
      </w:r>
      <w:proofErr w:type="spellStart"/>
      <w:r w:rsidRPr="0053375F">
        <w:rPr>
          <w:sz w:val="22"/>
          <w:szCs w:val="22"/>
        </w:rPr>
        <w:t>Livial</w:t>
      </w:r>
      <w:proofErr w:type="spellEnd"/>
      <w:r w:rsidRPr="0053375F">
        <w:rPr>
          <w:sz w:val="22"/>
          <w:szCs w:val="22"/>
        </w:rPr>
        <w:t xml:space="preserve"> mažina lytinius hormonus surišančio </w:t>
      </w:r>
      <w:proofErr w:type="spellStart"/>
      <w:r w:rsidRPr="0053375F">
        <w:rPr>
          <w:sz w:val="22"/>
          <w:szCs w:val="22"/>
        </w:rPr>
        <w:t>globulino</w:t>
      </w:r>
      <w:proofErr w:type="spellEnd"/>
      <w:r w:rsidRPr="0053375F">
        <w:rPr>
          <w:sz w:val="22"/>
          <w:szCs w:val="22"/>
        </w:rPr>
        <w:t xml:space="preserve"> (LHSG) kiekį, o kortikosteroidus surišančio </w:t>
      </w:r>
      <w:proofErr w:type="spellStart"/>
      <w:r w:rsidRPr="0053375F">
        <w:rPr>
          <w:sz w:val="22"/>
          <w:szCs w:val="22"/>
        </w:rPr>
        <w:t>globulino</w:t>
      </w:r>
      <w:proofErr w:type="spellEnd"/>
      <w:r w:rsidRPr="0053375F">
        <w:rPr>
          <w:sz w:val="22"/>
          <w:szCs w:val="22"/>
        </w:rPr>
        <w:t xml:space="preserve"> (KKSG) ir cirkuliuojančio kortizolio koncentracijos nekinta.</w:t>
      </w:r>
    </w:p>
    <w:p w14:paraId="2BBD3DB7"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sz w:val="22"/>
          <w:szCs w:val="22"/>
        </w:rPr>
      </w:pPr>
      <w:r w:rsidRPr="0053375F">
        <w:rPr>
          <w:sz w:val="22"/>
          <w:szCs w:val="22"/>
        </w:rPr>
        <w:t>PHT taikymas pažintinės funkcijos nepagerina. Kai kurie duomenys įrodo, kad vyresnėms nei 65 metų</w:t>
      </w:r>
      <w:r w:rsidRPr="0053375F" w:rsidDel="005A5342">
        <w:rPr>
          <w:sz w:val="22"/>
          <w:szCs w:val="22"/>
        </w:rPr>
        <w:t xml:space="preserve"> </w:t>
      </w:r>
      <w:r w:rsidRPr="0053375F">
        <w:rPr>
          <w:sz w:val="22"/>
          <w:szCs w:val="22"/>
        </w:rPr>
        <w:t>moterims, pradėjusioms nuolat vartoti sudėtinių ar vieno estrogeno PHT preparatų, padidėjo demencijos rizika.</w:t>
      </w:r>
    </w:p>
    <w:p w14:paraId="15F54F8E" w14:textId="77777777" w:rsidR="00C45646" w:rsidRPr="0053375F" w:rsidRDefault="00C45646" w:rsidP="00C45646">
      <w:pPr>
        <w:autoSpaceDE w:val="0"/>
        <w:autoSpaceDN w:val="0"/>
        <w:adjustRightInd w:val="0"/>
        <w:rPr>
          <w:sz w:val="22"/>
          <w:szCs w:val="22"/>
        </w:rPr>
      </w:pPr>
    </w:p>
    <w:p w14:paraId="7EF9A54B"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4.5</w:t>
      </w:r>
      <w:r w:rsidRPr="0053375F">
        <w:rPr>
          <w:b/>
          <w:bCs/>
          <w:sz w:val="22"/>
          <w:szCs w:val="22"/>
        </w:rPr>
        <w:tab/>
        <w:t>Sąveika su kitais vaistiniais preparatais ir kitokia sąveika</w:t>
      </w:r>
    </w:p>
    <w:p w14:paraId="4A471C9D" w14:textId="77777777" w:rsidR="00C45646" w:rsidRPr="0053375F" w:rsidRDefault="00C45646" w:rsidP="00C45646">
      <w:pPr>
        <w:autoSpaceDE w:val="0"/>
        <w:autoSpaceDN w:val="0"/>
        <w:adjustRightInd w:val="0"/>
        <w:rPr>
          <w:sz w:val="22"/>
          <w:szCs w:val="22"/>
        </w:rPr>
      </w:pPr>
    </w:p>
    <w:p w14:paraId="2521A24E" w14:textId="77777777" w:rsidR="00C45646" w:rsidRPr="0053375F" w:rsidRDefault="00C45646" w:rsidP="00C45646">
      <w:pPr>
        <w:autoSpaceDE w:val="0"/>
        <w:autoSpaceDN w:val="0"/>
        <w:adjustRightInd w:val="0"/>
        <w:rPr>
          <w:sz w:val="22"/>
          <w:szCs w:val="22"/>
        </w:rPr>
      </w:pPr>
      <w:proofErr w:type="spellStart"/>
      <w:r w:rsidRPr="0053375F">
        <w:rPr>
          <w:sz w:val="22"/>
          <w:szCs w:val="22"/>
        </w:rPr>
        <w:t>Livial</w:t>
      </w:r>
      <w:proofErr w:type="spellEnd"/>
      <w:r w:rsidRPr="0053375F">
        <w:rPr>
          <w:sz w:val="22"/>
          <w:szCs w:val="22"/>
        </w:rPr>
        <w:t xml:space="preserve"> gali skatinti kraujo </w:t>
      </w:r>
      <w:proofErr w:type="spellStart"/>
      <w:r w:rsidRPr="0053375F">
        <w:rPr>
          <w:sz w:val="22"/>
          <w:szCs w:val="22"/>
        </w:rPr>
        <w:t>fibrinolizę</w:t>
      </w:r>
      <w:proofErr w:type="spellEnd"/>
      <w:r w:rsidRPr="0053375F">
        <w:rPr>
          <w:sz w:val="22"/>
          <w:szCs w:val="22"/>
        </w:rPr>
        <w:t xml:space="preserve">, todėl jis gali sustiprinti antikoaguliantų poveikį. Šis poveikis patvirtintas vartojant </w:t>
      </w:r>
      <w:proofErr w:type="spellStart"/>
      <w:r w:rsidRPr="0053375F">
        <w:rPr>
          <w:sz w:val="22"/>
          <w:szCs w:val="22"/>
        </w:rPr>
        <w:t>varfariną</w:t>
      </w:r>
      <w:proofErr w:type="spellEnd"/>
      <w:r w:rsidRPr="0053375F">
        <w:rPr>
          <w:sz w:val="22"/>
          <w:szCs w:val="22"/>
        </w:rPr>
        <w:t xml:space="preserve">. Todėl </w:t>
      </w:r>
      <w:proofErr w:type="spellStart"/>
      <w:r w:rsidRPr="0053375F">
        <w:rPr>
          <w:sz w:val="22"/>
          <w:szCs w:val="22"/>
        </w:rPr>
        <w:t>Livial</w:t>
      </w:r>
      <w:proofErr w:type="spellEnd"/>
      <w:r w:rsidRPr="0053375F">
        <w:rPr>
          <w:sz w:val="22"/>
          <w:szCs w:val="22"/>
        </w:rPr>
        <w:t xml:space="preserve"> vartoti kartu su antikoaguliantais reikia atsargiai, ypač pradedant ar baigiant kartu vartoti </w:t>
      </w:r>
      <w:proofErr w:type="spellStart"/>
      <w:r w:rsidRPr="0053375F">
        <w:rPr>
          <w:sz w:val="22"/>
          <w:szCs w:val="22"/>
        </w:rPr>
        <w:t>Livial</w:t>
      </w:r>
      <w:proofErr w:type="spellEnd"/>
      <w:r w:rsidRPr="0053375F">
        <w:rPr>
          <w:sz w:val="22"/>
          <w:szCs w:val="22"/>
        </w:rPr>
        <w:t xml:space="preserve">. Jei būtina, </w:t>
      </w:r>
      <w:proofErr w:type="spellStart"/>
      <w:r w:rsidRPr="0053375F">
        <w:rPr>
          <w:sz w:val="22"/>
          <w:szCs w:val="22"/>
        </w:rPr>
        <w:t>varfarino</w:t>
      </w:r>
      <w:proofErr w:type="spellEnd"/>
      <w:r w:rsidRPr="0053375F">
        <w:rPr>
          <w:sz w:val="22"/>
          <w:szCs w:val="22"/>
        </w:rPr>
        <w:t xml:space="preserve"> dozę reikia koreguoti.</w:t>
      </w:r>
    </w:p>
    <w:p w14:paraId="165C5A10" w14:textId="77777777" w:rsidR="00C45646" w:rsidRPr="0053375F" w:rsidRDefault="00C45646" w:rsidP="00C45646">
      <w:pPr>
        <w:autoSpaceDE w:val="0"/>
        <w:autoSpaceDN w:val="0"/>
        <w:adjustRightInd w:val="0"/>
        <w:rPr>
          <w:sz w:val="22"/>
          <w:szCs w:val="22"/>
        </w:rPr>
      </w:pPr>
    </w:p>
    <w:p w14:paraId="6FF7D57A" w14:textId="77777777" w:rsidR="00C45646" w:rsidRPr="0053375F" w:rsidRDefault="00C45646" w:rsidP="00C45646">
      <w:pPr>
        <w:autoSpaceDE w:val="0"/>
        <w:autoSpaceDN w:val="0"/>
        <w:adjustRightInd w:val="0"/>
        <w:rPr>
          <w:sz w:val="22"/>
          <w:szCs w:val="22"/>
        </w:rPr>
      </w:pPr>
      <w:r w:rsidRPr="0053375F">
        <w:rPr>
          <w:sz w:val="22"/>
          <w:szCs w:val="22"/>
        </w:rPr>
        <w:t xml:space="preserve">Apie </w:t>
      </w:r>
      <w:proofErr w:type="spellStart"/>
      <w:r w:rsidRPr="0053375F">
        <w:rPr>
          <w:sz w:val="22"/>
          <w:szCs w:val="22"/>
        </w:rPr>
        <w:t>farmakokinetinę</w:t>
      </w:r>
      <w:proofErr w:type="spellEnd"/>
      <w:r w:rsidRPr="0053375F">
        <w:rPr>
          <w:sz w:val="22"/>
          <w:szCs w:val="22"/>
        </w:rPr>
        <w:t xml:space="preserve"> sąveiką su </w:t>
      </w:r>
      <w:proofErr w:type="spellStart"/>
      <w:r w:rsidRPr="0053375F">
        <w:rPr>
          <w:sz w:val="22"/>
          <w:szCs w:val="22"/>
        </w:rPr>
        <w:t>tibolonu</w:t>
      </w:r>
      <w:proofErr w:type="spellEnd"/>
      <w:r w:rsidRPr="0053375F">
        <w:rPr>
          <w:sz w:val="22"/>
          <w:szCs w:val="22"/>
        </w:rPr>
        <w:t xml:space="preserve"> informacijos yra nedaug. Tyrimas </w:t>
      </w:r>
      <w:proofErr w:type="spellStart"/>
      <w:r w:rsidRPr="0053375F">
        <w:rPr>
          <w:i/>
          <w:iCs/>
          <w:sz w:val="22"/>
          <w:szCs w:val="22"/>
        </w:rPr>
        <w:t>in</w:t>
      </w:r>
      <w:proofErr w:type="spellEnd"/>
      <w:r w:rsidRPr="0053375F">
        <w:rPr>
          <w:i/>
          <w:iCs/>
          <w:sz w:val="22"/>
          <w:szCs w:val="22"/>
        </w:rPr>
        <w:t xml:space="preserve"> </w:t>
      </w:r>
      <w:proofErr w:type="spellStart"/>
      <w:r w:rsidRPr="0053375F">
        <w:rPr>
          <w:i/>
          <w:iCs/>
          <w:sz w:val="22"/>
          <w:szCs w:val="22"/>
        </w:rPr>
        <w:t>vivo</w:t>
      </w:r>
      <w:proofErr w:type="spellEnd"/>
      <w:r w:rsidRPr="0053375F">
        <w:rPr>
          <w:i/>
          <w:iCs/>
          <w:sz w:val="22"/>
          <w:szCs w:val="22"/>
        </w:rPr>
        <w:t xml:space="preserve"> </w:t>
      </w:r>
      <w:r w:rsidRPr="0053375F">
        <w:rPr>
          <w:sz w:val="22"/>
          <w:szCs w:val="22"/>
        </w:rPr>
        <w:t xml:space="preserve">parodė, jog gydymas kartu su </w:t>
      </w:r>
      <w:proofErr w:type="spellStart"/>
      <w:r w:rsidRPr="0053375F">
        <w:rPr>
          <w:sz w:val="22"/>
          <w:szCs w:val="22"/>
        </w:rPr>
        <w:t>tibolonu</w:t>
      </w:r>
      <w:proofErr w:type="spellEnd"/>
      <w:r w:rsidRPr="0053375F">
        <w:rPr>
          <w:sz w:val="22"/>
          <w:szCs w:val="22"/>
        </w:rPr>
        <w:t xml:space="preserve"> vidutiniškai stipriai veikia </w:t>
      </w:r>
      <w:proofErr w:type="spellStart"/>
      <w:r w:rsidRPr="0053375F">
        <w:rPr>
          <w:sz w:val="22"/>
          <w:szCs w:val="22"/>
        </w:rPr>
        <w:t>citochromo</w:t>
      </w:r>
      <w:proofErr w:type="spellEnd"/>
      <w:r w:rsidRPr="0053375F">
        <w:rPr>
          <w:sz w:val="22"/>
          <w:szCs w:val="22"/>
        </w:rPr>
        <w:t xml:space="preserve"> P450 3A4 substrato </w:t>
      </w:r>
      <w:proofErr w:type="spellStart"/>
      <w:r w:rsidRPr="0053375F">
        <w:rPr>
          <w:sz w:val="22"/>
          <w:szCs w:val="22"/>
        </w:rPr>
        <w:t>midazolamo</w:t>
      </w:r>
      <w:proofErr w:type="spellEnd"/>
      <w:r w:rsidRPr="0053375F">
        <w:rPr>
          <w:sz w:val="22"/>
          <w:szCs w:val="22"/>
        </w:rPr>
        <w:t xml:space="preserve"> </w:t>
      </w:r>
      <w:proofErr w:type="spellStart"/>
      <w:r w:rsidRPr="0053375F">
        <w:rPr>
          <w:sz w:val="22"/>
          <w:szCs w:val="22"/>
        </w:rPr>
        <w:t>farmakokinetiką</w:t>
      </w:r>
      <w:proofErr w:type="spellEnd"/>
      <w:r w:rsidRPr="0053375F">
        <w:rPr>
          <w:sz w:val="22"/>
          <w:szCs w:val="22"/>
        </w:rPr>
        <w:t>. Tuo remiantis, galima tikėtis vaistų sąveikos su kitais CYP3A4 substratais.</w:t>
      </w:r>
    </w:p>
    <w:p w14:paraId="11C595F8" w14:textId="77777777" w:rsidR="00C45646" w:rsidRPr="0053375F" w:rsidRDefault="00C45646" w:rsidP="00C45646">
      <w:pPr>
        <w:autoSpaceDE w:val="0"/>
        <w:autoSpaceDN w:val="0"/>
        <w:adjustRightInd w:val="0"/>
        <w:rPr>
          <w:sz w:val="22"/>
          <w:szCs w:val="22"/>
        </w:rPr>
      </w:pPr>
    </w:p>
    <w:p w14:paraId="64170D41" w14:textId="77777777" w:rsidR="00C45646" w:rsidRPr="0053375F" w:rsidRDefault="00C45646" w:rsidP="00C45646">
      <w:pPr>
        <w:autoSpaceDE w:val="0"/>
        <w:autoSpaceDN w:val="0"/>
        <w:adjustRightInd w:val="0"/>
        <w:rPr>
          <w:sz w:val="22"/>
          <w:szCs w:val="22"/>
        </w:rPr>
      </w:pPr>
      <w:r w:rsidRPr="0053375F">
        <w:rPr>
          <w:sz w:val="22"/>
          <w:szCs w:val="22"/>
        </w:rPr>
        <w:t xml:space="preserve">CYP3A4 sužadinančios medžiagos, tokios kaip barbitūratai, </w:t>
      </w:r>
      <w:proofErr w:type="spellStart"/>
      <w:r w:rsidRPr="0053375F">
        <w:rPr>
          <w:sz w:val="22"/>
          <w:szCs w:val="22"/>
        </w:rPr>
        <w:t>karbamazepinas</w:t>
      </w:r>
      <w:proofErr w:type="spellEnd"/>
      <w:r w:rsidRPr="0053375F">
        <w:rPr>
          <w:sz w:val="22"/>
          <w:szCs w:val="22"/>
        </w:rPr>
        <w:t xml:space="preserve">, </w:t>
      </w:r>
      <w:proofErr w:type="spellStart"/>
      <w:r w:rsidRPr="0053375F">
        <w:rPr>
          <w:sz w:val="22"/>
          <w:szCs w:val="22"/>
        </w:rPr>
        <w:t>hidantoinai</w:t>
      </w:r>
      <w:proofErr w:type="spellEnd"/>
      <w:r w:rsidRPr="0053375F">
        <w:rPr>
          <w:sz w:val="22"/>
          <w:szCs w:val="22"/>
        </w:rPr>
        <w:t xml:space="preserve"> ar </w:t>
      </w:r>
      <w:proofErr w:type="spellStart"/>
      <w:r w:rsidRPr="0053375F">
        <w:rPr>
          <w:sz w:val="22"/>
          <w:szCs w:val="22"/>
        </w:rPr>
        <w:t>rifampicinas</w:t>
      </w:r>
      <w:proofErr w:type="spellEnd"/>
      <w:r w:rsidRPr="0053375F">
        <w:rPr>
          <w:sz w:val="22"/>
          <w:szCs w:val="22"/>
        </w:rPr>
        <w:t xml:space="preserve">, gali sustiprinti </w:t>
      </w:r>
      <w:proofErr w:type="spellStart"/>
      <w:r w:rsidRPr="0053375F">
        <w:rPr>
          <w:sz w:val="22"/>
          <w:szCs w:val="22"/>
        </w:rPr>
        <w:t>tibolono</w:t>
      </w:r>
      <w:proofErr w:type="spellEnd"/>
      <w:r w:rsidRPr="0053375F">
        <w:rPr>
          <w:sz w:val="22"/>
          <w:szCs w:val="22"/>
        </w:rPr>
        <w:t xml:space="preserve"> metabolizmą ir taip paveikti jo terapinį veikimą.</w:t>
      </w:r>
    </w:p>
    <w:p w14:paraId="63645F5C" w14:textId="77777777" w:rsidR="00C45646" w:rsidRPr="0053375F" w:rsidRDefault="00C45646" w:rsidP="00C45646">
      <w:pPr>
        <w:autoSpaceDE w:val="0"/>
        <w:autoSpaceDN w:val="0"/>
        <w:adjustRightInd w:val="0"/>
        <w:rPr>
          <w:sz w:val="22"/>
          <w:szCs w:val="22"/>
        </w:rPr>
      </w:pPr>
    </w:p>
    <w:p w14:paraId="1CAB4A14" w14:textId="77777777" w:rsidR="00C45646" w:rsidRPr="0053375F" w:rsidRDefault="00C45646" w:rsidP="00C45646">
      <w:pPr>
        <w:autoSpaceDE w:val="0"/>
        <w:autoSpaceDN w:val="0"/>
        <w:adjustRightInd w:val="0"/>
        <w:rPr>
          <w:sz w:val="22"/>
          <w:szCs w:val="22"/>
        </w:rPr>
      </w:pPr>
      <w:r w:rsidRPr="0053375F">
        <w:rPr>
          <w:sz w:val="22"/>
          <w:szCs w:val="22"/>
        </w:rPr>
        <w:t>Augaliniai preparatai, kurių sudėtyje yra jonažolės (</w:t>
      </w:r>
      <w:proofErr w:type="spellStart"/>
      <w:r w:rsidRPr="0053375F">
        <w:rPr>
          <w:i/>
          <w:sz w:val="22"/>
          <w:szCs w:val="22"/>
        </w:rPr>
        <w:t>Hypericum</w:t>
      </w:r>
      <w:proofErr w:type="spellEnd"/>
      <w:r w:rsidRPr="0053375F">
        <w:rPr>
          <w:i/>
          <w:sz w:val="22"/>
          <w:szCs w:val="22"/>
        </w:rPr>
        <w:t xml:space="preserve"> </w:t>
      </w:r>
      <w:proofErr w:type="spellStart"/>
      <w:r w:rsidRPr="0053375F">
        <w:rPr>
          <w:i/>
          <w:sz w:val="22"/>
          <w:szCs w:val="22"/>
        </w:rPr>
        <w:t>Perforatum</w:t>
      </w:r>
      <w:proofErr w:type="spellEnd"/>
      <w:r w:rsidRPr="0053375F">
        <w:rPr>
          <w:sz w:val="22"/>
          <w:szCs w:val="22"/>
        </w:rPr>
        <w:t xml:space="preserve">) gali sužadinti estrogenų ir </w:t>
      </w:r>
      <w:proofErr w:type="spellStart"/>
      <w:r w:rsidRPr="0053375F">
        <w:rPr>
          <w:sz w:val="22"/>
          <w:szCs w:val="22"/>
        </w:rPr>
        <w:t>progestagenų</w:t>
      </w:r>
      <w:proofErr w:type="spellEnd"/>
      <w:r w:rsidRPr="0053375F">
        <w:rPr>
          <w:sz w:val="22"/>
          <w:szCs w:val="22"/>
        </w:rPr>
        <w:t xml:space="preserve"> metabolizmą CYP3A4 keliu. Kliniškai padidėjęs estrogenų ir </w:t>
      </w:r>
      <w:proofErr w:type="spellStart"/>
      <w:r w:rsidRPr="0053375F">
        <w:rPr>
          <w:sz w:val="22"/>
          <w:szCs w:val="22"/>
        </w:rPr>
        <w:t>progestagenų</w:t>
      </w:r>
      <w:proofErr w:type="spellEnd"/>
      <w:r w:rsidRPr="0053375F">
        <w:rPr>
          <w:sz w:val="22"/>
          <w:szCs w:val="22"/>
        </w:rPr>
        <w:t xml:space="preserve"> metabolizmas gali sąlygoti mažesnį poveikį ir kraujavimų iš gimdos pobūdžio pokyčius.</w:t>
      </w:r>
    </w:p>
    <w:p w14:paraId="7245AC31" w14:textId="77777777" w:rsidR="00C45646" w:rsidRPr="0053375F" w:rsidRDefault="00C45646" w:rsidP="00C45646">
      <w:pPr>
        <w:autoSpaceDE w:val="0"/>
        <w:autoSpaceDN w:val="0"/>
        <w:adjustRightInd w:val="0"/>
        <w:rPr>
          <w:sz w:val="22"/>
          <w:szCs w:val="22"/>
        </w:rPr>
      </w:pPr>
    </w:p>
    <w:p w14:paraId="75EBC637"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4.6</w:t>
      </w:r>
      <w:r w:rsidRPr="0053375F">
        <w:rPr>
          <w:b/>
          <w:bCs/>
          <w:sz w:val="22"/>
          <w:szCs w:val="22"/>
        </w:rPr>
        <w:tab/>
      </w:r>
      <w:r w:rsidR="00230BCD" w:rsidRPr="0053375F">
        <w:rPr>
          <w:b/>
          <w:bCs/>
          <w:sz w:val="22"/>
          <w:szCs w:val="22"/>
        </w:rPr>
        <w:t>Vaisingumas, n</w:t>
      </w:r>
      <w:r w:rsidRPr="0053375F">
        <w:rPr>
          <w:b/>
          <w:bCs/>
          <w:sz w:val="22"/>
          <w:szCs w:val="22"/>
        </w:rPr>
        <w:t>ėštumo ir žindymo laikotarpis</w:t>
      </w:r>
    </w:p>
    <w:p w14:paraId="712013E7" w14:textId="77777777" w:rsidR="00C45646" w:rsidRPr="0053375F" w:rsidRDefault="00C45646" w:rsidP="00C45646">
      <w:pPr>
        <w:autoSpaceDE w:val="0"/>
        <w:autoSpaceDN w:val="0"/>
        <w:adjustRightInd w:val="0"/>
        <w:rPr>
          <w:sz w:val="22"/>
          <w:szCs w:val="22"/>
        </w:rPr>
      </w:pPr>
    </w:p>
    <w:p w14:paraId="76A882B8" w14:textId="77777777" w:rsidR="00C45646" w:rsidRPr="0053375F" w:rsidRDefault="00C45646" w:rsidP="00C45646">
      <w:pPr>
        <w:autoSpaceDE w:val="0"/>
        <w:autoSpaceDN w:val="0"/>
        <w:adjustRightInd w:val="0"/>
        <w:rPr>
          <w:sz w:val="22"/>
          <w:szCs w:val="22"/>
        </w:rPr>
      </w:pPr>
      <w:proofErr w:type="spellStart"/>
      <w:r w:rsidRPr="0053375F">
        <w:rPr>
          <w:sz w:val="22"/>
          <w:szCs w:val="22"/>
        </w:rPr>
        <w:t>Livial</w:t>
      </w:r>
      <w:proofErr w:type="spellEnd"/>
      <w:r w:rsidRPr="0053375F">
        <w:rPr>
          <w:sz w:val="22"/>
          <w:szCs w:val="22"/>
        </w:rPr>
        <w:t xml:space="preserve"> nėštumo metu vartoti negalima (žr. 4.3 skyrių). Jeigu pastojama vartojant </w:t>
      </w:r>
      <w:proofErr w:type="spellStart"/>
      <w:r w:rsidRPr="0053375F">
        <w:rPr>
          <w:sz w:val="22"/>
          <w:szCs w:val="22"/>
        </w:rPr>
        <w:t>Livial</w:t>
      </w:r>
      <w:proofErr w:type="spellEnd"/>
      <w:r w:rsidRPr="0053375F">
        <w:rPr>
          <w:sz w:val="22"/>
          <w:szCs w:val="22"/>
        </w:rPr>
        <w:t xml:space="preserve">, jo vartojimą reikia tučtuojau nutraukti. Klinikinių duomenų apie </w:t>
      </w:r>
      <w:proofErr w:type="spellStart"/>
      <w:r w:rsidRPr="0053375F">
        <w:rPr>
          <w:sz w:val="22"/>
          <w:szCs w:val="22"/>
        </w:rPr>
        <w:t>Livial</w:t>
      </w:r>
      <w:proofErr w:type="spellEnd"/>
      <w:r w:rsidRPr="0053375F">
        <w:rPr>
          <w:sz w:val="22"/>
          <w:szCs w:val="22"/>
        </w:rPr>
        <w:t xml:space="preserve"> vartojimą nėštumo metu nėra. Su gyvūnais atlikti tyrimai parodė toksinį poveikį reprodukcijai (žr. 5.3 skyrių). Galimas pavojus žmogui nežinomas.</w:t>
      </w:r>
    </w:p>
    <w:p w14:paraId="39ABCC26" w14:textId="77777777" w:rsidR="00C45646" w:rsidRPr="0053375F" w:rsidRDefault="00C45646" w:rsidP="00C45646">
      <w:pPr>
        <w:autoSpaceDE w:val="0"/>
        <w:autoSpaceDN w:val="0"/>
        <w:adjustRightInd w:val="0"/>
        <w:rPr>
          <w:sz w:val="22"/>
          <w:szCs w:val="22"/>
        </w:rPr>
      </w:pPr>
    </w:p>
    <w:p w14:paraId="0EC398A9" w14:textId="77777777" w:rsidR="00C45646" w:rsidRPr="0053375F" w:rsidRDefault="00C45646" w:rsidP="00C45646">
      <w:pPr>
        <w:autoSpaceDE w:val="0"/>
        <w:autoSpaceDN w:val="0"/>
        <w:adjustRightInd w:val="0"/>
        <w:outlineLvl w:val="0"/>
        <w:rPr>
          <w:sz w:val="22"/>
          <w:szCs w:val="22"/>
        </w:rPr>
      </w:pPr>
      <w:r w:rsidRPr="0053375F">
        <w:rPr>
          <w:sz w:val="22"/>
          <w:szCs w:val="22"/>
        </w:rPr>
        <w:t xml:space="preserve">Žindymo laikotarpiu </w:t>
      </w:r>
      <w:proofErr w:type="spellStart"/>
      <w:r w:rsidRPr="0053375F">
        <w:rPr>
          <w:sz w:val="22"/>
          <w:szCs w:val="22"/>
        </w:rPr>
        <w:t>Livial</w:t>
      </w:r>
      <w:proofErr w:type="spellEnd"/>
      <w:r w:rsidRPr="0053375F">
        <w:rPr>
          <w:sz w:val="22"/>
          <w:szCs w:val="22"/>
        </w:rPr>
        <w:t xml:space="preserve"> vartoti negalima (žr. 4.3 skyrių).</w:t>
      </w:r>
    </w:p>
    <w:p w14:paraId="00C4507C" w14:textId="77777777" w:rsidR="00C45646" w:rsidRPr="0053375F" w:rsidRDefault="00C45646" w:rsidP="00C45646">
      <w:pPr>
        <w:autoSpaceDE w:val="0"/>
        <w:autoSpaceDN w:val="0"/>
        <w:adjustRightInd w:val="0"/>
        <w:rPr>
          <w:sz w:val="22"/>
          <w:szCs w:val="22"/>
        </w:rPr>
      </w:pPr>
    </w:p>
    <w:p w14:paraId="0650444C" w14:textId="77777777" w:rsidR="00C45646" w:rsidRPr="0053375F" w:rsidRDefault="00C45646" w:rsidP="00C45646">
      <w:pPr>
        <w:autoSpaceDE w:val="0"/>
        <w:autoSpaceDN w:val="0"/>
        <w:adjustRightInd w:val="0"/>
        <w:ind w:left="540" w:hanging="540"/>
        <w:outlineLvl w:val="0"/>
        <w:rPr>
          <w:b/>
          <w:sz w:val="22"/>
          <w:szCs w:val="22"/>
        </w:rPr>
      </w:pPr>
      <w:r w:rsidRPr="0053375F">
        <w:rPr>
          <w:b/>
          <w:sz w:val="22"/>
          <w:szCs w:val="22"/>
        </w:rPr>
        <w:t>4.7</w:t>
      </w:r>
      <w:r w:rsidRPr="0053375F">
        <w:rPr>
          <w:b/>
          <w:sz w:val="22"/>
          <w:szCs w:val="22"/>
        </w:rPr>
        <w:tab/>
        <w:t>Poveikis gebėjimui vairuoti ir valdyti mechanizmus</w:t>
      </w:r>
    </w:p>
    <w:p w14:paraId="5058C145" w14:textId="77777777" w:rsidR="00C45646" w:rsidRPr="0053375F" w:rsidRDefault="00C45646" w:rsidP="00C45646">
      <w:pPr>
        <w:pStyle w:val="Paragraph"/>
        <w:autoSpaceDE w:val="0"/>
        <w:autoSpaceDN w:val="0"/>
        <w:adjustRightInd w:val="0"/>
        <w:spacing w:after="0" w:line="240" w:lineRule="auto"/>
        <w:rPr>
          <w:rFonts w:ascii="Times New Roman" w:hAnsi="Times New Roman"/>
          <w:szCs w:val="22"/>
          <w:lang w:val="lt-LT"/>
        </w:rPr>
      </w:pPr>
    </w:p>
    <w:p w14:paraId="77FB5919" w14:textId="77777777" w:rsidR="00C45646" w:rsidRPr="0053375F" w:rsidRDefault="00C45646" w:rsidP="00C45646">
      <w:pPr>
        <w:autoSpaceDE w:val="0"/>
        <w:autoSpaceDN w:val="0"/>
        <w:adjustRightInd w:val="0"/>
        <w:outlineLvl w:val="0"/>
        <w:rPr>
          <w:sz w:val="22"/>
          <w:szCs w:val="22"/>
        </w:rPr>
      </w:pPr>
      <w:proofErr w:type="spellStart"/>
      <w:r w:rsidRPr="0053375F">
        <w:rPr>
          <w:sz w:val="22"/>
          <w:szCs w:val="22"/>
        </w:rPr>
        <w:t>Livial</w:t>
      </w:r>
      <w:proofErr w:type="spellEnd"/>
      <w:r w:rsidRPr="0053375F">
        <w:rPr>
          <w:sz w:val="22"/>
          <w:szCs w:val="22"/>
        </w:rPr>
        <w:t xml:space="preserve"> gebėjimo vairuoti ir valdyti mechanizmus neveikia.</w:t>
      </w:r>
    </w:p>
    <w:p w14:paraId="00961DA8" w14:textId="77777777" w:rsidR="00C45646" w:rsidRPr="0053375F" w:rsidRDefault="00C45646" w:rsidP="00C45646">
      <w:pPr>
        <w:autoSpaceDE w:val="0"/>
        <w:autoSpaceDN w:val="0"/>
        <w:adjustRightInd w:val="0"/>
        <w:rPr>
          <w:b/>
          <w:bCs/>
          <w:sz w:val="22"/>
          <w:szCs w:val="22"/>
        </w:rPr>
      </w:pPr>
    </w:p>
    <w:p w14:paraId="19FC5607" w14:textId="77777777" w:rsidR="00C45646" w:rsidRPr="0053375F" w:rsidRDefault="00C45646" w:rsidP="00186A14">
      <w:pPr>
        <w:keepNext/>
        <w:autoSpaceDE w:val="0"/>
        <w:autoSpaceDN w:val="0"/>
        <w:adjustRightInd w:val="0"/>
        <w:ind w:left="547" w:hanging="547"/>
        <w:outlineLvl w:val="0"/>
        <w:rPr>
          <w:b/>
          <w:bCs/>
          <w:sz w:val="22"/>
          <w:szCs w:val="22"/>
        </w:rPr>
      </w:pPr>
      <w:r w:rsidRPr="0053375F">
        <w:rPr>
          <w:b/>
          <w:bCs/>
          <w:sz w:val="22"/>
          <w:szCs w:val="22"/>
        </w:rPr>
        <w:t>4.8</w:t>
      </w:r>
      <w:r w:rsidRPr="0053375F">
        <w:rPr>
          <w:b/>
          <w:bCs/>
          <w:sz w:val="22"/>
          <w:szCs w:val="22"/>
        </w:rPr>
        <w:tab/>
        <w:t>Nepageidaujamas poveikis</w:t>
      </w:r>
      <w:r w:rsidRPr="0053375F">
        <w:rPr>
          <w:sz w:val="22"/>
          <w:szCs w:val="22"/>
        </w:rPr>
        <w:t xml:space="preserve"> </w:t>
      </w:r>
    </w:p>
    <w:p w14:paraId="007D1387" w14:textId="77777777" w:rsidR="00C45646" w:rsidRPr="0053375F" w:rsidRDefault="00C45646" w:rsidP="00186A14">
      <w:pPr>
        <w:keepNext/>
        <w:autoSpaceDE w:val="0"/>
        <w:autoSpaceDN w:val="0"/>
        <w:adjustRightInd w:val="0"/>
        <w:rPr>
          <w:sz w:val="22"/>
          <w:szCs w:val="22"/>
        </w:rPr>
      </w:pPr>
    </w:p>
    <w:p w14:paraId="5962DDDF" w14:textId="77777777" w:rsidR="00C45646" w:rsidRPr="0053375F" w:rsidRDefault="00C45646" w:rsidP="00186A14">
      <w:pPr>
        <w:keepNext/>
        <w:autoSpaceDE w:val="0"/>
        <w:autoSpaceDN w:val="0"/>
        <w:adjustRightInd w:val="0"/>
        <w:rPr>
          <w:sz w:val="22"/>
          <w:szCs w:val="22"/>
        </w:rPr>
      </w:pPr>
      <w:r w:rsidRPr="0053375F">
        <w:rPr>
          <w:sz w:val="22"/>
          <w:szCs w:val="22"/>
        </w:rPr>
        <w:t xml:space="preserve">Šiame skyriuje išvardytas nepageidaujamas poveikis, užregistruotas 21 klinikinio </w:t>
      </w:r>
      <w:proofErr w:type="spellStart"/>
      <w:r w:rsidRPr="0053375F">
        <w:rPr>
          <w:sz w:val="22"/>
          <w:szCs w:val="22"/>
        </w:rPr>
        <w:t>placebu</w:t>
      </w:r>
      <w:proofErr w:type="spellEnd"/>
      <w:r w:rsidRPr="0053375F">
        <w:rPr>
          <w:sz w:val="22"/>
          <w:szCs w:val="22"/>
        </w:rPr>
        <w:t xml:space="preserve"> kontroliuoto tyrimo (įskaitant </w:t>
      </w:r>
      <w:r w:rsidRPr="0053375F">
        <w:rPr>
          <w:i/>
          <w:sz w:val="22"/>
          <w:szCs w:val="22"/>
        </w:rPr>
        <w:t>LIFT</w:t>
      </w:r>
      <w:r w:rsidRPr="0053375F">
        <w:rPr>
          <w:sz w:val="22"/>
          <w:szCs w:val="22"/>
        </w:rPr>
        <w:t xml:space="preserve"> tyrimą) metu. Jų metu 4079 moterys vartojo gydomąsias </w:t>
      </w:r>
      <w:proofErr w:type="spellStart"/>
      <w:r w:rsidRPr="0053375F">
        <w:rPr>
          <w:sz w:val="22"/>
          <w:szCs w:val="22"/>
        </w:rPr>
        <w:t>Livial</w:t>
      </w:r>
      <w:proofErr w:type="spellEnd"/>
      <w:r w:rsidRPr="0053375F">
        <w:rPr>
          <w:sz w:val="22"/>
          <w:szCs w:val="22"/>
        </w:rPr>
        <w:t xml:space="preserve"> dozes (1,25 mg arba 2,5 mg), o 3476 moterys – </w:t>
      </w:r>
      <w:proofErr w:type="spellStart"/>
      <w:r w:rsidRPr="0053375F">
        <w:rPr>
          <w:sz w:val="22"/>
          <w:szCs w:val="22"/>
        </w:rPr>
        <w:t>placebą</w:t>
      </w:r>
      <w:proofErr w:type="spellEnd"/>
      <w:r w:rsidRPr="0053375F">
        <w:rPr>
          <w:sz w:val="22"/>
          <w:szCs w:val="22"/>
        </w:rPr>
        <w:t xml:space="preserve">. Šių tyrimų gydymo trukmė – nuo 2 mėnesių iki 4,5 metų. 1 lentelėje nurodytas nepageidaujamas poveikis, pasireiškęs statistiškai reikšmingai dažniau gydant </w:t>
      </w:r>
      <w:proofErr w:type="spellStart"/>
      <w:r w:rsidRPr="0053375F">
        <w:rPr>
          <w:sz w:val="22"/>
          <w:szCs w:val="22"/>
        </w:rPr>
        <w:t>Livial</w:t>
      </w:r>
      <w:proofErr w:type="spellEnd"/>
      <w:r w:rsidRPr="0053375F">
        <w:rPr>
          <w:sz w:val="22"/>
          <w:szCs w:val="22"/>
        </w:rPr>
        <w:t xml:space="preserve">, nei </w:t>
      </w:r>
      <w:proofErr w:type="spellStart"/>
      <w:r w:rsidRPr="0053375F">
        <w:rPr>
          <w:sz w:val="22"/>
          <w:szCs w:val="22"/>
        </w:rPr>
        <w:t>placebu</w:t>
      </w:r>
      <w:proofErr w:type="spellEnd"/>
      <w:r w:rsidRPr="0053375F">
        <w:rPr>
          <w:sz w:val="22"/>
          <w:szCs w:val="22"/>
        </w:rPr>
        <w:t>.</w:t>
      </w:r>
    </w:p>
    <w:p w14:paraId="40E6A292" w14:textId="77777777" w:rsidR="00C45646" w:rsidRPr="0053375F" w:rsidRDefault="00C45646" w:rsidP="00C45646">
      <w:pPr>
        <w:autoSpaceDE w:val="0"/>
        <w:autoSpaceDN w:val="0"/>
        <w:adjustRightInd w:val="0"/>
        <w:rPr>
          <w:b/>
          <w:bCs/>
          <w:sz w:val="22"/>
          <w:szCs w:val="22"/>
        </w:rPr>
      </w:pPr>
    </w:p>
    <w:p w14:paraId="6AF78D9C" w14:textId="77777777" w:rsidR="00C45646" w:rsidRPr="0053375F" w:rsidRDefault="00C45646" w:rsidP="00186A14">
      <w:pPr>
        <w:keepNext/>
        <w:autoSpaceDE w:val="0"/>
        <w:autoSpaceDN w:val="0"/>
        <w:adjustRightInd w:val="0"/>
        <w:rPr>
          <w:b/>
          <w:sz w:val="22"/>
          <w:szCs w:val="22"/>
        </w:rPr>
      </w:pPr>
      <w:r w:rsidRPr="0053375F">
        <w:rPr>
          <w:b/>
          <w:sz w:val="22"/>
          <w:szCs w:val="22"/>
        </w:rPr>
        <w:t>1</w:t>
      </w:r>
      <w:r w:rsidRPr="0053375F">
        <w:rPr>
          <w:b/>
          <w:bCs/>
          <w:sz w:val="22"/>
          <w:szCs w:val="22"/>
        </w:rPr>
        <w:t> </w:t>
      </w:r>
      <w:r w:rsidRPr="0053375F">
        <w:rPr>
          <w:b/>
          <w:sz w:val="22"/>
          <w:szCs w:val="22"/>
        </w:rPr>
        <w:t xml:space="preserve">lentelė. Nepageidaujamas </w:t>
      </w:r>
      <w:proofErr w:type="spellStart"/>
      <w:r w:rsidRPr="0053375F">
        <w:rPr>
          <w:b/>
          <w:sz w:val="22"/>
          <w:szCs w:val="22"/>
        </w:rPr>
        <w:t>Livial</w:t>
      </w:r>
      <w:proofErr w:type="spellEnd"/>
      <w:r w:rsidRPr="0053375F">
        <w:rPr>
          <w:b/>
          <w:sz w:val="22"/>
          <w:szCs w:val="22"/>
        </w:rPr>
        <w:t xml:space="preserve"> poveikis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769"/>
        <w:gridCol w:w="1792"/>
        <w:gridCol w:w="1779"/>
      </w:tblGrid>
      <w:tr w:rsidR="00C45646" w:rsidRPr="0053375F" w14:paraId="5A77EBB1" w14:textId="77777777" w:rsidTr="002D58E4">
        <w:trPr>
          <w:cantSplit/>
          <w:trHeight w:val="360"/>
          <w:tblHeader/>
        </w:trPr>
        <w:tc>
          <w:tcPr>
            <w:tcW w:w="1501" w:type="pct"/>
            <w:vAlign w:val="center"/>
          </w:tcPr>
          <w:p w14:paraId="360079F5" w14:textId="77777777" w:rsidR="00C45646" w:rsidRPr="0053375F" w:rsidRDefault="00C45646" w:rsidP="00186A14">
            <w:pPr>
              <w:keepNext/>
              <w:autoSpaceDE w:val="0"/>
              <w:autoSpaceDN w:val="0"/>
              <w:adjustRightInd w:val="0"/>
              <w:rPr>
                <w:b/>
                <w:bCs/>
                <w:sz w:val="22"/>
                <w:szCs w:val="22"/>
              </w:rPr>
            </w:pPr>
            <w:r w:rsidRPr="0053375F">
              <w:rPr>
                <w:b/>
                <w:bCs/>
                <w:sz w:val="22"/>
                <w:szCs w:val="22"/>
              </w:rPr>
              <w:t>Organų sistemų klasės</w:t>
            </w:r>
          </w:p>
        </w:tc>
        <w:tc>
          <w:tcPr>
            <w:tcW w:w="1528" w:type="pct"/>
            <w:vAlign w:val="center"/>
          </w:tcPr>
          <w:p w14:paraId="4B536F37" w14:textId="77777777" w:rsidR="00C45646" w:rsidRPr="0053375F" w:rsidRDefault="00C45646" w:rsidP="00186A14">
            <w:pPr>
              <w:keepNext/>
              <w:autoSpaceDE w:val="0"/>
              <w:autoSpaceDN w:val="0"/>
              <w:adjustRightInd w:val="0"/>
              <w:rPr>
                <w:b/>
                <w:bCs/>
                <w:sz w:val="22"/>
                <w:szCs w:val="22"/>
              </w:rPr>
            </w:pPr>
            <w:r w:rsidRPr="0053375F">
              <w:rPr>
                <w:b/>
                <w:bCs/>
                <w:sz w:val="22"/>
                <w:szCs w:val="22"/>
              </w:rPr>
              <w:t>Dažni</w:t>
            </w:r>
          </w:p>
          <w:p w14:paraId="5ADE6832" w14:textId="77777777" w:rsidR="00C45646" w:rsidRPr="0053375F" w:rsidRDefault="00C45646" w:rsidP="00186A14">
            <w:pPr>
              <w:keepNext/>
              <w:autoSpaceDE w:val="0"/>
              <w:autoSpaceDN w:val="0"/>
              <w:adjustRightInd w:val="0"/>
              <w:rPr>
                <w:b/>
                <w:bCs/>
                <w:sz w:val="22"/>
                <w:szCs w:val="22"/>
              </w:rPr>
            </w:pPr>
            <w:r w:rsidRPr="0053375F">
              <w:rPr>
                <w:b/>
                <w:sz w:val="22"/>
                <w:szCs w:val="22"/>
              </w:rPr>
              <w:t>&gt;1 %, &lt;10 %</w:t>
            </w:r>
          </w:p>
        </w:tc>
        <w:tc>
          <w:tcPr>
            <w:tcW w:w="989" w:type="pct"/>
            <w:vAlign w:val="center"/>
          </w:tcPr>
          <w:p w14:paraId="2150307D" w14:textId="77777777" w:rsidR="00C45646" w:rsidRPr="0053375F" w:rsidRDefault="00C45646" w:rsidP="00186A14">
            <w:pPr>
              <w:keepNext/>
              <w:autoSpaceDE w:val="0"/>
              <w:autoSpaceDN w:val="0"/>
              <w:adjustRightInd w:val="0"/>
              <w:rPr>
                <w:b/>
                <w:bCs/>
                <w:sz w:val="22"/>
                <w:szCs w:val="22"/>
              </w:rPr>
            </w:pPr>
            <w:r w:rsidRPr="0053375F">
              <w:rPr>
                <w:b/>
                <w:bCs/>
                <w:sz w:val="22"/>
                <w:szCs w:val="22"/>
              </w:rPr>
              <w:t>Nedažni</w:t>
            </w:r>
          </w:p>
          <w:p w14:paraId="1C60FB96" w14:textId="77777777" w:rsidR="00C45646" w:rsidRPr="0053375F" w:rsidRDefault="00C45646" w:rsidP="00186A14">
            <w:pPr>
              <w:keepNext/>
              <w:autoSpaceDE w:val="0"/>
              <w:autoSpaceDN w:val="0"/>
              <w:adjustRightInd w:val="0"/>
              <w:rPr>
                <w:b/>
                <w:bCs/>
                <w:sz w:val="22"/>
                <w:szCs w:val="22"/>
              </w:rPr>
            </w:pPr>
            <w:r w:rsidRPr="0053375F">
              <w:rPr>
                <w:b/>
                <w:sz w:val="22"/>
                <w:szCs w:val="22"/>
              </w:rPr>
              <w:t>&gt;0,1 %, &lt;1 %</w:t>
            </w:r>
          </w:p>
        </w:tc>
        <w:tc>
          <w:tcPr>
            <w:tcW w:w="982" w:type="pct"/>
            <w:vAlign w:val="center"/>
          </w:tcPr>
          <w:p w14:paraId="4FA06A9B" w14:textId="77777777" w:rsidR="00C45646" w:rsidRPr="0053375F" w:rsidRDefault="00C45646" w:rsidP="00186A14">
            <w:pPr>
              <w:keepNext/>
              <w:autoSpaceDE w:val="0"/>
              <w:autoSpaceDN w:val="0"/>
              <w:adjustRightInd w:val="0"/>
              <w:rPr>
                <w:b/>
                <w:bCs/>
                <w:sz w:val="22"/>
                <w:szCs w:val="22"/>
              </w:rPr>
            </w:pPr>
            <w:r w:rsidRPr="0053375F">
              <w:rPr>
                <w:b/>
                <w:bCs/>
                <w:sz w:val="22"/>
                <w:szCs w:val="22"/>
              </w:rPr>
              <w:t>Reti</w:t>
            </w:r>
          </w:p>
          <w:p w14:paraId="5826903A" w14:textId="77777777" w:rsidR="00C45646" w:rsidRPr="0053375F" w:rsidRDefault="00C45646" w:rsidP="00186A14">
            <w:pPr>
              <w:keepNext/>
              <w:autoSpaceDE w:val="0"/>
              <w:autoSpaceDN w:val="0"/>
              <w:adjustRightInd w:val="0"/>
              <w:rPr>
                <w:b/>
                <w:bCs/>
                <w:sz w:val="22"/>
                <w:szCs w:val="22"/>
              </w:rPr>
            </w:pPr>
            <w:r w:rsidRPr="0053375F">
              <w:rPr>
                <w:b/>
                <w:sz w:val="22"/>
                <w:szCs w:val="22"/>
              </w:rPr>
              <w:t>&gt;0,01 %, &lt;0,1 %</w:t>
            </w:r>
          </w:p>
        </w:tc>
      </w:tr>
      <w:tr w:rsidR="00C45646" w:rsidRPr="0053375F" w14:paraId="6FED45D4" w14:textId="77777777" w:rsidTr="002D58E4">
        <w:trPr>
          <w:cantSplit/>
          <w:trHeight w:val="360"/>
        </w:trPr>
        <w:tc>
          <w:tcPr>
            <w:tcW w:w="1501" w:type="pct"/>
            <w:vAlign w:val="center"/>
          </w:tcPr>
          <w:p w14:paraId="4599D159" w14:textId="77777777" w:rsidR="00C45646" w:rsidRPr="007308E9" w:rsidRDefault="00C45646" w:rsidP="00186A14">
            <w:pPr>
              <w:keepNext/>
              <w:autoSpaceDE w:val="0"/>
              <w:autoSpaceDN w:val="0"/>
              <w:adjustRightInd w:val="0"/>
              <w:rPr>
                <w:sz w:val="22"/>
                <w:szCs w:val="22"/>
              </w:rPr>
            </w:pPr>
            <w:r w:rsidRPr="00186A14">
              <w:rPr>
                <w:sz w:val="22"/>
                <w:szCs w:val="22"/>
              </w:rPr>
              <w:t>Metabolizmo ir mitybos sutrikimai</w:t>
            </w:r>
          </w:p>
        </w:tc>
        <w:tc>
          <w:tcPr>
            <w:tcW w:w="1528" w:type="pct"/>
            <w:vAlign w:val="center"/>
          </w:tcPr>
          <w:p w14:paraId="39011A53" w14:textId="77777777" w:rsidR="00C45646" w:rsidRPr="0053375F" w:rsidRDefault="00C45646" w:rsidP="00186A14">
            <w:pPr>
              <w:keepNext/>
              <w:autoSpaceDE w:val="0"/>
              <w:autoSpaceDN w:val="0"/>
              <w:adjustRightInd w:val="0"/>
              <w:rPr>
                <w:sz w:val="22"/>
                <w:szCs w:val="22"/>
              </w:rPr>
            </w:pPr>
          </w:p>
        </w:tc>
        <w:tc>
          <w:tcPr>
            <w:tcW w:w="989" w:type="pct"/>
            <w:vAlign w:val="center"/>
          </w:tcPr>
          <w:p w14:paraId="7A5BB791" w14:textId="77777777" w:rsidR="00C45646" w:rsidRPr="0053375F" w:rsidRDefault="00C45646" w:rsidP="00186A14">
            <w:pPr>
              <w:keepNext/>
              <w:autoSpaceDE w:val="0"/>
              <w:autoSpaceDN w:val="0"/>
              <w:adjustRightInd w:val="0"/>
              <w:rPr>
                <w:sz w:val="22"/>
                <w:szCs w:val="22"/>
              </w:rPr>
            </w:pPr>
            <w:r w:rsidRPr="0053375F">
              <w:rPr>
                <w:bCs/>
                <w:sz w:val="22"/>
                <w:szCs w:val="22"/>
              </w:rPr>
              <w:t>Edema**</w:t>
            </w:r>
          </w:p>
        </w:tc>
        <w:tc>
          <w:tcPr>
            <w:tcW w:w="982" w:type="pct"/>
            <w:vAlign w:val="center"/>
          </w:tcPr>
          <w:p w14:paraId="2B9E3894" w14:textId="77777777" w:rsidR="00C45646" w:rsidRPr="0053375F" w:rsidRDefault="00C45646" w:rsidP="00186A14">
            <w:pPr>
              <w:keepNext/>
              <w:autoSpaceDE w:val="0"/>
              <w:autoSpaceDN w:val="0"/>
              <w:adjustRightInd w:val="0"/>
              <w:rPr>
                <w:b/>
                <w:bCs/>
                <w:sz w:val="22"/>
                <w:szCs w:val="22"/>
              </w:rPr>
            </w:pPr>
          </w:p>
        </w:tc>
      </w:tr>
      <w:tr w:rsidR="00C45646" w:rsidRPr="0053375F" w14:paraId="50226DFB" w14:textId="77777777" w:rsidTr="002D58E4">
        <w:trPr>
          <w:cantSplit/>
          <w:trHeight w:val="360"/>
        </w:trPr>
        <w:tc>
          <w:tcPr>
            <w:tcW w:w="1501" w:type="pct"/>
            <w:vAlign w:val="center"/>
          </w:tcPr>
          <w:p w14:paraId="7C9CBB77" w14:textId="77777777" w:rsidR="00C45646" w:rsidRPr="0053375F" w:rsidRDefault="00C45646" w:rsidP="00186A14">
            <w:pPr>
              <w:keepNext/>
              <w:autoSpaceDE w:val="0"/>
              <w:autoSpaceDN w:val="0"/>
              <w:adjustRightInd w:val="0"/>
              <w:rPr>
                <w:b/>
                <w:sz w:val="22"/>
                <w:szCs w:val="22"/>
              </w:rPr>
            </w:pPr>
            <w:r w:rsidRPr="0053375F">
              <w:rPr>
                <w:sz w:val="22"/>
                <w:szCs w:val="22"/>
              </w:rPr>
              <w:t>Virškinimo trakto sutrikimai</w:t>
            </w:r>
          </w:p>
        </w:tc>
        <w:tc>
          <w:tcPr>
            <w:tcW w:w="1528" w:type="pct"/>
            <w:vAlign w:val="center"/>
          </w:tcPr>
          <w:p w14:paraId="23D0C256" w14:textId="77777777" w:rsidR="00C45646" w:rsidRPr="0053375F" w:rsidRDefault="00C45646" w:rsidP="00186A14">
            <w:pPr>
              <w:keepNext/>
              <w:autoSpaceDE w:val="0"/>
              <w:autoSpaceDN w:val="0"/>
              <w:adjustRightInd w:val="0"/>
              <w:rPr>
                <w:b/>
                <w:sz w:val="22"/>
                <w:szCs w:val="22"/>
              </w:rPr>
            </w:pPr>
            <w:r w:rsidRPr="0053375F">
              <w:rPr>
                <w:sz w:val="22"/>
                <w:szCs w:val="22"/>
              </w:rPr>
              <w:t>Pilvo apatinės dalies skausmas</w:t>
            </w:r>
          </w:p>
        </w:tc>
        <w:tc>
          <w:tcPr>
            <w:tcW w:w="989" w:type="pct"/>
            <w:vAlign w:val="center"/>
          </w:tcPr>
          <w:p w14:paraId="1ABC2BB2" w14:textId="77777777" w:rsidR="00C45646" w:rsidRPr="0053375F" w:rsidRDefault="00C45646" w:rsidP="00186A14">
            <w:pPr>
              <w:keepNext/>
              <w:autoSpaceDE w:val="0"/>
              <w:autoSpaceDN w:val="0"/>
              <w:adjustRightInd w:val="0"/>
              <w:rPr>
                <w:sz w:val="22"/>
                <w:szCs w:val="22"/>
              </w:rPr>
            </w:pPr>
            <w:r w:rsidRPr="0053375F">
              <w:rPr>
                <w:bCs/>
                <w:sz w:val="22"/>
                <w:szCs w:val="22"/>
              </w:rPr>
              <w:t>Diskomfortas pilve**</w:t>
            </w:r>
          </w:p>
        </w:tc>
        <w:tc>
          <w:tcPr>
            <w:tcW w:w="982" w:type="pct"/>
            <w:vAlign w:val="center"/>
          </w:tcPr>
          <w:p w14:paraId="3FE505F5" w14:textId="77777777" w:rsidR="00C45646" w:rsidRPr="0053375F" w:rsidRDefault="00C45646" w:rsidP="00186A14">
            <w:pPr>
              <w:keepNext/>
              <w:autoSpaceDE w:val="0"/>
              <w:autoSpaceDN w:val="0"/>
              <w:adjustRightInd w:val="0"/>
              <w:rPr>
                <w:b/>
                <w:bCs/>
                <w:sz w:val="22"/>
                <w:szCs w:val="22"/>
              </w:rPr>
            </w:pPr>
          </w:p>
        </w:tc>
      </w:tr>
      <w:tr w:rsidR="00C45646" w:rsidRPr="0053375F" w14:paraId="769180D0" w14:textId="77777777" w:rsidTr="002D58E4">
        <w:trPr>
          <w:cantSplit/>
          <w:trHeight w:val="360"/>
        </w:trPr>
        <w:tc>
          <w:tcPr>
            <w:tcW w:w="1501" w:type="pct"/>
            <w:vAlign w:val="center"/>
          </w:tcPr>
          <w:p w14:paraId="53E21830" w14:textId="77777777" w:rsidR="00C45646" w:rsidRPr="0053375F" w:rsidRDefault="00C45646" w:rsidP="002D58E4">
            <w:pPr>
              <w:autoSpaceDE w:val="0"/>
              <w:autoSpaceDN w:val="0"/>
              <w:adjustRightInd w:val="0"/>
              <w:rPr>
                <w:sz w:val="22"/>
                <w:szCs w:val="22"/>
              </w:rPr>
            </w:pPr>
            <w:r w:rsidRPr="0053375F">
              <w:rPr>
                <w:sz w:val="22"/>
                <w:szCs w:val="22"/>
              </w:rPr>
              <w:t>Odos ir poodinio audinio sutrikimai</w:t>
            </w:r>
          </w:p>
        </w:tc>
        <w:tc>
          <w:tcPr>
            <w:tcW w:w="1528" w:type="pct"/>
            <w:vAlign w:val="center"/>
          </w:tcPr>
          <w:p w14:paraId="23C6D9C2" w14:textId="77777777" w:rsidR="00C45646" w:rsidRPr="0053375F" w:rsidRDefault="00C45646" w:rsidP="002D58E4">
            <w:pPr>
              <w:autoSpaceDE w:val="0"/>
              <w:autoSpaceDN w:val="0"/>
              <w:adjustRightInd w:val="0"/>
              <w:rPr>
                <w:sz w:val="22"/>
                <w:szCs w:val="22"/>
              </w:rPr>
            </w:pPr>
            <w:r w:rsidRPr="0053375F">
              <w:rPr>
                <w:sz w:val="22"/>
                <w:szCs w:val="22"/>
              </w:rPr>
              <w:t>Plaukų augimo sutrikimas</w:t>
            </w:r>
          </w:p>
        </w:tc>
        <w:tc>
          <w:tcPr>
            <w:tcW w:w="989" w:type="pct"/>
            <w:vAlign w:val="center"/>
          </w:tcPr>
          <w:p w14:paraId="1E9CA5AB" w14:textId="77777777" w:rsidR="00C45646" w:rsidRPr="0053375F" w:rsidRDefault="00C45646" w:rsidP="002D58E4">
            <w:pPr>
              <w:autoSpaceDE w:val="0"/>
              <w:autoSpaceDN w:val="0"/>
              <w:adjustRightInd w:val="0"/>
              <w:rPr>
                <w:b/>
                <w:bCs/>
                <w:sz w:val="22"/>
                <w:szCs w:val="22"/>
              </w:rPr>
            </w:pPr>
            <w:r w:rsidRPr="0053375F">
              <w:rPr>
                <w:sz w:val="22"/>
                <w:szCs w:val="22"/>
              </w:rPr>
              <w:t>Spuogai</w:t>
            </w:r>
          </w:p>
        </w:tc>
        <w:tc>
          <w:tcPr>
            <w:tcW w:w="982" w:type="pct"/>
            <w:vAlign w:val="center"/>
          </w:tcPr>
          <w:p w14:paraId="7A8C61D1" w14:textId="77777777" w:rsidR="00C45646" w:rsidRPr="0053375F" w:rsidRDefault="00C45646" w:rsidP="002D58E4">
            <w:pPr>
              <w:autoSpaceDE w:val="0"/>
              <w:autoSpaceDN w:val="0"/>
              <w:adjustRightInd w:val="0"/>
              <w:rPr>
                <w:sz w:val="22"/>
                <w:szCs w:val="22"/>
              </w:rPr>
            </w:pPr>
            <w:r w:rsidRPr="0053375F">
              <w:rPr>
                <w:sz w:val="22"/>
                <w:szCs w:val="22"/>
              </w:rPr>
              <w:t>Niežulys**</w:t>
            </w:r>
          </w:p>
        </w:tc>
      </w:tr>
      <w:tr w:rsidR="00C45646" w:rsidRPr="0053375F" w14:paraId="524B8127" w14:textId="77777777" w:rsidTr="002D58E4">
        <w:trPr>
          <w:cantSplit/>
          <w:trHeight w:val="360"/>
        </w:trPr>
        <w:tc>
          <w:tcPr>
            <w:tcW w:w="1501" w:type="pct"/>
            <w:vAlign w:val="center"/>
          </w:tcPr>
          <w:p w14:paraId="4707AF5C" w14:textId="77777777" w:rsidR="00C45646" w:rsidRPr="0053375F" w:rsidRDefault="00C45646" w:rsidP="002D58E4">
            <w:pPr>
              <w:autoSpaceDE w:val="0"/>
              <w:autoSpaceDN w:val="0"/>
              <w:adjustRightInd w:val="0"/>
              <w:rPr>
                <w:b/>
                <w:bCs/>
                <w:sz w:val="22"/>
                <w:szCs w:val="22"/>
              </w:rPr>
            </w:pPr>
            <w:r w:rsidRPr="0053375F">
              <w:rPr>
                <w:sz w:val="22"/>
                <w:szCs w:val="22"/>
              </w:rPr>
              <w:lastRenderedPageBreak/>
              <w:t>Lytinės sistemos ir krūties sutrikimai</w:t>
            </w:r>
          </w:p>
        </w:tc>
        <w:tc>
          <w:tcPr>
            <w:tcW w:w="1528" w:type="pct"/>
            <w:vAlign w:val="center"/>
          </w:tcPr>
          <w:p w14:paraId="0CDF49BF" w14:textId="77777777" w:rsidR="00C45646" w:rsidRPr="0053375F" w:rsidRDefault="00C45646" w:rsidP="002D58E4">
            <w:pPr>
              <w:autoSpaceDE w:val="0"/>
              <w:autoSpaceDN w:val="0"/>
              <w:adjustRightInd w:val="0"/>
              <w:rPr>
                <w:sz w:val="22"/>
                <w:szCs w:val="22"/>
              </w:rPr>
            </w:pPr>
            <w:r w:rsidRPr="0053375F">
              <w:rPr>
                <w:sz w:val="22"/>
                <w:szCs w:val="22"/>
              </w:rPr>
              <w:t>Išskyros iš makšties</w:t>
            </w:r>
          </w:p>
          <w:p w14:paraId="6D1CD862" w14:textId="77777777" w:rsidR="00C45646" w:rsidRPr="0053375F" w:rsidRDefault="00C45646" w:rsidP="002D58E4">
            <w:pPr>
              <w:autoSpaceDE w:val="0"/>
              <w:autoSpaceDN w:val="0"/>
              <w:adjustRightInd w:val="0"/>
              <w:rPr>
                <w:sz w:val="22"/>
                <w:szCs w:val="22"/>
              </w:rPr>
            </w:pPr>
            <w:proofErr w:type="spellStart"/>
            <w:r w:rsidRPr="0053375F">
              <w:rPr>
                <w:sz w:val="22"/>
                <w:szCs w:val="22"/>
              </w:rPr>
              <w:t>Endometriumo</w:t>
            </w:r>
            <w:proofErr w:type="spellEnd"/>
            <w:r w:rsidRPr="0053375F">
              <w:rPr>
                <w:sz w:val="22"/>
                <w:szCs w:val="22"/>
              </w:rPr>
              <w:t xml:space="preserve"> </w:t>
            </w:r>
            <w:proofErr w:type="spellStart"/>
            <w:r w:rsidRPr="0053375F">
              <w:rPr>
                <w:sz w:val="22"/>
                <w:szCs w:val="22"/>
              </w:rPr>
              <w:t>hiperplazija</w:t>
            </w:r>
            <w:proofErr w:type="spellEnd"/>
          </w:p>
          <w:p w14:paraId="06A62A0E" w14:textId="77777777" w:rsidR="00C45646" w:rsidRPr="0053375F" w:rsidRDefault="00C45646" w:rsidP="002D58E4">
            <w:pPr>
              <w:autoSpaceDE w:val="0"/>
              <w:autoSpaceDN w:val="0"/>
              <w:adjustRightInd w:val="0"/>
              <w:rPr>
                <w:sz w:val="22"/>
                <w:szCs w:val="22"/>
              </w:rPr>
            </w:pPr>
            <w:r w:rsidRPr="0053375F">
              <w:rPr>
                <w:sz w:val="22"/>
                <w:szCs w:val="22"/>
              </w:rPr>
              <w:t>Kraujavimas po menopauzės</w:t>
            </w:r>
          </w:p>
          <w:p w14:paraId="2FA817B4" w14:textId="77777777" w:rsidR="00C45646" w:rsidRPr="0053375F" w:rsidRDefault="00C45646" w:rsidP="002D58E4">
            <w:pPr>
              <w:autoSpaceDE w:val="0"/>
              <w:autoSpaceDN w:val="0"/>
              <w:adjustRightInd w:val="0"/>
              <w:rPr>
                <w:sz w:val="22"/>
                <w:szCs w:val="22"/>
              </w:rPr>
            </w:pPr>
            <w:r w:rsidRPr="0053375F">
              <w:rPr>
                <w:sz w:val="22"/>
                <w:szCs w:val="22"/>
              </w:rPr>
              <w:t>Krūtų tempimas</w:t>
            </w:r>
          </w:p>
          <w:p w14:paraId="5EA22C34" w14:textId="77777777" w:rsidR="00C45646" w:rsidRPr="0053375F" w:rsidRDefault="00C45646" w:rsidP="002D58E4">
            <w:pPr>
              <w:autoSpaceDE w:val="0"/>
              <w:autoSpaceDN w:val="0"/>
              <w:adjustRightInd w:val="0"/>
              <w:rPr>
                <w:sz w:val="22"/>
                <w:szCs w:val="22"/>
              </w:rPr>
            </w:pPr>
            <w:r w:rsidRPr="0053375F">
              <w:rPr>
                <w:sz w:val="22"/>
                <w:szCs w:val="22"/>
              </w:rPr>
              <w:t>Lyties organų niežulys</w:t>
            </w:r>
          </w:p>
          <w:p w14:paraId="0E86C29A" w14:textId="77777777" w:rsidR="00C45646" w:rsidRPr="0053375F" w:rsidRDefault="00C45646" w:rsidP="002D58E4">
            <w:pPr>
              <w:autoSpaceDE w:val="0"/>
              <w:autoSpaceDN w:val="0"/>
              <w:adjustRightInd w:val="0"/>
              <w:rPr>
                <w:sz w:val="22"/>
                <w:szCs w:val="22"/>
              </w:rPr>
            </w:pPr>
            <w:r w:rsidRPr="0053375F">
              <w:rPr>
                <w:sz w:val="22"/>
                <w:szCs w:val="22"/>
              </w:rPr>
              <w:t>Makšties</w:t>
            </w:r>
            <w:r w:rsidRPr="0053375F" w:rsidDel="00BA578D">
              <w:rPr>
                <w:sz w:val="22"/>
                <w:szCs w:val="22"/>
              </w:rPr>
              <w:t xml:space="preserve"> </w:t>
            </w:r>
            <w:proofErr w:type="spellStart"/>
            <w:r w:rsidRPr="0053375F">
              <w:rPr>
                <w:sz w:val="22"/>
                <w:szCs w:val="22"/>
              </w:rPr>
              <w:t>kandidozė</w:t>
            </w:r>
            <w:proofErr w:type="spellEnd"/>
          </w:p>
          <w:p w14:paraId="62E43D26" w14:textId="77777777" w:rsidR="00C45646" w:rsidRPr="0053375F" w:rsidRDefault="00C45646" w:rsidP="002D58E4">
            <w:pPr>
              <w:autoSpaceDE w:val="0"/>
              <w:autoSpaceDN w:val="0"/>
              <w:adjustRightInd w:val="0"/>
              <w:rPr>
                <w:sz w:val="22"/>
                <w:szCs w:val="22"/>
              </w:rPr>
            </w:pPr>
            <w:r w:rsidRPr="0053375F">
              <w:rPr>
                <w:sz w:val="22"/>
                <w:szCs w:val="22"/>
              </w:rPr>
              <w:t>Kraujavimas iš makšties</w:t>
            </w:r>
          </w:p>
          <w:p w14:paraId="690AC547" w14:textId="77777777" w:rsidR="00C45646" w:rsidRPr="0053375F" w:rsidRDefault="00C45646" w:rsidP="002D58E4">
            <w:pPr>
              <w:autoSpaceDE w:val="0"/>
              <w:autoSpaceDN w:val="0"/>
              <w:adjustRightInd w:val="0"/>
              <w:rPr>
                <w:sz w:val="22"/>
                <w:szCs w:val="22"/>
              </w:rPr>
            </w:pPr>
            <w:r w:rsidRPr="0053375F">
              <w:rPr>
                <w:sz w:val="22"/>
                <w:szCs w:val="22"/>
              </w:rPr>
              <w:t>Dubens skausmas</w:t>
            </w:r>
          </w:p>
          <w:p w14:paraId="5D3F12E7" w14:textId="77777777" w:rsidR="00C45646" w:rsidRPr="0053375F" w:rsidRDefault="00C45646" w:rsidP="002D58E4">
            <w:pPr>
              <w:autoSpaceDE w:val="0"/>
              <w:autoSpaceDN w:val="0"/>
              <w:adjustRightInd w:val="0"/>
              <w:rPr>
                <w:sz w:val="22"/>
                <w:szCs w:val="22"/>
              </w:rPr>
            </w:pPr>
            <w:r w:rsidRPr="0053375F">
              <w:rPr>
                <w:sz w:val="22"/>
                <w:szCs w:val="22"/>
              </w:rPr>
              <w:t>Gimdos kaklelio displazija</w:t>
            </w:r>
          </w:p>
          <w:p w14:paraId="57C50727" w14:textId="77777777" w:rsidR="00C45646" w:rsidRPr="0053375F" w:rsidRDefault="00C45646" w:rsidP="002D58E4">
            <w:pPr>
              <w:autoSpaceDE w:val="0"/>
              <w:autoSpaceDN w:val="0"/>
              <w:adjustRightInd w:val="0"/>
              <w:rPr>
                <w:sz w:val="22"/>
                <w:szCs w:val="22"/>
              </w:rPr>
            </w:pPr>
            <w:r w:rsidRPr="0053375F">
              <w:rPr>
                <w:sz w:val="22"/>
                <w:szCs w:val="22"/>
              </w:rPr>
              <w:t>Išskyros iš lytinių organų</w:t>
            </w:r>
          </w:p>
          <w:p w14:paraId="3CB037D6" w14:textId="77777777" w:rsidR="00C45646" w:rsidRPr="0053375F" w:rsidRDefault="00C45646" w:rsidP="002D58E4">
            <w:pPr>
              <w:autoSpaceDE w:val="0"/>
              <w:autoSpaceDN w:val="0"/>
              <w:adjustRightInd w:val="0"/>
              <w:rPr>
                <w:b/>
                <w:bCs/>
                <w:sz w:val="22"/>
                <w:szCs w:val="22"/>
              </w:rPr>
            </w:pPr>
            <w:proofErr w:type="spellStart"/>
            <w:r w:rsidRPr="0053375F">
              <w:rPr>
                <w:sz w:val="22"/>
                <w:szCs w:val="22"/>
              </w:rPr>
              <w:t>Vulvovaginitas</w:t>
            </w:r>
            <w:proofErr w:type="spellEnd"/>
          </w:p>
        </w:tc>
        <w:tc>
          <w:tcPr>
            <w:tcW w:w="989" w:type="pct"/>
            <w:vAlign w:val="center"/>
          </w:tcPr>
          <w:p w14:paraId="4F5AF052" w14:textId="77777777" w:rsidR="00C45646" w:rsidRPr="0053375F" w:rsidRDefault="00C45646" w:rsidP="00186A14">
            <w:pPr>
              <w:keepNext/>
              <w:autoSpaceDE w:val="0"/>
              <w:autoSpaceDN w:val="0"/>
              <w:adjustRightInd w:val="0"/>
              <w:rPr>
                <w:sz w:val="22"/>
                <w:szCs w:val="22"/>
              </w:rPr>
            </w:pPr>
            <w:r w:rsidRPr="0053375F">
              <w:rPr>
                <w:sz w:val="22"/>
                <w:szCs w:val="22"/>
              </w:rPr>
              <w:t>Krūtų diskomfortas</w:t>
            </w:r>
          </w:p>
          <w:p w14:paraId="6EC262FC" w14:textId="77777777" w:rsidR="00C45646" w:rsidRPr="0053375F" w:rsidRDefault="00C45646" w:rsidP="002D58E4">
            <w:pPr>
              <w:autoSpaceDE w:val="0"/>
              <w:autoSpaceDN w:val="0"/>
              <w:adjustRightInd w:val="0"/>
              <w:rPr>
                <w:sz w:val="22"/>
                <w:szCs w:val="22"/>
              </w:rPr>
            </w:pPr>
            <w:r w:rsidRPr="0053375F">
              <w:rPr>
                <w:sz w:val="22"/>
                <w:szCs w:val="22"/>
              </w:rPr>
              <w:t>Grybelinė infekcija</w:t>
            </w:r>
          </w:p>
          <w:p w14:paraId="325C5EA6" w14:textId="77777777" w:rsidR="00C45646" w:rsidRPr="0053375F" w:rsidRDefault="00C45646" w:rsidP="002D58E4">
            <w:pPr>
              <w:autoSpaceDE w:val="0"/>
              <w:autoSpaceDN w:val="0"/>
              <w:adjustRightInd w:val="0"/>
              <w:rPr>
                <w:sz w:val="22"/>
                <w:szCs w:val="22"/>
              </w:rPr>
            </w:pPr>
            <w:r w:rsidRPr="0053375F">
              <w:rPr>
                <w:sz w:val="22"/>
                <w:szCs w:val="22"/>
              </w:rPr>
              <w:t>Makšties mikozė</w:t>
            </w:r>
          </w:p>
          <w:p w14:paraId="1CA7DEF3" w14:textId="77777777" w:rsidR="00C45646" w:rsidRPr="0053375F" w:rsidRDefault="00C45646" w:rsidP="002D58E4">
            <w:pPr>
              <w:autoSpaceDE w:val="0"/>
              <w:autoSpaceDN w:val="0"/>
              <w:adjustRightInd w:val="0"/>
              <w:rPr>
                <w:sz w:val="22"/>
                <w:szCs w:val="22"/>
              </w:rPr>
            </w:pPr>
            <w:r w:rsidRPr="0053375F">
              <w:rPr>
                <w:sz w:val="22"/>
                <w:szCs w:val="22"/>
              </w:rPr>
              <w:t>Spenelių skausmas</w:t>
            </w:r>
          </w:p>
          <w:p w14:paraId="6F20BF2E" w14:textId="77777777" w:rsidR="00C45646" w:rsidRPr="0053375F" w:rsidRDefault="00C45646" w:rsidP="002D58E4">
            <w:pPr>
              <w:autoSpaceDE w:val="0"/>
              <w:autoSpaceDN w:val="0"/>
              <w:adjustRightInd w:val="0"/>
              <w:rPr>
                <w:b/>
                <w:bCs/>
                <w:sz w:val="22"/>
                <w:szCs w:val="22"/>
              </w:rPr>
            </w:pPr>
          </w:p>
        </w:tc>
        <w:tc>
          <w:tcPr>
            <w:tcW w:w="982" w:type="pct"/>
            <w:vAlign w:val="center"/>
          </w:tcPr>
          <w:p w14:paraId="56533CAC" w14:textId="77777777" w:rsidR="00C45646" w:rsidRPr="0053375F" w:rsidRDefault="00C45646" w:rsidP="002D58E4">
            <w:pPr>
              <w:autoSpaceDE w:val="0"/>
              <w:autoSpaceDN w:val="0"/>
              <w:adjustRightInd w:val="0"/>
              <w:rPr>
                <w:sz w:val="22"/>
                <w:szCs w:val="22"/>
              </w:rPr>
            </w:pPr>
          </w:p>
        </w:tc>
      </w:tr>
      <w:tr w:rsidR="00C45646" w:rsidRPr="0053375F" w14:paraId="10DBB74B" w14:textId="77777777" w:rsidTr="002D58E4">
        <w:trPr>
          <w:cantSplit/>
          <w:trHeight w:val="360"/>
        </w:trPr>
        <w:tc>
          <w:tcPr>
            <w:tcW w:w="1501" w:type="pct"/>
            <w:vAlign w:val="center"/>
          </w:tcPr>
          <w:p w14:paraId="35A699DF" w14:textId="77777777" w:rsidR="00C45646" w:rsidRPr="0053375F" w:rsidRDefault="00C45646" w:rsidP="002D58E4">
            <w:pPr>
              <w:autoSpaceDE w:val="0"/>
              <w:autoSpaceDN w:val="0"/>
              <w:adjustRightInd w:val="0"/>
              <w:rPr>
                <w:b/>
                <w:bCs/>
                <w:sz w:val="22"/>
                <w:szCs w:val="22"/>
              </w:rPr>
            </w:pPr>
            <w:r w:rsidRPr="0053375F">
              <w:rPr>
                <w:sz w:val="22"/>
                <w:szCs w:val="22"/>
              </w:rPr>
              <w:t>Tyrimai</w:t>
            </w:r>
          </w:p>
        </w:tc>
        <w:tc>
          <w:tcPr>
            <w:tcW w:w="1528" w:type="pct"/>
            <w:vAlign w:val="center"/>
          </w:tcPr>
          <w:p w14:paraId="5369DEA5" w14:textId="77777777" w:rsidR="00C45646" w:rsidRPr="0053375F" w:rsidRDefault="00C45646" w:rsidP="002D58E4">
            <w:pPr>
              <w:autoSpaceDE w:val="0"/>
              <w:autoSpaceDN w:val="0"/>
              <w:adjustRightInd w:val="0"/>
              <w:rPr>
                <w:sz w:val="22"/>
                <w:szCs w:val="22"/>
              </w:rPr>
            </w:pPr>
            <w:r w:rsidRPr="0053375F">
              <w:rPr>
                <w:sz w:val="22"/>
                <w:szCs w:val="22"/>
              </w:rPr>
              <w:t>Svorio padidėjimas</w:t>
            </w:r>
          </w:p>
          <w:p w14:paraId="1F8F4998" w14:textId="77777777" w:rsidR="00C45646" w:rsidRPr="0053375F" w:rsidRDefault="00C45646" w:rsidP="002D58E4">
            <w:pPr>
              <w:autoSpaceDE w:val="0"/>
              <w:autoSpaceDN w:val="0"/>
              <w:adjustRightInd w:val="0"/>
              <w:rPr>
                <w:b/>
                <w:sz w:val="22"/>
                <w:szCs w:val="22"/>
              </w:rPr>
            </w:pPr>
            <w:r w:rsidRPr="0053375F">
              <w:rPr>
                <w:sz w:val="22"/>
                <w:szCs w:val="22"/>
              </w:rPr>
              <w:t>Gimdos kaklelio tepinėlio pokyčiai*</w:t>
            </w:r>
          </w:p>
        </w:tc>
        <w:tc>
          <w:tcPr>
            <w:tcW w:w="989" w:type="pct"/>
            <w:vAlign w:val="center"/>
          </w:tcPr>
          <w:p w14:paraId="5707040A" w14:textId="77777777" w:rsidR="00C45646" w:rsidRPr="0053375F" w:rsidRDefault="00C45646" w:rsidP="002D58E4">
            <w:pPr>
              <w:autoSpaceDE w:val="0"/>
              <w:autoSpaceDN w:val="0"/>
              <w:adjustRightInd w:val="0"/>
              <w:rPr>
                <w:b/>
                <w:bCs/>
                <w:sz w:val="22"/>
                <w:szCs w:val="22"/>
              </w:rPr>
            </w:pPr>
          </w:p>
        </w:tc>
        <w:tc>
          <w:tcPr>
            <w:tcW w:w="982" w:type="pct"/>
            <w:vAlign w:val="center"/>
          </w:tcPr>
          <w:p w14:paraId="4332D9D6" w14:textId="77777777" w:rsidR="00C45646" w:rsidRPr="0053375F" w:rsidRDefault="00C45646" w:rsidP="002D58E4">
            <w:pPr>
              <w:autoSpaceDE w:val="0"/>
              <w:autoSpaceDN w:val="0"/>
              <w:adjustRightInd w:val="0"/>
              <w:rPr>
                <w:b/>
                <w:bCs/>
                <w:sz w:val="22"/>
                <w:szCs w:val="22"/>
              </w:rPr>
            </w:pPr>
          </w:p>
        </w:tc>
      </w:tr>
    </w:tbl>
    <w:p w14:paraId="581375D6" w14:textId="77777777" w:rsidR="00186A14" w:rsidRDefault="00186A14" w:rsidP="00C45646">
      <w:pPr>
        <w:autoSpaceDE w:val="0"/>
        <w:autoSpaceDN w:val="0"/>
        <w:adjustRightInd w:val="0"/>
        <w:rPr>
          <w:sz w:val="22"/>
          <w:szCs w:val="22"/>
        </w:rPr>
      </w:pPr>
    </w:p>
    <w:p w14:paraId="7D9C786B" w14:textId="77777777" w:rsidR="00C45646" w:rsidRPr="0053375F" w:rsidRDefault="00C45646" w:rsidP="00C45646">
      <w:pPr>
        <w:autoSpaceDE w:val="0"/>
        <w:autoSpaceDN w:val="0"/>
        <w:adjustRightInd w:val="0"/>
        <w:rPr>
          <w:sz w:val="22"/>
          <w:szCs w:val="22"/>
        </w:rPr>
      </w:pPr>
      <w:r w:rsidRPr="0053375F">
        <w:rPr>
          <w:sz w:val="22"/>
          <w:szCs w:val="22"/>
        </w:rPr>
        <w:t xml:space="preserve">* Dažniausiai pokyčiai buvo gerybiniai. Gimdos kaklelio patologijos (gimdos kaklelio </w:t>
      </w:r>
      <w:proofErr w:type="spellStart"/>
      <w:r w:rsidRPr="0053375F">
        <w:rPr>
          <w:sz w:val="22"/>
          <w:szCs w:val="22"/>
        </w:rPr>
        <w:t>karcinomos</w:t>
      </w:r>
      <w:proofErr w:type="spellEnd"/>
      <w:r w:rsidRPr="0053375F">
        <w:rPr>
          <w:sz w:val="22"/>
          <w:szCs w:val="22"/>
        </w:rPr>
        <w:t xml:space="preserve">) atvejų vartojant </w:t>
      </w:r>
      <w:proofErr w:type="spellStart"/>
      <w:r w:rsidRPr="0053375F">
        <w:rPr>
          <w:sz w:val="22"/>
          <w:szCs w:val="22"/>
        </w:rPr>
        <w:t>Livial</w:t>
      </w:r>
      <w:proofErr w:type="spellEnd"/>
      <w:r w:rsidRPr="0053375F">
        <w:rPr>
          <w:sz w:val="22"/>
          <w:szCs w:val="22"/>
        </w:rPr>
        <w:t xml:space="preserve">, palyginus su </w:t>
      </w:r>
      <w:proofErr w:type="spellStart"/>
      <w:r w:rsidRPr="0053375F">
        <w:rPr>
          <w:sz w:val="22"/>
          <w:szCs w:val="22"/>
        </w:rPr>
        <w:t>placebu</w:t>
      </w:r>
      <w:proofErr w:type="spellEnd"/>
      <w:r w:rsidRPr="0053375F">
        <w:rPr>
          <w:sz w:val="22"/>
          <w:szCs w:val="22"/>
        </w:rPr>
        <w:t>, nepadaugėjo.</w:t>
      </w:r>
    </w:p>
    <w:p w14:paraId="76C48D5D" w14:textId="77777777" w:rsidR="00C45646" w:rsidRPr="0053375F" w:rsidRDefault="00C45646" w:rsidP="00C45646">
      <w:pPr>
        <w:autoSpaceDE w:val="0"/>
        <w:autoSpaceDN w:val="0"/>
        <w:adjustRightInd w:val="0"/>
        <w:rPr>
          <w:sz w:val="22"/>
          <w:szCs w:val="22"/>
        </w:rPr>
      </w:pPr>
      <w:r w:rsidRPr="0053375F">
        <w:rPr>
          <w:sz w:val="22"/>
          <w:szCs w:val="22"/>
        </w:rPr>
        <w:t xml:space="preserve">** Šios reakcijos buvo pastebėtos </w:t>
      </w:r>
      <w:proofErr w:type="spellStart"/>
      <w:r w:rsidRPr="0053375F">
        <w:rPr>
          <w:sz w:val="22"/>
          <w:szCs w:val="22"/>
        </w:rPr>
        <w:t>poregistracinės</w:t>
      </w:r>
      <w:proofErr w:type="spellEnd"/>
      <w:r w:rsidRPr="0053375F">
        <w:rPr>
          <w:sz w:val="22"/>
          <w:szCs w:val="22"/>
        </w:rPr>
        <w:t xml:space="preserve"> stebėsenos metu. Dažnio kategorija buvo apytikriai nustatyta remiantis atitinkamais klinikiniais tyrimais.</w:t>
      </w:r>
    </w:p>
    <w:p w14:paraId="6D702996" w14:textId="77777777" w:rsidR="00C45646" w:rsidRPr="0053375F" w:rsidRDefault="00C45646" w:rsidP="00C45646">
      <w:pPr>
        <w:autoSpaceDE w:val="0"/>
        <w:autoSpaceDN w:val="0"/>
        <w:adjustRightInd w:val="0"/>
        <w:rPr>
          <w:sz w:val="22"/>
          <w:szCs w:val="22"/>
        </w:rPr>
      </w:pPr>
    </w:p>
    <w:p w14:paraId="02F842A0" w14:textId="77777777" w:rsidR="00C45646" w:rsidRPr="0053375F" w:rsidRDefault="00C45646" w:rsidP="00C45646">
      <w:pPr>
        <w:autoSpaceDE w:val="0"/>
        <w:autoSpaceDN w:val="0"/>
        <w:adjustRightInd w:val="0"/>
        <w:rPr>
          <w:sz w:val="22"/>
          <w:szCs w:val="22"/>
        </w:rPr>
      </w:pPr>
      <w:r w:rsidRPr="0053375F">
        <w:rPr>
          <w:sz w:val="22"/>
          <w:szCs w:val="22"/>
        </w:rPr>
        <w:t xml:space="preserve">Vaistui patekus į rinką taip pat stebėtas kitas nepageidaujamas poveikis: svaigulys, išbėrimas, </w:t>
      </w:r>
      <w:proofErr w:type="spellStart"/>
      <w:r w:rsidRPr="0053375F">
        <w:rPr>
          <w:sz w:val="22"/>
          <w:szCs w:val="22"/>
        </w:rPr>
        <w:t>seborėjinė</w:t>
      </w:r>
      <w:proofErr w:type="spellEnd"/>
      <w:r w:rsidRPr="0053375F">
        <w:rPr>
          <w:sz w:val="22"/>
          <w:szCs w:val="22"/>
        </w:rPr>
        <w:t xml:space="preserve"> </w:t>
      </w:r>
      <w:proofErr w:type="spellStart"/>
      <w:r w:rsidRPr="0053375F">
        <w:rPr>
          <w:sz w:val="22"/>
          <w:szCs w:val="22"/>
        </w:rPr>
        <w:t>dermatozė</w:t>
      </w:r>
      <w:proofErr w:type="spellEnd"/>
      <w:r w:rsidRPr="0053375F">
        <w:rPr>
          <w:sz w:val="22"/>
          <w:szCs w:val="22"/>
        </w:rPr>
        <w:t xml:space="preserve">, galvos skausmas, migrena, regos sutrikimai (įskaitant neryškų matymą), depresija, nepageidaujamas poveikis skeleto ir raumenų sistemai, pavyzdžiui, </w:t>
      </w:r>
      <w:proofErr w:type="spellStart"/>
      <w:r w:rsidRPr="0053375F">
        <w:rPr>
          <w:sz w:val="22"/>
          <w:szCs w:val="22"/>
        </w:rPr>
        <w:t>artralgija</w:t>
      </w:r>
      <w:proofErr w:type="spellEnd"/>
      <w:r w:rsidRPr="0053375F">
        <w:rPr>
          <w:sz w:val="22"/>
          <w:szCs w:val="22"/>
        </w:rPr>
        <w:t xml:space="preserve"> arba </w:t>
      </w:r>
      <w:proofErr w:type="spellStart"/>
      <w:r w:rsidRPr="0053375F">
        <w:rPr>
          <w:sz w:val="22"/>
          <w:szCs w:val="22"/>
        </w:rPr>
        <w:t>mialgija</w:t>
      </w:r>
      <w:proofErr w:type="spellEnd"/>
      <w:r w:rsidRPr="0053375F">
        <w:rPr>
          <w:sz w:val="22"/>
          <w:szCs w:val="22"/>
        </w:rPr>
        <w:t>, kepenų funkcijos tyrimų rodmenų pokyčiai.</w:t>
      </w:r>
    </w:p>
    <w:p w14:paraId="0920B398" w14:textId="77777777" w:rsidR="00C45646" w:rsidRPr="0053375F" w:rsidRDefault="00C45646" w:rsidP="00C45646">
      <w:pPr>
        <w:autoSpaceDE w:val="0"/>
        <w:autoSpaceDN w:val="0"/>
        <w:adjustRightInd w:val="0"/>
        <w:rPr>
          <w:sz w:val="22"/>
          <w:szCs w:val="22"/>
        </w:rPr>
      </w:pPr>
    </w:p>
    <w:p w14:paraId="46967BED" w14:textId="77777777" w:rsidR="00C45646" w:rsidRPr="0053375F" w:rsidRDefault="00C45646" w:rsidP="00186A14">
      <w:pPr>
        <w:autoSpaceDE w:val="0"/>
        <w:autoSpaceDN w:val="0"/>
        <w:adjustRightInd w:val="0"/>
        <w:outlineLvl w:val="0"/>
        <w:rPr>
          <w:iCs/>
          <w:szCs w:val="22"/>
        </w:rPr>
      </w:pPr>
      <w:r w:rsidRPr="0053375F">
        <w:rPr>
          <w:sz w:val="22"/>
          <w:szCs w:val="22"/>
          <w:u w:val="single"/>
        </w:rPr>
        <w:t>Krūties vėžys</w:t>
      </w:r>
    </w:p>
    <w:p w14:paraId="161D1C4A" w14:textId="77777777" w:rsidR="00C45646" w:rsidRPr="0053375F" w:rsidRDefault="00C45646" w:rsidP="00C45646">
      <w:pPr>
        <w:numPr>
          <w:ilvl w:val="0"/>
          <w:numId w:val="5"/>
        </w:numPr>
        <w:tabs>
          <w:tab w:val="clear" w:pos="1080"/>
        </w:tabs>
        <w:ind w:left="567" w:hanging="567"/>
        <w:rPr>
          <w:snapToGrid w:val="0"/>
          <w:color w:val="000000"/>
          <w:sz w:val="22"/>
          <w:szCs w:val="22"/>
        </w:rPr>
      </w:pPr>
      <w:r w:rsidRPr="0053375F">
        <w:rPr>
          <w:snapToGrid w:val="0"/>
          <w:color w:val="000000"/>
          <w:sz w:val="22"/>
          <w:szCs w:val="22"/>
        </w:rPr>
        <w:t xml:space="preserve">Ilgiau kaip 5 metus sudėtinį estrogeno ir </w:t>
      </w:r>
      <w:proofErr w:type="spellStart"/>
      <w:r w:rsidRPr="0053375F">
        <w:rPr>
          <w:snapToGrid w:val="0"/>
          <w:color w:val="000000"/>
          <w:sz w:val="22"/>
          <w:szCs w:val="22"/>
        </w:rPr>
        <w:t>progestageno</w:t>
      </w:r>
      <w:proofErr w:type="spellEnd"/>
      <w:r w:rsidRPr="0053375F">
        <w:rPr>
          <w:snapToGrid w:val="0"/>
          <w:color w:val="000000"/>
          <w:sz w:val="22"/>
          <w:szCs w:val="22"/>
        </w:rPr>
        <w:t xml:space="preserve"> preparatą vartojusioms moterims buvo pastebėta iki 2 kartų padidėjusi rizika, kad bus nustatyta krūties vėžio diagnozė.</w:t>
      </w:r>
    </w:p>
    <w:p w14:paraId="6FCC6507" w14:textId="35B91B5F" w:rsidR="00D1040B" w:rsidRPr="0053375F" w:rsidRDefault="00D1040B" w:rsidP="00C45646">
      <w:pPr>
        <w:numPr>
          <w:ilvl w:val="0"/>
          <w:numId w:val="5"/>
        </w:numPr>
        <w:tabs>
          <w:tab w:val="clear" w:pos="1080"/>
        </w:tabs>
        <w:ind w:left="567" w:hanging="567"/>
        <w:rPr>
          <w:snapToGrid w:val="0"/>
          <w:color w:val="000000"/>
          <w:sz w:val="22"/>
          <w:szCs w:val="22"/>
        </w:rPr>
      </w:pPr>
      <w:r w:rsidRPr="00D1040B">
        <w:rPr>
          <w:snapToGrid w:val="0"/>
          <w:color w:val="000000"/>
          <w:sz w:val="22"/>
          <w:szCs w:val="22"/>
        </w:rPr>
        <w:t xml:space="preserve">Padidėjusi rizika moterims, kurios vartojo vieną estrogeną ir </w:t>
      </w:r>
      <w:proofErr w:type="spellStart"/>
      <w:r w:rsidRPr="00D1040B">
        <w:rPr>
          <w:snapToGrid w:val="0"/>
          <w:color w:val="000000"/>
          <w:sz w:val="22"/>
          <w:szCs w:val="22"/>
        </w:rPr>
        <w:t>tiboloną</w:t>
      </w:r>
      <w:proofErr w:type="spellEnd"/>
      <w:r w:rsidRPr="00D1040B">
        <w:rPr>
          <w:snapToGrid w:val="0"/>
          <w:color w:val="000000"/>
          <w:sz w:val="22"/>
          <w:szCs w:val="22"/>
        </w:rPr>
        <w:t xml:space="preserve">, yra mažesnė, nei nustatyta moterims, vartojusioms vaistinius preparatus su estrogeno ir </w:t>
      </w:r>
      <w:proofErr w:type="spellStart"/>
      <w:r w:rsidRPr="00D1040B">
        <w:rPr>
          <w:snapToGrid w:val="0"/>
          <w:color w:val="000000"/>
          <w:sz w:val="22"/>
          <w:szCs w:val="22"/>
        </w:rPr>
        <w:t>progestogeno</w:t>
      </w:r>
      <w:proofErr w:type="spellEnd"/>
      <w:r w:rsidRPr="00D1040B">
        <w:rPr>
          <w:snapToGrid w:val="0"/>
          <w:color w:val="000000"/>
          <w:sz w:val="22"/>
          <w:szCs w:val="22"/>
        </w:rPr>
        <w:t xml:space="preserve"> deriniu.</w:t>
      </w:r>
    </w:p>
    <w:p w14:paraId="3CD9CFB6" w14:textId="77777777" w:rsidR="00C45646" w:rsidRPr="0053375F" w:rsidRDefault="00C45646" w:rsidP="00C45646">
      <w:pPr>
        <w:numPr>
          <w:ilvl w:val="0"/>
          <w:numId w:val="5"/>
        </w:numPr>
        <w:tabs>
          <w:tab w:val="clear" w:pos="1080"/>
        </w:tabs>
        <w:ind w:left="567" w:hanging="567"/>
        <w:rPr>
          <w:snapToGrid w:val="0"/>
          <w:color w:val="000000"/>
          <w:sz w:val="22"/>
          <w:szCs w:val="22"/>
        </w:rPr>
      </w:pPr>
      <w:r w:rsidRPr="0053375F">
        <w:rPr>
          <w:snapToGrid w:val="0"/>
          <w:color w:val="000000"/>
          <w:sz w:val="22"/>
          <w:szCs w:val="22"/>
        </w:rPr>
        <w:t>Rizikos lygmuo priklauso nuo vartojimo trukmės (žr. 4.4 skyrių).</w:t>
      </w:r>
    </w:p>
    <w:p w14:paraId="0B024446" w14:textId="77777777" w:rsidR="00C45646" w:rsidRPr="0053375F" w:rsidRDefault="00C45646" w:rsidP="00C45646">
      <w:pPr>
        <w:numPr>
          <w:ilvl w:val="0"/>
          <w:numId w:val="5"/>
        </w:numPr>
        <w:tabs>
          <w:tab w:val="clear" w:pos="1080"/>
        </w:tabs>
        <w:ind w:left="567" w:hanging="567"/>
        <w:rPr>
          <w:snapToGrid w:val="0"/>
          <w:color w:val="000000"/>
          <w:sz w:val="22"/>
          <w:szCs w:val="22"/>
        </w:rPr>
      </w:pPr>
      <w:r w:rsidRPr="0053375F">
        <w:rPr>
          <w:snapToGrid w:val="0"/>
          <w:color w:val="000000"/>
          <w:sz w:val="22"/>
          <w:szCs w:val="22"/>
        </w:rPr>
        <w:t>Yra pateikti didžiausio epidemiologinio tyrimo (MWS) rezultatai.</w:t>
      </w:r>
    </w:p>
    <w:p w14:paraId="7101EC05" w14:textId="77777777" w:rsidR="00C45646" w:rsidRPr="0053375F" w:rsidRDefault="00C45646" w:rsidP="00C45646">
      <w:pPr>
        <w:autoSpaceDE w:val="0"/>
        <w:autoSpaceDN w:val="0"/>
        <w:adjustRightInd w:val="0"/>
        <w:ind w:left="720"/>
        <w:rPr>
          <w:sz w:val="22"/>
          <w:szCs w:val="22"/>
        </w:rPr>
      </w:pPr>
    </w:p>
    <w:p w14:paraId="71C87DAA" w14:textId="77777777" w:rsidR="00C45646" w:rsidRPr="0053375F" w:rsidRDefault="00C45646" w:rsidP="00186A14">
      <w:pPr>
        <w:autoSpaceDE w:val="0"/>
        <w:autoSpaceDN w:val="0"/>
        <w:adjustRightInd w:val="0"/>
        <w:rPr>
          <w:b/>
          <w:sz w:val="22"/>
          <w:szCs w:val="22"/>
        </w:rPr>
      </w:pPr>
      <w:r w:rsidRPr="0053375F">
        <w:rPr>
          <w:b/>
          <w:sz w:val="22"/>
          <w:szCs w:val="22"/>
        </w:rPr>
        <w:t>2 lentelė. Milijono moterų tyrimas – apytikriai apskaičiuota papildomoji krūties vėžio rizika po 5 vartojimo metų</w:t>
      </w:r>
    </w:p>
    <w:tbl>
      <w:tblPr>
        <w:tblW w:w="5000" w:type="pct"/>
        <w:tblLayout w:type="fixed"/>
        <w:tblLook w:val="0000" w:firstRow="0" w:lastRow="0" w:firstColumn="0" w:lastColumn="0" w:noHBand="0" w:noVBand="0"/>
      </w:tblPr>
      <w:tblGrid>
        <w:gridCol w:w="1510"/>
        <w:gridCol w:w="3236"/>
        <w:gridCol w:w="1402"/>
        <w:gridCol w:w="2912"/>
      </w:tblGrid>
      <w:tr w:rsidR="00C45646" w:rsidRPr="0053375F" w14:paraId="42275926" w14:textId="77777777" w:rsidTr="002D58E4">
        <w:trPr>
          <w:trHeight w:val="908"/>
        </w:trPr>
        <w:tc>
          <w:tcPr>
            <w:tcW w:w="833" w:type="pct"/>
            <w:tcBorders>
              <w:top w:val="single" w:sz="4" w:space="0" w:color="000000"/>
              <w:left w:val="single" w:sz="4" w:space="0" w:color="000000"/>
              <w:bottom w:val="single" w:sz="4" w:space="0" w:color="000000"/>
              <w:right w:val="single" w:sz="4" w:space="0" w:color="000000"/>
            </w:tcBorders>
            <w:vAlign w:val="center"/>
          </w:tcPr>
          <w:p w14:paraId="3389DAB8"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Amžiaus ribos (metai)</w:t>
            </w:r>
          </w:p>
        </w:tc>
        <w:tc>
          <w:tcPr>
            <w:tcW w:w="1786" w:type="pct"/>
            <w:tcBorders>
              <w:top w:val="single" w:sz="4" w:space="0" w:color="000000"/>
              <w:left w:val="single" w:sz="4" w:space="0" w:color="000000"/>
              <w:bottom w:val="single" w:sz="4" w:space="0" w:color="000000"/>
              <w:right w:val="single" w:sz="4" w:space="0" w:color="000000"/>
            </w:tcBorders>
            <w:vAlign w:val="center"/>
          </w:tcPr>
          <w:p w14:paraId="4A989757"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Papildomų atvejų skaičius 1000 niekada PHT nevartojusių moterų per 5 metus*2</w:t>
            </w:r>
          </w:p>
        </w:tc>
        <w:tc>
          <w:tcPr>
            <w:tcW w:w="774" w:type="pct"/>
            <w:tcBorders>
              <w:top w:val="single" w:sz="4" w:space="0" w:color="000000"/>
              <w:left w:val="single" w:sz="4" w:space="0" w:color="000000"/>
              <w:bottom w:val="single" w:sz="4" w:space="0" w:color="000000"/>
              <w:right w:val="single" w:sz="4" w:space="0" w:color="000000"/>
            </w:tcBorders>
            <w:vAlign w:val="center"/>
          </w:tcPr>
          <w:p w14:paraId="5AF2BDEB"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 xml:space="preserve">Rizikos santykis </w:t>
            </w:r>
            <w:r w:rsidR="00B45281">
              <w:rPr>
                <w:color w:val="000000"/>
                <w:sz w:val="22"/>
                <w:szCs w:val="22"/>
              </w:rPr>
              <w:t>ir</w:t>
            </w:r>
            <w:r w:rsidRPr="0053375F">
              <w:rPr>
                <w:color w:val="000000"/>
                <w:sz w:val="22"/>
                <w:szCs w:val="22"/>
              </w:rPr>
              <w:t xml:space="preserve"> 95 % PI#</w:t>
            </w:r>
          </w:p>
        </w:tc>
        <w:tc>
          <w:tcPr>
            <w:tcW w:w="1607" w:type="pct"/>
            <w:tcBorders>
              <w:top w:val="single" w:sz="4" w:space="0" w:color="000000"/>
              <w:left w:val="single" w:sz="4" w:space="0" w:color="000000"/>
              <w:bottom w:val="single" w:sz="4" w:space="0" w:color="000000"/>
              <w:right w:val="single" w:sz="4" w:space="0" w:color="000000"/>
            </w:tcBorders>
            <w:vAlign w:val="center"/>
          </w:tcPr>
          <w:p w14:paraId="2D6CCDFE"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Papildomų atvejų skaičius 1000 vartojusiųjų PHT per 5 metus (95 % PI)</w:t>
            </w:r>
          </w:p>
        </w:tc>
      </w:tr>
      <w:tr w:rsidR="00C45646" w:rsidRPr="0053375F" w14:paraId="13FBC430" w14:textId="77777777" w:rsidTr="002D58E4">
        <w:trPr>
          <w:trHeight w:val="26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7A93D267" w14:textId="77777777" w:rsidR="00C45646" w:rsidRPr="0053375F" w:rsidRDefault="00C45646" w:rsidP="002D58E4">
            <w:pPr>
              <w:autoSpaceDE w:val="0"/>
              <w:autoSpaceDN w:val="0"/>
              <w:adjustRightInd w:val="0"/>
              <w:rPr>
                <w:color w:val="000000"/>
                <w:sz w:val="22"/>
                <w:szCs w:val="22"/>
              </w:rPr>
            </w:pPr>
            <w:r w:rsidRPr="0053375F">
              <w:rPr>
                <w:b/>
                <w:bCs/>
                <w:color w:val="000000"/>
                <w:sz w:val="22"/>
                <w:szCs w:val="22"/>
              </w:rPr>
              <w:t>PHT vienu estrogenu</w:t>
            </w:r>
          </w:p>
        </w:tc>
      </w:tr>
      <w:tr w:rsidR="00C45646" w:rsidRPr="0053375F" w14:paraId="231C6B04" w14:textId="77777777" w:rsidTr="002D58E4">
        <w:trPr>
          <w:trHeight w:val="265"/>
        </w:trPr>
        <w:tc>
          <w:tcPr>
            <w:tcW w:w="833" w:type="pct"/>
            <w:tcBorders>
              <w:top w:val="single" w:sz="4" w:space="0" w:color="000000"/>
              <w:left w:val="single" w:sz="4" w:space="0" w:color="000000"/>
              <w:bottom w:val="single" w:sz="4" w:space="0" w:color="000000"/>
              <w:right w:val="single" w:sz="4" w:space="0" w:color="000000"/>
            </w:tcBorders>
            <w:vAlign w:val="center"/>
          </w:tcPr>
          <w:p w14:paraId="3CA22833"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50 – 65</w:t>
            </w:r>
          </w:p>
        </w:tc>
        <w:tc>
          <w:tcPr>
            <w:tcW w:w="1786" w:type="pct"/>
            <w:tcBorders>
              <w:top w:val="single" w:sz="4" w:space="0" w:color="000000"/>
              <w:left w:val="single" w:sz="4" w:space="0" w:color="000000"/>
              <w:bottom w:val="single" w:sz="4" w:space="0" w:color="000000"/>
              <w:right w:val="single" w:sz="4" w:space="0" w:color="000000"/>
            </w:tcBorders>
            <w:vAlign w:val="center"/>
          </w:tcPr>
          <w:p w14:paraId="33ED004C"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9 – 12</w:t>
            </w:r>
          </w:p>
        </w:tc>
        <w:tc>
          <w:tcPr>
            <w:tcW w:w="774" w:type="pct"/>
            <w:tcBorders>
              <w:top w:val="single" w:sz="4" w:space="0" w:color="000000"/>
              <w:left w:val="single" w:sz="4" w:space="0" w:color="000000"/>
              <w:bottom w:val="single" w:sz="4" w:space="0" w:color="000000"/>
              <w:right w:val="single" w:sz="4" w:space="0" w:color="000000"/>
            </w:tcBorders>
            <w:vAlign w:val="center"/>
          </w:tcPr>
          <w:p w14:paraId="2631404C"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1,2</w:t>
            </w:r>
          </w:p>
        </w:tc>
        <w:tc>
          <w:tcPr>
            <w:tcW w:w="1607" w:type="pct"/>
            <w:tcBorders>
              <w:top w:val="single" w:sz="4" w:space="0" w:color="000000"/>
              <w:left w:val="single" w:sz="4" w:space="0" w:color="000000"/>
              <w:bottom w:val="single" w:sz="4" w:space="0" w:color="000000"/>
              <w:right w:val="single" w:sz="4" w:space="0" w:color="000000"/>
            </w:tcBorders>
            <w:vAlign w:val="center"/>
          </w:tcPr>
          <w:p w14:paraId="4A7C7189"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1 - 2 (0 - 3)</w:t>
            </w:r>
          </w:p>
        </w:tc>
      </w:tr>
      <w:tr w:rsidR="00C45646" w:rsidRPr="0053375F" w14:paraId="4A00B69B" w14:textId="77777777" w:rsidTr="002D58E4">
        <w:trPr>
          <w:trHeight w:val="26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14422E8E" w14:textId="77777777" w:rsidR="00C45646" w:rsidRPr="0053375F" w:rsidRDefault="00C45646" w:rsidP="002D58E4">
            <w:pPr>
              <w:autoSpaceDE w:val="0"/>
              <w:autoSpaceDN w:val="0"/>
              <w:adjustRightInd w:val="0"/>
              <w:rPr>
                <w:color w:val="000000"/>
                <w:sz w:val="22"/>
                <w:szCs w:val="22"/>
              </w:rPr>
            </w:pPr>
            <w:r w:rsidRPr="0053375F">
              <w:rPr>
                <w:b/>
                <w:bCs/>
                <w:color w:val="000000"/>
                <w:sz w:val="22"/>
                <w:szCs w:val="22"/>
              </w:rPr>
              <w:t xml:space="preserve">Estrogeno ir </w:t>
            </w:r>
            <w:proofErr w:type="spellStart"/>
            <w:r w:rsidRPr="0053375F">
              <w:rPr>
                <w:b/>
                <w:bCs/>
                <w:color w:val="000000"/>
                <w:sz w:val="22"/>
                <w:szCs w:val="22"/>
              </w:rPr>
              <w:t>progestageno</w:t>
            </w:r>
            <w:proofErr w:type="spellEnd"/>
            <w:r w:rsidRPr="0053375F">
              <w:rPr>
                <w:b/>
                <w:bCs/>
                <w:color w:val="000000"/>
                <w:sz w:val="22"/>
                <w:szCs w:val="22"/>
              </w:rPr>
              <w:t xml:space="preserve"> derinys</w:t>
            </w:r>
          </w:p>
        </w:tc>
      </w:tr>
      <w:tr w:rsidR="00C45646" w:rsidRPr="0053375F" w14:paraId="3876F7F8" w14:textId="77777777" w:rsidTr="002D58E4">
        <w:trPr>
          <w:trHeight w:val="295"/>
        </w:trPr>
        <w:tc>
          <w:tcPr>
            <w:tcW w:w="833" w:type="pct"/>
            <w:tcBorders>
              <w:top w:val="single" w:sz="4" w:space="0" w:color="000000"/>
              <w:left w:val="single" w:sz="4" w:space="0" w:color="000000"/>
              <w:bottom w:val="single" w:sz="4" w:space="0" w:color="000000"/>
              <w:right w:val="single" w:sz="4" w:space="0" w:color="000000"/>
            </w:tcBorders>
            <w:vAlign w:val="center"/>
          </w:tcPr>
          <w:p w14:paraId="186A3AEB"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50 - 65</w:t>
            </w:r>
          </w:p>
        </w:tc>
        <w:tc>
          <w:tcPr>
            <w:tcW w:w="1786" w:type="pct"/>
            <w:tcBorders>
              <w:top w:val="single" w:sz="4" w:space="0" w:color="000000"/>
              <w:left w:val="single" w:sz="4" w:space="0" w:color="000000"/>
              <w:bottom w:val="single" w:sz="4" w:space="0" w:color="000000"/>
              <w:right w:val="single" w:sz="4" w:space="0" w:color="000000"/>
            </w:tcBorders>
            <w:vAlign w:val="center"/>
          </w:tcPr>
          <w:p w14:paraId="3E62FE59"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9 – 12</w:t>
            </w:r>
          </w:p>
        </w:tc>
        <w:tc>
          <w:tcPr>
            <w:tcW w:w="774" w:type="pct"/>
            <w:tcBorders>
              <w:top w:val="single" w:sz="4" w:space="0" w:color="000000"/>
              <w:left w:val="single" w:sz="4" w:space="0" w:color="000000"/>
              <w:bottom w:val="single" w:sz="4" w:space="0" w:color="000000"/>
              <w:right w:val="single" w:sz="4" w:space="0" w:color="000000"/>
            </w:tcBorders>
            <w:vAlign w:val="center"/>
          </w:tcPr>
          <w:p w14:paraId="76C45FEA"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1,7</w:t>
            </w:r>
          </w:p>
        </w:tc>
        <w:tc>
          <w:tcPr>
            <w:tcW w:w="1607" w:type="pct"/>
            <w:tcBorders>
              <w:top w:val="single" w:sz="4" w:space="0" w:color="000000"/>
              <w:left w:val="single" w:sz="4" w:space="0" w:color="000000"/>
              <w:bottom w:val="single" w:sz="4" w:space="0" w:color="000000"/>
              <w:right w:val="single" w:sz="4" w:space="0" w:color="000000"/>
            </w:tcBorders>
            <w:vAlign w:val="center"/>
          </w:tcPr>
          <w:p w14:paraId="66A08E10"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6 (5 - 7)</w:t>
            </w:r>
          </w:p>
        </w:tc>
      </w:tr>
      <w:tr w:rsidR="00C45646" w:rsidRPr="0053375F" w14:paraId="5B7109EB" w14:textId="77777777" w:rsidTr="002D58E4">
        <w:trPr>
          <w:trHeight w:val="29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4713BE1C" w14:textId="77777777" w:rsidR="00C45646" w:rsidRPr="0053375F" w:rsidRDefault="00C45646" w:rsidP="002D58E4">
            <w:pPr>
              <w:autoSpaceDE w:val="0"/>
              <w:autoSpaceDN w:val="0"/>
              <w:adjustRightInd w:val="0"/>
              <w:rPr>
                <w:sz w:val="22"/>
                <w:szCs w:val="22"/>
              </w:rPr>
            </w:pPr>
            <w:proofErr w:type="spellStart"/>
            <w:r w:rsidRPr="0053375F">
              <w:rPr>
                <w:b/>
                <w:bCs/>
                <w:sz w:val="22"/>
                <w:szCs w:val="22"/>
              </w:rPr>
              <w:t>Tibolonas</w:t>
            </w:r>
            <w:proofErr w:type="spellEnd"/>
          </w:p>
        </w:tc>
      </w:tr>
      <w:tr w:rsidR="00C45646" w:rsidRPr="0053375F" w14:paraId="04299BE4" w14:textId="77777777" w:rsidTr="002D58E4">
        <w:trPr>
          <w:trHeight w:val="295"/>
        </w:trPr>
        <w:tc>
          <w:tcPr>
            <w:tcW w:w="833" w:type="pct"/>
            <w:tcBorders>
              <w:top w:val="single" w:sz="4" w:space="0" w:color="000000"/>
              <w:left w:val="single" w:sz="4" w:space="0" w:color="000000"/>
              <w:bottom w:val="single" w:sz="4" w:space="0" w:color="000000"/>
              <w:right w:val="single" w:sz="4" w:space="0" w:color="000000"/>
            </w:tcBorders>
            <w:vAlign w:val="center"/>
          </w:tcPr>
          <w:p w14:paraId="1A965CBB" w14:textId="77777777" w:rsidR="00C45646" w:rsidRPr="0053375F" w:rsidRDefault="00C45646" w:rsidP="002D58E4">
            <w:pPr>
              <w:autoSpaceDE w:val="0"/>
              <w:autoSpaceDN w:val="0"/>
              <w:adjustRightInd w:val="0"/>
              <w:rPr>
                <w:sz w:val="22"/>
                <w:szCs w:val="22"/>
              </w:rPr>
            </w:pPr>
            <w:r w:rsidRPr="0053375F">
              <w:rPr>
                <w:sz w:val="22"/>
                <w:szCs w:val="22"/>
              </w:rPr>
              <w:t>50 – 65</w:t>
            </w:r>
          </w:p>
        </w:tc>
        <w:tc>
          <w:tcPr>
            <w:tcW w:w="1786" w:type="pct"/>
            <w:tcBorders>
              <w:top w:val="single" w:sz="4" w:space="0" w:color="000000"/>
              <w:left w:val="single" w:sz="4" w:space="0" w:color="000000"/>
              <w:bottom w:val="single" w:sz="4" w:space="0" w:color="000000"/>
              <w:right w:val="single" w:sz="4" w:space="0" w:color="000000"/>
            </w:tcBorders>
            <w:vAlign w:val="center"/>
          </w:tcPr>
          <w:p w14:paraId="15703C0A" w14:textId="77777777" w:rsidR="00C45646" w:rsidRPr="0053375F" w:rsidRDefault="00C45646" w:rsidP="002D58E4">
            <w:pPr>
              <w:autoSpaceDE w:val="0"/>
              <w:autoSpaceDN w:val="0"/>
              <w:adjustRightInd w:val="0"/>
              <w:rPr>
                <w:sz w:val="22"/>
                <w:szCs w:val="22"/>
              </w:rPr>
            </w:pPr>
            <w:r w:rsidRPr="0053375F">
              <w:rPr>
                <w:sz w:val="22"/>
                <w:szCs w:val="22"/>
              </w:rPr>
              <w:t>9 – 12</w:t>
            </w:r>
          </w:p>
        </w:tc>
        <w:tc>
          <w:tcPr>
            <w:tcW w:w="774" w:type="pct"/>
            <w:tcBorders>
              <w:top w:val="single" w:sz="4" w:space="0" w:color="000000"/>
              <w:left w:val="single" w:sz="4" w:space="0" w:color="000000"/>
              <w:bottom w:val="single" w:sz="4" w:space="0" w:color="000000"/>
              <w:right w:val="single" w:sz="4" w:space="0" w:color="000000"/>
            </w:tcBorders>
            <w:vAlign w:val="center"/>
          </w:tcPr>
          <w:p w14:paraId="0DBC17C3" w14:textId="77777777" w:rsidR="00C45646" w:rsidRPr="0053375F" w:rsidRDefault="00C45646" w:rsidP="002D58E4">
            <w:pPr>
              <w:autoSpaceDE w:val="0"/>
              <w:autoSpaceDN w:val="0"/>
              <w:adjustRightInd w:val="0"/>
              <w:rPr>
                <w:sz w:val="22"/>
                <w:szCs w:val="22"/>
              </w:rPr>
            </w:pPr>
            <w:r w:rsidRPr="0053375F">
              <w:rPr>
                <w:sz w:val="22"/>
                <w:szCs w:val="22"/>
              </w:rPr>
              <w:t>1,3</w:t>
            </w:r>
          </w:p>
        </w:tc>
        <w:tc>
          <w:tcPr>
            <w:tcW w:w="1607" w:type="pct"/>
            <w:tcBorders>
              <w:top w:val="single" w:sz="4" w:space="0" w:color="000000"/>
              <w:left w:val="single" w:sz="4" w:space="0" w:color="000000"/>
              <w:bottom w:val="single" w:sz="4" w:space="0" w:color="000000"/>
              <w:right w:val="single" w:sz="4" w:space="0" w:color="000000"/>
            </w:tcBorders>
            <w:vAlign w:val="center"/>
          </w:tcPr>
          <w:p w14:paraId="03E85C4D" w14:textId="77777777" w:rsidR="00C45646" w:rsidRPr="0053375F" w:rsidRDefault="00C45646" w:rsidP="002D58E4">
            <w:pPr>
              <w:autoSpaceDE w:val="0"/>
              <w:autoSpaceDN w:val="0"/>
              <w:adjustRightInd w:val="0"/>
              <w:rPr>
                <w:sz w:val="22"/>
                <w:szCs w:val="22"/>
              </w:rPr>
            </w:pPr>
            <w:r w:rsidRPr="0053375F">
              <w:rPr>
                <w:sz w:val="22"/>
                <w:szCs w:val="22"/>
              </w:rPr>
              <w:t>3 (0 - 6)</w:t>
            </w:r>
          </w:p>
        </w:tc>
      </w:tr>
      <w:tr w:rsidR="00C45646" w:rsidRPr="0053375F" w14:paraId="10A8A0F6" w14:textId="77777777" w:rsidTr="002D58E4">
        <w:trPr>
          <w:trHeight w:val="35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B4E29DB" w14:textId="77777777" w:rsidR="00C45646" w:rsidRPr="0053375F" w:rsidRDefault="00C45646" w:rsidP="002D58E4">
            <w:pPr>
              <w:autoSpaceDE w:val="0"/>
              <w:autoSpaceDN w:val="0"/>
              <w:adjustRightInd w:val="0"/>
              <w:rPr>
                <w:color w:val="000000"/>
                <w:sz w:val="22"/>
                <w:szCs w:val="22"/>
              </w:rPr>
            </w:pPr>
            <w:r w:rsidRPr="0053375F">
              <w:rPr>
                <w:color w:val="000000"/>
                <w:sz w:val="22"/>
                <w:szCs w:val="22"/>
              </w:rPr>
              <w:t>#Bendroji santykinė rizika. Santykinė rizika yra nepastovi, o didėja ilgėjant vartojimo trukmei.</w:t>
            </w:r>
          </w:p>
        </w:tc>
      </w:tr>
    </w:tbl>
    <w:p w14:paraId="3033AE26" w14:textId="77777777" w:rsidR="00C45646" w:rsidRPr="0053375F" w:rsidRDefault="00C45646" w:rsidP="00C45646">
      <w:pPr>
        <w:autoSpaceDE w:val="0"/>
        <w:autoSpaceDN w:val="0"/>
        <w:adjustRightInd w:val="0"/>
        <w:rPr>
          <w:sz w:val="22"/>
          <w:szCs w:val="22"/>
        </w:rPr>
      </w:pPr>
    </w:p>
    <w:p w14:paraId="49ACA4CC" w14:textId="77777777" w:rsidR="00C45646" w:rsidRPr="0053375F" w:rsidRDefault="00C45646" w:rsidP="00186A14">
      <w:pPr>
        <w:keepNext/>
        <w:autoSpaceDE w:val="0"/>
        <w:autoSpaceDN w:val="0"/>
        <w:adjustRightInd w:val="0"/>
        <w:outlineLvl w:val="0"/>
        <w:rPr>
          <w:sz w:val="22"/>
          <w:szCs w:val="22"/>
          <w:u w:val="single"/>
        </w:rPr>
      </w:pPr>
      <w:proofErr w:type="spellStart"/>
      <w:r w:rsidRPr="0053375F">
        <w:rPr>
          <w:sz w:val="22"/>
          <w:szCs w:val="22"/>
          <w:u w:val="single"/>
        </w:rPr>
        <w:t>Endometriumo</w:t>
      </w:r>
      <w:proofErr w:type="spellEnd"/>
      <w:r w:rsidRPr="0053375F">
        <w:rPr>
          <w:sz w:val="22"/>
          <w:szCs w:val="22"/>
          <w:u w:val="single"/>
        </w:rPr>
        <w:t xml:space="preserve"> vėžio rizika</w:t>
      </w:r>
    </w:p>
    <w:p w14:paraId="7F3AFA66" w14:textId="77777777" w:rsidR="00C45646" w:rsidRPr="0053375F" w:rsidRDefault="00C45646" w:rsidP="00186A14">
      <w:pPr>
        <w:keepNext/>
        <w:tabs>
          <w:tab w:val="num" w:pos="540"/>
        </w:tabs>
        <w:autoSpaceDE w:val="0"/>
        <w:autoSpaceDN w:val="0"/>
        <w:adjustRightInd w:val="0"/>
        <w:rPr>
          <w:sz w:val="22"/>
          <w:szCs w:val="22"/>
        </w:rPr>
      </w:pPr>
      <w:proofErr w:type="spellStart"/>
      <w:r w:rsidRPr="0053375F">
        <w:rPr>
          <w:sz w:val="22"/>
          <w:szCs w:val="22"/>
        </w:rPr>
        <w:t>Endometriumo</w:t>
      </w:r>
      <w:proofErr w:type="spellEnd"/>
      <w:r w:rsidRPr="0053375F">
        <w:rPr>
          <w:sz w:val="22"/>
          <w:szCs w:val="22"/>
        </w:rPr>
        <w:t xml:space="preserve"> vėžiu serga maždaug 5 iš 1000 PHT ar </w:t>
      </w:r>
      <w:proofErr w:type="spellStart"/>
      <w:r w:rsidRPr="0053375F">
        <w:rPr>
          <w:sz w:val="22"/>
          <w:szCs w:val="22"/>
        </w:rPr>
        <w:t>tibolono</w:t>
      </w:r>
      <w:proofErr w:type="spellEnd"/>
      <w:r w:rsidRPr="0053375F">
        <w:rPr>
          <w:sz w:val="22"/>
          <w:szCs w:val="22"/>
        </w:rPr>
        <w:t xml:space="preserve"> nevartojančių moterų, kurių gimda yra nepašalinta.</w:t>
      </w:r>
    </w:p>
    <w:p w14:paraId="14A52886" w14:textId="77777777" w:rsidR="00C45646" w:rsidRPr="0053375F" w:rsidRDefault="00C45646" w:rsidP="00C45646">
      <w:pPr>
        <w:tabs>
          <w:tab w:val="num" w:pos="540"/>
        </w:tabs>
        <w:autoSpaceDE w:val="0"/>
        <w:autoSpaceDN w:val="0"/>
        <w:adjustRightInd w:val="0"/>
        <w:rPr>
          <w:sz w:val="22"/>
          <w:szCs w:val="22"/>
        </w:rPr>
      </w:pPr>
    </w:p>
    <w:p w14:paraId="1F104DC3" w14:textId="77777777" w:rsidR="00C45646" w:rsidRPr="0053375F" w:rsidRDefault="00C45646" w:rsidP="00C45646">
      <w:pPr>
        <w:tabs>
          <w:tab w:val="num" w:pos="540"/>
        </w:tabs>
        <w:autoSpaceDE w:val="0"/>
        <w:autoSpaceDN w:val="0"/>
        <w:adjustRightInd w:val="0"/>
        <w:rPr>
          <w:sz w:val="22"/>
          <w:szCs w:val="22"/>
        </w:rPr>
      </w:pPr>
      <w:r w:rsidRPr="0053375F">
        <w:rPr>
          <w:sz w:val="22"/>
          <w:szCs w:val="22"/>
        </w:rPr>
        <w:t xml:space="preserve">Atsitiktinių imčių </w:t>
      </w:r>
      <w:proofErr w:type="spellStart"/>
      <w:r w:rsidRPr="0053375F">
        <w:rPr>
          <w:sz w:val="22"/>
          <w:szCs w:val="22"/>
        </w:rPr>
        <w:t>placebu</w:t>
      </w:r>
      <w:proofErr w:type="spellEnd"/>
      <w:r w:rsidRPr="0053375F">
        <w:rPr>
          <w:sz w:val="22"/>
          <w:szCs w:val="22"/>
        </w:rPr>
        <w:t xml:space="preserve"> kontroliuoto klinikinio tyrimo metu, kuriame dalyvavo moterys, prieš pradedant tyrimą netirtos dėl gimdos gleivinės pokyčių, kas atitiko įprastinę tvarką skiriant </w:t>
      </w:r>
      <w:proofErr w:type="spellStart"/>
      <w:r w:rsidRPr="0053375F">
        <w:rPr>
          <w:sz w:val="22"/>
          <w:szCs w:val="22"/>
        </w:rPr>
        <w:t>tiboloną</w:t>
      </w:r>
      <w:proofErr w:type="spellEnd"/>
      <w:r w:rsidRPr="0053375F">
        <w:rPr>
          <w:sz w:val="22"/>
          <w:szCs w:val="22"/>
        </w:rPr>
        <w:t xml:space="preserve">, </w:t>
      </w:r>
      <w:r w:rsidRPr="0053375F">
        <w:rPr>
          <w:sz w:val="22"/>
          <w:szCs w:val="22"/>
        </w:rPr>
        <w:lastRenderedPageBreak/>
        <w:t xml:space="preserve">buvo nustatyta didžiausia </w:t>
      </w:r>
      <w:proofErr w:type="spellStart"/>
      <w:r w:rsidRPr="0053375F">
        <w:rPr>
          <w:sz w:val="22"/>
          <w:szCs w:val="22"/>
        </w:rPr>
        <w:t>endometriumo</w:t>
      </w:r>
      <w:proofErr w:type="spellEnd"/>
      <w:r w:rsidRPr="0053375F">
        <w:rPr>
          <w:sz w:val="22"/>
          <w:szCs w:val="22"/>
        </w:rPr>
        <w:t xml:space="preserve"> vėžio rizika (</w:t>
      </w:r>
      <w:r w:rsidRPr="0053375F">
        <w:rPr>
          <w:i/>
          <w:sz w:val="22"/>
          <w:szCs w:val="22"/>
        </w:rPr>
        <w:t>LIFT</w:t>
      </w:r>
      <w:r w:rsidRPr="0053375F">
        <w:rPr>
          <w:sz w:val="22"/>
          <w:szCs w:val="22"/>
        </w:rPr>
        <w:t xml:space="preserve"> tyrimas, vidutinis tiriamųjų amžius - 68 metai). Šio tyrimo duomenimis, </w:t>
      </w:r>
      <w:proofErr w:type="spellStart"/>
      <w:r w:rsidRPr="0053375F">
        <w:rPr>
          <w:sz w:val="22"/>
          <w:szCs w:val="22"/>
        </w:rPr>
        <w:t>placebo</w:t>
      </w:r>
      <w:proofErr w:type="spellEnd"/>
      <w:r w:rsidRPr="0053375F">
        <w:rPr>
          <w:sz w:val="22"/>
          <w:szCs w:val="22"/>
        </w:rPr>
        <w:t xml:space="preserve"> grupėje po 2,9 metų </w:t>
      </w:r>
      <w:proofErr w:type="spellStart"/>
      <w:r w:rsidRPr="0053375F">
        <w:rPr>
          <w:sz w:val="22"/>
          <w:szCs w:val="22"/>
        </w:rPr>
        <w:t>endometriumo</w:t>
      </w:r>
      <w:proofErr w:type="spellEnd"/>
      <w:r w:rsidRPr="0053375F">
        <w:rPr>
          <w:sz w:val="22"/>
          <w:szCs w:val="22"/>
        </w:rPr>
        <w:t xml:space="preserve"> vėžio atvejų nenustatyta (n = 1773), palyginti su 4 </w:t>
      </w:r>
      <w:proofErr w:type="spellStart"/>
      <w:r w:rsidRPr="0053375F">
        <w:rPr>
          <w:sz w:val="22"/>
          <w:szCs w:val="22"/>
        </w:rPr>
        <w:t>endometriumo</w:t>
      </w:r>
      <w:proofErr w:type="spellEnd"/>
      <w:r w:rsidRPr="0053375F">
        <w:rPr>
          <w:sz w:val="22"/>
          <w:szCs w:val="22"/>
        </w:rPr>
        <w:t xml:space="preserve"> vėžio atvejais </w:t>
      </w:r>
      <w:proofErr w:type="spellStart"/>
      <w:r w:rsidRPr="0053375F">
        <w:rPr>
          <w:sz w:val="22"/>
          <w:szCs w:val="22"/>
        </w:rPr>
        <w:t>Livial</w:t>
      </w:r>
      <w:proofErr w:type="spellEnd"/>
      <w:r w:rsidRPr="0053375F">
        <w:rPr>
          <w:sz w:val="22"/>
          <w:szCs w:val="22"/>
        </w:rPr>
        <w:t xml:space="preserve"> grupėje (n = 1746). Tai atitinka 0,8 papildomai diagnozuoto </w:t>
      </w:r>
      <w:proofErr w:type="spellStart"/>
      <w:r w:rsidRPr="0053375F">
        <w:rPr>
          <w:sz w:val="22"/>
          <w:szCs w:val="22"/>
        </w:rPr>
        <w:t>endometriumo</w:t>
      </w:r>
      <w:proofErr w:type="spellEnd"/>
      <w:r w:rsidRPr="0053375F">
        <w:rPr>
          <w:sz w:val="22"/>
          <w:szCs w:val="22"/>
        </w:rPr>
        <w:t xml:space="preserve"> vėžio atvejo tūkstančiui moterų, vartojusių </w:t>
      </w:r>
      <w:proofErr w:type="spellStart"/>
      <w:r w:rsidRPr="0053375F">
        <w:rPr>
          <w:sz w:val="22"/>
          <w:szCs w:val="22"/>
        </w:rPr>
        <w:t>Livial</w:t>
      </w:r>
      <w:proofErr w:type="spellEnd"/>
      <w:r w:rsidRPr="0053375F">
        <w:rPr>
          <w:sz w:val="22"/>
          <w:szCs w:val="22"/>
        </w:rPr>
        <w:t xml:space="preserve"> vienerius šio tyrimo metus (žr. 4.4 skyrių).</w:t>
      </w:r>
    </w:p>
    <w:p w14:paraId="4F83E457" w14:textId="77777777" w:rsidR="00C45646" w:rsidRPr="0053375F" w:rsidRDefault="00C45646" w:rsidP="00C45646">
      <w:pPr>
        <w:autoSpaceDE w:val="0"/>
        <w:autoSpaceDN w:val="0"/>
        <w:adjustRightInd w:val="0"/>
        <w:outlineLvl w:val="0"/>
        <w:rPr>
          <w:i/>
          <w:iCs/>
          <w:sz w:val="22"/>
          <w:szCs w:val="22"/>
        </w:rPr>
      </w:pPr>
    </w:p>
    <w:p w14:paraId="11DBC7C8" w14:textId="77777777" w:rsidR="00C45646" w:rsidRPr="0053375F" w:rsidRDefault="00C45646" w:rsidP="00186A14">
      <w:pPr>
        <w:autoSpaceDE w:val="0"/>
        <w:autoSpaceDN w:val="0"/>
        <w:adjustRightInd w:val="0"/>
        <w:outlineLvl w:val="0"/>
        <w:rPr>
          <w:i/>
          <w:iCs/>
          <w:sz w:val="22"/>
          <w:szCs w:val="22"/>
        </w:rPr>
      </w:pPr>
      <w:r w:rsidRPr="0053375F">
        <w:rPr>
          <w:iCs/>
          <w:sz w:val="22"/>
          <w:szCs w:val="22"/>
          <w:u w:val="single"/>
        </w:rPr>
        <w:t>Smegenų infarkto rizika</w:t>
      </w:r>
    </w:p>
    <w:p w14:paraId="378C05E5"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iCs/>
          <w:sz w:val="22"/>
          <w:szCs w:val="22"/>
        </w:rPr>
      </w:pPr>
      <w:r w:rsidRPr="0053375F">
        <w:rPr>
          <w:iCs/>
          <w:sz w:val="22"/>
          <w:szCs w:val="22"/>
        </w:rPr>
        <w:t xml:space="preserve">Smegenų infarkto santykinė rizika nuo amžiaus ar vartojimo trukmės nepriklauso, tačiau, kadangi pradinė rizika labai priklauso nuo amžiaus, smegenų infarkto bendroji rizika PHT ar </w:t>
      </w:r>
      <w:proofErr w:type="spellStart"/>
      <w:r w:rsidRPr="0053375F">
        <w:rPr>
          <w:iCs/>
          <w:sz w:val="22"/>
          <w:szCs w:val="22"/>
        </w:rPr>
        <w:t>tiboloną</w:t>
      </w:r>
      <w:proofErr w:type="spellEnd"/>
      <w:r w:rsidRPr="0053375F">
        <w:rPr>
          <w:iCs/>
          <w:sz w:val="22"/>
          <w:szCs w:val="22"/>
        </w:rPr>
        <w:t xml:space="preserve"> vartojančioms moterims su amžiumi didės (žr. 4.4 skyrių).</w:t>
      </w:r>
    </w:p>
    <w:p w14:paraId="11CAEB8D"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iCs/>
          <w:sz w:val="22"/>
          <w:szCs w:val="22"/>
        </w:rPr>
      </w:pPr>
      <w:r w:rsidRPr="0053375F">
        <w:rPr>
          <w:iCs/>
          <w:sz w:val="22"/>
          <w:szCs w:val="22"/>
        </w:rPr>
        <w:t xml:space="preserve">2,9 metus trukusio atsitiktinių imčių kontroliuoto klinikinio tyrimo metu nustatyta, kad 1,25 mg </w:t>
      </w:r>
      <w:proofErr w:type="spellStart"/>
      <w:r w:rsidRPr="0053375F">
        <w:rPr>
          <w:iCs/>
          <w:sz w:val="22"/>
          <w:szCs w:val="22"/>
        </w:rPr>
        <w:t>Livial</w:t>
      </w:r>
      <w:proofErr w:type="spellEnd"/>
      <w:r w:rsidRPr="0053375F">
        <w:rPr>
          <w:iCs/>
          <w:sz w:val="22"/>
          <w:szCs w:val="22"/>
        </w:rPr>
        <w:t xml:space="preserve"> dozę vartojusioms moterims (amžiaus vidurkis – 68 metai) insulto santykinė rizika padidėjo 2,2 karto (28 iš 2249), palyginti su </w:t>
      </w:r>
      <w:proofErr w:type="spellStart"/>
      <w:r w:rsidRPr="0053375F">
        <w:rPr>
          <w:iCs/>
          <w:sz w:val="22"/>
          <w:szCs w:val="22"/>
        </w:rPr>
        <w:t>placebą</w:t>
      </w:r>
      <w:proofErr w:type="spellEnd"/>
      <w:r w:rsidRPr="0053375F">
        <w:rPr>
          <w:iCs/>
          <w:sz w:val="22"/>
          <w:szCs w:val="22"/>
        </w:rPr>
        <w:t xml:space="preserve"> vartojusiomis moterimis (13 iš 2257). Insultas dažniausiai (80 % atvejų) buvo išeminis.</w:t>
      </w:r>
    </w:p>
    <w:p w14:paraId="30BB2D08" w14:textId="77777777" w:rsidR="00C45646" w:rsidRPr="0053375F" w:rsidRDefault="00C45646" w:rsidP="00C45646">
      <w:pPr>
        <w:numPr>
          <w:ilvl w:val="0"/>
          <w:numId w:val="1"/>
        </w:numPr>
        <w:tabs>
          <w:tab w:val="clear" w:pos="360"/>
          <w:tab w:val="num" w:pos="540"/>
        </w:tabs>
        <w:autoSpaceDE w:val="0"/>
        <w:autoSpaceDN w:val="0"/>
        <w:adjustRightInd w:val="0"/>
        <w:ind w:left="540" w:hanging="540"/>
        <w:rPr>
          <w:iCs/>
          <w:sz w:val="22"/>
          <w:szCs w:val="22"/>
        </w:rPr>
      </w:pPr>
      <w:r w:rsidRPr="0053375F">
        <w:rPr>
          <w:iCs/>
          <w:sz w:val="22"/>
          <w:szCs w:val="22"/>
        </w:rPr>
        <w:t>Prieš gydymą buvusi insulto rizika labai priklauso nuo amžiaus. Apskaičiuota, kad per 5 metus insulto dažnis būtų 3 atvejai tūkstančiui 50</w:t>
      </w:r>
      <w:r w:rsidRPr="0053375F">
        <w:rPr>
          <w:iCs/>
          <w:sz w:val="22"/>
          <w:szCs w:val="22"/>
        </w:rPr>
        <w:noBreakHyphen/>
        <w:t>59 metų moterų ir 11 atvejų tūkstančiui 60</w:t>
      </w:r>
      <w:r w:rsidRPr="0053375F">
        <w:rPr>
          <w:iCs/>
          <w:sz w:val="22"/>
          <w:szCs w:val="22"/>
        </w:rPr>
        <w:noBreakHyphen/>
        <w:t>69 metų moterų.</w:t>
      </w:r>
    </w:p>
    <w:p w14:paraId="17BB5736" w14:textId="77777777" w:rsidR="00C45646" w:rsidRPr="0053375F" w:rsidRDefault="00C45646" w:rsidP="00C45646">
      <w:pPr>
        <w:numPr>
          <w:ilvl w:val="0"/>
          <w:numId w:val="1"/>
        </w:numPr>
        <w:tabs>
          <w:tab w:val="clear" w:pos="360"/>
        </w:tabs>
        <w:autoSpaceDE w:val="0"/>
        <w:autoSpaceDN w:val="0"/>
        <w:adjustRightInd w:val="0"/>
        <w:ind w:left="567" w:hanging="567"/>
        <w:rPr>
          <w:iCs/>
          <w:sz w:val="22"/>
          <w:szCs w:val="22"/>
        </w:rPr>
      </w:pPr>
      <w:r w:rsidRPr="0053375F">
        <w:rPr>
          <w:iCs/>
          <w:sz w:val="22"/>
          <w:szCs w:val="22"/>
        </w:rPr>
        <w:t xml:space="preserve">Numatoma, kad 5 metus </w:t>
      </w:r>
      <w:proofErr w:type="spellStart"/>
      <w:r w:rsidRPr="0053375F">
        <w:rPr>
          <w:iCs/>
          <w:sz w:val="22"/>
          <w:szCs w:val="22"/>
        </w:rPr>
        <w:t>Livial</w:t>
      </w:r>
      <w:proofErr w:type="spellEnd"/>
      <w:r w:rsidRPr="0053375F">
        <w:rPr>
          <w:iCs/>
          <w:sz w:val="22"/>
          <w:szCs w:val="22"/>
        </w:rPr>
        <w:t xml:space="preserve"> vartojančioms moterims pasireikš maždaug 4 papildomi insulto atvejai tūkstančiui 50</w:t>
      </w:r>
      <w:r w:rsidRPr="0053375F">
        <w:rPr>
          <w:iCs/>
          <w:sz w:val="22"/>
          <w:szCs w:val="22"/>
        </w:rPr>
        <w:noBreakHyphen/>
        <w:t>59 metų moterų ir 13 papildomų insulto atvejų tūkstančiui 60</w:t>
      </w:r>
      <w:r w:rsidRPr="0053375F">
        <w:rPr>
          <w:iCs/>
          <w:sz w:val="22"/>
          <w:szCs w:val="22"/>
        </w:rPr>
        <w:noBreakHyphen/>
        <w:t>69 metų moterų.</w:t>
      </w:r>
    </w:p>
    <w:p w14:paraId="090D7B27" w14:textId="77777777" w:rsidR="00C45646" w:rsidRPr="0053375F" w:rsidRDefault="00C45646" w:rsidP="00C45646">
      <w:pPr>
        <w:autoSpaceDE w:val="0"/>
        <w:autoSpaceDN w:val="0"/>
        <w:adjustRightInd w:val="0"/>
        <w:rPr>
          <w:sz w:val="22"/>
          <w:szCs w:val="22"/>
        </w:rPr>
      </w:pPr>
    </w:p>
    <w:p w14:paraId="653A340C" w14:textId="77777777" w:rsidR="00C45646" w:rsidRDefault="00214D7E">
      <w:pPr>
        <w:pStyle w:val="Pagrindinistekstas"/>
        <w:rPr>
          <w:szCs w:val="22"/>
        </w:rPr>
      </w:pPr>
      <w:r>
        <w:rPr>
          <w:szCs w:val="22"/>
        </w:rPr>
        <w:t xml:space="preserve">Taikant gydymą </w:t>
      </w:r>
      <w:r w:rsidR="00C45646" w:rsidRPr="0053375F">
        <w:rPr>
          <w:szCs w:val="22"/>
        </w:rPr>
        <w:t xml:space="preserve">estrogenų </w:t>
      </w:r>
      <w:r>
        <w:rPr>
          <w:szCs w:val="22"/>
        </w:rPr>
        <w:t>ir</w:t>
      </w:r>
      <w:r w:rsidR="00C45646" w:rsidRPr="0053375F">
        <w:rPr>
          <w:szCs w:val="22"/>
        </w:rPr>
        <w:t xml:space="preserve"> </w:t>
      </w:r>
      <w:r>
        <w:rPr>
          <w:szCs w:val="22"/>
        </w:rPr>
        <w:t xml:space="preserve">sudėtiniais </w:t>
      </w:r>
      <w:r w:rsidR="00C45646" w:rsidRPr="0053375F">
        <w:rPr>
          <w:szCs w:val="22"/>
        </w:rPr>
        <w:t xml:space="preserve">estrogenų ir </w:t>
      </w:r>
      <w:proofErr w:type="spellStart"/>
      <w:r w:rsidR="00C45646" w:rsidRPr="0053375F">
        <w:rPr>
          <w:szCs w:val="22"/>
        </w:rPr>
        <w:t>progestagenų</w:t>
      </w:r>
      <w:proofErr w:type="spellEnd"/>
      <w:r w:rsidR="00C45646" w:rsidRPr="0053375F">
        <w:rPr>
          <w:szCs w:val="22"/>
        </w:rPr>
        <w:t xml:space="preserve"> </w:t>
      </w:r>
      <w:r>
        <w:rPr>
          <w:szCs w:val="22"/>
        </w:rPr>
        <w:t>preparatais, nustatyta kitų nepageidaujamų reakcijų</w:t>
      </w:r>
      <w:r w:rsidR="00C45646" w:rsidRPr="0053375F">
        <w:rPr>
          <w:szCs w:val="22"/>
        </w:rPr>
        <w:t>:</w:t>
      </w:r>
    </w:p>
    <w:p w14:paraId="04EBA8FF" w14:textId="77777777" w:rsidR="00214D7E" w:rsidRPr="00345F53" w:rsidRDefault="00214D7E">
      <w:pPr>
        <w:pStyle w:val="Pagrindinistekstas"/>
        <w:rPr>
          <w:szCs w:val="22"/>
        </w:rPr>
      </w:pPr>
    </w:p>
    <w:p w14:paraId="5FBF030B" w14:textId="77777777" w:rsidR="008150DB" w:rsidRDefault="006E2FA1" w:rsidP="00186A14">
      <w:pPr>
        <w:autoSpaceDE w:val="0"/>
        <w:autoSpaceDN w:val="0"/>
        <w:adjustRightInd w:val="0"/>
        <w:rPr>
          <w:sz w:val="22"/>
          <w:szCs w:val="22"/>
        </w:rPr>
      </w:pPr>
      <w:r>
        <w:rPr>
          <w:sz w:val="22"/>
          <w:szCs w:val="22"/>
          <w:u w:val="single"/>
        </w:rPr>
        <w:t>K</w:t>
      </w:r>
      <w:r w:rsidR="009B352E" w:rsidRPr="00186A14">
        <w:rPr>
          <w:sz w:val="22"/>
          <w:szCs w:val="22"/>
          <w:u w:val="single"/>
        </w:rPr>
        <w:t>iaušidžių vėžys</w:t>
      </w:r>
    </w:p>
    <w:p w14:paraId="3DE4B6FB" w14:textId="77777777" w:rsidR="006E2FA1" w:rsidRDefault="009B352E" w:rsidP="00186A14">
      <w:pPr>
        <w:autoSpaceDE w:val="0"/>
        <w:autoSpaceDN w:val="0"/>
        <w:adjustRightInd w:val="0"/>
        <w:rPr>
          <w:iCs/>
          <w:sz w:val="22"/>
          <w:szCs w:val="22"/>
        </w:rPr>
      </w:pPr>
      <w:r>
        <w:rPr>
          <w:sz w:val="22"/>
          <w:szCs w:val="22"/>
        </w:rPr>
        <w:t>PHT preparatų, kuriuose yra tik</w:t>
      </w:r>
      <w:r w:rsidR="00C45646" w:rsidRPr="007F28A8">
        <w:rPr>
          <w:iCs/>
          <w:sz w:val="22"/>
          <w:szCs w:val="22"/>
        </w:rPr>
        <w:t xml:space="preserve"> estrogeno</w:t>
      </w:r>
      <w:r>
        <w:rPr>
          <w:iCs/>
          <w:sz w:val="22"/>
          <w:szCs w:val="22"/>
        </w:rPr>
        <w:t>,</w:t>
      </w:r>
      <w:r w:rsidR="00C45646" w:rsidRPr="00C729D0">
        <w:rPr>
          <w:iCs/>
          <w:sz w:val="22"/>
          <w:szCs w:val="22"/>
        </w:rPr>
        <w:t xml:space="preserve"> ar</w:t>
      </w:r>
      <w:r>
        <w:rPr>
          <w:iCs/>
          <w:sz w:val="22"/>
          <w:szCs w:val="22"/>
        </w:rPr>
        <w:t>ba</w:t>
      </w:r>
      <w:r w:rsidR="00C45646" w:rsidRPr="00C729D0">
        <w:rPr>
          <w:iCs/>
          <w:sz w:val="22"/>
          <w:szCs w:val="22"/>
        </w:rPr>
        <w:t xml:space="preserve"> sudėtin</w:t>
      </w:r>
      <w:r>
        <w:rPr>
          <w:iCs/>
          <w:sz w:val="22"/>
          <w:szCs w:val="22"/>
        </w:rPr>
        <w:t>ių PHT preparatų, kuriuose yra</w:t>
      </w:r>
      <w:r w:rsidR="00C45646" w:rsidRPr="004A3D26">
        <w:rPr>
          <w:iCs/>
          <w:sz w:val="22"/>
          <w:szCs w:val="22"/>
        </w:rPr>
        <w:t xml:space="preserve"> estrogeno ir </w:t>
      </w:r>
      <w:proofErr w:type="spellStart"/>
      <w:r w:rsidR="00C45646" w:rsidRPr="004A3D26">
        <w:rPr>
          <w:iCs/>
          <w:sz w:val="22"/>
          <w:szCs w:val="22"/>
        </w:rPr>
        <w:t>progestageno</w:t>
      </w:r>
      <w:proofErr w:type="spellEnd"/>
      <w:r>
        <w:rPr>
          <w:iCs/>
          <w:sz w:val="22"/>
          <w:szCs w:val="22"/>
        </w:rPr>
        <w:t xml:space="preserve">, </w:t>
      </w:r>
      <w:r w:rsidR="00C45646" w:rsidRPr="004A3D26">
        <w:rPr>
          <w:iCs/>
          <w:sz w:val="22"/>
          <w:szCs w:val="22"/>
        </w:rPr>
        <w:t xml:space="preserve">vartojimas </w:t>
      </w:r>
      <w:r>
        <w:rPr>
          <w:iCs/>
          <w:sz w:val="22"/>
          <w:szCs w:val="22"/>
        </w:rPr>
        <w:t>siejamas</w:t>
      </w:r>
      <w:r w:rsidR="00C45646" w:rsidRPr="00C729D0">
        <w:rPr>
          <w:iCs/>
          <w:sz w:val="22"/>
          <w:szCs w:val="22"/>
        </w:rPr>
        <w:t xml:space="preserve"> su šiek tiek padidėjusi</w:t>
      </w:r>
      <w:r>
        <w:rPr>
          <w:iCs/>
          <w:sz w:val="22"/>
          <w:szCs w:val="22"/>
        </w:rPr>
        <w:t>a</w:t>
      </w:r>
      <w:r w:rsidR="00C45646" w:rsidRPr="004A3D26">
        <w:rPr>
          <w:iCs/>
          <w:sz w:val="22"/>
          <w:szCs w:val="22"/>
        </w:rPr>
        <w:t xml:space="preserve"> kiaušidžių vėžio</w:t>
      </w:r>
      <w:r>
        <w:rPr>
          <w:iCs/>
          <w:sz w:val="22"/>
          <w:szCs w:val="22"/>
        </w:rPr>
        <w:t xml:space="preserve"> diagnozės rizika (žr. </w:t>
      </w:r>
      <w:r w:rsidR="0054232C">
        <w:rPr>
          <w:iCs/>
          <w:sz w:val="22"/>
          <w:szCs w:val="22"/>
        </w:rPr>
        <w:t>4.4</w:t>
      </w:r>
      <w:r w:rsidR="007F28A8">
        <w:rPr>
          <w:iCs/>
          <w:sz w:val="22"/>
          <w:szCs w:val="22"/>
        </w:rPr>
        <w:t> </w:t>
      </w:r>
      <w:r w:rsidR="0054232C">
        <w:rPr>
          <w:iCs/>
          <w:sz w:val="22"/>
          <w:szCs w:val="22"/>
        </w:rPr>
        <w:t>skyrių)</w:t>
      </w:r>
      <w:r w:rsidR="00C45646" w:rsidRPr="004A3D26">
        <w:rPr>
          <w:iCs/>
          <w:sz w:val="22"/>
          <w:szCs w:val="22"/>
        </w:rPr>
        <w:t>.</w:t>
      </w:r>
    </w:p>
    <w:p w14:paraId="0A4C89F0" w14:textId="77777777" w:rsidR="00214D7E" w:rsidRDefault="00214D7E" w:rsidP="00186A14">
      <w:pPr>
        <w:autoSpaceDE w:val="0"/>
        <w:autoSpaceDN w:val="0"/>
        <w:adjustRightInd w:val="0"/>
        <w:rPr>
          <w:iCs/>
          <w:sz w:val="22"/>
          <w:szCs w:val="22"/>
        </w:rPr>
      </w:pPr>
    </w:p>
    <w:p w14:paraId="35546BFE" w14:textId="77777777" w:rsidR="00214D7E" w:rsidRDefault="00214D7E" w:rsidP="00214D7E">
      <w:pPr>
        <w:autoSpaceDE w:val="0"/>
        <w:autoSpaceDN w:val="0"/>
        <w:adjustRightInd w:val="0"/>
        <w:rPr>
          <w:sz w:val="22"/>
          <w:szCs w:val="22"/>
        </w:rPr>
      </w:pPr>
      <w:r w:rsidRPr="00D332B4">
        <w:rPr>
          <w:sz w:val="22"/>
          <w:szCs w:val="22"/>
        </w:rPr>
        <w:t xml:space="preserve">Atlikus 52 epidemiologinių tyrimų </w:t>
      </w:r>
      <w:proofErr w:type="spellStart"/>
      <w:r w:rsidRPr="00D332B4">
        <w:rPr>
          <w:sz w:val="22"/>
          <w:szCs w:val="22"/>
        </w:rPr>
        <w:t>metaanalizę</w:t>
      </w:r>
      <w:proofErr w:type="spellEnd"/>
      <w:r w:rsidRPr="00D332B4">
        <w:rPr>
          <w:sz w:val="22"/>
          <w:szCs w:val="22"/>
        </w:rPr>
        <w:t>, moterims, šiuo metu vartojančioms PHT preparatų, nustatyta didesnė kiaušidžių vėžio rizika, palyginti su moterimis, kurios niekada nevartojo PHT preparatų (RK: 1,43, 95 proc. PI: 1,31–1,56). Tarp 50–54 metų moterų, PHT preparatų vartojusių 5</w:t>
      </w:r>
      <w:r w:rsidR="007F28A8">
        <w:rPr>
          <w:sz w:val="22"/>
          <w:szCs w:val="22"/>
        </w:rPr>
        <w:t> </w:t>
      </w:r>
      <w:r w:rsidRPr="00D332B4">
        <w:rPr>
          <w:sz w:val="22"/>
          <w:szCs w:val="22"/>
        </w:rPr>
        <w:t>metus, tai sukėlė maždaug 1 papildomą atvejį/2000 vartotojų. Per 5 metus tarp 50–54 metų moterų, kurios nevartoja PHT preparatų, kiaušidžių vėžys bus diagnozuotas maždaug 2 moterims iš 2000.</w:t>
      </w:r>
    </w:p>
    <w:p w14:paraId="02BFC4C5" w14:textId="77777777" w:rsidR="00214D7E" w:rsidRDefault="00214D7E" w:rsidP="00186A14">
      <w:pPr>
        <w:autoSpaceDE w:val="0"/>
        <w:autoSpaceDN w:val="0"/>
        <w:adjustRightInd w:val="0"/>
        <w:rPr>
          <w:iCs/>
          <w:sz w:val="22"/>
          <w:szCs w:val="22"/>
        </w:rPr>
      </w:pPr>
    </w:p>
    <w:p w14:paraId="11EC76B6" w14:textId="77777777" w:rsidR="0054232C" w:rsidRDefault="00214D7E" w:rsidP="00186A14">
      <w:pPr>
        <w:autoSpaceDE w:val="0"/>
        <w:autoSpaceDN w:val="0"/>
        <w:adjustRightInd w:val="0"/>
        <w:rPr>
          <w:iCs/>
          <w:sz w:val="22"/>
          <w:szCs w:val="22"/>
        </w:rPr>
      </w:pPr>
      <w:r>
        <w:rPr>
          <w:iCs/>
          <w:sz w:val="22"/>
          <w:szCs w:val="22"/>
        </w:rPr>
        <w:t xml:space="preserve">Atlikus vadinamąjį </w:t>
      </w:r>
      <w:r w:rsidR="00C45646" w:rsidRPr="00C729D0">
        <w:rPr>
          <w:iCs/>
          <w:sz w:val="22"/>
          <w:szCs w:val="22"/>
        </w:rPr>
        <w:t>Milijono moterų tyrim</w:t>
      </w:r>
      <w:r>
        <w:rPr>
          <w:iCs/>
          <w:sz w:val="22"/>
          <w:szCs w:val="22"/>
        </w:rPr>
        <w:t>ą,</w:t>
      </w:r>
      <w:r w:rsidR="00C45646" w:rsidRPr="00C729D0">
        <w:rPr>
          <w:iCs/>
          <w:sz w:val="22"/>
          <w:szCs w:val="22"/>
        </w:rPr>
        <w:t xml:space="preserve"> </w:t>
      </w:r>
      <w:r>
        <w:rPr>
          <w:iCs/>
          <w:sz w:val="22"/>
          <w:szCs w:val="22"/>
        </w:rPr>
        <w:t xml:space="preserve">tarp </w:t>
      </w:r>
      <w:r w:rsidR="00C45646" w:rsidRPr="00C729D0">
        <w:rPr>
          <w:iCs/>
          <w:sz w:val="22"/>
          <w:szCs w:val="22"/>
        </w:rPr>
        <w:t xml:space="preserve">5 metus </w:t>
      </w:r>
      <w:proofErr w:type="spellStart"/>
      <w:r>
        <w:rPr>
          <w:iCs/>
          <w:sz w:val="22"/>
          <w:szCs w:val="22"/>
        </w:rPr>
        <w:t>tibolono</w:t>
      </w:r>
      <w:proofErr w:type="spellEnd"/>
      <w:r>
        <w:rPr>
          <w:iCs/>
          <w:sz w:val="22"/>
          <w:szCs w:val="22"/>
        </w:rPr>
        <w:t xml:space="preserve"> vartojusių moterų nustatytas 1</w:t>
      </w:r>
      <w:r w:rsidR="007F28A8">
        <w:rPr>
          <w:iCs/>
          <w:sz w:val="22"/>
          <w:szCs w:val="22"/>
        </w:rPr>
        <w:t> </w:t>
      </w:r>
      <w:r w:rsidR="00C45646" w:rsidRPr="004A3D26">
        <w:rPr>
          <w:iCs/>
          <w:sz w:val="22"/>
          <w:szCs w:val="22"/>
        </w:rPr>
        <w:t>papildom</w:t>
      </w:r>
      <w:r>
        <w:rPr>
          <w:iCs/>
          <w:sz w:val="22"/>
          <w:szCs w:val="22"/>
        </w:rPr>
        <w:t>as</w:t>
      </w:r>
      <w:r w:rsidR="00C45646" w:rsidRPr="004A3D26">
        <w:rPr>
          <w:iCs/>
          <w:sz w:val="22"/>
          <w:szCs w:val="22"/>
        </w:rPr>
        <w:t xml:space="preserve"> </w:t>
      </w:r>
      <w:r>
        <w:rPr>
          <w:iCs/>
          <w:sz w:val="22"/>
          <w:szCs w:val="22"/>
        </w:rPr>
        <w:t xml:space="preserve">kiaušidžių vėžio </w:t>
      </w:r>
      <w:r w:rsidR="00C45646" w:rsidRPr="00C729D0">
        <w:rPr>
          <w:iCs/>
          <w:sz w:val="22"/>
          <w:szCs w:val="22"/>
        </w:rPr>
        <w:t>atvej</w:t>
      </w:r>
      <w:r>
        <w:rPr>
          <w:iCs/>
          <w:sz w:val="22"/>
          <w:szCs w:val="22"/>
        </w:rPr>
        <w:t>is/</w:t>
      </w:r>
      <w:r w:rsidR="00C45646" w:rsidRPr="004A3D26">
        <w:rPr>
          <w:iCs/>
          <w:sz w:val="22"/>
          <w:szCs w:val="22"/>
        </w:rPr>
        <w:t>2500 varto</w:t>
      </w:r>
      <w:r>
        <w:rPr>
          <w:iCs/>
          <w:sz w:val="22"/>
          <w:szCs w:val="22"/>
        </w:rPr>
        <w:t>tojų (žr. 4.4 skyrių)</w:t>
      </w:r>
      <w:r w:rsidR="00C45646" w:rsidRPr="004A3D26">
        <w:rPr>
          <w:iCs/>
          <w:sz w:val="22"/>
          <w:szCs w:val="22"/>
        </w:rPr>
        <w:t>.</w:t>
      </w:r>
    </w:p>
    <w:p w14:paraId="3792DFFD" w14:textId="77777777" w:rsidR="006E2FA1" w:rsidRDefault="006E2FA1" w:rsidP="00186A14">
      <w:pPr>
        <w:autoSpaceDE w:val="0"/>
        <w:autoSpaceDN w:val="0"/>
        <w:adjustRightInd w:val="0"/>
        <w:rPr>
          <w:sz w:val="22"/>
          <w:szCs w:val="22"/>
        </w:rPr>
      </w:pPr>
    </w:p>
    <w:p w14:paraId="18A7BC69" w14:textId="77777777" w:rsidR="006E2FA1" w:rsidRDefault="006E2FA1" w:rsidP="00186A14">
      <w:pPr>
        <w:keepNext/>
        <w:autoSpaceDE w:val="0"/>
        <w:autoSpaceDN w:val="0"/>
        <w:adjustRightInd w:val="0"/>
        <w:outlineLvl w:val="0"/>
        <w:rPr>
          <w:iCs/>
          <w:sz w:val="22"/>
          <w:szCs w:val="22"/>
        </w:rPr>
      </w:pPr>
      <w:r w:rsidRPr="0053375F">
        <w:rPr>
          <w:sz w:val="22"/>
          <w:szCs w:val="22"/>
          <w:u w:val="single"/>
        </w:rPr>
        <w:t xml:space="preserve">Venų </w:t>
      </w:r>
      <w:proofErr w:type="spellStart"/>
      <w:r w:rsidRPr="0053375F">
        <w:rPr>
          <w:sz w:val="22"/>
          <w:szCs w:val="22"/>
          <w:u w:val="single"/>
        </w:rPr>
        <w:t>tromboembolija</w:t>
      </w:r>
      <w:proofErr w:type="spellEnd"/>
    </w:p>
    <w:p w14:paraId="75F3D744" w14:textId="77777777" w:rsidR="00C45646" w:rsidRPr="007F28A8" w:rsidRDefault="00C45646" w:rsidP="00186A14">
      <w:pPr>
        <w:keepNext/>
        <w:autoSpaceDE w:val="0"/>
        <w:autoSpaceDN w:val="0"/>
        <w:adjustRightInd w:val="0"/>
        <w:rPr>
          <w:iCs/>
          <w:sz w:val="22"/>
          <w:szCs w:val="22"/>
        </w:rPr>
      </w:pPr>
      <w:r w:rsidRPr="004A3D26">
        <w:rPr>
          <w:iCs/>
          <w:sz w:val="22"/>
          <w:szCs w:val="22"/>
        </w:rPr>
        <w:t xml:space="preserve">PHT yra susijusi su 1,3 – 3 kartus padidėjusia venų </w:t>
      </w:r>
      <w:proofErr w:type="spellStart"/>
      <w:r w:rsidRPr="004A3D26">
        <w:rPr>
          <w:iCs/>
          <w:sz w:val="22"/>
          <w:szCs w:val="22"/>
        </w:rPr>
        <w:t>tromboembolijos</w:t>
      </w:r>
      <w:proofErr w:type="spellEnd"/>
      <w:r w:rsidRPr="004A3D26">
        <w:rPr>
          <w:iCs/>
          <w:sz w:val="22"/>
          <w:szCs w:val="22"/>
        </w:rPr>
        <w:t xml:space="preserve"> (VTE) (t. y. giliųjų ve</w:t>
      </w:r>
      <w:r w:rsidRPr="007F28A8">
        <w:rPr>
          <w:iCs/>
          <w:sz w:val="22"/>
          <w:szCs w:val="22"/>
        </w:rPr>
        <w:t>nų trombozės arba plaučių embolijos) rizika. Tokio reiškinio tikimybė pirmaisiais PHT taikymo metais yra didesnė (žr. 4.4 skyrių). Žemiau yra pateikti WHI tyrimų rezultatai;</w:t>
      </w:r>
    </w:p>
    <w:p w14:paraId="269644B7" w14:textId="77777777" w:rsidR="00C45646" w:rsidRPr="0053375F" w:rsidRDefault="00C45646" w:rsidP="00C45646">
      <w:pPr>
        <w:autoSpaceDE w:val="0"/>
        <w:autoSpaceDN w:val="0"/>
        <w:adjustRightInd w:val="0"/>
        <w:ind w:left="540" w:hanging="540"/>
        <w:rPr>
          <w:sz w:val="22"/>
          <w:szCs w:val="22"/>
        </w:rPr>
      </w:pPr>
    </w:p>
    <w:p w14:paraId="6DD6E171" w14:textId="77777777" w:rsidR="00C45646" w:rsidRPr="0053375F" w:rsidRDefault="00C45646" w:rsidP="00186A14">
      <w:pPr>
        <w:keepNext/>
        <w:rPr>
          <w:b/>
          <w:bCs/>
          <w:sz w:val="22"/>
          <w:szCs w:val="22"/>
        </w:rPr>
      </w:pPr>
      <w:r w:rsidRPr="0053375F">
        <w:rPr>
          <w:b/>
          <w:sz w:val="22"/>
          <w:szCs w:val="22"/>
        </w:rPr>
        <w:t xml:space="preserve">3 lentelė. </w:t>
      </w:r>
      <w:r w:rsidRPr="0053375F">
        <w:rPr>
          <w:b/>
          <w:bCs/>
          <w:sz w:val="22"/>
          <w:szCs w:val="22"/>
        </w:rPr>
        <w:t>WHI tyrimai - papildomoji VTE rizika po 5 vartojimo metų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3021"/>
        <w:gridCol w:w="1933"/>
        <w:gridCol w:w="2535"/>
      </w:tblGrid>
      <w:tr w:rsidR="00C45646" w:rsidRPr="0053375F" w14:paraId="04EBC664" w14:textId="77777777" w:rsidTr="00186A14">
        <w:trPr>
          <w:trHeight w:val="773"/>
        </w:trPr>
        <w:tc>
          <w:tcPr>
            <w:tcW w:w="867" w:type="pct"/>
          </w:tcPr>
          <w:p w14:paraId="67939865" w14:textId="77777777" w:rsidR="00C45646" w:rsidRPr="0053375F" w:rsidRDefault="00C45646" w:rsidP="00186A14">
            <w:pPr>
              <w:keepNext/>
              <w:autoSpaceDE w:val="0"/>
              <w:autoSpaceDN w:val="0"/>
              <w:adjustRightInd w:val="0"/>
              <w:ind w:right="-108"/>
              <w:rPr>
                <w:sz w:val="22"/>
                <w:szCs w:val="22"/>
              </w:rPr>
            </w:pPr>
            <w:r w:rsidRPr="0053375F">
              <w:rPr>
                <w:color w:val="000000"/>
                <w:sz w:val="22"/>
                <w:szCs w:val="22"/>
              </w:rPr>
              <w:t>Amžiaus ribos (metai)</w:t>
            </w:r>
          </w:p>
        </w:tc>
        <w:tc>
          <w:tcPr>
            <w:tcW w:w="1667" w:type="pct"/>
          </w:tcPr>
          <w:p w14:paraId="244A4DB5" w14:textId="77777777" w:rsidR="00C45646" w:rsidRPr="0053375F" w:rsidRDefault="00C45646" w:rsidP="00186A14">
            <w:pPr>
              <w:keepNext/>
              <w:autoSpaceDE w:val="0"/>
              <w:autoSpaceDN w:val="0"/>
              <w:adjustRightInd w:val="0"/>
              <w:ind w:right="-108"/>
              <w:rPr>
                <w:sz w:val="22"/>
                <w:szCs w:val="22"/>
              </w:rPr>
            </w:pPr>
            <w:r w:rsidRPr="0053375F">
              <w:rPr>
                <w:sz w:val="22"/>
                <w:szCs w:val="22"/>
              </w:rPr>
              <w:t xml:space="preserve">Dažnis 1000 </w:t>
            </w:r>
            <w:proofErr w:type="spellStart"/>
            <w:r w:rsidRPr="0053375F">
              <w:rPr>
                <w:sz w:val="22"/>
                <w:szCs w:val="22"/>
              </w:rPr>
              <w:t>placebo</w:t>
            </w:r>
            <w:proofErr w:type="spellEnd"/>
            <w:r w:rsidRPr="0053375F">
              <w:rPr>
                <w:sz w:val="22"/>
                <w:szCs w:val="22"/>
              </w:rPr>
              <w:t xml:space="preserve"> pogrupio moterų per 5 metus</w:t>
            </w:r>
          </w:p>
        </w:tc>
        <w:tc>
          <w:tcPr>
            <w:tcW w:w="1067" w:type="pct"/>
          </w:tcPr>
          <w:p w14:paraId="5193EBA0" w14:textId="77777777" w:rsidR="00C45646" w:rsidRPr="0053375F" w:rsidRDefault="00C45646" w:rsidP="00186A14">
            <w:pPr>
              <w:keepNext/>
              <w:autoSpaceDE w:val="0"/>
              <w:autoSpaceDN w:val="0"/>
              <w:adjustRightInd w:val="0"/>
              <w:ind w:right="-108"/>
              <w:rPr>
                <w:sz w:val="22"/>
                <w:szCs w:val="22"/>
              </w:rPr>
            </w:pPr>
            <w:r w:rsidRPr="0053375F">
              <w:rPr>
                <w:sz w:val="22"/>
                <w:szCs w:val="22"/>
              </w:rPr>
              <w:t>Santykinė rizika ir 95 % PI</w:t>
            </w:r>
          </w:p>
        </w:tc>
        <w:tc>
          <w:tcPr>
            <w:tcW w:w="1399" w:type="pct"/>
          </w:tcPr>
          <w:p w14:paraId="32C32EEB" w14:textId="77777777" w:rsidR="00C45646" w:rsidRPr="0053375F" w:rsidRDefault="00C45646" w:rsidP="00186A14">
            <w:pPr>
              <w:keepNext/>
              <w:tabs>
                <w:tab w:val="left" w:pos="1152"/>
              </w:tabs>
              <w:autoSpaceDE w:val="0"/>
              <w:autoSpaceDN w:val="0"/>
              <w:adjustRightInd w:val="0"/>
              <w:ind w:right="-82"/>
              <w:rPr>
                <w:sz w:val="22"/>
                <w:szCs w:val="22"/>
              </w:rPr>
            </w:pPr>
            <w:r w:rsidRPr="0053375F">
              <w:rPr>
                <w:sz w:val="22"/>
                <w:szCs w:val="22"/>
              </w:rPr>
              <w:t>Papildomų atvejų skaičius 1000 PHT vartojusių moterų</w:t>
            </w:r>
          </w:p>
        </w:tc>
      </w:tr>
      <w:tr w:rsidR="00C45646" w:rsidRPr="0053375F" w14:paraId="374A477A" w14:textId="77777777" w:rsidTr="00186A14">
        <w:trPr>
          <w:trHeight w:val="263"/>
        </w:trPr>
        <w:tc>
          <w:tcPr>
            <w:tcW w:w="5000" w:type="pct"/>
            <w:gridSpan w:val="4"/>
          </w:tcPr>
          <w:p w14:paraId="642695B6" w14:textId="77777777" w:rsidR="00C45646" w:rsidRPr="0053375F" w:rsidRDefault="00C45646" w:rsidP="00186A14">
            <w:pPr>
              <w:keepNext/>
              <w:autoSpaceDE w:val="0"/>
              <w:autoSpaceDN w:val="0"/>
              <w:adjustRightInd w:val="0"/>
              <w:rPr>
                <w:sz w:val="22"/>
                <w:szCs w:val="22"/>
              </w:rPr>
            </w:pPr>
            <w:r w:rsidRPr="0053375F">
              <w:rPr>
                <w:sz w:val="22"/>
                <w:szCs w:val="22"/>
              </w:rPr>
              <w:t>Vienas geriamasis estrogenas</w:t>
            </w:r>
            <w:r w:rsidRPr="009271F4">
              <w:rPr>
                <w:sz w:val="22"/>
                <w:szCs w:val="22"/>
              </w:rPr>
              <w:t>*4</w:t>
            </w:r>
          </w:p>
        </w:tc>
      </w:tr>
      <w:tr w:rsidR="00C45646" w:rsidRPr="0053375F" w14:paraId="0B14C0AF" w14:textId="77777777" w:rsidTr="00186A14">
        <w:trPr>
          <w:trHeight w:val="265"/>
        </w:trPr>
        <w:tc>
          <w:tcPr>
            <w:tcW w:w="867" w:type="pct"/>
          </w:tcPr>
          <w:p w14:paraId="37A4DD6D" w14:textId="77777777" w:rsidR="00C45646" w:rsidRPr="0053375F" w:rsidRDefault="00C45646" w:rsidP="002D58E4">
            <w:pPr>
              <w:autoSpaceDE w:val="0"/>
              <w:autoSpaceDN w:val="0"/>
              <w:adjustRightInd w:val="0"/>
              <w:rPr>
                <w:sz w:val="22"/>
                <w:szCs w:val="22"/>
              </w:rPr>
            </w:pPr>
            <w:r w:rsidRPr="0053375F">
              <w:rPr>
                <w:sz w:val="22"/>
                <w:szCs w:val="22"/>
              </w:rPr>
              <w:t>50 - 59</w:t>
            </w:r>
          </w:p>
        </w:tc>
        <w:tc>
          <w:tcPr>
            <w:tcW w:w="1667" w:type="pct"/>
          </w:tcPr>
          <w:p w14:paraId="4ACF6AB9" w14:textId="77777777" w:rsidR="00C45646" w:rsidRPr="0053375F" w:rsidRDefault="00C45646" w:rsidP="002D58E4">
            <w:pPr>
              <w:autoSpaceDE w:val="0"/>
              <w:autoSpaceDN w:val="0"/>
              <w:adjustRightInd w:val="0"/>
              <w:rPr>
                <w:sz w:val="22"/>
                <w:szCs w:val="22"/>
              </w:rPr>
            </w:pPr>
            <w:r w:rsidRPr="0053375F">
              <w:rPr>
                <w:sz w:val="22"/>
                <w:szCs w:val="22"/>
              </w:rPr>
              <w:t>7</w:t>
            </w:r>
          </w:p>
        </w:tc>
        <w:tc>
          <w:tcPr>
            <w:tcW w:w="1067" w:type="pct"/>
          </w:tcPr>
          <w:p w14:paraId="123E2A07" w14:textId="77777777" w:rsidR="00C45646" w:rsidRPr="0053375F" w:rsidRDefault="00C45646" w:rsidP="002D58E4">
            <w:pPr>
              <w:autoSpaceDE w:val="0"/>
              <w:autoSpaceDN w:val="0"/>
              <w:adjustRightInd w:val="0"/>
              <w:rPr>
                <w:sz w:val="22"/>
                <w:szCs w:val="22"/>
              </w:rPr>
            </w:pPr>
            <w:r w:rsidRPr="0053375F">
              <w:rPr>
                <w:sz w:val="22"/>
                <w:szCs w:val="22"/>
              </w:rPr>
              <w:t>1,2 (0,6 - 2,4)</w:t>
            </w:r>
          </w:p>
        </w:tc>
        <w:tc>
          <w:tcPr>
            <w:tcW w:w="1399" w:type="pct"/>
          </w:tcPr>
          <w:p w14:paraId="75DF1AD1" w14:textId="77777777" w:rsidR="00C45646" w:rsidRPr="0053375F" w:rsidRDefault="00C45646" w:rsidP="002D58E4">
            <w:pPr>
              <w:autoSpaceDE w:val="0"/>
              <w:autoSpaceDN w:val="0"/>
              <w:adjustRightInd w:val="0"/>
              <w:rPr>
                <w:sz w:val="22"/>
                <w:szCs w:val="22"/>
              </w:rPr>
            </w:pPr>
            <w:r w:rsidRPr="0053375F">
              <w:rPr>
                <w:sz w:val="22"/>
                <w:szCs w:val="22"/>
              </w:rPr>
              <w:t>1 (-3 - 10)</w:t>
            </w:r>
          </w:p>
        </w:tc>
      </w:tr>
      <w:tr w:rsidR="00C45646" w:rsidRPr="0053375F" w14:paraId="06E9C0B0" w14:textId="77777777" w:rsidTr="00186A14">
        <w:trPr>
          <w:trHeight w:val="265"/>
        </w:trPr>
        <w:tc>
          <w:tcPr>
            <w:tcW w:w="5000" w:type="pct"/>
            <w:gridSpan w:val="4"/>
          </w:tcPr>
          <w:p w14:paraId="3630BDAF" w14:textId="77777777" w:rsidR="00C45646" w:rsidRPr="0053375F" w:rsidRDefault="00C45646" w:rsidP="002D58E4">
            <w:pPr>
              <w:autoSpaceDE w:val="0"/>
              <w:autoSpaceDN w:val="0"/>
              <w:adjustRightInd w:val="0"/>
              <w:rPr>
                <w:sz w:val="22"/>
                <w:szCs w:val="22"/>
              </w:rPr>
            </w:pPr>
            <w:r w:rsidRPr="0053375F">
              <w:rPr>
                <w:sz w:val="22"/>
                <w:szCs w:val="22"/>
              </w:rPr>
              <w:t xml:space="preserve">Geriamasis estrogeno ir </w:t>
            </w:r>
            <w:proofErr w:type="spellStart"/>
            <w:r w:rsidRPr="0053375F">
              <w:rPr>
                <w:sz w:val="22"/>
                <w:szCs w:val="22"/>
              </w:rPr>
              <w:t>progestageno</w:t>
            </w:r>
            <w:proofErr w:type="spellEnd"/>
            <w:r w:rsidRPr="0053375F">
              <w:rPr>
                <w:sz w:val="22"/>
                <w:szCs w:val="22"/>
              </w:rPr>
              <w:t xml:space="preserve"> derinys</w:t>
            </w:r>
          </w:p>
        </w:tc>
      </w:tr>
      <w:tr w:rsidR="00C45646" w:rsidRPr="0053375F" w14:paraId="02EE20CF" w14:textId="77777777" w:rsidTr="00186A14">
        <w:trPr>
          <w:trHeight w:val="265"/>
        </w:trPr>
        <w:tc>
          <w:tcPr>
            <w:tcW w:w="867" w:type="pct"/>
          </w:tcPr>
          <w:p w14:paraId="5091D8CF" w14:textId="77777777" w:rsidR="00C45646" w:rsidRPr="0053375F" w:rsidRDefault="00C45646" w:rsidP="002D58E4">
            <w:pPr>
              <w:autoSpaceDE w:val="0"/>
              <w:autoSpaceDN w:val="0"/>
              <w:adjustRightInd w:val="0"/>
              <w:rPr>
                <w:sz w:val="22"/>
                <w:szCs w:val="22"/>
              </w:rPr>
            </w:pPr>
            <w:r w:rsidRPr="0053375F">
              <w:rPr>
                <w:sz w:val="22"/>
                <w:szCs w:val="22"/>
              </w:rPr>
              <w:t>50 - 59</w:t>
            </w:r>
          </w:p>
        </w:tc>
        <w:tc>
          <w:tcPr>
            <w:tcW w:w="1667" w:type="pct"/>
          </w:tcPr>
          <w:p w14:paraId="063751DF" w14:textId="77777777" w:rsidR="00C45646" w:rsidRPr="0053375F" w:rsidRDefault="00C45646" w:rsidP="002D58E4">
            <w:pPr>
              <w:autoSpaceDE w:val="0"/>
              <w:autoSpaceDN w:val="0"/>
              <w:adjustRightInd w:val="0"/>
              <w:rPr>
                <w:sz w:val="22"/>
                <w:szCs w:val="22"/>
              </w:rPr>
            </w:pPr>
            <w:r w:rsidRPr="0053375F">
              <w:rPr>
                <w:sz w:val="22"/>
                <w:szCs w:val="22"/>
              </w:rPr>
              <w:t>4</w:t>
            </w:r>
          </w:p>
        </w:tc>
        <w:tc>
          <w:tcPr>
            <w:tcW w:w="1067" w:type="pct"/>
          </w:tcPr>
          <w:p w14:paraId="134C953B" w14:textId="77777777" w:rsidR="00C45646" w:rsidRPr="0053375F" w:rsidRDefault="00C45646" w:rsidP="002D58E4">
            <w:pPr>
              <w:autoSpaceDE w:val="0"/>
              <w:autoSpaceDN w:val="0"/>
              <w:adjustRightInd w:val="0"/>
              <w:rPr>
                <w:sz w:val="22"/>
                <w:szCs w:val="22"/>
              </w:rPr>
            </w:pPr>
            <w:r w:rsidRPr="0053375F">
              <w:rPr>
                <w:sz w:val="22"/>
                <w:szCs w:val="22"/>
              </w:rPr>
              <w:t>2,3 (1,2 – 4,3)</w:t>
            </w:r>
          </w:p>
        </w:tc>
        <w:tc>
          <w:tcPr>
            <w:tcW w:w="1399" w:type="pct"/>
          </w:tcPr>
          <w:p w14:paraId="7C05BB44" w14:textId="77777777" w:rsidR="00C45646" w:rsidRPr="0053375F" w:rsidRDefault="00C45646" w:rsidP="002D58E4">
            <w:pPr>
              <w:autoSpaceDE w:val="0"/>
              <w:autoSpaceDN w:val="0"/>
              <w:adjustRightInd w:val="0"/>
              <w:rPr>
                <w:sz w:val="22"/>
                <w:szCs w:val="22"/>
              </w:rPr>
            </w:pPr>
            <w:r w:rsidRPr="0053375F">
              <w:rPr>
                <w:sz w:val="22"/>
                <w:szCs w:val="22"/>
              </w:rPr>
              <w:t>5 (1 - 13)</w:t>
            </w:r>
          </w:p>
        </w:tc>
      </w:tr>
    </w:tbl>
    <w:p w14:paraId="046D577B" w14:textId="77777777" w:rsidR="00C45646" w:rsidRPr="0053375F" w:rsidRDefault="003C0DB7" w:rsidP="00186A14">
      <w:pPr>
        <w:rPr>
          <w:sz w:val="22"/>
          <w:szCs w:val="22"/>
        </w:rPr>
      </w:pPr>
      <w:r>
        <w:rPr>
          <w:sz w:val="22"/>
          <w:szCs w:val="22"/>
        </w:rPr>
        <w:t>*</w:t>
      </w:r>
      <w:r w:rsidR="00C45646" w:rsidRPr="0053375F">
        <w:rPr>
          <w:sz w:val="22"/>
          <w:szCs w:val="22"/>
        </w:rPr>
        <w:t>4 tyrime dalyvavo moterys, kurioms pašalinta gimda</w:t>
      </w:r>
    </w:p>
    <w:p w14:paraId="71C1B897" w14:textId="77777777" w:rsidR="00C45646" w:rsidRPr="0053375F" w:rsidRDefault="00C45646" w:rsidP="00C45646">
      <w:pPr>
        <w:autoSpaceDE w:val="0"/>
        <w:autoSpaceDN w:val="0"/>
        <w:adjustRightInd w:val="0"/>
        <w:ind w:left="540" w:hanging="540"/>
        <w:rPr>
          <w:sz w:val="22"/>
          <w:szCs w:val="22"/>
        </w:rPr>
      </w:pPr>
    </w:p>
    <w:p w14:paraId="2FD35E73" w14:textId="77777777" w:rsidR="00C45646" w:rsidRPr="007F28A8" w:rsidRDefault="00C45646" w:rsidP="00186A14">
      <w:pPr>
        <w:numPr>
          <w:ilvl w:val="0"/>
          <w:numId w:val="1"/>
        </w:numPr>
        <w:tabs>
          <w:tab w:val="clear" w:pos="360"/>
          <w:tab w:val="num" w:pos="540"/>
        </w:tabs>
        <w:autoSpaceDE w:val="0"/>
        <w:autoSpaceDN w:val="0"/>
        <w:adjustRightInd w:val="0"/>
        <w:ind w:left="540" w:hanging="540"/>
        <w:rPr>
          <w:iCs/>
          <w:sz w:val="22"/>
          <w:szCs w:val="22"/>
        </w:rPr>
      </w:pPr>
      <w:r w:rsidRPr="004A3D26">
        <w:rPr>
          <w:iCs/>
          <w:sz w:val="22"/>
          <w:szCs w:val="22"/>
        </w:rPr>
        <w:t xml:space="preserve">Koronarinių arterijų ligos pavojus vyresnėms nei 60 metų moterims, kurioms taikoma sudėtinė estrogeno ir </w:t>
      </w:r>
      <w:proofErr w:type="spellStart"/>
      <w:r w:rsidRPr="004A3D26">
        <w:rPr>
          <w:iCs/>
          <w:sz w:val="22"/>
          <w:szCs w:val="22"/>
        </w:rPr>
        <w:t>progestageno</w:t>
      </w:r>
      <w:proofErr w:type="spellEnd"/>
      <w:r w:rsidRPr="004A3D26">
        <w:rPr>
          <w:iCs/>
          <w:sz w:val="22"/>
          <w:szCs w:val="22"/>
        </w:rPr>
        <w:t xml:space="preserve"> PHT, šiek tiek padidėja. Įrodymų, kad miokard</w:t>
      </w:r>
      <w:r w:rsidRPr="007F28A8">
        <w:rPr>
          <w:iCs/>
          <w:sz w:val="22"/>
          <w:szCs w:val="22"/>
        </w:rPr>
        <w:t xml:space="preserve">o infarkto rizika vartojant </w:t>
      </w:r>
      <w:proofErr w:type="spellStart"/>
      <w:r w:rsidRPr="007F28A8">
        <w:rPr>
          <w:iCs/>
          <w:sz w:val="22"/>
          <w:szCs w:val="22"/>
        </w:rPr>
        <w:t>tiboloną</w:t>
      </w:r>
      <w:proofErr w:type="spellEnd"/>
      <w:r w:rsidRPr="007F28A8">
        <w:rPr>
          <w:iCs/>
          <w:sz w:val="22"/>
          <w:szCs w:val="22"/>
        </w:rPr>
        <w:t xml:space="preserve"> skirtųsi nuo rizikos taikant kitokią PHT, nėra;</w:t>
      </w:r>
    </w:p>
    <w:p w14:paraId="5ADB382B" w14:textId="77777777" w:rsidR="00C45646" w:rsidRPr="007F28A8" w:rsidRDefault="00C45646" w:rsidP="00186A14">
      <w:pPr>
        <w:numPr>
          <w:ilvl w:val="0"/>
          <w:numId w:val="1"/>
        </w:numPr>
        <w:tabs>
          <w:tab w:val="clear" w:pos="360"/>
          <w:tab w:val="num" w:pos="540"/>
        </w:tabs>
        <w:autoSpaceDE w:val="0"/>
        <w:autoSpaceDN w:val="0"/>
        <w:adjustRightInd w:val="0"/>
        <w:ind w:left="540" w:hanging="540"/>
        <w:rPr>
          <w:iCs/>
          <w:sz w:val="22"/>
          <w:szCs w:val="22"/>
        </w:rPr>
      </w:pPr>
      <w:r w:rsidRPr="007F28A8">
        <w:rPr>
          <w:iCs/>
          <w:sz w:val="22"/>
          <w:szCs w:val="22"/>
        </w:rPr>
        <w:t>tulžies pūslės liga;</w:t>
      </w:r>
    </w:p>
    <w:p w14:paraId="2706B405" w14:textId="77777777" w:rsidR="00C45646" w:rsidRPr="0023079D" w:rsidRDefault="00C45646" w:rsidP="00186A14">
      <w:pPr>
        <w:numPr>
          <w:ilvl w:val="0"/>
          <w:numId w:val="1"/>
        </w:numPr>
        <w:tabs>
          <w:tab w:val="clear" w:pos="360"/>
          <w:tab w:val="num" w:pos="540"/>
        </w:tabs>
        <w:autoSpaceDE w:val="0"/>
        <w:autoSpaceDN w:val="0"/>
        <w:adjustRightInd w:val="0"/>
        <w:ind w:left="540" w:hanging="540"/>
        <w:rPr>
          <w:iCs/>
          <w:sz w:val="22"/>
          <w:szCs w:val="22"/>
        </w:rPr>
      </w:pPr>
      <w:r w:rsidRPr="0023079D">
        <w:rPr>
          <w:iCs/>
          <w:sz w:val="22"/>
          <w:szCs w:val="22"/>
        </w:rPr>
        <w:lastRenderedPageBreak/>
        <w:t xml:space="preserve">odos ir poodinio audinio sutrikimai: </w:t>
      </w:r>
      <w:proofErr w:type="spellStart"/>
      <w:r w:rsidRPr="0023079D">
        <w:rPr>
          <w:iCs/>
          <w:sz w:val="22"/>
          <w:szCs w:val="22"/>
        </w:rPr>
        <w:t>chloazma</w:t>
      </w:r>
      <w:proofErr w:type="spellEnd"/>
      <w:r w:rsidRPr="0023079D">
        <w:rPr>
          <w:iCs/>
          <w:sz w:val="22"/>
          <w:szCs w:val="22"/>
        </w:rPr>
        <w:t xml:space="preserve">, daugiaformė </w:t>
      </w:r>
      <w:proofErr w:type="spellStart"/>
      <w:r w:rsidRPr="0023079D">
        <w:rPr>
          <w:iCs/>
          <w:sz w:val="22"/>
          <w:szCs w:val="22"/>
        </w:rPr>
        <w:t>eritema</w:t>
      </w:r>
      <w:proofErr w:type="spellEnd"/>
      <w:r w:rsidRPr="0023079D">
        <w:rPr>
          <w:iCs/>
          <w:sz w:val="22"/>
          <w:szCs w:val="22"/>
        </w:rPr>
        <w:t xml:space="preserve">, mazginė </w:t>
      </w:r>
      <w:proofErr w:type="spellStart"/>
      <w:r w:rsidRPr="0023079D">
        <w:rPr>
          <w:iCs/>
          <w:sz w:val="22"/>
          <w:szCs w:val="22"/>
        </w:rPr>
        <w:t>eritema</w:t>
      </w:r>
      <w:proofErr w:type="spellEnd"/>
      <w:r w:rsidRPr="0023079D">
        <w:rPr>
          <w:iCs/>
          <w:sz w:val="22"/>
          <w:szCs w:val="22"/>
        </w:rPr>
        <w:t>, kraujagyslinė purpura;</w:t>
      </w:r>
    </w:p>
    <w:p w14:paraId="4734FAF5" w14:textId="77777777" w:rsidR="00C45646" w:rsidRPr="00186A14" w:rsidRDefault="00C45646" w:rsidP="00186A14">
      <w:pPr>
        <w:numPr>
          <w:ilvl w:val="0"/>
          <w:numId w:val="1"/>
        </w:numPr>
        <w:tabs>
          <w:tab w:val="clear" w:pos="360"/>
          <w:tab w:val="num" w:pos="540"/>
        </w:tabs>
        <w:autoSpaceDE w:val="0"/>
        <w:autoSpaceDN w:val="0"/>
        <w:adjustRightInd w:val="0"/>
        <w:ind w:left="540" w:hanging="540"/>
        <w:rPr>
          <w:iCs/>
          <w:sz w:val="22"/>
          <w:szCs w:val="22"/>
        </w:rPr>
      </w:pPr>
      <w:r w:rsidRPr="004930C0">
        <w:rPr>
          <w:iCs/>
          <w:sz w:val="22"/>
          <w:szCs w:val="22"/>
        </w:rPr>
        <w:t xml:space="preserve">tikėtina demencija vyresnėms nei </w:t>
      </w:r>
      <w:r w:rsidRPr="00186A14">
        <w:rPr>
          <w:iCs/>
          <w:sz w:val="22"/>
          <w:szCs w:val="22"/>
        </w:rPr>
        <w:t>65 metų moterims (žr. 4.4 skyrių).</w:t>
      </w:r>
    </w:p>
    <w:p w14:paraId="568C6C5C" w14:textId="77777777" w:rsidR="00A27D56" w:rsidRPr="0053375F" w:rsidRDefault="00A27D56" w:rsidP="00C45646">
      <w:pPr>
        <w:autoSpaceDE w:val="0"/>
        <w:autoSpaceDN w:val="0"/>
        <w:adjustRightInd w:val="0"/>
        <w:rPr>
          <w:sz w:val="22"/>
          <w:szCs w:val="22"/>
        </w:rPr>
      </w:pPr>
    </w:p>
    <w:p w14:paraId="6425D9B7" w14:textId="77777777" w:rsidR="00A27D56" w:rsidRPr="00186A14" w:rsidRDefault="00A27D56" w:rsidP="00A27D56">
      <w:pPr>
        <w:autoSpaceDE w:val="0"/>
        <w:autoSpaceDN w:val="0"/>
        <w:adjustRightInd w:val="0"/>
        <w:jc w:val="both"/>
        <w:rPr>
          <w:iCs/>
          <w:sz w:val="22"/>
          <w:szCs w:val="22"/>
          <w:u w:val="single"/>
        </w:rPr>
      </w:pPr>
      <w:r w:rsidRPr="00186A14">
        <w:rPr>
          <w:iCs/>
          <w:sz w:val="22"/>
          <w:szCs w:val="22"/>
          <w:u w:val="single"/>
        </w:rPr>
        <w:t>Pranešimas apie įtariamas nepageidaujamas reakcijas</w:t>
      </w:r>
    </w:p>
    <w:p w14:paraId="1B1E2896" w14:textId="77777777" w:rsidR="008E635A" w:rsidRPr="00186A14" w:rsidRDefault="00A27D56" w:rsidP="00A27D56">
      <w:pPr>
        <w:autoSpaceDE w:val="0"/>
        <w:autoSpaceDN w:val="0"/>
        <w:adjustRightInd w:val="0"/>
        <w:rPr>
          <w:iCs/>
          <w:sz w:val="22"/>
          <w:szCs w:val="22"/>
        </w:rPr>
      </w:pPr>
      <w:r w:rsidRPr="00186A14">
        <w:rPr>
          <w:iCs/>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186A14">
        <w:rPr>
          <w:iCs/>
          <w:color w:val="0000FF"/>
          <w:sz w:val="22"/>
          <w:szCs w:val="22"/>
          <w:u w:val="single"/>
        </w:rPr>
        <w:t>http://</w:t>
      </w:r>
      <w:hyperlink r:id="rId12" w:history="1">
        <w:r w:rsidRPr="00186A14">
          <w:rPr>
            <w:iCs/>
            <w:color w:val="0000FF"/>
            <w:sz w:val="22"/>
            <w:szCs w:val="22"/>
            <w:u w:val="single"/>
          </w:rPr>
          <w:t>www.vvkt.lt</w:t>
        </w:r>
      </w:hyperlink>
      <w:r w:rsidRPr="00186A14">
        <w:rPr>
          <w:iCs/>
          <w:color w:val="0000FF"/>
          <w:sz w:val="22"/>
          <w:szCs w:val="22"/>
          <w:u w:val="single"/>
        </w:rPr>
        <w:t>/</w:t>
      </w:r>
      <w:r w:rsidRPr="00186A14">
        <w:rPr>
          <w:iCs/>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186A14">
          <w:rPr>
            <w:iCs/>
            <w:color w:val="0000FF"/>
            <w:sz w:val="22"/>
            <w:szCs w:val="22"/>
            <w:u w:val="single"/>
          </w:rPr>
          <w:t>NepageidaujamaR@vvkt.lt</w:t>
        </w:r>
      </w:hyperlink>
      <w:r w:rsidRPr="00186A14">
        <w:rPr>
          <w:iCs/>
          <w:sz w:val="22"/>
          <w:szCs w:val="22"/>
        </w:rPr>
        <w:t xml:space="preserve">), per interneto svetainę (adresu </w:t>
      </w:r>
      <w:hyperlink r:id="rId14" w:history="1">
        <w:r w:rsidRPr="00186A14">
          <w:rPr>
            <w:iCs/>
            <w:color w:val="0000FF"/>
            <w:sz w:val="22"/>
            <w:szCs w:val="22"/>
            <w:u w:val="single"/>
          </w:rPr>
          <w:t>http://www.vvkt.lt</w:t>
        </w:r>
      </w:hyperlink>
      <w:r w:rsidRPr="00186A14">
        <w:rPr>
          <w:iCs/>
          <w:sz w:val="22"/>
          <w:szCs w:val="22"/>
        </w:rPr>
        <w:t>).</w:t>
      </w:r>
    </w:p>
    <w:p w14:paraId="6F07B391" w14:textId="77777777" w:rsidR="00A27D56" w:rsidRPr="0053375F" w:rsidRDefault="00A27D56" w:rsidP="00A27D56">
      <w:pPr>
        <w:autoSpaceDE w:val="0"/>
        <w:autoSpaceDN w:val="0"/>
        <w:adjustRightInd w:val="0"/>
        <w:rPr>
          <w:sz w:val="22"/>
          <w:szCs w:val="22"/>
        </w:rPr>
      </w:pPr>
    </w:p>
    <w:p w14:paraId="1580C0E8"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4.9</w:t>
      </w:r>
      <w:r w:rsidRPr="0053375F">
        <w:rPr>
          <w:b/>
          <w:bCs/>
          <w:sz w:val="22"/>
          <w:szCs w:val="22"/>
        </w:rPr>
        <w:tab/>
        <w:t>Perdozavimas</w:t>
      </w:r>
    </w:p>
    <w:p w14:paraId="0775483F" w14:textId="77777777" w:rsidR="00C45646" w:rsidRPr="0053375F" w:rsidRDefault="00C45646" w:rsidP="00C45646">
      <w:pPr>
        <w:autoSpaceDE w:val="0"/>
        <w:autoSpaceDN w:val="0"/>
        <w:adjustRightInd w:val="0"/>
        <w:rPr>
          <w:sz w:val="22"/>
          <w:szCs w:val="22"/>
        </w:rPr>
      </w:pPr>
    </w:p>
    <w:p w14:paraId="396142B3" w14:textId="77777777" w:rsidR="00C45646" w:rsidRPr="0053375F" w:rsidRDefault="00C45646" w:rsidP="00C45646">
      <w:pPr>
        <w:autoSpaceDE w:val="0"/>
        <w:autoSpaceDN w:val="0"/>
        <w:adjustRightInd w:val="0"/>
        <w:rPr>
          <w:sz w:val="22"/>
          <w:szCs w:val="22"/>
        </w:rPr>
      </w:pPr>
      <w:proofErr w:type="spellStart"/>
      <w:r w:rsidRPr="0053375F">
        <w:rPr>
          <w:sz w:val="22"/>
          <w:szCs w:val="22"/>
        </w:rPr>
        <w:t>Tibolono</w:t>
      </w:r>
      <w:proofErr w:type="spellEnd"/>
      <w:r w:rsidRPr="0053375F">
        <w:rPr>
          <w:sz w:val="22"/>
          <w:szCs w:val="22"/>
        </w:rPr>
        <w:t xml:space="preserve"> toksinis poveikis gyvūnams labai silpnas. Apsinuodijimo simptomų nesitikima vienu metu išgėrus net keletą tablečių. Ūminio apsinuodijimo atveju gali pasireikšti pykinimas, vėmimas, moterims – kraujavimas iš makšties. Specifinio priešnuodžio nėra. Jei būtina, skiriamas simptominis gydymas.</w:t>
      </w:r>
    </w:p>
    <w:p w14:paraId="63488E23" w14:textId="77777777" w:rsidR="00C45646" w:rsidRPr="0053375F" w:rsidRDefault="00C45646" w:rsidP="00C45646">
      <w:pPr>
        <w:autoSpaceDE w:val="0"/>
        <w:autoSpaceDN w:val="0"/>
        <w:adjustRightInd w:val="0"/>
        <w:rPr>
          <w:sz w:val="22"/>
          <w:szCs w:val="22"/>
        </w:rPr>
      </w:pPr>
    </w:p>
    <w:p w14:paraId="7181CEFF" w14:textId="77777777" w:rsidR="00C45646" w:rsidRPr="0053375F" w:rsidRDefault="00C45646" w:rsidP="00C45646">
      <w:pPr>
        <w:autoSpaceDE w:val="0"/>
        <w:autoSpaceDN w:val="0"/>
        <w:adjustRightInd w:val="0"/>
        <w:rPr>
          <w:sz w:val="22"/>
          <w:szCs w:val="22"/>
        </w:rPr>
      </w:pPr>
    </w:p>
    <w:p w14:paraId="1BEEF743"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FARMAKOLOGINĖS SAVYBĖS</w:t>
      </w:r>
    </w:p>
    <w:p w14:paraId="39908B19" w14:textId="77777777" w:rsidR="00C45646" w:rsidRPr="0053375F" w:rsidRDefault="00C45646" w:rsidP="00C45646">
      <w:pPr>
        <w:autoSpaceDE w:val="0"/>
        <w:autoSpaceDN w:val="0"/>
        <w:adjustRightInd w:val="0"/>
        <w:rPr>
          <w:b/>
          <w:bCs/>
          <w:sz w:val="22"/>
          <w:szCs w:val="22"/>
        </w:rPr>
      </w:pPr>
    </w:p>
    <w:p w14:paraId="79351C0A"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5.1</w:t>
      </w:r>
      <w:r w:rsidRPr="0053375F">
        <w:rPr>
          <w:b/>
          <w:bCs/>
          <w:sz w:val="22"/>
          <w:szCs w:val="22"/>
        </w:rPr>
        <w:tab/>
      </w:r>
      <w:proofErr w:type="spellStart"/>
      <w:r w:rsidRPr="0053375F">
        <w:rPr>
          <w:b/>
          <w:bCs/>
          <w:sz w:val="22"/>
          <w:szCs w:val="22"/>
        </w:rPr>
        <w:t>Farmakodinaminės</w:t>
      </w:r>
      <w:proofErr w:type="spellEnd"/>
      <w:r w:rsidRPr="0053375F">
        <w:rPr>
          <w:b/>
          <w:bCs/>
          <w:sz w:val="22"/>
          <w:szCs w:val="22"/>
        </w:rPr>
        <w:t xml:space="preserve"> savybės</w:t>
      </w:r>
    </w:p>
    <w:p w14:paraId="0581A34C" w14:textId="77777777" w:rsidR="00C45646" w:rsidRPr="0053375F" w:rsidRDefault="00C45646" w:rsidP="00C45646">
      <w:pPr>
        <w:autoSpaceDE w:val="0"/>
        <w:autoSpaceDN w:val="0"/>
        <w:adjustRightInd w:val="0"/>
        <w:rPr>
          <w:sz w:val="22"/>
          <w:szCs w:val="22"/>
        </w:rPr>
      </w:pPr>
    </w:p>
    <w:p w14:paraId="5962513B" w14:textId="77777777" w:rsidR="00C45646" w:rsidRPr="0053375F" w:rsidRDefault="00C45646">
      <w:pPr>
        <w:autoSpaceDE w:val="0"/>
        <w:autoSpaceDN w:val="0"/>
        <w:adjustRightInd w:val="0"/>
        <w:rPr>
          <w:sz w:val="22"/>
          <w:szCs w:val="22"/>
        </w:rPr>
      </w:pPr>
      <w:proofErr w:type="spellStart"/>
      <w:r w:rsidRPr="0053375F">
        <w:rPr>
          <w:sz w:val="22"/>
          <w:szCs w:val="22"/>
        </w:rPr>
        <w:t>Farmakoterapinė</w:t>
      </w:r>
      <w:proofErr w:type="spellEnd"/>
      <w:r w:rsidRPr="0053375F">
        <w:rPr>
          <w:sz w:val="22"/>
          <w:szCs w:val="22"/>
        </w:rPr>
        <w:t xml:space="preserve"> grupė – kiti estrogenai</w:t>
      </w:r>
      <w:r w:rsidR="00FF2B51">
        <w:rPr>
          <w:sz w:val="22"/>
          <w:szCs w:val="22"/>
        </w:rPr>
        <w:t xml:space="preserve">, </w:t>
      </w:r>
      <w:r w:rsidRPr="0053375F">
        <w:rPr>
          <w:sz w:val="22"/>
          <w:szCs w:val="22"/>
        </w:rPr>
        <w:t>ATC kodas: G03CX01</w:t>
      </w:r>
      <w:r w:rsidR="008A09A5" w:rsidRPr="0053375F">
        <w:rPr>
          <w:sz w:val="22"/>
          <w:szCs w:val="22"/>
        </w:rPr>
        <w:t>.</w:t>
      </w:r>
    </w:p>
    <w:p w14:paraId="2BD32E3C" w14:textId="77777777" w:rsidR="00C45646" w:rsidRPr="0053375F" w:rsidRDefault="00C45646" w:rsidP="00C45646">
      <w:pPr>
        <w:autoSpaceDE w:val="0"/>
        <w:autoSpaceDN w:val="0"/>
        <w:adjustRightInd w:val="0"/>
        <w:rPr>
          <w:sz w:val="22"/>
          <w:szCs w:val="22"/>
        </w:rPr>
      </w:pPr>
    </w:p>
    <w:p w14:paraId="5FA1798E" w14:textId="77777777" w:rsidR="00C45646" w:rsidRPr="0053375F" w:rsidRDefault="00C45646" w:rsidP="00C45646">
      <w:pPr>
        <w:autoSpaceDE w:val="0"/>
        <w:autoSpaceDN w:val="0"/>
        <w:adjustRightInd w:val="0"/>
        <w:rPr>
          <w:sz w:val="22"/>
          <w:szCs w:val="22"/>
        </w:rPr>
      </w:pPr>
      <w:r w:rsidRPr="0053375F">
        <w:rPr>
          <w:sz w:val="22"/>
          <w:szCs w:val="22"/>
        </w:rPr>
        <w:t xml:space="preserve">Išgertas </w:t>
      </w:r>
      <w:proofErr w:type="spellStart"/>
      <w:r w:rsidRPr="0053375F">
        <w:rPr>
          <w:sz w:val="22"/>
          <w:szCs w:val="22"/>
        </w:rPr>
        <w:t>tibolonas</w:t>
      </w:r>
      <w:proofErr w:type="spellEnd"/>
      <w:r w:rsidRPr="0053375F">
        <w:rPr>
          <w:sz w:val="22"/>
          <w:szCs w:val="22"/>
        </w:rPr>
        <w:t xml:space="preserve"> greitai </w:t>
      </w:r>
      <w:proofErr w:type="spellStart"/>
      <w:r w:rsidRPr="0053375F">
        <w:rPr>
          <w:sz w:val="22"/>
          <w:szCs w:val="22"/>
        </w:rPr>
        <w:t>metabolizuojamas</w:t>
      </w:r>
      <w:proofErr w:type="spellEnd"/>
      <w:r w:rsidRPr="0053375F">
        <w:rPr>
          <w:sz w:val="22"/>
          <w:szCs w:val="22"/>
        </w:rPr>
        <w:t xml:space="preserve"> į tris junginius, kurių poveikis lemia </w:t>
      </w:r>
      <w:proofErr w:type="spellStart"/>
      <w:r w:rsidRPr="0053375F">
        <w:rPr>
          <w:sz w:val="22"/>
          <w:szCs w:val="22"/>
        </w:rPr>
        <w:t>farmakodinaminį</w:t>
      </w:r>
      <w:proofErr w:type="spellEnd"/>
      <w:r w:rsidRPr="0053375F">
        <w:rPr>
          <w:sz w:val="22"/>
          <w:szCs w:val="22"/>
        </w:rPr>
        <w:t xml:space="preserve"> </w:t>
      </w:r>
      <w:proofErr w:type="spellStart"/>
      <w:r w:rsidRPr="0053375F">
        <w:rPr>
          <w:sz w:val="22"/>
          <w:szCs w:val="22"/>
        </w:rPr>
        <w:t>Livial</w:t>
      </w:r>
      <w:proofErr w:type="spellEnd"/>
      <w:r w:rsidRPr="0053375F">
        <w:rPr>
          <w:sz w:val="22"/>
          <w:szCs w:val="22"/>
        </w:rPr>
        <w:t xml:space="preserve"> veikimą. Du metabolitai (3</w:t>
      </w:r>
      <w:r w:rsidRPr="0053375F">
        <w:rPr>
          <w:sz w:val="22"/>
          <w:szCs w:val="22"/>
        </w:rPr>
        <w:sym w:font="Symbol" w:char="F061"/>
      </w:r>
      <w:r w:rsidRPr="0053375F">
        <w:rPr>
          <w:sz w:val="22"/>
          <w:szCs w:val="22"/>
        </w:rPr>
        <w:t>-OH-</w:t>
      </w:r>
      <w:proofErr w:type="spellStart"/>
      <w:r w:rsidRPr="0053375F">
        <w:rPr>
          <w:sz w:val="22"/>
          <w:szCs w:val="22"/>
        </w:rPr>
        <w:t>tibolonas</w:t>
      </w:r>
      <w:proofErr w:type="spellEnd"/>
      <w:r w:rsidRPr="0053375F">
        <w:rPr>
          <w:sz w:val="22"/>
          <w:szCs w:val="22"/>
        </w:rPr>
        <w:t xml:space="preserve"> ir 3β-OH-</w:t>
      </w:r>
      <w:proofErr w:type="spellStart"/>
      <w:r w:rsidRPr="0053375F">
        <w:rPr>
          <w:sz w:val="22"/>
          <w:szCs w:val="22"/>
        </w:rPr>
        <w:t>tibolonas</w:t>
      </w:r>
      <w:proofErr w:type="spellEnd"/>
      <w:r w:rsidRPr="0053375F">
        <w:rPr>
          <w:sz w:val="22"/>
          <w:szCs w:val="22"/>
        </w:rPr>
        <w:t xml:space="preserve">) veikia panašiai kaip estrogenai, o trečiasis metabolitas (∆ </w:t>
      </w:r>
      <w:proofErr w:type="spellStart"/>
      <w:r w:rsidRPr="0053375F">
        <w:rPr>
          <w:sz w:val="22"/>
          <w:szCs w:val="22"/>
        </w:rPr>
        <w:t>tibolono</w:t>
      </w:r>
      <w:proofErr w:type="spellEnd"/>
      <w:r w:rsidRPr="0053375F">
        <w:rPr>
          <w:sz w:val="22"/>
          <w:szCs w:val="22"/>
        </w:rPr>
        <w:t xml:space="preserve"> 4- izomeras) pasižymi </w:t>
      </w:r>
      <w:proofErr w:type="spellStart"/>
      <w:r w:rsidRPr="0053375F">
        <w:rPr>
          <w:sz w:val="22"/>
          <w:szCs w:val="22"/>
        </w:rPr>
        <w:t>progestageniniu</w:t>
      </w:r>
      <w:proofErr w:type="spellEnd"/>
      <w:r w:rsidRPr="0053375F">
        <w:rPr>
          <w:sz w:val="22"/>
          <w:szCs w:val="22"/>
        </w:rPr>
        <w:t xml:space="preserve"> ir </w:t>
      </w:r>
      <w:proofErr w:type="spellStart"/>
      <w:r w:rsidRPr="0053375F">
        <w:rPr>
          <w:sz w:val="22"/>
          <w:szCs w:val="22"/>
        </w:rPr>
        <w:t>androgeniniu</w:t>
      </w:r>
      <w:proofErr w:type="spellEnd"/>
      <w:r w:rsidRPr="0053375F">
        <w:rPr>
          <w:sz w:val="22"/>
          <w:szCs w:val="22"/>
        </w:rPr>
        <w:t xml:space="preserve"> veikimu.</w:t>
      </w:r>
    </w:p>
    <w:p w14:paraId="50C11A8C" w14:textId="77777777" w:rsidR="00C45646" w:rsidRPr="0053375F" w:rsidRDefault="00C45646" w:rsidP="00C45646">
      <w:pPr>
        <w:autoSpaceDE w:val="0"/>
        <w:autoSpaceDN w:val="0"/>
        <w:adjustRightInd w:val="0"/>
        <w:rPr>
          <w:sz w:val="22"/>
          <w:szCs w:val="22"/>
        </w:rPr>
      </w:pPr>
    </w:p>
    <w:p w14:paraId="1B243E29" w14:textId="77777777" w:rsidR="00C45646" w:rsidRPr="0053375F" w:rsidRDefault="00C45646" w:rsidP="00C45646">
      <w:pPr>
        <w:autoSpaceDE w:val="0"/>
        <w:autoSpaceDN w:val="0"/>
        <w:adjustRightInd w:val="0"/>
        <w:rPr>
          <w:sz w:val="22"/>
          <w:szCs w:val="22"/>
        </w:rPr>
      </w:pPr>
      <w:proofErr w:type="spellStart"/>
      <w:r w:rsidRPr="0053375F">
        <w:rPr>
          <w:sz w:val="22"/>
          <w:szCs w:val="22"/>
        </w:rPr>
        <w:t>Livial</w:t>
      </w:r>
      <w:proofErr w:type="spellEnd"/>
      <w:r w:rsidRPr="0053375F">
        <w:rPr>
          <w:sz w:val="22"/>
          <w:szCs w:val="22"/>
        </w:rPr>
        <w:t xml:space="preserve"> pakeičia sumažėjusią estrogenų gamybą moterims po menopauzės bei palengvina menopauzės simptomus. </w:t>
      </w:r>
      <w:proofErr w:type="spellStart"/>
      <w:r w:rsidRPr="0053375F">
        <w:rPr>
          <w:sz w:val="22"/>
          <w:szCs w:val="22"/>
        </w:rPr>
        <w:t>Livial</w:t>
      </w:r>
      <w:proofErr w:type="spellEnd"/>
      <w:r w:rsidRPr="0053375F">
        <w:rPr>
          <w:sz w:val="22"/>
          <w:szCs w:val="22"/>
        </w:rPr>
        <w:t xml:space="preserve"> saugo nuo kaulų retėjimo po menopauzės ar </w:t>
      </w:r>
      <w:proofErr w:type="spellStart"/>
      <w:r w:rsidRPr="0053375F">
        <w:rPr>
          <w:sz w:val="22"/>
          <w:szCs w:val="22"/>
        </w:rPr>
        <w:t>ovarektomijos</w:t>
      </w:r>
      <w:proofErr w:type="spellEnd"/>
      <w:r w:rsidRPr="0053375F">
        <w:rPr>
          <w:sz w:val="22"/>
          <w:szCs w:val="22"/>
        </w:rPr>
        <w:t>.</w:t>
      </w:r>
    </w:p>
    <w:p w14:paraId="58716171" w14:textId="77777777" w:rsidR="00C45646" w:rsidRPr="0053375F" w:rsidRDefault="00C45646" w:rsidP="00C45646">
      <w:pPr>
        <w:autoSpaceDE w:val="0"/>
        <w:autoSpaceDN w:val="0"/>
        <w:adjustRightInd w:val="0"/>
        <w:rPr>
          <w:sz w:val="22"/>
          <w:szCs w:val="22"/>
        </w:rPr>
      </w:pPr>
    </w:p>
    <w:p w14:paraId="10B40EE2" w14:textId="77777777" w:rsidR="00C45646" w:rsidRPr="0053375F" w:rsidRDefault="00C45646" w:rsidP="00186A14">
      <w:pPr>
        <w:keepNext/>
        <w:autoSpaceDE w:val="0"/>
        <w:autoSpaceDN w:val="0"/>
        <w:adjustRightInd w:val="0"/>
        <w:outlineLvl w:val="0"/>
        <w:rPr>
          <w:iCs/>
          <w:sz w:val="22"/>
          <w:szCs w:val="22"/>
          <w:u w:val="single"/>
        </w:rPr>
      </w:pPr>
      <w:r w:rsidRPr="0053375F">
        <w:rPr>
          <w:iCs/>
          <w:sz w:val="22"/>
          <w:szCs w:val="22"/>
          <w:u w:val="single"/>
        </w:rPr>
        <w:t xml:space="preserve">Klinikinio </w:t>
      </w:r>
      <w:proofErr w:type="spellStart"/>
      <w:r w:rsidRPr="0053375F">
        <w:rPr>
          <w:iCs/>
          <w:sz w:val="22"/>
          <w:szCs w:val="22"/>
          <w:u w:val="single"/>
        </w:rPr>
        <w:t>Livial</w:t>
      </w:r>
      <w:proofErr w:type="spellEnd"/>
      <w:r w:rsidRPr="0053375F">
        <w:rPr>
          <w:iCs/>
          <w:sz w:val="22"/>
          <w:szCs w:val="22"/>
          <w:u w:val="single"/>
        </w:rPr>
        <w:t xml:space="preserve"> tyrimo informacija</w:t>
      </w:r>
    </w:p>
    <w:p w14:paraId="66ABBDFB" w14:textId="77777777" w:rsidR="00C45646" w:rsidRPr="0053375F" w:rsidRDefault="00C45646" w:rsidP="00186A14">
      <w:pPr>
        <w:keepNext/>
        <w:numPr>
          <w:ilvl w:val="0"/>
          <w:numId w:val="2"/>
        </w:numPr>
        <w:tabs>
          <w:tab w:val="clear" w:pos="360"/>
          <w:tab w:val="num" w:pos="540"/>
        </w:tabs>
        <w:autoSpaceDE w:val="0"/>
        <w:autoSpaceDN w:val="0"/>
        <w:adjustRightInd w:val="0"/>
        <w:ind w:left="540" w:hanging="540"/>
        <w:rPr>
          <w:sz w:val="22"/>
          <w:szCs w:val="22"/>
        </w:rPr>
      </w:pPr>
      <w:r w:rsidRPr="0053375F">
        <w:rPr>
          <w:sz w:val="22"/>
          <w:szCs w:val="22"/>
        </w:rPr>
        <w:t>Estrogenų trūkumo sukeltų simptomų slopinimas</w:t>
      </w:r>
    </w:p>
    <w:p w14:paraId="65A423C4"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t>Menopauzės simptomai paprastai sušvelnėja per pirmąsias kelias gydymo savaites.</w:t>
      </w:r>
    </w:p>
    <w:p w14:paraId="64FD1162" w14:textId="77777777" w:rsidR="00C45646" w:rsidRPr="0053375F" w:rsidRDefault="00C45646" w:rsidP="00C45646">
      <w:pPr>
        <w:numPr>
          <w:ilvl w:val="0"/>
          <w:numId w:val="2"/>
        </w:numPr>
        <w:tabs>
          <w:tab w:val="clear" w:pos="360"/>
          <w:tab w:val="num" w:pos="540"/>
        </w:tabs>
        <w:autoSpaceDE w:val="0"/>
        <w:autoSpaceDN w:val="0"/>
        <w:adjustRightInd w:val="0"/>
        <w:ind w:left="540" w:hanging="540"/>
        <w:rPr>
          <w:sz w:val="22"/>
          <w:szCs w:val="22"/>
        </w:rPr>
      </w:pPr>
      <w:r w:rsidRPr="0053375F">
        <w:rPr>
          <w:sz w:val="22"/>
          <w:szCs w:val="22"/>
        </w:rPr>
        <w:t xml:space="preserve">Poveikis </w:t>
      </w:r>
      <w:proofErr w:type="spellStart"/>
      <w:r w:rsidRPr="0053375F">
        <w:rPr>
          <w:sz w:val="22"/>
          <w:szCs w:val="22"/>
        </w:rPr>
        <w:t>endometriumui</w:t>
      </w:r>
      <w:proofErr w:type="spellEnd"/>
      <w:r w:rsidRPr="0053375F">
        <w:rPr>
          <w:sz w:val="22"/>
          <w:szCs w:val="22"/>
        </w:rPr>
        <w:t xml:space="preserve"> ir kraujavimui</w:t>
      </w:r>
    </w:p>
    <w:p w14:paraId="5B90CE1E"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r>
      <w:proofErr w:type="spellStart"/>
      <w:r w:rsidRPr="0053375F">
        <w:rPr>
          <w:sz w:val="22"/>
          <w:szCs w:val="22"/>
        </w:rPr>
        <w:t>Livial</w:t>
      </w:r>
      <w:proofErr w:type="spellEnd"/>
      <w:r w:rsidRPr="0053375F">
        <w:rPr>
          <w:sz w:val="22"/>
          <w:szCs w:val="22"/>
        </w:rPr>
        <w:t xml:space="preserve"> vartojusioms pacientėms nustatyta </w:t>
      </w:r>
      <w:proofErr w:type="spellStart"/>
      <w:r w:rsidRPr="0053375F">
        <w:rPr>
          <w:sz w:val="22"/>
          <w:szCs w:val="22"/>
        </w:rPr>
        <w:t>endometriumo</w:t>
      </w:r>
      <w:proofErr w:type="spellEnd"/>
      <w:r w:rsidRPr="0053375F">
        <w:rPr>
          <w:sz w:val="22"/>
          <w:szCs w:val="22"/>
        </w:rPr>
        <w:t xml:space="preserve"> </w:t>
      </w:r>
      <w:proofErr w:type="spellStart"/>
      <w:r w:rsidRPr="0053375F">
        <w:rPr>
          <w:sz w:val="22"/>
          <w:szCs w:val="22"/>
        </w:rPr>
        <w:t>hiperplazijos</w:t>
      </w:r>
      <w:proofErr w:type="spellEnd"/>
      <w:r w:rsidRPr="0053375F">
        <w:rPr>
          <w:sz w:val="22"/>
          <w:szCs w:val="22"/>
        </w:rPr>
        <w:t xml:space="preserve"> ir </w:t>
      </w:r>
      <w:proofErr w:type="spellStart"/>
      <w:r w:rsidRPr="0053375F">
        <w:rPr>
          <w:sz w:val="22"/>
          <w:szCs w:val="22"/>
        </w:rPr>
        <w:t>endometriumo</w:t>
      </w:r>
      <w:proofErr w:type="spellEnd"/>
      <w:r w:rsidRPr="0053375F">
        <w:rPr>
          <w:sz w:val="22"/>
          <w:szCs w:val="22"/>
        </w:rPr>
        <w:t xml:space="preserve"> vėžio atvejų (žr. 4.4 ir 4.8 skyrių).</w:t>
      </w:r>
    </w:p>
    <w:p w14:paraId="5D4035DB"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t xml:space="preserve">88 % 2,5 mg </w:t>
      </w:r>
      <w:proofErr w:type="spellStart"/>
      <w:r w:rsidRPr="0053375F">
        <w:rPr>
          <w:sz w:val="22"/>
          <w:szCs w:val="22"/>
        </w:rPr>
        <w:t>Livial</w:t>
      </w:r>
      <w:proofErr w:type="spellEnd"/>
      <w:r w:rsidRPr="0053375F">
        <w:rPr>
          <w:sz w:val="22"/>
          <w:szCs w:val="22"/>
        </w:rPr>
        <w:t xml:space="preserve"> dozę vartojusių moterų po 12 gydymo mėnesių pasireiškė amenorėja. Nereguliarus kraujavimas pasireiškė ir (arba) kraujingų išskyrų atsirado 32,6 % moterų per pirmuosius 3 gydymo mėnesius, o 11,6 % moterų - po 11</w:t>
      </w:r>
      <w:r w:rsidRPr="0053375F">
        <w:rPr>
          <w:sz w:val="22"/>
          <w:szCs w:val="22"/>
        </w:rPr>
        <w:noBreakHyphen/>
        <w:t>12 vartojimo mėnesių.</w:t>
      </w:r>
    </w:p>
    <w:p w14:paraId="035EEE0D" w14:textId="77777777" w:rsidR="00C45646" w:rsidRPr="0053375F" w:rsidRDefault="00C45646" w:rsidP="00C45646">
      <w:pPr>
        <w:numPr>
          <w:ilvl w:val="0"/>
          <w:numId w:val="2"/>
        </w:numPr>
        <w:tabs>
          <w:tab w:val="clear" w:pos="360"/>
          <w:tab w:val="num" w:pos="540"/>
        </w:tabs>
        <w:autoSpaceDE w:val="0"/>
        <w:autoSpaceDN w:val="0"/>
        <w:adjustRightInd w:val="0"/>
        <w:ind w:left="540" w:hanging="540"/>
        <w:rPr>
          <w:sz w:val="22"/>
          <w:szCs w:val="22"/>
        </w:rPr>
      </w:pPr>
      <w:r w:rsidRPr="0053375F">
        <w:rPr>
          <w:sz w:val="22"/>
          <w:szCs w:val="22"/>
        </w:rPr>
        <w:t>Osteoporozės profilaktika</w:t>
      </w:r>
    </w:p>
    <w:p w14:paraId="6BDF13E1"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t>Estrogenų trūkumas menopauzės laikotarpiu yra susijęs su padidėjusia kaulų apykaita bei kaulų masės mažėjimu. Apsauga, atrodo, veiksminga tol, kol gydoma. Nutraukus PHT, kaulų masės netenkama taip pat greitai, kaip ir negydytoms moterims.</w:t>
      </w:r>
    </w:p>
    <w:p w14:paraId="680A908D"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r>
      <w:r w:rsidRPr="0053375F">
        <w:rPr>
          <w:i/>
          <w:sz w:val="22"/>
          <w:szCs w:val="22"/>
        </w:rPr>
        <w:t>LIFT</w:t>
      </w:r>
      <w:r w:rsidRPr="0053375F">
        <w:rPr>
          <w:sz w:val="22"/>
          <w:szCs w:val="22"/>
        </w:rPr>
        <w:t xml:space="preserve"> tyrimo duomenimis, per tris gydymo metus naujų stuburo lūžių nustatyta mažesnei daliai </w:t>
      </w:r>
      <w:proofErr w:type="spellStart"/>
      <w:r w:rsidRPr="0053375F">
        <w:rPr>
          <w:sz w:val="22"/>
          <w:szCs w:val="22"/>
        </w:rPr>
        <w:t>Livial</w:t>
      </w:r>
      <w:proofErr w:type="spellEnd"/>
      <w:r w:rsidRPr="0053375F">
        <w:rPr>
          <w:sz w:val="22"/>
          <w:szCs w:val="22"/>
        </w:rPr>
        <w:t xml:space="preserve"> vartojusių moterų (amžiaus vidurkis – 68 metai), palyginti su vartojusiomis </w:t>
      </w:r>
      <w:proofErr w:type="spellStart"/>
      <w:r w:rsidRPr="0053375F">
        <w:rPr>
          <w:sz w:val="22"/>
          <w:szCs w:val="22"/>
        </w:rPr>
        <w:t>placebą</w:t>
      </w:r>
      <w:proofErr w:type="spellEnd"/>
      <w:r w:rsidRPr="0053375F">
        <w:rPr>
          <w:sz w:val="22"/>
          <w:szCs w:val="22"/>
        </w:rPr>
        <w:t xml:space="preserve"> (visų tyrime dalyvavusių pacientų [baigusių tyrimą ir tyrimo nebaigusių]: </w:t>
      </w:r>
      <w:proofErr w:type="spellStart"/>
      <w:r w:rsidRPr="0053375F">
        <w:rPr>
          <w:sz w:val="22"/>
          <w:szCs w:val="22"/>
        </w:rPr>
        <w:t>Livial</w:t>
      </w:r>
      <w:proofErr w:type="spellEnd"/>
      <w:r w:rsidRPr="0053375F">
        <w:rPr>
          <w:sz w:val="22"/>
          <w:szCs w:val="22"/>
        </w:rPr>
        <w:t xml:space="preserve"> palyginti su </w:t>
      </w:r>
      <w:proofErr w:type="spellStart"/>
      <w:r w:rsidRPr="0053375F">
        <w:rPr>
          <w:sz w:val="22"/>
          <w:szCs w:val="22"/>
        </w:rPr>
        <w:t>placebu</w:t>
      </w:r>
      <w:proofErr w:type="spellEnd"/>
      <w:r w:rsidRPr="0053375F">
        <w:rPr>
          <w:sz w:val="22"/>
          <w:szCs w:val="22"/>
        </w:rPr>
        <w:t>, šansų santykis 0,57; 95 % PI (0,42, 0,78)).</w:t>
      </w:r>
    </w:p>
    <w:p w14:paraId="78586E20"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t xml:space="preserve">Po dviejų gydymo </w:t>
      </w:r>
      <w:proofErr w:type="spellStart"/>
      <w:r w:rsidRPr="0053375F">
        <w:rPr>
          <w:sz w:val="22"/>
          <w:szCs w:val="22"/>
        </w:rPr>
        <w:t>Livial</w:t>
      </w:r>
      <w:proofErr w:type="spellEnd"/>
      <w:r w:rsidRPr="0053375F">
        <w:rPr>
          <w:sz w:val="22"/>
          <w:szCs w:val="22"/>
        </w:rPr>
        <w:t xml:space="preserve"> (2,5 mg) metų stuburo </w:t>
      </w:r>
      <w:proofErr w:type="spellStart"/>
      <w:r w:rsidRPr="0053375F">
        <w:rPr>
          <w:sz w:val="22"/>
          <w:szCs w:val="22"/>
        </w:rPr>
        <w:t>juosmeninės</w:t>
      </w:r>
      <w:proofErr w:type="spellEnd"/>
      <w:r w:rsidRPr="0053375F">
        <w:rPr>
          <w:sz w:val="22"/>
          <w:szCs w:val="22"/>
        </w:rPr>
        <w:t xml:space="preserve"> dalies kaulo mineralinis tankis (KMT) buvo 2,6 ± 3,8 %. Nepakitęs ar padidėjęs stuburo </w:t>
      </w:r>
      <w:proofErr w:type="spellStart"/>
      <w:r w:rsidRPr="0053375F">
        <w:rPr>
          <w:sz w:val="22"/>
          <w:szCs w:val="22"/>
        </w:rPr>
        <w:t>juosmeninės</w:t>
      </w:r>
      <w:proofErr w:type="spellEnd"/>
      <w:r w:rsidRPr="0053375F">
        <w:rPr>
          <w:sz w:val="22"/>
          <w:szCs w:val="22"/>
        </w:rPr>
        <w:t xml:space="preserve"> dalies kaulo mineralinis tankis stebėtas 76 % gydomų moterų. Antras tyrimas šiuos duomenis patvirtino.</w:t>
      </w:r>
    </w:p>
    <w:p w14:paraId="7385B9F5"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r>
      <w:proofErr w:type="spellStart"/>
      <w:r w:rsidRPr="0053375F">
        <w:rPr>
          <w:sz w:val="22"/>
          <w:szCs w:val="22"/>
        </w:rPr>
        <w:t>Livial</w:t>
      </w:r>
      <w:proofErr w:type="spellEnd"/>
      <w:r w:rsidRPr="0053375F">
        <w:rPr>
          <w:sz w:val="22"/>
          <w:szCs w:val="22"/>
        </w:rPr>
        <w:t xml:space="preserve"> (2,5 mg) taip pat veikė šlaunikaulio KMT. Vieno tyrimo duomenimis, po 2 metų šlaunikaulio kaklelio KMT padidėjo 0,7 ± 3,9 %, o viso šlaunikaulio – 1,7 ± 3,0 %. Šlaunikaulio mineralinis tankis nepakito ar padidėjo 72,5 % gydomų moterų. Antro tyrimo </w:t>
      </w:r>
      <w:r w:rsidRPr="0053375F">
        <w:rPr>
          <w:sz w:val="22"/>
          <w:szCs w:val="22"/>
        </w:rPr>
        <w:lastRenderedPageBreak/>
        <w:t>metu nustatyta, jog po 2 metų šlaunikaulio kaklelio KMT padidėjo 1,3 ± 5,1 %, o viso šlaunikaulio – 2,9 ± 3,4 %. Šlaunikaulio mineralinis tankis nepakito ar padidėjo 84,7 % gydomų moterų.</w:t>
      </w:r>
    </w:p>
    <w:p w14:paraId="6C3BE16A" w14:textId="77777777" w:rsidR="00C45646" w:rsidRPr="0053375F" w:rsidRDefault="00C45646" w:rsidP="00C45646">
      <w:pPr>
        <w:numPr>
          <w:ilvl w:val="0"/>
          <w:numId w:val="2"/>
        </w:numPr>
        <w:tabs>
          <w:tab w:val="clear" w:pos="360"/>
          <w:tab w:val="num" w:pos="540"/>
        </w:tabs>
        <w:autoSpaceDE w:val="0"/>
        <w:autoSpaceDN w:val="0"/>
        <w:adjustRightInd w:val="0"/>
        <w:ind w:left="540" w:hanging="540"/>
        <w:rPr>
          <w:sz w:val="22"/>
          <w:szCs w:val="22"/>
        </w:rPr>
      </w:pPr>
      <w:r w:rsidRPr="0053375F">
        <w:rPr>
          <w:sz w:val="22"/>
          <w:szCs w:val="22"/>
        </w:rPr>
        <w:t>Poveikis krūtims</w:t>
      </w:r>
    </w:p>
    <w:p w14:paraId="5043919F" w14:textId="77777777" w:rsidR="00C45646" w:rsidRPr="0053375F" w:rsidRDefault="00C45646" w:rsidP="00C45646">
      <w:pPr>
        <w:autoSpaceDE w:val="0"/>
        <w:autoSpaceDN w:val="0"/>
        <w:adjustRightInd w:val="0"/>
        <w:ind w:left="900" w:hanging="360"/>
        <w:rPr>
          <w:sz w:val="22"/>
          <w:szCs w:val="22"/>
        </w:rPr>
      </w:pPr>
      <w:r w:rsidRPr="0053375F">
        <w:rPr>
          <w:sz w:val="22"/>
          <w:szCs w:val="22"/>
        </w:rPr>
        <w:t>-</w:t>
      </w:r>
      <w:r w:rsidRPr="0053375F">
        <w:rPr>
          <w:sz w:val="22"/>
          <w:szCs w:val="22"/>
        </w:rPr>
        <w:tab/>
        <w:t xml:space="preserve">Klinikinių </w:t>
      </w:r>
      <w:proofErr w:type="spellStart"/>
      <w:r w:rsidRPr="0053375F">
        <w:rPr>
          <w:sz w:val="22"/>
          <w:szCs w:val="22"/>
        </w:rPr>
        <w:t>tryimų</w:t>
      </w:r>
      <w:proofErr w:type="spellEnd"/>
      <w:r w:rsidRPr="0053375F">
        <w:rPr>
          <w:sz w:val="22"/>
          <w:szCs w:val="22"/>
        </w:rPr>
        <w:t xml:space="preserve"> duomenimis, </w:t>
      </w:r>
      <w:proofErr w:type="spellStart"/>
      <w:r w:rsidRPr="0053375F">
        <w:rPr>
          <w:sz w:val="22"/>
          <w:szCs w:val="22"/>
        </w:rPr>
        <w:t>Livial</w:t>
      </w:r>
      <w:proofErr w:type="spellEnd"/>
      <w:r w:rsidRPr="0053375F">
        <w:rPr>
          <w:sz w:val="22"/>
          <w:szCs w:val="22"/>
        </w:rPr>
        <w:t xml:space="preserve"> vartojusių moterų krūties audinio tankumas, fiksuojamas </w:t>
      </w:r>
      <w:proofErr w:type="spellStart"/>
      <w:r w:rsidRPr="0053375F">
        <w:rPr>
          <w:sz w:val="22"/>
          <w:szCs w:val="22"/>
        </w:rPr>
        <w:t>mamografijos</w:t>
      </w:r>
      <w:proofErr w:type="spellEnd"/>
      <w:r w:rsidRPr="0053375F">
        <w:rPr>
          <w:sz w:val="22"/>
          <w:szCs w:val="22"/>
        </w:rPr>
        <w:t xml:space="preserve"> metu, palyginti su </w:t>
      </w:r>
      <w:proofErr w:type="spellStart"/>
      <w:r w:rsidRPr="0053375F">
        <w:rPr>
          <w:sz w:val="22"/>
          <w:szCs w:val="22"/>
        </w:rPr>
        <w:t>placebu</w:t>
      </w:r>
      <w:proofErr w:type="spellEnd"/>
      <w:r w:rsidRPr="0053375F">
        <w:rPr>
          <w:sz w:val="22"/>
          <w:szCs w:val="22"/>
        </w:rPr>
        <w:t>, nepadidėjo.</w:t>
      </w:r>
    </w:p>
    <w:p w14:paraId="4B36732D" w14:textId="77777777" w:rsidR="00C45646" w:rsidRPr="0053375F" w:rsidRDefault="00C45646" w:rsidP="00C45646">
      <w:pPr>
        <w:autoSpaceDE w:val="0"/>
        <w:autoSpaceDN w:val="0"/>
        <w:adjustRightInd w:val="0"/>
        <w:rPr>
          <w:sz w:val="22"/>
          <w:szCs w:val="22"/>
        </w:rPr>
      </w:pPr>
    </w:p>
    <w:p w14:paraId="02ED6D34"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5.2</w:t>
      </w:r>
      <w:r w:rsidRPr="0053375F">
        <w:rPr>
          <w:b/>
          <w:bCs/>
          <w:sz w:val="22"/>
          <w:szCs w:val="22"/>
        </w:rPr>
        <w:tab/>
      </w:r>
      <w:proofErr w:type="spellStart"/>
      <w:r w:rsidRPr="0053375F">
        <w:rPr>
          <w:b/>
          <w:bCs/>
          <w:sz w:val="22"/>
          <w:szCs w:val="22"/>
        </w:rPr>
        <w:t>Farmakokinetinės</w:t>
      </w:r>
      <w:proofErr w:type="spellEnd"/>
      <w:r w:rsidRPr="0053375F">
        <w:rPr>
          <w:b/>
          <w:bCs/>
          <w:sz w:val="22"/>
          <w:szCs w:val="22"/>
        </w:rPr>
        <w:t xml:space="preserve"> savybės</w:t>
      </w:r>
    </w:p>
    <w:p w14:paraId="69830DEC" w14:textId="77777777" w:rsidR="00C45646" w:rsidRPr="0053375F" w:rsidRDefault="00C45646" w:rsidP="00C45646">
      <w:pPr>
        <w:autoSpaceDE w:val="0"/>
        <w:autoSpaceDN w:val="0"/>
        <w:adjustRightInd w:val="0"/>
        <w:rPr>
          <w:sz w:val="22"/>
          <w:szCs w:val="22"/>
        </w:rPr>
      </w:pPr>
    </w:p>
    <w:p w14:paraId="63BA131E" w14:textId="77777777" w:rsidR="00C45646" w:rsidRPr="0053375F" w:rsidRDefault="00C45646" w:rsidP="00C45646">
      <w:pPr>
        <w:autoSpaceDE w:val="0"/>
        <w:autoSpaceDN w:val="0"/>
        <w:adjustRightInd w:val="0"/>
        <w:rPr>
          <w:sz w:val="22"/>
          <w:szCs w:val="22"/>
        </w:rPr>
      </w:pPr>
      <w:r w:rsidRPr="0053375F">
        <w:rPr>
          <w:sz w:val="22"/>
          <w:szCs w:val="22"/>
        </w:rPr>
        <w:t xml:space="preserve">Išgertas </w:t>
      </w:r>
      <w:proofErr w:type="spellStart"/>
      <w:r w:rsidRPr="0053375F">
        <w:rPr>
          <w:sz w:val="22"/>
          <w:szCs w:val="22"/>
        </w:rPr>
        <w:t>tibolonas</w:t>
      </w:r>
      <w:proofErr w:type="spellEnd"/>
      <w:r w:rsidRPr="0053375F">
        <w:rPr>
          <w:sz w:val="22"/>
          <w:szCs w:val="22"/>
        </w:rPr>
        <w:t xml:space="preserve"> greitai ir ekstensyviai absorbuojamas. Dėl greito metabolizmo </w:t>
      </w:r>
      <w:proofErr w:type="spellStart"/>
      <w:r w:rsidRPr="0053375F">
        <w:rPr>
          <w:sz w:val="22"/>
          <w:szCs w:val="22"/>
        </w:rPr>
        <w:t>tibolono</w:t>
      </w:r>
      <w:proofErr w:type="spellEnd"/>
      <w:r w:rsidRPr="0053375F">
        <w:rPr>
          <w:sz w:val="22"/>
          <w:szCs w:val="22"/>
        </w:rPr>
        <w:t xml:space="preserve"> koncentracija plazmoje yra labai maža. </w:t>
      </w:r>
      <w:proofErr w:type="spellStart"/>
      <w:r w:rsidRPr="0053375F">
        <w:rPr>
          <w:sz w:val="22"/>
          <w:szCs w:val="22"/>
        </w:rPr>
        <w:t>Tibolono</w:t>
      </w:r>
      <w:proofErr w:type="spellEnd"/>
      <w:r w:rsidRPr="0053375F">
        <w:rPr>
          <w:sz w:val="22"/>
          <w:szCs w:val="22"/>
        </w:rPr>
        <w:t xml:space="preserve"> Δ4-izomero koncentracija plazmoje taip pat yra labai maža, todėl kai kurie </w:t>
      </w:r>
      <w:proofErr w:type="spellStart"/>
      <w:r w:rsidRPr="0053375F">
        <w:rPr>
          <w:sz w:val="22"/>
          <w:szCs w:val="22"/>
        </w:rPr>
        <w:t>farmakokinetiniai</w:t>
      </w:r>
      <w:proofErr w:type="spellEnd"/>
      <w:r w:rsidRPr="0053375F">
        <w:rPr>
          <w:sz w:val="22"/>
          <w:szCs w:val="22"/>
        </w:rPr>
        <w:t xml:space="preserve"> dydžiai gali būti nefiksuojami. 3</w:t>
      </w:r>
      <w:r w:rsidRPr="0053375F">
        <w:rPr>
          <w:sz w:val="22"/>
          <w:szCs w:val="22"/>
        </w:rPr>
        <w:sym w:font="Symbol" w:char="F061"/>
      </w:r>
      <w:r w:rsidRPr="0053375F">
        <w:rPr>
          <w:sz w:val="22"/>
          <w:szCs w:val="22"/>
        </w:rPr>
        <w:t>-OH ir 3β-OH metabolitų didžiausios koncentracijos plazmoje yra didesnės, tačiau akumuliacijos nebūna.</w:t>
      </w:r>
    </w:p>
    <w:p w14:paraId="747C4474" w14:textId="77777777" w:rsidR="00C45646" w:rsidRPr="0053375F" w:rsidRDefault="00C45646" w:rsidP="00C45646">
      <w:pPr>
        <w:autoSpaceDE w:val="0"/>
        <w:autoSpaceDN w:val="0"/>
        <w:adjustRightInd w:val="0"/>
        <w:rPr>
          <w:sz w:val="22"/>
          <w:szCs w:val="22"/>
        </w:rPr>
      </w:pPr>
    </w:p>
    <w:p w14:paraId="5E5B1F2F" w14:textId="77777777" w:rsidR="00C45646" w:rsidRPr="0053375F" w:rsidRDefault="00C45646" w:rsidP="00C45646">
      <w:pPr>
        <w:autoSpaceDE w:val="0"/>
        <w:autoSpaceDN w:val="0"/>
        <w:adjustRightInd w:val="0"/>
        <w:rPr>
          <w:b/>
          <w:sz w:val="22"/>
          <w:szCs w:val="22"/>
        </w:rPr>
      </w:pPr>
      <w:r w:rsidRPr="0053375F">
        <w:rPr>
          <w:b/>
          <w:bCs/>
          <w:sz w:val="22"/>
          <w:szCs w:val="22"/>
        </w:rPr>
        <w:t>4 </w:t>
      </w:r>
      <w:r w:rsidRPr="0053375F">
        <w:rPr>
          <w:b/>
          <w:sz w:val="22"/>
          <w:szCs w:val="22"/>
        </w:rPr>
        <w:t xml:space="preserve">lentelė. </w:t>
      </w:r>
      <w:proofErr w:type="spellStart"/>
      <w:r w:rsidRPr="0053375F">
        <w:rPr>
          <w:b/>
          <w:sz w:val="22"/>
          <w:szCs w:val="22"/>
        </w:rPr>
        <w:t>Livial</w:t>
      </w:r>
      <w:proofErr w:type="spellEnd"/>
      <w:r w:rsidRPr="0053375F">
        <w:rPr>
          <w:b/>
          <w:sz w:val="22"/>
          <w:szCs w:val="22"/>
        </w:rPr>
        <w:t xml:space="preserve"> (2,5 mg) </w:t>
      </w:r>
      <w:proofErr w:type="spellStart"/>
      <w:r w:rsidRPr="0053375F">
        <w:rPr>
          <w:b/>
          <w:sz w:val="22"/>
          <w:szCs w:val="22"/>
        </w:rPr>
        <w:t>farmakokinetikos</w:t>
      </w:r>
      <w:proofErr w:type="spellEnd"/>
      <w:r w:rsidRPr="0053375F">
        <w:rPr>
          <w:b/>
          <w:sz w:val="22"/>
          <w:szCs w:val="22"/>
        </w:rPr>
        <w:t xml:space="preserve"> rodmenys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00"/>
        <w:gridCol w:w="900"/>
        <w:gridCol w:w="900"/>
        <w:gridCol w:w="900"/>
        <w:gridCol w:w="900"/>
        <w:gridCol w:w="900"/>
        <w:gridCol w:w="900"/>
        <w:gridCol w:w="900"/>
      </w:tblGrid>
      <w:tr w:rsidR="00C45646" w:rsidRPr="0053375F" w14:paraId="248E8BF9" w14:textId="77777777" w:rsidTr="002D58E4">
        <w:trPr>
          <w:cantSplit/>
          <w:trHeight w:val="108"/>
        </w:trPr>
        <w:tc>
          <w:tcPr>
            <w:tcW w:w="1440" w:type="dxa"/>
          </w:tcPr>
          <w:p w14:paraId="68C83074" w14:textId="77777777" w:rsidR="00C45646" w:rsidRPr="0053375F" w:rsidRDefault="00C45646" w:rsidP="002D58E4">
            <w:pPr>
              <w:autoSpaceDE w:val="0"/>
              <w:autoSpaceDN w:val="0"/>
              <w:adjustRightInd w:val="0"/>
              <w:rPr>
                <w:b/>
                <w:bCs/>
                <w:sz w:val="22"/>
                <w:szCs w:val="22"/>
              </w:rPr>
            </w:pPr>
          </w:p>
        </w:tc>
        <w:tc>
          <w:tcPr>
            <w:tcW w:w="1800" w:type="dxa"/>
            <w:gridSpan w:val="2"/>
          </w:tcPr>
          <w:p w14:paraId="62F7BEEF" w14:textId="77777777" w:rsidR="00C45646" w:rsidRPr="0053375F" w:rsidRDefault="00C45646" w:rsidP="002D58E4">
            <w:pPr>
              <w:autoSpaceDE w:val="0"/>
              <w:autoSpaceDN w:val="0"/>
              <w:adjustRightInd w:val="0"/>
              <w:rPr>
                <w:b/>
                <w:bCs/>
                <w:sz w:val="22"/>
                <w:szCs w:val="22"/>
              </w:rPr>
            </w:pPr>
            <w:proofErr w:type="spellStart"/>
            <w:r w:rsidRPr="0053375F">
              <w:rPr>
                <w:b/>
                <w:bCs/>
                <w:sz w:val="22"/>
                <w:szCs w:val="22"/>
              </w:rPr>
              <w:t>Tibolonas</w:t>
            </w:r>
            <w:proofErr w:type="spellEnd"/>
          </w:p>
        </w:tc>
        <w:tc>
          <w:tcPr>
            <w:tcW w:w="1800" w:type="dxa"/>
            <w:gridSpan w:val="2"/>
          </w:tcPr>
          <w:p w14:paraId="5564CD23" w14:textId="77777777" w:rsidR="00C45646" w:rsidRPr="0053375F" w:rsidRDefault="00C45646" w:rsidP="002D58E4">
            <w:pPr>
              <w:autoSpaceDE w:val="0"/>
              <w:autoSpaceDN w:val="0"/>
              <w:adjustRightInd w:val="0"/>
              <w:rPr>
                <w:b/>
                <w:bCs/>
                <w:sz w:val="22"/>
                <w:szCs w:val="22"/>
              </w:rPr>
            </w:pPr>
            <w:r w:rsidRPr="0053375F">
              <w:rPr>
                <w:b/>
                <w:sz w:val="22"/>
                <w:szCs w:val="22"/>
              </w:rPr>
              <w:t>3</w:t>
            </w:r>
            <w:r w:rsidRPr="0053375F">
              <w:rPr>
                <w:b/>
                <w:sz w:val="22"/>
                <w:szCs w:val="22"/>
              </w:rPr>
              <w:sym w:font="Symbol" w:char="F061"/>
            </w:r>
            <w:r w:rsidRPr="0053375F">
              <w:rPr>
                <w:sz w:val="22"/>
                <w:szCs w:val="22"/>
              </w:rPr>
              <w:t>-</w:t>
            </w:r>
            <w:r w:rsidRPr="0053375F">
              <w:rPr>
                <w:b/>
                <w:bCs/>
                <w:sz w:val="22"/>
                <w:szCs w:val="22"/>
              </w:rPr>
              <w:t xml:space="preserve"> OH metabolitas</w:t>
            </w:r>
          </w:p>
        </w:tc>
        <w:tc>
          <w:tcPr>
            <w:tcW w:w="1800" w:type="dxa"/>
            <w:gridSpan w:val="2"/>
          </w:tcPr>
          <w:p w14:paraId="171E8A4A" w14:textId="77777777" w:rsidR="00C45646" w:rsidRPr="0053375F" w:rsidRDefault="00C45646" w:rsidP="002D58E4">
            <w:pPr>
              <w:autoSpaceDE w:val="0"/>
              <w:autoSpaceDN w:val="0"/>
              <w:adjustRightInd w:val="0"/>
              <w:rPr>
                <w:b/>
                <w:bCs/>
                <w:sz w:val="22"/>
                <w:szCs w:val="22"/>
              </w:rPr>
            </w:pPr>
            <w:r w:rsidRPr="0053375F">
              <w:rPr>
                <w:b/>
                <w:sz w:val="22"/>
                <w:szCs w:val="22"/>
              </w:rPr>
              <w:t>3β</w:t>
            </w:r>
            <w:r w:rsidRPr="0053375F">
              <w:rPr>
                <w:b/>
                <w:bCs/>
                <w:sz w:val="22"/>
                <w:szCs w:val="22"/>
              </w:rPr>
              <w:t>-OH metabolitas</w:t>
            </w:r>
          </w:p>
        </w:tc>
        <w:tc>
          <w:tcPr>
            <w:tcW w:w="1800" w:type="dxa"/>
            <w:gridSpan w:val="2"/>
          </w:tcPr>
          <w:p w14:paraId="09ABF2CE" w14:textId="77777777" w:rsidR="00C45646" w:rsidRPr="0053375F" w:rsidRDefault="00C45646" w:rsidP="002D58E4">
            <w:pPr>
              <w:autoSpaceDE w:val="0"/>
              <w:autoSpaceDN w:val="0"/>
              <w:adjustRightInd w:val="0"/>
              <w:rPr>
                <w:b/>
                <w:bCs/>
                <w:sz w:val="22"/>
                <w:szCs w:val="22"/>
              </w:rPr>
            </w:pPr>
            <w:r w:rsidRPr="0053375F">
              <w:rPr>
                <w:b/>
                <w:bCs/>
                <w:sz w:val="22"/>
                <w:szCs w:val="22"/>
              </w:rPr>
              <w:t>Δ4-izomeras</w:t>
            </w:r>
          </w:p>
        </w:tc>
      </w:tr>
      <w:tr w:rsidR="00C45646" w:rsidRPr="0053375F" w14:paraId="1B7FE203" w14:textId="77777777" w:rsidTr="002D58E4">
        <w:trPr>
          <w:trHeight w:val="102"/>
        </w:trPr>
        <w:tc>
          <w:tcPr>
            <w:tcW w:w="1440" w:type="dxa"/>
          </w:tcPr>
          <w:p w14:paraId="0B9C9FB5" w14:textId="77777777" w:rsidR="00C45646" w:rsidRPr="0053375F" w:rsidRDefault="00C45646" w:rsidP="002D58E4">
            <w:pPr>
              <w:autoSpaceDE w:val="0"/>
              <w:autoSpaceDN w:val="0"/>
              <w:adjustRightInd w:val="0"/>
              <w:rPr>
                <w:b/>
                <w:bCs/>
                <w:sz w:val="22"/>
                <w:szCs w:val="22"/>
              </w:rPr>
            </w:pPr>
          </w:p>
        </w:tc>
        <w:tc>
          <w:tcPr>
            <w:tcW w:w="900" w:type="dxa"/>
          </w:tcPr>
          <w:p w14:paraId="12A7AAD7" w14:textId="77777777" w:rsidR="00C45646" w:rsidRPr="0053375F" w:rsidRDefault="00C45646" w:rsidP="002D58E4">
            <w:pPr>
              <w:autoSpaceDE w:val="0"/>
              <w:autoSpaceDN w:val="0"/>
              <w:adjustRightInd w:val="0"/>
              <w:rPr>
                <w:b/>
                <w:bCs/>
                <w:sz w:val="22"/>
                <w:szCs w:val="22"/>
              </w:rPr>
            </w:pPr>
            <w:r w:rsidRPr="0053375F">
              <w:rPr>
                <w:sz w:val="22"/>
                <w:szCs w:val="22"/>
              </w:rPr>
              <w:t>VD</w:t>
            </w:r>
          </w:p>
        </w:tc>
        <w:tc>
          <w:tcPr>
            <w:tcW w:w="900" w:type="dxa"/>
          </w:tcPr>
          <w:p w14:paraId="4551A38A" w14:textId="77777777" w:rsidR="00C45646" w:rsidRPr="0053375F" w:rsidRDefault="00C45646" w:rsidP="002D58E4">
            <w:pPr>
              <w:autoSpaceDE w:val="0"/>
              <w:autoSpaceDN w:val="0"/>
              <w:adjustRightInd w:val="0"/>
              <w:rPr>
                <w:b/>
                <w:bCs/>
                <w:sz w:val="22"/>
                <w:szCs w:val="22"/>
              </w:rPr>
            </w:pPr>
            <w:r w:rsidRPr="0053375F">
              <w:rPr>
                <w:sz w:val="22"/>
                <w:szCs w:val="22"/>
              </w:rPr>
              <w:t>KD</w:t>
            </w:r>
          </w:p>
        </w:tc>
        <w:tc>
          <w:tcPr>
            <w:tcW w:w="900" w:type="dxa"/>
          </w:tcPr>
          <w:p w14:paraId="67FBD021" w14:textId="77777777" w:rsidR="00C45646" w:rsidRPr="0053375F" w:rsidRDefault="00C45646" w:rsidP="002D58E4">
            <w:pPr>
              <w:autoSpaceDE w:val="0"/>
              <w:autoSpaceDN w:val="0"/>
              <w:adjustRightInd w:val="0"/>
              <w:rPr>
                <w:b/>
                <w:bCs/>
                <w:sz w:val="22"/>
                <w:szCs w:val="22"/>
              </w:rPr>
            </w:pPr>
            <w:r w:rsidRPr="0053375F">
              <w:rPr>
                <w:sz w:val="22"/>
                <w:szCs w:val="22"/>
              </w:rPr>
              <w:t>VD</w:t>
            </w:r>
          </w:p>
        </w:tc>
        <w:tc>
          <w:tcPr>
            <w:tcW w:w="900" w:type="dxa"/>
          </w:tcPr>
          <w:p w14:paraId="426C6A83" w14:textId="77777777" w:rsidR="00C45646" w:rsidRPr="0053375F" w:rsidRDefault="00C45646" w:rsidP="002D58E4">
            <w:pPr>
              <w:autoSpaceDE w:val="0"/>
              <w:autoSpaceDN w:val="0"/>
              <w:adjustRightInd w:val="0"/>
              <w:rPr>
                <w:b/>
                <w:bCs/>
                <w:sz w:val="22"/>
                <w:szCs w:val="22"/>
              </w:rPr>
            </w:pPr>
            <w:r w:rsidRPr="0053375F">
              <w:rPr>
                <w:sz w:val="22"/>
                <w:szCs w:val="22"/>
              </w:rPr>
              <w:t>KD</w:t>
            </w:r>
          </w:p>
        </w:tc>
        <w:tc>
          <w:tcPr>
            <w:tcW w:w="900" w:type="dxa"/>
          </w:tcPr>
          <w:p w14:paraId="543F0C57" w14:textId="77777777" w:rsidR="00C45646" w:rsidRPr="0053375F" w:rsidRDefault="00C45646" w:rsidP="002D58E4">
            <w:pPr>
              <w:autoSpaceDE w:val="0"/>
              <w:autoSpaceDN w:val="0"/>
              <w:adjustRightInd w:val="0"/>
              <w:rPr>
                <w:b/>
                <w:bCs/>
                <w:sz w:val="22"/>
                <w:szCs w:val="22"/>
              </w:rPr>
            </w:pPr>
            <w:r w:rsidRPr="0053375F">
              <w:rPr>
                <w:sz w:val="22"/>
                <w:szCs w:val="22"/>
              </w:rPr>
              <w:t>VD</w:t>
            </w:r>
          </w:p>
        </w:tc>
        <w:tc>
          <w:tcPr>
            <w:tcW w:w="900" w:type="dxa"/>
          </w:tcPr>
          <w:p w14:paraId="11C93CE6" w14:textId="77777777" w:rsidR="00C45646" w:rsidRPr="0053375F" w:rsidRDefault="00C45646" w:rsidP="002D58E4">
            <w:pPr>
              <w:autoSpaceDE w:val="0"/>
              <w:autoSpaceDN w:val="0"/>
              <w:adjustRightInd w:val="0"/>
              <w:rPr>
                <w:b/>
                <w:bCs/>
                <w:sz w:val="22"/>
                <w:szCs w:val="22"/>
              </w:rPr>
            </w:pPr>
            <w:r w:rsidRPr="0053375F">
              <w:rPr>
                <w:sz w:val="22"/>
                <w:szCs w:val="22"/>
              </w:rPr>
              <w:t>KD</w:t>
            </w:r>
          </w:p>
        </w:tc>
        <w:tc>
          <w:tcPr>
            <w:tcW w:w="900" w:type="dxa"/>
          </w:tcPr>
          <w:p w14:paraId="70320E7B" w14:textId="77777777" w:rsidR="00C45646" w:rsidRPr="0053375F" w:rsidRDefault="00C45646" w:rsidP="002D58E4">
            <w:pPr>
              <w:autoSpaceDE w:val="0"/>
              <w:autoSpaceDN w:val="0"/>
              <w:adjustRightInd w:val="0"/>
              <w:rPr>
                <w:b/>
                <w:bCs/>
                <w:sz w:val="22"/>
                <w:szCs w:val="22"/>
              </w:rPr>
            </w:pPr>
            <w:r w:rsidRPr="0053375F">
              <w:rPr>
                <w:sz w:val="22"/>
                <w:szCs w:val="22"/>
              </w:rPr>
              <w:t>VD</w:t>
            </w:r>
          </w:p>
        </w:tc>
        <w:tc>
          <w:tcPr>
            <w:tcW w:w="900" w:type="dxa"/>
          </w:tcPr>
          <w:p w14:paraId="4B627719" w14:textId="77777777" w:rsidR="00C45646" w:rsidRPr="0053375F" w:rsidRDefault="00C45646" w:rsidP="002D58E4">
            <w:pPr>
              <w:autoSpaceDE w:val="0"/>
              <w:autoSpaceDN w:val="0"/>
              <w:adjustRightInd w:val="0"/>
              <w:rPr>
                <w:b/>
                <w:bCs/>
                <w:sz w:val="22"/>
                <w:szCs w:val="22"/>
              </w:rPr>
            </w:pPr>
            <w:r w:rsidRPr="0053375F">
              <w:rPr>
                <w:sz w:val="22"/>
                <w:szCs w:val="22"/>
              </w:rPr>
              <w:t>KD</w:t>
            </w:r>
          </w:p>
        </w:tc>
      </w:tr>
      <w:tr w:rsidR="00C45646" w:rsidRPr="0053375F" w14:paraId="17CE6BD8" w14:textId="77777777" w:rsidTr="002D58E4">
        <w:trPr>
          <w:trHeight w:val="102"/>
        </w:trPr>
        <w:tc>
          <w:tcPr>
            <w:tcW w:w="1440" w:type="dxa"/>
          </w:tcPr>
          <w:p w14:paraId="140E3E19" w14:textId="77777777" w:rsidR="00C45646" w:rsidRPr="0053375F" w:rsidRDefault="00C45646" w:rsidP="002D58E4">
            <w:pPr>
              <w:autoSpaceDE w:val="0"/>
              <w:autoSpaceDN w:val="0"/>
              <w:adjustRightInd w:val="0"/>
              <w:rPr>
                <w:sz w:val="22"/>
                <w:szCs w:val="22"/>
              </w:rPr>
            </w:pPr>
            <w:proofErr w:type="spellStart"/>
            <w:r w:rsidRPr="0053375F">
              <w:rPr>
                <w:sz w:val="22"/>
                <w:szCs w:val="22"/>
              </w:rPr>
              <w:t>C</w:t>
            </w:r>
            <w:r w:rsidRPr="0053375F">
              <w:rPr>
                <w:sz w:val="22"/>
                <w:szCs w:val="22"/>
                <w:vertAlign w:val="subscript"/>
              </w:rPr>
              <w:t>max</w:t>
            </w:r>
            <w:proofErr w:type="spellEnd"/>
            <w:r w:rsidRPr="0053375F">
              <w:rPr>
                <w:sz w:val="22"/>
                <w:szCs w:val="22"/>
                <w:vertAlign w:val="subscript"/>
              </w:rPr>
              <w:t xml:space="preserve"> </w:t>
            </w:r>
            <w:r w:rsidRPr="0053375F">
              <w:rPr>
                <w:sz w:val="22"/>
                <w:szCs w:val="22"/>
              </w:rPr>
              <w:t>(</w:t>
            </w:r>
            <w:proofErr w:type="spellStart"/>
            <w:r w:rsidRPr="0053375F">
              <w:rPr>
                <w:sz w:val="22"/>
                <w:szCs w:val="22"/>
              </w:rPr>
              <w:t>ng</w:t>
            </w:r>
            <w:proofErr w:type="spellEnd"/>
            <w:r w:rsidRPr="0053375F">
              <w:rPr>
                <w:sz w:val="22"/>
                <w:szCs w:val="22"/>
              </w:rPr>
              <w:t>/ml)</w:t>
            </w:r>
          </w:p>
        </w:tc>
        <w:tc>
          <w:tcPr>
            <w:tcW w:w="900" w:type="dxa"/>
          </w:tcPr>
          <w:p w14:paraId="0170F09F" w14:textId="77777777" w:rsidR="00C45646" w:rsidRPr="0053375F" w:rsidRDefault="00C45646" w:rsidP="002D58E4">
            <w:pPr>
              <w:pStyle w:val="Paragraph"/>
              <w:autoSpaceDE w:val="0"/>
              <w:autoSpaceDN w:val="0"/>
              <w:adjustRightInd w:val="0"/>
              <w:spacing w:after="0" w:line="240" w:lineRule="auto"/>
              <w:rPr>
                <w:rFonts w:ascii="Times New Roman" w:hAnsi="Times New Roman"/>
                <w:szCs w:val="22"/>
                <w:lang w:val="lt-LT"/>
              </w:rPr>
            </w:pPr>
            <w:r w:rsidRPr="0053375F">
              <w:rPr>
                <w:rFonts w:ascii="Times New Roman" w:hAnsi="Times New Roman"/>
                <w:szCs w:val="22"/>
                <w:lang w:val="lt-LT"/>
              </w:rPr>
              <w:t>1,37</w:t>
            </w:r>
          </w:p>
        </w:tc>
        <w:tc>
          <w:tcPr>
            <w:tcW w:w="900" w:type="dxa"/>
          </w:tcPr>
          <w:p w14:paraId="64CBA554" w14:textId="77777777" w:rsidR="00C45646" w:rsidRPr="0053375F" w:rsidRDefault="00C45646" w:rsidP="002D58E4">
            <w:pPr>
              <w:autoSpaceDE w:val="0"/>
              <w:autoSpaceDN w:val="0"/>
              <w:adjustRightInd w:val="0"/>
              <w:rPr>
                <w:sz w:val="22"/>
                <w:szCs w:val="22"/>
              </w:rPr>
            </w:pPr>
            <w:r w:rsidRPr="0053375F">
              <w:rPr>
                <w:sz w:val="22"/>
                <w:szCs w:val="22"/>
              </w:rPr>
              <w:t>1,72</w:t>
            </w:r>
          </w:p>
        </w:tc>
        <w:tc>
          <w:tcPr>
            <w:tcW w:w="900" w:type="dxa"/>
          </w:tcPr>
          <w:p w14:paraId="73926FBD" w14:textId="77777777" w:rsidR="00C45646" w:rsidRPr="0053375F" w:rsidRDefault="00C45646" w:rsidP="002D58E4">
            <w:pPr>
              <w:autoSpaceDE w:val="0"/>
              <w:autoSpaceDN w:val="0"/>
              <w:adjustRightInd w:val="0"/>
              <w:rPr>
                <w:sz w:val="22"/>
                <w:szCs w:val="22"/>
              </w:rPr>
            </w:pPr>
            <w:r w:rsidRPr="0053375F">
              <w:rPr>
                <w:sz w:val="22"/>
                <w:szCs w:val="22"/>
              </w:rPr>
              <w:t>14,23</w:t>
            </w:r>
          </w:p>
        </w:tc>
        <w:tc>
          <w:tcPr>
            <w:tcW w:w="900" w:type="dxa"/>
          </w:tcPr>
          <w:p w14:paraId="53D5A45D" w14:textId="77777777" w:rsidR="00C45646" w:rsidRPr="0053375F" w:rsidRDefault="00C45646" w:rsidP="002D58E4">
            <w:pPr>
              <w:autoSpaceDE w:val="0"/>
              <w:autoSpaceDN w:val="0"/>
              <w:adjustRightInd w:val="0"/>
              <w:rPr>
                <w:sz w:val="22"/>
                <w:szCs w:val="22"/>
              </w:rPr>
            </w:pPr>
            <w:r w:rsidRPr="0053375F">
              <w:rPr>
                <w:sz w:val="22"/>
                <w:szCs w:val="22"/>
              </w:rPr>
              <w:t>14,15</w:t>
            </w:r>
          </w:p>
        </w:tc>
        <w:tc>
          <w:tcPr>
            <w:tcW w:w="900" w:type="dxa"/>
          </w:tcPr>
          <w:p w14:paraId="460F639E" w14:textId="77777777" w:rsidR="00C45646" w:rsidRPr="0053375F" w:rsidRDefault="00C45646" w:rsidP="002D58E4">
            <w:pPr>
              <w:autoSpaceDE w:val="0"/>
              <w:autoSpaceDN w:val="0"/>
              <w:adjustRightInd w:val="0"/>
              <w:rPr>
                <w:sz w:val="22"/>
                <w:szCs w:val="22"/>
              </w:rPr>
            </w:pPr>
            <w:r w:rsidRPr="0053375F">
              <w:rPr>
                <w:sz w:val="22"/>
                <w:szCs w:val="22"/>
              </w:rPr>
              <w:t>3,43</w:t>
            </w:r>
          </w:p>
        </w:tc>
        <w:tc>
          <w:tcPr>
            <w:tcW w:w="900" w:type="dxa"/>
          </w:tcPr>
          <w:p w14:paraId="576D8A73" w14:textId="77777777" w:rsidR="00C45646" w:rsidRPr="0053375F" w:rsidRDefault="00C45646" w:rsidP="002D58E4">
            <w:pPr>
              <w:autoSpaceDE w:val="0"/>
              <w:autoSpaceDN w:val="0"/>
              <w:adjustRightInd w:val="0"/>
              <w:rPr>
                <w:sz w:val="22"/>
                <w:szCs w:val="22"/>
              </w:rPr>
            </w:pPr>
            <w:r w:rsidRPr="0053375F">
              <w:rPr>
                <w:sz w:val="22"/>
                <w:szCs w:val="22"/>
              </w:rPr>
              <w:t>3,75</w:t>
            </w:r>
          </w:p>
        </w:tc>
        <w:tc>
          <w:tcPr>
            <w:tcW w:w="900" w:type="dxa"/>
          </w:tcPr>
          <w:p w14:paraId="206546C1" w14:textId="77777777" w:rsidR="00C45646" w:rsidRPr="0053375F" w:rsidRDefault="00C45646" w:rsidP="002D58E4">
            <w:pPr>
              <w:autoSpaceDE w:val="0"/>
              <w:autoSpaceDN w:val="0"/>
              <w:adjustRightInd w:val="0"/>
              <w:rPr>
                <w:sz w:val="22"/>
                <w:szCs w:val="22"/>
              </w:rPr>
            </w:pPr>
            <w:r w:rsidRPr="0053375F">
              <w:rPr>
                <w:sz w:val="22"/>
                <w:szCs w:val="22"/>
              </w:rPr>
              <w:t>0,47</w:t>
            </w:r>
          </w:p>
        </w:tc>
        <w:tc>
          <w:tcPr>
            <w:tcW w:w="900" w:type="dxa"/>
          </w:tcPr>
          <w:p w14:paraId="68581FF2" w14:textId="77777777" w:rsidR="00C45646" w:rsidRPr="0053375F" w:rsidRDefault="00C45646" w:rsidP="002D58E4">
            <w:pPr>
              <w:autoSpaceDE w:val="0"/>
              <w:autoSpaceDN w:val="0"/>
              <w:adjustRightInd w:val="0"/>
              <w:rPr>
                <w:sz w:val="22"/>
                <w:szCs w:val="22"/>
              </w:rPr>
            </w:pPr>
            <w:r w:rsidRPr="0053375F">
              <w:rPr>
                <w:sz w:val="22"/>
                <w:szCs w:val="22"/>
              </w:rPr>
              <w:t>0,43</w:t>
            </w:r>
          </w:p>
        </w:tc>
      </w:tr>
      <w:tr w:rsidR="00C45646" w:rsidRPr="0053375F" w14:paraId="26A950A5" w14:textId="77777777" w:rsidTr="002D58E4">
        <w:trPr>
          <w:trHeight w:val="102"/>
        </w:trPr>
        <w:tc>
          <w:tcPr>
            <w:tcW w:w="1440" w:type="dxa"/>
          </w:tcPr>
          <w:p w14:paraId="650C0AA5" w14:textId="77777777" w:rsidR="00C45646" w:rsidRPr="0053375F" w:rsidRDefault="00C45646" w:rsidP="002D58E4">
            <w:pPr>
              <w:autoSpaceDE w:val="0"/>
              <w:autoSpaceDN w:val="0"/>
              <w:adjustRightInd w:val="0"/>
              <w:rPr>
                <w:sz w:val="22"/>
                <w:szCs w:val="22"/>
                <w:vertAlign w:val="subscript"/>
              </w:rPr>
            </w:pPr>
            <w:proofErr w:type="spellStart"/>
            <w:r w:rsidRPr="0053375F">
              <w:rPr>
                <w:sz w:val="22"/>
                <w:szCs w:val="22"/>
              </w:rPr>
              <w:t>C</w:t>
            </w:r>
            <w:r w:rsidRPr="0053375F">
              <w:rPr>
                <w:sz w:val="22"/>
                <w:szCs w:val="22"/>
                <w:vertAlign w:val="subscript"/>
              </w:rPr>
              <w:t>vidutinis</w:t>
            </w:r>
            <w:proofErr w:type="spellEnd"/>
          </w:p>
        </w:tc>
        <w:tc>
          <w:tcPr>
            <w:tcW w:w="900" w:type="dxa"/>
          </w:tcPr>
          <w:p w14:paraId="1A01393B"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3BFD4561"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7E5B75DF"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15C5F1D6" w14:textId="77777777" w:rsidR="00C45646" w:rsidRPr="0053375F" w:rsidRDefault="00C45646" w:rsidP="002D58E4">
            <w:pPr>
              <w:autoSpaceDE w:val="0"/>
              <w:autoSpaceDN w:val="0"/>
              <w:adjustRightInd w:val="0"/>
              <w:rPr>
                <w:sz w:val="22"/>
                <w:szCs w:val="22"/>
              </w:rPr>
            </w:pPr>
            <w:r w:rsidRPr="0053375F">
              <w:rPr>
                <w:sz w:val="22"/>
                <w:szCs w:val="22"/>
              </w:rPr>
              <w:t>1,88</w:t>
            </w:r>
          </w:p>
        </w:tc>
        <w:tc>
          <w:tcPr>
            <w:tcW w:w="900" w:type="dxa"/>
          </w:tcPr>
          <w:p w14:paraId="65DB621A"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2C4F649A"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7CD323A9"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4B0C01AE" w14:textId="77777777" w:rsidR="00C45646" w:rsidRPr="0053375F" w:rsidRDefault="00C45646" w:rsidP="002D58E4">
            <w:pPr>
              <w:autoSpaceDE w:val="0"/>
              <w:autoSpaceDN w:val="0"/>
              <w:adjustRightInd w:val="0"/>
              <w:rPr>
                <w:sz w:val="22"/>
                <w:szCs w:val="22"/>
              </w:rPr>
            </w:pPr>
            <w:r w:rsidRPr="0053375F">
              <w:rPr>
                <w:sz w:val="22"/>
                <w:szCs w:val="22"/>
              </w:rPr>
              <w:t>-</w:t>
            </w:r>
          </w:p>
        </w:tc>
      </w:tr>
      <w:tr w:rsidR="00C45646" w:rsidRPr="0053375F" w14:paraId="2907E9EA" w14:textId="77777777" w:rsidTr="002D58E4">
        <w:trPr>
          <w:trHeight w:val="102"/>
        </w:trPr>
        <w:tc>
          <w:tcPr>
            <w:tcW w:w="1440" w:type="dxa"/>
          </w:tcPr>
          <w:p w14:paraId="48879B03" w14:textId="77777777" w:rsidR="00C45646" w:rsidRPr="0053375F" w:rsidRDefault="00C45646" w:rsidP="002D58E4">
            <w:pPr>
              <w:autoSpaceDE w:val="0"/>
              <w:autoSpaceDN w:val="0"/>
              <w:adjustRightInd w:val="0"/>
              <w:rPr>
                <w:sz w:val="22"/>
                <w:szCs w:val="22"/>
              </w:rPr>
            </w:pPr>
            <w:proofErr w:type="spellStart"/>
            <w:r w:rsidRPr="0053375F">
              <w:rPr>
                <w:sz w:val="22"/>
                <w:szCs w:val="22"/>
              </w:rPr>
              <w:t>T</w:t>
            </w:r>
            <w:r w:rsidRPr="0053375F">
              <w:rPr>
                <w:sz w:val="22"/>
                <w:szCs w:val="22"/>
                <w:vertAlign w:val="subscript"/>
              </w:rPr>
              <w:t>max</w:t>
            </w:r>
            <w:proofErr w:type="spellEnd"/>
            <w:r w:rsidRPr="0053375F">
              <w:rPr>
                <w:sz w:val="22"/>
                <w:szCs w:val="22"/>
              </w:rPr>
              <w:t xml:space="preserve"> (val.)</w:t>
            </w:r>
          </w:p>
        </w:tc>
        <w:tc>
          <w:tcPr>
            <w:tcW w:w="900" w:type="dxa"/>
          </w:tcPr>
          <w:p w14:paraId="1552B076" w14:textId="77777777" w:rsidR="00C45646" w:rsidRPr="0053375F" w:rsidRDefault="00C45646" w:rsidP="002D58E4">
            <w:pPr>
              <w:autoSpaceDE w:val="0"/>
              <w:autoSpaceDN w:val="0"/>
              <w:adjustRightInd w:val="0"/>
              <w:rPr>
                <w:sz w:val="22"/>
                <w:szCs w:val="22"/>
              </w:rPr>
            </w:pPr>
            <w:r w:rsidRPr="0053375F">
              <w:rPr>
                <w:sz w:val="22"/>
                <w:szCs w:val="22"/>
              </w:rPr>
              <w:t>1,08</w:t>
            </w:r>
          </w:p>
        </w:tc>
        <w:tc>
          <w:tcPr>
            <w:tcW w:w="900" w:type="dxa"/>
          </w:tcPr>
          <w:p w14:paraId="204867B3" w14:textId="77777777" w:rsidR="00C45646" w:rsidRPr="0053375F" w:rsidRDefault="00C45646" w:rsidP="002D58E4">
            <w:pPr>
              <w:autoSpaceDE w:val="0"/>
              <w:autoSpaceDN w:val="0"/>
              <w:adjustRightInd w:val="0"/>
              <w:rPr>
                <w:sz w:val="22"/>
                <w:szCs w:val="22"/>
              </w:rPr>
            </w:pPr>
            <w:r w:rsidRPr="0053375F">
              <w:rPr>
                <w:sz w:val="22"/>
                <w:szCs w:val="22"/>
              </w:rPr>
              <w:t>1,19</w:t>
            </w:r>
          </w:p>
        </w:tc>
        <w:tc>
          <w:tcPr>
            <w:tcW w:w="900" w:type="dxa"/>
          </w:tcPr>
          <w:p w14:paraId="14BF06C9" w14:textId="77777777" w:rsidR="00C45646" w:rsidRPr="0053375F" w:rsidRDefault="00C45646" w:rsidP="002D58E4">
            <w:pPr>
              <w:autoSpaceDE w:val="0"/>
              <w:autoSpaceDN w:val="0"/>
              <w:adjustRightInd w:val="0"/>
              <w:rPr>
                <w:sz w:val="22"/>
                <w:szCs w:val="22"/>
              </w:rPr>
            </w:pPr>
            <w:r w:rsidRPr="0053375F">
              <w:rPr>
                <w:sz w:val="22"/>
                <w:szCs w:val="22"/>
              </w:rPr>
              <w:t>1,21</w:t>
            </w:r>
          </w:p>
        </w:tc>
        <w:tc>
          <w:tcPr>
            <w:tcW w:w="900" w:type="dxa"/>
          </w:tcPr>
          <w:p w14:paraId="7F740ECE" w14:textId="77777777" w:rsidR="00C45646" w:rsidRPr="0053375F" w:rsidRDefault="00C45646" w:rsidP="002D58E4">
            <w:pPr>
              <w:autoSpaceDE w:val="0"/>
              <w:autoSpaceDN w:val="0"/>
              <w:adjustRightInd w:val="0"/>
              <w:rPr>
                <w:sz w:val="22"/>
                <w:szCs w:val="22"/>
              </w:rPr>
            </w:pPr>
            <w:r w:rsidRPr="0053375F">
              <w:rPr>
                <w:sz w:val="22"/>
                <w:szCs w:val="22"/>
              </w:rPr>
              <w:t>1,15</w:t>
            </w:r>
          </w:p>
        </w:tc>
        <w:tc>
          <w:tcPr>
            <w:tcW w:w="900" w:type="dxa"/>
          </w:tcPr>
          <w:p w14:paraId="2268E11C" w14:textId="77777777" w:rsidR="00C45646" w:rsidRPr="0053375F" w:rsidRDefault="00C45646" w:rsidP="002D58E4">
            <w:pPr>
              <w:autoSpaceDE w:val="0"/>
              <w:autoSpaceDN w:val="0"/>
              <w:adjustRightInd w:val="0"/>
              <w:rPr>
                <w:sz w:val="22"/>
                <w:szCs w:val="22"/>
              </w:rPr>
            </w:pPr>
            <w:r w:rsidRPr="0053375F">
              <w:rPr>
                <w:sz w:val="22"/>
                <w:szCs w:val="22"/>
              </w:rPr>
              <w:t>1,37</w:t>
            </w:r>
          </w:p>
        </w:tc>
        <w:tc>
          <w:tcPr>
            <w:tcW w:w="900" w:type="dxa"/>
          </w:tcPr>
          <w:p w14:paraId="2C90B4C8" w14:textId="77777777" w:rsidR="00C45646" w:rsidRPr="0053375F" w:rsidRDefault="00C45646" w:rsidP="002D58E4">
            <w:pPr>
              <w:autoSpaceDE w:val="0"/>
              <w:autoSpaceDN w:val="0"/>
              <w:adjustRightInd w:val="0"/>
              <w:rPr>
                <w:sz w:val="22"/>
                <w:szCs w:val="22"/>
              </w:rPr>
            </w:pPr>
            <w:r w:rsidRPr="0053375F">
              <w:rPr>
                <w:sz w:val="22"/>
                <w:szCs w:val="22"/>
              </w:rPr>
              <w:t>1,35</w:t>
            </w:r>
          </w:p>
        </w:tc>
        <w:tc>
          <w:tcPr>
            <w:tcW w:w="900" w:type="dxa"/>
          </w:tcPr>
          <w:p w14:paraId="46742CAE" w14:textId="77777777" w:rsidR="00C45646" w:rsidRPr="0053375F" w:rsidRDefault="00C45646" w:rsidP="002D58E4">
            <w:pPr>
              <w:autoSpaceDE w:val="0"/>
              <w:autoSpaceDN w:val="0"/>
              <w:adjustRightInd w:val="0"/>
              <w:rPr>
                <w:sz w:val="22"/>
                <w:szCs w:val="22"/>
              </w:rPr>
            </w:pPr>
            <w:r w:rsidRPr="0053375F">
              <w:rPr>
                <w:sz w:val="22"/>
                <w:szCs w:val="22"/>
              </w:rPr>
              <w:t>1,64</w:t>
            </w:r>
          </w:p>
        </w:tc>
        <w:tc>
          <w:tcPr>
            <w:tcW w:w="900" w:type="dxa"/>
          </w:tcPr>
          <w:p w14:paraId="71E2E8BF" w14:textId="77777777" w:rsidR="00C45646" w:rsidRPr="0053375F" w:rsidRDefault="00C45646" w:rsidP="002D58E4">
            <w:pPr>
              <w:autoSpaceDE w:val="0"/>
              <w:autoSpaceDN w:val="0"/>
              <w:adjustRightInd w:val="0"/>
              <w:rPr>
                <w:sz w:val="22"/>
                <w:szCs w:val="22"/>
              </w:rPr>
            </w:pPr>
            <w:r w:rsidRPr="0053375F">
              <w:rPr>
                <w:sz w:val="22"/>
                <w:szCs w:val="22"/>
              </w:rPr>
              <w:t>1,65</w:t>
            </w:r>
          </w:p>
        </w:tc>
      </w:tr>
      <w:tr w:rsidR="00C45646" w:rsidRPr="0053375F" w14:paraId="2661BD11" w14:textId="77777777" w:rsidTr="002D58E4">
        <w:trPr>
          <w:trHeight w:val="102"/>
        </w:trPr>
        <w:tc>
          <w:tcPr>
            <w:tcW w:w="1440" w:type="dxa"/>
          </w:tcPr>
          <w:p w14:paraId="2FA579AB" w14:textId="77777777" w:rsidR="00C45646" w:rsidRPr="0053375F" w:rsidRDefault="00C45646" w:rsidP="002D58E4">
            <w:pPr>
              <w:autoSpaceDE w:val="0"/>
              <w:autoSpaceDN w:val="0"/>
              <w:adjustRightInd w:val="0"/>
              <w:rPr>
                <w:sz w:val="22"/>
                <w:szCs w:val="22"/>
              </w:rPr>
            </w:pPr>
            <w:r w:rsidRPr="0053375F">
              <w:rPr>
                <w:sz w:val="22"/>
                <w:szCs w:val="22"/>
              </w:rPr>
              <w:t>T</w:t>
            </w:r>
            <w:r w:rsidRPr="0053375F">
              <w:rPr>
                <w:sz w:val="22"/>
                <w:szCs w:val="22"/>
                <w:vertAlign w:val="subscript"/>
              </w:rPr>
              <w:t xml:space="preserve">1/2 </w:t>
            </w:r>
            <w:r w:rsidRPr="0053375F">
              <w:rPr>
                <w:sz w:val="22"/>
                <w:szCs w:val="22"/>
              </w:rPr>
              <w:t>(val.)</w:t>
            </w:r>
          </w:p>
        </w:tc>
        <w:tc>
          <w:tcPr>
            <w:tcW w:w="900" w:type="dxa"/>
          </w:tcPr>
          <w:p w14:paraId="7A396FC8" w14:textId="77777777" w:rsidR="00C45646" w:rsidRPr="0053375F" w:rsidRDefault="00C45646" w:rsidP="002D58E4">
            <w:pPr>
              <w:pStyle w:val="Paragraph"/>
              <w:autoSpaceDE w:val="0"/>
              <w:autoSpaceDN w:val="0"/>
              <w:adjustRightInd w:val="0"/>
              <w:spacing w:after="0" w:line="240" w:lineRule="auto"/>
              <w:rPr>
                <w:rFonts w:ascii="Times New Roman" w:hAnsi="Times New Roman"/>
                <w:szCs w:val="22"/>
                <w:vertAlign w:val="subscript"/>
                <w:lang w:val="lt-LT"/>
              </w:rPr>
            </w:pPr>
            <w:r w:rsidRPr="0053375F">
              <w:rPr>
                <w:rFonts w:ascii="Times New Roman" w:hAnsi="Times New Roman"/>
                <w:szCs w:val="22"/>
                <w:vertAlign w:val="subscript"/>
                <w:lang w:val="lt-LT"/>
              </w:rPr>
              <w:t>-</w:t>
            </w:r>
          </w:p>
        </w:tc>
        <w:tc>
          <w:tcPr>
            <w:tcW w:w="900" w:type="dxa"/>
          </w:tcPr>
          <w:p w14:paraId="0882439F"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0868D6E6" w14:textId="77777777" w:rsidR="00C45646" w:rsidRPr="0053375F" w:rsidRDefault="00C45646" w:rsidP="002D58E4">
            <w:pPr>
              <w:autoSpaceDE w:val="0"/>
              <w:autoSpaceDN w:val="0"/>
              <w:adjustRightInd w:val="0"/>
              <w:rPr>
                <w:sz w:val="22"/>
                <w:szCs w:val="22"/>
              </w:rPr>
            </w:pPr>
            <w:r w:rsidRPr="0053375F">
              <w:rPr>
                <w:sz w:val="22"/>
                <w:szCs w:val="22"/>
              </w:rPr>
              <w:t>5,78</w:t>
            </w:r>
          </w:p>
        </w:tc>
        <w:tc>
          <w:tcPr>
            <w:tcW w:w="900" w:type="dxa"/>
          </w:tcPr>
          <w:p w14:paraId="3908E882" w14:textId="77777777" w:rsidR="00C45646" w:rsidRPr="0053375F" w:rsidRDefault="00C45646" w:rsidP="002D58E4">
            <w:pPr>
              <w:autoSpaceDE w:val="0"/>
              <w:autoSpaceDN w:val="0"/>
              <w:adjustRightInd w:val="0"/>
              <w:rPr>
                <w:sz w:val="22"/>
                <w:szCs w:val="22"/>
              </w:rPr>
            </w:pPr>
            <w:r w:rsidRPr="0053375F">
              <w:rPr>
                <w:sz w:val="22"/>
                <w:szCs w:val="22"/>
              </w:rPr>
              <w:t>7,71</w:t>
            </w:r>
          </w:p>
        </w:tc>
        <w:tc>
          <w:tcPr>
            <w:tcW w:w="900" w:type="dxa"/>
          </w:tcPr>
          <w:p w14:paraId="25CC8A7C" w14:textId="77777777" w:rsidR="00C45646" w:rsidRPr="0053375F" w:rsidRDefault="00C45646" w:rsidP="002D58E4">
            <w:pPr>
              <w:autoSpaceDE w:val="0"/>
              <w:autoSpaceDN w:val="0"/>
              <w:adjustRightInd w:val="0"/>
              <w:rPr>
                <w:sz w:val="22"/>
                <w:szCs w:val="22"/>
              </w:rPr>
            </w:pPr>
            <w:r w:rsidRPr="0053375F">
              <w:rPr>
                <w:sz w:val="22"/>
                <w:szCs w:val="22"/>
              </w:rPr>
              <w:t>5,87</w:t>
            </w:r>
          </w:p>
        </w:tc>
        <w:tc>
          <w:tcPr>
            <w:tcW w:w="900" w:type="dxa"/>
          </w:tcPr>
          <w:p w14:paraId="32E986EC"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43E9D756"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7CF6E2A5" w14:textId="77777777" w:rsidR="00C45646" w:rsidRPr="0053375F" w:rsidRDefault="00C45646" w:rsidP="002D58E4">
            <w:pPr>
              <w:autoSpaceDE w:val="0"/>
              <w:autoSpaceDN w:val="0"/>
              <w:adjustRightInd w:val="0"/>
              <w:rPr>
                <w:sz w:val="22"/>
                <w:szCs w:val="22"/>
              </w:rPr>
            </w:pPr>
            <w:r w:rsidRPr="0053375F">
              <w:rPr>
                <w:sz w:val="22"/>
                <w:szCs w:val="22"/>
              </w:rPr>
              <w:t>-</w:t>
            </w:r>
          </w:p>
        </w:tc>
      </w:tr>
      <w:tr w:rsidR="00C45646" w:rsidRPr="0053375F" w14:paraId="60CFFAF7" w14:textId="77777777" w:rsidTr="002D58E4">
        <w:trPr>
          <w:cantSplit/>
          <w:trHeight w:val="128"/>
        </w:trPr>
        <w:tc>
          <w:tcPr>
            <w:tcW w:w="1440" w:type="dxa"/>
          </w:tcPr>
          <w:p w14:paraId="0E9F0906" w14:textId="77777777" w:rsidR="00C45646" w:rsidRPr="0053375F" w:rsidRDefault="00C45646" w:rsidP="002D58E4">
            <w:pPr>
              <w:autoSpaceDE w:val="0"/>
              <w:autoSpaceDN w:val="0"/>
              <w:adjustRightInd w:val="0"/>
              <w:rPr>
                <w:sz w:val="22"/>
                <w:szCs w:val="22"/>
              </w:rPr>
            </w:pPr>
            <w:proofErr w:type="spellStart"/>
            <w:r w:rsidRPr="0053375F">
              <w:rPr>
                <w:sz w:val="22"/>
                <w:szCs w:val="22"/>
              </w:rPr>
              <w:t>C</w:t>
            </w:r>
            <w:r w:rsidRPr="0053375F">
              <w:rPr>
                <w:sz w:val="22"/>
                <w:szCs w:val="22"/>
                <w:vertAlign w:val="subscript"/>
              </w:rPr>
              <w:t>min</w:t>
            </w:r>
            <w:proofErr w:type="spellEnd"/>
            <w:r w:rsidRPr="0053375F">
              <w:rPr>
                <w:sz w:val="22"/>
                <w:szCs w:val="22"/>
              </w:rPr>
              <w:t xml:space="preserve"> (</w:t>
            </w:r>
            <w:proofErr w:type="spellStart"/>
            <w:r w:rsidRPr="0053375F">
              <w:rPr>
                <w:sz w:val="22"/>
                <w:szCs w:val="22"/>
              </w:rPr>
              <w:t>ng</w:t>
            </w:r>
            <w:proofErr w:type="spellEnd"/>
            <w:r w:rsidRPr="0053375F">
              <w:rPr>
                <w:sz w:val="22"/>
                <w:szCs w:val="22"/>
              </w:rPr>
              <w:t>/ml)</w:t>
            </w:r>
          </w:p>
        </w:tc>
        <w:tc>
          <w:tcPr>
            <w:tcW w:w="900" w:type="dxa"/>
          </w:tcPr>
          <w:p w14:paraId="0629E87A"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10C833C4"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6B769674"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3F76DF72" w14:textId="77777777" w:rsidR="00C45646" w:rsidRPr="0053375F" w:rsidRDefault="00C45646" w:rsidP="002D58E4">
            <w:pPr>
              <w:autoSpaceDE w:val="0"/>
              <w:autoSpaceDN w:val="0"/>
              <w:adjustRightInd w:val="0"/>
              <w:rPr>
                <w:sz w:val="22"/>
                <w:szCs w:val="22"/>
              </w:rPr>
            </w:pPr>
            <w:r w:rsidRPr="0053375F">
              <w:rPr>
                <w:sz w:val="22"/>
                <w:szCs w:val="22"/>
              </w:rPr>
              <w:t>0,23</w:t>
            </w:r>
          </w:p>
        </w:tc>
        <w:tc>
          <w:tcPr>
            <w:tcW w:w="900" w:type="dxa"/>
          </w:tcPr>
          <w:p w14:paraId="4E66E344"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5C299326"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41FF04C7"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6F671650" w14:textId="77777777" w:rsidR="00C45646" w:rsidRPr="0053375F" w:rsidRDefault="00C45646" w:rsidP="002D58E4">
            <w:pPr>
              <w:autoSpaceDE w:val="0"/>
              <w:autoSpaceDN w:val="0"/>
              <w:adjustRightInd w:val="0"/>
              <w:rPr>
                <w:sz w:val="22"/>
                <w:szCs w:val="22"/>
              </w:rPr>
            </w:pPr>
            <w:r w:rsidRPr="0053375F">
              <w:rPr>
                <w:sz w:val="22"/>
                <w:szCs w:val="22"/>
              </w:rPr>
              <w:t>-</w:t>
            </w:r>
          </w:p>
        </w:tc>
      </w:tr>
      <w:tr w:rsidR="00C45646" w:rsidRPr="0053375F" w14:paraId="4BF60E55" w14:textId="77777777" w:rsidTr="002D58E4">
        <w:trPr>
          <w:cantSplit/>
          <w:trHeight w:val="127"/>
        </w:trPr>
        <w:tc>
          <w:tcPr>
            <w:tcW w:w="1440" w:type="dxa"/>
          </w:tcPr>
          <w:p w14:paraId="25DBB1F8" w14:textId="77777777" w:rsidR="00C45646" w:rsidRPr="0053375F" w:rsidRDefault="00C45646" w:rsidP="002D58E4">
            <w:pPr>
              <w:autoSpaceDE w:val="0"/>
              <w:autoSpaceDN w:val="0"/>
              <w:adjustRightInd w:val="0"/>
              <w:rPr>
                <w:sz w:val="22"/>
                <w:szCs w:val="22"/>
                <w:vertAlign w:val="subscript"/>
              </w:rPr>
            </w:pPr>
            <w:r w:rsidRPr="0053375F">
              <w:rPr>
                <w:sz w:val="22"/>
                <w:szCs w:val="22"/>
              </w:rPr>
              <w:t>AUC</w:t>
            </w:r>
            <w:r w:rsidRPr="0053375F">
              <w:rPr>
                <w:sz w:val="22"/>
                <w:szCs w:val="22"/>
                <w:vertAlign w:val="subscript"/>
              </w:rPr>
              <w:t xml:space="preserve">0-24 </w:t>
            </w:r>
            <w:r w:rsidRPr="0053375F">
              <w:rPr>
                <w:sz w:val="22"/>
                <w:szCs w:val="22"/>
              </w:rPr>
              <w:t>(</w:t>
            </w:r>
            <w:proofErr w:type="spellStart"/>
            <w:r w:rsidRPr="0053375F">
              <w:rPr>
                <w:sz w:val="22"/>
                <w:szCs w:val="22"/>
              </w:rPr>
              <w:t>ng</w:t>
            </w:r>
            <w:proofErr w:type="spellEnd"/>
            <w:r w:rsidRPr="0053375F">
              <w:rPr>
                <w:sz w:val="22"/>
                <w:szCs w:val="22"/>
              </w:rPr>
              <w:t>/</w:t>
            </w:r>
            <w:proofErr w:type="spellStart"/>
            <w:r w:rsidRPr="0053375F">
              <w:rPr>
                <w:sz w:val="22"/>
                <w:szCs w:val="22"/>
              </w:rPr>
              <w:t>ml.val</w:t>
            </w:r>
            <w:proofErr w:type="spellEnd"/>
            <w:r w:rsidRPr="0053375F">
              <w:rPr>
                <w:sz w:val="22"/>
                <w:szCs w:val="22"/>
              </w:rPr>
              <w:t>)</w:t>
            </w:r>
          </w:p>
        </w:tc>
        <w:tc>
          <w:tcPr>
            <w:tcW w:w="900" w:type="dxa"/>
          </w:tcPr>
          <w:p w14:paraId="78474192"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60AB6D02"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2B81C004" w14:textId="77777777" w:rsidR="00C45646" w:rsidRPr="0053375F" w:rsidRDefault="00C45646" w:rsidP="002D58E4">
            <w:pPr>
              <w:autoSpaceDE w:val="0"/>
              <w:autoSpaceDN w:val="0"/>
              <w:adjustRightInd w:val="0"/>
              <w:rPr>
                <w:sz w:val="22"/>
                <w:szCs w:val="22"/>
              </w:rPr>
            </w:pPr>
            <w:r w:rsidRPr="0053375F">
              <w:rPr>
                <w:sz w:val="22"/>
                <w:szCs w:val="22"/>
              </w:rPr>
              <w:t>53,23</w:t>
            </w:r>
          </w:p>
        </w:tc>
        <w:tc>
          <w:tcPr>
            <w:tcW w:w="900" w:type="dxa"/>
          </w:tcPr>
          <w:p w14:paraId="2BB02E93" w14:textId="77777777" w:rsidR="00C45646" w:rsidRPr="0053375F" w:rsidRDefault="00C45646" w:rsidP="002D58E4">
            <w:pPr>
              <w:autoSpaceDE w:val="0"/>
              <w:autoSpaceDN w:val="0"/>
              <w:adjustRightInd w:val="0"/>
              <w:rPr>
                <w:sz w:val="22"/>
                <w:szCs w:val="22"/>
              </w:rPr>
            </w:pPr>
            <w:r w:rsidRPr="0053375F">
              <w:rPr>
                <w:sz w:val="22"/>
                <w:szCs w:val="22"/>
              </w:rPr>
              <w:t>44,73</w:t>
            </w:r>
          </w:p>
        </w:tc>
        <w:tc>
          <w:tcPr>
            <w:tcW w:w="900" w:type="dxa"/>
          </w:tcPr>
          <w:p w14:paraId="20F77E11" w14:textId="77777777" w:rsidR="00C45646" w:rsidRPr="0053375F" w:rsidRDefault="00C45646" w:rsidP="002D58E4">
            <w:pPr>
              <w:autoSpaceDE w:val="0"/>
              <w:autoSpaceDN w:val="0"/>
              <w:adjustRightInd w:val="0"/>
              <w:rPr>
                <w:sz w:val="22"/>
                <w:szCs w:val="22"/>
              </w:rPr>
            </w:pPr>
            <w:r w:rsidRPr="0053375F">
              <w:rPr>
                <w:sz w:val="22"/>
                <w:szCs w:val="22"/>
              </w:rPr>
              <w:t>16,23</w:t>
            </w:r>
          </w:p>
        </w:tc>
        <w:tc>
          <w:tcPr>
            <w:tcW w:w="900" w:type="dxa"/>
          </w:tcPr>
          <w:p w14:paraId="51AC22A6" w14:textId="77777777" w:rsidR="00C45646" w:rsidRPr="0053375F" w:rsidRDefault="00C45646" w:rsidP="002D58E4">
            <w:pPr>
              <w:autoSpaceDE w:val="0"/>
              <w:autoSpaceDN w:val="0"/>
              <w:adjustRightInd w:val="0"/>
              <w:rPr>
                <w:sz w:val="22"/>
                <w:szCs w:val="22"/>
              </w:rPr>
            </w:pPr>
            <w:r w:rsidRPr="0053375F">
              <w:rPr>
                <w:sz w:val="22"/>
                <w:szCs w:val="22"/>
              </w:rPr>
              <w:t>9,20</w:t>
            </w:r>
          </w:p>
        </w:tc>
        <w:tc>
          <w:tcPr>
            <w:tcW w:w="900" w:type="dxa"/>
          </w:tcPr>
          <w:p w14:paraId="53BA174A" w14:textId="77777777" w:rsidR="00C45646" w:rsidRPr="0053375F" w:rsidRDefault="00C45646" w:rsidP="002D58E4">
            <w:pPr>
              <w:autoSpaceDE w:val="0"/>
              <w:autoSpaceDN w:val="0"/>
              <w:adjustRightInd w:val="0"/>
              <w:rPr>
                <w:sz w:val="22"/>
                <w:szCs w:val="22"/>
              </w:rPr>
            </w:pPr>
            <w:r w:rsidRPr="0053375F">
              <w:rPr>
                <w:sz w:val="22"/>
                <w:szCs w:val="22"/>
              </w:rPr>
              <w:t>-</w:t>
            </w:r>
          </w:p>
        </w:tc>
        <w:tc>
          <w:tcPr>
            <w:tcW w:w="900" w:type="dxa"/>
          </w:tcPr>
          <w:p w14:paraId="251C5BAF" w14:textId="77777777" w:rsidR="00C45646" w:rsidRPr="0053375F" w:rsidRDefault="00C45646" w:rsidP="002D58E4">
            <w:pPr>
              <w:autoSpaceDE w:val="0"/>
              <w:autoSpaceDN w:val="0"/>
              <w:adjustRightInd w:val="0"/>
              <w:rPr>
                <w:sz w:val="22"/>
                <w:szCs w:val="22"/>
              </w:rPr>
            </w:pPr>
            <w:r w:rsidRPr="0053375F">
              <w:rPr>
                <w:sz w:val="22"/>
                <w:szCs w:val="22"/>
              </w:rPr>
              <w:t>-</w:t>
            </w:r>
          </w:p>
        </w:tc>
      </w:tr>
    </w:tbl>
    <w:p w14:paraId="3990B0D7" w14:textId="77777777" w:rsidR="00C45646" w:rsidRPr="0053375F" w:rsidRDefault="00C45646" w:rsidP="00C45646">
      <w:pPr>
        <w:autoSpaceDE w:val="0"/>
        <w:autoSpaceDN w:val="0"/>
        <w:adjustRightInd w:val="0"/>
        <w:rPr>
          <w:sz w:val="22"/>
          <w:szCs w:val="22"/>
        </w:rPr>
      </w:pPr>
      <w:r w:rsidRPr="0053375F">
        <w:rPr>
          <w:sz w:val="22"/>
          <w:szCs w:val="22"/>
        </w:rPr>
        <w:t>VD = vienkartinė dozė, KD = kartotinė dozė</w:t>
      </w:r>
    </w:p>
    <w:p w14:paraId="7EDCF966" w14:textId="77777777" w:rsidR="00C45646" w:rsidRPr="0053375F" w:rsidRDefault="00C45646" w:rsidP="00C45646">
      <w:pPr>
        <w:autoSpaceDE w:val="0"/>
        <w:autoSpaceDN w:val="0"/>
        <w:adjustRightInd w:val="0"/>
        <w:rPr>
          <w:sz w:val="22"/>
          <w:szCs w:val="22"/>
        </w:rPr>
      </w:pPr>
    </w:p>
    <w:p w14:paraId="7E58C153" w14:textId="77777777" w:rsidR="00C45646" w:rsidRPr="0053375F" w:rsidRDefault="00C45646" w:rsidP="00C45646">
      <w:pPr>
        <w:autoSpaceDE w:val="0"/>
        <w:autoSpaceDN w:val="0"/>
        <w:adjustRightInd w:val="0"/>
        <w:rPr>
          <w:sz w:val="22"/>
          <w:szCs w:val="22"/>
        </w:rPr>
      </w:pPr>
      <w:proofErr w:type="spellStart"/>
      <w:r w:rsidRPr="0053375F">
        <w:rPr>
          <w:sz w:val="22"/>
          <w:szCs w:val="22"/>
        </w:rPr>
        <w:t>Tibolonas</w:t>
      </w:r>
      <w:proofErr w:type="spellEnd"/>
      <w:r w:rsidRPr="0053375F">
        <w:rPr>
          <w:sz w:val="22"/>
          <w:szCs w:val="22"/>
        </w:rPr>
        <w:t xml:space="preserve"> išsiskiria </w:t>
      </w:r>
      <w:proofErr w:type="spellStart"/>
      <w:r w:rsidRPr="0053375F">
        <w:rPr>
          <w:sz w:val="22"/>
          <w:szCs w:val="22"/>
        </w:rPr>
        <w:t>konjuguotų</w:t>
      </w:r>
      <w:proofErr w:type="spellEnd"/>
      <w:r w:rsidRPr="0053375F">
        <w:rPr>
          <w:sz w:val="22"/>
          <w:szCs w:val="22"/>
        </w:rPr>
        <w:t xml:space="preserve"> metabolitų (daugiausiai sulfatų) pavidalu. Daugiausiai preparato išskiria su išmatomis, nedaug - su šlapimu.</w:t>
      </w:r>
    </w:p>
    <w:p w14:paraId="2DFD9659" w14:textId="77777777" w:rsidR="00C45646" w:rsidRPr="0053375F" w:rsidRDefault="00C45646" w:rsidP="00C45646">
      <w:pPr>
        <w:autoSpaceDE w:val="0"/>
        <w:autoSpaceDN w:val="0"/>
        <w:adjustRightInd w:val="0"/>
        <w:rPr>
          <w:sz w:val="22"/>
          <w:szCs w:val="22"/>
        </w:rPr>
      </w:pPr>
    </w:p>
    <w:p w14:paraId="747D9E49" w14:textId="77777777" w:rsidR="00C45646" w:rsidRPr="0053375F" w:rsidRDefault="00C45646" w:rsidP="00C45646">
      <w:pPr>
        <w:outlineLvl w:val="0"/>
        <w:rPr>
          <w:sz w:val="22"/>
          <w:szCs w:val="22"/>
        </w:rPr>
      </w:pPr>
      <w:r w:rsidRPr="0053375F">
        <w:rPr>
          <w:sz w:val="22"/>
          <w:szCs w:val="22"/>
        </w:rPr>
        <w:t xml:space="preserve">Maistas didesnio poveikio </w:t>
      </w:r>
      <w:proofErr w:type="spellStart"/>
      <w:r w:rsidRPr="0053375F">
        <w:rPr>
          <w:sz w:val="22"/>
          <w:szCs w:val="22"/>
        </w:rPr>
        <w:t>tibolono</w:t>
      </w:r>
      <w:proofErr w:type="spellEnd"/>
      <w:r w:rsidRPr="0053375F">
        <w:rPr>
          <w:sz w:val="22"/>
          <w:szCs w:val="22"/>
        </w:rPr>
        <w:t xml:space="preserve"> absorbcijai neturi.</w:t>
      </w:r>
    </w:p>
    <w:p w14:paraId="122E3B14" w14:textId="77777777" w:rsidR="00C45646" w:rsidRPr="0053375F" w:rsidRDefault="00C45646" w:rsidP="00C45646">
      <w:pPr>
        <w:rPr>
          <w:sz w:val="22"/>
          <w:szCs w:val="22"/>
        </w:rPr>
      </w:pPr>
    </w:p>
    <w:p w14:paraId="129D18C1" w14:textId="77777777" w:rsidR="00C45646" w:rsidRPr="0053375F" w:rsidRDefault="00C45646" w:rsidP="00C45646">
      <w:pPr>
        <w:autoSpaceDE w:val="0"/>
        <w:autoSpaceDN w:val="0"/>
        <w:adjustRightInd w:val="0"/>
        <w:outlineLvl w:val="0"/>
        <w:rPr>
          <w:sz w:val="22"/>
          <w:szCs w:val="22"/>
        </w:rPr>
      </w:pPr>
      <w:r w:rsidRPr="0053375F">
        <w:rPr>
          <w:sz w:val="22"/>
          <w:szCs w:val="22"/>
        </w:rPr>
        <w:t xml:space="preserve">Nustatyta, jog </w:t>
      </w:r>
      <w:proofErr w:type="spellStart"/>
      <w:r w:rsidRPr="0053375F">
        <w:rPr>
          <w:sz w:val="22"/>
          <w:szCs w:val="22"/>
        </w:rPr>
        <w:t>tibolono</w:t>
      </w:r>
      <w:proofErr w:type="spellEnd"/>
      <w:r w:rsidRPr="0053375F">
        <w:rPr>
          <w:sz w:val="22"/>
          <w:szCs w:val="22"/>
        </w:rPr>
        <w:t xml:space="preserve"> ir jo metabolitų </w:t>
      </w:r>
      <w:proofErr w:type="spellStart"/>
      <w:r w:rsidRPr="0053375F">
        <w:rPr>
          <w:sz w:val="22"/>
          <w:szCs w:val="22"/>
        </w:rPr>
        <w:t>farmakokinetikos</w:t>
      </w:r>
      <w:proofErr w:type="spellEnd"/>
      <w:r w:rsidRPr="0053375F">
        <w:rPr>
          <w:sz w:val="22"/>
          <w:szCs w:val="22"/>
        </w:rPr>
        <w:t xml:space="preserve"> rodmenys nuo inkstų funkcijos nepriklauso.</w:t>
      </w:r>
    </w:p>
    <w:p w14:paraId="2FCB5737" w14:textId="77777777" w:rsidR="00C45646" w:rsidRPr="0053375F" w:rsidRDefault="00C45646" w:rsidP="00C45646">
      <w:pPr>
        <w:autoSpaceDE w:val="0"/>
        <w:autoSpaceDN w:val="0"/>
        <w:adjustRightInd w:val="0"/>
        <w:rPr>
          <w:sz w:val="22"/>
          <w:szCs w:val="22"/>
        </w:rPr>
      </w:pPr>
    </w:p>
    <w:p w14:paraId="26DDAE2D"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5.3</w:t>
      </w:r>
      <w:r w:rsidRPr="0053375F">
        <w:rPr>
          <w:b/>
          <w:bCs/>
          <w:sz w:val="22"/>
          <w:szCs w:val="22"/>
        </w:rPr>
        <w:tab/>
      </w:r>
      <w:proofErr w:type="spellStart"/>
      <w:r w:rsidRPr="0053375F">
        <w:rPr>
          <w:b/>
          <w:bCs/>
          <w:sz w:val="22"/>
          <w:szCs w:val="22"/>
        </w:rPr>
        <w:t>Ikiklinikinių</w:t>
      </w:r>
      <w:proofErr w:type="spellEnd"/>
      <w:r w:rsidRPr="0053375F">
        <w:rPr>
          <w:b/>
          <w:bCs/>
          <w:sz w:val="22"/>
          <w:szCs w:val="22"/>
        </w:rPr>
        <w:t xml:space="preserve"> saugumo tyrimų duomenys</w:t>
      </w:r>
    </w:p>
    <w:p w14:paraId="216FBBFB" w14:textId="77777777" w:rsidR="00C45646" w:rsidRPr="0053375F" w:rsidRDefault="00C45646" w:rsidP="00C45646">
      <w:pPr>
        <w:autoSpaceDE w:val="0"/>
        <w:autoSpaceDN w:val="0"/>
        <w:adjustRightInd w:val="0"/>
        <w:rPr>
          <w:sz w:val="22"/>
          <w:szCs w:val="22"/>
        </w:rPr>
      </w:pPr>
    </w:p>
    <w:p w14:paraId="568B5889" w14:textId="77777777" w:rsidR="00C45646" w:rsidRPr="0053375F" w:rsidRDefault="00C45646" w:rsidP="00C45646">
      <w:pPr>
        <w:autoSpaceDE w:val="0"/>
        <w:autoSpaceDN w:val="0"/>
        <w:adjustRightInd w:val="0"/>
        <w:rPr>
          <w:sz w:val="22"/>
          <w:szCs w:val="22"/>
        </w:rPr>
      </w:pPr>
      <w:r w:rsidRPr="0053375F">
        <w:rPr>
          <w:sz w:val="22"/>
          <w:szCs w:val="22"/>
        </w:rPr>
        <w:t xml:space="preserve">Tyrimų su gyvūnais metu </w:t>
      </w:r>
      <w:proofErr w:type="spellStart"/>
      <w:r w:rsidRPr="0053375F">
        <w:rPr>
          <w:sz w:val="22"/>
          <w:szCs w:val="22"/>
        </w:rPr>
        <w:t>tibolonas</w:t>
      </w:r>
      <w:proofErr w:type="spellEnd"/>
      <w:r w:rsidRPr="0053375F">
        <w:rPr>
          <w:sz w:val="22"/>
          <w:szCs w:val="22"/>
        </w:rPr>
        <w:t xml:space="preserve"> dėl savo hormoninių savybių nepalankiai veikė vaisingumą, taip pat veikė </w:t>
      </w:r>
      <w:proofErr w:type="spellStart"/>
      <w:r w:rsidRPr="0053375F">
        <w:rPr>
          <w:sz w:val="22"/>
          <w:szCs w:val="22"/>
        </w:rPr>
        <w:t>embriotoksiškai</w:t>
      </w:r>
      <w:proofErr w:type="spellEnd"/>
      <w:r w:rsidRPr="0053375F">
        <w:rPr>
          <w:sz w:val="22"/>
          <w:szCs w:val="22"/>
        </w:rPr>
        <w:t xml:space="preserve">. </w:t>
      </w:r>
      <w:proofErr w:type="spellStart"/>
      <w:r w:rsidRPr="0053375F">
        <w:rPr>
          <w:sz w:val="22"/>
          <w:szCs w:val="22"/>
        </w:rPr>
        <w:t>Tibolonas</w:t>
      </w:r>
      <w:proofErr w:type="spellEnd"/>
      <w:r w:rsidRPr="0053375F">
        <w:rPr>
          <w:sz w:val="22"/>
          <w:szCs w:val="22"/>
        </w:rPr>
        <w:t xml:space="preserve"> žiurkėms ir pelėms </w:t>
      </w:r>
      <w:proofErr w:type="spellStart"/>
      <w:r w:rsidRPr="0053375F">
        <w:rPr>
          <w:sz w:val="22"/>
          <w:szCs w:val="22"/>
        </w:rPr>
        <w:t>teratogeninio</w:t>
      </w:r>
      <w:proofErr w:type="spellEnd"/>
      <w:r w:rsidRPr="0053375F">
        <w:rPr>
          <w:sz w:val="22"/>
          <w:szCs w:val="22"/>
        </w:rPr>
        <w:t xml:space="preserve"> poveikio nedarė. </w:t>
      </w:r>
      <w:proofErr w:type="spellStart"/>
      <w:r w:rsidRPr="0053375F">
        <w:rPr>
          <w:sz w:val="22"/>
          <w:szCs w:val="22"/>
        </w:rPr>
        <w:t>Teratogeninis</w:t>
      </w:r>
      <w:proofErr w:type="spellEnd"/>
      <w:r w:rsidRPr="0053375F">
        <w:rPr>
          <w:sz w:val="22"/>
          <w:szCs w:val="22"/>
        </w:rPr>
        <w:t xml:space="preserve"> poveikis triušiams pasireiškė vartojant artimas </w:t>
      </w:r>
      <w:proofErr w:type="spellStart"/>
      <w:r w:rsidRPr="0053375F">
        <w:rPr>
          <w:sz w:val="22"/>
          <w:szCs w:val="22"/>
        </w:rPr>
        <w:t>abortinėms</w:t>
      </w:r>
      <w:proofErr w:type="spellEnd"/>
      <w:r w:rsidRPr="0053375F">
        <w:rPr>
          <w:sz w:val="22"/>
          <w:szCs w:val="22"/>
        </w:rPr>
        <w:t xml:space="preserve"> dozes (žr. 4.6 skyrių). </w:t>
      </w:r>
      <w:proofErr w:type="spellStart"/>
      <w:r w:rsidRPr="0053375F">
        <w:rPr>
          <w:i/>
          <w:iCs/>
          <w:sz w:val="22"/>
          <w:szCs w:val="22"/>
        </w:rPr>
        <w:t>In</w:t>
      </w:r>
      <w:proofErr w:type="spellEnd"/>
      <w:r w:rsidRPr="0053375F">
        <w:rPr>
          <w:i/>
          <w:iCs/>
          <w:sz w:val="22"/>
          <w:szCs w:val="22"/>
        </w:rPr>
        <w:t xml:space="preserve"> </w:t>
      </w:r>
      <w:proofErr w:type="spellStart"/>
      <w:r w:rsidRPr="0053375F">
        <w:rPr>
          <w:i/>
          <w:iCs/>
          <w:sz w:val="22"/>
          <w:szCs w:val="22"/>
        </w:rPr>
        <w:t>vivo</w:t>
      </w:r>
      <w:proofErr w:type="spellEnd"/>
      <w:r w:rsidRPr="0053375F">
        <w:rPr>
          <w:i/>
          <w:iCs/>
          <w:sz w:val="22"/>
          <w:szCs w:val="22"/>
        </w:rPr>
        <w:t xml:space="preserve"> </w:t>
      </w:r>
      <w:proofErr w:type="spellStart"/>
      <w:r w:rsidRPr="0053375F">
        <w:rPr>
          <w:sz w:val="22"/>
          <w:szCs w:val="22"/>
        </w:rPr>
        <w:t>tibolonas</w:t>
      </w:r>
      <w:proofErr w:type="spellEnd"/>
      <w:r w:rsidRPr="0053375F">
        <w:rPr>
          <w:sz w:val="22"/>
          <w:szCs w:val="22"/>
        </w:rPr>
        <w:t xml:space="preserve"> nėra </w:t>
      </w:r>
      <w:proofErr w:type="spellStart"/>
      <w:r w:rsidRPr="0053375F">
        <w:rPr>
          <w:sz w:val="22"/>
          <w:szCs w:val="22"/>
        </w:rPr>
        <w:t>genotoksiškas</w:t>
      </w:r>
      <w:proofErr w:type="spellEnd"/>
      <w:r w:rsidRPr="0053375F">
        <w:rPr>
          <w:sz w:val="22"/>
          <w:szCs w:val="22"/>
        </w:rPr>
        <w:t xml:space="preserve">. Nors kai kurių štamų žiurkėms ir pelėms stebėtas </w:t>
      </w:r>
      <w:proofErr w:type="spellStart"/>
      <w:r w:rsidRPr="0053375F">
        <w:rPr>
          <w:sz w:val="22"/>
          <w:szCs w:val="22"/>
        </w:rPr>
        <w:t>karcinogeninis</w:t>
      </w:r>
      <w:proofErr w:type="spellEnd"/>
      <w:r w:rsidRPr="0053375F">
        <w:rPr>
          <w:sz w:val="22"/>
          <w:szCs w:val="22"/>
        </w:rPr>
        <w:t xml:space="preserve"> poveikis (šlapimo pūslės navikai), klinikinė šio poveikio reikšmė neaiški.</w:t>
      </w:r>
    </w:p>
    <w:p w14:paraId="3AD05D21" w14:textId="77777777" w:rsidR="00C45646" w:rsidRPr="0053375F" w:rsidRDefault="00C45646" w:rsidP="00C45646">
      <w:pPr>
        <w:autoSpaceDE w:val="0"/>
        <w:autoSpaceDN w:val="0"/>
        <w:adjustRightInd w:val="0"/>
        <w:rPr>
          <w:b/>
          <w:bCs/>
          <w:sz w:val="22"/>
          <w:szCs w:val="22"/>
        </w:rPr>
      </w:pPr>
    </w:p>
    <w:p w14:paraId="6691A143" w14:textId="77777777" w:rsidR="00C45646" w:rsidRPr="0053375F" w:rsidRDefault="00C45646" w:rsidP="00C45646">
      <w:pPr>
        <w:autoSpaceDE w:val="0"/>
        <w:autoSpaceDN w:val="0"/>
        <w:adjustRightInd w:val="0"/>
        <w:rPr>
          <w:b/>
          <w:bCs/>
          <w:sz w:val="22"/>
          <w:szCs w:val="22"/>
        </w:rPr>
      </w:pPr>
    </w:p>
    <w:p w14:paraId="7BE48537" w14:textId="77777777" w:rsidR="00C45646" w:rsidRPr="0053375F" w:rsidRDefault="00C45646" w:rsidP="00C45646">
      <w:pPr>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FARMACINĖ INFORMACIJA</w:t>
      </w:r>
    </w:p>
    <w:p w14:paraId="08D7952E" w14:textId="77777777" w:rsidR="00C45646" w:rsidRPr="0053375F" w:rsidRDefault="00C45646" w:rsidP="00C45646">
      <w:pPr>
        <w:autoSpaceDE w:val="0"/>
        <w:autoSpaceDN w:val="0"/>
        <w:adjustRightInd w:val="0"/>
        <w:rPr>
          <w:b/>
          <w:bCs/>
          <w:sz w:val="22"/>
          <w:szCs w:val="22"/>
        </w:rPr>
      </w:pPr>
    </w:p>
    <w:p w14:paraId="5182C579"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6.1</w:t>
      </w:r>
      <w:r w:rsidRPr="0053375F">
        <w:rPr>
          <w:b/>
          <w:bCs/>
          <w:sz w:val="22"/>
          <w:szCs w:val="22"/>
        </w:rPr>
        <w:tab/>
        <w:t>Pagalbinių medžiagų sąrašas</w:t>
      </w:r>
    </w:p>
    <w:p w14:paraId="20DEA2E7" w14:textId="77777777" w:rsidR="00C45646" w:rsidRPr="0053375F" w:rsidRDefault="00C45646" w:rsidP="00C45646">
      <w:pPr>
        <w:autoSpaceDE w:val="0"/>
        <w:autoSpaceDN w:val="0"/>
        <w:adjustRightInd w:val="0"/>
        <w:rPr>
          <w:sz w:val="22"/>
          <w:szCs w:val="22"/>
        </w:rPr>
      </w:pPr>
    </w:p>
    <w:p w14:paraId="181C39A2" w14:textId="77777777" w:rsidR="00C45646" w:rsidRPr="0053375F" w:rsidRDefault="00C45646" w:rsidP="00C45646">
      <w:pPr>
        <w:autoSpaceDE w:val="0"/>
        <w:autoSpaceDN w:val="0"/>
        <w:adjustRightInd w:val="0"/>
        <w:outlineLvl w:val="0"/>
        <w:rPr>
          <w:sz w:val="22"/>
          <w:szCs w:val="22"/>
        </w:rPr>
      </w:pPr>
      <w:r w:rsidRPr="0053375F">
        <w:rPr>
          <w:sz w:val="22"/>
          <w:szCs w:val="22"/>
        </w:rPr>
        <w:t>Bulvių krakmolas</w:t>
      </w:r>
    </w:p>
    <w:p w14:paraId="0DDBBACB" w14:textId="77777777" w:rsidR="00C45646" w:rsidRPr="0053375F" w:rsidRDefault="00C45646" w:rsidP="00C45646">
      <w:pPr>
        <w:autoSpaceDE w:val="0"/>
        <w:autoSpaceDN w:val="0"/>
        <w:adjustRightInd w:val="0"/>
        <w:rPr>
          <w:sz w:val="22"/>
          <w:szCs w:val="22"/>
        </w:rPr>
      </w:pPr>
      <w:r w:rsidRPr="0053375F">
        <w:rPr>
          <w:sz w:val="22"/>
          <w:szCs w:val="22"/>
        </w:rPr>
        <w:t xml:space="preserve">Magnio </w:t>
      </w:r>
      <w:proofErr w:type="spellStart"/>
      <w:r w:rsidRPr="0053375F">
        <w:rPr>
          <w:sz w:val="22"/>
          <w:szCs w:val="22"/>
        </w:rPr>
        <w:t>stearatas</w:t>
      </w:r>
      <w:proofErr w:type="spellEnd"/>
    </w:p>
    <w:p w14:paraId="4199C767" w14:textId="77777777" w:rsidR="00C45646" w:rsidRPr="0053375F" w:rsidRDefault="00C45646" w:rsidP="00C45646">
      <w:pPr>
        <w:autoSpaceDE w:val="0"/>
        <w:autoSpaceDN w:val="0"/>
        <w:adjustRightInd w:val="0"/>
        <w:rPr>
          <w:sz w:val="22"/>
          <w:szCs w:val="22"/>
        </w:rPr>
      </w:pPr>
      <w:proofErr w:type="spellStart"/>
      <w:r w:rsidRPr="0053375F">
        <w:rPr>
          <w:sz w:val="22"/>
          <w:szCs w:val="22"/>
        </w:rPr>
        <w:t>Askorbilo</w:t>
      </w:r>
      <w:proofErr w:type="spellEnd"/>
      <w:r w:rsidRPr="0053375F">
        <w:rPr>
          <w:sz w:val="22"/>
          <w:szCs w:val="22"/>
        </w:rPr>
        <w:t xml:space="preserve"> </w:t>
      </w:r>
      <w:proofErr w:type="spellStart"/>
      <w:r w:rsidRPr="0053375F">
        <w:rPr>
          <w:sz w:val="22"/>
          <w:szCs w:val="22"/>
        </w:rPr>
        <w:t>palmitatas</w:t>
      </w:r>
      <w:proofErr w:type="spellEnd"/>
    </w:p>
    <w:p w14:paraId="43838319" w14:textId="77777777" w:rsidR="00C45646" w:rsidRPr="0053375F" w:rsidRDefault="00C45646" w:rsidP="00C45646">
      <w:pPr>
        <w:autoSpaceDE w:val="0"/>
        <w:autoSpaceDN w:val="0"/>
        <w:adjustRightInd w:val="0"/>
        <w:rPr>
          <w:sz w:val="22"/>
          <w:szCs w:val="22"/>
        </w:rPr>
      </w:pPr>
      <w:r w:rsidRPr="0053375F">
        <w:rPr>
          <w:sz w:val="22"/>
          <w:szCs w:val="22"/>
        </w:rPr>
        <w:t>Laktozė</w:t>
      </w:r>
    </w:p>
    <w:p w14:paraId="27493744" w14:textId="77777777" w:rsidR="00C45646" w:rsidRPr="0053375F" w:rsidRDefault="00C45646" w:rsidP="00C45646">
      <w:pPr>
        <w:autoSpaceDE w:val="0"/>
        <w:autoSpaceDN w:val="0"/>
        <w:adjustRightInd w:val="0"/>
        <w:rPr>
          <w:b/>
          <w:bCs/>
          <w:sz w:val="22"/>
          <w:szCs w:val="22"/>
        </w:rPr>
      </w:pPr>
    </w:p>
    <w:p w14:paraId="3ED9F5BC"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6.2</w:t>
      </w:r>
      <w:r w:rsidRPr="0053375F">
        <w:rPr>
          <w:b/>
          <w:bCs/>
          <w:sz w:val="22"/>
          <w:szCs w:val="22"/>
        </w:rPr>
        <w:tab/>
        <w:t>Nesuderinamumas</w:t>
      </w:r>
    </w:p>
    <w:p w14:paraId="4AB4F275" w14:textId="77777777" w:rsidR="00C45646" w:rsidRPr="0053375F" w:rsidRDefault="00C45646" w:rsidP="00C45646">
      <w:pPr>
        <w:autoSpaceDE w:val="0"/>
        <w:autoSpaceDN w:val="0"/>
        <w:adjustRightInd w:val="0"/>
        <w:rPr>
          <w:sz w:val="22"/>
          <w:szCs w:val="22"/>
        </w:rPr>
      </w:pPr>
    </w:p>
    <w:p w14:paraId="1AC63F15" w14:textId="77777777" w:rsidR="00C45646" w:rsidRPr="0053375F" w:rsidRDefault="00C45646" w:rsidP="00C45646">
      <w:pPr>
        <w:autoSpaceDE w:val="0"/>
        <w:autoSpaceDN w:val="0"/>
        <w:adjustRightInd w:val="0"/>
        <w:outlineLvl w:val="0"/>
        <w:rPr>
          <w:sz w:val="22"/>
          <w:szCs w:val="22"/>
        </w:rPr>
      </w:pPr>
      <w:r w:rsidRPr="0053375F">
        <w:rPr>
          <w:sz w:val="22"/>
          <w:szCs w:val="22"/>
        </w:rPr>
        <w:t>Duomenys nebūtini.</w:t>
      </w:r>
    </w:p>
    <w:p w14:paraId="426ED488" w14:textId="77777777" w:rsidR="00C45646" w:rsidRPr="0053375F" w:rsidRDefault="00C45646" w:rsidP="00C45646">
      <w:pPr>
        <w:autoSpaceDE w:val="0"/>
        <w:autoSpaceDN w:val="0"/>
        <w:adjustRightInd w:val="0"/>
        <w:rPr>
          <w:b/>
          <w:bCs/>
          <w:sz w:val="22"/>
          <w:szCs w:val="22"/>
        </w:rPr>
      </w:pPr>
    </w:p>
    <w:p w14:paraId="30DC3F52"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6.3</w:t>
      </w:r>
      <w:r w:rsidRPr="0053375F">
        <w:rPr>
          <w:b/>
          <w:bCs/>
          <w:sz w:val="22"/>
          <w:szCs w:val="22"/>
        </w:rPr>
        <w:tab/>
        <w:t>Tinkamumo laikas</w:t>
      </w:r>
    </w:p>
    <w:p w14:paraId="0C76056F" w14:textId="77777777" w:rsidR="00C45646" w:rsidRPr="0053375F" w:rsidRDefault="00C45646" w:rsidP="00C45646">
      <w:pPr>
        <w:rPr>
          <w:sz w:val="22"/>
          <w:szCs w:val="22"/>
        </w:rPr>
      </w:pPr>
    </w:p>
    <w:p w14:paraId="26BB223B" w14:textId="77777777" w:rsidR="00C45646" w:rsidRPr="0053375F" w:rsidRDefault="00C45646" w:rsidP="00C45646">
      <w:pPr>
        <w:autoSpaceDE w:val="0"/>
        <w:autoSpaceDN w:val="0"/>
        <w:adjustRightInd w:val="0"/>
        <w:rPr>
          <w:sz w:val="22"/>
          <w:szCs w:val="22"/>
        </w:rPr>
      </w:pPr>
      <w:r w:rsidRPr="0053375F">
        <w:rPr>
          <w:sz w:val="22"/>
          <w:szCs w:val="22"/>
        </w:rPr>
        <w:t>2 metai.</w:t>
      </w:r>
    </w:p>
    <w:p w14:paraId="741D0008" w14:textId="77777777" w:rsidR="00C45646" w:rsidRPr="0053375F" w:rsidRDefault="00C45646" w:rsidP="00C45646">
      <w:pPr>
        <w:autoSpaceDE w:val="0"/>
        <w:autoSpaceDN w:val="0"/>
        <w:adjustRightInd w:val="0"/>
        <w:rPr>
          <w:b/>
          <w:bCs/>
          <w:sz w:val="22"/>
          <w:szCs w:val="22"/>
        </w:rPr>
      </w:pPr>
    </w:p>
    <w:p w14:paraId="17972181"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6.4</w:t>
      </w:r>
      <w:r w:rsidRPr="0053375F">
        <w:rPr>
          <w:b/>
          <w:bCs/>
          <w:sz w:val="22"/>
          <w:szCs w:val="22"/>
        </w:rPr>
        <w:tab/>
        <w:t>Specialios laikymo sąlygos</w:t>
      </w:r>
    </w:p>
    <w:p w14:paraId="1BED093D" w14:textId="77777777" w:rsidR="00C45646" w:rsidRPr="0053375F" w:rsidRDefault="00C45646" w:rsidP="00C45646">
      <w:pPr>
        <w:autoSpaceDE w:val="0"/>
        <w:autoSpaceDN w:val="0"/>
        <w:adjustRightInd w:val="0"/>
        <w:rPr>
          <w:sz w:val="22"/>
          <w:szCs w:val="22"/>
        </w:rPr>
      </w:pPr>
    </w:p>
    <w:p w14:paraId="6F88258D" w14:textId="77777777" w:rsidR="00C45646" w:rsidRPr="0053375F" w:rsidRDefault="00C45646" w:rsidP="00C45646">
      <w:pPr>
        <w:autoSpaceDE w:val="0"/>
        <w:autoSpaceDN w:val="0"/>
        <w:adjustRightInd w:val="0"/>
        <w:outlineLvl w:val="0"/>
        <w:rPr>
          <w:sz w:val="22"/>
          <w:szCs w:val="22"/>
        </w:rPr>
      </w:pPr>
      <w:r w:rsidRPr="0053375F">
        <w:rPr>
          <w:sz w:val="22"/>
          <w:szCs w:val="22"/>
        </w:rPr>
        <w:t>Laikyti gamintojo pakuotėje. Laikyti ne aukštesnėje kaip 25</w:t>
      </w:r>
      <w:r w:rsidR="00FF1F40">
        <w:rPr>
          <w:sz w:val="22"/>
          <w:szCs w:val="22"/>
        </w:rPr>
        <w:t> </w:t>
      </w:r>
      <w:r w:rsidRPr="0053375F">
        <w:rPr>
          <w:sz w:val="22"/>
          <w:szCs w:val="22"/>
        </w:rPr>
        <w:sym w:font="Symbol" w:char="F0B0"/>
      </w:r>
      <w:r w:rsidRPr="0053375F">
        <w:rPr>
          <w:sz w:val="22"/>
          <w:szCs w:val="22"/>
        </w:rPr>
        <w:t>C temperatūroje.</w:t>
      </w:r>
    </w:p>
    <w:p w14:paraId="55157B7F" w14:textId="77777777" w:rsidR="00C45646" w:rsidRPr="0053375F" w:rsidRDefault="00C45646" w:rsidP="00C45646">
      <w:pPr>
        <w:autoSpaceDE w:val="0"/>
        <w:autoSpaceDN w:val="0"/>
        <w:adjustRightInd w:val="0"/>
        <w:rPr>
          <w:b/>
          <w:bCs/>
          <w:sz w:val="22"/>
          <w:szCs w:val="22"/>
        </w:rPr>
      </w:pPr>
    </w:p>
    <w:p w14:paraId="342F98EB" w14:textId="77777777" w:rsidR="00C45646" w:rsidRPr="0053375F" w:rsidRDefault="00C45646">
      <w:pPr>
        <w:autoSpaceDE w:val="0"/>
        <w:autoSpaceDN w:val="0"/>
        <w:adjustRightInd w:val="0"/>
        <w:ind w:left="540" w:hanging="540"/>
        <w:outlineLvl w:val="0"/>
        <w:rPr>
          <w:b/>
          <w:bCs/>
          <w:sz w:val="22"/>
          <w:szCs w:val="22"/>
        </w:rPr>
      </w:pPr>
      <w:r w:rsidRPr="0053375F">
        <w:rPr>
          <w:b/>
          <w:bCs/>
          <w:sz w:val="22"/>
          <w:szCs w:val="22"/>
        </w:rPr>
        <w:t>6.5</w:t>
      </w:r>
      <w:r w:rsidRPr="0053375F">
        <w:rPr>
          <w:b/>
          <w:bCs/>
          <w:sz w:val="22"/>
          <w:szCs w:val="22"/>
        </w:rPr>
        <w:tab/>
      </w:r>
      <w:proofErr w:type="spellStart"/>
      <w:r w:rsidR="00CA5A5C" w:rsidRPr="0053375F">
        <w:rPr>
          <w:b/>
          <w:bCs/>
          <w:sz w:val="22"/>
          <w:szCs w:val="22"/>
        </w:rPr>
        <w:t>Talpyklės</w:t>
      </w:r>
      <w:proofErr w:type="spellEnd"/>
      <w:r w:rsidR="00CA5A5C" w:rsidRPr="0053375F">
        <w:rPr>
          <w:b/>
          <w:bCs/>
          <w:sz w:val="22"/>
          <w:szCs w:val="22"/>
        </w:rPr>
        <w:t xml:space="preserve"> pobūdis </w:t>
      </w:r>
      <w:r w:rsidRPr="0053375F">
        <w:rPr>
          <w:b/>
          <w:bCs/>
          <w:sz w:val="22"/>
          <w:szCs w:val="22"/>
        </w:rPr>
        <w:t>ir jos turinys</w:t>
      </w:r>
    </w:p>
    <w:p w14:paraId="210A4AC9" w14:textId="77777777" w:rsidR="00C45646" w:rsidRPr="0053375F" w:rsidRDefault="00C45646" w:rsidP="00C45646">
      <w:pPr>
        <w:autoSpaceDE w:val="0"/>
        <w:autoSpaceDN w:val="0"/>
        <w:adjustRightInd w:val="0"/>
        <w:rPr>
          <w:sz w:val="22"/>
          <w:szCs w:val="22"/>
        </w:rPr>
      </w:pPr>
    </w:p>
    <w:p w14:paraId="22E3CB93" w14:textId="77777777" w:rsidR="00C45646" w:rsidRPr="0053375F" w:rsidRDefault="00C45646" w:rsidP="00B800C1">
      <w:pPr>
        <w:rPr>
          <w:sz w:val="22"/>
          <w:szCs w:val="22"/>
        </w:rPr>
      </w:pPr>
      <w:r w:rsidRPr="0053375F">
        <w:rPr>
          <w:sz w:val="22"/>
          <w:szCs w:val="22"/>
        </w:rPr>
        <w:t xml:space="preserve">Permatomos </w:t>
      </w:r>
      <w:proofErr w:type="spellStart"/>
      <w:r w:rsidRPr="0053375F">
        <w:rPr>
          <w:sz w:val="22"/>
          <w:szCs w:val="22"/>
        </w:rPr>
        <w:t>polivinilo</w:t>
      </w:r>
      <w:proofErr w:type="spellEnd"/>
      <w:r w:rsidRPr="0053375F">
        <w:rPr>
          <w:sz w:val="22"/>
          <w:szCs w:val="22"/>
        </w:rPr>
        <w:t xml:space="preserve"> chlorido įspaudžiamos lizdinės plokštelės, kuri</w:t>
      </w:r>
      <w:r w:rsidR="00B800C1">
        <w:rPr>
          <w:sz w:val="22"/>
          <w:szCs w:val="22"/>
        </w:rPr>
        <w:t>ų</w:t>
      </w:r>
      <w:r w:rsidRPr="0053375F">
        <w:rPr>
          <w:sz w:val="22"/>
          <w:szCs w:val="22"/>
        </w:rPr>
        <w:t xml:space="preserve"> šonuose, kontakto su tabletėmis vietoje, yra karščiu užklijuot</w:t>
      </w:r>
      <w:r w:rsidR="00660548">
        <w:rPr>
          <w:sz w:val="22"/>
          <w:szCs w:val="22"/>
        </w:rPr>
        <w:t>a</w:t>
      </w:r>
      <w:r w:rsidRPr="0053375F">
        <w:rPr>
          <w:sz w:val="22"/>
          <w:szCs w:val="22"/>
        </w:rPr>
        <w:t xml:space="preserve"> spalvota aliuminio folija. Kartono dėžutėje yra 28 tabletės (viena arba 3 lizdinės plokštelės).</w:t>
      </w:r>
    </w:p>
    <w:p w14:paraId="180595FB" w14:textId="77777777" w:rsidR="00C45646" w:rsidRPr="0053375F" w:rsidRDefault="00C45646" w:rsidP="00C45646">
      <w:pPr>
        <w:autoSpaceDE w:val="0"/>
        <w:autoSpaceDN w:val="0"/>
        <w:adjustRightInd w:val="0"/>
        <w:rPr>
          <w:b/>
          <w:bCs/>
          <w:sz w:val="22"/>
          <w:szCs w:val="22"/>
        </w:rPr>
      </w:pPr>
    </w:p>
    <w:p w14:paraId="29576DEA" w14:textId="77777777" w:rsidR="00C45646" w:rsidRPr="0053375F" w:rsidRDefault="00C45646" w:rsidP="00C45646">
      <w:pPr>
        <w:autoSpaceDE w:val="0"/>
        <w:autoSpaceDN w:val="0"/>
        <w:adjustRightInd w:val="0"/>
        <w:ind w:left="540" w:hanging="540"/>
        <w:outlineLvl w:val="0"/>
        <w:rPr>
          <w:b/>
          <w:bCs/>
          <w:sz w:val="22"/>
          <w:szCs w:val="22"/>
        </w:rPr>
      </w:pPr>
      <w:r w:rsidRPr="0053375F">
        <w:rPr>
          <w:b/>
          <w:bCs/>
          <w:sz w:val="22"/>
          <w:szCs w:val="22"/>
        </w:rPr>
        <w:t>6.6</w:t>
      </w:r>
      <w:r w:rsidRPr="0053375F">
        <w:rPr>
          <w:b/>
          <w:bCs/>
          <w:sz w:val="22"/>
          <w:szCs w:val="22"/>
        </w:rPr>
        <w:tab/>
      </w:r>
      <w:r w:rsidRPr="0053375F">
        <w:rPr>
          <w:b/>
          <w:sz w:val="22"/>
          <w:szCs w:val="22"/>
        </w:rPr>
        <w:t>Specialūs reikalavimai atliekoms tvarkyti</w:t>
      </w:r>
    </w:p>
    <w:p w14:paraId="1A207889" w14:textId="77777777" w:rsidR="00C45646" w:rsidRPr="0053375F" w:rsidRDefault="00C45646" w:rsidP="00C45646">
      <w:pPr>
        <w:autoSpaceDE w:val="0"/>
        <w:autoSpaceDN w:val="0"/>
        <w:adjustRightInd w:val="0"/>
        <w:rPr>
          <w:sz w:val="22"/>
          <w:szCs w:val="22"/>
        </w:rPr>
      </w:pPr>
    </w:p>
    <w:p w14:paraId="6ABCE108" w14:textId="77777777" w:rsidR="00C45646" w:rsidRPr="0053375F" w:rsidRDefault="00C45646" w:rsidP="00C45646">
      <w:pPr>
        <w:autoSpaceDE w:val="0"/>
        <w:autoSpaceDN w:val="0"/>
        <w:adjustRightInd w:val="0"/>
        <w:outlineLvl w:val="0"/>
        <w:rPr>
          <w:sz w:val="22"/>
          <w:szCs w:val="22"/>
        </w:rPr>
      </w:pPr>
      <w:r w:rsidRPr="0053375F">
        <w:rPr>
          <w:sz w:val="22"/>
          <w:szCs w:val="22"/>
        </w:rPr>
        <w:t>Specialių reikalavimų nėra.</w:t>
      </w:r>
    </w:p>
    <w:p w14:paraId="6B11D1C3" w14:textId="77777777" w:rsidR="00C45646" w:rsidRPr="0053375F" w:rsidRDefault="00C45646" w:rsidP="00C45646">
      <w:pPr>
        <w:autoSpaceDE w:val="0"/>
        <w:autoSpaceDN w:val="0"/>
        <w:adjustRightInd w:val="0"/>
        <w:rPr>
          <w:sz w:val="22"/>
          <w:szCs w:val="22"/>
        </w:rPr>
      </w:pPr>
    </w:p>
    <w:p w14:paraId="25A90839" w14:textId="77777777" w:rsidR="00C45646" w:rsidRPr="0053375F" w:rsidRDefault="00C45646" w:rsidP="00C45646">
      <w:pPr>
        <w:autoSpaceDE w:val="0"/>
        <w:autoSpaceDN w:val="0"/>
        <w:adjustRightInd w:val="0"/>
        <w:rPr>
          <w:sz w:val="22"/>
          <w:szCs w:val="22"/>
        </w:rPr>
      </w:pPr>
    </w:p>
    <w:p w14:paraId="60AD3936" w14:textId="77777777" w:rsidR="00C45646" w:rsidRPr="0053375F" w:rsidRDefault="003E47A2" w:rsidP="00C45646">
      <w:pPr>
        <w:numPr>
          <w:ilvl w:val="0"/>
          <w:numId w:val="3"/>
        </w:numPr>
        <w:tabs>
          <w:tab w:val="clear" w:pos="360"/>
          <w:tab w:val="num" w:pos="540"/>
        </w:tabs>
        <w:autoSpaceDE w:val="0"/>
        <w:autoSpaceDN w:val="0"/>
        <w:adjustRightInd w:val="0"/>
        <w:ind w:left="540" w:hanging="540"/>
        <w:rPr>
          <w:b/>
          <w:bCs/>
          <w:sz w:val="22"/>
          <w:szCs w:val="22"/>
        </w:rPr>
      </w:pPr>
      <w:r w:rsidRPr="0053375F">
        <w:rPr>
          <w:b/>
          <w:sz w:val="22"/>
          <w:szCs w:val="22"/>
        </w:rPr>
        <w:t>REGISTRUOTOJAS</w:t>
      </w:r>
    </w:p>
    <w:p w14:paraId="7078C9E5" w14:textId="77777777" w:rsidR="00C45646" w:rsidRPr="0053375F" w:rsidRDefault="00C45646" w:rsidP="00C45646">
      <w:pPr>
        <w:autoSpaceDE w:val="0"/>
        <w:autoSpaceDN w:val="0"/>
        <w:adjustRightInd w:val="0"/>
        <w:rPr>
          <w:sz w:val="22"/>
          <w:szCs w:val="22"/>
        </w:rPr>
      </w:pPr>
    </w:p>
    <w:p w14:paraId="29AEA389" w14:textId="77777777" w:rsidR="000314FD" w:rsidRPr="00E844C6" w:rsidRDefault="000314FD" w:rsidP="000314FD">
      <w:pPr>
        <w:rPr>
          <w:sz w:val="22"/>
          <w:szCs w:val="22"/>
        </w:rPr>
      </w:pPr>
      <w:r w:rsidRPr="00E844C6">
        <w:rPr>
          <w:sz w:val="22"/>
          <w:szCs w:val="22"/>
        </w:rPr>
        <w:t xml:space="preserve">N.V. </w:t>
      </w:r>
      <w:proofErr w:type="spellStart"/>
      <w:r w:rsidRPr="00E844C6">
        <w:rPr>
          <w:sz w:val="22"/>
          <w:szCs w:val="22"/>
        </w:rPr>
        <w:t>Organon</w:t>
      </w:r>
      <w:proofErr w:type="spellEnd"/>
      <w:r w:rsidRPr="00E844C6">
        <w:rPr>
          <w:sz w:val="22"/>
          <w:szCs w:val="22"/>
        </w:rPr>
        <w:t xml:space="preserve"> </w:t>
      </w:r>
    </w:p>
    <w:p w14:paraId="2BC49AA2" w14:textId="77777777" w:rsidR="000314FD" w:rsidRPr="00E844C6" w:rsidRDefault="000314FD" w:rsidP="000314FD">
      <w:pPr>
        <w:rPr>
          <w:sz w:val="22"/>
          <w:szCs w:val="22"/>
        </w:rPr>
      </w:pPr>
      <w:proofErr w:type="spellStart"/>
      <w:r w:rsidRPr="00E844C6">
        <w:rPr>
          <w:sz w:val="22"/>
          <w:szCs w:val="22"/>
        </w:rPr>
        <w:t>Kloosterstraat</w:t>
      </w:r>
      <w:proofErr w:type="spellEnd"/>
      <w:r w:rsidRPr="00E844C6">
        <w:rPr>
          <w:sz w:val="22"/>
          <w:szCs w:val="22"/>
        </w:rPr>
        <w:t xml:space="preserve"> 6 </w:t>
      </w:r>
    </w:p>
    <w:p w14:paraId="306D06DA" w14:textId="77777777" w:rsidR="000314FD" w:rsidRPr="00E844C6" w:rsidRDefault="000314FD" w:rsidP="000314FD">
      <w:pPr>
        <w:rPr>
          <w:sz w:val="22"/>
          <w:szCs w:val="22"/>
        </w:rPr>
      </w:pPr>
      <w:r w:rsidRPr="00E844C6">
        <w:rPr>
          <w:sz w:val="22"/>
          <w:szCs w:val="22"/>
        </w:rPr>
        <w:t xml:space="preserve">5349 AB </w:t>
      </w:r>
      <w:proofErr w:type="spellStart"/>
      <w:r w:rsidRPr="00E844C6">
        <w:rPr>
          <w:sz w:val="22"/>
          <w:szCs w:val="22"/>
        </w:rPr>
        <w:t>Oss</w:t>
      </w:r>
      <w:proofErr w:type="spellEnd"/>
      <w:r w:rsidRPr="00E844C6">
        <w:rPr>
          <w:sz w:val="22"/>
          <w:szCs w:val="22"/>
        </w:rPr>
        <w:t xml:space="preserve"> </w:t>
      </w:r>
    </w:p>
    <w:p w14:paraId="61ACB668" w14:textId="77777777" w:rsidR="000314FD" w:rsidRPr="00E844C6" w:rsidRDefault="000314FD" w:rsidP="000314FD">
      <w:pPr>
        <w:rPr>
          <w:sz w:val="22"/>
          <w:szCs w:val="22"/>
          <w:lang w:eastAsia="lt-LT"/>
        </w:rPr>
      </w:pPr>
      <w:r w:rsidRPr="00E844C6">
        <w:rPr>
          <w:sz w:val="22"/>
          <w:szCs w:val="22"/>
        </w:rPr>
        <w:t>Nyderlandai</w:t>
      </w:r>
    </w:p>
    <w:p w14:paraId="3815AA03" w14:textId="77777777" w:rsidR="00C45646" w:rsidRPr="0053375F" w:rsidRDefault="00C45646" w:rsidP="00C45646">
      <w:pPr>
        <w:autoSpaceDE w:val="0"/>
        <w:autoSpaceDN w:val="0"/>
        <w:adjustRightInd w:val="0"/>
        <w:rPr>
          <w:sz w:val="22"/>
          <w:szCs w:val="22"/>
        </w:rPr>
      </w:pPr>
    </w:p>
    <w:p w14:paraId="32280DE2" w14:textId="77777777" w:rsidR="00C45646" w:rsidRPr="0053375F" w:rsidRDefault="00C45646" w:rsidP="00C45646">
      <w:pPr>
        <w:autoSpaceDE w:val="0"/>
        <w:autoSpaceDN w:val="0"/>
        <w:adjustRightInd w:val="0"/>
        <w:rPr>
          <w:b/>
          <w:bCs/>
          <w:sz w:val="22"/>
          <w:szCs w:val="22"/>
        </w:rPr>
      </w:pPr>
    </w:p>
    <w:p w14:paraId="45A953F1" w14:textId="77777777" w:rsidR="00C45646" w:rsidRPr="0053375F" w:rsidRDefault="003E47A2" w:rsidP="00C45646">
      <w:pPr>
        <w:numPr>
          <w:ilvl w:val="0"/>
          <w:numId w:val="3"/>
        </w:numPr>
        <w:tabs>
          <w:tab w:val="clear" w:pos="360"/>
          <w:tab w:val="num" w:pos="540"/>
        </w:tabs>
        <w:autoSpaceDE w:val="0"/>
        <w:autoSpaceDN w:val="0"/>
        <w:adjustRightInd w:val="0"/>
        <w:ind w:left="540" w:hanging="540"/>
        <w:rPr>
          <w:sz w:val="22"/>
          <w:szCs w:val="22"/>
        </w:rPr>
      </w:pPr>
      <w:r w:rsidRPr="0053375F">
        <w:rPr>
          <w:b/>
          <w:sz w:val="22"/>
          <w:szCs w:val="22"/>
        </w:rPr>
        <w:t>REGISTRACIJOS PAŽYMĖJIMO NUMERIS</w:t>
      </w:r>
    </w:p>
    <w:p w14:paraId="0C063146" w14:textId="77777777" w:rsidR="00C45646" w:rsidRPr="0053375F" w:rsidRDefault="00C45646" w:rsidP="00C45646">
      <w:pPr>
        <w:autoSpaceDE w:val="0"/>
        <w:autoSpaceDN w:val="0"/>
        <w:adjustRightInd w:val="0"/>
        <w:rPr>
          <w:sz w:val="22"/>
          <w:szCs w:val="22"/>
        </w:rPr>
      </w:pPr>
    </w:p>
    <w:p w14:paraId="649D1368" w14:textId="77777777" w:rsidR="00C45646" w:rsidRPr="0053375F" w:rsidRDefault="00C45646" w:rsidP="00C45646">
      <w:pPr>
        <w:autoSpaceDE w:val="0"/>
        <w:autoSpaceDN w:val="0"/>
        <w:adjustRightInd w:val="0"/>
        <w:rPr>
          <w:sz w:val="22"/>
          <w:szCs w:val="22"/>
        </w:rPr>
      </w:pPr>
      <w:r w:rsidRPr="0053375F">
        <w:rPr>
          <w:sz w:val="22"/>
          <w:szCs w:val="22"/>
        </w:rPr>
        <w:t>LT/1/98/2570/001</w:t>
      </w:r>
    </w:p>
    <w:p w14:paraId="78FE79D5" w14:textId="77777777" w:rsidR="00C45646" w:rsidRPr="0053375F" w:rsidRDefault="00C45646" w:rsidP="00C45646">
      <w:pPr>
        <w:autoSpaceDE w:val="0"/>
        <w:autoSpaceDN w:val="0"/>
        <w:adjustRightInd w:val="0"/>
        <w:rPr>
          <w:sz w:val="22"/>
          <w:szCs w:val="22"/>
        </w:rPr>
      </w:pPr>
    </w:p>
    <w:p w14:paraId="5594E6A6" w14:textId="77777777" w:rsidR="00C45646" w:rsidRPr="0053375F" w:rsidRDefault="00C45646" w:rsidP="00C45646">
      <w:pPr>
        <w:autoSpaceDE w:val="0"/>
        <w:autoSpaceDN w:val="0"/>
        <w:adjustRightInd w:val="0"/>
        <w:rPr>
          <w:b/>
          <w:bCs/>
          <w:sz w:val="22"/>
          <w:szCs w:val="22"/>
        </w:rPr>
      </w:pPr>
    </w:p>
    <w:p w14:paraId="4C615B53" w14:textId="77777777" w:rsidR="00C45646" w:rsidRPr="0053375F" w:rsidRDefault="00911851" w:rsidP="00C45646">
      <w:pPr>
        <w:keepNext/>
        <w:keepLines/>
        <w:numPr>
          <w:ilvl w:val="0"/>
          <w:numId w:val="3"/>
        </w:numPr>
        <w:tabs>
          <w:tab w:val="clear" w:pos="360"/>
        </w:tabs>
        <w:ind w:left="567" w:hanging="567"/>
        <w:outlineLvl w:val="2"/>
        <w:rPr>
          <w:b/>
          <w:kern w:val="28"/>
          <w:sz w:val="22"/>
          <w:szCs w:val="22"/>
        </w:rPr>
      </w:pPr>
      <w:r w:rsidRPr="0053375F">
        <w:rPr>
          <w:b/>
          <w:kern w:val="28"/>
          <w:sz w:val="22"/>
          <w:szCs w:val="22"/>
        </w:rPr>
        <w:t>REGISTRAVIMO / PERREGISTRAVIMO</w:t>
      </w:r>
      <w:r w:rsidR="00C45646" w:rsidRPr="0053375F">
        <w:rPr>
          <w:b/>
          <w:kern w:val="28"/>
          <w:sz w:val="22"/>
          <w:szCs w:val="22"/>
        </w:rPr>
        <w:t xml:space="preserve"> DATA</w:t>
      </w:r>
    </w:p>
    <w:p w14:paraId="4DF96401" w14:textId="77777777" w:rsidR="00C45646" w:rsidRPr="0053375F" w:rsidRDefault="00C45646" w:rsidP="00186A14">
      <w:pPr>
        <w:keepNext/>
        <w:rPr>
          <w:rFonts w:eastAsia="SimSun"/>
          <w:snapToGrid w:val="0"/>
          <w:sz w:val="22"/>
          <w:szCs w:val="22"/>
          <w:lang w:eastAsia="zh-CN"/>
        </w:rPr>
      </w:pPr>
    </w:p>
    <w:p w14:paraId="737E66EE" w14:textId="77777777" w:rsidR="00FF2B51" w:rsidRDefault="00911851" w:rsidP="00186A14">
      <w:pPr>
        <w:keepNext/>
        <w:autoSpaceDE w:val="0"/>
        <w:autoSpaceDN w:val="0"/>
        <w:adjustRightInd w:val="0"/>
        <w:rPr>
          <w:rFonts w:eastAsia="SimSun"/>
          <w:snapToGrid w:val="0"/>
          <w:sz w:val="22"/>
          <w:szCs w:val="22"/>
          <w:lang w:eastAsia="zh-CN"/>
        </w:rPr>
      </w:pPr>
      <w:r w:rsidRPr="0053375F">
        <w:rPr>
          <w:rFonts w:eastAsia="SimSun"/>
          <w:snapToGrid w:val="0"/>
          <w:sz w:val="22"/>
          <w:szCs w:val="22"/>
          <w:lang w:eastAsia="zh-CN"/>
        </w:rPr>
        <w:t xml:space="preserve">Registravimo data 1988 m. kovo mėn. </w:t>
      </w:r>
      <w:r w:rsidR="00F83E3A" w:rsidRPr="0053375F">
        <w:rPr>
          <w:rFonts w:eastAsia="SimSun"/>
          <w:snapToGrid w:val="0"/>
          <w:sz w:val="22"/>
          <w:szCs w:val="22"/>
          <w:lang w:eastAsia="zh-CN"/>
        </w:rPr>
        <w:t>31 d.</w:t>
      </w:r>
      <w:r w:rsidR="00F83E3A" w:rsidRPr="0053375F" w:rsidDel="00F83E3A">
        <w:rPr>
          <w:rFonts w:eastAsia="SimSun"/>
          <w:snapToGrid w:val="0"/>
          <w:sz w:val="22"/>
          <w:szCs w:val="22"/>
          <w:lang w:eastAsia="zh-CN"/>
        </w:rPr>
        <w:t xml:space="preserve"> </w:t>
      </w:r>
    </w:p>
    <w:p w14:paraId="533FC03B" w14:textId="77777777" w:rsidR="00C45646" w:rsidRPr="0053375F" w:rsidRDefault="00F83E3A">
      <w:pPr>
        <w:autoSpaceDE w:val="0"/>
        <w:autoSpaceDN w:val="0"/>
        <w:adjustRightInd w:val="0"/>
        <w:rPr>
          <w:sz w:val="22"/>
          <w:szCs w:val="22"/>
        </w:rPr>
      </w:pPr>
      <w:r w:rsidRPr="0053375F">
        <w:rPr>
          <w:rFonts w:eastAsia="SimSun"/>
          <w:snapToGrid w:val="0"/>
          <w:sz w:val="22"/>
          <w:szCs w:val="22"/>
          <w:lang w:eastAsia="zh-CN"/>
        </w:rPr>
        <w:t>Paskutinio perregistravimo data 2011 m. liepos mėn. 28</w:t>
      </w:r>
      <w:r w:rsidR="007F28A8">
        <w:rPr>
          <w:rFonts w:eastAsia="SimSun"/>
          <w:snapToGrid w:val="0"/>
          <w:sz w:val="22"/>
          <w:szCs w:val="22"/>
          <w:lang w:eastAsia="zh-CN"/>
        </w:rPr>
        <w:t xml:space="preserve"> </w:t>
      </w:r>
      <w:r w:rsidRPr="0053375F">
        <w:rPr>
          <w:rFonts w:eastAsia="SimSun"/>
          <w:snapToGrid w:val="0"/>
          <w:sz w:val="22"/>
          <w:szCs w:val="22"/>
          <w:lang w:eastAsia="zh-CN"/>
        </w:rPr>
        <w:t>d.</w:t>
      </w:r>
      <w:r w:rsidR="00C45646" w:rsidRPr="0053375F">
        <w:rPr>
          <w:rFonts w:eastAsia="SimSun"/>
          <w:snapToGrid w:val="0"/>
          <w:sz w:val="22"/>
          <w:szCs w:val="22"/>
          <w:lang w:eastAsia="zh-CN"/>
        </w:rPr>
        <w:t xml:space="preserve"> </w:t>
      </w:r>
    </w:p>
    <w:p w14:paraId="4FBE765E" w14:textId="77777777" w:rsidR="00C45646" w:rsidRPr="0053375F" w:rsidRDefault="00C45646" w:rsidP="00C45646">
      <w:pPr>
        <w:autoSpaceDE w:val="0"/>
        <w:autoSpaceDN w:val="0"/>
        <w:adjustRightInd w:val="0"/>
        <w:rPr>
          <w:sz w:val="22"/>
          <w:szCs w:val="22"/>
        </w:rPr>
      </w:pPr>
    </w:p>
    <w:p w14:paraId="58CFD34E" w14:textId="77777777" w:rsidR="00C45646" w:rsidRPr="0053375F" w:rsidRDefault="00C45646" w:rsidP="00C45646">
      <w:pPr>
        <w:autoSpaceDE w:val="0"/>
        <w:autoSpaceDN w:val="0"/>
        <w:adjustRightInd w:val="0"/>
        <w:rPr>
          <w:b/>
          <w:bCs/>
          <w:sz w:val="22"/>
          <w:szCs w:val="22"/>
        </w:rPr>
      </w:pPr>
    </w:p>
    <w:p w14:paraId="37EA4B67" w14:textId="77777777" w:rsidR="00C45646" w:rsidRPr="0053375F" w:rsidRDefault="00C45646" w:rsidP="00186A14">
      <w:pPr>
        <w:keepNext/>
        <w:numPr>
          <w:ilvl w:val="0"/>
          <w:numId w:val="3"/>
        </w:numPr>
        <w:tabs>
          <w:tab w:val="clear" w:pos="360"/>
          <w:tab w:val="num" w:pos="540"/>
        </w:tabs>
        <w:autoSpaceDE w:val="0"/>
        <w:autoSpaceDN w:val="0"/>
        <w:adjustRightInd w:val="0"/>
        <w:ind w:left="540" w:hanging="540"/>
        <w:rPr>
          <w:b/>
          <w:bCs/>
          <w:sz w:val="22"/>
          <w:szCs w:val="22"/>
        </w:rPr>
      </w:pPr>
      <w:r w:rsidRPr="0053375F">
        <w:rPr>
          <w:b/>
          <w:bCs/>
          <w:sz w:val="22"/>
          <w:szCs w:val="22"/>
        </w:rPr>
        <w:t>TEKSTO PERŽIŪROS DATA</w:t>
      </w:r>
    </w:p>
    <w:p w14:paraId="325B6FC2" w14:textId="77777777" w:rsidR="00C45646" w:rsidRPr="0053375F" w:rsidRDefault="00C45646" w:rsidP="00C45646">
      <w:pPr>
        <w:rPr>
          <w:sz w:val="22"/>
          <w:szCs w:val="22"/>
        </w:rPr>
      </w:pPr>
    </w:p>
    <w:p w14:paraId="464072CC" w14:textId="77777777" w:rsidR="000314FD" w:rsidRPr="000314FD" w:rsidRDefault="000314FD" w:rsidP="000314FD">
      <w:pPr>
        <w:rPr>
          <w:sz w:val="22"/>
          <w:szCs w:val="22"/>
          <w:lang w:eastAsia="lt-LT"/>
        </w:rPr>
      </w:pPr>
      <w:r w:rsidRPr="000314FD">
        <w:rPr>
          <w:noProof/>
          <w:snapToGrid w:val="0"/>
          <w:sz w:val="22"/>
          <w:szCs w:val="22"/>
        </w:rPr>
        <w:t>2021 m. rugsėjo 1 d.</w:t>
      </w:r>
    </w:p>
    <w:p w14:paraId="59869CE4" w14:textId="77777777" w:rsidR="00A6584F" w:rsidRDefault="00A6584F" w:rsidP="003069CE">
      <w:pPr>
        <w:pStyle w:val="Paprastasistekstas"/>
        <w:tabs>
          <w:tab w:val="left" w:pos="5954"/>
          <w:tab w:val="left" w:pos="6237"/>
          <w:tab w:val="left" w:pos="6663"/>
          <w:tab w:val="left" w:pos="6946"/>
        </w:tabs>
        <w:rPr>
          <w:rFonts w:ascii="Times New Roman" w:hAnsi="Times New Roman"/>
          <w:noProof/>
          <w:sz w:val="22"/>
          <w:szCs w:val="22"/>
          <w:lang w:val="lt-LT"/>
        </w:rPr>
      </w:pPr>
    </w:p>
    <w:p w14:paraId="1C3DC93F" w14:textId="77777777" w:rsidR="00A6584F" w:rsidRDefault="00A6584F" w:rsidP="003069CE">
      <w:pPr>
        <w:pStyle w:val="Paprastasistekstas"/>
        <w:tabs>
          <w:tab w:val="left" w:pos="5954"/>
          <w:tab w:val="left" w:pos="6237"/>
          <w:tab w:val="left" w:pos="6663"/>
          <w:tab w:val="left" w:pos="6946"/>
        </w:tabs>
        <w:rPr>
          <w:rFonts w:ascii="Times New Roman" w:hAnsi="Times New Roman"/>
          <w:noProof/>
          <w:sz w:val="22"/>
          <w:szCs w:val="22"/>
          <w:lang w:val="lt-LT"/>
        </w:rPr>
      </w:pPr>
    </w:p>
    <w:p w14:paraId="045602BD" w14:textId="77777777" w:rsidR="003069CE" w:rsidRPr="0053375F" w:rsidRDefault="003069CE" w:rsidP="003069CE">
      <w:pPr>
        <w:pStyle w:val="Paprastasistekstas"/>
        <w:tabs>
          <w:tab w:val="left" w:pos="5954"/>
          <w:tab w:val="left" w:pos="6237"/>
          <w:tab w:val="left" w:pos="6663"/>
          <w:tab w:val="left" w:pos="6946"/>
        </w:tabs>
        <w:rPr>
          <w:rFonts w:ascii="Times New Roman" w:hAnsi="Times New Roman"/>
          <w:sz w:val="22"/>
          <w:szCs w:val="22"/>
          <w:lang w:val="lt-LT"/>
        </w:rPr>
      </w:pPr>
      <w:r w:rsidRPr="0053375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3375F">
        <w:rPr>
          <w:rFonts w:ascii="Times New Roman" w:hAnsi="Times New Roman"/>
          <w:i/>
          <w:noProof/>
          <w:sz w:val="22"/>
          <w:szCs w:val="22"/>
          <w:lang w:val="lt-LT"/>
        </w:rPr>
        <w:t xml:space="preserve"> </w:t>
      </w:r>
      <w:hyperlink r:id="rId15" w:history="1">
        <w:r w:rsidRPr="00186A14">
          <w:rPr>
            <w:rStyle w:val="Hipersaitas"/>
            <w:rFonts w:ascii="Times New Roman" w:hAnsi="Times New Roman"/>
            <w:sz w:val="22"/>
            <w:lang w:val="lt-LT"/>
          </w:rPr>
          <w:t>http://www.vvkt.lt</w:t>
        </w:r>
      </w:hyperlink>
    </w:p>
    <w:p w14:paraId="72B3C0A8" w14:textId="77777777" w:rsidR="00C45646" w:rsidRPr="0053375F" w:rsidRDefault="00C45646" w:rsidP="00C45646">
      <w:pPr>
        <w:pStyle w:val="BTEMEASMCA"/>
        <w:rPr>
          <w:noProof w:val="0"/>
          <w:sz w:val="22"/>
          <w:szCs w:val="22"/>
        </w:rPr>
      </w:pPr>
      <w:r w:rsidRPr="0053375F">
        <w:rPr>
          <w:color w:val="0000FF"/>
          <w:sz w:val="22"/>
          <w:szCs w:val="22"/>
        </w:rPr>
        <w:br w:type="page"/>
      </w:r>
    </w:p>
    <w:p w14:paraId="74F2EF7A" w14:textId="77777777" w:rsidR="00C45646" w:rsidRPr="0053375F" w:rsidRDefault="00C45646" w:rsidP="00C45646">
      <w:pPr>
        <w:pStyle w:val="BTEMEASMCA"/>
        <w:rPr>
          <w:noProof w:val="0"/>
          <w:sz w:val="22"/>
          <w:szCs w:val="22"/>
        </w:rPr>
      </w:pPr>
    </w:p>
    <w:p w14:paraId="26DA24AA" w14:textId="77777777" w:rsidR="00C45646" w:rsidRPr="0053375F" w:rsidRDefault="00C45646" w:rsidP="00C45646">
      <w:pPr>
        <w:pStyle w:val="BTEMEASMCA"/>
        <w:rPr>
          <w:noProof w:val="0"/>
          <w:sz w:val="22"/>
          <w:szCs w:val="22"/>
        </w:rPr>
      </w:pPr>
    </w:p>
    <w:p w14:paraId="19BD65A7" w14:textId="77777777" w:rsidR="00C45646" w:rsidRPr="0053375F" w:rsidRDefault="00C45646" w:rsidP="00C45646">
      <w:pPr>
        <w:pStyle w:val="BTEMEASMCA"/>
        <w:rPr>
          <w:noProof w:val="0"/>
          <w:sz w:val="22"/>
          <w:szCs w:val="22"/>
        </w:rPr>
      </w:pPr>
    </w:p>
    <w:p w14:paraId="11F16D9F" w14:textId="77777777" w:rsidR="00C45646" w:rsidRPr="0053375F" w:rsidRDefault="00C45646" w:rsidP="00C45646">
      <w:pPr>
        <w:pStyle w:val="BTEMEASMCA"/>
        <w:rPr>
          <w:noProof w:val="0"/>
          <w:sz w:val="22"/>
          <w:szCs w:val="22"/>
        </w:rPr>
      </w:pPr>
    </w:p>
    <w:p w14:paraId="760717D8" w14:textId="77777777" w:rsidR="00C45646" w:rsidRPr="0053375F" w:rsidRDefault="00C45646" w:rsidP="00C45646">
      <w:pPr>
        <w:pStyle w:val="BTEMEASMCA"/>
        <w:rPr>
          <w:noProof w:val="0"/>
          <w:sz w:val="22"/>
          <w:szCs w:val="22"/>
        </w:rPr>
      </w:pPr>
    </w:p>
    <w:p w14:paraId="092AA452" w14:textId="77777777" w:rsidR="00C45646" w:rsidRPr="0053375F" w:rsidRDefault="00C45646" w:rsidP="00C45646">
      <w:pPr>
        <w:pStyle w:val="BTEMEASMCA"/>
        <w:rPr>
          <w:noProof w:val="0"/>
          <w:sz w:val="22"/>
          <w:szCs w:val="22"/>
        </w:rPr>
      </w:pPr>
    </w:p>
    <w:p w14:paraId="43EE922A" w14:textId="77777777" w:rsidR="00C45646" w:rsidRPr="0053375F" w:rsidRDefault="00C45646" w:rsidP="00C45646">
      <w:pPr>
        <w:pStyle w:val="BTEMEASMCA"/>
        <w:rPr>
          <w:noProof w:val="0"/>
          <w:sz w:val="22"/>
          <w:szCs w:val="22"/>
        </w:rPr>
      </w:pPr>
    </w:p>
    <w:p w14:paraId="326A2DD3" w14:textId="77777777" w:rsidR="00C45646" w:rsidRPr="0053375F" w:rsidRDefault="00C45646" w:rsidP="00C45646">
      <w:pPr>
        <w:pStyle w:val="BTEMEASMCA"/>
        <w:rPr>
          <w:noProof w:val="0"/>
          <w:sz w:val="22"/>
          <w:szCs w:val="22"/>
        </w:rPr>
      </w:pPr>
    </w:p>
    <w:p w14:paraId="2E6CC5F4" w14:textId="77777777" w:rsidR="00C45646" w:rsidRPr="0053375F" w:rsidRDefault="00C45646" w:rsidP="00C45646">
      <w:pPr>
        <w:pStyle w:val="BTEMEASMCA"/>
        <w:rPr>
          <w:noProof w:val="0"/>
          <w:sz w:val="22"/>
          <w:szCs w:val="22"/>
        </w:rPr>
      </w:pPr>
    </w:p>
    <w:p w14:paraId="1DF2F45D" w14:textId="77777777" w:rsidR="00C45646" w:rsidRPr="0053375F" w:rsidRDefault="00C45646" w:rsidP="00C45646">
      <w:pPr>
        <w:pStyle w:val="BTEMEASMCA"/>
        <w:rPr>
          <w:noProof w:val="0"/>
          <w:sz w:val="22"/>
          <w:szCs w:val="22"/>
        </w:rPr>
      </w:pPr>
    </w:p>
    <w:p w14:paraId="0C955BA5" w14:textId="77777777" w:rsidR="00C45646" w:rsidRPr="0053375F" w:rsidRDefault="00C45646" w:rsidP="00C45646">
      <w:pPr>
        <w:pStyle w:val="BTEMEASMCA"/>
        <w:rPr>
          <w:noProof w:val="0"/>
          <w:sz w:val="22"/>
          <w:szCs w:val="22"/>
        </w:rPr>
      </w:pPr>
    </w:p>
    <w:p w14:paraId="58E983D5" w14:textId="77777777" w:rsidR="00C45646" w:rsidRPr="0053375F" w:rsidRDefault="00C45646" w:rsidP="00C45646">
      <w:pPr>
        <w:pStyle w:val="BTEMEASMCA"/>
        <w:rPr>
          <w:noProof w:val="0"/>
          <w:sz w:val="22"/>
          <w:szCs w:val="22"/>
        </w:rPr>
      </w:pPr>
    </w:p>
    <w:p w14:paraId="117379BE" w14:textId="77777777" w:rsidR="00C45646" w:rsidRPr="0053375F" w:rsidRDefault="00C45646" w:rsidP="00C45646">
      <w:pPr>
        <w:pStyle w:val="BTEMEASMCA"/>
        <w:rPr>
          <w:noProof w:val="0"/>
          <w:sz w:val="22"/>
          <w:szCs w:val="22"/>
        </w:rPr>
      </w:pPr>
    </w:p>
    <w:p w14:paraId="16122F10" w14:textId="77777777" w:rsidR="00C45646" w:rsidRPr="0053375F" w:rsidRDefault="00C45646" w:rsidP="00C45646">
      <w:pPr>
        <w:pStyle w:val="BTEMEASMCA"/>
        <w:rPr>
          <w:noProof w:val="0"/>
          <w:sz w:val="22"/>
          <w:szCs w:val="22"/>
        </w:rPr>
      </w:pPr>
    </w:p>
    <w:p w14:paraId="52A445C3" w14:textId="77777777" w:rsidR="00C45646" w:rsidRPr="0053375F" w:rsidRDefault="00C45646" w:rsidP="00C45646">
      <w:pPr>
        <w:pStyle w:val="BTEMEASMCA"/>
        <w:rPr>
          <w:noProof w:val="0"/>
          <w:sz w:val="22"/>
          <w:szCs w:val="22"/>
        </w:rPr>
      </w:pPr>
    </w:p>
    <w:p w14:paraId="03153897" w14:textId="77777777" w:rsidR="00C45646" w:rsidRPr="0053375F" w:rsidRDefault="00C45646" w:rsidP="00C45646">
      <w:pPr>
        <w:pStyle w:val="BTEMEASMCA"/>
        <w:rPr>
          <w:noProof w:val="0"/>
          <w:sz w:val="22"/>
          <w:szCs w:val="22"/>
        </w:rPr>
      </w:pPr>
    </w:p>
    <w:p w14:paraId="602897CD" w14:textId="77777777" w:rsidR="00C45646" w:rsidRPr="0053375F" w:rsidRDefault="00C45646" w:rsidP="00C45646">
      <w:pPr>
        <w:pStyle w:val="BTEMEASMCA"/>
        <w:rPr>
          <w:noProof w:val="0"/>
          <w:sz w:val="22"/>
          <w:szCs w:val="22"/>
        </w:rPr>
      </w:pPr>
    </w:p>
    <w:p w14:paraId="10546DFE" w14:textId="77777777" w:rsidR="00C45646" w:rsidRPr="0053375F" w:rsidRDefault="00C45646" w:rsidP="00C45646">
      <w:pPr>
        <w:pStyle w:val="BTEMEASMCA"/>
        <w:rPr>
          <w:noProof w:val="0"/>
          <w:sz w:val="22"/>
          <w:szCs w:val="22"/>
        </w:rPr>
      </w:pPr>
    </w:p>
    <w:p w14:paraId="120C5D94" w14:textId="77777777" w:rsidR="00C45646" w:rsidRPr="0053375F" w:rsidRDefault="00C45646" w:rsidP="00C45646">
      <w:pPr>
        <w:pStyle w:val="BTEMEASMCA"/>
        <w:rPr>
          <w:noProof w:val="0"/>
          <w:sz w:val="22"/>
          <w:szCs w:val="22"/>
        </w:rPr>
      </w:pPr>
    </w:p>
    <w:p w14:paraId="7F6EA1FF" w14:textId="77777777" w:rsidR="00C45646" w:rsidRPr="0053375F" w:rsidRDefault="00C45646" w:rsidP="00C45646">
      <w:pPr>
        <w:pStyle w:val="BTEMEASMCA"/>
        <w:rPr>
          <w:noProof w:val="0"/>
          <w:sz w:val="22"/>
          <w:szCs w:val="22"/>
        </w:rPr>
      </w:pPr>
    </w:p>
    <w:p w14:paraId="5249AC6C" w14:textId="77777777" w:rsidR="00C45646" w:rsidRPr="0053375F" w:rsidRDefault="00C45646" w:rsidP="00C45646">
      <w:pPr>
        <w:pStyle w:val="BTEMEASMCA"/>
        <w:rPr>
          <w:noProof w:val="0"/>
          <w:sz w:val="22"/>
          <w:szCs w:val="22"/>
        </w:rPr>
      </w:pPr>
    </w:p>
    <w:p w14:paraId="6F687D94" w14:textId="77777777" w:rsidR="00C45646" w:rsidRPr="0053375F" w:rsidRDefault="00C45646" w:rsidP="00C45646">
      <w:pPr>
        <w:pStyle w:val="BTEMEASMCA"/>
        <w:rPr>
          <w:noProof w:val="0"/>
          <w:sz w:val="22"/>
          <w:szCs w:val="22"/>
        </w:rPr>
      </w:pPr>
    </w:p>
    <w:p w14:paraId="16A68882" w14:textId="77777777" w:rsidR="00606848" w:rsidRPr="0053375F" w:rsidRDefault="00606848" w:rsidP="00C45646">
      <w:pPr>
        <w:pStyle w:val="TTEMEASMCA"/>
      </w:pPr>
      <w:bookmarkStart w:id="0" w:name="_Toc129243128"/>
      <w:bookmarkStart w:id="1" w:name="_Toc129243253"/>
    </w:p>
    <w:p w14:paraId="0DCFB2E1" w14:textId="77777777" w:rsidR="00C45646" w:rsidRPr="0053375F" w:rsidRDefault="00C45646" w:rsidP="00C45646">
      <w:pPr>
        <w:pStyle w:val="TTEMEASMCA"/>
      </w:pPr>
      <w:r w:rsidRPr="0053375F">
        <w:t>II PRIEDAS</w:t>
      </w:r>
      <w:bookmarkEnd w:id="0"/>
      <w:bookmarkEnd w:id="1"/>
    </w:p>
    <w:p w14:paraId="740E186F" w14:textId="77777777" w:rsidR="00C45646" w:rsidRPr="0053375F" w:rsidRDefault="00C45646" w:rsidP="00C45646">
      <w:pPr>
        <w:pStyle w:val="TTEMEASMCA"/>
      </w:pPr>
    </w:p>
    <w:p w14:paraId="5BCC4B17" w14:textId="77777777" w:rsidR="00C45646" w:rsidRPr="0053375F" w:rsidRDefault="00FC20C5">
      <w:pPr>
        <w:pStyle w:val="TTEMEASMCA"/>
      </w:pPr>
      <w:r w:rsidRPr="0053375F">
        <w:t xml:space="preserve">REGISTRACIJOS </w:t>
      </w:r>
      <w:r w:rsidR="00C45646" w:rsidRPr="0053375F">
        <w:t>SĄLYGOS</w:t>
      </w:r>
    </w:p>
    <w:p w14:paraId="4769996E" w14:textId="77777777" w:rsidR="00C45646" w:rsidRPr="0053375F" w:rsidRDefault="00C45646" w:rsidP="00C45646">
      <w:pPr>
        <w:pStyle w:val="BTEMEASMCA"/>
        <w:rPr>
          <w:noProof w:val="0"/>
          <w:sz w:val="22"/>
          <w:szCs w:val="22"/>
        </w:rPr>
      </w:pPr>
    </w:p>
    <w:p w14:paraId="392FF644" w14:textId="77777777" w:rsidR="00C45646" w:rsidRPr="0053375F" w:rsidRDefault="00C45646">
      <w:pPr>
        <w:pStyle w:val="BTAnIIEMEASMCA"/>
        <w:rPr>
          <w:highlight w:val="yellow"/>
          <w:lang w:val="lt-LT"/>
        </w:rPr>
      </w:pPr>
      <w:r w:rsidRPr="0053375F">
        <w:rPr>
          <w:lang w:val="lt-LT"/>
        </w:rPr>
        <w:t>A.</w:t>
      </w:r>
      <w:r w:rsidRPr="0053375F">
        <w:rPr>
          <w:lang w:val="lt-LT"/>
        </w:rPr>
        <w:tab/>
        <w:t>GAM</w:t>
      </w:r>
      <w:r w:rsidR="00FC20C5" w:rsidRPr="0053375F">
        <w:rPr>
          <w:lang w:val="lt-LT"/>
        </w:rPr>
        <w:t>INTOJAS</w:t>
      </w:r>
      <w:r w:rsidRPr="0053375F">
        <w:rPr>
          <w:lang w:val="lt-LT"/>
        </w:rPr>
        <w:t>, ATSAKINGAS UŽ SERIJŲ IŠLEIDIMĄ</w:t>
      </w:r>
    </w:p>
    <w:p w14:paraId="0007585D" w14:textId="77777777" w:rsidR="00C45646" w:rsidRPr="0053375F" w:rsidRDefault="00C45646" w:rsidP="00C45646">
      <w:pPr>
        <w:pStyle w:val="BTEMEASMCA"/>
        <w:rPr>
          <w:noProof w:val="0"/>
          <w:sz w:val="22"/>
          <w:szCs w:val="22"/>
          <w:highlight w:val="yellow"/>
        </w:rPr>
      </w:pPr>
    </w:p>
    <w:p w14:paraId="34D58A1A" w14:textId="77777777" w:rsidR="00C45646" w:rsidRDefault="00C45646">
      <w:pPr>
        <w:pStyle w:val="BTAnIIEMEASMCA"/>
        <w:rPr>
          <w:lang w:val="lt-LT"/>
        </w:rPr>
      </w:pPr>
      <w:r w:rsidRPr="0053375F">
        <w:rPr>
          <w:lang w:val="lt-LT"/>
        </w:rPr>
        <w:t>B.</w:t>
      </w:r>
      <w:r w:rsidRPr="0053375F">
        <w:rPr>
          <w:lang w:val="lt-LT"/>
        </w:rPr>
        <w:tab/>
      </w:r>
      <w:r w:rsidR="00DA4259" w:rsidRPr="0053375F">
        <w:rPr>
          <w:lang w:val="lt-LT"/>
        </w:rPr>
        <w:t>TIEKIMO IR VARTOJIMO</w:t>
      </w:r>
      <w:r w:rsidRPr="0053375F">
        <w:rPr>
          <w:lang w:val="lt-LT"/>
        </w:rPr>
        <w:t xml:space="preserve"> SĄLYGOS</w:t>
      </w:r>
      <w:r w:rsidR="00DA4259" w:rsidRPr="0053375F">
        <w:rPr>
          <w:lang w:val="lt-LT"/>
        </w:rPr>
        <w:t xml:space="preserve"> IR APRIBOJIMAI</w:t>
      </w:r>
    </w:p>
    <w:p w14:paraId="7F1FE8A0" w14:textId="77777777" w:rsidR="00400AE4" w:rsidRDefault="00400AE4">
      <w:pPr>
        <w:spacing w:after="200" w:line="276" w:lineRule="auto"/>
        <w:rPr>
          <w:b/>
          <w:sz w:val="22"/>
          <w:szCs w:val="22"/>
        </w:rPr>
      </w:pPr>
      <w:r>
        <w:br w:type="page"/>
      </w:r>
    </w:p>
    <w:p w14:paraId="062C4029" w14:textId="77777777" w:rsidR="00400AE4" w:rsidRPr="0053375F" w:rsidRDefault="00400AE4">
      <w:pPr>
        <w:pStyle w:val="BTAnIIEMEASMCA"/>
        <w:rPr>
          <w:lang w:val="lt-LT"/>
        </w:rPr>
      </w:pPr>
    </w:p>
    <w:p w14:paraId="6AA60616" w14:textId="77777777" w:rsidR="00561308" w:rsidRPr="0053375F" w:rsidRDefault="00561308">
      <w:pPr>
        <w:pStyle w:val="BTAnIIEMEASMCA"/>
        <w:rPr>
          <w:lang w:val="lt-LT"/>
        </w:rPr>
      </w:pPr>
    </w:p>
    <w:p w14:paraId="7E4465BC" w14:textId="77777777" w:rsidR="00C45646" w:rsidRPr="0053375F" w:rsidRDefault="00C45646">
      <w:pPr>
        <w:pStyle w:val="PI-1EMEASMCA"/>
      </w:pPr>
      <w:r w:rsidRPr="0053375F">
        <w:t>A.</w:t>
      </w:r>
      <w:r w:rsidRPr="0053375F">
        <w:tab/>
        <w:t>GAM</w:t>
      </w:r>
      <w:r w:rsidR="00794CAA" w:rsidRPr="0053375F">
        <w:t>INTOJAS</w:t>
      </w:r>
      <w:r w:rsidRPr="0053375F">
        <w:t>, ATSAKINGAS UŽ SERIJŲ IŠLEIDIMĄ</w:t>
      </w:r>
    </w:p>
    <w:p w14:paraId="20FFE525" w14:textId="77777777" w:rsidR="00C45646" w:rsidRPr="0053375F" w:rsidRDefault="00C45646" w:rsidP="00C45646">
      <w:pPr>
        <w:pStyle w:val="BTEMEASMCA"/>
        <w:rPr>
          <w:noProof w:val="0"/>
          <w:sz w:val="22"/>
          <w:szCs w:val="22"/>
          <w:highlight w:val="yellow"/>
        </w:rPr>
      </w:pPr>
    </w:p>
    <w:p w14:paraId="14067C0F" w14:textId="77777777" w:rsidR="00C45646" w:rsidRPr="0053375F" w:rsidRDefault="00C45646" w:rsidP="00C45646">
      <w:pPr>
        <w:pStyle w:val="BTuEMEASMCA"/>
        <w:rPr>
          <w:noProof w:val="0"/>
          <w:sz w:val="22"/>
          <w:szCs w:val="22"/>
        </w:rPr>
      </w:pPr>
      <w:r w:rsidRPr="0053375F">
        <w:rPr>
          <w:noProof w:val="0"/>
          <w:sz w:val="22"/>
          <w:szCs w:val="22"/>
        </w:rPr>
        <w:t>Gamintojo, atsakingo už serijų išleidimą, pavadinimas ir adresas</w:t>
      </w:r>
    </w:p>
    <w:p w14:paraId="57D20717" w14:textId="77777777" w:rsidR="00C45646" w:rsidRPr="0053375F" w:rsidRDefault="00C45646" w:rsidP="00C45646">
      <w:pPr>
        <w:pStyle w:val="BTEMEASMCA"/>
        <w:rPr>
          <w:noProof w:val="0"/>
          <w:sz w:val="22"/>
          <w:szCs w:val="22"/>
        </w:rPr>
      </w:pPr>
    </w:p>
    <w:p w14:paraId="2F66EDAD" w14:textId="77777777" w:rsidR="00C45646" w:rsidRPr="0053375F" w:rsidRDefault="00C45646" w:rsidP="00C45646">
      <w:pPr>
        <w:rPr>
          <w:sz w:val="22"/>
          <w:szCs w:val="22"/>
        </w:rPr>
      </w:pPr>
      <w:r w:rsidRPr="0053375F">
        <w:rPr>
          <w:sz w:val="22"/>
          <w:szCs w:val="22"/>
        </w:rPr>
        <w:t xml:space="preserve">N.V. </w:t>
      </w:r>
      <w:proofErr w:type="spellStart"/>
      <w:r w:rsidRPr="0053375F">
        <w:rPr>
          <w:sz w:val="22"/>
          <w:szCs w:val="22"/>
        </w:rPr>
        <w:t>Organon</w:t>
      </w:r>
      <w:proofErr w:type="spellEnd"/>
    </w:p>
    <w:p w14:paraId="1AB8C40A" w14:textId="77777777" w:rsidR="00C45646" w:rsidRPr="0053375F" w:rsidRDefault="00C45646" w:rsidP="00C45646">
      <w:pPr>
        <w:rPr>
          <w:sz w:val="22"/>
          <w:szCs w:val="22"/>
        </w:rPr>
      </w:pPr>
      <w:proofErr w:type="spellStart"/>
      <w:r w:rsidRPr="0053375F">
        <w:rPr>
          <w:sz w:val="22"/>
          <w:szCs w:val="22"/>
        </w:rPr>
        <w:t>P.O.Box</w:t>
      </w:r>
      <w:proofErr w:type="spellEnd"/>
      <w:r w:rsidRPr="0053375F">
        <w:rPr>
          <w:sz w:val="22"/>
          <w:szCs w:val="22"/>
        </w:rPr>
        <w:t xml:space="preserve"> 20</w:t>
      </w:r>
    </w:p>
    <w:p w14:paraId="3D458455" w14:textId="77777777" w:rsidR="00C45646" w:rsidRPr="0053375F" w:rsidRDefault="00C45646" w:rsidP="00C45646">
      <w:pPr>
        <w:rPr>
          <w:sz w:val="22"/>
          <w:szCs w:val="22"/>
        </w:rPr>
      </w:pPr>
      <w:r w:rsidRPr="0053375F">
        <w:rPr>
          <w:sz w:val="22"/>
          <w:szCs w:val="22"/>
        </w:rPr>
        <w:t xml:space="preserve">5340 BH </w:t>
      </w:r>
      <w:proofErr w:type="spellStart"/>
      <w:r w:rsidRPr="0053375F">
        <w:rPr>
          <w:sz w:val="22"/>
          <w:szCs w:val="22"/>
        </w:rPr>
        <w:t>Oss</w:t>
      </w:r>
      <w:proofErr w:type="spellEnd"/>
    </w:p>
    <w:p w14:paraId="2EF27C68" w14:textId="77777777" w:rsidR="00C45646" w:rsidRPr="0053375F" w:rsidRDefault="00C45646" w:rsidP="00C45646">
      <w:pPr>
        <w:rPr>
          <w:sz w:val="22"/>
          <w:szCs w:val="22"/>
        </w:rPr>
      </w:pPr>
      <w:r w:rsidRPr="0053375F">
        <w:rPr>
          <w:sz w:val="22"/>
          <w:szCs w:val="22"/>
        </w:rPr>
        <w:t xml:space="preserve">Nyderlandai </w:t>
      </w:r>
    </w:p>
    <w:p w14:paraId="279B7F38" w14:textId="77777777" w:rsidR="00C45646" w:rsidRPr="0053375F" w:rsidRDefault="00C45646" w:rsidP="00C45646">
      <w:pPr>
        <w:pStyle w:val="BTEMEASMCA"/>
        <w:rPr>
          <w:noProof w:val="0"/>
          <w:sz w:val="22"/>
          <w:szCs w:val="22"/>
          <w:highlight w:val="yellow"/>
        </w:rPr>
      </w:pPr>
    </w:p>
    <w:p w14:paraId="136C4E3B" w14:textId="77777777" w:rsidR="00C45646" w:rsidRPr="0053375F" w:rsidRDefault="00C45646" w:rsidP="00C45646">
      <w:pPr>
        <w:pStyle w:val="BTEMEASMCA"/>
        <w:rPr>
          <w:noProof w:val="0"/>
          <w:sz w:val="22"/>
          <w:szCs w:val="22"/>
          <w:highlight w:val="yellow"/>
        </w:rPr>
      </w:pPr>
    </w:p>
    <w:p w14:paraId="3D01DA77" w14:textId="77777777" w:rsidR="00C45646" w:rsidRPr="0053375F" w:rsidRDefault="00C45646">
      <w:pPr>
        <w:pStyle w:val="PI-1EMEASMCA"/>
      </w:pPr>
      <w:bookmarkStart w:id="2" w:name="_Toc129243129"/>
      <w:bookmarkStart w:id="3" w:name="_Toc129243254"/>
      <w:r w:rsidRPr="0053375F">
        <w:t>B.</w:t>
      </w:r>
      <w:r w:rsidRPr="0053375F">
        <w:tab/>
      </w:r>
      <w:bookmarkEnd w:id="2"/>
      <w:bookmarkEnd w:id="3"/>
      <w:r w:rsidR="00794CAA" w:rsidRPr="0053375F">
        <w:t>TIEKIMO IR VARTOJIMO SĄLYGOS IR APRIBOJIMAI</w:t>
      </w:r>
    </w:p>
    <w:p w14:paraId="0B26E771" w14:textId="77777777" w:rsidR="00C45646" w:rsidRPr="0053375F" w:rsidRDefault="00C45646" w:rsidP="00C45646">
      <w:pPr>
        <w:pStyle w:val="BTEMEASMCA"/>
        <w:rPr>
          <w:noProof w:val="0"/>
          <w:sz w:val="22"/>
          <w:szCs w:val="22"/>
        </w:rPr>
      </w:pPr>
    </w:p>
    <w:p w14:paraId="6E899637" w14:textId="77777777" w:rsidR="00C45646" w:rsidRPr="0053375F" w:rsidRDefault="00C45646">
      <w:pPr>
        <w:pStyle w:val="BTEMEASMCA"/>
        <w:rPr>
          <w:noProof w:val="0"/>
          <w:sz w:val="22"/>
          <w:szCs w:val="22"/>
        </w:rPr>
      </w:pPr>
      <w:r w:rsidRPr="0053375F">
        <w:rPr>
          <w:noProof w:val="0"/>
          <w:sz w:val="22"/>
          <w:szCs w:val="22"/>
        </w:rPr>
        <w:t>Receptinis vaistinis preparatas</w:t>
      </w:r>
    </w:p>
    <w:p w14:paraId="2F54B6B7" w14:textId="77777777" w:rsidR="00C45646" w:rsidRPr="0053375F" w:rsidRDefault="00C45646" w:rsidP="00C45646">
      <w:pPr>
        <w:pStyle w:val="BTEMEASMCA"/>
        <w:rPr>
          <w:noProof w:val="0"/>
          <w:sz w:val="22"/>
          <w:szCs w:val="22"/>
        </w:rPr>
      </w:pPr>
    </w:p>
    <w:p w14:paraId="5FF25256" w14:textId="77777777" w:rsidR="00C45646" w:rsidRPr="0053375F" w:rsidRDefault="00C45646" w:rsidP="00C45646">
      <w:pPr>
        <w:autoSpaceDE w:val="0"/>
        <w:autoSpaceDN w:val="0"/>
        <w:adjustRightInd w:val="0"/>
        <w:jc w:val="center"/>
        <w:rPr>
          <w:b/>
          <w:sz w:val="22"/>
          <w:szCs w:val="22"/>
        </w:rPr>
      </w:pPr>
      <w:r w:rsidRPr="0053375F">
        <w:rPr>
          <w:sz w:val="22"/>
          <w:szCs w:val="22"/>
        </w:rPr>
        <w:br w:type="page"/>
      </w:r>
    </w:p>
    <w:p w14:paraId="6E4D8E7F" w14:textId="77777777" w:rsidR="00C45646" w:rsidRPr="0053375F" w:rsidRDefault="00C45646" w:rsidP="00C45646">
      <w:pPr>
        <w:autoSpaceDE w:val="0"/>
        <w:autoSpaceDN w:val="0"/>
        <w:adjustRightInd w:val="0"/>
        <w:jc w:val="center"/>
        <w:rPr>
          <w:b/>
          <w:sz w:val="22"/>
          <w:szCs w:val="22"/>
        </w:rPr>
      </w:pPr>
    </w:p>
    <w:p w14:paraId="30609580" w14:textId="77777777" w:rsidR="00C45646" w:rsidRPr="0053375F" w:rsidRDefault="00C45646" w:rsidP="00C45646">
      <w:pPr>
        <w:autoSpaceDE w:val="0"/>
        <w:autoSpaceDN w:val="0"/>
        <w:adjustRightInd w:val="0"/>
        <w:jc w:val="center"/>
        <w:rPr>
          <w:b/>
          <w:sz w:val="22"/>
          <w:szCs w:val="22"/>
        </w:rPr>
      </w:pPr>
    </w:p>
    <w:p w14:paraId="0454109E" w14:textId="77777777" w:rsidR="00C45646" w:rsidRPr="0053375F" w:rsidRDefault="00C45646" w:rsidP="00C45646">
      <w:pPr>
        <w:autoSpaceDE w:val="0"/>
        <w:autoSpaceDN w:val="0"/>
        <w:adjustRightInd w:val="0"/>
        <w:jc w:val="center"/>
        <w:rPr>
          <w:b/>
          <w:sz w:val="22"/>
          <w:szCs w:val="22"/>
        </w:rPr>
      </w:pPr>
    </w:p>
    <w:p w14:paraId="280E2AF5" w14:textId="77777777" w:rsidR="00C45646" w:rsidRPr="0053375F" w:rsidRDefault="00C45646" w:rsidP="00C45646">
      <w:pPr>
        <w:autoSpaceDE w:val="0"/>
        <w:autoSpaceDN w:val="0"/>
        <w:adjustRightInd w:val="0"/>
        <w:jc w:val="center"/>
        <w:rPr>
          <w:b/>
          <w:sz w:val="22"/>
          <w:szCs w:val="22"/>
        </w:rPr>
      </w:pPr>
    </w:p>
    <w:p w14:paraId="4292BD44" w14:textId="77777777" w:rsidR="00C45646" w:rsidRPr="0053375F" w:rsidRDefault="00C45646" w:rsidP="00C45646">
      <w:pPr>
        <w:autoSpaceDE w:val="0"/>
        <w:autoSpaceDN w:val="0"/>
        <w:adjustRightInd w:val="0"/>
        <w:jc w:val="center"/>
        <w:rPr>
          <w:b/>
          <w:sz w:val="22"/>
          <w:szCs w:val="22"/>
        </w:rPr>
      </w:pPr>
    </w:p>
    <w:p w14:paraId="12739F64" w14:textId="77777777" w:rsidR="00C45646" w:rsidRPr="0053375F" w:rsidRDefault="00C45646" w:rsidP="00C45646">
      <w:pPr>
        <w:autoSpaceDE w:val="0"/>
        <w:autoSpaceDN w:val="0"/>
        <w:adjustRightInd w:val="0"/>
        <w:jc w:val="center"/>
        <w:rPr>
          <w:b/>
          <w:sz w:val="22"/>
          <w:szCs w:val="22"/>
        </w:rPr>
      </w:pPr>
    </w:p>
    <w:p w14:paraId="78B66FF4" w14:textId="77777777" w:rsidR="00C45646" w:rsidRPr="0053375F" w:rsidRDefault="00C45646" w:rsidP="00C45646">
      <w:pPr>
        <w:autoSpaceDE w:val="0"/>
        <w:autoSpaceDN w:val="0"/>
        <w:adjustRightInd w:val="0"/>
        <w:jc w:val="center"/>
        <w:rPr>
          <w:b/>
          <w:sz w:val="22"/>
          <w:szCs w:val="22"/>
        </w:rPr>
      </w:pPr>
    </w:p>
    <w:p w14:paraId="09F1DF6D" w14:textId="77777777" w:rsidR="00C45646" w:rsidRPr="0053375F" w:rsidRDefault="00C45646" w:rsidP="00C45646">
      <w:pPr>
        <w:autoSpaceDE w:val="0"/>
        <w:autoSpaceDN w:val="0"/>
        <w:adjustRightInd w:val="0"/>
        <w:jc w:val="center"/>
        <w:rPr>
          <w:b/>
          <w:sz w:val="22"/>
          <w:szCs w:val="22"/>
        </w:rPr>
      </w:pPr>
    </w:p>
    <w:p w14:paraId="1F150EC6" w14:textId="77777777" w:rsidR="00C45646" w:rsidRPr="0053375F" w:rsidRDefault="00C45646" w:rsidP="00C45646">
      <w:pPr>
        <w:autoSpaceDE w:val="0"/>
        <w:autoSpaceDN w:val="0"/>
        <w:adjustRightInd w:val="0"/>
        <w:jc w:val="center"/>
        <w:rPr>
          <w:b/>
          <w:sz w:val="22"/>
          <w:szCs w:val="22"/>
        </w:rPr>
      </w:pPr>
    </w:p>
    <w:p w14:paraId="05E481EC" w14:textId="77777777" w:rsidR="00C45646" w:rsidRPr="0053375F" w:rsidRDefault="00C45646" w:rsidP="00C45646">
      <w:pPr>
        <w:autoSpaceDE w:val="0"/>
        <w:autoSpaceDN w:val="0"/>
        <w:adjustRightInd w:val="0"/>
        <w:jc w:val="center"/>
        <w:rPr>
          <w:b/>
          <w:sz w:val="22"/>
          <w:szCs w:val="22"/>
        </w:rPr>
      </w:pPr>
    </w:p>
    <w:p w14:paraId="2A58F2DB" w14:textId="77777777" w:rsidR="00C45646" w:rsidRPr="0053375F" w:rsidRDefault="00C45646" w:rsidP="00C45646">
      <w:pPr>
        <w:autoSpaceDE w:val="0"/>
        <w:autoSpaceDN w:val="0"/>
        <w:adjustRightInd w:val="0"/>
        <w:jc w:val="center"/>
        <w:rPr>
          <w:b/>
          <w:sz w:val="22"/>
          <w:szCs w:val="22"/>
        </w:rPr>
      </w:pPr>
    </w:p>
    <w:p w14:paraId="31699746" w14:textId="77777777" w:rsidR="00C45646" w:rsidRPr="0053375F" w:rsidRDefault="00C45646" w:rsidP="00C45646">
      <w:pPr>
        <w:autoSpaceDE w:val="0"/>
        <w:autoSpaceDN w:val="0"/>
        <w:adjustRightInd w:val="0"/>
        <w:jc w:val="center"/>
        <w:rPr>
          <w:b/>
          <w:sz w:val="22"/>
          <w:szCs w:val="22"/>
        </w:rPr>
      </w:pPr>
    </w:p>
    <w:p w14:paraId="3ADD187E" w14:textId="77777777" w:rsidR="00C45646" w:rsidRPr="0053375F" w:rsidRDefault="00C45646" w:rsidP="00C45646">
      <w:pPr>
        <w:autoSpaceDE w:val="0"/>
        <w:autoSpaceDN w:val="0"/>
        <w:adjustRightInd w:val="0"/>
        <w:jc w:val="center"/>
        <w:rPr>
          <w:b/>
          <w:sz w:val="22"/>
          <w:szCs w:val="22"/>
        </w:rPr>
      </w:pPr>
    </w:p>
    <w:p w14:paraId="4F017F3A" w14:textId="77777777" w:rsidR="00C45646" w:rsidRPr="0053375F" w:rsidRDefault="00C45646" w:rsidP="00C45646">
      <w:pPr>
        <w:autoSpaceDE w:val="0"/>
        <w:autoSpaceDN w:val="0"/>
        <w:adjustRightInd w:val="0"/>
        <w:jc w:val="center"/>
        <w:rPr>
          <w:b/>
          <w:sz w:val="22"/>
          <w:szCs w:val="22"/>
        </w:rPr>
      </w:pPr>
    </w:p>
    <w:p w14:paraId="077AABAA" w14:textId="77777777" w:rsidR="00C45646" w:rsidRPr="0053375F" w:rsidRDefault="00C45646" w:rsidP="00C45646">
      <w:pPr>
        <w:autoSpaceDE w:val="0"/>
        <w:autoSpaceDN w:val="0"/>
        <w:adjustRightInd w:val="0"/>
        <w:jc w:val="center"/>
        <w:rPr>
          <w:b/>
          <w:sz w:val="22"/>
          <w:szCs w:val="22"/>
        </w:rPr>
      </w:pPr>
    </w:p>
    <w:p w14:paraId="08185933" w14:textId="77777777" w:rsidR="00C45646" w:rsidRPr="0053375F" w:rsidRDefault="00C45646" w:rsidP="00C45646">
      <w:pPr>
        <w:autoSpaceDE w:val="0"/>
        <w:autoSpaceDN w:val="0"/>
        <w:adjustRightInd w:val="0"/>
        <w:jc w:val="center"/>
        <w:rPr>
          <w:b/>
          <w:sz w:val="22"/>
          <w:szCs w:val="22"/>
        </w:rPr>
      </w:pPr>
    </w:p>
    <w:p w14:paraId="2922B519" w14:textId="77777777" w:rsidR="00C45646" w:rsidRPr="0053375F" w:rsidRDefault="00C45646" w:rsidP="00C45646">
      <w:pPr>
        <w:autoSpaceDE w:val="0"/>
        <w:autoSpaceDN w:val="0"/>
        <w:adjustRightInd w:val="0"/>
        <w:jc w:val="center"/>
        <w:rPr>
          <w:b/>
          <w:sz w:val="22"/>
          <w:szCs w:val="22"/>
        </w:rPr>
      </w:pPr>
    </w:p>
    <w:p w14:paraId="338A4312" w14:textId="77777777" w:rsidR="00C45646" w:rsidRPr="0053375F" w:rsidRDefault="00C45646" w:rsidP="00C45646">
      <w:pPr>
        <w:autoSpaceDE w:val="0"/>
        <w:autoSpaceDN w:val="0"/>
        <w:adjustRightInd w:val="0"/>
        <w:jc w:val="center"/>
        <w:rPr>
          <w:b/>
          <w:sz w:val="22"/>
          <w:szCs w:val="22"/>
        </w:rPr>
      </w:pPr>
    </w:p>
    <w:p w14:paraId="5A3BCBD9" w14:textId="77777777" w:rsidR="00C45646" w:rsidRPr="0053375F" w:rsidRDefault="00C45646" w:rsidP="00C45646">
      <w:pPr>
        <w:autoSpaceDE w:val="0"/>
        <w:autoSpaceDN w:val="0"/>
        <w:adjustRightInd w:val="0"/>
        <w:jc w:val="center"/>
        <w:rPr>
          <w:b/>
          <w:sz w:val="22"/>
          <w:szCs w:val="22"/>
        </w:rPr>
      </w:pPr>
    </w:p>
    <w:p w14:paraId="43083A85" w14:textId="77777777" w:rsidR="00C45646" w:rsidRPr="0053375F" w:rsidRDefault="00C45646" w:rsidP="00C45646">
      <w:pPr>
        <w:autoSpaceDE w:val="0"/>
        <w:autoSpaceDN w:val="0"/>
        <w:adjustRightInd w:val="0"/>
        <w:jc w:val="center"/>
        <w:rPr>
          <w:b/>
          <w:sz w:val="22"/>
          <w:szCs w:val="22"/>
        </w:rPr>
      </w:pPr>
    </w:p>
    <w:p w14:paraId="2DB9CF5E" w14:textId="77777777" w:rsidR="00C45646" w:rsidRPr="0053375F" w:rsidRDefault="00C45646" w:rsidP="00C45646">
      <w:pPr>
        <w:rPr>
          <w:sz w:val="22"/>
          <w:szCs w:val="22"/>
        </w:rPr>
      </w:pPr>
    </w:p>
    <w:p w14:paraId="4C5514D3" w14:textId="77777777" w:rsidR="00C45646" w:rsidRPr="0053375F" w:rsidRDefault="00C45646" w:rsidP="00C45646">
      <w:pPr>
        <w:rPr>
          <w:sz w:val="22"/>
          <w:szCs w:val="22"/>
        </w:rPr>
      </w:pPr>
    </w:p>
    <w:p w14:paraId="770CCE06" w14:textId="77777777" w:rsidR="00606848" w:rsidRPr="0053375F" w:rsidRDefault="00606848" w:rsidP="00C45646">
      <w:pPr>
        <w:autoSpaceDE w:val="0"/>
        <w:autoSpaceDN w:val="0"/>
        <w:adjustRightInd w:val="0"/>
        <w:jc w:val="center"/>
        <w:outlineLvl w:val="0"/>
        <w:rPr>
          <w:b/>
          <w:sz w:val="22"/>
          <w:szCs w:val="22"/>
        </w:rPr>
      </w:pPr>
    </w:p>
    <w:p w14:paraId="4148A12F" w14:textId="77777777" w:rsidR="00C45646" w:rsidRPr="0053375F" w:rsidRDefault="00C45646" w:rsidP="00C45646">
      <w:pPr>
        <w:autoSpaceDE w:val="0"/>
        <w:autoSpaceDN w:val="0"/>
        <w:adjustRightInd w:val="0"/>
        <w:jc w:val="center"/>
        <w:outlineLvl w:val="0"/>
        <w:rPr>
          <w:b/>
          <w:sz w:val="22"/>
          <w:szCs w:val="22"/>
        </w:rPr>
      </w:pPr>
      <w:smartTag w:uri="urn:schemas-microsoft-com:office:smarttags" w:element="stockticker">
        <w:r w:rsidRPr="0053375F">
          <w:rPr>
            <w:b/>
            <w:sz w:val="22"/>
            <w:szCs w:val="22"/>
          </w:rPr>
          <w:t>III</w:t>
        </w:r>
      </w:smartTag>
      <w:r w:rsidRPr="0053375F">
        <w:rPr>
          <w:b/>
          <w:sz w:val="22"/>
          <w:szCs w:val="22"/>
        </w:rPr>
        <w:t xml:space="preserve"> PRIEDAS</w:t>
      </w:r>
    </w:p>
    <w:p w14:paraId="1A5C5C39" w14:textId="77777777" w:rsidR="00C45646" w:rsidRPr="0053375F" w:rsidRDefault="00C45646" w:rsidP="00C45646">
      <w:pPr>
        <w:autoSpaceDE w:val="0"/>
        <w:autoSpaceDN w:val="0"/>
        <w:adjustRightInd w:val="0"/>
        <w:jc w:val="center"/>
        <w:rPr>
          <w:b/>
          <w:sz w:val="22"/>
          <w:szCs w:val="22"/>
        </w:rPr>
      </w:pPr>
    </w:p>
    <w:p w14:paraId="644AA982" w14:textId="77777777" w:rsidR="00C45646" w:rsidRPr="0053375F" w:rsidRDefault="00C45646" w:rsidP="00C45646">
      <w:pPr>
        <w:autoSpaceDE w:val="0"/>
        <w:autoSpaceDN w:val="0"/>
        <w:adjustRightInd w:val="0"/>
        <w:jc w:val="center"/>
        <w:outlineLvl w:val="0"/>
        <w:rPr>
          <w:b/>
          <w:sz w:val="22"/>
          <w:szCs w:val="22"/>
        </w:rPr>
      </w:pPr>
      <w:r w:rsidRPr="0053375F">
        <w:rPr>
          <w:b/>
          <w:sz w:val="22"/>
          <w:szCs w:val="22"/>
        </w:rPr>
        <w:t>ŽENKLINIMAS IR PAKUOTĖS LAPELIS</w:t>
      </w:r>
    </w:p>
    <w:p w14:paraId="1F55BFEA" w14:textId="77777777" w:rsidR="00C45646" w:rsidRPr="0053375F" w:rsidRDefault="00C45646" w:rsidP="00C45646">
      <w:pPr>
        <w:autoSpaceDE w:val="0"/>
        <w:autoSpaceDN w:val="0"/>
        <w:adjustRightInd w:val="0"/>
        <w:jc w:val="center"/>
        <w:rPr>
          <w:b/>
          <w:sz w:val="22"/>
          <w:szCs w:val="22"/>
        </w:rPr>
      </w:pPr>
      <w:r w:rsidRPr="0053375F">
        <w:rPr>
          <w:sz w:val="22"/>
          <w:szCs w:val="22"/>
        </w:rPr>
        <w:br w:type="page"/>
      </w:r>
    </w:p>
    <w:p w14:paraId="37B025C3" w14:textId="77777777" w:rsidR="00C45646" w:rsidRPr="0053375F" w:rsidRDefault="00C45646" w:rsidP="00C45646">
      <w:pPr>
        <w:pStyle w:val="TTEMEASMCA"/>
      </w:pPr>
      <w:bookmarkStart w:id="4" w:name="_Toc129243136"/>
      <w:bookmarkStart w:id="5" w:name="_Toc129243261"/>
    </w:p>
    <w:p w14:paraId="7BA574B1" w14:textId="77777777" w:rsidR="00C45646" w:rsidRPr="0053375F" w:rsidRDefault="00C45646" w:rsidP="00C45646">
      <w:pPr>
        <w:pStyle w:val="TTEMEASMCA"/>
      </w:pPr>
    </w:p>
    <w:p w14:paraId="157A95C0" w14:textId="77777777" w:rsidR="00C45646" w:rsidRPr="0053375F" w:rsidRDefault="00C45646" w:rsidP="00C45646">
      <w:pPr>
        <w:pStyle w:val="TTEMEASMCA"/>
      </w:pPr>
    </w:p>
    <w:p w14:paraId="1ACFAC83" w14:textId="77777777" w:rsidR="00C45646" w:rsidRPr="0053375F" w:rsidRDefault="00C45646" w:rsidP="00C45646">
      <w:pPr>
        <w:pStyle w:val="TTEMEASMCA"/>
      </w:pPr>
    </w:p>
    <w:p w14:paraId="2C19D530" w14:textId="77777777" w:rsidR="00C45646" w:rsidRPr="0053375F" w:rsidRDefault="00C45646" w:rsidP="00C45646">
      <w:pPr>
        <w:pStyle w:val="TTEMEASMCA"/>
      </w:pPr>
    </w:p>
    <w:p w14:paraId="761463BB" w14:textId="77777777" w:rsidR="00C45646" w:rsidRPr="0053375F" w:rsidRDefault="00C45646" w:rsidP="00C45646">
      <w:pPr>
        <w:pStyle w:val="TTEMEASMCA"/>
      </w:pPr>
    </w:p>
    <w:p w14:paraId="07430036" w14:textId="77777777" w:rsidR="00C45646" w:rsidRPr="0053375F" w:rsidRDefault="00C45646" w:rsidP="00C45646">
      <w:pPr>
        <w:pStyle w:val="TTEMEASMCA"/>
      </w:pPr>
    </w:p>
    <w:p w14:paraId="306BD416" w14:textId="77777777" w:rsidR="00C45646" w:rsidRPr="0053375F" w:rsidRDefault="00C45646" w:rsidP="00C45646">
      <w:pPr>
        <w:pStyle w:val="TTEMEASMCA"/>
      </w:pPr>
    </w:p>
    <w:p w14:paraId="33B419DF" w14:textId="77777777" w:rsidR="00C45646" w:rsidRPr="0053375F" w:rsidRDefault="00C45646" w:rsidP="00C45646">
      <w:pPr>
        <w:pStyle w:val="TTEMEASMCA"/>
      </w:pPr>
    </w:p>
    <w:p w14:paraId="1F515D99" w14:textId="77777777" w:rsidR="00C45646" w:rsidRPr="0053375F" w:rsidRDefault="00C45646" w:rsidP="00C45646">
      <w:pPr>
        <w:pStyle w:val="TTEMEASMCA"/>
      </w:pPr>
    </w:p>
    <w:p w14:paraId="0F808B67" w14:textId="77777777" w:rsidR="00C45646" w:rsidRPr="0053375F" w:rsidRDefault="00C45646" w:rsidP="00C45646">
      <w:pPr>
        <w:pStyle w:val="TTEMEASMCA"/>
      </w:pPr>
    </w:p>
    <w:p w14:paraId="5170B992" w14:textId="77777777" w:rsidR="00C45646" w:rsidRPr="0053375F" w:rsidRDefault="00C45646" w:rsidP="00C45646">
      <w:pPr>
        <w:pStyle w:val="TTEMEASMCA"/>
      </w:pPr>
    </w:p>
    <w:p w14:paraId="6C8BF6FE" w14:textId="77777777" w:rsidR="00C45646" w:rsidRPr="0053375F" w:rsidRDefault="00C45646" w:rsidP="00C45646">
      <w:pPr>
        <w:pStyle w:val="TTEMEASMCA"/>
      </w:pPr>
    </w:p>
    <w:p w14:paraId="508F7020" w14:textId="77777777" w:rsidR="00C45646" w:rsidRPr="0053375F" w:rsidRDefault="00C45646" w:rsidP="00C45646">
      <w:pPr>
        <w:pStyle w:val="TTEMEASMCA"/>
      </w:pPr>
    </w:p>
    <w:p w14:paraId="29CD4D39" w14:textId="77777777" w:rsidR="00C45646" w:rsidRPr="0053375F" w:rsidRDefault="00C45646" w:rsidP="00C45646">
      <w:pPr>
        <w:pStyle w:val="TTEMEASMCA"/>
      </w:pPr>
    </w:p>
    <w:p w14:paraId="44185621" w14:textId="77777777" w:rsidR="00C45646" w:rsidRPr="0053375F" w:rsidRDefault="00C45646" w:rsidP="00C45646">
      <w:pPr>
        <w:pStyle w:val="TTEMEASMCA"/>
      </w:pPr>
    </w:p>
    <w:p w14:paraId="74AD0255" w14:textId="77777777" w:rsidR="00C45646" w:rsidRPr="0053375F" w:rsidRDefault="00C45646" w:rsidP="00C45646">
      <w:pPr>
        <w:pStyle w:val="TTEMEASMCA"/>
      </w:pPr>
    </w:p>
    <w:p w14:paraId="2C3F689F" w14:textId="77777777" w:rsidR="00C45646" w:rsidRPr="0053375F" w:rsidRDefault="00C45646" w:rsidP="00C45646">
      <w:pPr>
        <w:pStyle w:val="TTEMEASMCA"/>
      </w:pPr>
    </w:p>
    <w:p w14:paraId="179D6B6A" w14:textId="77777777" w:rsidR="00C45646" w:rsidRPr="0053375F" w:rsidRDefault="00C45646" w:rsidP="00C45646">
      <w:pPr>
        <w:pStyle w:val="TTEMEASMCA"/>
      </w:pPr>
    </w:p>
    <w:p w14:paraId="0D2E7835" w14:textId="77777777" w:rsidR="00C45646" w:rsidRPr="0053375F" w:rsidRDefault="00C45646" w:rsidP="00C45646">
      <w:pPr>
        <w:pStyle w:val="TTEMEASMCA"/>
      </w:pPr>
    </w:p>
    <w:p w14:paraId="4AC653A8" w14:textId="77777777" w:rsidR="00C45646" w:rsidRPr="0053375F" w:rsidRDefault="00C45646" w:rsidP="00C45646">
      <w:pPr>
        <w:pStyle w:val="TTEMEASMCA"/>
      </w:pPr>
    </w:p>
    <w:p w14:paraId="35843C08" w14:textId="77777777" w:rsidR="00C45646" w:rsidRPr="0053375F" w:rsidRDefault="00C45646" w:rsidP="00C45646">
      <w:pPr>
        <w:pStyle w:val="TTEMEASMCA"/>
      </w:pPr>
    </w:p>
    <w:p w14:paraId="2CFFDD3E" w14:textId="77777777" w:rsidR="00606848" w:rsidRPr="0053375F" w:rsidRDefault="00606848" w:rsidP="00C45646">
      <w:pPr>
        <w:pStyle w:val="TTEMEASMCA"/>
      </w:pPr>
    </w:p>
    <w:p w14:paraId="6ED7614C" w14:textId="77777777" w:rsidR="00C45646" w:rsidRPr="0053375F" w:rsidRDefault="00C45646" w:rsidP="00C45646">
      <w:pPr>
        <w:pStyle w:val="TTEMEASMCA"/>
      </w:pPr>
      <w:r w:rsidRPr="0053375F">
        <w:t>A. ŽENKLINIMAS</w:t>
      </w:r>
      <w:bookmarkEnd w:id="4"/>
      <w:bookmarkEnd w:id="5"/>
    </w:p>
    <w:p w14:paraId="57BC8F47" w14:textId="77777777" w:rsidR="00C45646" w:rsidRPr="0053375F" w:rsidRDefault="00C45646" w:rsidP="00C45646">
      <w:pPr>
        <w:pStyle w:val="BTEMEASMCA"/>
        <w:rPr>
          <w:sz w:val="22"/>
          <w:szCs w:val="22"/>
        </w:rPr>
      </w:pPr>
    </w:p>
    <w:p w14:paraId="77D17B92" w14:textId="77777777" w:rsidR="00C45646" w:rsidRPr="0053375F" w:rsidRDefault="00C45646" w:rsidP="00C45646">
      <w:pPr>
        <w:pStyle w:val="BTEMEASMCA"/>
        <w:rPr>
          <w:sz w:val="22"/>
          <w:szCs w:val="22"/>
        </w:rPr>
      </w:pPr>
    </w:p>
    <w:p w14:paraId="3A7E75A4" w14:textId="77777777" w:rsidR="00C45646" w:rsidRPr="0053375F" w:rsidRDefault="00C45646" w:rsidP="00C45646">
      <w:pPr>
        <w:pStyle w:val="BTEMEASMCA"/>
        <w:rPr>
          <w:sz w:val="22"/>
          <w:szCs w:val="22"/>
        </w:rPr>
      </w:pPr>
    </w:p>
    <w:p w14:paraId="2073FA1C" w14:textId="77777777" w:rsidR="00C45646" w:rsidRPr="0053375F" w:rsidRDefault="00C45646" w:rsidP="00C45646">
      <w:pPr>
        <w:pStyle w:val="BTEMEASMCA"/>
        <w:rPr>
          <w:sz w:val="22"/>
          <w:szCs w:val="22"/>
        </w:rPr>
      </w:pPr>
    </w:p>
    <w:p w14:paraId="1C4EBC5F" w14:textId="77777777" w:rsidR="00C45646" w:rsidRPr="0053375F" w:rsidRDefault="00C45646" w:rsidP="00C45646">
      <w:pPr>
        <w:pStyle w:val="BTEMEASMCA"/>
        <w:rPr>
          <w:sz w:val="22"/>
          <w:szCs w:val="22"/>
        </w:rPr>
      </w:pPr>
    </w:p>
    <w:p w14:paraId="139D44D5" w14:textId="77777777" w:rsidR="00C45646" w:rsidRPr="0053375F" w:rsidRDefault="00C45646" w:rsidP="00C45646">
      <w:pPr>
        <w:pStyle w:val="BTEMEASMCA"/>
        <w:rPr>
          <w:sz w:val="22"/>
          <w:szCs w:val="22"/>
        </w:rPr>
      </w:pPr>
    </w:p>
    <w:p w14:paraId="13665B53" w14:textId="77777777" w:rsidR="00C45646" w:rsidRPr="0053375F" w:rsidRDefault="00C45646" w:rsidP="00C45646">
      <w:pPr>
        <w:pStyle w:val="BTEMEASMCA"/>
        <w:rPr>
          <w:sz w:val="22"/>
          <w:szCs w:val="22"/>
        </w:rPr>
      </w:pPr>
    </w:p>
    <w:p w14:paraId="58CA3E9E" w14:textId="77777777" w:rsidR="00C45646" w:rsidRPr="0053375F" w:rsidRDefault="00C45646" w:rsidP="00C45646">
      <w:pPr>
        <w:pStyle w:val="BTEMEASMCA"/>
        <w:rPr>
          <w:sz w:val="22"/>
          <w:szCs w:val="22"/>
        </w:rPr>
      </w:pPr>
    </w:p>
    <w:p w14:paraId="61D10777" w14:textId="77777777" w:rsidR="00C45646" w:rsidRPr="0053375F" w:rsidRDefault="00C45646" w:rsidP="00C45646">
      <w:pPr>
        <w:pStyle w:val="BTEMEASMCA"/>
        <w:rPr>
          <w:sz w:val="22"/>
          <w:szCs w:val="22"/>
        </w:rPr>
      </w:pPr>
    </w:p>
    <w:p w14:paraId="2B1858CB" w14:textId="77777777" w:rsidR="00C45646" w:rsidRPr="0053375F" w:rsidRDefault="00C45646" w:rsidP="00C45646">
      <w:pPr>
        <w:pStyle w:val="BTEMEASMCA"/>
        <w:rPr>
          <w:sz w:val="22"/>
          <w:szCs w:val="22"/>
        </w:rPr>
      </w:pPr>
    </w:p>
    <w:p w14:paraId="60132130" w14:textId="77777777" w:rsidR="00C45646" w:rsidRPr="0053375F" w:rsidRDefault="00C45646" w:rsidP="00C45646">
      <w:pPr>
        <w:pStyle w:val="BTEMEASMCA"/>
        <w:rPr>
          <w:sz w:val="22"/>
          <w:szCs w:val="22"/>
        </w:rPr>
      </w:pPr>
    </w:p>
    <w:p w14:paraId="58ED062D" w14:textId="77777777" w:rsidR="00C45646" w:rsidRPr="0053375F" w:rsidRDefault="00C45646" w:rsidP="00C45646">
      <w:pPr>
        <w:pStyle w:val="BTEMEASMCA"/>
        <w:rPr>
          <w:sz w:val="22"/>
          <w:szCs w:val="22"/>
        </w:rPr>
      </w:pPr>
    </w:p>
    <w:p w14:paraId="1812E117" w14:textId="77777777" w:rsidR="00C45646" w:rsidRPr="0053375F" w:rsidRDefault="00C45646" w:rsidP="00C45646">
      <w:pPr>
        <w:pStyle w:val="BTEMEASMCA"/>
        <w:rPr>
          <w:sz w:val="22"/>
          <w:szCs w:val="22"/>
        </w:rPr>
      </w:pPr>
    </w:p>
    <w:p w14:paraId="2751E2AF" w14:textId="77777777" w:rsidR="00C45646" w:rsidRPr="0053375F" w:rsidRDefault="00C45646" w:rsidP="00C45646">
      <w:pPr>
        <w:pStyle w:val="BTEMEASMCA"/>
        <w:rPr>
          <w:sz w:val="22"/>
          <w:szCs w:val="22"/>
        </w:rPr>
      </w:pPr>
    </w:p>
    <w:p w14:paraId="0B721750" w14:textId="77777777" w:rsidR="00C45646" w:rsidRPr="0053375F" w:rsidRDefault="00C45646" w:rsidP="00C45646">
      <w:pPr>
        <w:pStyle w:val="BTEMEASMCA"/>
        <w:rPr>
          <w:sz w:val="22"/>
          <w:szCs w:val="22"/>
        </w:rPr>
      </w:pPr>
    </w:p>
    <w:p w14:paraId="32F51355" w14:textId="77777777" w:rsidR="00C45646" w:rsidRPr="0053375F" w:rsidRDefault="00C45646" w:rsidP="00C45646">
      <w:pPr>
        <w:pStyle w:val="BTEMEASMCA"/>
        <w:rPr>
          <w:sz w:val="22"/>
          <w:szCs w:val="22"/>
        </w:rPr>
      </w:pPr>
    </w:p>
    <w:p w14:paraId="7EF3715A" w14:textId="77777777" w:rsidR="00C45646" w:rsidRPr="0053375F" w:rsidRDefault="00C45646" w:rsidP="00C45646">
      <w:pPr>
        <w:pStyle w:val="BTEMEASMCA"/>
        <w:rPr>
          <w:sz w:val="22"/>
          <w:szCs w:val="22"/>
        </w:rPr>
      </w:pPr>
    </w:p>
    <w:p w14:paraId="5C5082DA" w14:textId="77777777" w:rsidR="00C45646" w:rsidRPr="0053375F" w:rsidRDefault="00C45646" w:rsidP="00C45646">
      <w:pPr>
        <w:pStyle w:val="BTEMEASMCA"/>
        <w:rPr>
          <w:sz w:val="22"/>
          <w:szCs w:val="22"/>
        </w:rPr>
      </w:pPr>
    </w:p>
    <w:p w14:paraId="17B8DA76" w14:textId="77777777" w:rsidR="00C45646" w:rsidRPr="0053375F" w:rsidRDefault="00C45646" w:rsidP="00C45646">
      <w:pPr>
        <w:pStyle w:val="BTEMEASMCA"/>
        <w:rPr>
          <w:sz w:val="22"/>
          <w:szCs w:val="22"/>
        </w:rPr>
      </w:pPr>
    </w:p>
    <w:p w14:paraId="29A19E9C" w14:textId="77777777" w:rsidR="00C45646" w:rsidRPr="0053375F" w:rsidRDefault="00C45646" w:rsidP="00C45646">
      <w:pPr>
        <w:pStyle w:val="BTEMEASMCA"/>
        <w:rPr>
          <w:sz w:val="22"/>
          <w:szCs w:val="22"/>
        </w:rPr>
      </w:pPr>
    </w:p>
    <w:p w14:paraId="384E93EC" w14:textId="77777777" w:rsidR="00C45646" w:rsidRPr="0053375F" w:rsidRDefault="00C45646" w:rsidP="00C45646">
      <w:pPr>
        <w:pStyle w:val="BTEMEASMCA"/>
        <w:rPr>
          <w:sz w:val="22"/>
          <w:szCs w:val="22"/>
        </w:rPr>
      </w:pPr>
    </w:p>
    <w:p w14:paraId="398DA8FD" w14:textId="77777777" w:rsidR="00C45646" w:rsidRPr="0053375F" w:rsidRDefault="00C45646" w:rsidP="00C45646">
      <w:pPr>
        <w:pStyle w:val="BTEMEASMCA"/>
        <w:rPr>
          <w:sz w:val="22"/>
          <w:szCs w:val="22"/>
        </w:rPr>
      </w:pPr>
    </w:p>
    <w:p w14:paraId="0A98CD1A" w14:textId="77777777" w:rsidR="00C45646" w:rsidRPr="0053375F" w:rsidRDefault="00C45646" w:rsidP="00C45646">
      <w:pPr>
        <w:pStyle w:val="BTEMEASMCA"/>
        <w:rPr>
          <w:sz w:val="22"/>
          <w:szCs w:val="22"/>
        </w:rPr>
      </w:pPr>
    </w:p>
    <w:p w14:paraId="23011419" w14:textId="77777777" w:rsidR="00C45646" w:rsidRPr="0053375F" w:rsidRDefault="00C45646" w:rsidP="00C45646">
      <w:pPr>
        <w:pStyle w:val="BTEMEASMCA"/>
        <w:rPr>
          <w:sz w:val="22"/>
          <w:szCs w:val="22"/>
        </w:rPr>
      </w:pPr>
    </w:p>
    <w:p w14:paraId="7B6CB8A7" w14:textId="77777777" w:rsidR="00C45646" w:rsidRPr="0053375F" w:rsidRDefault="00C45646" w:rsidP="00C45646">
      <w:pPr>
        <w:pStyle w:val="BTEMEASMCA"/>
        <w:rPr>
          <w:sz w:val="22"/>
          <w:szCs w:val="22"/>
        </w:rPr>
      </w:pPr>
    </w:p>
    <w:p w14:paraId="14F4DA01" w14:textId="77777777" w:rsidR="00C45646" w:rsidRPr="0053375F" w:rsidRDefault="00C45646" w:rsidP="00C45646">
      <w:pPr>
        <w:pStyle w:val="BTEMEASMCA"/>
        <w:rPr>
          <w:sz w:val="22"/>
          <w:szCs w:val="22"/>
        </w:rPr>
      </w:pPr>
    </w:p>
    <w:p w14:paraId="105C0B3E" w14:textId="77777777" w:rsidR="00C45646" w:rsidRPr="0053375F" w:rsidRDefault="00C45646" w:rsidP="00C45646">
      <w:pPr>
        <w:pStyle w:val="BTEMEASMCA"/>
        <w:rPr>
          <w:sz w:val="22"/>
          <w:szCs w:val="22"/>
        </w:rPr>
      </w:pPr>
    </w:p>
    <w:p w14:paraId="362809D0" w14:textId="77777777" w:rsidR="00C45646" w:rsidRPr="0053375F" w:rsidRDefault="00C45646" w:rsidP="00C45646">
      <w:pPr>
        <w:pStyle w:val="BTEMEASMCA"/>
        <w:rPr>
          <w:sz w:val="22"/>
          <w:szCs w:val="22"/>
        </w:rPr>
      </w:pPr>
    </w:p>
    <w:p w14:paraId="390D448F" w14:textId="77777777" w:rsidR="00C45646" w:rsidRPr="0053375F" w:rsidRDefault="00C45646" w:rsidP="00C45646">
      <w:pPr>
        <w:pStyle w:val="BTEMEASMCA"/>
        <w:rPr>
          <w:sz w:val="22"/>
          <w:szCs w:val="22"/>
        </w:rPr>
      </w:pPr>
    </w:p>
    <w:p w14:paraId="4D0BED2D" w14:textId="77777777" w:rsidR="00C45646" w:rsidRPr="0053375F" w:rsidRDefault="00C45646" w:rsidP="00C45646">
      <w:pPr>
        <w:pStyle w:val="BTEMEASMCA"/>
        <w:rPr>
          <w:sz w:val="22"/>
          <w:szCs w:val="22"/>
        </w:rPr>
      </w:pPr>
    </w:p>
    <w:p w14:paraId="5D96BF46" w14:textId="77777777" w:rsidR="00C45646" w:rsidRPr="0053375F" w:rsidRDefault="00C45646" w:rsidP="00C45646">
      <w:pPr>
        <w:pStyle w:val="BTEMEASMCA"/>
        <w:rPr>
          <w:sz w:val="22"/>
          <w:szCs w:val="22"/>
        </w:rPr>
      </w:pPr>
    </w:p>
    <w:p w14:paraId="7B34B7CB" w14:textId="77777777" w:rsidR="00C45646" w:rsidRPr="0053375F" w:rsidRDefault="00C45646" w:rsidP="00C45646">
      <w:pPr>
        <w:pStyle w:val="BTEMEASMCA"/>
        <w:rPr>
          <w:sz w:val="22"/>
          <w:szCs w:val="22"/>
        </w:rPr>
      </w:pPr>
    </w:p>
    <w:p w14:paraId="307BDF02" w14:textId="77777777" w:rsidR="00C45646" w:rsidRPr="0053375F" w:rsidRDefault="00C45646" w:rsidP="00C45646">
      <w:pPr>
        <w:pStyle w:val="BTEMEASMCA"/>
        <w:rPr>
          <w:sz w:val="22"/>
          <w:szCs w:val="22"/>
        </w:rPr>
      </w:pPr>
    </w:p>
    <w:p w14:paraId="1B2717BC" w14:textId="77777777" w:rsidR="006A5B89" w:rsidRDefault="006A5B89" w:rsidP="006A5B89">
      <w:pPr>
        <w:pStyle w:val="PI-1labEMEASMCA"/>
        <w:rPr>
          <w:sz w:val="22"/>
          <w:szCs w:val="22"/>
        </w:rPr>
      </w:pPr>
      <w:r>
        <w:rPr>
          <w:sz w:val="22"/>
          <w:szCs w:val="22"/>
        </w:rPr>
        <w:lastRenderedPageBreak/>
        <w:t>INFORMACIJA ANT IŠORINĖS PAKUOTĖS</w:t>
      </w:r>
    </w:p>
    <w:p w14:paraId="45C65021" w14:textId="77777777" w:rsidR="006A5B89" w:rsidRDefault="006A5B89" w:rsidP="006A5B89">
      <w:pPr>
        <w:pStyle w:val="PI-1labEMEASMCA"/>
        <w:rPr>
          <w:sz w:val="22"/>
          <w:szCs w:val="22"/>
        </w:rPr>
      </w:pPr>
    </w:p>
    <w:p w14:paraId="63FCCABE" w14:textId="77777777" w:rsidR="006A5B89" w:rsidRDefault="006A5B89" w:rsidP="006A5B89">
      <w:pPr>
        <w:pStyle w:val="PI-1labEMEASMCA"/>
        <w:rPr>
          <w:bCs/>
          <w:sz w:val="22"/>
          <w:szCs w:val="22"/>
        </w:rPr>
      </w:pPr>
      <w:r>
        <w:rPr>
          <w:sz w:val="22"/>
          <w:szCs w:val="22"/>
        </w:rPr>
        <w:t>KARTONO DĖŽUTĖ</w:t>
      </w:r>
    </w:p>
    <w:p w14:paraId="73FAC32C" w14:textId="77777777" w:rsidR="006A5B89" w:rsidRDefault="006A5B89" w:rsidP="006A5B89">
      <w:pPr>
        <w:pStyle w:val="BTEMEASMCA"/>
        <w:rPr>
          <w:noProof w:val="0"/>
          <w:sz w:val="22"/>
          <w:szCs w:val="22"/>
        </w:rPr>
      </w:pPr>
    </w:p>
    <w:p w14:paraId="761E5B41" w14:textId="77777777" w:rsidR="006A5B89" w:rsidRDefault="006A5B89" w:rsidP="006A5B89">
      <w:pPr>
        <w:pStyle w:val="BTEMEASMCA"/>
        <w:rPr>
          <w:noProof w:val="0"/>
          <w:sz w:val="22"/>
          <w:szCs w:val="22"/>
        </w:rPr>
      </w:pPr>
    </w:p>
    <w:p w14:paraId="059FB897" w14:textId="77777777" w:rsidR="006A5B89" w:rsidRDefault="006A5B89" w:rsidP="006A5B89">
      <w:pPr>
        <w:pStyle w:val="PI-1labEMEASMCA"/>
        <w:rPr>
          <w:sz w:val="22"/>
          <w:szCs w:val="22"/>
        </w:rPr>
      </w:pPr>
      <w:r>
        <w:rPr>
          <w:sz w:val="22"/>
          <w:szCs w:val="22"/>
        </w:rPr>
        <w:t>1.</w:t>
      </w:r>
      <w:r>
        <w:rPr>
          <w:sz w:val="22"/>
          <w:szCs w:val="22"/>
        </w:rPr>
        <w:tab/>
        <w:t>VAISTINIO PREPARATO PAVADINIMAS</w:t>
      </w:r>
    </w:p>
    <w:p w14:paraId="5B792297" w14:textId="77777777" w:rsidR="006A5B89" w:rsidRDefault="006A5B89" w:rsidP="006A5B89">
      <w:pPr>
        <w:pStyle w:val="BTEMEASMCA"/>
        <w:rPr>
          <w:noProof w:val="0"/>
          <w:sz w:val="22"/>
          <w:szCs w:val="22"/>
        </w:rPr>
      </w:pPr>
    </w:p>
    <w:p w14:paraId="5130DB5D" w14:textId="77777777" w:rsidR="006A5B89" w:rsidRDefault="006A5B89" w:rsidP="006A5B89">
      <w:pPr>
        <w:jc w:val="both"/>
        <w:rPr>
          <w:bCs/>
          <w:sz w:val="22"/>
          <w:szCs w:val="22"/>
        </w:rPr>
      </w:pPr>
      <w:proofErr w:type="spellStart"/>
      <w:r>
        <w:rPr>
          <w:bCs/>
          <w:sz w:val="22"/>
          <w:szCs w:val="22"/>
        </w:rPr>
        <w:t>Livial</w:t>
      </w:r>
      <w:proofErr w:type="spellEnd"/>
      <w:r>
        <w:rPr>
          <w:bCs/>
          <w:sz w:val="22"/>
          <w:szCs w:val="22"/>
        </w:rPr>
        <w:t xml:space="preserve"> 2,5 mg tabletės</w:t>
      </w:r>
    </w:p>
    <w:p w14:paraId="5A5C56D3" w14:textId="77777777" w:rsidR="006A5B89" w:rsidRDefault="006A5B89" w:rsidP="006A5B89">
      <w:pPr>
        <w:jc w:val="both"/>
        <w:rPr>
          <w:bCs/>
          <w:iCs/>
          <w:sz w:val="22"/>
          <w:szCs w:val="22"/>
        </w:rPr>
      </w:pPr>
      <w:proofErr w:type="spellStart"/>
      <w:r>
        <w:rPr>
          <w:bCs/>
          <w:iCs/>
          <w:sz w:val="22"/>
          <w:szCs w:val="22"/>
        </w:rPr>
        <w:t>Tibolonas</w:t>
      </w:r>
      <w:proofErr w:type="spellEnd"/>
    </w:p>
    <w:p w14:paraId="237BC6E7" w14:textId="77777777" w:rsidR="006A5B89" w:rsidRDefault="006A5B89" w:rsidP="006A5B89">
      <w:pPr>
        <w:pStyle w:val="BTEMEASMCA"/>
        <w:rPr>
          <w:noProof w:val="0"/>
          <w:sz w:val="22"/>
          <w:szCs w:val="22"/>
        </w:rPr>
      </w:pPr>
    </w:p>
    <w:p w14:paraId="5E8A551F" w14:textId="77777777" w:rsidR="006A5B89" w:rsidRDefault="006A5B89" w:rsidP="006A5B89">
      <w:pPr>
        <w:pStyle w:val="BTEMEASMCA"/>
        <w:rPr>
          <w:noProof w:val="0"/>
          <w:sz w:val="22"/>
          <w:szCs w:val="22"/>
        </w:rPr>
      </w:pPr>
    </w:p>
    <w:p w14:paraId="7BF071DB" w14:textId="77777777" w:rsidR="006A5B89" w:rsidRDefault="006A5B89" w:rsidP="006A5B89">
      <w:pPr>
        <w:pStyle w:val="PI-1labEMEASMCA"/>
        <w:pBdr>
          <w:bottom w:val="single" w:sz="4" w:space="0" w:color="auto"/>
        </w:pBdr>
        <w:rPr>
          <w:sz w:val="22"/>
          <w:szCs w:val="22"/>
        </w:rPr>
      </w:pPr>
      <w:r>
        <w:rPr>
          <w:sz w:val="22"/>
          <w:szCs w:val="22"/>
        </w:rPr>
        <w:t>2.</w:t>
      </w:r>
      <w:r>
        <w:rPr>
          <w:sz w:val="22"/>
          <w:szCs w:val="22"/>
        </w:rPr>
        <w:tab/>
        <w:t>VEIKLIOJI MEDŽIAGA IR JOS KIEKIS</w:t>
      </w:r>
    </w:p>
    <w:p w14:paraId="524CD877" w14:textId="77777777" w:rsidR="006A5B89" w:rsidRDefault="006A5B89" w:rsidP="006A5B89">
      <w:pPr>
        <w:pStyle w:val="BTEMEASMCA"/>
        <w:rPr>
          <w:noProof w:val="0"/>
          <w:sz w:val="22"/>
          <w:szCs w:val="22"/>
        </w:rPr>
      </w:pPr>
    </w:p>
    <w:p w14:paraId="69193B73" w14:textId="77777777" w:rsidR="006A5B89" w:rsidRDefault="006A5B89" w:rsidP="006A5B89">
      <w:pPr>
        <w:pStyle w:val="BTEMEASMCA"/>
        <w:rPr>
          <w:sz w:val="22"/>
          <w:szCs w:val="22"/>
        </w:rPr>
      </w:pPr>
      <w:r>
        <w:rPr>
          <w:sz w:val="22"/>
          <w:szCs w:val="22"/>
        </w:rPr>
        <w:t xml:space="preserve">Vienoje tabletėje yra </w:t>
      </w:r>
      <w:r>
        <w:rPr>
          <w:bCs/>
          <w:sz w:val="22"/>
          <w:szCs w:val="22"/>
        </w:rPr>
        <w:t>2,5 mg tibolono</w:t>
      </w:r>
      <w:r>
        <w:rPr>
          <w:sz w:val="22"/>
          <w:szCs w:val="22"/>
        </w:rPr>
        <w:t>.</w:t>
      </w:r>
    </w:p>
    <w:p w14:paraId="080A8C0A" w14:textId="77777777" w:rsidR="006A5B89" w:rsidRDefault="006A5B89" w:rsidP="006A5B89">
      <w:pPr>
        <w:pStyle w:val="BTEMEASMCA"/>
        <w:rPr>
          <w:sz w:val="22"/>
          <w:szCs w:val="22"/>
        </w:rPr>
      </w:pPr>
    </w:p>
    <w:p w14:paraId="17AB0645" w14:textId="77777777" w:rsidR="006A5B89" w:rsidRDefault="006A5B89" w:rsidP="006A5B89">
      <w:pPr>
        <w:pStyle w:val="BTEMEASMCA"/>
        <w:rPr>
          <w:sz w:val="22"/>
          <w:szCs w:val="22"/>
        </w:rPr>
      </w:pPr>
    </w:p>
    <w:p w14:paraId="171C461B" w14:textId="77777777" w:rsidR="006A5B89" w:rsidRDefault="006A5B89" w:rsidP="006A5B89">
      <w:pPr>
        <w:pStyle w:val="PI-1labEMEASMCA"/>
        <w:pBdr>
          <w:bottom w:val="single" w:sz="4" w:space="0" w:color="auto"/>
        </w:pBdr>
        <w:rPr>
          <w:sz w:val="22"/>
          <w:szCs w:val="22"/>
        </w:rPr>
      </w:pPr>
      <w:r>
        <w:rPr>
          <w:sz w:val="22"/>
          <w:szCs w:val="22"/>
        </w:rPr>
        <w:t>3.</w:t>
      </w:r>
      <w:r>
        <w:rPr>
          <w:sz w:val="22"/>
          <w:szCs w:val="22"/>
        </w:rPr>
        <w:tab/>
        <w:t>PAGALBINIŲ MEDŽIAGŲ SĄRAŠAS</w:t>
      </w:r>
    </w:p>
    <w:p w14:paraId="32BA46C3" w14:textId="77777777" w:rsidR="006A5B89" w:rsidRDefault="006A5B89" w:rsidP="006A5B89">
      <w:pPr>
        <w:pStyle w:val="BTEMEASMCA"/>
        <w:rPr>
          <w:sz w:val="22"/>
          <w:szCs w:val="22"/>
        </w:rPr>
      </w:pPr>
    </w:p>
    <w:p w14:paraId="2F396F39" w14:textId="77777777" w:rsidR="006A5B89" w:rsidRDefault="006A5B89" w:rsidP="006A5B89">
      <w:pPr>
        <w:pStyle w:val="BTEMEASMCA"/>
        <w:rPr>
          <w:sz w:val="22"/>
          <w:szCs w:val="22"/>
        </w:rPr>
      </w:pPr>
      <w:r>
        <w:rPr>
          <w:sz w:val="22"/>
          <w:szCs w:val="22"/>
        </w:rPr>
        <w:t>Sudėtyje yra laktozės.</w:t>
      </w:r>
    </w:p>
    <w:p w14:paraId="496CA304" w14:textId="77777777" w:rsidR="006A5B89" w:rsidRDefault="006A5B89" w:rsidP="006A5B89">
      <w:pPr>
        <w:pStyle w:val="BTEMEASMCA"/>
        <w:rPr>
          <w:sz w:val="22"/>
          <w:szCs w:val="22"/>
        </w:rPr>
      </w:pPr>
    </w:p>
    <w:p w14:paraId="67B6AAF7" w14:textId="77777777" w:rsidR="006A5B89" w:rsidRDefault="006A5B89" w:rsidP="006A5B89">
      <w:pPr>
        <w:pStyle w:val="BTEMEASMCA"/>
        <w:rPr>
          <w:noProof w:val="0"/>
          <w:sz w:val="22"/>
          <w:szCs w:val="22"/>
        </w:rPr>
      </w:pPr>
    </w:p>
    <w:p w14:paraId="65C9AFC1" w14:textId="77777777" w:rsidR="006A5B89" w:rsidRDefault="006A5B89" w:rsidP="006A5B89">
      <w:pPr>
        <w:pStyle w:val="PI-1labEMEASMCA"/>
        <w:rPr>
          <w:sz w:val="22"/>
          <w:szCs w:val="22"/>
        </w:rPr>
      </w:pPr>
      <w:r>
        <w:rPr>
          <w:sz w:val="22"/>
          <w:szCs w:val="22"/>
        </w:rPr>
        <w:t>4.</w:t>
      </w:r>
      <w:r>
        <w:rPr>
          <w:sz w:val="22"/>
          <w:szCs w:val="22"/>
        </w:rPr>
        <w:tab/>
        <w:t>FARMACINĖ FORMA IR KIEKIS PAKUOTĖJE</w:t>
      </w:r>
    </w:p>
    <w:p w14:paraId="056859C8" w14:textId="77777777" w:rsidR="006A5B89" w:rsidRDefault="006A5B89" w:rsidP="006A5B89">
      <w:pPr>
        <w:pStyle w:val="BTEMEASMCA"/>
        <w:rPr>
          <w:noProof w:val="0"/>
          <w:sz w:val="22"/>
          <w:szCs w:val="22"/>
        </w:rPr>
      </w:pPr>
    </w:p>
    <w:p w14:paraId="0F48F8E5" w14:textId="77777777" w:rsidR="006A5B89" w:rsidRDefault="006A5B89" w:rsidP="006A5B89">
      <w:pPr>
        <w:rPr>
          <w:sz w:val="22"/>
          <w:szCs w:val="22"/>
        </w:rPr>
      </w:pPr>
      <w:r>
        <w:rPr>
          <w:sz w:val="22"/>
          <w:szCs w:val="22"/>
        </w:rPr>
        <w:t>Tabletės</w:t>
      </w:r>
    </w:p>
    <w:p w14:paraId="7D81153F" w14:textId="77777777" w:rsidR="006A5B89" w:rsidRDefault="006A5B89" w:rsidP="006A5B89">
      <w:pPr>
        <w:rPr>
          <w:sz w:val="22"/>
          <w:szCs w:val="22"/>
        </w:rPr>
      </w:pPr>
      <w:r>
        <w:rPr>
          <w:sz w:val="22"/>
          <w:szCs w:val="22"/>
        </w:rPr>
        <w:t>28 tabletės</w:t>
      </w:r>
    </w:p>
    <w:p w14:paraId="5C190A98" w14:textId="77777777" w:rsidR="006A5B89" w:rsidRDefault="006A5B89" w:rsidP="006A5B89">
      <w:pPr>
        <w:rPr>
          <w:sz w:val="22"/>
          <w:szCs w:val="22"/>
        </w:rPr>
      </w:pPr>
    </w:p>
    <w:p w14:paraId="47B85B09" w14:textId="77777777" w:rsidR="006A5B89" w:rsidRDefault="006A5B89" w:rsidP="006A5B89">
      <w:pPr>
        <w:pStyle w:val="BTEMEASMCA"/>
        <w:rPr>
          <w:noProof w:val="0"/>
          <w:sz w:val="22"/>
          <w:szCs w:val="22"/>
        </w:rPr>
      </w:pPr>
    </w:p>
    <w:p w14:paraId="06893EBE" w14:textId="77777777" w:rsidR="006A5B89" w:rsidRDefault="006A5B89" w:rsidP="006A5B89">
      <w:pPr>
        <w:pStyle w:val="PI-1labEMEASMCA"/>
        <w:rPr>
          <w:sz w:val="22"/>
          <w:szCs w:val="22"/>
          <w:highlight w:val="lightGray"/>
        </w:rPr>
      </w:pPr>
      <w:r>
        <w:rPr>
          <w:sz w:val="22"/>
          <w:szCs w:val="22"/>
        </w:rPr>
        <w:t>5.</w:t>
      </w:r>
      <w:r>
        <w:rPr>
          <w:sz w:val="22"/>
          <w:szCs w:val="22"/>
        </w:rPr>
        <w:tab/>
        <w:t xml:space="preserve">VARTOJIMO METODAS IR BŪDAS </w:t>
      </w:r>
    </w:p>
    <w:p w14:paraId="5A38A3A9" w14:textId="77777777" w:rsidR="006A5B89" w:rsidRDefault="006A5B89" w:rsidP="006A5B89">
      <w:pPr>
        <w:pStyle w:val="BTEMEASMCA"/>
        <w:rPr>
          <w:noProof w:val="0"/>
          <w:sz w:val="22"/>
          <w:szCs w:val="22"/>
        </w:rPr>
      </w:pPr>
    </w:p>
    <w:p w14:paraId="49EB83C7" w14:textId="77777777" w:rsidR="006A5B89" w:rsidRDefault="006A5B89" w:rsidP="006A5B89">
      <w:pPr>
        <w:pStyle w:val="BTEMEASMCA"/>
        <w:rPr>
          <w:b/>
          <w:sz w:val="22"/>
          <w:szCs w:val="22"/>
        </w:rPr>
      </w:pPr>
      <w:r>
        <w:rPr>
          <w:sz w:val="22"/>
          <w:szCs w:val="22"/>
        </w:rPr>
        <w:t>Vartoti per burną</w:t>
      </w:r>
      <w:r>
        <w:rPr>
          <w:b/>
          <w:sz w:val="22"/>
          <w:szCs w:val="22"/>
        </w:rPr>
        <w:t xml:space="preserve">. </w:t>
      </w:r>
    </w:p>
    <w:p w14:paraId="6B2B4D05" w14:textId="77777777" w:rsidR="006A5B89" w:rsidRDefault="006A5B89" w:rsidP="006A5B89">
      <w:pPr>
        <w:pStyle w:val="BTEMEASMCA"/>
        <w:rPr>
          <w:noProof w:val="0"/>
          <w:sz w:val="22"/>
          <w:szCs w:val="22"/>
        </w:rPr>
      </w:pPr>
      <w:r>
        <w:rPr>
          <w:noProof w:val="0"/>
          <w:sz w:val="22"/>
          <w:szCs w:val="22"/>
        </w:rPr>
        <w:t>Prieš vartojimą perskaitykite pakuotės lapelį.</w:t>
      </w:r>
    </w:p>
    <w:p w14:paraId="7736AFF3" w14:textId="77777777" w:rsidR="006A5B89" w:rsidRDefault="006A5B89" w:rsidP="006A5B89">
      <w:pPr>
        <w:pStyle w:val="BTEMEASMCA"/>
        <w:rPr>
          <w:noProof w:val="0"/>
          <w:sz w:val="22"/>
          <w:szCs w:val="22"/>
        </w:rPr>
      </w:pPr>
    </w:p>
    <w:p w14:paraId="0808F64A" w14:textId="77777777" w:rsidR="006A5B89" w:rsidRDefault="006A5B89" w:rsidP="006A5B89">
      <w:pPr>
        <w:pStyle w:val="BTEMEASMCA"/>
        <w:rPr>
          <w:noProof w:val="0"/>
          <w:sz w:val="22"/>
          <w:szCs w:val="22"/>
        </w:rPr>
      </w:pPr>
    </w:p>
    <w:p w14:paraId="5ADD35D8" w14:textId="77777777" w:rsidR="006A5B89" w:rsidRDefault="006A5B89" w:rsidP="006A5B89">
      <w:pPr>
        <w:pStyle w:val="PI-1labEMEASMCA"/>
        <w:ind w:left="540" w:hanging="540"/>
        <w:rPr>
          <w:sz w:val="22"/>
          <w:szCs w:val="22"/>
        </w:rPr>
      </w:pPr>
      <w:r>
        <w:rPr>
          <w:sz w:val="22"/>
          <w:szCs w:val="22"/>
        </w:rPr>
        <w:t>6.</w:t>
      </w:r>
      <w:r>
        <w:rPr>
          <w:sz w:val="22"/>
          <w:szCs w:val="22"/>
        </w:rPr>
        <w:tab/>
        <w:t>SPECIALUS ĮSPĖJIMAS, KAD VAISTINĮ PREPARATĄ BŪTINA LAIKYTI VAIKAMS NEPASTEBIMOJE IR NEPASIEKIAMOJE VIETOJE</w:t>
      </w:r>
    </w:p>
    <w:p w14:paraId="73678BD0" w14:textId="77777777" w:rsidR="006A5B89" w:rsidRDefault="006A5B89" w:rsidP="006A5B89">
      <w:pPr>
        <w:pStyle w:val="BTEMEASMCA"/>
        <w:rPr>
          <w:noProof w:val="0"/>
          <w:sz w:val="22"/>
          <w:szCs w:val="22"/>
        </w:rPr>
      </w:pPr>
    </w:p>
    <w:p w14:paraId="666B9D6D" w14:textId="77777777" w:rsidR="006A5B89" w:rsidRDefault="006A5B89" w:rsidP="006A5B89">
      <w:pPr>
        <w:pStyle w:val="BTEMEASMCA"/>
        <w:rPr>
          <w:noProof w:val="0"/>
          <w:sz w:val="22"/>
          <w:szCs w:val="22"/>
        </w:rPr>
      </w:pPr>
      <w:r>
        <w:rPr>
          <w:noProof w:val="0"/>
          <w:sz w:val="22"/>
          <w:szCs w:val="22"/>
        </w:rPr>
        <w:t>Laikyti vaikams nepastebimoje ir nepasiekiamoje vietoje.</w:t>
      </w:r>
    </w:p>
    <w:p w14:paraId="498349F8" w14:textId="77777777" w:rsidR="006A5B89" w:rsidRDefault="006A5B89" w:rsidP="006A5B89">
      <w:pPr>
        <w:pStyle w:val="BTEMEASMCA"/>
        <w:rPr>
          <w:noProof w:val="0"/>
          <w:sz w:val="22"/>
          <w:szCs w:val="22"/>
        </w:rPr>
      </w:pPr>
    </w:p>
    <w:p w14:paraId="4CB99419" w14:textId="77777777" w:rsidR="006A5B89" w:rsidRDefault="006A5B89" w:rsidP="006A5B89">
      <w:pPr>
        <w:pStyle w:val="BTEMEASMCA"/>
        <w:rPr>
          <w:noProof w:val="0"/>
          <w:sz w:val="22"/>
          <w:szCs w:val="22"/>
        </w:rPr>
      </w:pPr>
    </w:p>
    <w:p w14:paraId="0673573B" w14:textId="77777777" w:rsidR="006A5B89" w:rsidRDefault="006A5B89" w:rsidP="006A5B89">
      <w:pPr>
        <w:pStyle w:val="PI-1labEMEASMCA"/>
        <w:rPr>
          <w:sz w:val="22"/>
          <w:szCs w:val="22"/>
          <w:highlight w:val="lightGray"/>
        </w:rPr>
      </w:pPr>
      <w:r>
        <w:rPr>
          <w:sz w:val="22"/>
          <w:szCs w:val="22"/>
        </w:rPr>
        <w:t>7.</w:t>
      </w:r>
      <w:r>
        <w:rPr>
          <w:sz w:val="22"/>
          <w:szCs w:val="22"/>
        </w:rPr>
        <w:tab/>
        <w:t>KITAS (-I) SPECIALUS (-ŪS) ĮSPĖJIMAS (-AI) (JEI REIKIA)</w:t>
      </w:r>
    </w:p>
    <w:p w14:paraId="11E6253D" w14:textId="77777777" w:rsidR="006A5B89" w:rsidRDefault="006A5B89" w:rsidP="006A5B89">
      <w:pPr>
        <w:pStyle w:val="BTEMEASMCA"/>
        <w:rPr>
          <w:noProof w:val="0"/>
          <w:sz w:val="22"/>
          <w:szCs w:val="22"/>
        </w:rPr>
      </w:pPr>
    </w:p>
    <w:p w14:paraId="452F4E7B" w14:textId="77777777" w:rsidR="006A5B89" w:rsidRDefault="006A5B89" w:rsidP="006A5B89">
      <w:pPr>
        <w:pStyle w:val="BTEMEASMCA"/>
        <w:rPr>
          <w:noProof w:val="0"/>
          <w:sz w:val="22"/>
          <w:szCs w:val="22"/>
        </w:rPr>
      </w:pPr>
    </w:p>
    <w:p w14:paraId="42E29CCD" w14:textId="77777777" w:rsidR="006A5B89" w:rsidRDefault="006A5B89" w:rsidP="006A5B89">
      <w:pPr>
        <w:pStyle w:val="PI-1labEMEASMCA"/>
        <w:rPr>
          <w:sz w:val="22"/>
          <w:szCs w:val="22"/>
          <w:highlight w:val="lightGray"/>
        </w:rPr>
      </w:pPr>
      <w:r>
        <w:rPr>
          <w:sz w:val="22"/>
          <w:szCs w:val="22"/>
        </w:rPr>
        <w:t>8.</w:t>
      </w:r>
      <w:r>
        <w:rPr>
          <w:sz w:val="22"/>
          <w:szCs w:val="22"/>
        </w:rPr>
        <w:tab/>
        <w:t>TINKAMUMO LAIKAS</w:t>
      </w:r>
    </w:p>
    <w:p w14:paraId="0AA62F54" w14:textId="77777777" w:rsidR="006A5B89" w:rsidRDefault="006A5B89" w:rsidP="006A5B89">
      <w:pPr>
        <w:pStyle w:val="BTEMEASMCA"/>
        <w:rPr>
          <w:noProof w:val="0"/>
          <w:sz w:val="22"/>
          <w:szCs w:val="22"/>
        </w:rPr>
      </w:pPr>
    </w:p>
    <w:p w14:paraId="24726E9A" w14:textId="77777777" w:rsidR="006A5B89" w:rsidRDefault="006A5B89" w:rsidP="006A5B89">
      <w:pPr>
        <w:pStyle w:val="BTEMEASMCA"/>
        <w:rPr>
          <w:sz w:val="22"/>
          <w:szCs w:val="22"/>
        </w:rPr>
      </w:pPr>
      <w:r>
        <w:rPr>
          <w:sz w:val="22"/>
          <w:szCs w:val="22"/>
        </w:rPr>
        <w:t>EXP {mm/MMMM}</w:t>
      </w:r>
    </w:p>
    <w:p w14:paraId="5509CF8E" w14:textId="77777777" w:rsidR="006A5B89" w:rsidRDefault="006A5B89" w:rsidP="006A5B89">
      <w:pPr>
        <w:pStyle w:val="BTEMEASMCA"/>
        <w:rPr>
          <w:noProof w:val="0"/>
          <w:sz w:val="22"/>
          <w:szCs w:val="22"/>
        </w:rPr>
      </w:pPr>
    </w:p>
    <w:p w14:paraId="746C4A9B" w14:textId="77777777" w:rsidR="006A5B89" w:rsidRDefault="006A5B89" w:rsidP="006A5B89">
      <w:pPr>
        <w:pStyle w:val="BTEMEASMCA"/>
        <w:rPr>
          <w:noProof w:val="0"/>
          <w:sz w:val="22"/>
          <w:szCs w:val="22"/>
        </w:rPr>
      </w:pPr>
    </w:p>
    <w:p w14:paraId="79771C35" w14:textId="77777777" w:rsidR="006A5B89" w:rsidRDefault="006A5B89" w:rsidP="006A5B89">
      <w:pPr>
        <w:pStyle w:val="PI-1labEMEASMCA"/>
        <w:keepNext/>
        <w:rPr>
          <w:sz w:val="22"/>
          <w:szCs w:val="22"/>
        </w:rPr>
      </w:pPr>
      <w:r>
        <w:rPr>
          <w:sz w:val="22"/>
          <w:szCs w:val="22"/>
        </w:rPr>
        <w:t>9.</w:t>
      </w:r>
      <w:r>
        <w:rPr>
          <w:sz w:val="22"/>
          <w:szCs w:val="22"/>
        </w:rPr>
        <w:tab/>
        <w:t>SPECIALIOS LAIKYMO SĄLYGOS</w:t>
      </w:r>
    </w:p>
    <w:p w14:paraId="69821FDA" w14:textId="77777777" w:rsidR="006A5B89" w:rsidRDefault="006A5B89" w:rsidP="006A5B89">
      <w:pPr>
        <w:pStyle w:val="BTEMEASMCA"/>
        <w:keepNext/>
        <w:rPr>
          <w:noProof w:val="0"/>
          <w:sz w:val="22"/>
          <w:szCs w:val="22"/>
        </w:rPr>
      </w:pPr>
    </w:p>
    <w:p w14:paraId="400CDF1D" w14:textId="77777777" w:rsidR="006A5B89" w:rsidRDefault="006A5B89" w:rsidP="006A5B89">
      <w:pPr>
        <w:pStyle w:val="BTEMEASMCA"/>
        <w:keepNext/>
        <w:rPr>
          <w:sz w:val="22"/>
          <w:szCs w:val="22"/>
        </w:rPr>
      </w:pPr>
      <w:r>
        <w:rPr>
          <w:sz w:val="22"/>
          <w:szCs w:val="22"/>
        </w:rPr>
        <w:t>Laikyti ne aukštesnėje kaip 25 </w:t>
      </w:r>
      <w:r>
        <w:rPr>
          <w:sz w:val="22"/>
          <w:szCs w:val="22"/>
        </w:rPr>
        <w:sym w:font="Symbol" w:char="F0B0"/>
      </w:r>
      <w:r>
        <w:rPr>
          <w:sz w:val="22"/>
          <w:szCs w:val="22"/>
        </w:rPr>
        <w:t>C temperatūroje. Laikyti gamintojo pakuotėje.</w:t>
      </w:r>
    </w:p>
    <w:p w14:paraId="48D82B1C" w14:textId="77777777" w:rsidR="006A5B89" w:rsidRDefault="006A5B89" w:rsidP="006A5B89">
      <w:pPr>
        <w:pStyle w:val="BTEMEASMCA"/>
        <w:rPr>
          <w:noProof w:val="0"/>
          <w:sz w:val="22"/>
          <w:szCs w:val="22"/>
        </w:rPr>
      </w:pPr>
    </w:p>
    <w:p w14:paraId="27FAA744" w14:textId="77777777" w:rsidR="006A5B89" w:rsidRDefault="006A5B89" w:rsidP="006A5B89">
      <w:pPr>
        <w:pStyle w:val="BTEMEASMCA"/>
        <w:rPr>
          <w:noProof w:val="0"/>
          <w:sz w:val="22"/>
          <w:szCs w:val="22"/>
        </w:rPr>
      </w:pPr>
    </w:p>
    <w:p w14:paraId="55EFAA3A" w14:textId="77777777" w:rsidR="006A5B89" w:rsidRDefault="006A5B89" w:rsidP="006A5B89">
      <w:pPr>
        <w:pStyle w:val="PI-1labEMEASMCA"/>
        <w:pBdr>
          <w:bottom w:val="single" w:sz="4" w:space="0" w:color="auto"/>
        </w:pBdr>
        <w:rPr>
          <w:sz w:val="22"/>
          <w:szCs w:val="22"/>
        </w:rPr>
      </w:pPr>
      <w:r>
        <w:rPr>
          <w:sz w:val="22"/>
          <w:szCs w:val="22"/>
        </w:rPr>
        <w:t>10.</w:t>
      </w:r>
      <w:r>
        <w:rPr>
          <w:sz w:val="22"/>
          <w:szCs w:val="22"/>
        </w:rPr>
        <w:tab/>
        <w:t xml:space="preserve">SPECIALIOS ATSARGUMO PRIEMONĖS DĖL NESUVARTOTO </w:t>
      </w:r>
      <w:r>
        <w:rPr>
          <w:bCs/>
          <w:sz w:val="22"/>
          <w:szCs w:val="22"/>
        </w:rPr>
        <w:t xml:space="preserve">VAISTINIO PREPARATO AR JO ATLIEKŲ </w:t>
      </w:r>
      <w:r>
        <w:rPr>
          <w:sz w:val="22"/>
          <w:szCs w:val="22"/>
        </w:rPr>
        <w:t>TVARKYMO (JEI REIKIA)</w:t>
      </w:r>
    </w:p>
    <w:p w14:paraId="66625AB2" w14:textId="77777777" w:rsidR="006A5B89" w:rsidRDefault="006A5B89" w:rsidP="006A5B89">
      <w:pPr>
        <w:pStyle w:val="BTEMEASMCA"/>
        <w:rPr>
          <w:noProof w:val="0"/>
          <w:sz w:val="22"/>
          <w:szCs w:val="22"/>
        </w:rPr>
      </w:pPr>
    </w:p>
    <w:p w14:paraId="663E4085" w14:textId="77777777" w:rsidR="006A5B89" w:rsidRDefault="006A5B89" w:rsidP="006A5B89">
      <w:pPr>
        <w:pStyle w:val="BTEMEASMCA"/>
        <w:rPr>
          <w:noProof w:val="0"/>
          <w:sz w:val="22"/>
          <w:szCs w:val="22"/>
        </w:rPr>
      </w:pPr>
    </w:p>
    <w:p w14:paraId="7D3E10B2" w14:textId="77777777" w:rsidR="006A5B89" w:rsidRDefault="006A5B89" w:rsidP="006A5B89">
      <w:pPr>
        <w:pStyle w:val="PI-1labEMEASMCA"/>
        <w:rPr>
          <w:sz w:val="22"/>
          <w:szCs w:val="22"/>
        </w:rPr>
      </w:pPr>
      <w:r>
        <w:rPr>
          <w:sz w:val="22"/>
          <w:szCs w:val="22"/>
        </w:rPr>
        <w:t>11.</w:t>
      </w:r>
      <w:r>
        <w:rPr>
          <w:sz w:val="22"/>
          <w:szCs w:val="22"/>
        </w:rPr>
        <w:tab/>
        <w:t>REGISTRUOTOJO  PAVADINIMAS IR ADRESAS</w:t>
      </w:r>
    </w:p>
    <w:p w14:paraId="51136976" w14:textId="77777777" w:rsidR="006A5B89" w:rsidRDefault="006A5B89" w:rsidP="006A5B89">
      <w:pPr>
        <w:pStyle w:val="BTEMEASMCA"/>
        <w:rPr>
          <w:noProof w:val="0"/>
          <w:sz w:val="22"/>
          <w:szCs w:val="22"/>
        </w:rPr>
      </w:pPr>
    </w:p>
    <w:p w14:paraId="0E4C03D1" w14:textId="77777777" w:rsidR="000314FD" w:rsidRPr="00E844C6" w:rsidRDefault="000314FD" w:rsidP="000314FD">
      <w:pPr>
        <w:rPr>
          <w:sz w:val="22"/>
          <w:szCs w:val="22"/>
        </w:rPr>
      </w:pPr>
      <w:r w:rsidRPr="00E844C6">
        <w:rPr>
          <w:sz w:val="22"/>
          <w:szCs w:val="22"/>
        </w:rPr>
        <w:t xml:space="preserve">N.V. </w:t>
      </w:r>
      <w:proofErr w:type="spellStart"/>
      <w:r w:rsidRPr="00E844C6">
        <w:rPr>
          <w:sz w:val="22"/>
          <w:szCs w:val="22"/>
        </w:rPr>
        <w:t>Organon</w:t>
      </w:r>
      <w:proofErr w:type="spellEnd"/>
      <w:r w:rsidRPr="00E844C6">
        <w:rPr>
          <w:sz w:val="22"/>
          <w:szCs w:val="22"/>
        </w:rPr>
        <w:t xml:space="preserve"> </w:t>
      </w:r>
    </w:p>
    <w:p w14:paraId="153B2180" w14:textId="77777777" w:rsidR="000314FD" w:rsidRPr="00E844C6" w:rsidRDefault="000314FD" w:rsidP="000314FD">
      <w:pPr>
        <w:rPr>
          <w:sz w:val="22"/>
          <w:szCs w:val="22"/>
        </w:rPr>
      </w:pPr>
      <w:proofErr w:type="spellStart"/>
      <w:r w:rsidRPr="00E844C6">
        <w:rPr>
          <w:sz w:val="22"/>
          <w:szCs w:val="22"/>
        </w:rPr>
        <w:t>Kloosterstraat</w:t>
      </w:r>
      <w:proofErr w:type="spellEnd"/>
      <w:r w:rsidRPr="00E844C6">
        <w:rPr>
          <w:sz w:val="22"/>
          <w:szCs w:val="22"/>
        </w:rPr>
        <w:t xml:space="preserve"> 6 </w:t>
      </w:r>
    </w:p>
    <w:p w14:paraId="1880E44C" w14:textId="77777777" w:rsidR="000314FD" w:rsidRPr="00E844C6" w:rsidRDefault="000314FD" w:rsidP="000314FD">
      <w:pPr>
        <w:rPr>
          <w:sz w:val="22"/>
          <w:szCs w:val="22"/>
        </w:rPr>
      </w:pPr>
      <w:r w:rsidRPr="00E844C6">
        <w:rPr>
          <w:sz w:val="22"/>
          <w:szCs w:val="22"/>
        </w:rPr>
        <w:t xml:space="preserve">5349 AB </w:t>
      </w:r>
      <w:proofErr w:type="spellStart"/>
      <w:r w:rsidRPr="00E844C6">
        <w:rPr>
          <w:sz w:val="22"/>
          <w:szCs w:val="22"/>
        </w:rPr>
        <w:t>Oss</w:t>
      </w:r>
      <w:proofErr w:type="spellEnd"/>
      <w:r w:rsidRPr="00E844C6">
        <w:rPr>
          <w:sz w:val="22"/>
          <w:szCs w:val="22"/>
        </w:rPr>
        <w:t xml:space="preserve"> </w:t>
      </w:r>
    </w:p>
    <w:p w14:paraId="23C30550" w14:textId="77777777" w:rsidR="000314FD" w:rsidRPr="00E844C6" w:rsidRDefault="000314FD" w:rsidP="000314FD">
      <w:pPr>
        <w:rPr>
          <w:sz w:val="22"/>
          <w:szCs w:val="22"/>
          <w:lang w:eastAsia="lt-LT"/>
        </w:rPr>
      </w:pPr>
      <w:r w:rsidRPr="00E844C6">
        <w:rPr>
          <w:sz w:val="22"/>
          <w:szCs w:val="22"/>
        </w:rPr>
        <w:t>Nyderlandai</w:t>
      </w:r>
    </w:p>
    <w:p w14:paraId="1614B98B" w14:textId="77777777" w:rsidR="006A5B89" w:rsidRDefault="006A5B89" w:rsidP="006A5B89">
      <w:pPr>
        <w:pStyle w:val="BTEMEASMCA"/>
        <w:rPr>
          <w:noProof w:val="0"/>
          <w:sz w:val="22"/>
          <w:szCs w:val="22"/>
        </w:rPr>
      </w:pPr>
    </w:p>
    <w:p w14:paraId="341ED254" w14:textId="77777777" w:rsidR="006A5B89" w:rsidRDefault="006A5B89" w:rsidP="006A5B89">
      <w:pPr>
        <w:pStyle w:val="BTEMEASMCA"/>
        <w:rPr>
          <w:noProof w:val="0"/>
          <w:sz w:val="22"/>
          <w:szCs w:val="22"/>
        </w:rPr>
      </w:pPr>
    </w:p>
    <w:p w14:paraId="1D77A946" w14:textId="77777777" w:rsidR="006A5B89" w:rsidRDefault="006A5B89" w:rsidP="006A5B89">
      <w:pPr>
        <w:pStyle w:val="PI-1labEMEASMCA"/>
        <w:rPr>
          <w:sz w:val="22"/>
          <w:szCs w:val="22"/>
        </w:rPr>
      </w:pPr>
      <w:r>
        <w:rPr>
          <w:sz w:val="22"/>
          <w:szCs w:val="22"/>
        </w:rPr>
        <w:t>12.</w:t>
      </w:r>
      <w:r>
        <w:rPr>
          <w:sz w:val="22"/>
          <w:szCs w:val="22"/>
        </w:rPr>
        <w:tab/>
        <w:t xml:space="preserve">REGISTRACIJOS PAŽYMĖJIMO NUMERIS </w:t>
      </w:r>
    </w:p>
    <w:p w14:paraId="12A5A438" w14:textId="77777777" w:rsidR="006A5B89" w:rsidRDefault="006A5B89" w:rsidP="006A5B89">
      <w:pPr>
        <w:pStyle w:val="BTEMEASMCA"/>
        <w:rPr>
          <w:noProof w:val="0"/>
          <w:sz w:val="22"/>
          <w:szCs w:val="22"/>
        </w:rPr>
      </w:pPr>
    </w:p>
    <w:p w14:paraId="7799BE40" w14:textId="77777777" w:rsidR="006A5B89" w:rsidRDefault="006A5B89" w:rsidP="006A5B89">
      <w:pPr>
        <w:autoSpaceDE w:val="0"/>
        <w:autoSpaceDN w:val="0"/>
        <w:adjustRightInd w:val="0"/>
        <w:rPr>
          <w:sz w:val="22"/>
          <w:szCs w:val="22"/>
        </w:rPr>
      </w:pPr>
      <w:r>
        <w:rPr>
          <w:sz w:val="22"/>
          <w:szCs w:val="22"/>
        </w:rPr>
        <w:t>LT/1/98/2570/001</w:t>
      </w:r>
    </w:p>
    <w:p w14:paraId="60248925" w14:textId="77777777" w:rsidR="006A5B89" w:rsidRDefault="006A5B89" w:rsidP="006A5B89">
      <w:pPr>
        <w:pStyle w:val="BTEMEASMCA"/>
        <w:rPr>
          <w:noProof w:val="0"/>
          <w:sz w:val="22"/>
          <w:szCs w:val="22"/>
        </w:rPr>
      </w:pPr>
    </w:p>
    <w:p w14:paraId="74AE3FDB" w14:textId="77777777" w:rsidR="006A5B89" w:rsidRDefault="006A5B89" w:rsidP="006A5B89">
      <w:pPr>
        <w:pStyle w:val="BTEMEASMCA"/>
        <w:rPr>
          <w:noProof w:val="0"/>
          <w:sz w:val="22"/>
          <w:szCs w:val="22"/>
        </w:rPr>
      </w:pPr>
    </w:p>
    <w:p w14:paraId="5BD4B895" w14:textId="77777777" w:rsidR="006A5B89" w:rsidRDefault="006A5B89" w:rsidP="006A5B89">
      <w:pPr>
        <w:pStyle w:val="PI-1labEMEASMCA"/>
        <w:rPr>
          <w:sz w:val="22"/>
          <w:szCs w:val="22"/>
        </w:rPr>
      </w:pPr>
      <w:r>
        <w:rPr>
          <w:sz w:val="22"/>
          <w:szCs w:val="22"/>
        </w:rPr>
        <w:t>13.</w:t>
      </w:r>
      <w:r>
        <w:rPr>
          <w:sz w:val="22"/>
          <w:szCs w:val="22"/>
        </w:rPr>
        <w:tab/>
        <w:t>SERIJOS NUMERIS</w:t>
      </w:r>
    </w:p>
    <w:p w14:paraId="0ABA0812" w14:textId="77777777" w:rsidR="006A5B89" w:rsidRDefault="006A5B89" w:rsidP="006A5B89">
      <w:pPr>
        <w:pStyle w:val="BTEMEASMCA"/>
        <w:rPr>
          <w:noProof w:val="0"/>
          <w:sz w:val="22"/>
          <w:szCs w:val="22"/>
        </w:rPr>
      </w:pPr>
    </w:p>
    <w:p w14:paraId="1DD44926" w14:textId="77777777" w:rsidR="006A5B89" w:rsidRDefault="006A5B89" w:rsidP="006A5B89">
      <w:pPr>
        <w:pStyle w:val="BTEMEASMCA"/>
        <w:rPr>
          <w:sz w:val="22"/>
          <w:szCs w:val="22"/>
        </w:rPr>
      </w:pPr>
      <w:r>
        <w:rPr>
          <w:sz w:val="22"/>
          <w:szCs w:val="22"/>
        </w:rPr>
        <w:t>Lot {numeris}</w:t>
      </w:r>
    </w:p>
    <w:p w14:paraId="7406E987" w14:textId="77777777" w:rsidR="006A5B89" w:rsidRDefault="006A5B89" w:rsidP="006A5B89">
      <w:pPr>
        <w:pStyle w:val="BTEMEASMCA"/>
        <w:rPr>
          <w:noProof w:val="0"/>
          <w:sz w:val="22"/>
          <w:szCs w:val="22"/>
        </w:rPr>
      </w:pPr>
    </w:p>
    <w:p w14:paraId="4839DF1F" w14:textId="77777777" w:rsidR="006A5B89" w:rsidRDefault="006A5B89" w:rsidP="006A5B89">
      <w:pPr>
        <w:pStyle w:val="BTEMEASMCA"/>
        <w:rPr>
          <w:noProof w:val="0"/>
          <w:sz w:val="22"/>
          <w:szCs w:val="22"/>
        </w:rPr>
      </w:pPr>
    </w:p>
    <w:p w14:paraId="6F31847F" w14:textId="77777777" w:rsidR="006A5B89" w:rsidRDefault="006A5B89" w:rsidP="006A5B89">
      <w:pPr>
        <w:pStyle w:val="PI-1labEMEASMCA"/>
        <w:rPr>
          <w:sz w:val="22"/>
          <w:szCs w:val="22"/>
        </w:rPr>
      </w:pPr>
      <w:r>
        <w:rPr>
          <w:sz w:val="22"/>
          <w:szCs w:val="22"/>
        </w:rPr>
        <w:t>14.</w:t>
      </w:r>
      <w:r>
        <w:rPr>
          <w:sz w:val="22"/>
          <w:szCs w:val="22"/>
        </w:rPr>
        <w:tab/>
        <w:t>PARDAVIMO (IŠDAVIMO) TVARKA</w:t>
      </w:r>
    </w:p>
    <w:p w14:paraId="59B4ECFA" w14:textId="77777777" w:rsidR="006A5B89" w:rsidRDefault="006A5B89" w:rsidP="006A5B89">
      <w:pPr>
        <w:pStyle w:val="BTEMEASMCA"/>
        <w:rPr>
          <w:noProof w:val="0"/>
          <w:sz w:val="22"/>
          <w:szCs w:val="22"/>
        </w:rPr>
      </w:pPr>
    </w:p>
    <w:p w14:paraId="0CF421F1" w14:textId="77777777" w:rsidR="006A5B89" w:rsidRDefault="006A5B89" w:rsidP="006A5B89">
      <w:pPr>
        <w:pStyle w:val="BTEMEASMCA"/>
        <w:rPr>
          <w:noProof w:val="0"/>
          <w:sz w:val="22"/>
          <w:szCs w:val="22"/>
        </w:rPr>
      </w:pPr>
      <w:r>
        <w:rPr>
          <w:noProof w:val="0"/>
          <w:sz w:val="22"/>
          <w:szCs w:val="22"/>
        </w:rPr>
        <w:t>Receptinis vaistas.</w:t>
      </w:r>
    </w:p>
    <w:p w14:paraId="0CC6DC57" w14:textId="77777777" w:rsidR="006A5B89" w:rsidRDefault="006A5B89" w:rsidP="006A5B89">
      <w:pPr>
        <w:pStyle w:val="BTEMEASMCA"/>
        <w:rPr>
          <w:noProof w:val="0"/>
          <w:sz w:val="22"/>
          <w:szCs w:val="22"/>
        </w:rPr>
      </w:pPr>
    </w:p>
    <w:p w14:paraId="43FFBB83" w14:textId="77777777" w:rsidR="006A5B89" w:rsidRDefault="006A5B89" w:rsidP="006A5B89">
      <w:pPr>
        <w:pStyle w:val="BTEMEASMCA"/>
        <w:rPr>
          <w:noProof w:val="0"/>
          <w:sz w:val="22"/>
          <w:szCs w:val="22"/>
        </w:rPr>
      </w:pPr>
    </w:p>
    <w:p w14:paraId="44C97C7D" w14:textId="77777777" w:rsidR="006A5B89" w:rsidRDefault="006A5B89" w:rsidP="006A5B89">
      <w:pPr>
        <w:pStyle w:val="PI-1labEMEASMCA"/>
        <w:rPr>
          <w:sz w:val="22"/>
          <w:szCs w:val="22"/>
        </w:rPr>
      </w:pPr>
      <w:r>
        <w:rPr>
          <w:sz w:val="22"/>
          <w:szCs w:val="22"/>
        </w:rPr>
        <w:t>15.</w:t>
      </w:r>
      <w:r>
        <w:rPr>
          <w:sz w:val="22"/>
          <w:szCs w:val="22"/>
        </w:rPr>
        <w:tab/>
        <w:t>VARTOJIMO INSTRUKCIJA</w:t>
      </w:r>
    </w:p>
    <w:p w14:paraId="00B99078" w14:textId="77777777" w:rsidR="006A5B89" w:rsidRDefault="006A5B89" w:rsidP="006A5B89">
      <w:pPr>
        <w:pStyle w:val="BTEMEASMCA"/>
        <w:rPr>
          <w:noProof w:val="0"/>
          <w:sz w:val="22"/>
          <w:szCs w:val="22"/>
        </w:rPr>
      </w:pPr>
    </w:p>
    <w:p w14:paraId="69E802E3" w14:textId="77777777" w:rsidR="006A5B89" w:rsidRDefault="006A5B89" w:rsidP="006A5B89">
      <w:pPr>
        <w:pStyle w:val="BTEMEASMCA"/>
        <w:rPr>
          <w:noProof w:val="0"/>
          <w:sz w:val="22"/>
          <w:szCs w:val="22"/>
        </w:rPr>
      </w:pPr>
    </w:p>
    <w:p w14:paraId="04C3C09F" w14:textId="77777777" w:rsidR="006A5B89" w:rsidRDefault="006A5B89" w:rsidP="006A5B89">
      <w:pPr>
        <w:pStyle w:val="PI-1labEMEASMCA"/>
        <w:rPr>
          <w:sz w:val="22"/>
          <w:szCs w:val="22"/>
        </w:rPr>
      </w:pPr>
      <w:r>
        <w:rPr>
          <w:sz w:val="22"/>
          <w:szCs w:val="22"/>
        </w:rPr>
        <w:t>16.</w:t>
      </w:r>
      <w:r>
        <w:rPr>
          <w:sz w:val="22"/>
          <w:szCs w:val="22"/>
        </w:rPr>
        <w:tab/>
        <w:t>INFORMACIJA BRAILIO RAŠTU</w:t>
      </w:r>
    </w:p>
    <w:p w14:paraId="64C13FE4" w14:textId="77777777" w:rsidR="006A5B89" w:rsidRDefault="006A5B89" w:rsidP="006A5B89">
      <w:pPr>
        <w:pStyle w:val="BTEMEASMCA"/>
        <w:rPr>
          <w:noProof w:val="0"/>
          <w:sz w:val="22"/>
          <w:szCs w:val="22"/>
        </w:rPr>
      </w:pPr>
    </w:p>
    <w:p w14:paraId="64BD0D81" w14:textId="77777777" w:rsidR="006A5B89" w:rsidRDefault="006A5B89" w:rsidP="006A5B89">
      <w:pPr>
        <w:pStyle w:val="BTEMEASMCA"/>
        <w:rPr>
          <w:noProof w:val="0"/>
          <w:sz w:val="22"/>
          <w:szCs w:val="22"/>
        </w:rPr>
      </w:pPr>
      <w:proofErr w:type="spellStart"/>
      <w:r>
        <w:rPr>
          <w:noProof w:val="0"/>
          <w:sz w:val="22"/>
          <w:szCs w:val="22"/>
        </w:rPr>
        <w:t>Livial</w:t>
      </w:r>
      <w:proofErr w:type="spellEnd"/>
    </w:p>
    <w:p w14:paraId="43BBFB7C" w14:textId="77777777" w:rsidR="006A5B89" w:rsidRDefault="006A5B89" w:rsidP="006A5B89">
      <w:pPr>
        <w:pStyle w:val="BTEMEASMCA"/>
        <w:rPr>
          <w:noProof w:val="0"/>
          <w:sz w:val="22"/>
          <w:szCs w:val="22"/>
        </w:rPr>
      </w:pPr>
    </w:p>
    <w:p w14:paraId="1DAB93EC" w14:textId="77777777" w:rsidR="006A5B89" w:rsidRDefault="006A5B89" w:rsidP="006A5B89">
      <w:pPr>
        <w:pStyle w:val="BTEMEASMCA"/>
        <w:rPr>
          <w:noProof w:val="0"/>
          <w:sz w:val="22"/>
          <w:szCs w:val="22"/>
        </w:rPr>
      </w:pPr>
    </w:p>
    <w:p w14:paraId="5A569056" w14:textId="77777777" w:rsidR="006A5B89" w:rsidRDefault="006A5B89" w:rsidP="006A5B8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17.</w:t>
      </w:r>
      <w:r>
        <w:rPr>
          <w:b/>
          <w:noProof/>
          <w:sz w:val="22"/>
          <w:szCs w:val="22"/>
        </w:rPr>
        <w:tab/>
        <w:t>UNIKALUS IDENTIFIKATORIUS – 2D BRŪKŠNINIS KODAS</w:t>
      </w:r>
    </w:p>
    <w:p w14:paraId="45EC17A5" w14:textId="77777777" w:rsidR="006A5B89" w:rsidRDefault="006A5B89" w:rsidP="006A5B89">
      <w:pPr>
        <w:rPr>
          <w:noProof/>
          <w:sz w:val="22"/>
          <w:szCs w:val="22"/>
        </w:rPr>
      </w:pPr>
    </w:p>
    <w:p w14:paraId="0D53FE12" w14:textId="77777777" w:rsidR="006A5B89" w:rsidRDefault="006A5B89" w:rsidP="006A5B89">
      <w:pPr>
        <w:rPr>
          <w:noProof/>
          <w:sz w:val="22"/>
          <w:szCs w:val="22"/>
          <w:shd w:val="clear" w:color="auto" w:fill="CCCCCC"/>
        </w:rPr>
      </w:pPr>
      <w:r>
        <w:rPr>
          <w:noProof/>
          <w:sz w:val="22"/>
          <w:szCs w:val="22"/>
          <w:highlight w:val="lightGray"/>
        </w:rPr>
        <w:t>2D brūkšninis kodas su nurodytu unikaliu identifikatoriumi.</w:t>
      </w:r>
    </w:p>
    <w:p w14:paraId="6A46A5F1" w14:textId="77777777" w:rsidR="006A5B89" w:rsidRDefault="006A5B89" w:rsidP="006A5B89">
      <w:pPr>
        <w:rPr>
          <w:noProof/>
          <w:sz w:val="22"/>
          <w:szCs w:val="22"/>
        </w:rPr>
      </w:pPr>
    </w:p>
    <w:p w14:paraId="3359119A" w14:textId="77777777" w:rsidR="006A5B89" w:rsidRDefault="006A5B89" w:rsidP="006A5B89">
      <w:pPr>
        <w:rPr>
          <w:noProof/>
          <w:sz w:val="22"/>
          <w:szCs w:val="22"/>
        </w:rPr>
      </w:pPr>
    </w:p>
    <w:p w14:paraId="7B050EDE" w14:textId="77777777" w:rsidR="006A5B89" w:rsidRDefault="006A5B89" w:rsidP="006A5B8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18.</w:t>
      </w:r>
      <w:r>
        <w:rPr>
          <w:b/>
          <w:noProof/>
          <w:sz w:val="22"/>
          <w:szCs w:val="22"/>
        </w:rPr>
        <w:tab/>
        <w:t>UNIKALUS IDENTIFIKATORIUS – ŽMONĖMS SUPRANTAMI DUOMENYS</w:t>
      </w:r>
    </w:p>
    <w:p w14:paraId="0C185742" w14:textId="77777777" w:rsidR="006A5B89" w:rsidRDefault="006A5B89" w:rsidP="006A5B89">
      <w:pPr>
        <w:rPr>
          <w:noProof/>
          <w:sz w:val="22"/>
          <w:szCs w:val="22"/>
        </w:rPr>
      </w:pPr>
    </w:p>
    <w:p w14:paraId="1CD83527" w14:textId="77777777" w:rsidR="006A5B89" w:rsidRDefault="006A5B89" w:rsidP="006A5B89">
      <w:pPr>
        <w:rPr>
          <w:color w:val="008000"/>
          <w:sz w:val="22"/>
          <w:szCs w:val="22"/>
        </w:rPr>
      </w:pPr>
      <w:r>
        <w:rPr>
          <w:sz w:val="22"/>
          <w:szCs w:val="22"/>
        </w:rPr>
        <w:t>PC:</w:t>
      </w:r>
    </w:p>
    <w:p w14:paraId="2D7BD928" w14:textId="77777777" w:rsidR="006A5B89" w:rsidRDefault="006A5B89" w:rsidP="006A5B89">
      <w:pPr>
        <w:rPr>
          <w:sz w:val="22"/>
          <w:szCs w:val="22"/>
        </w:rPr>
      </w:pPr>
      <w:r>
        <w:rPr>
          <w:sz w:val="22"/>
          <w:szCs w:val="22"/>
        </w:rPr>
        <w:t>SN:</w:t>
      </w:r>
    </w:p>
    <w:p w14:paraId="0346B205" w14:textId="77777777" w:rsidR="006A5B89" w:rsidRDefault="006A5B89" w:rsidP="006A5B89">
      <w:pPr>
        <w:rPr>
          <w:sz w:val="22"/>
          <w:szCs w:val="22"/>
        </w:rPr>
      </w:pPr>
      <w:r w:rsidRPr="00FB0A9D">
        <w:rPr>
          <w:sz w:val="22"/>
          <w:szCs w:val="22"/>
          <w:highlight w:val="lightGray"/>
        </w:rPr>
        <w:t>NN:</w:t>
      </w:r>
    </w:p>
    <w:p w14:paraId="4A281F2A" w14:textId="77777777" w:rsidR="006A5B89" w:rsidRDefault="006A5B89" w:rsidP="006A5B89">
      <w:pPr>
        <w:pStyle w:val="BTEMEASMCA"/>
        <w:rPr>
          <w:noProof w:val="0"/>
          <w:sz w:val="22"/>
          <w:szCs w:val="22"/>
        </w:rPr>
      </w:pPr>
    </w:p>
    <w:p w14:paraId="004074B1" w14:textId="77777777" w:rsidR="006A5B89" w:rsidRDefault="006A5B89" w:rsidP="006A5B89">
      <w:pPr>
        <w:pStyle w:val="BTEMEASMCA"/>
        <w:rPr>
          <w:noProof w:val="0"/>
          <w:sz w:val="22"/>
          <w:szCs w:val="22"/>
        </w:rPr>
      </w:pPr>
      <w:r>
        <w:rPr>
          <w:sz w:val="22"/>
          <w:szCs w:val="22"/>
        </w:rPr>
        <w:br w:type="page"/>
      </w:r>
    </w:p>
    <w:p w14:paraId="43C95A08" w14:textId="77777777" w:rsidR="006A5B89" w:rsidRDefault="006A5B89" w:rsidP="006A5B89">
      <w:pPr>
        <w:pStyle w:val="PI-1labEMEASMCA"/>
        <w:rPr>
          <w:sz w:val="22"/>
          <w:szCs w:val="22"/>
        </w:rPr>
      </w:pPr>
      <w:r>
        <w:rPr>
          <w:sz w:val="22"/>
          <w:szCs w:val="22"/>
        </w:rPr>
        <w:lastRenderedPageBreak/>
        <w:t xml:space="preserve">MINIMALI </w:t>
      </w:r>
      <w:r>
        <w:rPr>
          <w:caps/>
          <w:sz w:val="22"/>
          <w:szCs w:val="22"/>
        </w:rPr>
        <w:t xml:space="preserve">informacija ant </w:t>
      </w:r>
      <w:r>
        <w:rPr>
          <w:sz w:val="22"/>
          <w:szCs w:val="22"/>
        </w:rPr>
        <w:t xml:space="preserve">LIZDINIŲ PLOKŠTELIŲ </w:t>
      </w:r>
    </w:p>
    <w:p w14:paraId="1E8FB36F" w14:textId="77777777" w:rsidR="006A5B89" w:rsidRDefault="006A5B89" w:rsidP="006A5B89">
      <w:pPr>
        <w:pStyle w:val="PI-1labEMEASMCA"/>
        <w:rPr>
          <w:sz w:val="22"/>
          <w:szCs w:val="22"/>
        </w:rPr>
      </w:pPr>
      <w:r>
        <w:rPr>
          <w:sz w:val="22"/>
          <w:szCs w:val="22"/>
        </w:rPr>
        <w:t>LIZDINĖ PLOKŠTELĖ</w:t>
      </w:r>
    </w:p>
    <w:p w14:paraId="09E378FA" w14:textId="77777777" w:rsidR="006A5B89" w:rsidRDefault="006A5B89" w:rsidP="006A5B89">
      <w:pPr>
        <w:pStyle w:val="BTEMEASMCA"/>
        <w:rPr>
          <w:noProof w:val="0"/>
          <w:sz w:val="22"/>
          <w:szCs w:val="22"/>
        </w:rPr>
      </w:pPr>
    </w:p>
    <w:p w14:paraId="76A4C584" w14:textId="77777777" w:rsidR="006A5B89" w:rsidRDefault="006A5B89" w:rsidP="006A5B89">
      <w:pPr>
        <w:pStyle w:val="BTEMEASMCA"/>
        <w:rPr>
          <w:noProof w:val="0"/>
          <w:sz w:val="22"/>
          <w:szCs w:val="22"/>
        </w:rPr>
      </w:pPr>
    </w:p>
    <w:p w14:paraId="2A3A49B9" w14:textId="77777777" w:rsidR="006A5B89" w:rsidRDefault="006A5B89" w:rsidP="006A5B89">
      <w:pPr>
        <w:pStyle w:val="PI-1labEMEASMCA"/>
        <w:rPr>
          <w:sz w:val="22"/>
          <w:szCs w:val="22"/>
        </w:rPr>
      </w:pPr>
      <w:r>
        <w:rPr>
          <w:sz w:val="22"/>
          <w:szCs w:val="22"/>
        </w:rPr>
        <w:t>1.</w:t>
      </w:r>
      <w:r>
        <w:rPr>
          <w:sz w:val="22"/>
          <w:szCs w:val="22"/>
        </w:rPr>
        <w:tab/>
        <w:t>VAISTINIO PREPARATO PAVADINIMAS</w:t>
      </w:r>
    </w:p>
    <w:p w14:paraId="192AFFEC" w14:textId="77777777" w:rsidR="006A5B89" w:rsidRDefault="006A5B89" w:rsidP="006A5B89">
      <w:pPr>
        <w:pStyle w:val="BTEMEASMCA"/>
        <w:rPr>
          <w:noProof w:val="0"/>
          <w:sz w:val="22"/>
          <w:szCs w:val="22"/>
        </w:rPr>
      </w:pPr>
    </w:p>
    <w:p w14:paraId="21A8BFAD" w14:textId="77777777" w:rsidR="006A5B89" w:rsidRDefault="006A5B89" w:rsidP="006A5B89">
      <w:pPr>
        <w:jc w:val="both"/>
        <w:rPr>
          <w:bCs/>
          <w:sz w:val="22"/>
          <w:szCs w:val="22"/>
        </w:rPr>
      </w:pPr>
      <w:proofErr w:type="spellStart"/>
      <w:r>
        <w:rPr>
          <w:bCs/>
          <w:sz w:val="22"/>
          <w:szCs w:val="22"/>
        </w:rPr>
        <w:t>Livial</w:t>
      </w:r>
      <w:proofErr w:type="spellEnd"/>
      <w:r>
        <w:rPr>
          <w:bCs/>
          <w:sz w:val="22"/>
          <w:szCs w:val="22"/>
        </w:rPr>
        <w:t xml:space="preserve"> 2,5 mg tabletės</w:t>
      </w:r>
    </w:p>
    <w:p w14:paraId="61CE1980" w14:textId="77777777" w:rsidR="006A5B89" w:rsidRDefault="006A5B89" w:rsidP="006A5B89">
      <w:pPr>
        <w:jc w:val="both"/>
        <w:rPr>
          <w:bCs/>
          <w:iCs/>
          <w:sz w:val="22"/>
          <w:szCs w:val="22"/>
        </w:rPr>
      </w:pPr>
      <w:proofErr w:type="spellStart"/>
      <w:r>
        <w:rPr>
          <w:bCs/>
          <w:iCs/>
          <w:sz w:val="22"/>
          <w:szCs w:val="22"/>
        </w:rPr>
        <w:t>Tibolonas</w:t>
      </w:r>
      <w:proofErr w:type="spellEnd"/>
    </w:p>
    <w:p w14:paraId="3AB5328B" w14:textId="77777777" w:rsidR="006A5B89" w:rsidRDefault="006A5B89" w:rsidP="006A5B89">
      <w:pPr>
        <w:pStyle w:val="BTEMEASMCA"/>
        <w:rPr>
          <w:noProof w:val="0"/>
          <w:sz w:val="22"/>
          <w:szCs w:val="22"/>
        </w:rPr>
      </w:pPr>
    </w:p>
    <w:p w14:paraId="5460DFAD" w14:textId="77777777" w:rsidR="006A5B89" w:rsidRDefault="006A5B89" w:rsidP="006A5B89">
      <w:pPr>
        <w:pStyle w:val="BTEMEASMCA"/>
        <w:rPr>
          <w:noProof w:val="0"/>
          <w:sz w:val="22"/>
          <w:szCs w:val="22"/>
        </w:rPr>
      </w:pPr>
    </w:p>
    <w:p w14:paraId="2371E03E" w14:textId="77777777" w:rsidR="006A5B89" w:rsidRDefault="006A5B89" w:rsidP="006A5B89">
      <w:pPr>
        <w:pStyle w:val="PI-1labEMEASMCA"/>
        <w:rPr>
          <w:sz w:val="22"/>
          <w:szCs w:val="22"/>
        </w:rPr>
      </w:pPr>
      <w:r>
        <w:rPr>
          <w:sz w:val="22"/>
          <w:szCs w:val="22"/>
        </w:rPr>
        <w:t>2.</w:t>
      </w:r>
      <w:r>
        <w:rPr>
          <w:sz w:val="22"/>
          <w:szCs w:val="22"/>
        </w:rPr>
        <w:tab/>
        <w:t>REGISTRUOTOJO PAVADINIMAS</w:t>
      </w:r>
    </w:p>
    <w:p w14:paraId="62B46FAE" w14:textId="77777777" w:rsidR="006A5B89" w:rsidRDefault="006A5B89" w:rsidP="006A5B89">
      <w:pPr>
        <w:pStyle w:val="BTEMEASMCA"/>
        <w:rPr>
          <w:noProof w:val="0"/>
          <w:sz w:val="22"/>
          <w:szCs w:val="22"/>
        </w:rPr>
      </w:pPr>
    </w:p>
    <w:p w14:paraId="3F2D5927" w14:textId="1026EE25" w:rsidR="006A5B89" w:rsidRDefault="000314FD" w:rsidP="006A5B89">
      <w:pPr>
        <w:pStyle w:val="BTEMEASMCA"/>
        <w:rPr>
          <w:noProof w:val="0"/>
          <w:sz w:val="22"/>
          <w:szCs w:val="22"/>
        </w:rPr>
      </w:pPr>
      <w:r>
        <w:rPr>
          <w:sz w:val="22"/>
          <w:szCs w:val="22"/>
        </w:rPr>
        <w:t>Organon</w:t>
      </w:r>
    </w:p>
    <w:p w14:paraId="49C1F912" w14:textId="77777777" w:rsidR="006A5B89" w:rsidRDefault="006A5B89" w:rsidP="006A5B89">
      <w:pPr>
        <w:pStyle w:val="BTEMEASMCA"/>
        <w:rPr>
          <w:noProof w:val="0"/>
          <w:sz w:val="22"/>
          <w:szCs w:val="22"/>
        </w:rPr>
      </w:pPr>
    </w:p>
    <w:p w14:paraId="317D0174" w14:textId="77777777" w:rsidR="006A5B89" w:rsidRDefault="006A5B89" w:rsidP="006A5B89">
      <w:pPr>
        <w:pStyle w:val="BTEMEASMCA"/>
        <w:rPr>
          <w:noProof w:val="0"/>
          <w:sz w:val="22"/>
          <w:szCs w:val="22"/>
        </w:rPr>
      </w:pPr>
    </w:p>
    <w:p w14:paraId="23AD97C8" w14:textId="77777777" w:rsidR="006A5B89" w:rsidRDefault="006A5B89" w:rsidP="006A5B89">
      <w:pPr>
        <w:pStyle w:val="PI-1labEMEASMCA"/>
        <w:rPr>
          <w:sz w:val="22"/>
          <w:szCs w:val="22"/>
        </w:rPr>
      </w:pPr>
      <w:r>
        <w:rPr>
          <w:sz w:val="22"/>
          <w:szCs w:val="22"/>
        </w:rPr>
        <w:t>3.</w:t>
      </w:r>
      <w:r>
        <w:rPr>
          <w:sz w:val="22"/>
          <w:szCs w:val="22"/>
        </w:rPr>
        <w:tab/>
        <w:t>TINKAMUMO LAIKAS</w:t>
      </w:r>
    </w:p>
    <w:p w14:paraId="55A4A8EC" w14:textId="77777777" w:rsidR="006A5B89" w:rsidRDefault="006A5B89" w:rsidP="006A5B89">
      <w:pPr>
        <w:pStyle w:val="BTEMEASMCA"/>
        <w:rPr>
          <w:noProof w:val="0"/>
          <w:sz w:val="22"/>
          <w:szCs w:val="22"/>
        </w:rPr>
      </w:pPr>
    </w:p>
    <w:p w14:paraId="28F15AB3" w14:textId="77777777" w:rsidR="006A5B89" w:rsidRDefault="006A5B89" w:rsidP="006A5B89">
      <w:pPr>
        <w:pStyle w:val="BTEMEASMCA"/>
        <w:rPr>
          <w:noProof w:val="0"/>
          <w:sz w:val="22"/>
          <w:szCs w:val="22"/>
        </w:rPr>
      </w:pPr>
      <w:r>
        <w:rPr>
          <w:noProof w:val="0"/>
          <w:sz w:val="22"/>
          <w:szCs w:val="22"/>
        </w:rPr>
        <w:t xml:space="preserve">EXP </w:t>
      </w:r>
      <w:r>
        <w:rPr>
          <w:sz w:val="22"/>
          <w:szCs w:val="22"/>
        </w:rPr>
        <w:t>{mm/MMMM}</w:t>
      </w:r>
    </w:p>
    <w:p w14:paraId="4E314D42" w14:textId="77777777" w:rsidR="006A5B89" w:rsidRDefault="006A5B89" w:rsidP="006A5B89">
      <w:pPr>
        <w:pStyle w:val="BTEMEASMCA"/>
        <w:rPr>
          <w:noProof w:val="0"/>
          <w:sz w:val="22"/>
          <w:szCs w:val="22"/>
        </w:rPr>
      </w:pPr>
    </w:p>
    <w:p w14:paraId="546DBAB6" w14:textId="77777777" w:rsidR="006A5B89" w:rsidRDefault="006A5B89" w:rsidP="006A5B89">
      <w:pPr>
        <w:pStyle w:val="BTEMEASMCA"/>
        <w:rPr>
          <w:noProof w:val="0"/>
          <w:sz w:val="22"/>
          <w:szCs w:val="22"/>
        </w:rPr>
      </w:pPr>
    </w:p>
    <w:p w14:paraId="10A0BAE0" w14:textId="77777777" w:rsidR="006A5B89" w:rsidRDefault="006A5B89" w:rsidP="006A5B89">
      <w:pPr>
        <w:pStyle w:val="PI-1labEMEASMCA"/>
        <w:rPr>
          <w:sz w:val="22"/>
          <w:szCs w:val="22"/>
        </w:rPr>
      </w:pPr>
      <w:r>
        <w:rPr>
          <w:sz w:val="22"/>
          <w:szCs w:val="22"/>
        </w:rPr>
        <w:t>4.</w:t>
      </w:r>
      <w:r>
        <w:rPr>
          <w:sz w:val="22"/>
          <w:szCs w:val="22"/>
        </w:rPr>
        <w:tab/>
        <w:t>SERIJOS NUMERIS</w:t>
      </w:r>
    </w:p>
    <w:p w14:paraId="012DE64A" w14:textId="77777777" w:rsidR="006A5B89" w:rsidRDefault="006A5B89" w:rsidP="006A5B89">
      <w:pPr>
        <w:pStyle w:val="BTEMEASMCA"/>
        <w:rPr>
          <w:noProof w:val="0"/>
          <w:sz w:val="22"/>
          <w:szCs w:val="22"/>
        </w:rPr>
      </w:pPr>
    </w:p>
    <w:p w14:paraId="58E8603A" w14:textId="77777777" w:rsidR="006A5B89" w:rsidRDefault="006A5B89" w:rsidP="006A5B89">
      <w:pPr>
        <w:pStyle w:val="BTEMEASMCA"/>
        <w:rPr>
          <w:noProof w:val="0"/>
          <w:sz w:val="22"/>
          <w:szCs w:val="22"/>
        </w:rPr>
      </w:pPr>
      <w:proofErr w:type="spellStart"/>
      <w:r>
        <w:rPr>
          <w:noProof w:val="0"/>
          <w:sz w:val="22"/>
          <w:szCs w:val="22"/>
        </w:rPr>
        <w:t>Lot</w:t>
      </w:r>
      <w:proofErr w:type="spellEnd"/>
      <w:r>
        <w:rPr>
          <w:noProof w:val="0"/>
          <w:sz w:val="22"/>
          <w:szCs w:val="22"/>
        </w:rPr>
        <w:t xml:space="preserve"> </w:t>
      </w:r>
      <w:r>
        <w:rPr>
          <w:sz w:val="22"/>
          <w:szCs w:val="22"/>
        </w:rPr>
        <w:t>{numeris}</w:t>
      </w:r>
    </w:p>
    <w:p w14:paraId="65C06584" w14:textId="77777777" w:rsidR="006A5B89" w:rsidRDefault="006A5B89" w:rsidP="006A5B89">
      <w:pPr>
        <w:pStyle w:val="BTEMEASMCA"/>
        <w:rPr>
          <w:noProof w:val="0"/>
          <w:sz w:val="22"/>
          <w:szCs w:val="22"/>
        </w:rPr>
      </w:pPr>
    </w:p>
    <w:p w14:paraId="21035318" w14:textId="77777777" w:rsidR="006A5B89" w:rsidRDefault="006A5B89" w:rsidP="006A5B89">
      <w:pPr>
        <w:pStyle w:val="BTEMEASMCA"/>
        <w:rPr>
          <w:noProof w:val="0"/>
          <w:sz w:val="22"/>
          <w:szCs w:val="22"/>
        </w:rPr>
      </w:pPr>
    </w:p>
    <w:p w14:paraId="179786E7" w14:textId="77777777" w:rsidR="006A5B89" w:rsidRDefault="006A5B89" w:rsidP="006A5B89">
      <w:pPr>
        <w:pStyle w:val="PI-1labEMEASMCA"/>
        <w:rPr>
          <w:sz w:val="22"/>
          <w:szCs w:val="22"/>
        </w:rPr>
      </w:pPr>
      <w:r>
        <w:rPr>
          <w:sz w:val="22"/>
          <w:szCs w:val="22"/>
        </w:rPr>
        <w:t>5.</w:t>
      </w:r>
      <w:r>
        <w:rPr>
          <w:sz w:val="22"/>
          <w:szCs w:val="22"/>
        </w:rPr>
        <w:tab/>
        <w:t>KITA</w:t>
      </w:r>
    </w:p>
    <w:p w14:paraId="2B1F14D3" w14:textId="77777777" w:rsidR="006A5B89" w:rsidRDefault="006A5B89" w:rsidP="006A5B89">
      <w:pPr>
        <w:pStyle w:val="BTEMEASMCA"/>
        <w:rPr>
          <w:noProof w:val="0"/>
          <w:sz w:val="22"/>
          <w:szCs w:val="22"/>
        </w:rPr>
      </w:pPr>
    </w:p>
    <w:p w14:paraId="626EB260" w14:textId="77777777" w:rsidR="006A5B89" w:rsidRDefault="006A5B89" w:rsidP="006A5B89">
      <w:pPr>
        <w:pStyle w:val="BTEMEASMCA"/>
        <w:rPr>
          <w:sz w:val="22"/>
          <w:szCs w:val="22"/>
        </w:rPr>
      </w:pPr>
      <w:r>
        <w:rPr>
          <w:sz w:val="22"/>
          <w:szCs w:val="22"/>
        </w:rPr>
        <w:t>P., A., T., K., Pn., Š., S.</w:t>
      </w:r>
    </w:p>
    <w:p w14:paraId="4BBDF0E7" w14:textId="77777777" w:rsidR="006A5B89" w:rsidRDefault="006A5B89" w:rsidP="006A5B89">
      <w:pPr>
        <w:pStyle w:val="BTEMEASMCA"/>
        <w:rPr>
          <w:sz w:val="22"/>
          <w:szCs w:val="22"/>
        </w:rPr>
      </w:pPr>
    </w:p>
    <w:p w14:paraId="50CFBA90" w14:textId="77777777" w:rsidR="006A5B89" w:rsidRDefault="006A5B89" w:rsidP="006A5B89">
      <w:pPr>
        <w:pStyle w:val="BTEMEASMCA"/>
        <w:rPr>
          <w:sz w:val="22"/>
          <w:szCs w:val="22"/>
        </w:rPr>
      </w:pPr>
    </w:p>
    <w:p w14:paraId="4C350EB0" w14:textId="77777777" w:rsidR="006A5B89" w:rsidRDefault="006A5B89" w:rsidP="006A5B89">
      <w:pPr>
        <w:pStyle w:val="BTEMEASMCA"/>
        <w:rPr>
          <w:sz w:val="22"/>
          <w:szCs w:val="22"/>
        </w:rPr>
      </w:pPr>
    </w:p>
    <w:p w14:paraId="2A8150C1" w14:textId="77777777" w:rsidR="006A5B89" w:rsidRDefault="006A5B89" w:rsidP="006A5B89">
      <w:pPr>
        <w:pStyle w:val="BTEMEASMCA"/>
        <w:rPr>
          <w:sz w:val="22"/>
          <w:szCs w:val="22"/>
        </w:rPr>
      </w:pPr>
    </w:p>
    <w:p w14:paraId="3E03B549" w14:textId="77777777" w:rsidR="006A5B89" w:rsidRDefault="006A5B89" w:rsidP="006A5B89">
      <w:pPr>
        <w:pStyle w:val="BTEMEASMCA"/>
        <w:rPr>
          <w:sz w:val="22"/>
          <w:szCs w:val="22"/>
        </w:rPr>
      </w:pPr>
    </w:p>
    <w:p w14:paraId="2F4E7BB3" w14:textId="77777777" w:rsidR="006A5B89" w:rsidRDefault="006A5B89" w:rsidP="006A5B89">
      <w:pPr>
        <w:pStyle w:val="BTEMEASMCA"/>
        <w:rPr>
          <w:sz w:val="22"/>
          <w:szCs w:val="22"/>
        </w:rPr>
      </w:pPr>
    </w:p>
    <w:p w14:paraId="70EC551F" w14:textId="77777777" w:rsidR="006A5B89" w:rsidRDefault="006A5B89" w:rsidP="006A5B89">
      <w:pPr>
        <w:pStyle w:val="BTEMEASMCA"/>
        <w:rPr>
          <w:sz w:val="22"/>
          <w:szCs w:val="22"/>
        </w:rPr>
      </w:pPr>
    </w:p>
    <w:p w14:paraId="358A70F6" w14:textId="77777777" w:rsidR="006A5B89" w:rsidRDefault="006A5B89" w:rsidP="006A5B89">
      <w:pPr>
        <w:pStyle w:val="BTEMEASMCA"/>
        <w:rPr>
          <w:sz w:val="22"/>
          <w:szCs w:val="22"/>
        </w:rPr>
      </w:pPr>
    </w:p>
    <w:p w14:paraId="1B1C5A05" w14:textId="77777777" w:rsidR="006A5B89" w:rsidRDefault="006A5B89" w:rsidP="006A5B89">
      <w:pPr>
        <w:pStyle w:val="BTEMEASMCA"/>
        <w:rPr>
          <w:noProof w:val="0"/>
          <w:sz w:val="22"/>
          <w:szCs w:val="22"/>
        </w:rPr>
      </w:pPr>
    </w:p>
    <w:p w14:paraId="29B644B0" w14:textId="77777777" w:rsidR="006A5B89" w:rsidRDefault="006A5B89" w:rsidP="006A5B89">
      <w:pPr>
        <w:pStyle w:val="BTEMEASMCA"/>
        <w:rPr>
          <w:sz w:val="22"/>
          <w:szCs w:val="22"/>
        </w:rPr>
      </w:pPr>
    </w:p>
    <w:p w14:paraId="5075E9BB" w14:textId="77777777" w:rsidR="006A5B89" w:rsidRDefault="006A5B89" w:rsidP="006A5B89">
      <w:pPr>
        <w:pStyle w:val="BTEMEASMCA"/>
        <w:rPr>
          <w:sz w:val="22"/>
          <w:szCs w:val="22"/>
        </w:rPr>
      </w:pPr>
    </w:p>
    <w:p w14:paraId="569483F3" w14:textId="77777777" w:rsidR="006A5B89" w:rsidRDefault="006A5B89" w:rsidP="006A5B89">
      <w:pPr>
        <w:pStyle w:val="BTEMEASMCA"/>
        <w:rPr>
          <w:noProof w:val="0"/>
          <w:sz w:val="22"/>
          <w:szCs w:val="22"/>
        </w:rPr>
      </w:pPr>
    </w:p>
    <w:p w14:paraId="1A96D307" w14:textId="77777777" w:rsidR="006A5B89" w:rsidRDefault="006A5B89" w:rsidP="006A5B89">
      <w:pPr>
        <w:rPr>
          <w:sz w:val="22"/>
          <w:szCs w:val="22"/>
        </w:rPr>
      </w:pPr>
    </w:p>
    <w:p w14:paraId="272A6D8A" w14:textId="77777777" w:rsidR="006A5B89" w:rsidRDefault="006A5B89" w:rsidP="006A5B89">
      <w:pPr>
        <w:autoSpaceDE w:val="0"/>
        <w:autoSpaceDN w:val="0"/>
        <w:adjustRightInd w:val="0"/>
        <w:jc w:val="center"/>
        <w:rPr>
          <w:b/>
          <w:sz w:val="22"/>
          <w:szCs w:val="22"/>
        </w:rPr>
      </w:pPr>
    </w:p>
    <w:p w14:paraId="21B9113D" w14:textId="77777777" w:rsidR="006A5B89" w:rsidRDefault="006A5B89" w:rsidP="006A5B89">
      <w:pPr>
        <w:autoSpaceDE w:val="0"/>
        <w:autoSpaceDN w:val="0"/>
        <w:adjustRightInd w:val="0"/>
        <w:jc w:val="center"/>
        <w:rPr>
          <w:b/>
          <w:sz w:val="22"/>
          <w:szCs w:val="22"/>
        </w:rPr>
      </w:pPr>
    </w:p>
    <w:p w14:paraId="53D71D49" w14:textId="77777777" w:rsidR="006A5B89" w:rsidRDefault="006A5B89" w:rsidP="006A5B89">
      <w:pPr>
        <w:autoSpaceDE w:val="0"/>
        <w:autoSpaceDN w:val="0"/>
        <w:adjustRightInd w:val="0"/>
        <w:jc w:val="center"/>
        <w:rPr>
          <w:b/>
          <w:sz w:val="22"/>
          <w:szCs w:val="22"/>
        </w:rPr>
      </w:pPr>
    </w:p>
    <w:p w14:paraId="7E8B6856" w14:textId="77777777" w:rsidR="006A5B89" w:rsidRDefault="006A5B89" w:rsidP="006A5B89">
      <w:pPr>
        <w:autoSpaceDE w:val="0"/>
        <w:autoSpaceDN w:val="0"/>
        <w:adjustRightInd w:val="0"/>
        <w:jc w:val="center"/>
        <w:rPr>
          <w:b/>
          <w:sz w:val="22"/>
          <w:szCs w:val="22"/>
        </w:rPr>
      </w:pPr>
    </w:p>
    <w:p w14:paraId="452E9DE2" w14:textId="77777777" w:rsidR="006A5B89" w:rsidRDefault="006A5B89" w:rsidP="006A5B89">
      <w:pPr>
        <w:autoSpaceDE w:val="0"/>
        <w:autoSpaceDN w:val="0"/>
        <w:adjustRightInd w:val="0"/>
        <w:jc w:val="center"/>
        <w:rPr>
          <w:b/>
          <w:sz w:val="22"/>
          <w:szCs w:val="22"/>
        </w:rPr>
      </w:pPr>
    </w:p>
    <w:p w14:paraId="286BBDA5" w14:textId="77777777" w:rsidR="006A5B89" w:rsidRDefault="006A5B89" w:rsidP="006A5B89">
      <w:pPr>
        <w:autoSpaceDE w:val="0"/>
        <w:autoSpaceDN w:val="0"/>
        <w:adjustRightInd w:val="0"/>
        <w:jc w:val="center"/>
        <w:rPr>
          <w:b/>
          <w:sz w:val="22"/>
          <w:szCs w:val="22"/>
        </w:rPr>
      </w:pPr>
    </w:p>
    <w:p w14:paraId="485734EA" w14:textId="77777777" w:rsidR="006A5B89" w:rsidRDefault="006A5B89" w:rsidP="006A5B89">
      <w:pPr>
        <w:autoSpaceDE w:val="0"/>
        <w:autoSpaceDN w:val="0"/>
        <w:adjustRightInd w:val="0"/>
        <w:jc w:val="center"/>
        <w:rPr>
          <w:b/>
          <w:sz w:val="22"/>
          <w:szCs w:val="22"/>
        </w:rPr>
      </w:pPr>
    </w:p>
    <w:p w14:paraId="5495C3E8" w14:textId="77777777" w:rsidR="006A5B89" w:rsidRDefault="006A5B89" w:rsidP="006A5B89">
      <w:pPr>
        <w:autoSpaceDE w:val="0"/>
        <w:autoSpaceDN w:val="0"/>
        <w:adjustRightInd w:val="0"/>
        <w:jc w:val="center"/>
        <w:rPr>
          <w:b/>
          <w:sz w:val="22"/>
          <w:szCs w:val="22"/>
        </w:rPr>
      </w:pPr>
    </w:p>
    <w:p w14:paraId="10897F63" w14:textId="77777777" w:rsidR="006A5B89" w:rsidRDefault="006A5B89" w:rsidP="006A5B89">
      <w:pPr>
        <w:autoSpaceDE w:val="0"/>
        <w:autoSpaceDN w:val="0"/>
        <w:adjustRightInd w:val="0"/>
        <w:jc w:val="center"/>
        <w:rPr>
          <w:b/>
          <w:sz w:val="22"/>
          <w:szCs w:val="22"/>
        </w:rPr>
      </w:pPr>
    </w:p>
    <w:p w14:paraId="05E8C638" w14:textId="77777777" w:rsidR="006A5B89" w:rsidRDefault="006A5B89" w:rsidP="006A5B89">
      <w:pPr>
        <w:autoSpaceDE w:val="0"/>
        <w:autoSpaceDN w:val="0"/>
        <w:adjustRightInd w:val="0"/>
        <w:jc w:val="center"/>
        <w:rPr>
          <w:b/>
          <w:sz w:val="22"/>
          <w:szCs w:val="22"/>
        </w:rPr>
      </w:pPr>
    </w:p>
    <w:p w14:paraId="4E09103C" w14:textId="77777777" w:rsidR="006A5B89" w:rsidRDefault="006A5B89" w:rsidP="006A5B89">
      <w:pPr>
        <w:autoSpaceDE w:val="0"/>
        <w:autoSpaceDN w:val="0"/>
        <w:adjustRightInd w:val="0"/>
        <w:jc w:val="center"/>
        <w:rPr>
          <w:b/>
          <w:sz w:val="22"/>
          <w:szCs w:val="22"/>
        </w:rPr>
      </w:pPr>
    </w:p>
    <w:p w14:paraId="4CC0A8FC" w14:textId="77777777" w:rsidR="006A5B89" w:rsidRDefault="006A5B89" w:rsidP="006A5B89">
      <w:pPr>
        <w:autoSpaceDE w:val="0"/>
        <w:autoSpaceDN w:val="0"/>
        <w:adjustRightInd w:val="0"/>
        <w:jc w:val="center"/>
        <w:rPr>
          <w:b/>
          <w:sz w:val="22"/>
          <w:szCs w:val="22"/>
        </w:rPr>
      </w:pPr>
    </w:p>
    <w:p w14:paraId="161FA790" w14:textId="77777777" w:rsidR="006A5B89" w:rsidRDefault="006A5B89" w:rsidP="006A5B89">
      <w:pPr>
        <w:autoSpaceDE w:val="0"/>
        <w:autoSpaceDN w:val="0"/>
        <w:adjustRightInd w:val="0"/>
        <w:jc w:val="center"/>
        <w:rPr>
          <w:b/>
          <w:sz w:val="22"/>
          <w:szCs w:val="22"/>
        </w:rPr>
      </w:pPr>
    </w:p>
    <w:p w14:paraId="576BF4E3" w14:textId="77777777" w:rsidR="006A5B89" w:rsidRDefault="006A5B89" w:rsidP="006A5B89">
      <w:pPr>
        <w:autoSpaceDE w:val="0"/>
        <w:autoSpaceDN w:val="0"/>
        <w:adjustRightInd w:val="0"/>
        <w:jc w:val="center"/>
        <w:rPr>
          <w:b/>
          <w:sz w:val="22"/>
          <w:szCs w:val="22"/>
        </w:rPr>
      </w:pPr>
    </w:p>
    <w:p w14:paraId="639E7D6F" w14:textId="77777777" w:rsidR="006A5B89" w:rsidRDefault="006A5B89" w:rsidP="006A5B89">
      <w:pPr>
        <w:autoSpaceDE w:val="0"/>
        <w:autoSpaceDN w:val="0"/>
        <w:adjustRightInd w:val="0"/>
        <w:jc w:val="center"/>
        <w:rPr>
          <w:b/>
          <w:sz w:val="22"/>
          <w:szCs w:val="22"/>
        </w:rPr>
      </w:pPr>
    </w:p>
    <w:p w14:paraId="523EE46A" w14:textId="77777777" w:rsidR="006A5B89" w:rsidRDefault="006A5B89" w:rsidP="006A5B89">
      <w:pPr>
        <w:autoSpaceDE w:val="0"/>
        <w:autoSpaceDN w:val="0"/>
        <w:adjustRightInd w:val="0"/>
        <w:jc w:val="center"/>
        <w:rPr>
          <w:b/>
          <w:sz w:val="22"/>
          <w:szCs w:val="22"/>
        </w:rPr>
      </w:pPr>
    </w:p>
    <w:p w14:paraId="51CD8F39" w14:textId="77777777" w:rsidR="006A5B89" w:rsidRDefault="006A5B89" w:rsidP="006A5B89">
      <w:pPr>
        <w:autoSpaceDE w:val="0"/>
        <w:autoSpaceDN w:val="0"/>
        <w:adjustRightInd w:val="0"/>
        <w:jc w:val="center"/>
        <w:rPr>
          <w:b/>
          <w:sz w:val="22"/>
          <w:szCs w:val="22"/>
        </w:rPr>
      </w:pPr>
    </w:p>
    <w:p w14:paraId="55FC59F1" w14:textId="77777777" w:rsidR="006A5B89" w:rsidRDefault="006A5B89" w:rsidP="006A5B89">
      <w:pPr>
        <w:autoSpaceDE w:val="0"/>
        <w:autoSpaceDN w:val="0"/>
        <w:adjustRightInd w:val="0"/>
        <w:jc w:val="center"/>
        <w:rPr>
          <w:b/>
          <w:sz w:val="22"/>
          <w:szCs w:val="22"/>
        </w:rPr>
      </w:pPr>
    </w:p>
    <w:p w14:paraId="4D136364" w14:textId="77777777" w:rsidR="006A5B89" w:rsidRDefault="006A5B89" w:rsidP="006A5B89">
      <w:pPr>
        <w:autoSpaceDE w:val="0"/>
        <w:autoSpaceDN w:val="0"/>
        <w:adjustRightInd w:val="0"/>
        <w:jc w:val="center"/>
        <w:rPr>
          <w:b/>
          <w:sz w:val="22"/>
          <w:szCs w:val="22"/>
        </w:rPr>
      </w:pPr>
    </w:p>
    <w:p w14:paraId="7BD8E24B" w14:textId="77777777" w:rsidR="006A5B89" w:rsidRDefault="006A5B89" w:rsidP="006A5B89">
      <w:pPr>
        <w:autoSpaceDE w:val="0"/>
        <w:autoSpaceDN w:val="0"/>
        <w:adjustRightInd w:val="0"/>
        <w:jc w:val="center"/>
        <w:rPr>
          <w:b/>
          <w:sz w:val="22"/>
          <w:szCs w:val="22"/>
        </w:rPr>
      </w:pPr>
    </w:p>
    <w:p w14:paraId="4A6E57D3" w14:textId="77777777" w:rsidR="006A5B89" w:rsidRDefault="006A5B89" w:rsidP="006A5B89">
      <w:pPr>
        <w:autoSpaceDE w:val="0"/>
        <w:autoSpaceDN w:val="0"/>
        <w:adjustRightInd w:val="0"/>
        <w:jc w:val="center"/>
        <w:rPr>
          <w:b/>
          <w:sz w:val="22"/>
          <w:szCs w:val="22"/>
        </w:rPr>
      </w:pPr>
    </w:p>
    <w:p w14:paraId="062C07CE" w14:textId="77777777" w:rsidR="006A5B89" w:rsidRDefault="006A5B89" w:rsidP="006A5B89">
      <w:pPr>
        <w:autoSpaceDE w:val="0"/>
        <w:autoSpaceDN w:val="0"/>
        <w:adjustRightInd w:val="0"/>
        <w:rPr>
          <w:b/>
          <w:sz w:val="22"/>
          <w:szCs w:val="22"/>
        </w:rPr>
      </w:pPr>
    </w:p>
    <w:p w14:paraId="62342E9E" w14:textId="77777777" w:rsidR="006A5B89" w:rsidRDefault="006A5B89" w:rsidP="006A5B89">
      <w:pPr>
        <w:autoSpaceDE w:val="0"/>
        <w:autoSpaceDN w:val="0"/>
        <w:adjustRightInd w:val="0"/>
        <w:jc w:val="center"/>
        <w:outlineLvl w:val="0"/>
        <w:rPr>
          <w:b/>
          <w:sz w:val="22"/>
          <w:szCs w:val="22"/>
        </w:rPr>
      </w:pPr>
    </w:p>
    <w:p w14:paraId="06ED59DD" w14:textId="77777777" w:rsidR="006A5B89" w:rsidRDefault="006A5B89" w:rsidP="006A5B89">
      <w:pPr>
        <w:autoSpaceDE w:val="0"/>
        <w:autoSpaceDN w:val="0"/>
        <w:adjustRightInd w:val="0"/>
        <w:jc w:val="center"/>
        <w:outlineLvl w:val="0"/>
        <w:rPr>
          <w:b/>
          <w:sz w:val="22"/>
          <w:szCs w:val="22"/>
        </w:rPr>
      </w:pPr>
    </w:p>
    <w:p w14:paraId="5A9D2D6E" w14:textId="77777777" w:rsidR="006A5B89" w:rsidRDefault="006A5B89" w:rsidP="006A5B89">
      <w:pPr>
        <w:autoSpaceDE w:val="0"/>
        <w:autoSpaceDN w:val="0"/>
        <w:adjustRightInd w:val="0"/>
        <w:jc w:val="center"/>
        <w:outlineLvl w:val="0"/>
        <w:rPr>
          <w:b/>
          <w:sz w:val="22"/>
          <w:szCs w:val="22"/>
        </w:rPr>
      </w:pPr>
    </w:p>
    <w:p w14:paraId="5AE4AD00" w14:textId="77777777" w:rsidR="006A5B89" w:rsidRDefault="006A5B89" w:rsidP="006A5B89">
      <w:pPr>
        <w:autoSpaceDE w:val="0"/>
        <w:autoSpaceDN w:val="0"/>
        <w:adjustRightInd w:val="0"/>
        <w:jc w:val="center"/>
        <w:outlineLvl w:val="0"/>
        <w:rPr>
          <w:b/>
          <w:sz w:val="22"/>
          <w:szCs w:val="22"/>
        </w:rPr>
      </w:pPr>
    </w:p>
    <w:p w14:paraId="11CDC340" w14:textId="77777777" w:rsidR="006A5B89" w:rsidRDefault="006A5B89" w:rsidP="006A5B89">
      <w:pPr>
        <w:autoSpaceDE w:val="0"/>
        <w:autoSpaceDN w:val="0"/>
        <w:adjustRightInd w:val="0"/>
        <w:jc w:val="center"/>
        <w:outlineLvl w:val="0"/>
        <w:rPr>
          <w:b/>
          <w:sz w:val="22"/>
          <w:szCs w:val="22"/>
        </w:rPr>
      </w:pPr>
    </w:p>
    <w:p w14:paraId="1DC83775" w14:textId="77777777" w:rsidR="006A5B89" w:rsidRDefault="006A5B89" w:rsidP="006A5B89">
      <w:pPr>
        <w:autoSpaceDE w:val="0"/>
        <w:autoSpaceDN w:val="0"/>
        <w:adjustRightInd w:val="0"/>
        <w:jc w:val="center"/>
        <w:outlineLvl w:val="0"/>
        <w:rPr>
          <w:b/>
          <w:sz w:val="22"/>
          <w:szCs w:val="22"/>
        </w:rPr>
      </w:pPr>
    </w:p>
    <w:p w14:paraId="250448BD" w14:textId="77777777" w:rsidR="006A5B89" w:rsidRDefault="006A5B89" w:rsidP="006A5B89">
      <w:pPr>
        <w:autoSpaceDE w:val="0"/>
        <w:autoSpaceDN w:val="0"/>
        <w:adjustRightInd w:val="0"/>
        <w:jc w:val="center"/>
        <w:outlineLvl w:val="0"/>
        <w:rPr>
          <w:b/>
          <w:sz w:val="22"/>
          <w:szCs w:val="22"/>
        </w:rPr>
      </w:pPr>
    </w:p>
    <w:p w14:paraId="30674E35" w14:textId="77777777" w:rsidR="006A5B89" w:rsidRDefault="006A5B89" w:rsidP="006A5B89">
      <w:pPr>
        <w:autoSpaceDE w:val="0"/>
        <w:autoSpaceDN w:val="0"/>
        <w:adjustRightInd w:val="0"/>
        <w:jc w:val="center"/>
        <w:outlineLvl w:val="0"/>
        <w:rPr>
          <w:b/>
          <w:sz w:val="22"/>
          <w:szCs w:val="22"/>
        </w:rPr>
      </w:pPr>
    </w:p>
    <w:p w14:paraId="06300F0A" w14:textId="77777777" w:rsidR="006A5B89" w:rsidRDefault="006A5B89" w:rsidP="006A5B89">
      <w:pPr>
        <w:autoSpaceDE w:val="0"/>
        <w:autoSpaceDN w:val="0"/>
        <w:adjustRightInd w:val="0"/>
        <w:outlineLvl w:val="0"/>
        <w:rPr>
          <w:b/>
          <w:sz w:val="22"/>
          <w:szCs w:val="22"/>
        </w:rPr>
      </w:pPr>
    </w:p>
    <w:p w14:paraId="7CBDA68E" w14:textId="77777777" w:rsidR="006A5B89" w:rsidRDefault="006A5B89" w:rsidP="006A5B89">
      <w:pPr>
        <w:autoSpaceDE w:val="0"/>
        <w:autoSpaceDN w:val="0"/>
        <w:adjustRightInd w:val="0"/>
        <w:jc w:val="center"/>
        <w:outlineLvl w:val="0"/>
        <w:rPr>
          <w:b/>
          <w:sz w:val="22"/>
          <w:szCs w:val="22"/>
        </w:rPr>
      </w:pPr>
      <w:r>
        <w:rPr>
          <w:b/>
          <w:sz w:val="22"/>
          <w:szCs w:val="22"/>
        </w:rPr>
        <w:t>B. PAKUOTĖS LAPELIS</w:t>
      </w:r>
    </w:p>
    <w:p w14:paraId="12AB9112" w14:textId="77777777" w:rsidR="006A5B89" w:rsidRDefault="006A5B89" w:rsidP="006A5B89">
      <w:pPr>
        <w:autoSpaceDE w:val="0"/>
        <w:autoSpaceDN w:val="0"/>
        <w:adjustRightInd w:val="0"/>
        <w:jc w:val="center"/>
        <w:rPr>
          <w:b/>
          <w:sz w:val="22"/>
          <w:szCs w:val="22"/>
        </w:rPr>
      </w:pPr>
    </w:p>
    <w:p w14:paraId="5AE92033" w14:textId="77777777" w:rsidR="006A5B89" w:rsidRDefault="006A5B89" w:rsidP="006A5B89">
      <w:pPr>
        <w:pStyle w:val="Antrat5"/>
        <w:jc w:val="center"/>
        <w:rPr>
          <w:rFonts w:ascii="Times New Roman" w:hAnsi="Times New Roman"/>
          <w:b/>
          <w:szCs w:val="22"/>
          <w:lang w:val="lt-LT"/>
        </w:rPr>
      </w:pPr>
      <w:r>
        <w:rPr>
          <w:szCs w:val="22"/>
        </w:rPr>
        <w:br w:type="page"/>
      </w:r>
      <w:r>
        <w:rPr>
          <w:rFonts w:ascii="Times New Roman" w:hAnsi="Times New Roman"/>
          <w:b/>
          <w:szCs w:val="22"/>
          <w:lang w:val="lt-LT"/>
        </w:rPr>
        <w:lastRenderedPageBreak/>
        <w:t>Pakuotės lapelis: informacija vartotojui</w:t>
      </w:r>
    </w:p>
    <w:p w14:paraId="3C853B5D" w14:textId="77777777" w:rsidR="006A5B89" w:rsidRDefault="006A5B89" w:rsidP="006A5B89">
      <w:pPr>
        <w:jc w:val="center"/>
        <w:rPr>
          <w:sz w:val="22"/>
          <w:szCs w:val="22"/>
        </w:rPr>
      </w:pPr>
    </w:p>
    <w:p w14:paraId="5E433BC5" w14:textId="77777777" w:rsidR="006A5B89" w:rsidRDefault="006A5B89" w:rsidP="006A5B89">
      <w:pPr>
        <w:jc w:val="center"/>
        <w:outlineLvl w:val="0"/>
        <w:rPr>
          <w:b/>
          <w:sz w:val="22"/>
          <w:szCs w:val="22"/>
        </w:rPr>
      </w:pPr>
      <w:proofErr w:type="spellStart"/>
      <w:r>
        <w:rPr>
          <w:b/>
          <w:sz w:val="22"/>
          <w:szCs w:val="22"/>
        </w:rPr>
        <w:t>Livial</w:t>
      </w:r>
      <w:proofErr w:type="spellEnd"/>
      <w:r>
        <w:rPr>
          <w:b/>
          <w:sz w:val="22"/>
          <w:szCs w:val="22"/>
        </w:rPr>
        <w:t xml:space="preserve"> 2,5 mg tabletės</w:t>
      </w:r>
    </w:p>
    <w:p w14:paraId="5458DE5D" w14:textId="77777777" w:rsidR="006A5B89" w:rsidRDefault="006A5B89" w:rsidP="006A5B89">
      <w:pPr>
        <w:jc w:val="center"/>
        <w:rPr>
          <w:sz w:val="22"/>
          <w:szCs w:val="22"/>
        </w:rPr>
      </w:pPr>
      <w:proofErr w:type="spellStart"/>
      <w:r>
        <w:rPr>
          <w:sz w:val="22"/>
          <w:szCs w:val="22"/>
        </w:rPr>
        <w:t>Tibolonas</w:t>
      </w:r>
      <w:proofErr w:type="spellEnd"/>
    </w:p>
    <w:p w14:paraId="705781E7" w14:textId="77777777" w:rsidR="006A5B89" w:rsidRDefault="006A5B89" w:rsidP="006A5B89">
      <w:pPr>
        <w:jc w:val="center"/>
        <w:rPr>
          <w:sz w:val="22"/>
          <w:szCs w:val="22"/>
        </w:rPr>
      </w:pPr>
    </w:p>
    <w:p w14:paraId="681F7F3D" w14:textId="77777777" w:rsidR="006A5B89" w:rsidRDefault="006A5B89" w:rsidP="006A5B89">
      <w:pPr>
        <w:outlineLvl w:val="0"/>
        <w:rPr>
          <w:b/>
          <w:sz w:val="22"/>
          <w:szCs w:val="22"/>
        </w:rPr>
      </w:pPr>
      <w:r>
        <w:rPr>
          <w:b/>
          <w:sz w:val="22"/>
          <w:szCs w:val="22"/>
        </w:rPr>
        <w:t>Atidžiai perskaitykite visą šį lapelį, prieš pradėdami vartoti vaistą, nes jame pateikiama Jums svarbi informacija.</w:t>
      </w:r>
    </w:p>
    <w:p w14:paraId="1B613EF9" w14:textId="77777777" w:rsidR="006A5B89" w:rsidRDefault="006A5B89" w:rsidP="006A5B89">
      <w:pPr>
        <w:ind w:left="540" w:hanging="540"/>
        <w:rPr>
          <w:sz w:val="22"/>
          <w:szCs w:val="22"/>
        </w:rPr>
      </w:pPr>
      <w:r>
        <w:rPr>
          <w:sz w:val="22"/>
          <w:szCs w:val="22"/>
        </w:rPr>
        <w:t>-</w:t>
      </w:r>
      <w:r>
        <w:rPr>
          <w:sz w:val="22"/>
          <w:szCs w:val="22"/>
        </w:rPr>
        <w:tab/>
        <w:t>Neišmeskite šio lapelio, nes vėl gali prireikti jį perskaityti.</w:t>
      </w:r>
    </w:p>
    <w:p w14:paraId="7CB99AF0" w14:textId="77777777" w:rsidR="006A5B89" w:rsidRDefault="006A5B89" w:rsidP="006A5B89">
      <w:pPr>
        <w:ind w:left="540" w:hanging="540"/>
        <w:rPr>
          <w:sz w:val="22"/>
          <w:szCs w:val="22"/>
        </w:rPr>
      </w:pPr>
      <w:r>
        <w:rPr>
          <w:sz w:val="22"/>
          <w:szCs w:val="22"/>
        </w:rPr>
        <w:t>-</w:t>
      </w:r>
      <w:r>
        <w:rPr>
          <w:sz w:val="22"/>
          <w:szCs w:val="22"/>
        </w:rPr>
        <w:tab/>
        <w:t>Jeigu kiltų daugiau klausimų, kreipkitės į gydytoją arba vaistininką.</w:t>
      </w:r>
    </w:p>
    <w:p w14:paraId="7779EA23" w14:textId="77777777" w:rsidR="006A5B89" w:rsidRDefault="006A5B89" w:rsidP="006A5B89">
      <w:pPr>
        <w:ind w:left="540" w:hanging="540"/>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1B1831C9" w14:textId="77777777" w:rsidR="006A5B89" w:rsidRDefault="006A5B89" w:rsidP="006A5B89">
      <w:pPr>
        <w:ind w:left="540" w:hanging="540"/>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0A3AA33F" w14:textId="77777777" w:rsidR="006A5B89" w:rsidRDefault="006A5B89" w:rsidP="006A5B89">
      <w:pPr>
        <w:ind w:left="540" w:hanging="540"/>
        <w:rPr>
          <w:sz w:val="22"/>
          <w:szCs w:val="22"/>
        </w:rPr>
      </w:pPr>
    </w:p>
    <w:p w14:paraId="06955659" w14:textId="77777777" w:rsidR="006A5B89" w:rsidRDefault="006A5B89" w:rsidP="006A5B89">
      <w:pPr>
        <w:outlineLvl w:val="0"/>
        <w:rPr>
          <w:b/>
          <w:sz w:val="22"/>
          <w:szCs w:val="22"/>
        </w:rPr>
      </w:pPr>
      <w:r>
        <w:rPr>
          <w:b/>
          <w:sz w:val="22"/>
          <w:szCs w:val="22"/>
        </w:rPr>
        <w:t>Apie ką rašome šiame lapelyje?</w:t>
      </w:r>
    </w:p>
    <w:p w14:paraId="2A1E3920" w14:textId="77777777" w:rsidR="006A5B89" w:rsidRDefault="006A5B89" w:rsidP="006A5B89">
      <w:pPr>
        <w:outlineLvl w:val="0"/>
        <w:rPr>
          <w:b/>
          <w:sz w:val="22"/>
          <w:szCs w:val="22"/>
        </w:rPr>
      </w:pPr>
    </w:p>
    <w:p w14:paraId="64823B38" w14:textId="77777777" w:rsidR="006A5B89" w:rsidRDefault="006A5B89" w:rsidP="006A5B89">
      <w:pPr>
        <w:ind w:left="540" w:hanging="540"/>
        <w:rPr>
          <w:sz w:val="22"/>
          <w:szCs w:val="22"/>
        </w:rPr>
      </w:pPr>
      <w:r>
        <w:rPr>
          <w:sz w:val="22"/>
          <w:szCs w:val="22"/>
        </w:rPr>
        <w:t>1.</w:t>
      </w:r>
      <w:r>
        <w:rPr>
          <w:sz w:val="22"/>
          <w:szCs w:val="22"/>
        </w:rPr>
        <w:tab/>
        <w:t xml:space="preserve">Kas yra </w:t>
      </w:r>
      <w:proofErr w:type="spellStart"/>
      <w:r>
        <w:rPr>
          <w:sz w:val="22"/>
          <w:szCs w:val="22"/>
        </w:rPr>
        <w:t>Livial</w:t>
      </w:r>
      <w:proofErr w:type="spellEnd"/>
      <w:r>
        <w:rPr>
          <w:sz w:val="22"/>
          <w:szCs w:val="22"/>
        </w:rPr>
        <w:t xml:space="preserve"> ir kam jis vartojamas</w:t>
      </w:r>
    </w:p>
    <w:p w14:paraId="7326AED4" w14:textId="77777777" w:rsidR="006A5B89" w:rsidRDefault="006A5B89" w:rsidP="006A5B89">
      <w:pPr>
        <w:ind w:left="540" w:hanging="540"/>
        <w:rPr>
          <w:sz w:val="22"/>
          <w:szCs w:val="22"/>
        </w:rPr>
      </w:pPr>
      <w:r>
        <w:rPr>
          <w:sz w:val="22"/>
          <w:szCs w:val="22"/>
        </w:rPr>
        <w:t>2.</w:t>
      </w:r>
      <w:r>
        <w:rPr>
          <w:sz w:val="22"/>
          <w:szCs w:val="22"/>
        </w:rPr>
        <w:tab/>
        <w:t xml:space="preserve">Kas žinotina prieš vartojant </w:t>
      </w:r>
      <w:proofErr w:type="spellStart"/>
      <w:r>
        <w:rPr>
          <w:sz w:val="22"/>
          <w:szCs w:val="22"/>
        </w:rPr>
        <w:t>Livial</w:t>
      </w:r>
      <w:proofErr w:type="spellEnd"/>
    </w:p>
    <w:p w14:paraId="2E0DF2E7" w14:textId="77777777" w:rsidR="006A5B89" w:rsidRDefault="006A5B89" w:rsidP="006A5B89">
      <w:pPr>
        <w:ind w:left="540" w:hanging="540"/>
        <w:rPr>
          <w:sz w:val="22"/>
          <w:szCs w:val="22"/>
        </w:rPr>
      </w:pPr>
      <w:r>
        <w:rPr>
          <w:sz w:val="22"/>
          <w:szCs w:val="22"/>
        </w:rPr>
        <w:t>3.</w:t>
      </w:r>
      <w:r>
        <w:rPr>
          <w:sz w:val="22"/>
          <w:szCs w:val="22"/>
        </w:rPr>
        <w:tab/>
        <w:t xml:space="preserve">Kaip vartoti </w:t>
      </w:r>
      <w:proofErr w:type="spellStart"/>
      <w:r>
        <w:rPr>
          <w:sz w:val="22"/>
          <w:szCs w:val="22"/>
        </w:rPr>
        <w:t>Livial</w:t>
      </w:r>
      <w:proofErr w:type="spellEnd"/>
    </w:p>
    <w:p w14:paraId="682C535E" w14:textId="77777777" w:rsidR="006A5B89" w:rsidRDefault="006A5B89" w:rsidP="006A5B89">
      <w:pPr>
        <w:ind w:left="540" w:hanging="540"/>
        <w:rPr>
          <w:sz w:val="22"/>
          <w:szCs w:val="22"/>
        </w:rPr>
      </w:pPr>
      <w:r>
        <w:rPr>
          <w:sz w:val="22"/>
          <w:szCs w:val="22"/>
        </w:rPr>
        <w:t>4.</w:t>
      </w:r>
      <w:r>
        <w:rPr>
          <w:sz w:val="22"/>
          <w:szCs w:val="22"/>
        </w:rPr>
        <w:tab/>
        <w:t>Galimas šalutinis poveikis</w:t>
      </w:r>
    </w:p>
    <w:p w14:paraId="078739FC" w14:textId="77777777" w:rsidR="006A5B89" w:rsidRDefault="006A5B89" w:rsidP="006A5B89">
      <w:pPr>
        <w:ind w:left="540" w:hanging="540"/>
        <w:rPr>
          <w:sz w:val="22"/>
          <w:szCs w:val="22"/>
        </w:rPr>
      </w:pPr>
      <w:r>
        <w:rPr>
          <w:sz w:val="22"/>
          <w:szCs w:val="22"/>
        </w:rPr>
        <w:t>5.</w:t>
      </w:r>
      <w:r>
        <w:rPr>
          <w:sz w:val="22"/>
          <w:szCs w:val="22"/>
        </w:rPr>
        <w:tab/>
        <w:t xml:space="preserve">Kaip laikyti </w:t>
      </w:r>
      <w:proofErr w:type="spellStart"/>
      <w:r>
        <w:rPr>
          <w:sz w:val="22"/>
          <w:szCs w:val="22"/>
        </w:rPr>
        <w:t>Livial</w:t>
      </w:r>
      <w:proofErr w:type="spellEnd"/>
    </w:p>
    <w:p w14:paraId="69C81D2F" w14:textId="77777777" w:rsidR="006A5B89" w:rsidRDefault="006A5B89" w:rsidP="006A5B89">
      <w:pPr>
        <w:ind w:left="540" w:hanging="540"/>
        <w:rPr>
          <w:sz w:val="22"/>
          <w:szCs w:val="22"/>
        </w:rPr>
      </w:pPr>
      <w:r>
        <w:rPr>
          <w:sz w:val="22"/>
          <w:szCs w:val="22"/>
        </w:rPr>
        <w:t>6.</w:t>
      </w:r>
      <w:r>
        <w:rPr>
          <w:sz w:val="22"/>
          <w:szCs w:val="22"/>
        </w:rPr>
        <w:tab/>
        <w:t>Pakuotės turinys ir kita informacija</w:t>
      </w:r>
    </w:p>
    <w:p w14:paraId="3D148D75" w14:textId="77777777" w:rsidR="006A5B89" w:rsidRDefault="006A5B89" w:rsidP="006A5B89">
      <w:pPr>
        <w:rPr>
          <w:sz w:val="22"/>
          <w:szCs w:val="22"/>
        </w:rPr>
      </w:pPr>
    </w:p>
    <w:p w14:paraId="5883A53B" w14:textId="77777777" w:rsidR="006A5B89" w:rsidRDefault="006A5B89" w:rsidP="006A5B89">
      <w:pPr>
        <w:rPr>
          <w:sz w:val="22"/>
          <w:szCs w:val="22"/>
        </w:rPr>
      </w:pPr>
    </w:p>
    <w:p w14:paraId="4D66BF92" w14:textId="77777777" w:rsidR="006A5B89" w:rsidRDefault="006A5B89" w:rsidP="006A5B89">
      <w:pPr>
        <w:ind w:left="540" w:hanging="540"/>
        <w:rPr>
          <w:b/>
          <w:sz w:val="22"/>
          <w:szCs w:val="22"/>
        </w:rPr>
      </w:pPr>
      <w:r>
        <w:rPr>
          <w:b/>
          <w:sz w:val="22"/>
          <w:szCs w:val="22"/>
        </w:rPr>
        <w:t>1.</w:t>
      </w:r>
      <w:r>
        <w:rPr>
          <w:b/>
          <w:sz w:val="22"/>
          <w:szCs w:val="22"/>
        </w:rPr>
        <w:tab/>
        <w:t xml:space="preserve">Kas yra </w:t>
      </w:r>
      <w:proofErr w:type="spellStart"/>
      <w:r>
        <w:rPr>
          <w:b/>
          <w:sz w:val="22"/>
          <w:szCs w:val="22"/>
        </w:rPr>
        <w:t>Livial</w:t>
      </w:r>
      <w:proofErr w:type="spellEnd"/>
      <w:r>
        <w:rPr>
          <w:b/>
          <w:sz w:val="22"/>
          <w:szCs w:val="22"/>
        </w:rPr>
        <w:t xml:space="preserve"> ir kam jis vartojamas</w:t>
      </w:r>
    </w:p>
    <w:p w14:paraId="79D01688" w14:textId="77777777" w:rsidR="006A5B89" w:rsidRDefault="006A5B89" w:rsidP="006A5B89">
      <w:pPr>
        <w:rPr>
          <w:sz w:val="22"/>
          <w:szCs w:val="22"/>
        </w:rPr>
      </w:pPr>
    </w:p>
    <w:p w14:paraId="3EFD5F16" w14:textId="77777777" w:rsidR="006A5B89" w:rsidRDefault="006A5B89" w:rsidP="006A5B89">
      <w:pPr>
        <w:rPr>
          <w:b/>
          <w:sz w:val="22"/>
          <w:szCs w:val="22"/>
        </w:rPr>
      </w:pPr>
      <w:r>
        <w:rPr>
          <w:b/>
          <w:sz w:val="22"/>
          <w:szCs w:val="22"/>
        </w:rPr>
        <w:t xml:space="preserve">Kas yra </w:t>
      </w:r>
      <w:proofErr w:type="spellStart"/>
      <w:r>
        <w:rPr>
          <w:b/>
          <w:sz w:val="22"/>
          <w:szCs w:val="22"/>
        </w:rPr>
        <w:t>Livial</w:t>
      </w:r>
      <w:proofErr w:type="spellEnd"/>
    </w:p>
    <w:p w14:paraId="19359640" w14:textId="77777777" w:rsidR="006A5B89" w:rsidRDefault="006A5B89" w:rsidP="006A5B89">
      <w:pPr>
        <w:rPr>
          <w:sz w:val="22"/>
          <w:szCs w:val="22"/>
        </w:rPr>
      </w:pPr>
      <w:proofErr w:type="spellStart"/>
      <w:r>
        <w:rPr>
          <w:sz w:val="22"/>
          <w:szCs w:val="22"/>
        </w:rPr>
        <w:t>Livial</w:t>
      </w:r>
      <w:proofErr w:type="spellEnd"/>
      <w:r>
        <w:rPr>
          <w:sz w:val="22"/>
          <w:szCs w:val="22"/>
        </w:rPr>
        <w:t xml:space="preserve"> yra pakeičiamajai hormonų terapijai (PHT) vartojamas vaistas. </w:t>
      </w:r>
      <w:proofErr w:type="spellStart"/>
      <w:r>
        <w:rPr>
          <w:sz w:val="22"/>
          <w:szCs w:val="22"/>
        </w:rPr>
        <w:t>Livial</w:t>
      </w:r>
      <w:proofErr w:type="spellEnd"/>
      <w:r>
        <w:rPr>
          <w:sz w:val="22"/>
          <w:szCs w:val="22"/>
        </w:rPr>
        <w:t xml:space="preserve"> sudėtyje yra </w:t>
      </w:r>
      <w:proofErr w:type="spellStart"/>
      <w:r>
        <w:rPr>
          <w:sz w:val="22"/>
          <w:szCs w:val="22"/>
        </w:rPr>
        <w:t>tibolono</w:t>
      </w:r>
      <w:proofErr w:type="spellEnd"/>
      <w:r>
        <w:rPr>
          <w:sz w:val="22"/>
          <w:szCs w:val="22"/>
        </w:rPr>
        <w:t xml:space="preserve">, kuris yra medžiaga, teigiamai veikianti įvairius Jūsų kūno organus, tokius kaip smegenys, makštis ir kaulai. </w:t>
      </w:r>
      <w:proofErr w:type="spellStart"/>
      <w:r>
        <w:rPr>
          <w:sz w:val="22"/>
          <w:szCs w:val="22"/>
        </w:rPr>
        <w:t>Livial</w:t>
      </w:r>
      <w:proofErr w:type="spellEnd"/>
      <w:r>
        <w:rPr>
          <w:sz w:val="22"/>
          <w:szCs w:val="22"/>
        </w:rPr>
        <w:t xml:space="preserve"> gali vartoti moterys po menopauzės, kurioms po paskutinių natūralių mėnesinių jau praėjo daugiau kaip 12 mėnesių.</w:t>
      </w:r>
    </w:p>
    <w:p w14:paraId="37D1E520" w14:textId="77777777" w:rsidR="006A5B89" w:rsidRDefault="006A5B89" w:rsidP="006A5B89">
      <w:pPr>
        <w:rPr>
          <w:sz w:val="22"/>
          <w:szCs w:val="22"/>
        </w:rPr>
      </w:pPr>
    </w:p>
    <w:p w14:paraId="0A4FC83B" w14:textId="77777777" w:rsidR="006A5B89" w:rsidRDefault="006A5B89" w:rsidP="006A5B89">
      <w:pPr>
        <w:rPr>
          <w:sz w:val="22"/>
          <w:szCs w:val="22"/>
        </w:rPr>
      </w:pPr>
      <w:r>
        <w:rPr>
          <w:sz w:val="22"/>
          <w:szCs w:val="22"/>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Pr>
          <w:sz w:val="22"/>
          <w:szCs w:val="22"/>
        </w:rPr>
        <w:t>ovarektomijos</w:t>
      </w:r>
      <w:proofErr w:type="spellEnd"/>
      <w:r>
        <w:rPr>
          <w:sz w:val="22"/>
          <w:szCs w:val="22"/>
        </w:rPr>
        <w:t>) estrogenų gamyba sumažėja staiga.</w:t>
      </w:r>
    </w:p>
    <w:p w14:paraId="31C13D7A" w14:textId="77777777" w:rsidR="006A5B89" w:rsidRDefault="006A5B89" w:rsidP="006A5B89">
      <w:pPr>
        <w:rPr>
          <w:sz w:val="22"/>
          <w:szCs w:val="22"/>
        </w:rPr>
      </w:pPr>
    </w:p>
    <w:p w14:paraId="5D603414" w14:textId="77777777" w:rsidR="006A5B89" w:rsidRDefault="006A5B89" w:rsidP="006A5B89">
      <w:pPr>
        <w:rPr>
          <w:b/>
          <w:sz w:val="22"/>
          <w:szCs w:val="22"/>
        </w:rPr>
      </w:pPr>
      <w:r>
        <w:rPr>
          <w:b/>
          <w:sz w:val="22"/>
          <w:szCs w:val="22"/>
        </w:rPr>
        <w:t xml:space="preserve">Kam </w:t>
      </w:r>
      <w:proofErr w:type="spellStart"/>
      <w:r>
        <w:rPr>
          <w:b/>
          <w:sz w:val="22"/>
          <w:szCs w:val="22"/>
        </w:rPr>
        <w:t>Livial</w:t>
      </w:r>
      <w:proofErr w:type="spellEnd"/>
      <w:r>
        <w:rPr>
          <w:b/>
          <w:sz w:val="22"/>
          <w:szCs w:val="22"/>
        </w:rPr>
        <w:t xml:space="preserve"> vartojamas</w:t>
      </w:r>
    </w:p>
    <w:p w14:paraId="4EBADD66" w14:textId="77777777" w:rsidR="006A5B89" w:rsidRDefault="006A5B89" w:rsidP="006A5B89">
      <w:pPr>
        <w:rPr>
          <w:sz w:val="22"/>
          <w:szCs w:val="22"/>
          <w:u w:val="single"/>
        </w:rPr>
      </w:pPr>
      <w:r>
        <w:rPr>
          <w:sz w:val="22"/>
          <w:szCs w:val="22"/>
          <w:u w:val="single"/>
        </w:rPr>
        <w:t>Menopauzės simptomų mažinimui</w:t>
      </w:r>
    </w:p>
    <w:p w14:paraId="71CC6EBD" w14:textId="77777777" w:rsidR="006A5B89" w:rsidRDefault="006A5B89" w:rsidP="006A5B89">
      <w:pPr>
        <w:rPr>
          <w:sz w:val="22"/>
          <w:szCs w:val="22"/>
        </w:rPr>
      </w:pPr>
      <w:r>
        <w:rPr>
          <w:sz w:val="22"/>
          <w:szCs w:val="22"/>
        </w:rPr>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Pr>
          <w:sz w:val="22"/>
          <w:szCs w:val="22"/>
        </w:rPr>
        <w:t>Livial</w:t>
      </w:r>
      <w:proofErr w:type="spellEnd"/>
      <w:r>
        <w:rPr>
          <w:sz w:val="22"/>
          <w:szCs w:val="22"/>
        </w:rPr>
        <w:t xml:space="preserve">. Gydytojas Jums paskirs </w:t>
      </w:r>
      <w:proofErr w:type="spellStart"/>
      <w:r>
        <w:rPr>
          <w:sz w:val="22"/>
          <w:szCs w:val="22"/>
        </w:rPr>
        <w:t>Livial</w:t>
      </w:r>
      <w:proofErr w:type="spellEnd"/>
      <w:r>
        <w:rPr>
          <w:sz w:val="22"/>
          <w:szCs w:val="22"/>
        </w:rPr>
        <w:t xml:space="preserve"> tik tokiu atveju, jeigu simptomai reikšmingai pablogina Jūsų kasdieninio gyvenimo kokybę.</w:t>
      </w:r>
    </w:p>
    <w:p w14:paraId="4AC13CF3" w14:textId="77777777" w:rsidR="006A5B89" w:rsidRDefault="006A5B89" w:rsidP="006A5B89">
      <w:pPr>
        <w:rPr>
          <w:sz w:val="22"/>
          <w:szCs w:val="22"/>
        </w:rPr>
      </w:pPr>
    </w:p>
    <w:p w14:paraId="724C0C84" w14:textId="77777777" w:rsidR="006A5B89" w:rsidRDefault="006A5B89" w:rsidP="006A5B89">
      <w:pPr>
        <w:keepNext/>
        <w:rPr>
          <w:sz w:val="22"/>
          <w:szCs w:val="22"/>
          <w:u w:val="single"/>
        </w:rPr>
      </w:pPr>
      <w:r>
        <w:rPr>
          <w:sz w:val="22"/>
          <w:szCs w:val="22"/>
          <w:u w:val="single"/>
        </w:rPr>
        <w:t>Osteoporozės profilaktikai</w:t>
      </w:r>
    </w:p>
    <w:p w14:paraId="6A8926C7" w14:textId="77777777" w:rsidR="006A5B89" w:rsidRDefault="006A5B89" w:rsidP="006A5B89">
      <w:pPr>
        <w:keepNext/>
        <w:rPr>
          <w:sz w:val="22"/>
          <w:szCs w:val="22"/>
        </w:rPr>
      </w:pPr>
      <w:r>
        <w:rPr>
          <w:sz w:val="22"/>
          <w:szCs w:val="22"/>
        </w:rPr>
        <w:t>Estrogenai labai svarbūs ir kaulų formavimuisi. Jaunystėje kaulų masė didėja, didžiausia ji būna 20</w:t>
      </w:r>
      <w:r>
        <w:rPr>
          <w:sz w:val="22"/>
          <w:szCs w:val="22"/>
        </w:rPr>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14:paraId="2AA17FD4" w14:textId="77777777" w:rsidR="006A5B89" w:rsidRDefault="006A5B89" w:rsidP="006A5B89">
      <w:pPr>
        <w:rPr>
          <w:sz w:val="22"/>
          <w:szCs w:val="22"/>
        </w:rPr>
      </w:pPr>
      <w:r>
        <w:rPr>
          <w:sz w:val="22"/>
          <w:szCs w:val="22"/>
        </w:rPr>
        <w:t xml:space="preserve">Jeigu Jums yra padidėjusi lūžių rizika dėl osteoporozės ir negalite vartoti kitų vaistų, tuomet osteoporozės profilaktikai po menopauzės galite vartoti </w:t>
      </w:r>
      <w:proofErr w:type="spellStart"/>
      <w:r>
        <w:rPr>
          <w:sz w:val="22"/>
          <w:szCs w:val="22"/>
        </w:rPr>
        <w:t>Livial</w:t>
      </w:r>
      <w:proofErr w:type="spellEnd"/>
      <w:r>
        <w:rPr>
          <w:sz w:val="22"/>
          <w:szCs w:val="22"/>
        </w:rPr>
        <w:t>.</w:t>
      </w:r>
    </w:p>
    <w:p w14:paraId="10B1B233" w14:textId="77777777" w:rsidR="006A5B89" w:rsidRDefault="006A5B89" w:rsidP="006A5B89">
      <w:pPr>
        <w:rPr>
          <w:sz w:val="22"/>
          <w:szCs w:val="22"/>
        </w:rPr>
      </w:pPr>
    </w:p>
    <w:p w14:paraId="0C0DFB43" w14:textId="77777777" w:rsidR="006A5B89" w:rsidRDefault="006A5B89" w:rsidP="006A5B89">
      <w:pPr>
        <w:rPr>
          <w:sz w:val="22"/>
          <w:szCs w:val="22"/>
        </w:rPr>
      </w:pPr>
    </w:p>
    <w:p w14:paraId="0F6CFDAE" w14:textId="77777777" w:rsidR="006A5B89" w:rsidRDefault="006A5B89" w:rsidP="006A5B89">
      <w:pPr>
        <w:keepNext/>
        <w:keepLines/>
        <w:ind w:left="540" w:hanging="540"/>
        <w:rPr>
          <w:b/>
          <w:sz w:val="22"/>
          <w:szCs w:val="22"/>
        </w:rPr>
      </w:pPr>
      <w:r>
        <w:rPr>
          <w:b/>
          <w:sz w:val="22"/>
          <w:szCs w:val="22"/>
        </w:rPr>
        <w:lastRenderedPageBreak/>
        <w:t>2.</w:t>
      </w:r>
      <w:r>
        <w:rPr>
          <w:b/>
          <w:sz w:val="22"/>
          <w:szCs w:val="22"/>
        </w:rPr>
        <w:tab/>
        <w:t xml:space="preserve">Kas žinotina prieš vartojant </w:t>
      </w:r>
      <w:proofErr w:type="spellStart"/>
      <w:r>
        <w:rPr>
          <w:b/>
          <w:sz w:val="22"/>
          <w:szCs w:val="22"/>
        </w:rPr>
        <w:t>Livial</w:t>
      </w:r>
      <w:proofErr w:type="spellEnd"/>
    </w:p>
    <w:p w14:paraId="634CA27F" w14:textId="77777777" w:rsidR="006A5B89" w:rsidRDefault="006A5B89" w:rsidP="006A5B89">
      <w:pPr>
        <w:keepNext/>
        <w:keepLines/>
        <w:rPr>
          <w:sz w:val="22"/>
          <w:szCs w:val="22"/>
        </w:rPr>
      </w:pPr>
    </w:p>
    <w:p w14:paraId="0E02DB60" w14:textId="77777777" w:rsidR="006A5B89" w:rsidRDefault="006A5B89" w:rsidP="006A5B89">
      <w:pPr>
        <w:keepNext/>
        <w:keepLines/>
        <w:outlineLvl w:val="0"/>
        <w:rPr>
          <w:b/>
          <w:sz w:val="22"/>
          <w:szCs w:val="22"/>
        </w:rPr>
      </w:pPr>
      <w:r>
        <w:rPr>
          <w:b/>
          <w:sz w:val="22"/>
          <w:szCs w:val="22"/>
        </w:rPr>
        <w:t>Medicininė istorija ir reguliarūs sveikatos patikrinimai</w:t>
      </w:r>
    </w:p>
    <w:p w14:paraId="1EA6A14F" w14:textId="77777777" w:rsidR="006A5B89" w:rsidRDefault="006A5B89" w:rsidP="006A5B89">
      <w:pPr>
        <w:rPr>
          <w:sz w:val="22"/>
          <w:szCs w:val="22"/>
        </w:rPr>
      </w:pPr>
      <w:r>
        <w:rPr>
          <w:sz w:val="22"/>
          <w:szCs w:val="22"/>
        </w:rPr>
        <w:t xml:space="preserve">PHT ar </w:t>
      </w:r>
      <w:proofErr w:type="spellStart"/>
      <w:r>
        <w:rPr>
          <w:sz w:val="22"/>
          <w:szCs w:val="22"/>
        </w:rPr>
        <w:t>Livial</w:t>
      </w:r>
      <w:proofErr w:type="spellEnd"/>
      <w:r>
        <w:rPr>
          <w:sz w:val="22"/>
          <w:szCs w:val="22"/>
        </w:rPr>
        <w:t xml:space="preserve"> vartojimas kelia tam tikrus pavojus, kuriuos reikia apsvarstyti prieš nusprendžiant, ar pradėti arba tęsti jų vartojimą.</w:t>
      </w:r>
    </w:p>
    <w:p w14:paraId="79870659" w14:textId="77777777" w:rsidR="006A5B89" w:rsidRDefault="006A5B89" w:rsidP="006A5B89">
      <w:pPr>
        <w:rPr>
          <w:sz w:val="22"/>
          <w:szCs w:val="22"/>
        </w:rPr>
      </w:pPr>
    </w:p>
    <w:p w14:paraId="4C0B7C71" w14:textId="77777777" w:rsidR="006A5B89" w:rsidRDefault="006A5B89" w:rsidP="006A5B89">
      <w:pPr>
        <w:rPr>
          <w:sz w:val="22"/>
          <w:szCs w:val="22"/>
        </w:rPr>
      </w:pPr>
      <w:r>
        <w:rPr>
          <w:sz w:val="22"/>
          <w:szCs w:val="22"/>
        </w:rPr>
        <w:t xml:space="preserve">Moterų, kurioms menopauzė buvo ankstyva (dėl kiaušidžių nepakankamumo arba chirurginio pašalinimo), gydymo patirties yra nedaug. Jeigu Jums menopauzė atsirado anksti, PHT ar </w:t>
      </w:r>
      <w:proofErr w:type="spellStart"/>
      <w:r>
        <w:rPr>
          <w:sz w:val="22"/>
          <w:szCs w:val="22"/>
        </w:rPr>
        <w:t>Livial</w:t>
      </w:r>
      <w:proofErr w:type="spellEnd"/>
      <w:r>
        <w:rPr>
          <w:sz w:val="22"/>
          <w:szCs w:val="22"/>
        </w:rPr>
        <w:t xml:space="preserve"> vartojimo pavojai gali būti skirtingi. Pasitarkite su savo gydytoju.</w:t>
      </w:r>
    </w:p>
    <w:p w14:paraId="6FB1DB7B" w14:textId="77777777" w:rsidR="006A5B89" w:rsidRDefault="006A5B89" w:rsidP="006A5B89">
      <w:pPr>
        <w:rPr>
          <w:sz w:val="22"/>
          <w:szCs w:val="22"/>
        </w:rPr>
      </w:pPr>
    </w:p>
    <w:p w14:paraId="153DF51F" w14:textId="77777777" w:rsidR="006A5B89" w:rsidRDefault="006A5B89" w:rsidP="006A5B89">
      <w:pPr>
        <w:rPr>
          <w:sz w:val="22"/>
          <w:szCs w:val="22"/>
        </w:rPr>
      </w:pPr>
      <w:r>
        <w:rPr>
          <w:sz w:val="22"/>
          <w:szCs w:val="22"/>
        </w:rPr>
        <w:t xml:space="preserve">Prieš pirmą kartą ar pakartotinai skirdamas Jums </w:t>
      </w:r>
      <w:proofErr w:type="spellStart"/>
      <w:r>
        <w:rPr>
          <w:sz w:val="22"/>
          <w:szCs w:val="22"/>
        </w:rPr>
        <w:t>Livial</w:t>
      </w:r>
      <w:proofErr w:type="spellEnd"/>
      <w:r>
        <w:rPr>
          <w:sz w:val="22"/>
          <w:szCs w:val="22"/>
        </w:rPr>
        <w:t xml:space="preserve"> ar PHT, gydytojas išsiaiškins Jūsų ir kraujo giminaičių medicinines istorijas. Gydytojas gali atlikti Jūsų fizinį ištyrimą. Tai gali būti krūtų, pilvo organų ar vidinis ginekologinis tyrimas.</w:t>
      </w:r>
    </w:p>
    <w:p w14:paraId="04F16E6C" w14:textId="77777777" w:rsidR="006A5B89" w:rsidRDefault="006A5B89" w:rsidP="006A5B89">
      <w:pPr>
        <w:rPr>
          <w:sz w:val="22"/>
          <w:szCs w:val="22"/>
        </w:rPr>
      </w:pPr>
    </w:p>
    <w:p w14:paraId="3D25D5A3" w14:textId="77777777" w:rsidR="006A5B89" w:rsidRDefault="006A5B89" w:rsidP="006A5B89">
      <w:pPr>
        <w:rPr>
          <w:sz w:val="22"/>
          <w:szCs w:val="22"/>
        </w:rPr>
      </w:pPr>
      <w:r>
        <w:rPr>
          <w:sz w:val="22"/>
          <w:szCs w:val="22"/>
        </w:rPr>
        <w:t xml:space="preserve">Jeigu jau pradėjote vartoti </w:t>
      </w:r>
      <w:proofErr w:type="spellStart"/>
      <w:r>
        <w:rPr>
          <w:sz w:val="22"/>
          <w:szCs w:val="22"/>
        </w:rPr>
        <w:t>Livial</w:t>
      </w:r>
      <w:proofErr w:type="spellEnd"/>
      <w:r>
        <w:rPr>
          <w:sz w:val="22"/>
          <w:szCs w:val="22"/>
        </w:rPr>
        <w:t xml:space="preserve">, turėtumėte reguliariai tikrintis sveikatą (bent kartą per metus). Šių reguliarių apžiūrų metu su savo gydytoju aptarkite tolesnio gydymo </w:t>
      </w:r>
      <w:proofErr w:type="spellStart"/>
      <w:r>
        <w:rPr>
          <w:sz w:val="22"/>
          <w:szCs w:val="22"/>
        </w:rPr>
        <w:t>Livial</w:t>
      </w:r>
      <w:proofErr w:type="spellEnd"/>
      <w:r>
        <w:rPr>
          <w:sz w:val="22"/>
          <w:szCs w:val="22"/>
        </w:rPr>
        <w:t xml:space="preserve"> naudą bei pavojų.</w:t>
      </w:r>
    </w:p>
    <w:p w14:paraId="6F81B517" w14:textId="77777777" w:rsidR="006A5B89" w:rsidRDefault="006A5B89" w:rsidP="006A5B89">
      <w:pPr>
        <w:rPr>
          <w:sz w:val="22"/>
          <w:szCs w:val="22"/>
        </w:rPr>
      </w:pPr>
    </w:p>
    <w:p w14:paraId="5E0D1C41" w14:textId="77777777" w:rsidR="006A5B89" w:rsidRDefault="006A5B89" w:rsidP="006A5B89">
      <w:pPr>
        <w:rPr>
          <w:sz w:val="22"/>
          <w:szCs w:val="22"/>
        </w:rPr>
      </w:pPr>
      <w:r>
        <w:rPr>
          <w:sz w:val="22"/>
          <w:szCs w:val="22"/>
        </w:rPr>
        <w:t>Reguliariai, kaip rekomenduos gydytojas, tikrinkitės krūtis.</w:t>
      </w:r>
    </w:p>
    <w:p w14:paraId="3801CED8" w14:textId="77777777" w:rsidR="006A5B89" w:rsidRDefault="006A5B89" w:rsidP="006A5B89">
      <w:pPr>
        <w:rPr>
          <w:sz w:val="22"/>
          <w:szCs w:val="22"/>
        </w:rPr>
      </w:pPr>
    </w:p>
    <w:p w14:paraId="3868F728" w14:textId="77777777" w:rsidR="006A5B89" w:rsidRDefault="006A5B89" w:rsidP="006A5B89">
      <w:pPr>
        <w:outlineLvl w:val="0"/>
        <w:rPr>
          <w:sz w:val="22"/>
          <w:szCs w:val="22"/>
        </w:rPr>
      </w:pPr>
      <w:proofErr w:type="spellStart"/>
      <w:r>
        <w:rPr>
          <w:b/>
          <w:sz w:val="22"/>
          <w:szCs w:val="22"/>
        </w:rPr>
        <w:t>Livial</w:t>
      </w:r>
      <w:proofErr w:type="spellEnd"/>
      <w:r>
        <w:rPr>
          <w:b/>
          <w:sz w:val="22"/>
          <w:szCs w:val="22"/>
        </w:rPr>
        <w:t xml:space="preserve"> vartoti negalima, jeigu:</w:t>
      </w:r>
    </w:p>
    <w:p w14:paraId="2DDE8656" w14:textId="77777777" w:rsidR="006A5B89" w:rsidRDefault="006A5B89" w:rsidP="006A5B89">
      <w:pPr>
        <w:ind w:left="540" w:hanging="540"/>
        <w:rPr>
          <w:sz w:val="22"/>
          <w:szCs w:val="22"/>
        </w:rPr>
      </w:pPr>
      <w:r>
        <w:rPr>
          <w:sz w:val="22"/>
          <w:szCs w:val="22"/>
        </w:rPr>
        <w:t>-</w:t>
      </w:r>
      <w:r>
        <w:rPr>
          <w:sz w:val="22"/>
          <w:szCs w:val="22"/>
        </w:rPr>
        <w:tab/>
        <w:t>sergate arba kada nors sirgote krūties vėžiu, taip pat jei krūties vėžys yra įtariamas;</w:t>
      </w:r>
    </w:p>
    <w:p w14:paraId="4CD44BB0" w14:textId="77777777" w:rsidR="006A5B89" w:rsidRDefault="006A5B89" w:rsidP="006A5B89">
      <w:pPr>
        <w:ind w:left="540" w:hanging="540"/>
        <w:rPr>
          <w:sz w:val="22"/>
          <w:szCs w:val="22"/>
        </w:rPr>
      </w:pPr>
      <w:r>
        <w:rPr>
          <w:sz w:val="22"/>
          <w:szCs w:val="22"/>
        </w:rPr>
        <w:t>-</w:t>
      </w:r>
      <w:r>
        <w:rPr>
          <w:sz w:val="22"/>
          <w:szCs w:val="22"/>
        </w:rPr>
        <w:tab/>
        <w:t>Jums yra nustatytas arba įtariamas nuo estrogenų priklausomas vėžys (pvz., gimdos gleivinės (</w:t>
      </w:r>
      <w:proofErr w:type="spellStart"/>
      <w:r>
        <w:rPr>
          <w:sz w:val="22"/>
          <w:szCs w:val="22"/>
        </w:rPr>
        <w:t>endometriumo</w:t>
      </w:r>
      <w:proofErr w:type="spellEnd"/>
      <w:r>
        <w:rPr>
          <w:sz w:val="22"/>
          <w:szCs w:val="22"/>
        </w:rPr>
        <w:t>) vėžys);</w:t>
      </w:r>
    </w:p>
    <w:p w14:paraId="07686C7E" w14:textId="77777777" w:rsidR="006A5B89" w:rsidRDefault="006A5B89" w:rsidP="006A5B89">
      <w:pPr>
        <w:ind w:left="540" w:hanging="540"/>
        <w:rPr>
          <w:sz w:val="22"/>
          <w:szCs w:val="22"/>
        </w:rPr>
      </w:pPr>
      <w:r>
        <w:rPr>
          <w:sz w:val="22"/>
          <w:szCs w:val="22"/>
        </w:rPr>
        <w:t>-</w:t>
      </w:r>
      <w:r>
        <w:rPr>
          <w:sz w:val="22"/>
          <w:szCs w:val="22"/>
        </w:rPr>
        <w:tab/>
        <w:t>kraujuojate iš makšties dėl neaiškių priežasčių;</w:t>
      </w:r>
    </w:p>
    <w:p w14:paraId="4C16D12D" w14:textId="77777777" w:rsidR="006A5B89" w:rsidRDefault="006A5B89" w:rsidP="006A5B89">
      <w:pPr>
        <w:ind w:left="540" w:hanging="540"/>
        <w:rPr>
          <w:sz w:val="22"/>
          <w:szCs w:val="22"/>
        </w:rPr>
      </w:pPr>
      <w:r>
        <w:rPr>
          <w:sz w:val="22"/>
          <w:szCs w:val="22"/>
        </w:rPr>
        <w:t>-</w:t>
      </w:r>
      <w:r>
        <w:rPr>
          <w:sz w:val="22"/>
          <w:szCs w:val="22"/>
        </w:rPr>
        <w:tab/>
        <w:t>nenormaliai veša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ir to nesigydote;</w:t>
      </w:r>
    </w:p>
    <w:p w14:paraId="2263760E" w14:textId="77777777" w:rsidR="006A5B89" w:rsidRDefault="006A5B89" w:rsidP="006A5B89">
      <w:pPr>
        <w:ind w:left="540" w:hanging="540"/>
        <w:rPr>
          <w:sz w:val="22"/>
          <w:szCs w:val="22"/>
        </w:rPr>
      </w:pPr>
      <w:r>
        <w:rPr>
          <w:sz w:val="22"/>
          <w:szCs w:val="22"/>
        </w:rPr>
        <w:t>-</w:t>
      </w:r>
      <w:r>
        <w:rPr>
          <w:sz w:val="22"/>
          <w:szCs w:val="22"/>
        </w:rPr>
        <w:tab/>
        <w:t>turite arba turėjote kraujo krešulių venose (trombozė), pavyzdžiui, kojų venose (giliųjų venų trombozė) arba plaučiuose (plaučių embolija);</w:t>
      </w:r>
    </w:p>
    <w:p w14:paraId="5CB4AE3B" w14:textId="77777777" w:rsidR="006A5B89" w:rsidRDefault="006A5B89" w:rsidP="006A5B89">
      <w:pPr>
        <w:ind w:left="540" w:hanging="540"/>
        <w:rPr>
          <w:sz w:val="22"/>
          <w:szCs w:val="22"/>
        </w:rPr>
      </w:pPr>
      <w:r>
        <w:rPr>
          <w:sz w:val="22"/>
          <w:szCs w:val="22"/>
        </w:rPr>
        <w:t>-</w:t>
      </w:r>
      <w:r>
        <w:rPr>
          <w:sz w:val="22"/>
          <w:szCs w:val="22"/>
        </w:rPr>
        <w:tab/>
        <w:t xml:space="preserve">Jums yra kraujo krešėjimo sutrikimas, pavyzdžiui, baltymo C, baltymo S ar </w:t>
      </w:r>
      <w:proofErr w:type="spellStart"/>
      <w:r>
        <w:rPr>
          <w:sz w:val="22"/>
          <w:szCs w:val="22"/>
        </w:rPr>
        <w:t>antitrombino</w:t>
      </w:r>
      <w:proofErr w:type="spellEnd"/>
      <w:r>
        <w:rPr>
          <w:sz w:val="22"/>
          <w:szCs w:val="22"/>
        </w:rPr>
        <w:t xml:space="preserve"> stoka;</w:t>
      </w:r>
    </w:p>
    <w:p w14:paraId="1A8D01A6" w14:textId="77777777" w:rsidR="006A5B89" w:rsidRDefault="006A5B89" w:rsidP="006A5B89">
      <w:pPr>
        <w:ind w:left="540" w:hanging="540"/>
        <w:rPr>
          <w:sz w:val="22"/>
          <w:szCs w:val="22"/>
        </w:rPr>
      </w:pPr>
      <w:r>
        <w:rPr>
          <w:sz w:val="22"/>
          <w:szCs w:val="22"/>
        </w:rPr>
        <w:t>-</w:t>
      </w:r>
      <w:r>
        <w:rPr>
          <w:sz w:val="22"/>
          <w:szCs w:val="22"/>
        </w:rPr>
        <w:tab/>
        <w:t>sergate ar kada nors sirgote liga, kurią sukėlė kraujo krešuliai arterijose, pvz., krūtinės angina, insultu arba patyrėte širdies priepuolį;</w:t>
      </w:r>
    </w:p>
    <w:p w14:paraId="2E850C95" w14:textId="77777777" w:rsidR="006A5B89" w:rsidRDefault="006A5B89" w:rsidP="006A5B89">
      <w:pPr>
        <w:ind w:left="540" w:hanging="540"/>
        <w:rPr>
          <w:sz w:val="22"/>
          <w:szCs w:val="22"/>
        </w:rPr>
      </w:pPr>
      <w:r>
        <w:rPr>
          <w:sz w:val="22"/>
          <w:szCs w:val="22"/>
        </w:rPr>
        <w:t>-</w:t>
      </w:r>
      <w:r>
        <w:rPr>
          <w:sz w:val="22"/>
          <w:szCs w:val="22"/>
        </w:rPr>
        <w:tab/>
        <w:t>sergate arba kada nors sirgote kepenų liga, o kepenų veiklos rodmenys netapo normalūs;</w:t>
      </w:r>
    </w:p>
    <w:p w14:paraId="41406A59" w14:textId="77777777" w:rsidR="006A5B89" w:rsidRDefault="006A5B89" w:rsidP="006A5B89">
      <w:pPr>
        <w:ind w:left="540" w:hanging="540"/>
        <w:rPr>
          <w:sz w:val="22"/>
          <w:szCs w:val="22"/>
        </w:rPr>
      </w:pPr>
      <w:r>
        <w:rPr>
          <w:sz w:val="22"/>
          <w:szCs w:val="22"/>
        </w:rPr>
        <w:t>-</w:t>
      </w:r>
      <w:r>
        <w:rPr>
          <w:sz w:val="22"/>
          <w:szCs w:val="22"/>
        </w:rPr>
        <w:tab/>
        <w:t xml:space="preserve">sergate reta kraujo liga </w:t>
      </w:r>
      <w:proofErr w:type="spellStart"/>
      <w:r>
        <w:rPr>
          <w:sz w:val="22"/>
          <w:szCs w:val="22"/>
        </w:rPr>
        <w:t>porfirija</w:t>
      </w:r>
      <w:proofErr w:type="spellEnd"/>
      <w:r>
        <w:rPr>
          <w:sz w:val="22"/>
          <w:szCs w:val="22"/>
        </w:rPr>
        <w:t xml:space="preserve"> (paveldima liga);</w:t>
      </w:r>
    </w:p>
    <w:p w14:paraId="5F3CB757" w14:textId="77777777" w:rsidR="006A5B89" w:rsidRDefault="006A5B89" w:rsidP="006A5B89">
      <w:pPr>
        <w:ind w:left="540" w:hanging="540"/>
        <w:rPr>
          <w:sz w:val="22"/>
          <w:szCs w:val="22"/>
        </w:rPr>
      </w:pPr>
      <w:r>
        <w:rPr>
          <w:sz w:val="22"/>
          <w:szCs w:val="22"/>
        </w:rPr>
        <w:t>-</w:t>
      </w:r>
      <w:r>
        <w:rPr>
          <w:sz w:val="22"/>
          <w:szCs w:val="22"/>
        </w:rPr>
        <w:tab/>
        <w:t xml:space="preserve">yra alergija </w:t>
      </w:r>
      <w:proofErr w:type="spellStart"/>
      <w:r>
        <w:rPr>
          <w:sz w:val="22"/>
          <w:szCs w:val="22"/>
        </w:rPr>
        <w:t>tibolonui</w:t>
      </w:r>
      <w:proofErr w:type="spellEnd"/>
      <w:r>
        <w:rPr>
          <w:sz w:val="22"/>
          <w:szCs w:val="22"/>
        </w:rPr>
        <w:t xml:space="preserve"> arba bet kuriai pagalbinei šio vaisto medžiagai (jos išvardytos 6 skyriuje);</w:t>
      </w:r>
    </w:p>
    <w:p w14:paraId="37526ABC" w14:textId="77777777" w:rsidR="006A5B89" w:rsidRDefault="006A5B89" w:rsidP="006A5B89">
      <w:pPr>
        <w:ind w:left="540" w:hanging="540"/>
        <w:rPr>
          <w:sz w:val="22"/>
          <w:szCs w:val="22"/>
        </w:rPr>
      </w:pPr>
      <w:r>
        <w:rPr>
          <w:sz w:val="22"/>
          <w:szCs w:val="22"/>
        </w:rPr>
        <w:t>-</w:t>
      </w:r>
      <w:r>
        <w:rPr>
          <w:sz w:val="22"/>
          <w:szCs w:val="22"/>
        </w:rPr>
        <w:tab/>
        <w:t>esate nėščia arba manote, kad galbūt esate nėščia;</w:t>
      </w:r>
    </w:p>
    <w:p w14:paraId="6FD577E0" w14:textId="77777777" w:rsidR="006A5B89" w:rsidRDefault="006A5B89" w:rsidP="006A5B89">
      <w:pPr>
        <w:ind w:left="540" w:hanging="540"/>
        <w:rPr>
          <w:sz w:val="22"/>
          <w:szCs w:val="22"/>
        </w:rPr>
      </w:pPr>
      <w:r>
        <w:rPr>
          <w:sz w:val="22"/>
          <w:szCs w:val="22"/>
        </w:rPr>
        <w:t>-</w:t>
      </w:r>
      <w:r>
        <w:rPr>
          <w:sz w:val="22"/>
          <w:szCs w:val="22"/>
        </w:rPr>
        <w:tab/>
        <w:t>žindote kūdikį.</w:t>
      </w:r>
    </w:p>
    <w:p w14:paraId="6B64B473" w14:textId="77777777" w:rsidR="006A5B89" w:rsidRDefault="006A5B89" w:rsidP="006A5B89">
      <w:pPr>
        <w:ind w:left="540" w:hanging="540"/>
        <w:rPr>
          <w:sz w:val="22"/>
          <w:szCs w:val="22"/>
        </w:rPr>
      </w:pPr>
    </w:p>
    <w:p w14:paraId="116B8529" w14:textId="77777777" w:rsidR="006A5B89" w:rsidRDefault="006A5B89" w:rsidP="006A5B89">
      <w:pPr>
        <w:rPr>
          <w:b/>
          <w:sz w:val="22"/>
          <w:szCs w:val="22"/>
        </w:rPr>
      </w:pPr>
      <w:r>
        <w:rPr>
          <w:sz w:val="22"/>
          <w:szCs w:val="22"/>
        </w:rPr>
        <w:t xml:space="preserve">Jeigu bet kuri iš anksčiau paminėtų sąlygų Jums tinka arba jeigu abejojate, pasitarkite su savo gydytoju prieš pradėdama vartoti </w:t>
      </w:r>
      <w:proofErr w:type="spellStart"/>
      <w:r>
        <w:rPr>
          <w:sz w:val="22"/>
          <w:szCs w:val="22"/>
        </w:rPr>
        <w:t>Livial</w:t>
      </w:r>
      <w:proofErr w:type="spellEnd"/>
      <w:r>
        <w:rPr>
          <w:sz w:val="22"/>
          <w:szCs w:val="22"/>
        </w:rPr>
        <w:t xml:space="preserve">. Jeigu bet kuri iš šių būklių vartojant </w:t>
      </w:r>
      <w:proofErr w:type="spellStart"/>
      <w:r>
        <w:rPr>
          <w:sz w:val="22"/>
          <w:szCs w:val="22"/>
        </w:rPr>
        <w:t>Livial</w:t>
      </w:r>
      <w:proofErr w:type="spellEnd"/>
      <w:r>
        <w:rPr>
          <w:sz w:val="22"/>
          <w:szCs w:val="22"/>
        </w:rPr>
        <w:t xml:space="preserve"> pasireiškia pirmą kartą, tuomet jo nebevartokite ir nedelsdama kreipkitės į gydytoją.</w:t>
      </w:r>
    </w:p>
    <w:p w14:paraId="64E0203A" w14:textId="77777777" w:rsidR="006A5B89" w:rsidRDefault="006A5B89" w:rsidP="006A5B89">
      <w:pPr>
        <w:rPr>
          <w:b/>
          <w:sz w:val="22"/>
          <w:szCs w:val="22"/>
        </w:rPr>
      </w:pPr>
    </w:p>
    <w:p w14:paraId="054142F7" w14:textId="77777777" w:rsidR="006A5B89" w:rsidRDefault="006A5B89" w:rsidP="006A5B89">
      <w:pPr>
        <w:keepNext/>
        <w:outlineLvl w:val="0"/>
        <w:rPr>
          <w:b/>
          <w:sz w:val="22"/>
          <w:szCs w:val="22"/>
        </w:rPr>
      </w:pPr>
      <w:r>
        <w:rPr>
          <w:b/>
          <w:sz w:val="22"/>
          <w:szCs w:val="22"/>
        </w:rPr>
        <w:t>Įspėjimai ir atsargumo priemonės</w:t>
      </w:r>
    </w:p>
    <w:p w14:paraId="33B2B4CE" w14:textId="77777777" w:rsidR="006A5B89" w:rsidRDefault="006A5B89" w:rsidP="006A5B89">
      <w:pPr>
        <w:keepNext/>
        <w:rPr>
          <w:sz w:val="22"/>
          <w:szCs w:val="22"/>
        </w:rPr>
      </w:pPr>
      <w:r>
        <w:rPr>
          <w:sz w:val="22"/>
          <w:szCs w:val="22"/>
        </w:rPr>
        <w:t xml:space="preserve">Pasitarkite su gydytoju, prieš pradėdama vartoti </w:t>
      </w:r>
      <w:proofErr w:type="spellStart"/>
      <w:r>
        <w:rPr>
          <w:sz w:val="22"/>
          <w:szCs w:val="22"/>
        </w:rPr>
        <w:t>Livial</w:t>
      </w:r>
      <w:proofErr w:type="spellEnd"/>
      <w:r>
        <w:rPr>
          <w:sz w:val="22"/>
          <w:szCs w:val="22"/>
        </w:rPr>
        <w:t>, jeigu Jums yra bet kuri iš žemiau paminėtų būklių, nes gydymo metu jos gali atsinaujinti arba pablogėti. Gydytojas dažniau tikrins Jūsų sveikatos būklę, jeigu Jums yra:</w:t>
      </w:r>
    </w:p>
    <w:p w14:paraId="69CF09B7" w14:textId="77777777" w:rsidR="006A5B89" w:rsidRDefault="006A5B89" w:rsidP="006A5B89">
      <w:pPr>
        <w:numPr>
          <w:ilvl w:val="0"/>
          <w:numId w:val="6"/>
        </w:numPr>
        <w:ind w:left="567" w:hanging="567"/>
        <w:rPr>
          <w:sz w:val="22"/>
          <w:szCs w:val="22"/>
        </w:rPr>
      </w:pPr>
      <w:r>
        <w:rPr>
          <w:sz w:val="22"/>
          <w:szCs w:val="22"/>
        </w:rPr>
        <w:t>gimdos mioma,</w:t>
      </w:r>
    </w:p>
    <w:p w14:paraId="46B4AB3D" w14:textId="77777777" w:rsidR="006A5B89" w:rsidRDefault="006A5B89" w:rsidP="006A5B89">
      <w:pPr>
        <w:numPr>
          <w:ilvl w:val="0"/>
          <w:numId w:val="6"/>
        </w:numPr>
        <w:ind w:left="567" w:hanging="567"/>
        <w:rPr>
          <w:sz w:val="22"/>
          <w:szCs w:val="22"/>
        </w:rPr>
      </w:pPr>
      <w:r>
        <w:rPr>
          <w:sz w:val="22"/>
          <w:szCs w:val="22"/>
        </w:rPr>
        <w:t>gimdos gleivinės augimas ne gimdoje (endometriozė) arba nenormaliai išvešėjusi gimdos gleivinė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w:t>
      </w:r>
    </w:p>
    <w:p w14:paraId="1C1A235F" w14:textId="77777777" w:rsidR="006A5B89" w:rsidRDefault="006A5B89" w:rsidP="006A5B89">
      <w:pPr>
        <w:numPr>
          <w:ilvl w:val="0"/>
          <w:numId w:val="6"/>
        </w:numPr>
        <w:ind w:left="567" w:hanging="567"/>
        <w:rPr>
          <w:sz w:val="22"/>
          <w:szCs w:val="22"/>
        </w:rPr>
      </w:pPr>
      <w:r>
        <w:rPr>
          <w:sz w:val="22"/>
          <w:szCs w:val="22"/>
        </w:rPr>
        <w:t>padidėjęs kraujo krešulių kraujagyslėse susidarymo pavojus (žiūrėkite poskyrį „Kraujo krešuliai venose (trombozė)),</w:t>
      </w:r>
    </w:p>
    <w:p w14:paraId="31CBAFAE" w14:textId="77777777" w:rsidR="006A5B89" w:rsidRDefault="006A5B89" w:rsidP="006A5B89">
      <w:pPr>
        <w:numPr>
          <w:ilvl w:val="0"/>
          <w:numId w:val="6"/>
        </w:numPr>
        <w:ind w:left="567" w:hanging="567"/>
        <w:rPr>
          <w:sz w:val="22"/>
          <w:szCs w:val="22"/>
        </w:rPr>
      </w:pPr>
      <w:r>
        <w:rPr>
          <w:sz w:val="22"/>
          <w:szCs w:val="22"/>
        </w:rPr>
        <w:t>padidėjęs pavojus susirgti nuo estrogenų priklausomu vėžiu (pvz., mama, sesuo ar močiutė sirgo krūties vėžiu),</w:t>
      </w:r>
    </w:p>
    <w:p w14:paraId="6E1F7A94" w14:textId="77777777" w:rsidR="006A5B89" w:rsidRDefault="006A5B89" w:rsidP="006A5B89">
      <w:pPr>
        <w:numPr>
          <w:ilvl w:val="0"/>
          <w:numId w:val="6"/>
        </w:numPr>
        <w:ind w:left="567" w:hanging="567"/>
        <w:rPr>
          <w:sz w:val="22"/>
          <w:szCs w:val="22"/>
        </w:rPr>
      </w:pPr>
      <w:r>
        <w:rPr>
          <w:sz w:val="22"/>
          <w:szCs w:val="22"/>
        </w:rPr>
        <w:t>padidėjęs kraujospūdis,</w:t>
      </w:r>
    </w:p>
    <w:p w14:paraId="48AE6DD6" w14:textId="77777777" w:rsidR="006A5B89" w:rsidRDefault="006A5B89" w:rsidP="006A5B89">
      <w:pPr>
        <w:numPr>
          <w:ilvl w:val="0"/>
          <w:numId w:val="6"/>
        </w:numPr>
        <w:ind w:left="567" w:hanging="567"/>
        <w:rPr>
          <w:sz w:val="22"/>
          <w:szCs w:val="22"/>
        </w:rPr>
      </w:pPr>
      <w:r>
        <w:rPr>
          <w:sz w:val="22"/>
          <w:szCs w:val="22"/>
        </w:rPr>
        <w:t>kepenų liga, tokia kaip gerybinis kepenų navikas,</w:t>
      </w:r>
    </w:p>
    <w:p w14:paraId="66B87E23" w14:textId="77777777" w:rsidR="006A5B89" w:rsidRDefault="006A5B89" w:rsidP="006A5B89">
      <w:pPr>
        <w:numPr>
          <w:ilvl w:val="0"/>
          <w:numId w:val="6"/>
        </w:numPr>
        <w:ind w:left="567" w:hanging="567"/>
        <w:rPr>
          <w:sz w:val="22"/>
          <w:szCs w:val="22"/>
        </w:rPr>
      </w:pPr>
      <w:r>
        <w:rPr>
          <w:sz w:val="22"/>
          <w:szCs w:val="22"/>
        </w:rPr>
        <w:t>cukrinis diabetas,</w:t>
      </w:r>
    </w:p>
    <w:p w14:paraId="4ECBE4EC" w14:textId="77777777" w:rsidR="006A5B89" w:rsidRDefault="006A5B89" w:rsidP="006A5B89">
      <w:pPr>
        <w:numPr>
          <w:ilvl w:val="0"/>
          <w:numId w:val="6"/>
        </w:numPr>
        <w:ind w:left="567" w:hanging="567"/>
        <w:rPr>
          <w:sz w:val="22"/>
          <w:szCs w:val="22"/>
        </w:rPr>
      </w:pPr>
      <w:r>
        <w:rPr>
          <w:sz w:val="22"/>
          <w:szCs w:val="22"/>
        </w:rPr>
        <w:t>tulžies pūslės akmenligė,</w:t>
      </w:r>
    </w:p>
    <w:p w14:paraId="7F1A1443" w14:textId="77777777" w:rsidR="006A5B89" w:rsidRDefault="006A5B89" w:rsidP="006A5B89">
      <w:pPr>
        <w:numPr>
          <w:ilvl w:val="0"/>
          <w:numId w:val="6"/>
        </w:numPr>
        <w:ind w:left="567" w:hanging="567"/>
        <w:rPr>
          <w:sz w:val="22"/>
          <w:szCs w:val="22"/>
        </w:rPr>
      </w:pPr>
      <w:r>
        <w:rPr>
          <w:sz w:val="22"/>
          <w:szCs w:val="22"/>
        </w:rPr>
        <w:t>migrena arba stiprus galvos skausmas,</w:t>
      </w:r>
    </w:p>
    <w:p w14:paraId="26884913" w14:textId="77777777" w:rsidR="006A5B89" w:rsidRDefault="006A5B89" w:rsidP="006A5B89">
      <w:pPr>
        <w:numPr>
          <w:ilvl w:val="0"/>
          <w:numId w:val="6"/>
        </w:numPr>
        <w:ind w:left="567" w:hanging="567"/>
        <w:rPr>
          <w:sz w:val="22"/>
          <w:szCs w:val="22"/>
        </w:rPr>
      </w:pPr>
      <w:r>
        <w:rPr>
          <w:sz w:val="22"/>
          <w:szCs w:val="22"/>
        </w:rPr>
        <w:lastRenderedPageBreak/>
        <w:t>imuninės sistemos liga, pažeidžianti daugumą Jūsų kūno organų (sisteminė raudonoji vilkligė (SRV)),</w:t>
      </w:r>
    </w:p>
    <w:p w14:paraId="556825C2" w14:textId="77777777" w:rsidR="006A5B89" w:rsidRDefault="006A5B89" w:rsidP="006A5B89">
      <w:pPr>
        <w:numPr>
          <w:ilvl w:val="0"/>
          <w:numId w:val="6"/>
        </w:numPr>
        <w:ind w:left="567" w:hanging="567"/>
        <w:rPr>
          <w:sz w:val="22"/>
          <w:szCs w:val="22"/>
        </w:rPr>
      </w:pPr>
      <w:r>
        <w:rPr>
          <w:sz w:val="22"/>
          <w:szCs w:val="22"/>
        </w:rPr>
        <w:t>epilepsija,</w:t>
      </w:r>
    </w:p>
    <w:p w14:paraId="177D64BC" w14:textId="77777777" w:rsidR="006A5B89" w:rsidRDefault="006A5B89" w:rsidP="006A5B89">
      <w:pPr>
        <w:numPr>
          <w:ilvl w:val="0"/>
          <w:numId w:val="6"/>
        </w:numPr>
        <w:ind w:left="567" w:hanging="567"/>
        <w:rPr>
          <w:sz w:val="22"/>
          <w:szCs w:val="22"/>
        </w:rPr>
      </w:pPr>
      <w:r>
        <w:rPr>
          <w:sz w:val="22"/>
          <w:szCs w:val="22"/>
        </w:rPr>
        <w:t>bronchų astma,</w:t>
      </w:r>
    </w:p>
    <w:p w14:paraId="408E514B" w14:textId="77777777" w:rsidR="006A5B89" w:rsidRDefault="006A5B89" w:rsidP="006A5B89">
      <w:pPr>
        <w:numPr>
          <w:ilvl w:val="0"/>
          <w:numId w:val="6"/>
        </w:numPr>
        <w:ind w:left="567" w:hanging="567"/>
        <w:rPr>
          <w:sz w:val="22"/>
          <w:szCs w:val="22"/>
        </w:rPr>
      </w:pPr>
      <w:proofErr w:type="spellStart"/>
      <w:r>
        <w:rPr>
          <w:sz w:val="22"/>
          <w:szCs w:val="22"/>
        </w:rPr>
        <w:t>otosklerozė</w:t>
      </w:r>
      <w:proofErr w:type="spellEnd"/>
      <w:r>
        <w:rPr>
          <w:sz w:val="22"/>
          <w:szCs w:val="22"/>
        </w:rPr>
        <w:t xml:space="preserve"> (kurtumą sukelianti ausies liga),</w:t>
      </w:r>
    </w:p>
    <w:p w14:paraId="2ED191A6" w14:textId="77777777" w:rsidR="006A5B89" w:rsidRDefault="006A5B89" w:rsidP="006A5B89">
      <w:pPr>
        <w:numPr>
          <w:ilvl w:val="0"/>
          <w:numId w:val="6"/>
        </w:numPr>
        <w:ind w:left="567" w:hanging="567"/>
        <w:rPr>
          <w:sz w:val="22"/>
          <w:szCs w:val="22"/>
        </w:rPr>
      </w:pPr>
      <w:r>
        <w:rPr>
          <w:sz w:val="22"/>
          <w:szCs w:val="22"/>
        </w:rPr>
        <w:t>labai daug riebalų (</w:t>
      </w:r>
      <w:proofErr w:type="spellStart"/>
      <w:r>
        <w:rPr>
          <w:sz w:val="22"/>
          <w:szCs w:val="22"/>
        </w:rPr>
        <w:t>trigliceridų</w:t>
      </w:r>
      <w:proofErr w:type="spellEnd"/>
      <w:r>
        <w:rPr>
          <w:sz w:val="22"/>
          <w:szCs w:val="22"/>
        </w:rPr>
        <w:t>) Jūsų kraujyje,</w:t>
      </w:r>
    </w:p>
    <w:p w14:paraId="38CD5A42" w14:textId="77777777" w:rsidR="006A5B89" w:rsidRDefault="006A5B89" w:rsidP="006A5B89">
      <w:pPr>
        <w:numPr>
          <w:ilvl w:val="0"/>
          <w:numId w:val="7"/>
        </w:numPr>
        <w:ind w:left="567" w:hanging="567"/>
        <w:outlineLvl w:val="0"/>
        <w:rPr>
          <w:sz w:val="22"/>
          <w:szCs w:val="22"/>
        </w:rPr>
      </w:pPr>
      <w:r>
        <w:rPr>
          <w:sz w:val="22"/>
          <w:szCs w:val="22"/>
        </w:rPr>
        <w:t>dėl širdies ar inkstų veiklos sutrikimų organizme susilaikę skysčiai.</w:t>
      </w:r>
    </w:p>
    <w:p w14:paraId="390C5E5C" w14:textId="77777777" w:rsidR="006A5B89" w:rsidRDefault="006A5B89" w:rsidP="006A5B89">
      <w:pPr>
        <w:rPr>
          <w:sz w:val="22"/>
          <w:szCs w:val="22"/>
        </w:rPr>
      </w:pPr>
    </w:p>
    <w:p w14:paraId="2A8CB4BB"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nebegerkite ir nedelsdama kreipkitės į gydytoją, jeigu vartojant PHT arba </w:t>
      </w:r>
      <w:proofErr w:type="spellStart"/>
      <w:r>
        <w:rPr>
          <w:b/>
          <w:sz w:val="22"/>
          <w:szCs w:val="22"/>
        </w:rPr>
        <w:t>Livial</w:t>
      </w:r>
      <w:proofErr w:type="spellEnd"/>
      <w:r>
        <w:rPr>
          <w:b/>
          <w:sz w:val="22"/>
          <w:szCs w:val="22"/>
        </w:rPr>
        <w:t xml:space="preserve"> Jums pasireiškė bet kuri iš šių būklių:</w:t>
      </w:r>
    </w:p>
    <w:p w14:paraId="72FE4472" w14:textId="77777777" w:rsidR="006A5B89" w:rsidRDefault="006A5B89" w:rsidP="006A5B89">
      <w:pPr>
        <w:pStyle w:val="Sraopastraipa"/>
        <w:numPr>
          <w:ilvl w:val="0"/>
          <w:numId w:val="12"/>
        </w:numPr>
        <w:outlineLvl w:val="0"/>
        <w:rPr>
          <w:sz w:val="22"/>
          <w:szCs w:val="22"/>
        </w:rPr>
      </w:pPr>
      <w:r>
        <w:rPr>
          <w:sz w:val="22"/>
          <w:szCs w:val="22"/>
        </w:rPr>
        <w:t>bet kuri būklė, paminėta poskyryje „</w:t>
      </w:r>
      <w:proofErr w:type="spellStart"/>
      <w:r>
        <w:rPr>
          <w:sz w:val="22"/>
          <w:szCs w:val="22"/>
        </w:rPr>
        <w:t>Livial</w:t>
      </w:r>
      <w:proofErr w:type="spellEnd"/>
      <w:r>
        <w:rPr>
          <w:sz w:val="22"/>
          <w:szCs w:val="22"/>
        </w:rPr>
        <w:t xml:space="preserve"> vartoti negalima“,</w:t>
      </w:r>
    </w:p>
    <w:p w14:paraId="1F94B371" w14:textId="77777777" w:rsidR="006A5B89" w:rsidRDefault="006A5B89" w:rsidP="006A5B89">
      <w:pPr>
        <w:pStyle w:val="Sraopastraipa"/>
        <w:numPr>
          <w:ilvl w:val="0"/>
          <w:numId w:val="12"/>
        </w:numPr>
        <w:rPr>
          <w:sz w:val="22"/>
          <w:szCs w:val="22"/>
        </w:rPr>
      </w:pPr>
      <w:r>
        <w:rPr>
          <w:sz w:val="22"/>
          <w:szCs w:val="22"/>
        </w:rPr>
        <w:t>pagelsta oda ar akių baltymai (gelta). Tai gali būti kepenų ligos požymiai;</w:t>
      </w:r>
    </w:p>
    <w:p w14:paraId="26B4AA6D" w14:textId="77777777" w:rsidR="006A5B89" w:rsidRDefault="006A5B89" w:rsidP="006A5B89">
      <w:pPr>
        <w:pStyle w:val="Sraopastraipa"/>
        <w:numPr>
          <w:ilvl w:val="0"/>
          <w:numId w:val="12"/>
        </w:numPr>
        <w:rPr>
          <w:sz w:val="22"/>
          <w:szCs w:val="22"/>
        </w:rPr>
      </w:pPr>
      <w:r>
        <w:rPr>
          <w:sz w:val="22"/>
          <w:szCs w:val="22"/>
        </w:rPr>
        <w:t>staiga padidėja kraujospūdis (simptomai gali būti galvos skausmas, nuovargis, svaigulys);</w:t>
      </w:r>
    </w:p>
    <w:p w14:paraId="7BFAF029" w14:textId="77777777" w:rsidR="006A5B89" w:rsidRDefault="006A5B89" w:rsidP="006A5B89">
      <w:pPr>
        <w:pStyle w:val="Sraopastraipa"/>
        <w:numPr>
          <w:ilvl w:val="0"/>
          <w:numId w:val="12"/>
        </w:numPr>
        <w:rPr>
          <w:sz w:val="22"/>
          <w:szCs w:val="22"/>
        </w:rPr>
      </w:pPr>
      <w:r>
        <w:rPr>
          <w:sz w:val="22"/>
          <w:szCs w:val="22"/>
        </w:rPr>
        <w:t>pirmą kartą pasireiškė migrena ar stiprus galvos skausmas,</w:t>
      </w:r>
    </w:p>
    <w:p w14:paraId="64DC498E" w14:textId="77777777" w:rsidR="006A5B89" w:rsidRDefault="006A5B89" w:rsidP="006A5B89">
      <w:pPr>
        <w:pStyle w:val="Sraopastraipa"/>
        <w:numPr>
          <w:ilvl w:val="0"/>
          <w:numId w:val="12"/>
        </w:numPr>
        <w:rPr>
          <w:sz w:val="22"/>
          <w:szCs w:val="22"/>
        </w:rPr>
      </w:pPr>
      <w:r>
        <w:rPr>
          <w:sz w:val="22"/>
          <w:szCs w:val="22"/>
        </w:rPr>
        <w:t>nėštumas,</w:t>
      </w:r>
    </w:p>
    <w:p w14:paraId="71FEC5BE" w14:textId="77777777" w:rsidR="006A5B89" w:rsidRDefault="006A5B89" w:rsidP="006A5B89">
      <w:pPr>
        <w:pStyle w:val="Sraopastraipa"/>
        <w:numPr>
          <w:ilvl w:val="0"/>
          <w:numId w:val="12"/>
        </w:numPr>
        <w:rPr>
          <w:sz w:val="22"/>
          <w:szCs w:val="22"/>
        </w:rPr>
      </w:pPr>
      <w:r>
        <w:rPr>
          <w:sz w:val="22"/>
          <w:szCs w:val="22"/>
        </w:rPr>
        <w:t xml:space="preserve">pastebite kraujo krešulių susidarymo požymių, tokių kaip skausmingas kojų patinimas ir paraudimas, netikėtas skausmas krūtinėje, dusulys. </w:t>
      </w:r>
    </w:p>
    <w:p w14:paraId="55F4FF36" w14:textId="77777777" w:rsidR="006A5B89" w:rsidRDefault="006A5B89" w:rsidP="006A5B89">
      <w:pPr>
        <w:rPr>
          <w:sz w:val="22"/>
          <w:szCs w:val="22"/>
        </w:rPr>
      </w:pPr>
    </w:p>
    <w:p w14:paraId="32EF97C1" w14:textId="77777777" w:rsidR="006A5B89" w:rsidRDefault="006A5B89" w:rsidP="006A5B89">
      <w:pPr>
        <w:rPr>
          <w:sz w:val="22"/>
          <w:szCs w:val="22"/>
        </w:rPr>
      </w:pPr>
      <w:r>
        <w:rPr>
          <w:sz w:val="22"/>
          <w:szCs w:val="22"/>
        </w:rPr>
        <w:t>Daugiau informacijos rasite poskyryje „Kraujo krešuliai venose (trombozė)“.</w:t>
      </w:r>
    </w:p>
    <w:p w14:paraId="2C9D987D" w14:textId="77777777" w:rsidR="006A5B89" w:rsidRDefault="006A5B89" w:rsidP="006A5B89">
      <w:pPr>
        <w:outlineLvl w:val="0"/>
        <w:rPr>
          <w:sz w:val="22"/>
          <w:szCs w:val="22"/>
        </w:rPr>
      </w:pPr>
    </w:p>
    <w:p w14:paraId="34EFB0ED" w14:textId="77777777" w:rsidR="006A5B89" w:rsidRDefault="006A5B89" w:rsidP="006A5B89">
      <w:pPr>
        <w:outlineLvl w:val="0"/>
        <w:rPr>
          <w:sz w:val="22"/>
          <w:szCs w:val="22"/>
        </w:rPr>
      </w:pPr>
      <w:r>
        <w:rPr>
          <w:sz w:val="22"/>
          <w:szCs w:val="22"/>
        </w:rPr>
        <w:t xml:space="preserve">Atsiminkite, kad nuo pastojimo </w:t>
      </w:r>
      <w:proofErr w:type="spellStart"/>
      <w:r>
        <w:rPr>
          <w:sz w:val="22"/>
          <w:szCs w:val="22"/>
        </w:rPr>
        <w:t>Livial</w:t>
      </w:r>
      <w:proofErr w:type="spellEnd"/>
      <w:r>
        <w:rPr>
          <w:sz w:val="22"/>
          <w:szCs w:val="22"/>
        </w:rPr>
        <w:t xml:space="preserve"> Jūsų neapsaugos. Jeigu nuo paskutinių mėnesinių dar nepraėjo 12 mėnesių arba jeigu Jūs esate jaunesnė nei 50 metų, apsaugai nuo nėštumo Jums gali reikėti kontraceptinių priemonių. Klauskite gydytojo patarimo.</w:t>
      </w:r>
    </w:p>
    <w:p w14:paraId="6A6352CE" w14:textId="77777777" w:rsidR="006A5B89" w:rsidRDefault="006A5B89" w:rsidP="006A5B89">
      <w:pPr>
        <w:outlineLvl w:val="0"/>
        <w:rPr>
          <w:sz w:val="22"/>
          <w:szCs w:val="22"/>
        </w:rPr>
      </w:pPr>
    </w:p>
    <w:p w14:paraId="7F6C9973" w14:textId="77777777" w:rsidR="006A5B89" w:rsidRDefault="006A5B89" w:rsidP="006A5B89">
      <w:pPr>
        <w:outlineLvl w:val="0"/>
        <w:rPr>
          <w:sz w:val="22"/>
          <w:szCs w:val="22"/>
        </w:rPr>
      </w:pPr>
      <w:r>
        <w:rPr>
          <w:b/>
          <w:sz w:val="22"/>
          <w:szCs w:val="22"/>
        </w:rPr>
        <w:t>PHT ir vėžys</w:t>
      </w:r>
    </w:p>
    <w:p w14:paraId="0447D135" w14:textId="77777777" w:rsidR="006A5B89" w:rsidRDefault="006A5B89" w:rsidP="006A5B89">
      <w:pPr>
        <w:outlineLvl w:val="0"/>
        <w:rPr>
          <w:sz w:val="22"/>
          <w:szCs w:val="22"/>
          <w:u w:val="single"/>
        </w:rPr>
      </w:pPr>
      <w:r>
        <w:rPr>
          <w:sz w:val="22"/>
          <w:szCs w:val="22"/>
          <w:u w:val="single"/>
        </w:rPr>
        <w:t>Gimdos gleivinės išvešėjimas (</w:t>
      </w:r>
      <w:proofErr w:type="spellStart"/>
      <w:r>
        <w:rPr>
          <w:sz w:val="22"/>
          <w:szCs w:val="22"/>
          <w:u w:val="single"/>
        </w:rPr>
        <w:t>endometriumo</w:t>
      </w:r>
      <w:proofErr w:type="spellEnd"/>
      <w:r>
        <w:rPr>
          <w:sz w:val="22"/>
          <w:szCs w:val="22"/>
          <w:u w:val="single"/>
        </w:rPr>
        <w:t xml:space="preserve"> </w:t>
      </w:r>
      <w:proofErr w:type="spellStart"/>
      <w:r>
        <w:rPr>
          <w:sz w:val="22"/>
          <w:szCs w:val="22"/>
          <w:u w:val="single"/>
        </w:rPr>
        <w:t>hiperplazija</w:t>
      </w:r>
      <w:proofErr w:type="spellEnd"/>
      <w:r>
        <w:rPr>
          <w:sz w:val="22"/>
          <w:szCs w:val="22"/>
          <w:u w:val="single"/>
        </w:rPr>
        <w:t>) ir gimdos gleivinės vėžys (</w:t>
      </w:r>
      <w:proofErr w:type="spellStart"/>
      <w:r>
        <w:rPr>
          <w:sz w:val="22"/>
          <w:szCs w:val="22"/>
          <w:u w:val="single"/>
        </w:rPr>
        <w:t>endometriumo</w:t>
      </w:r>
      <w:proofErr w:type="spellEnd"/>
      <w:r>
        <w:rPr>
          <w:sz w:val="22"/>
          <w:szCs w:val="22"/>
          <w:u w:val="single"/>
        </w:rPr>
        <w:t xml:space="preserve"> vėžys)</w:t>
      </w:r>
    </w:p>
    <w:p w14:paraId="52319E9E" w14:textId="77777777" w:rsidR="006A5B89" w:rsidRDefault="006A5B89" w:rsidP="006A5B89">
      <w:pPr>
        <w:rPr>
          <w:sz w:val="22"/>
          <w:szCs w:val="22"/>
        </w:rPr>
      </w:pPr>
      <w:r>
        <w:rPr>
          <w:sz w:val="22"/>
          <w:szCs w:val="22"/>
        </w:rPr>
        <w:t xml:space="preserve">Tyrimų metu buvo pastebėtas padidėjęs gimdos gleivinės ląstelių augimas ar gimdos gleivinės vėžys </w:t>
      </w:r>
      <w:proofErr w:type="spellStart"/>
      <w:r>
        <w:rPr>
          <w:sz w:val="22"/>
          <w:szCs w:val="22"/>
        </w:rPr>
        <w:t>Livial</w:t>
      </w:r>
      <w:proofErr w:type="spellEnd"/>
      <w:r>
        <w:rPr>
          <w:sz w:val="22"/>
          <w:szCs w:val="22"/>
        </w:rPr>
        <w:t xml:space="preserve"> vartojusioms moterims. Ilgėjant vartojimo trukmei rizika susirgti gimdos gleivinės vėžiu didėja.</w:t>
      </w:r>
    </w:p>
    <w:p w14:paraId="549EEE5C" w14:textId="77777777" w:rsidR="006A5B89" w:rsidRDefault="006A5B89" w:rsidP="006A5B89">
      <w:pPr>
        <w:rPr>
          <w:sz w:val="22"/>
          <w:szCs w:val="22"/>
        </w:rPr>
      </w:pPr>
    </w:p>
    <w:p w14:paraId="702B2CE4" w14:textId="77777777" w:rsidR="006A5B89" w:rsidRDefault="006A5B89" w:rsidP="006A5B89">
      <w:pPr>
        <w:rPr>
          <w:sz w:val="22"/>
          <w:szCs w:val="22"/>
          <w:u w:val="single"/>
        </w:rPr>
      </w:pPr>
      <w:r>
        <w:rPr>
          <w:sz w:val="22"/>
          <w:szCs w:val="22"/>
          <w:u w:val="single"/>
        </w:rPr>
        <w:t>Nereguliarus kraujavimas</w:t>
      </w:r>
    </w:p>
    <w:p w14:paraId="43660F21" w14:textId="77777777" w:rsidR="006A5B89" w:rsidRDefault="006A5B89" w:rsidP="006A5B89">
      <w:pPr>
        <w:rPr>
          <w:sz w:val="22"/>
          <w:szCs w:val="22"/>
        </w:rPr>
      </w:pPr>
      <w:r>
        <w:rPr>
          <w:sz w:val="22"/>
          <w:szCs w:val="22"/>
        </w:rPr>
        <w:t xml:space="preserve">Jeigu Jums pradėjo nereguliariai kraujuoti arba teplioti pirmaisiais 3-6 </w:t>
      </w:r>
      <w:proofErr w:type="spellStart"/>
      <w:r>
        <w:rPr>
          <w:sz w:val="22"/>
          <w:szCs w:val="22"/>
        </w:rPr>
        <w:t>Livial</w:t>
      </w:r>
      <w:proofErr w:type="spellEnd"/>
      <w:r>
        <w:rPr>
          <w:sz w:val="22"/>
          <w:szCs w:val="22"/>
        </w:rPr>
        <w:t xml:space="preserve"> vartojimo mėnesiais, nerimauti neverta.</w:t>
      </w:r>
    </w:p>
    <w:p w14:paraId="3D5F38D5" w14:textId="77777777" w:rsidR="006A5B89" w:rsidRDefault="006A5B89" w:rsidP="006A5B89">
      <w:pPr>
        <w:rPr>
          <w:sz w:val="22"/>
          <w:szCs w:val="22"/>
        </w:rPr>
      </w:pPr>
    </w:p>
    <w:p w14:paraId="0914270A" w14:textId="77777777" w:rsidR="006A5B89" w:rsidRDefault="006A5B89" w:rsidP="006A5B89">
      <w:pPr>
        <w:rPr>
          <w:sz w:val="22"/>
          <w:szCs w:val="22"/>
        </w:rPr>
      </w:pPr>
      <w:r>
        <w:rPr>
          <w:sz w:val="22"/>
          <w:szCs w:val="22"/>
        </w:rPr>
        <w:t>Tačiau nedelsdama turite kreiptis į gydytoją, jei kraujavimas arba tepliojimas:</w:t>
      </w:r>
    </w:p>
    <w:p w14:paraId="652A4E12" w14:textId="77777777" w:rsidR="006A5B89" w:rsidRDefault="006A5B89" w:rsidP="006A5B89">
      <w:pPr>
        <w:ind w:left="540" w:hanging="540"/>
        <w:rPr>
          <w:sz w:val="22"/>
          <w:szCs w:val="22"/>
        </w:rPr>
      </w:pPr>
      <w:r>
        <w:rPr>
          <w:sz w:val="22"/>
          <w:szCs w:val="22"/>
        </w:rPr>
        <w:t>-</w:t>
      </w:r>
      <w:r>
        <w:rPr>
          <w:sz w:val="22"/>
          <w:szCs w:val="22"/>
        </w:rPr>
        <w:tab/>
        <w:t>trunka ilgiau kaip šešis pirmuosius mėnesius;</w:t>
      </w:r>
    </w:p>
    <w:p w14:paraId="23020586" w14:textId="77777777" w:rsidR="006A5B89" w:rsidRDefault="006A5B89" w:rsidP="006A5B89">
      <w:pPr>
        <w:ind w:left="540" w:hanging="540"/>
        <w:rPr>
          <w:sz w:val="22"/>
          <w:szCs w:val="22"/>
        </w:rPr>
      </w:pPr>
      <w:r>
        <w:rPr>
          <w:sz w:val="22"/>
          <w:szCs w:val="22"/>
        </w:rPr>
        <w:t>-</w:t>
      </w:r>
      <w:r>
        <w:rPr>
          <w:sz w:val="22"/>
          <w:szCs w:val="22"/>
        </w:rPr>
        <w:tab/>
        <w:t xml:space="preserve">prasideda po šešių </w:t>
      </w:r>
      <w:proofErr w:type="spellStart"/>
      <w:r>
        <w:rPr>
          <w:sz w:val="22"/>
          <w:szCs w:val="22"/>
        </w:rPr>
        <w:t>Livial</w:t>
      </w:r>
      <w:proofErr w:type="spellEnd"/>
      <w:r>
        <w:rPr>
          <w:sz w:val="22"/>
          <w:szCs w:val="22"/>
        </w:rPr>
        <w:t xml:space="preserve"> vartojimo mėnesių;</w:t>
      </w:r>
    </w:p>
    <w:p w14:paraId="1F9A9842" w14:textId="77777777" w:rsidR="006A5B89" w:rsidRDefault="006A5B89" w:rsidP="006A5B89">
      <w:pPr>
        <w:ind w:left="540" w:hanging="540"/>
        <w:rPr>
          <w:sz w:val="22"/>
          <w:szCs w:val="22"/>
        </w:rPr>
      </w:pPr>
      <w:r>
        <w:rPr>
          <w:sz w:val="22"/>
          <w:szCs w:val="22"/>
        </w:rPr>
        <w:t>-</w:t>
      </w:r>
      <w:r>
        <w:rPr>
          <w:sz w:val="22"/>
          <w:szCs w:val="22"/>
        </w:rPr>
        <w:tab/>
        <w:t xml:space="preserve">išlieka net nutraukus </w:t>
      </w:r>
      <w:proofErr w:type="spellStart"/>
      <w:r>
        <w:rPr>
          <w:sz w:val="22"/>
          <w:szCs w:val="22"/>
        </w:rPr>
        <w:t>Livial</w:t>
      </w:r>
      <w:proofErr w:type="spellEnd"/>
      <w:r>
        <w:rPr>
          <w:sz w:val="22"/>
          <w:szCs w:val="22"/>
        </w:rPr>
        <w:t xml:space="preserve"> vartojimą.</w:t>
      </w:r>
    </w:p>
    <w:p w14:paraId="08CFE6C2" w14:textId="77777777" w:rsidR="006A5B89" w:rsidRDefault="006A5B89" w:rsidP="006A5B89">
      <w:pPr>
        <w:rPr>
          <w:sz w:val="22"/>
          <w:szCs w:val="22"/>
        </w:rPr>
      </w:pPr>
    </w:p>
    <w:p w14:paraId="2AD45E98" w14:textId="77777777" w:rsidR="006A5B89" w:rsidRDefault="006A5B89" w:rsidP="006A5B89">
      <w:pPr>
        <w:outlineLvl w:val="0"/>
        <w:rPr>
          <w:sz w:val="22"/>
          <w:szCs w:val="22"/>
          <w:u w:val="single"/>
        </w:rPr>
      </w:pPr>
      <w:r>
        <w:rPr>
          <w:sz w:val="22"/>
          <w:szCs w:val="22"/>
          <w:u w:val="single"/>
        </w:rPr>
        <w:t>Krūties vėžys</w:t>
      </w:r>
    </w:p>
    <w:p w14:paraId="303DB6F3" w14:textId="076348FA" w:rsidR="006A5B89" w:rsidRDefault="004D6CC6" w:rsidP="006A5B89">
      <w:pPr>
        <w:rPr>
          <w:sz w:val="22"/>
          <w:szCs w:val="22"/>
        </w:rPr>
      </w:pPr>
      <w:r>
        <w:rPr>
          <w:sz w:val="22"/>
          <w:szCs w:val="22"/>
        </w:rPr>
        <w:t xml:space="preserve">Iš įrodymų matyti, kad vartojant </w:t>
      </w:r>
      <w:proofErr w:type="spellStart"/>
      <w:r>
        <w:rPr>
          <w:sz w:val="22"/>
          <w:szCs w:val="22"/>
        </w:rPr>
        <w:t>tiboloną</w:t>
      </w:r>
      <w:proofErr w:type="spellEnd"/>
      <w:r>
        <w:rPr>
          <w:sz w:val="22"/>
          <w:szCs w:val="22"/>
        </w:rPr>
        <w:t xml:space="preserve">, didėja krūties vėžio rizika. </w:t>
      </w:r>
      <w:r w:rsidRPr="004D6CC6">
        <w:rPr>
          <w:sz w:val="22"/>
          <w:szCs w:val="22"/>
        </w:rPr>
        <w:t xml:space="preserve">Toks rizikos padidėjimas priklauso nuo </w:t>
      </w:r>
      <w:proofErr w:type="spellStart"/>
      <w:r w:rsidRPr="004D6CC6">
        <w:rPr>
          <w:sz w:val="22"/>
          <w:szCs w:val="22"/>
        </w:rPr>
        <w:t>tibolono</w:t>
      </w:r>
      <w:proofErr w:type="spellEnd"/>
      <w:r w:rsidRPr="004D6CC6">
        <w:rPr>
          <w:sz w:val="22"/>
          <w:szCs w:val="22"/>
        </w:rPr>
        <w:t xml:space="preserve"> vartojimo trukmės.</w:t>
      </w:r>
      <w:r>
        <w:rPr>
          <w:sz w:val="22"/>
          <w:szCs w:val="22"/>
        </w:rPr>
        <w:t xml:space="preserve"> </w:t>
      </w:r>
      <w:r w:rsidRPr="004D6CC6">
        <w:rPr>
          <w:sz w:val="22"/>
          <w:szCs w:val="22"/>
        </w:rPr>
        <w:t>Nutraukus PHT, ši padidėjusi rizika ilgainiui sumažės, bet tokia rizika gali išlikti 10 metų ar ilgiau, jeigu PHT vaistus vartojote ilgiau nei 5 metus.</w:t>
      </w:r>
      <w:r>
        <w:rPr>
          <w:sz w:val="22"/>
          <w:szCs w:val="22"/>
        </w:rPr>
        <w:t xml:space="preserve"> </w:t>
      </w:r>
      <w:r w:rsidRPr="004D6CC6">
        <w:rPr>
          <w:sz w:val="22"/>
          <w:szCs w:val="22"/>
        </w:rPr>
        <w:t xml:space="preserve">Duomenų apie tai, kiek tokia rizika išlieka nutraukus </w:t>
      </w:r>
      <w:proofErr w:type="spellStart"/>
      <w:r w:rsidRPr="004D6CC6">
        <w:rPr>
          <w:sz w:val="22"/>
          <w:szCs w:val="22"/>
        </w:rPr>
        <w:t>tibolono</w:t>
      </w:r>
      <w:proofErr w:type="spellEnd"/>
      <w:r w:rsidRPr="004D6CC6">
        <w:rPr>
          <w:sz w:val="22"/>
          <w:szCs w:val="22"/>
        </w:rPr>
        <w:t xml:space="preserve"> vartojimą, nėra, bet negalima atmesti panašaus išliekančios rizikos pobūdžio.</w:t>
      </w:r>
      <w:r>
        <w:rPr>
          <w:sz w:val="22"/>
          <w:szCs w:val="22"/>
        </w:rPr>
        <w:t xml:space="preserve"> </w:t>
      </w:r>
      <w:r w:rsidR="006A5B89">
        <w:rPr>
          <w:sz w:val="22"/>
          <w:szCs w:val="22"/>
        </w:rPr>
        <w:t xml:space="preserve">Moterims, vartojančioms </w:t>
      </w:r>
      <w:proofErr w:type="spellStart"/>
      <w:r w:rsidR="006A5B89">
        <w:rPr>
          <w:sz w:val="22"/>
          <w:szCs w:val="22"/>
        </w:rPr>
        <w:t>Livial</w:t>
      </w:r>
      <w:proofErr w:type="spellEnd"/>
      <w:r w:rsidR="006A5B89">
        <w:rPr>
          <w:sz w:val="22"/>
          <w:szCs w:val="22"/>
        </w:rPr>
        <w:t>, krūties vėžio rizika yra mažesnė, negu vartojančioms sudėtinių PHT preparatų, bet panaši į vartojančių tik estrogenų turinčių PHT preparatų.</w:t>
      </w:r>
    </w:p>
    <w:p w14:paraId="4AA057ED" w14:textId="77777777" w:rsidR="006A5B89" w:rsidRDefault="006A5B89" w:rsidP="006A5B89">
      <w:pPr>
        <w:rPr>
          <w:sz w:val="22"/>
          <w:szCs w:val="22"/>
        </w:rPr>
      </w:pPr>
    </w:p>
    <w:p w14:paraId="0459FC2A" w14:textId="77777777" w:rsidR="006A5B89" w:rsidRDefault="006A5B89" w:rsidP="006A5B89">
      <w:pPr>
        <w:rPr>
          <w:sz w:val="22"/>
          <w:szCs w:val="22"/>
        </w:rPr>
      </w:pPr>
      <w:r>
        <w:rPr>
          <w:sz w:val="22"/>
          <w:szCs w:val="22"/>
        </w:rPr>
        <w:t>Nepamirškite reguliariai stebėti savo krūtis. Kreipkitės į gydytoją, jeigu pastebėjote bet kokių pokyčių:</w:t>
      </w:r>
    </w:p>
    <w:p w14:paraId="0B2B7B4D" w14:textId="77777777" w:rsidR="006A5B89" w:rsidRDefault="006A5B89" w:rsidP="006A5B89">
      <w:pPr>
        <w:numPr>
          <w:ilvl w:val="0"/>
          <w:numId w:val="8"/>
        </w:numPr>
        <w:rPr>
          <w:sz w:val="22"/>
          <w:szCs w:val="22"/>
        </w:rPr>
      </w:pPr>
      <w:r>
        <w:rPr>
          <w:sz w:val="22"/>
          <w:szCs w:val="22"/>
        </w:rPr>
        <w:t>atsirado odos įdubimų,</w:t>
      </w:r>
    </w:p>
    <w:p w14:paraId="1E25FA9D" w14:textId="77777777" w:rsidR="006A5B89" w:rsidRDefault="006A5B89" w:rsidP="006A5B89">
      <w:pPr>
        <w:numPr>
          <w:ilvl w:val="0"/>
          <w:numId w:val="8"/>
        </w:numPr>
        <w:rPr>
          <w:sz w:val="22"/>
          <w:szCs w:val="22"/>
        </w:rPr>
      </w:pPr>
      <w:r>
        <w:rPr>
          <w:sz w:val="22"/>
          <w:szCs w:val="22"/>
        </w:rPr>
        <w:t>spenelio pokyčių,</w:t>
      </w:r>
    </w:p>
    <w:p w14:paraId="320C1102" w14:textId="77777777" w:rsidR="006A5B89" w:rsidRDefault="006A5B89" w:rsidP="006A5B89">
      <w:pPr>
        <w:numPr>
          <w:ilvl w:val="0"/>
          <w:numId w:val="8"/>
        </w:numPr>
        <w:rPr>
          <w:sz w:val="22"/>
          <w:szCs w:val="22"/>
        </w:rPr>
      </w:pPr>
      <w:r>
        <w:rPr>
          <w:sz w:val="22"/>
          <w:szCs w:val="22"/>
        </w:rPr>
        <w:t>bet kokių sustandėjimų, kuriuos galite pamatyti ar apčiuopti.</w:t>
      </w:r>
    </w:p>
    <w:p w14:paraId="13F54781" w14:textId="77777777" w:rsidR="006A5B89" w:rsidRDefault="006A5B89" w:rsidP="006A5B89">
      <w:pPr>
        <w:rPr>
          <w:sz w:val="22"/>
          <w:szCs w:val="22"/>
        </w:rPr>
      </w:pPr>
    </w:p>
    <w:p w14:paraId="43C4E82B" w14:textId="77777777" w:rsidR="006A5B89" w:rsidRDefault="006A5B89" w:rsidP="006A5B89">
      <w:pPr>
        <w:keepNext/>
        <w:outlineLvl w:val="0"/>
        <w:rPr>
          <w:sz w:val="22"/>
          <w:szCs w:val="22"/>
          <w:u w:val="single"/>
        </w:rPr>
      </w:pPr>
      <w:r>
        <w:rPr>
          <w:sz w:val="22"/>
          <w:szCs w:val="22"/>
          <w:u w:val="single"/>
        </w:rPr>
        <w:t>Kiaušidžių vėžys</w:t>
      </w:r>
    </w:p>
    <w:p w14:paraId="740B9E52" w14:textId="77777777" w:rsidR="006A5B89" w:rsidRDefault="006A5B89" w:rsidP="006A5B89">
      <w:pPr>
        <w:keepNext/>
        <w:rPr>
          <w:sz w:val="22"/>
          <w:szCs w:val="22"/>
        </w:rPr>
      </w:pPr>
      <w:r>
        <w:rPr>
          <w:sz w:val="22"/>
          <w:szCs w:val="22"/>
        </w:rPr>
        <w:t xml:space="preserve">Kiaušidžių vėžiu sergama retai, daug rečiau nei krūties vėžiu. PHT preparatų, kuriuose yra tik estrogeno, arba sudėtinių PHT preparatų, kuriuose yra estrogeno ir </w:t>
      </w:r>
      <w:proofErr w:type="spellStart"/>
      <w:r>
        <w:rPr>
          <w:sz w:val="22"/>
          <w:szCs w:val="22"/>
        </w:rPr>
        <w:t>progestageno</w:t>
      </w:r>
      <w:proofErr w:type="spellEnd"/>
      <w:r>
        <w:rPr>
          <w:sz w:val="22"/>
          <w:szCs w:val="22"/>
        </w:rPr>
        <w:t xml:space="preserve">, vartojimas yra susijęs su šiek tiek didesne kiaušidžių vėžio rizika. </w:t>
      </w:r>
    </w:p>
    <w:p w14:paraId="7CC5B4C9" w14:textId="77777777" w:rsidR="006A5B89" w:rsidRDefault="006A5B89" w:rsidP="006A5B89">
      <w:pPr>
        <w:rPr>
          <w:sz w:val="22"/>
          <w:szCs w:val="22"/>
        </w:rPr>
      </w:pPr>
    </w:p>
    <w:p w14:paraId="47B56CBE" w14:textId="77777777" w:rsidR="006A5B89" w:rsidRDefault="006A5B89" w:rsidP="006A5B89">
      <w:pPr>
        <w:rPr>
          <w:sz w:val="22"/>
          <w:szCs w:val="22"/>
        </w:rPr>
      </w:pPr>
      <w:r>
        <w:rPr>
          <w:sz w:val="22"/>
          <w:szCs w:val="22"/>
        </w:rPr>
        <w:lastRenderedPageBreak/>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Pr>
          <w:sz w:val="22"/>
          <w:szCs w:val="22"/>
        </w:rPr>
        <w:t>t.y</w:t>
      </w:r>
      <w:proofErr w:type="spellEnd"/>
      <w:r>
        <w:rPr>
          <w:sz w:val="22"/>
          <w:szCs w:val="22"/>
        </w:rPr>
        <w:t>. maždaug 1 atveju daugiau).</w:t>
      </w:r>
    </w:p>
    <w:p w14:paraId="16199A41" w14:textId="77777777" w:rsidR="006A5B89" w:rsidRDefault="006A5B89" w:rsidP="006A5B89">
      <w:pPr>
        <w:rPr>
          <w:sz w:val="22"/>
          <w:szCs w:val="22"/>
        </w:rPr>
      </w:pPr>
    </w:p>
    <w:p w14:paraId="6F3F724C" w14:textId="77777777" w:rsidR="006A5B89" w:rsidRDefault="006A5B89" w:rsidP="006A5B89">
      <w:pPr>
        <w:rPr>
          <w:sz w:val="22"/>
          <w:szCs w:val="22"/>
        </w:rPr>
      </w:pPr>
      <w:r>
        <w:rPr>
          <w:sz w:val="22"/>
          <w:szCs w:val="22"/>
        </w:rPr>
        <w:t xml:space="preserve">Vartojant </w:t>
      </w:r>
      <w:proofErr w:type="spellStart"/>
      <w:r>
        <w:rPr>
          <w:sz w:val="22"/>
          <w:szCs w:val="22"/>
        </w:rPr>
        <w:t>Livial</w:t>
      </w:r>
      <w:proofErr w:type="spellEnd"/>
      <w:r>
        <w:rPr>
          <w:sz w:val="22"/>
          <w:szCs w:val="22"/>
        </w:rPr>
        <w:t>, padidėjusi kiaušidžių vėžio rizika yra panaši į riziką, kylančią vartojant kitų rūšių PHT preparatų.</w:t>
      </w:r>
    </w:p>
    <w:p w14:paraId="7010C0C6" w14:textId="77777777" w:rsidR="006A5B89" w:rsidRDefault="006A5B89" w:rsidP="006A5B89">
      <w:pPr>
        <w:rPr>
          <w:sz w:val="22"/>
          <w:szCs w:val="22"/>
        </w:rPr>
      </w:pPr>
    </w:p>
    <w:p w14:paraId="4DC04CD0" w14:textId="77777777" w:rsidR="006A5B89" w:rsidRDefault="006A5B89" w:rsidP="006A5B89">
      <w:pPr>
        <w:outlineLvl w:val="0"/>
        <w:rPr>
          <w:sz w:val="22"/>
          <w:szCs w:val="22"/>
          <w:u w:val="single"/>
        </w:rPr>
      </w:pPr>
      <w:r>
        <w:rPr>
          <w:sz w:val="22"/>
          <w:szCs w:val="22"/>
          <w:u w:val="single"/>
        </w:rPr>
        <w:t>PHT poveikis širdžiai ar kraujotakai</w:t>
      </w:r>
    </w:p>
    <w:p w14:paraId="654F9C28" w14:textId="77777777" w:rsidR="006A5B89" w:rsidRDefault="006A5B89" w:rsidP="006A5B89">
      <w:pPr>
        <w:outlineLvl w:val="0"/>
        <w:rPr>
          <w:sz w:val="22"/>
          <w:szCs w:val="22"/>
          <w:u w:val="single"/>
        </w:rPr>
      </w:pPr>
      <w:r>
        <w:rPr>
          <w:sz w:val="22"/>
          <w:szCs w:val="22"/>
          <w:u w:val="single"/>
        </w:rPr>
        <w:t>Kraujo krešuliai venose (trombozė)</w:t>
      </w:r>
    </w:p>
    <w:p w14:paraId="3A268725" w14:textId="77777777" w:rsidR="006A5B89" w:rsidRDefault="006A5B89" w:rsidP="006A5B89">
      <w:pPr>
        <w:rPr>
          <w:sz w:val="22"/>
          <w:szCs w:val="22"/>
        </w:rPr>
      </w:pPr>
      <w:r>
        <w:rPr>
          <w:sz w:val="22"/>
          <w:szCs w:val="22"/>
        </w:rPr>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14:paraId="731B5D65" w14:textId="77777777" w:rsidR="006A5B89" w:rsidRDefault="006A5B89" w:rsidP="006A5B89">
      <w:pPr>
        <w:rPr>
          <w:sz w:val="22"/>
          <w:szCs w:val="22"/>
        </w:rPr>
      </w:pPr>
    </w:p>
    <w:p w14:paraId="7BDAEC6A" w14:textId="77777777" w:rsidR="006A5B89" w:rsidRDefault="006A5B89" w:rsidP="006A5B89">
      <w:pPr>
        <w:outlineLvl w:val="0"/>
        <w:rPr>
          <w:sz w:val="22"/>
          <w:szCs w:val="22"/>
        </w:rPr>
      </w:pPr>
      <w:r>
        <w:rPr>
          <w:sz w:val="22"/>
          <w:szCs w:val="22"/>
        </w:rPr>
        <w:t>Tikimybė, kad Jūsų venose susidarys kraujo krešulių, yra didesnė, jeigu esate vyresnio amžiaus arba jeigu Jums tinka bet kuri iš šių sąlygų:</w:t>
      </w:r>
    </w:p>
    <w:p w14:paraId="18ACA11C" w14:textId="77777777" w:rsidR="006A5B89" w:rsidRDefault="006A5B89" w:rsidP="006A5B89">
      <w:pPr>
        <w:pStyle w:val="Sraopastraipa"/>
        <w:numPr>
          <w:ilvl w:val="0"/>
          <w:numId w:val="12"/>
        </w:numPr>
        <w:outlineLvl w:val="0"/>
        <w:rPr>
          <w:sz w:val="22"/>
          <w:szCs w:val="22"/>
        </w:rPr>
      </w:pPr>
      <w:r>
        <w:rPr>
          <w:sz w:val="22"/>
          <w:szCs w:val="22"/>
        </w:rPr>
        <w:t>esate nėščia ar neseniai pagimdėte;</w:t>
      </w:r>
    </w:p>
    <w:p w14:paraId="31AD79BA" w14:textId="77777777" w:rsidR="006A5B89" w:rsidRDefault="006A5B89" w:rsidP="006A5B89">
      <w:pPr>
        <w:pStyle w:val="Sraopastraipa"/>
        <w:numPr>
          <w:ilvl w:val="0"/>
          <w:numId w:val="12"/>
        </w:numPr>
        <w:outlineLvl w:val="0"/>
        <w:rPr>
          <w:sz w:val="22"/>
          <w:szCs w:val="22"/>
        </w:rPr>
      </w:pPr>
      <w:r>
        <w:rPr>
          <w:sz w:val="22"/>
          <w:szCs w:val="22"/>
        </w:rPr>
        <w:t>vartojate estrogenų turinčius preparatus;</w:t>
      </w:r>
    </w:p>
    <w:p w14:paraId="6723A424" w14:textId="77777777" w:rsidR="006A5B89" w:rsidRDefault="006A5B89" w:rsidP="006A5B89">
      <w:pPr>
        <w:pStyle w:val="Sraopastraipa"/>
        <w:numPr>
          <w:ilvl w:val="0"/>
          <w:numId w:val="12"/>
        </w:numPr>
        <w:outlineLvl w:val="0"/>
        <w:rPr>
          <w:sz w:val="22"/>
          <w:szCs w:val="22"/>
        </w:rPr>
      </w:pPr>
      <w:r>
        <w:rPr>
          <w:sz w:val="22"/>
          <w:szCs w:val="22"/>
        </w:rPr>
        <w:t>negalite ilgai judėti, pvz., po didelės operacijos, sužeidimo ar ligos (taip pat žiūrėkite 3 skyriaus poskyrį „Jeigu Jus reikia operuoti“);</w:t>
      </w:r>
    </w:p>
    <w:p w14:paraId="5D5CF588" w14:textId="77777777" w:rsidR="006A5B89" w:rsidRDefault="006A5B89" w:rsidP="006A5B89">
      <w:pPr>
        <w:pStyle w:val="Sraopastraipa"/>
        <w:numPr>
          <w:ilvl w:val="0"/>
          <w:numId w:val="12"/>
        </w:numPr>
        <w:outlineLvl w:val="0"/>
        <w:rPr>
          <w:sz w:val="22"/>
          <w:szCs w:val="22"/>
        </w:rPr>
      </w:pPr>
      <w:r>
        <w:rPr>
          <w:sz w:val="22"/>
          <w:szCs w:val="22"/>
        </w:rPr>
        <w:t>turite didelį antsvorį (KMI &gt;30 kg/m2);</w:t>
      </w:r>
    </w:p>
    <w:p w14:paraId="5244574B" w14:textId="77777777" w:rsidR="006A5B89" w:rsidRDefault="006A5B89" w:rsidP="006A5B89">
      <w:pPr>
        <w:pStyle w:val="Sraopastraipa"/>
        <w:numPr>
          <w:ilvl w:val="0"/>
          <w:numId w:val="12"/>
        </w:numPr>
        <w:outlineLvl w:val="0"/>
        <w:rPr>
          <w:sz w:val="22"/>
          <w:szCs w:val="22"/>
        </w:rPr>
      </w:pPr>
      <w:r>
        <w:rPr>
          <w:sz w:val="22"/>
          <w:szCs w:val="22"/>
        </w:rPr>
        <w:t>yra kraujo krešėjimo problemų, kurias reikia ilgai gydyti vaistais, apsaugančiais nuo kraujo krešulių susidarymo;</w:t>
      </w:r>
    </w:p>
    <w:p w14:paraId="22D5BFE0" w14:textId="77777777" w:rsidR="006A5B89" w:rsidRDefault="006A5B89" w:rsidP="006A5B89">
      <w:pPr>
        <w:pStyle w:val="Sraopastraipa"/>
        <w:numPr>
          <w:ilvl w:val="0"/>
          <w:numId w:val="12"/>
        </w:numPr>
        <w:outlineLvl w:val="0"/>
        <w:rPr>
          <w:sz w:val="22"/>
          <w:szCs w:val="22"/>
        </w:rPr>
      </w:pPr>
      <w:r>
        <w:rPr>
          <w:sz w:val="22"/>
          <w:szCs w:val="22"/>
        </w:rPr>
        <w:t>Jūsų kraujo giminaičiams jau yra buvę kraujo krešulių kojose, plaučiuose ar kituose organuose;</w:t>
      </w:r>
    </w:p>
    <w:p w14:paraId="7D2EAFDD" w14:textId="77777777" w:rsidR="006A5B89" w:rsidRDefault="006A5B89" w:rsidP="006A5B89">
      <w:pPr>
        <w:pStyle w:val="Sraopastraipa"/>
        <w:numPr>
          <w:ilvl w:val="0"/>
          <w:numId w:val="12"/>
        </w:numPr>
        <w:outlineLvl w:val="0"/>
        <w:rPr>
          <w:sz w:val="22"/>
          <w:szCs w:val="22"/>
        </w:rPr>
      </w:pPr>
      <w:r>
        <w:rPr>
          <w:sz w:val="22"/>
          <w:szCs w:val="22"/>
        </w:rPr>
        <w:t>jeigu sergate sistemine raudonąja vilklige (SRV);</w:t>
      </w:r>
    </w:p>
    <w:p w14:paraId="031DBA09" w14:textId="77777777" w:rsidR="006A5B89" w:rsidRDefault="006A5B89" w:rsidP="006A5B89">
      <w:pPr>
        <w:pStyle w:val="Sraopastraipa"/>
        <w:numPr>
          <w:ilvl w:val="0"/>
          <w:numId w:val="12"/>
        </w:numPr>
        <w:outlineLvl w:val="0"/>
        <w:rPr>
          <w:sz w:val="22"/>
          <w:szCs w:val="22"/>
        </w:rPr>
      </w:pPr>
      <w:r>
        <w:rPr>
          <w:sz w:val="22"/>
          <w:szCs w:val="22"/>
        </w:rPr>
        <w:t>jeigu sergate vėžiu.</w:t>
      </w:r>
    </w:p>
    <w:p w14:paraId="26768B6A" w14:textId="77777777" w:rsidR="006A5B89" w:rsidRDefault="006A5B89" w:rsidP="006A5B89">
      <w:pPr>
        <w:rPr>
          <w:sz w:val="22"/>
          <w:szCs w:val="22"/>
        </w:rPr>
      </w:pPr>
    </w:p>
    <w:p w14:paraId="2CCF386E" w14:textId="77777777" w:rsidR="006A5B89" w:rsidRDefault="006A5B89" w:rsidP="006A5B89">
      <w:pPr>
        <w:rPr>
          <w:sz w:val="22"/>
          <w:szCs w:val="22"/>
        </w:rPr>
      </w:pPr>
      <w:r>
        <w:rPr>
          <w:sz w:val="22"/>
          <w:szCs w:val="22"/>
        </w:rPr>
        <w:t>Kraujo krešulių požymiai yra aprašyti poskyryje „</w:t>
      </w:r>
      <w:proofErr w:type="spellStart"/>
      <w:r>
        <w:rPr>
          <w:sz w:val="22"/>
          <w:szCs w:val="22"/>
        </w:rPr>
        <w:t>Livial</w:t>
      </w:r>
      <w:proofErr w:type="spellEnd"/>
      <w:r>
        <w:rPr>
          <w:sz w:val="22"/>
          <w:szCs w:val="22"/>
        </w:rPr>
        <w:t xml:space="preserve"> nebegerkite ir nedelsdama kreipkitės į gydytoją“.</w:t>
      </w:r>
    </w:p>
    <w:p w14:paraId="24B4930D" w14:textId="77777777" w:rsidR="006A5B89" w:rsidRDefault="006A5B89" w:rsidP="006A5B89">
      <w:pPr>
        <w:rPr>
          <w:sz w:val="22"/>
          <w:szCs w:val="22"/>
        </w:rPr>
      </w:pPr>
    </w:p>
    <w:p w14:paraId="3E7A3150" w14:textId="77777777" w:rsidR="006A5B89" w:rsidRDefault="006A5B89" w:rsidP="006A5B89">
      <w:pPr>
        <w:rPr>
          <w:sz w:val="22"/>
          <w:szCs w:val="22"/>
        </w:rPr>
      </w:pPr>
      <w:r>
        <w:rPr>
          <w:sz w:val="22"/>
          <w:szCs w:val="22"/>
        </w:rPr>
        <w:t>Palyginimui, vidutiniškai 4-7 iš 1000 penkiasdešimtmečių PHT nevartojančių moterų per 5 metus atsiras kraujo krešulių, o iš 1000 vartojančių PHT – 9-12 atvejų (</w:t>
      </w:r>
      <w:proofErr w:type="spellStart"/>
      <w:r>
        <w:rPr>
          <w:sz w:val="22"/>
          <w:szCs w:val="22"/>
        </w:rPr>
        <w:t>t.y</w:t>
      </w:r>
      <w:proofErr w:type="spellEnd"/>
      <w:r>
        <w:rPr>
          <w:sz w:val="22"/>
          <w:szCs w:val="22"/>
        </w:rPr>
        <w:t>., papildomi 5 atvejai).</w:t>
      </w:r>
    </w:p>
    <w:p w14:paraId="70C2B0DD" w14:textId="77777777" w:rsidR="006A5B89" w:rsidRDefault="006A5B89" w:rsidP="006A5B89">
      <w:pPr>
        <w:rPr>
          <w:sz w:val="22"/>
          <w:szCs w:val="22"/>
        </w:rPr>
      </w:pPr>
    </w:p>
    <w:p w14:paraId="7807F037" w14:textId="77777777" w:rsidR="006A5B89" w:rsidRDefault="006A5B89" w:rsidP="006A5B89">
      <w:pPr>
        <w:rPr>
          <w:sz w:val="22"/>
          <w:szCs w:val="22"/>
        </w:rPr>
      </w:pPr>
      <w:r>
        <w:rPr>
          <w:sz w:val="22"/>
          <w:szCs w:val="22"/>
        </w:rPr>
        <w:t xml:space="preserve">Vartojant </w:t>
      </w:r>
      <w:proofErr w:type="spellStart"/>
      <w:r>
        <w:rPr>
          <w:sz w:val="22"/>
          <w:szCs w:val="22"/>
        </w:rPr>
        <w:t>Livial</w:t>
      </w:r>
      <w:proofErr w:type="spellEnd"/>
      <w:r>
        <w:rPr>
          <w:sz w:val="22"/>
          <w:szCs w:val="22"/>
        </w:rPr>
        <w:t xml:space="preserve"> kraujo krešulių susidarymo pavojus padidėja mažiau, nei vartojant kitokią PHT.</w:t>
      </w:r>
    </w:p>
    <w:p w14:paraId="63975767" w14:textId="77777777" w:rsidR="006A5B89" w:rsidRDefault="006A5B89" w:rsidP="006A5B89">
      <w:pPr>
        <w:rPr>
          <w:sz w:val="22"/>
          <w:szCs w:val="22"/>
        </w:rPr>
      </w:pPr>
    </w:p>
    <w:p w14:paraId="4000FA23" w14:textId="77777777" w:rsidR="006A5B89" w:rsidRDefault="006A5B89" w:rsidP="006A5B89">
      <w:pPr>
        <w:outlineLvl w:val="0"/>
        <w:rPr>
          <w:sz w:val="22"/>
          <w:szCs w:val="22"/>
          <w:u w:val="single"/>
        </w:rPr>
      </w:pPr>
      <w:r>
        <w:rPr>
          <w:sz w:val="22"/>
          <w:szCs w:val="22"/>
          <w:u w:val="single"/>
        </w:rPr>
        <w:t>Širdies liga (širdies smūgis)</w:t>
      </w:r>
    </w:p>
    <w:p w14:paraId="0088E3E4" w14:textId="77777777" w:rsidR="006A5B89" w:rsidRDefault="006A5B89" w:rsidP="006A5B89">
      <w:pPr>
        <w:outlineLvl w:val="0"/>
        <w:rPr>
          <w:sz w:val="22"/>
          <w:szCs w:val="22"/>
        </w:rPr>
      </w:pPr>
      <w:r>
        <w:rPr>
          <w:sz w:val="22"/>
          <w:szCs w:val="22"/>
        </w:rPr>
        <w:t xml:space="preserve">Įrodymų, kad PHT ar </w:t>
      </w:r>
      <w:proofErr w:type="spellStart"/>
      <w:r>
        <w:rPr>
          <w:sz w:val="22"/>
          <w:szCs w:val="22"/>
        </w:rPr>
        <w:t>Livial</w:t>
      </w:r>
      <w:proofErr w:type="spellEnd"/>
      <w:r>
        <w:rPr>
          <w:sz w:val="22"/>
          <w:szCs w:val="22"/>
        </w:rPr>
        <w:t xml:space="preserve"> apsaugotų Jus nuo širdies smūgio, nėra.</w:t>
      </w:r>
    </w:p>
    <w:p w14:paraId="1E9B46C5" w14:textId="77777777" w:rsidR="006A5B89" w:rsidRDefault="006A5B89" w:rsidP="006A5B89">
      <w:pPr>
        <w:rPr>
          <w:sz w:val="22"/>
          <w:szCs w:val="22"/>
        </w:rPr>
      </w:pPr>
    </w:p>
    <w:p w14:paraId="45F6BC19" w14:textId="77777777" w:rsidR="006A5B89" w:rsidRDefault="006A5B89" w:rsidP="006A5B89">
      <w:pPr>
        <w:rPr>
          <w:sz w:val="22"/>
          <w:szCs w:val="22"/>
        </w:rPr>
      </w:pPr>
      <w:r>
        <w:rPr>
          <w:sz w:val="22"/>
          <w:szCs w:val="22"/>
        </w:rPr>
        <w:t xml:space="preserve">Estrogeno ir </w:t>
      </w:r>
      <w:proofErr w:type="spellStart"/>
      <w:r>
        <w:rPr>
          <w:sz w:val="22"/>
          <w:szCs w:val="22"/>
        </w:rPr>
        <w:t>progestageno</w:t>
      </w:r>
      <w:proofErr w:type="spellEnd"/>
      <w:r>
        <w:rPr>
          <w:sz w:val="22"/>
          <w:szCs w:val="22"/>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Pr>
          <w:sz w:val="22"/>
          <w:szCs w:val="22"/>
        </w:rPr>
        <w:t>progestageno</w:t>
      </w:r>
      <w:proofErr w:type="spellEnd"/>
      <w:r>
        <w:rPr>
          <w:sz w:val="22"/>
          <w:szCs w:val="22"/>
        </w:rPr>
        <w:t xml:space="preserve"> PHT vartojimo sveikoms moterims arti menopauzės yra labai mažas, tačiau su amžiumi didėja.</w:t>
      </w:r>
    </w:p>
    <w:p w14:paraId="259AE9D5" w14:textId="77777777" w:rsidR="006A5B89" w:rsidRDefault="006A5B89" w:rsidP="006A5B89">
      <w:pPr>
        <w:rPr>
          <w:sz w:val="22"/>
          <w:szCs w:val="22"/>
        </w:rPr>
      </w:pPr>
    </w:p>
    <w:p w14:paraId="43094AF9" w14:textId="77777777" w:rsidR="006A5B89" w:rsidRDefault="006A5B89" w:rsidP="006A5B89">
      <w:pPr>
        <w:rPr>
          <w:sz w:val="22"/>
          <w:szCs w:val="22"/>
        </w:rPr>
      </w:pPr>
      <w:r>
        <w:rPr>
          <w:sz w:val="22"/>
          <w:szCs w:val="22"/>
        </w:rPr>
        <w:t xml:space="preserve">Įrodymų, rodančių, kad vartojant </w:t>
      </w:r>
      <w:proofErr w:type="spellStart"/>
      <w:r>
        <w:rPr>
          <w:sz w:val="22"/>
          <w:szCs w:val="22"/>
        </w:rPr>
        <w:t>Livial</w:t>
      </w:r>
      <w:proofErr w:type="spellEnd"/>
      <w:r>
        <w:rPr>
          <w:sz w:val="22"/>
          <w:szCs w:val="22"/>
        </w:rPr>
        <w:t xml:space="preserve"> miokardo infarkto pavojus skirtųsi nuo pavojaus vartojant kitokią PHT, nėra.</w:t>
      </w:r>
    </w:p>
    <w:p w14:paraId="568E0DF2" w14:textId="77777777" w:rsidR="006A5B89" w:rsidRDefault="006A5B89" w:rsidP="006A5B89">
      <w:pPr>
        <w:rPr>
          <w:sz w:val="22"/>
          <w:szCs w:val="22"/>
        </w:rPr>
      </w:pPr>
    </w:p>
    <w:p w14:paraId="22B9CE70" w14:textId="77777777" w:rsidR="006A5B89" w:rsidRDefault="006A5B89" w:rsidP="006A5B89">
      <w:pPr>
        <w:outlineLvl w:val="0"/>
        <w:rPr>
          <w:sz w:val="22"/>
          <w:szCs w:val="22"/>
          <w:u w:val="single"/>
        </w:rPr>
      </w:pPr>
      <w:r>
        <w:rPr>
          <w:sz w:val="22"/>
          <w:szCs w:val="22"/>
          <w:u w:val="single"/>
        </w:rPr>
        <w:t>Insultas</w:t>
      </w:r>
    </w:p>
    <w:p w14:paraId="4D316A24" w14:textId="77777777" w:rsidR="006A5B89" w:rsidRDefault="006A5B89" w:rsidP="006A5B89">
      <w:pPr>
        <w:rPr>
          <w:sz w:val="22"/>
          <w:szCs w:val="22"/>
        </w:rPr>
      </w:pPr>
      <w:r>
        <w:rPr>
          <w:sz w:val="22"/>
          <w:szCs w:val="22"/>
        </w:rPr>
        <w:t xml:space="preserve">Naujausi tyrimai rodo, kad PHT ir </w:t>
      </w:r>
      <w:proofErr w:type="spellStart"/>
      <w:r>
        <w:rPr>
          <w:sz w:val="22"/>
          <w:szCs w:val="22"/>
        </w:rPr>
        <w:t>Livial</w:t>
      </w:r>
      <w:proofErr w:type="spellEnd"/>
      <w:r>
        <w:rPr>
          <w:sz w:val="22"/>
          <w:szCs w:val="22"/>
        </w:rPr>
        <w:t xml:space="preserve"> padidina insulto riziką. Toks rizikos padidėjimas dažniausiai stebimas senyvoms (vyresnėms nei 60 metų) moterims po menopauzės.</w:t>
      </w:r>
    </w:p>
    <w:p w14:paraId="7BC1BD8B" w14:textId="77777777" w:rsidR="006A5B89" w:rsidRDefault="006A5B89" w:rsidP="006A5B89">
      <w:pPr>
        <w:rPr>
          <w:sz w:val="22"/>
          <w:szCs w:val="22"/>
        </w:rPr>
      </w:pPr>
    </w:p>
    <w:p w14:paraId="52916EDD" w14:textId="77777777" w:rsidR="006A5B89" w:rsidRDefault="006A5B89" w:rsidP="006A5B89">
      <w:pPr>
        <w:rPr>
          <w:sz w:val="22"/>
          <w:szCs w:val="22"/>
        </w:rPr>
      </w:pPr>
      <w:r>
        <w:rPr>
          <w:sz w:val="22"/>
          <w:szCs w:val="22"/>
        </w:rPr>
        <w:t xml:space="preserve">Palyginimui, vidutiniškai 3 iš 1000 penkiasdešimtmečių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7 iš 1000 (</w:t>
      </w:r>
      <w:proofErr w:type="spellStart"/>
      <w:r>
        <w:rPr>
          <w:sz w:val="22"/>
          <w:szCs w:val="22"/>
        </w:rPr>
        <w:t>t.y</w:t>
      </w:r>
      <w:proofErr w:type="spellEnd"/>
      <w:r>
        <w:rPr>
          <w:sz w:val="22"/>
          <w:szCs w:val="22"/>
        </w:rPr>
        <w:t xml:space="preserve">., 4 papildomi atvejai). Be to, vidutiniškai 11 iš 1000 šešiasdešimtmečių </w:t>
      </w:r>
      <w:proofErr w:type="spellStart"/>
      <w:r>
        <w:rPr>
          <w:sz w:val="22"/>
          <w:szCs w:val="22"/>
        </w:rPr>
        <w:t>Livial</w:t>
      </w:r>
      <w:proofErr w:type="spellEnd"/>
      <w:r>
        <w:rPr>
          <w:sz w:val="22"/>
          <w:szCs w:val="22"/>
        </w:rPr>
        <w:t xml:space="preserve"> nevartojančių moterų per 5 metus patirs insultą, o vartojančių </w:t>
      </w:r>
      <w:proofErr w:type="spellStart"/>
      <w:r>
        <w:rPr>
          <w:sz w:val="22"/>
          <w:szCs w:val="22"/>
        </w:rPr>
        <w:t>Livial</w:t>
      </w:r>
      <w:proofErr w:type="spellEnd"/>
      <w:r>
        <w:rPr>
          <w:sz w:val="22"/>
          <w:szCs w:val="22"/>
        </w:rPr>
        <w:t xml:space="preserve"> – 24 iš 1000 (</w:t>
      </w:r>
      <w:proofErr w:type="spellStart"/>
      <w:r>
        <w:rPr>
          <w:sz w:val="22"/>
          <w:szCs w:val="22"/>
        </w:rPr>
        <w:t>t.y</w:t>
      </w:r>
      <w:proofErr w:type="spellEnd"/>
      <w:r>
        <w:rPr>
          <w:sz w:val="22"/>
          <w:szCs w:val="22"/>
        </w:rPr>
        <w:t>., 13 papildomų atvejų).</w:t>
      </w:r>
    </w:p>
    <w:p w14:paraId="3056E762" w14:textId="77777777" w:rsidR="006A5B89" w:rsidRDefault="006A5B89" w:rsidP="006A5B89">
      <w:pPr>
        <w:rPr>
          <w:sz w:val="22"/>
          <w:szCs w:val="22"/>
        </w:rPr>
      </w:pPr>
    </w:p>
    <w:p w14:paraId="10F75EF0" w14:textId="77777777" w:rsidR="006A5B89" w:rsidRDefault="006A5B89" w:rsidP="006A5B89">
      <w:pPr>
        <w:keepNext/>
        <w:rPr>
          <w:sz w:val="22"/>
          <w:szCs w:val="22"/>
          <w:u w:val="single"/>
        </w:rPr>
      </w:pPr>
      <w:r>
        <w:rPr>
          <w:sz w:val="22"/>
          <w:szCs w:val="22"/>
          <w:u w:val="single"/>
        </w:rPr>
        <w:lastRenderedPageBreak/>
        <w:t>Kitos būklės</w:t>
      </w:r>
    </w:p>
    <w:p w14:paraId="7D01E9D6" w14:textId="77777777" w:rsidR="006A5B89" w:rsidRDefault="006A5B89" w:rsidP="006A5B89">
      <w:pPr>
        <w:rPr>
          <w:sz w:val="22"/>
          <w:szCs w:val="22"/>
        </w:rPr>
      </w:pPr>
      <w:r>
        <w:rPr>
          <w:sz w:val="22"/>
          <w:szCs w:val="22"/>
        </w:rPr>
        <w:t>Nuo atminties praradimo PHT neapsaugo. Kai kurie įrodymai rodo, kad 65 metų sulaukusioms moterims pradėjus taikyti PHT, atminties praradimo pavojus padidėja. Klauskite gydytojo patarimo.</w:t>
      </w:r>
    </w:p>
    <w:p w14:paraId="4D74AFFA" w14:textId="77777777" w:rsidR="006A5B89" w:rsidRDefault="006A5B89" w:rsidP="006A5B89">
      <w:pPr>
        <w:rPr>
          <w:sz w:val="22"/>
          <w:szCs w:val="22"/>
        </w:rPr>
      </w:pPr>
    </w:p>
    <w:p w14:paraId="108FDFC4" w14:textId="77777777" w:rsidR="006A5B89" w:rsidRDefault="006A5B89" w:rsidP="006A5B89">
      <w:pPr>
        <w:keepNext/>
        <w:keepLines/>
        <w:outlineLvl w:val="0"/>
        <w:rPr>
          <w:b/>
          <w:sz w:val="22"/>
          <w:szCs w:val="22"/>
        </w:rPr>
      </w:pPr>
      <w:r>
        <w:rPr>
          <w:b/>
          <w:sz w:val="22"/>
          <w:szCs w:val="22"/>
        </w:rPr>
        <w:t xml:space="preserve">Kiti vaistai ir </w:t>
      </w:r>
      <w:proofErr w:type="spellStart"/>
      <w:r>
        <w:rPr>
          <w:b/>
          <w:sz w:val="22"/>
          <w:szCs w:val="22"/>
        </w:rPr>
        <w:t>Livial</w:t>
      </w:r>
      <w:proofErr w:type="spellEnd"/>
    </w:p>
    <w:p w14:paraId="7A8822CA" w14:textId="77777777" w:rsidR="006A5B89" w:rsidRDefault="006A5B89" w:rsidP="006A5B89">
      <w:pPr>
        <w:rPr>
          <w:sz w:val="22"/>
          <w:szCs w:val="22"/>
        </w:rPr>
      </w:pPr>
      <w:r>
        <w:rPr>
          <w:sz w:val="22"/>
          <w:szCs w:val="22"/>
        </w:rPr>
        <w:t xml:space="preserve">Kiti vaistai gali turėti įtakos </w:t>
      </w:r>
      <w:proofErr w:type="spellStart"/>
      <w:r>
        <w:rPr>
          <w:sz w:val="22"/>
          <w:szCs w:val="22"/>
        </w:rPr>
        <w:t>Livial</w:t>
      </w:r>
      <w:proofErr w:type="spellEnd"/>
      <w:r>
        <w:rPr>
          <w:sz w:val="22"/>
          <w:szCs w:val="22"/>
        </w:rPr>
        <w:t xml:space="preserve"> poveikiui arba </w:t>
      </w:r>
      <w:proofErr w:type="spellStart"/>
      <w:r>
        <w:rPr>
          <w:sz w:val="22"/>
          <w:szCs w:val="22"/>
        </w:rPr>
        <w:t>Livial</w:t>
      </w:r>
      <w:proofErr w:type="spellEnd"/>
      <w:r>
        <w:rPr>
          <w:sz w:val="22"/>
          <w:szCs w:val="22"/>
        </w:rPr>
        <w:t xml:space="preserve"> gali paveikti kitų vaistų veikimą. Dėl to galėtų atsirasti nereguliarus kraujavimas. Tai svarbu, jei vartojate:</w:t>
      </w:r>
    </w:p>
    <w:p w14:paraId="53AB8F40" w14:textId="77777777" w:rsidR="006A5B89" w:rsidRDefault="006A5B89" w:rsidP="006A5B89">
      <w:pPr>
        <w:numPr>
          <w:ilvl w:val="0"/>
          <w:numId w:val="10"/>
        </w:numPr>
        <w:tabs>
          <w:tab w:val="left" w:pos="567"/>
        </w:tabs>
        <w:ind w:left="567" w:hanging="567"/>
        <w:rPr>
          <w:sz w:val="22"/>
          <w:szCs w:val="22"/>
        </w:rPr>
      </w:pPr>
      <w:r>
        <w:rPr>
          <w:sz w:val="22"/>
          <w:szCs w:val="22"/>
        </w:rPr>
        <w:t xml:space="preserve">kraujo krešėjimą mažinančių vaistų (tokių kaip </w:t>
      </w:r>
      <w:proofErr w:type="spellStart"/>
      <w:r>
        <w:rPr>
          <w:sz w:val="22"/>
          <w:szCs w:val="22"/>
        </w:rPr>
        <w:t>varfarinas</w:t>
      </w:r>
      <w:proofErr w:type="spellEnd"/>
      <w:r>
        <w:rPr>
          <w:sz w:val="22"/>
          <w:szCs w:val="22"/>
        </w:rPr>
        <w:t>),</w:t>
      </w:r>
    </w:p>
    <w:p w14:paraId="77A36B6E" w14:textId="77777777" w:rsidR="006A5B89" w:rsidRDefault="006A5B89" w:rsidP="006A5B89">
      <w:pPr>
        <w:numPr>
          <w:ilvl w:val="1"/>
          <w:numId w:val="10"/>
        </w:numPr>
        <w:tabs>
          <w:tab w:val="left" w:pos="567"/>
        </w:tabs>
        <w:ind w:left="567" w:hanging="567"/>
        <w:rPr>
          <w:sz w:val="22"/>
          <w:szCs w:val="22"/>
        </w:rPr>
      </w:pPr>
      <w:r>
        <w:rPr>
          <w:sz w:val="22"/>
          <w:szCs w:val="22"/>
        </w:rPr>
        <w:t>vaistų epilepsijai gydyti</w:t>
      </w:r>
      <w:r>
        <w:rPr>
          <w:b/>
          <w:bCs/>
          <w:sz w:val="22"/>
          <w:szCs w:val="22"/>
        </w:rPr>
        <w:t xml:space="preserve"> </w:t>
      </w:r>
      <w:r>
        <w:rPr>
          <w:sz w:val="22"/>
          <w:szCs w:val="22"/>
        </w:rPr>
        <w:t xml:space="preserve">(tokių kaip </w:t>
      </w:r>
      <w:proofErr w:type="spellStart"/>
      <w:r>
        <w:rPr>
          <w:sz w:val="22"/>
          <w:szCs w:val="22"/>
        </w:rPr>
        <w:t>fenobarbitalis</w:t>
      </w:r>
      <w:proofErr w:type="spellEnd"/>
      <w:r>
        <w:rPr>
          <w:sz w:val="22"/>
          <w:szCs w:val="22"/>
        </w:rPr>
        <w:t xml:space="preserve">, </w:t>
      </w:r>
      <w:proofErr w:type="spellStart"/>
      <w:r>
        <w:rPr>
          <w:sz w:val="22"/>
          <w:szCs w:val="22"/>
        </w:rPr>
        <w:t>fenitoinas</w:t>
      </w:r>
      <w:proofErr w:type="spellEnd"/>
      <w:r>
        <w:rPr>
          <w:sz w:val="22"/>
          <w:szCs w:val="22"/>
        </w:rPr>
        <w:t xml:space="preserve"> ar </w:t>
      </w:r>
      <w:proofErr w:type="spellStart"/>
      <w:r>
        <w:rPr>
          <w:sz w:val="22"/>
          <w:szCs w:val="22"/>
        </w:rPr>
        <w:t>karbamazepinas</w:t>
      </w:r>
      <w:proofErr w:type="spellEnd"/>
      <w:r>
        <w:rPr>
          <w:sz w:val="22"/>
          <w:szCs w:val="22"/>
        </w:rPr>
        <w:t>),</w:t>
      </w:r>
    </w:p>
    <w:p w14:paraId="535D4B5A" w14:textId="77777777" w:rsidR="006A5B89" w:rsidRDefault="006A5B89" w:rsidP="006A5B89">
      <w:pPr>
        <w:numPr>
          <w:ilvl w:val="1"/>
          <w:numId w:val="10"/>
        </w:numPr>
        <w:tabs>
          <w:tab w:val="left" w:pos="567"/>
        </w:tabs>
        <w:ind w:left="567" w:hanging="567"/>
        <w:rPr>
          <w:sz w:val="22"/>
          <w:szCs w:val="22"/>
        </w:rPr>
      </w:pPr>
      <w:r>
        <w:rPr>
          <w:sz w:val="22"/>
          <w:szCs w:val="22"/>
        </w:rPr>
        <w:t>vaistų tuberkuliozei gydyti</w:t>
      </w:r>
      <w:r>
        <w:rPr>
          <w:b/>
          <w:bCs/>
          <w:sz w:val="22"/>
          <w:szCs w:val="22"/>
        </w:rPr>
        <w:t xml:space="preserve"> </w:t>
      </w:r>
      <w:r>
        <w:rPr>
          <w:sz w:val="22"/>
          <w:szCs w:val="22"/>
        </w:rPr>
        <w:t xml:space="preserve">(tokių kaip </w:t>
      </w:r>
      <w:proofErr w:type="spellStart"/>
      <w:r>
        <w:rPr>
          <w:sz w:val="22"/>
          <w:szCs w:val="22"/>
        </w:rPr>
        <w:t>rifampicinas</w:t>
      </w:r>
      <w:proofErr w:type="spellEnd"/>
      <w:r>
        <w:rPr>
          <w:sz w:val="22"/>
          <w:szCs w:val="22"/>
        </w:rPr>
        <w:t>),</w:t>
      </w:r>
    </w:p>
    <w:p w14:paraId="3D20A738" w14:textId="77777777" w:rsidR="006A5B89" w:rsidRDefault="006A5B89" w:rsidP="006A5B89">
      <w:pPr>
        <w:numPr>
          <w:ilvl w:val="0"/>
          <w:numId w:val="10"/>
        </w:numPr>
        <w:tabs>
          <w:tab w:val="left" w:pos="567"/>
        </w:tabs>
        <w:ind w:left="567" w:hanging="567"/>
        <w:rPr>
          <w:sz w:val="22"/>
          <w:szCs w:val="22"/>
        </w:rPr>
      </w:pPr>
      <w:r>
        <w:rPr>
          <w:sz w:val="22"/>
          <w:szCs w:val="22"/>
        </w:rPr>
        <w:t>augalinių preparatų, kurių sudėtyje yra jonažolės</w:t>
      </w:r>
      <w:r>
        <w:rPr>
          <w:b/>
          <w:bCs/>
          <w:sz w:val="22"/>
          <w:szCs w:val="22"/>
        </w:rPr>
        <w:t xml:space="preserve"> </w:t>
      </w:r>
      <w:r>
        <w:rPr>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Pr>
          <w:sz w:val="22"/>
          <w:szCs w:val="22"/>
        </w:rPr>
        <w:t>).</w:t>
      </w:r>
    </w:p>
    <w:p w14:paraId="28BBDBEC" w14:textId="77777777" w:rsidR="006A5B89" w:rsidRDefault="006A5B89" w:rsidP="006A5B89">
      <w:pPr>
        <w:rPr>
          <w:sz w:val="22"/>
          <w:szCs w:val="22"/>
        </w:rPr>
      </w:pPr>
    </w:p>
    <w:p w14:paraId="49F0B8A3" w14:textId="77777777" w:rsidR="006A5B89" w:rsidRDefault="006A5B89" w:rsidP="006A5B89">
      <w:pPr>
        <w:rPr>
          <w:sz w:val="22"/>
          <w:szCs w:val="22"/>
        </w:rPr>
      </w:pPr>
      <w:r>
        <w:rPr>
          <w:sz w:val="22"/>
          <w:szCs w:val="22"/>
        </w:rPr>
        <w:t>Jeigu vartojate arba neseniai vartojote kitų vaistų, augalinių ar kitokių natūralių preparatų, arba dėl to nesate tikri, pasakykite gydytojui arba vaistininkui.</w:t>
      </w:r>
    </w:p>
    <w:p w14:paraId="32E81F21" w14:textId="77777777" w:rsidR="006A5B89" w:rsidRDefault="006A5B89" w:rsidP="006A5B89">
      <w:pPr>
        <w:rPr>
          <w:sz w:val="22"/>
          <w:szCs w:val="22"/>
        </w:rPr>
      </w:pPr>
    </w:p>
    <w:p w14:paraId="0DFF0DA2"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vartojimas su maistu ir gėrimais</w:t>
      </w:r>
    </w:p>
    <w:p w14:paraId="0CBAAEC3" w14:textId="77777777" w:rsidR="006A5B89" w:rsidRDefault="006A5B89" w:rsidP="006A5B89">
      <w:pPr>
        <w:outlineLvl w:val="0"/>
        <w:rPr>
          <w:sz w:val="22"/>
          <w:szCs w:val="22"/>
        </w:rPr>
      </w:pPr>
      <w:r>
        <w:rPr>
          <w:sz w:val="22"/>
          <w:szCs w:val="22"/>
        </w:rPr>
        <w:t xml:space="preserve">Vartodamos </w:t>
      </w:r>
      <w:proofErr w:type="spellStart"/>
      <w:r>
        <w:rPr>
          <w:sz w:val="22"/>
          <w:szCs w:val="22"/>
        </w:rPr>
        <w:t>Livial</w:t>
      </w:r>
      <w:proofErr w:type="spellEnd"/>
      <w:r>
        <w:rPr>
          <w:sz w:val="22"/>
          <w:szCs w:val="22"/>
        </w:rPr>
        <w:t>, galite įprastai valgyti ir gerti.</w:t>
      </w:r>
    </w:p>
    <w:p w14:paraId="70CF1713" w14:textId="77777777" w:rsidR="006A5B89" w:rsidRDefault="006A5B89" w:rsidP="006A5B89">
      <w:pPr>
        <w:rPr>
          <w:sz w:val="22"/>
          <w:szCs w:val="22"/>
        </w:rPr>
      </w:pPr>
    </w:p>
    <w:p w14:paraId="53B5227F" w14:textId="77777777" w:rsidR="006A5B89" w:rsidRDefault="006A5B89" w:rsidP="006A5B89">
      <w:pPr>
        <w:outlineLvl w:val="0"/>
        <w:rPr>
          <w:b/>
          <w:sz w:val="22"/>
          <w:szCs w:val="22"/>
        </w:rPr>
      </w:pPr>
      <w:r>
        <w:rPr>
          <w:b/>
          <w:sz w:val="22"/>
          <w:szCs w:val="22"/>
        </w:rPr>
        <w:t>Nėštumas ir žindymo laikotarpis</w:t>
      </w:r>
    </w:p>
    <w:p w14:paraId="66F93FDF" w14:textId="77777777" w:rsidR="006A5B89" w:rsidRDefault="006A5B89" w:rsidP="006A5B89">
      <w:pPr>
        <w:rPr>
          <w:sz w:val="22"/>
          <w:szCs w:val="22"/>
        </w:rPr>
      </w:pPr>
      <w:proofErr w:type="spellStart"/>
      <w:r>
        <w:rPr>
          <w:sz w:val="22"/>
          <w:szCs w:val="22"/>
        </w:rPr>
        <w:t>Livial</w:t>
      </w:r>
      <w:proofErr w:type="spellEnd"/>
      <w:r>
        <w:rPr>
          <w:sz w:val="22"/>
          <w:szCs w:val="22"/>
        </w:rPr>
        <w:t xml:space="preserve"> yra skirtas tik moterims po menopauzės. Jeigu vartodama </w:t>
      </w:r>
      <w:proofErr w:type="spellStart"/>
      <w:r>
        <w:rPr>
          <w:sz w:val="22"/>
          <w:szCs w:val="22"/>
        </w:rPr>
        <w:t>Livial</w:t>
      </w:r>
      <w:proofErr w:type="spellEnd"/>
      <w:r>
        <w:rPr>
          <w:sz w:val="22"/>
          <w:szCs w:val="22"/>
        </w:rPr>
        <w:t xml:space="preserve"> pastosite, jo nebevartokite ir kreipkitės į savo gydytoją.</w:t>
      </w:r>
    </w:p>
    <w:p w14:paraId="031430C5" w14:textId="77777777" w:rsidR="006A5B89" w:rsidRDefault="006A5B89" w:rsidP="006A5B89">
      <w:pPr>
        <w:rPr>
          <w:sz w:val="22"/>
          <w:szCs w:val="22"/>
        </w:rPr>
      </w:pPr>
      <w:r>
        <w:rPr>
          <w:sz w:val="22"/>
          <w:szCs w:val="22"/>
        </w:rPr>
        <w:t>Jeigu esate nėščia, žindote kūdikį, manote, kad galbūt esate nėščia arba planuojate pastoti, tai prieš vartodama šį vaistą pasitarkite su gydytoju arba vaistininku.</w:t>
      </w:r>
    </w:p>
    <w:p w14:paraId="389FB87A" w14:textId="77777777" w:rsidR="006A5B89" w:rsidRDefault="006A5B89" w:rsidP="006A5B89">
      <w:pPr>
        <w:rPr>
          <w:sz w:val="22"/>
          <w:szCs w:val="22"/>
        </w:rPr>
      </w:pPr>
    </w:p>
    <w:p w14:paraId="62750207" w14:textId="77777777" w:rsidR="006A5B89" w:rsidRDefault="006A5B89" w:rsidP="006A5B89">
      <w:pPr>
        <w:outlineLvl w:val="0"/>
        <w:rPr>
          <w:b/>
          <w:sz w:val="22"/>
          <w:szCs w:val="22"/>
        </w:rPr>
      </w:pPr>
      <w:r>
        <w:rPr>
          <w:b/>
          <w:sz w:val="22"/>
          <w:szCs w:val="22"/>
        </w:rPr>
        <w:t>Vairavimas ir mechanizmų valdymas</w:t>
      </w:r>
    </w:p>
    <w:p w14:paraId="3DDBB1FE" w14:textId="77777777" w:rsidR="006A5B89" w:rsidRDefault="006A5B89" w:rsidP="006A5B89">
      <w:pPr>
        <w:outlineLvl w:val="0"/>
        <w:rPr>
          <w:sz w:val="22"/>
          <w:szCs w:val="22"/>
        </w:rPr>
      </w:pPr>
      <w:r>
        <w:rPr>
          <w:sz w:val="22"/>
          <w:szCs w:val="22"/>
        </w:rPr>
        <w:t xml:space="preserve">Iki šiol sukauptais duomenimis, </w:t>
      </w:r>
      <w:proofErr w:type="spellStart"/>
      <w:r>
        <w:rPr>
          <w:sz w:val="22"/>
          <w:szCs w:val="22"/>
        </w:rPr>
        <w:t>Livial</w:t>
      </w:r>
      <w:proofErr w:type="spellEnd"/>
      <w:r>
        <w:rPr>
          <w:sz w:val="22"/>
          <w:szCs w:val="22"/>
        </w:rPr>
        <w:t xml:space="preserve"> gebėjimo vairuoti ir valdyti mechanizmus neveikia.</w:t>
      </w:r>
    </w:p>
    <w:p w14:paraId="304822E2" w14:textId="77777777" w:rsidR="006A5B89" w:rsidRDefault="006A5B89" w:rsidP="006A5B89">
      <w:pPr>
        <w:rPr>
          <w:sz w:val="22"/>
          <w:szCs w:val="22"/>
        </w:rPr>
      </w:pPr>
    </w:p>
    <w:p w14:paraId="5A6F0820"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sudėtyje yra laktozės</w:t>
      </w:r>
    </w:p>
    <w:p w14:paraId="70978D29" w14:textId="77777777" w:rsidR="006A5B89" w:rsidRDefault="006A5B89" w:rsidP="006A5B89">
      <w:pPr>
        <w:rPr>
          <w:sz w:val="22"/>
          <w:szCs w:val="22"/>
        </w:rPr>
      </w:pPr>
      <w:r>
        <w:rPr>
          <w:sz w:val="22"/>
          <w:szCs w:val="22"/>
        </w:rPr>
        <w:t>Jeigu gydytojas Jums yra sakęs, kad netoleruojate kokių nors angliavandenių, kreipkitės į jį prieš pradėdamos vartoti šį vaistą.</w:t>
      </w:r>
    </w:p>
    <w:p w14:paraId="010F606C" w14:textId="77777777" w:rsidR="006A5B89" w:rsidRDefault="006A5B89" w:rsidP="006A5B89">
      <w:pPr>
        <w:rPr>
          <w:sz w:val="22"/>
          <w:szCs w:val="22"/>
        </w:rPr>
      </w:pPr>
    </w:p>
    <w:p w14:paraId="45F2D2E5" w14:textId="77777777" w:rsidR="006A5B89" w:rsidRDefault="006A5B89" w:rsidP="006A5B89">
      <w:pPr>
        <w:rPr>
          <w:sz w:val="22"/>
          <w:szCs w:val="22"/>
        </w:rPr>
      </w:pPr>
    </w:p>
    <w:p w14:paraId="0F9175DC" w14:textId="77777777" w:rsidR="006A5B89" w:rsidRDefault="006A5B89" w:rsidP="006A5B89">
      <w:pPr>
        <w:ind w:left="540" w:hanging="540"/>
        <w:rPr>
          <w:b/>
          <w:sz w:val="22"/>
          <w:szCs w:val="22"/>
        </w:rPr>
      </w:pPr>
      <w:r>
        <w:rPr>
          <w:b/>
          <w:sz w:val="22"/>
          <w:szCs w:val="22"/>
        </w:rPr>
        <w:t>3.</w:t>
      </w:r>
      <w:r>
        <w:rPr>
          <w:b/>
          <w:sz w:val="22"/>
          <w:szCs w:val="22"/>
        </w:rPr>
        <w:tab/>
        <w:t xml:space="preserve">Kaip vartoti </w:t>
      </w:r>
      <w:proofErr w:type="spellStart"/>
      <w:r>
        <w:rPr>
          <w:b/>
          <w:sz w:val="22"/>
          <w:szCs w:val="22"/>
        </w:rPr>
        <w:t>Livial</w:t>
      </w:r>
      <w:proofErr w:type="spellEnd"/>
    </w:p>
    <w:p w14:paraId="5A632F9E" w14:textId="77777777" w:rsidR="006A5B89" w:rsidRDefault="006A5B89" w:rsidP="006A5B89">
      <w:pPr>
        <w:rPr>
          <w:sz w:val="22"/>
          <w:szCs w:val="22"/>
        </w:rPr>
      </w:pPr>
    </w:p>
    <w:p w14:paraId="2A26B12B" w14:textId="77777777" w:rsidR="006A5B89" w:rsidRDefault="006A5B89" w:rsidP="006A5B89">
      <w:pPr>
        <w:rPr>
          <w:sz w:val="22"/>
          <w:szCs w:val="22"/>
        </w:rPr>
      </w:pPr>
      <w:proofErr w:type="spellStart"/>
      <w:r>
        <w:rPr>
          <w:sz w:val="22"/>
          <w:szCs w:val="22"/>
        </w:rPr>
        <w:t>Livial</w:t>
      </w:r>
      <w:proofErr w:type="spellEnd"/>
      <w:r>
        <w:rPr>
          <w:sz w:val="22"/>
          <w:szCs w:val="22"/>
        </w:rPr>
        <w:t xml:space="preserve"> reikia vartoti per burną. Vartokite po vieną tabletę per parą. Nurykite tabletę užgerdamos vandeniu arba kitu skysčiu. Tabletes vartokite kasdien tuo pačiu metu.</w:t>
      </w:r>
    </w:p>
    <w:p w14:paraId="29678043" w14:textId="77777777" w:rsidR="006A5B89" w:rsidRDefault="006A5B89" w:rsidP="006A5B89">
      <w:pPr>
        <w:rPr>
          <w:sz w:val="22"/>
          <w:szCs w:val="22"/>
        </w:rPr>
      </w:pPr>
    </w:p>
    <w:p w14:paraId="02B04251" w14:textId="77777777" w:rsidR="006A5B89" w:rsidRDefault="006A5B89" w:rsidP="006A5B89">
      <w:pPr>
        <w:rPr>
          <w:sz w:val="22"/>
          <w:szCs w:val="22"/>
        </w:rPr>
      </w:pPr>
      <w:r>
        <w:rPr>
          <w:sz w:val="22"/>
          <w:szCs w:val="22"/>
        </w:rPr>
        <w:t xml:space="preserve">Ant </w:t>
      </w:r>
      <w:proofErr w:type="spellStart"/>
      <w:r>
        <w:rPr>
          <w:sz w:val="22"/>
          <w:szCs w:val="22"/>
        </w:rPr>
        <w:t>Livial</w:t>
      </w:r>
      <w:proofErr w:type="spellEnd"/>
      <w:r>
        <w:rPr>
          <w:sz w:val="22"/>
          <w:szCs w:val="22"/>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14:paraId="3EECC4D7" w14:textId="77777777" w:rsidR="006A5B89" w:rsidRDefault="006A5B89" w:rsidP="006A5B89">
      <w:pPr>
        <w:rPr>
          <w:sz w:val="22"/>
          <w:szCs w:val="22"/>
        </w:rPr>
      </w:pPr>
    </w:p>
    <w:p w14:paraId="1C48346B" w14:textId="77777777" w:rsidR="006A5B89" w:rsidRDefault="006A5B89" w:rsidP="006A5B89">
      <w:pPr>
        <w:rPr>
          <w:sz w:val="22"/>
          <w:szCs w:val="22"/>
        </w:rPr>
      </w:pPr>
      <w:proofErr w:type="spellStart"/>
      <w:r>
        <w:rPr>
          <w:sz w:val="22"/>
          <w:szCs w:val="22"/>
        </w:rPr>
        <w:t>Livial</w:t>
      </w:r>
      <w:proofErr w:type="spellEnd"/>
      <w:r>
        <w:rPr>
          <w:sz w:val="22"/>
          <w:szCs w:val="22"/>
        </w:rPr>
        <w:t xml:space="preserve"> pradėti vartoti anksčiau nei po 12 mėnesių po paskutinių natūralių mėnesinių negalima. </w:t>
      </w:r>
      <w:proofErr w:type="spellStart"/>
      <w:r>
        <w:rPr>
          <w:sz w:val="22"/>
          <w:szCs w:val="22"/>
        </w:rPr>
        <w:t>Livial</w:t>
      </w:r>
      <w:proofErr w:type="spellEnd"/>
      <w:r>
        <w:rPr>
          <w:sz w:val="22"/>
          <w:szCs w:val="22"/>
        </w:rPr>
        <w:t xml:space="preserve"> pradėjus vartoti anksčiau, gali padidėti nereguliaraus kraujavimo iš makšties rizika.</w:t>
      </w:r>
    </w:p>
    <w:p w14:paraId="190F9BDB" w14:textId="77777777" w:rsidR="006A5B89" w:rsidRDefault="006A5B89" w:rsidP="006A5B89">
      <w:pPr>
        <w:rPr>
          <w:sz w:val="22"/>
          <w:szCs w:val="22"/>
        </w:rPr>
      </w:pPr>
    </w:p>
    <w:p w14:paraId="06DACFC4" w14:textId="77777777" w:rsidR="006A5B89" w:rsidRDefault="006A5B89" w:rsidP="006A5B89">
      <w:pPr>
        <w:outlineLvl w:val="0"/>
        <w:rPr>
          <w:sz w:val="22"/>
          <w:szCs w:val="22"/>
        </w:rPr>
      </w:pPr>
      <w:r>
        <w:rPr>
          <w:sz w:val="22"/>
          <w:szCs w:val="22"/>
        </w:rPr>
        <w:t xml:space="preserve">Jūsų gydytojas sieks paskirti mažiausią įmanomą dozę Jūsų simptomams gydyti kuo trumpesnį reikiamą laiką. Jeigu manote, kad </w:t>
      </w:r>
      <w:proofErr w:type="spellStart"/>
      <w:r>
        <w:rPr>
          <w:sz w:val="22"/>
          <w:szCs w:val="22"/>
        </w:rPr>
        <w:t>Livial</w:t>
      </w:r>
      <w:proofErr w:type="spellEnd"/>
      <w:r>
        <w:rPr>
          <w:sz w:val="22"/>
          <w:szCs w:val="22"/>
        </w:rPr>
        <w:t xml:space="preserve"> veikia per silpnai ar per stipriai, nedelsdama kreipkitės į gydytoją.</w:t>
      </w:r>
    </w:p>
    <w:p w14:paraId="13615651" w14:textId="77777777" w:rsidR="006A5B89" w:rsidRDefault="006A5B89" w:rsidP="006A5B89">
      <w:pPr>
        <w:rPr>
          <w:sz w:val="22"/>
          <w:szCs w:val="22"/>
        </w:rPr>
      </w:pPr>
    </w:p>
    <w:p w14:paraId="1839192D" w14:textId="77777777" w:rsidR="006A5B89" w:rsidRDefault="006A5B89" w:rsidP="006A5B89">
      <w:pPr>
        <w:outlineLvl w:val="0"/>
        <w:rPr>
          <w:b/>
          <w:sz w:val="22"/>
          <w:szCs w:val="22"/>
        </w:rPr>
      </w:pPr>
      <w:r>
        <w:rPr>
          <w:b/>
          <w:sz w:val="22"/>
          <w:szCs w:val="22"/>
        </w:rPr>
        <w:t xml:space="preserve">Ką daryti pavartojus per didelę </w:t>
      </w:r>
      <w:proofErr w:type="spellStart"/>
      <w:r>
        <w:rPr>
          <w:b/>
          <w:sz w:val="22"/>
          <w:szCs w:val="22"/>
        </w:rPr>
        <w:t>Livial</w:t>
      </w:r>
      <w:proofErr w:type="spellEnd"/>
      <w:r>
        <w:rPr>
          <w:b/>
          <w:sz w:val="22"/>
          <w:szCs w:val="22"/>
        </w:rPr>
        <w:t xml:space="preserve"> dozę?</w:t>
      </w:r>
    </w:p>
    <w:p w14:paraId="61878C37" w14:textId="77777777" w:rsidR="006A5B89" w:rsidRDefault="006A5B89" w:rsidP="006A5B89">
      <w:pPr>
        <w:rPr>
          <w:sz w:val="22"/>
          <w:szCs w:val="22"/>
        </w:rPr>
      </w:pPr>
      <w:r>
        <w:rPr>
          <w:sz w:val="22"/>
          <w:szCs w:val="22"/>
        </w:rPr>
        <w:t xml:space="preserve">Jeigu išgėrėte daugiau </w:t>
      </w:r>
      <w:proofErr w:type="spellStart"/>
      <w:r>
        <w:rPr>
          <w:sz w:val="22"/>
          <w:szCs w:val="22"/>
        </w:rPr>
        <w:t>Livial</w:t>
      </w:r>
      <w:proofErr w:type="spellEnd"/>
      <w:r>
        <w:rPr>
          <w:sz w:val="22"/>
          <w:szCs w:val="22"/>
        </w:rPr>
        <w:t xml:space="preserve"> negu reikėjo, nedelsdama kreipkitės į savo gydytoją ar vaistininką.</w:t>
      </w:r>
    </w:p>
    <w:p w14:paraId="281B1504" w14:textId="77777777" w:rsidR="006A5B89" w:rsidRDefault="006A5B89" w:rsidP="006A5B89">
      <w:pPr>
        <w:rPr>
          <w:sz w:val="22"/>
          <w:szCs w:val="22"/>
        </w:rPr>
      </w:pPr>
    </w:p>
    <w:p w14:paraId="3201F7AC" w14:textId="77777777" w:rsidR="006A5B89" w:rsidRDefault="006A5B89" w:rsidP="006A5B89">
      <w:pPr>
        <w:rPr>
          <w:sz w:val="22"/>
          <w:szCs w:val="22"/>
        </w:rPr>
      </w:pPr>
      <w:r>
        <w:rPr>
          <w:sz w:val="22"/>
          <w:szCs w:val="22"/>
        </w:rPr>
        <w:t xml:space="preserve">Išgėrus per daug </w:t>
      </w:r>
      <w:proofErr w:type="spellStart"/>
      <w:r>
        <w:rPr>
          <w:sz w:val="22"/>
          <w:szCs w:val="22"/>
        </w:rPr>
        <w:t>Livial</w:t>
      </w:r>
      <w:proofErr w:type="spellEnd"/>
      <w:r>
        <w:rPr>
          <w:sz w:val="22"/>
          <w:szCs w:val="22"/>
        </w:rPr>
        <w:t>, labai nerimauti nereikia, tačiau turite nedelsdami pasitarti su gydytoju. Perdozavus vaisto, gali atsirasti pykinimas, vėmimas ar pradėti kraujuoti iš makšties.</w:t>
      </w:r>
    </w:p>
    <w:p w14:paraId="10874453" w14:textId="77777777" w:rsidR="006A5B89" w:rsidRDefault="006A5B89" w:rsidP="006A5B89">
      <w:pPr>
        <w:rPr>
          <w:sz w:val="22"/>
          <w:szCs w:val="22"/>
        </w:rPr>
      </w:pPr>
    </w:p>
    <w:p w14:paraId="3054D887" w14:textId="77777777" w:rsidR="006A5B89" w:rsidRDefault="006A5B89" w:rsidP="006A5B89">
      <w:pPr>
        <w:keepNext/>
        <w:outlineLvl w:val="0"/>
        <w:rPr>
          <w:b/>
          <w:sz w:val="22"/>
          <w:szCs w:val="22"/>
        </w:rPr>
      </w:pPr>
      <w:r>
        <w:rPr>
          <w:b/>
          <w:sz w:val="22"/>
          <w:szCs w:val="22"/>
        </w:rPr>
        <w:lastRenderedPageBreak/>
        <w:t xml:space="preserve">Pamiršus pavartoti </w:t>
      </w:r>
      <w:proofErr w:type="spellStart"/>
      <w:r>
        <w:rPr>
          <w:b/>
          <w:sz w:val="22"/>
          <w:szCs w:val="22"/>
        </w:rPr>
        <w:t>Livial</w:t>
      </w:r>
      <w:proofErr w:type="spellEnd"/>
    </w:p>
    <w:p w14:paraId="42038B9C" w14:textId="77777777" w:rsidR="006A5B89" w:rsidRDefault="006A5B89" w:rsidP="006A5B89">
      <w:pPr>
        <w:rPr>
          <w:sz w:val="22"/>
          <w:szCs w:val="22"/>
        </w:rPr>
      </w:pPr>
      <w:r>
        <w:rPr>
          <w:sz w:val="22"/>
          <w:szCs w:val="22"/>
        </w:rPr>
        <w:t>Jeigu pamiršote išgerti tabletę, išgerkite ją tuoj pat prisiminusi, nebent vėluojate daugiau nei 12 valandų. Jeigu vėluojate daugiau nei 12 valandų, pamirštosios tabletės vartojimą praleiskite.</w:t>
      </w:r>
    </w:p>
    <w:p w14:paraId="1D0FADF9" w14:textId="77777777" w:rsidR="006A5B89" w:rsidRDefault="006A5B89" w:rsidP="006A5B89">
      <w:pPr>
        <w:rPr>
          <w:sz w:val="22"/>
          <w:szCs w:val="22"/>
        </w:rPr>
      </w:pPr>
    </w:p>
    <w:p w14:paraId="7D91FC2D" w14:textId="77777777" w:rsidR="006A5B89" w:rsidRDefault="006A5B89" w:rsidP="006A5B89">
      <w:pPr>
        <w:outlineLvl w:val="0"/>
        <w:rPr>
          <w:sz w:val="22"/>
          <w:szCs w:val="22"/>
        </w:rPr>
      </w:pPr>
      <w:r>
        <w:rPr>
          <w:sz w:val="22"/>
          <w:szCs w:val="22"/>
        </w:rPr>
        <w:t>Negalima vartoti dvigubos dozės norint kompensuoti praleistą dozę.</w:t>
      </w:r>
    </w:p>
    <w:p w14:paraId="64843891" w14:textId="77777777" w:rsidR="006A5B89" w:rsidRDefault="006A5B89" w:rsidP="006A5B89">
      <w:pPr>
        <w:rPr>
          <w:sz w:val="22"/>
          <w:szCs w:val="22"/>
        </w:rPr>
      </w:pPr>
    </w:p>
    <w:p w14:paraId="3F7AF402" w14:textId="77777777" w:rsidR="006A5B89" w:rsidRDefault="006A5B89" w:rsidP="006A5B89">
      <w:pPr>
        <w:keepNext/>
        <w:keepLines/>
        <w:outlineLvl w:val="0"/>
        <w:rPr>
          <w:b/>
          <w:sz w:val="22"/>
          <w:szCs w:val="22"/>
        </w:rPr>
      </w:pPr>
      <w:r>
        <w:rPr>
          <w:b/>
          <w:sz w:val="22"/>
          <w:szCs w:val="22"/>
        </w:rPr>
        <w:t xml:space="preserve">Nustojus vartoti </w:t>
      </w:r>
      <w:proofErr w:type="spellStart"/>
      <w:r>
        <w:rPr>
          <w:b/>
          <w:sz w:val="22"/>
          <w:szCs w:val="22"/>
        </w:rPr>
        <w:t>Livial</w:t>
      </w:r>
      <w:proofErr w:type="spellEnd"/>
    </w:p>
    <w:p w14:paraId="6AEFC8B1" w14:textId="77777777" w:rsidR="006A5B89" w:rsidRDefault="006A5B89" w:rsidP="006A5B89">
      <w:pPr>
        <w:keepNext/>
        <w:keepLines/>
        <w:outlineLvl w:val="0"/>
        <w:rPr>
          <w:sz w:val="22"/>
          <w:szCs w:val="22"/>
        </w:rPr>
      </w:pPr>
      <w:r>
        <w:rPr>
          <w:sz w:val="22"/>
          <w:szCs w:val="22"/>
        </w:rPr>
        <w:t>Jeigu kiltų daugiau klausimų dėl šio vaisto vartojimo, kreipkitės į gydytoją arba vaistininką.</w:t>
      </w:r>
    </w:p>
    <w:p w14:paraId="0BF31196" w14:textId="77777777" w:rsidR="006A5B89" w:rsidRDefault="006A5B89" w:rsidP="006A5B89">
      <w:pPr>
        <w:rPr>
          <w:sz w:val="22"/>
          <w:szCs w:val="22"/>
        </w:rPr>
      </w:pPr>
    </w:p>
    <w:p w14:paraId="06F64E89" w14:textId="77777777" w:rsidR="006A5B89" w:rsidRDefault="006A5B89" w:rsidP="006A5B89">
      <w:pPr>
        <w:rPr>
          <w:sz w:val="22"/>
          <w:szCs w:val="22"/>
          <w:u w:val="single"/>
        </w:rPr>
      </w:pPr>
      <w:r>
        <w:rPr>
          <w:sz w:val="22"/>
          <w:szCs w:val="22"/>
          <w:u w:val="single"/>
        </w:rPr>
        <w:t>Jeigu Jus reikia operuoti</w:t>
      </w:r>
    </w:p>
    <w:p w14:paraId="322F833C" w14:textId="77777777" w:rsidR="006A5B89" w:rsidRDefault="006A5B89" w:rsidP="006A5B89">
      <w:pPr>
        <w:rPr>
          <w:sz w:val="22"/>
          <w:szCs w:val="22"/>
        </w:rPr>
      </w:pPr>
      <w:r>
        <w:rPr>
          <w:sz w:val="22"/>
          <w:szCs w:val="22"/>
        </w:rPr>
        <w:t xml:space="preserve">Jeigu numatoma planinė operacija, pasakykite gydytojui, kad vartojate </w:t>
      </w:r>
      <w:proofErr w:type="spellStart"/>
      <w:r>
        <w:rPr>
          <w:sz w:val="22"/>
          <w:szCs w:val="22"/>
        </w:rPr>
        <w:t>Livial</w:t>
      </w:r>
      <w:proofErr w:type="spellEnd"/>
      <w:r>
        <w:rPr>
          <w:sz w:val="22"/>
          <w:szCs w:val="22"/>
        </w:rPr>
        <w:t xml:space="preserve">. Kraujo krešulių susidarymo pavojui sumažinti Jums gali tekti </w:t>
      </w:r>
      <w:proofErr w:type="spellStart"/>
      <w:r>
        <w:rPr>
          <w:sz w:val="22"/>
          <w:szCs w:val="22"/>
        </w:rPr>
        <w:t>Livial</w:t>
      </w:r>
      <w:proofErr w:type="spellEnd"/>
      <w:r>
        <w:rPr>
          <w:sz w:val="22"/>
          <w:szCs w:val="22"/>
        </w:rPr>
        <w:t xml:space="preserve"> vartojimą laikinai nutraukti likus 4</w:t>
      </w:r>
      <w:r>
        <w:rPr>
          <w:sz w:val="22"/>
          <w:szCs w:val="22"/>
        </w:rPr>
        <w:noBreakHyphen/>
        <w:t xml:space="preserve">6 savaitėms iki operacijos (žiūrėkite 2 skyriuje poskyrį „Kraujo krešuliai venose“). Klauskite gydytojo, kada vėl galėsite pradėti gerti </w:t>
      </w:r>
      <w:proofErr w:type="spellStart"/>
      <w:r>
        <w:rPr>
          <w:sz w:val="22"/>
          <w:szCs w:val="22"/>
        </w:rPr>
        <w:t>Livial</w:t>
      </w:r>
      <w:proofErr w:type="spellEnd"/>
      <w:r>
        <w:rPr>
          <w:sz w:val="22"/>
          <w:szCs w:val="22"/>
        </w:rPr>
        <w:t>.</w:t>
      </w:r>
    </w:p>
    <w:p w14:paraId="63CA67BE" w14:textId="77777777" w:rsidR="006A5B89" w:rsidRDefault="006A5B89" w:rsidP="006A5B89">
      <w:pPr>
        <w:rPr>
          <w:sz w:val="22"/>
          <w:szCs w:val="22"/>
        </w:rPr>
      </w:pPr>
    </w:p>
    <w:p w14:paraId="66FAC0C8" w14:textId="77777777" w:rsidR="006A5B89" w:rsidRDefault="006A5B89" w:rsidP="006A5B89">
      <w:pPr>
        <w:rPr>
          <w:sz w:val="22"/>
          <w:szCs w:val="22"/>
        </w:rPr>
      </w:pPr>
    </w:p>
    <w:p w14:paraId="3CC2B3EA" w14:textId="77777777" w:rsidR="006A5B89" w:rsidRDefault="006A5B89" w:rsidP="006A5B89">
      <w:pPr>
        <w:ind w:left="540" w:hanging="540"/>
        <w:rPr>
          <w:b/>
          <w:sz w:val="22"/>
          <w:szCs w:val="22"/>
        </w:rPr>
      </w:pPr>
      <w:r>
        <w:rPr>
          <w:b/>
          <w:sz w:val="22"/>
          <w:szCs w:val="22"/>
        </w:rPr>
        <w:t>4.</w:t>
      </w:r>
      <w:r>
        <w:rPr>
          <w:b/>
          <w:sz w:val="22"/>
          <w:szCs w:val="22"/>
        </w:rPr>
        <w:tab/>
        <w:t>Galimas šalutinis poveikis</w:t>
      </w:r>
    </w:p>
    <w:p w14:paraId="147CEA22" w14:textId="77777777" w:rsidR="006A5B89" w:rsidRDefault="006A5B89" w:rsidP="006A5B89">
      <w:pPr>
        <w:rPr>
          <w:sz w:val="22"/>
          <w:szCs w:val="22"/>
        </w:rPr>
      </w:pPr>
    </w:p>
    <w:p w14:paraId="172ED0D4" w14:textId="77777777" w:rsidR="006A5B89" w:rsidRDefault="006A5B89" w:rsidP="006A5B89">
      <w:pPr>
        <w:rPr>
          <w:sz w:val="22"/>
          <w:szCs w:val="22"/>
        </w:rPr>
      </w:pPr>
      <w:r>
        <w:rPr>
          <w:sz w:val="22"/>
          <w:szCs w:val="22"/>
        </w:rPr>
        <w:t>Šis vaistas, kaip ir visi kiti, gali sukelti šalutinį poveikį, nors jis pasireiškia ne visiems žmonėms.</w:t>
      </w:r>
    </w:p>
    <w:p w14:paraId="7A0E0A83" w14:textId="77777777" w:rsidR="006A5B89" w:rsidRDefault="006A5B89" w:rsidP="006A5B89">
      <w:pPr>
        <w:rPr>
          <w:sz w:val="22"/>
          <w:szCs w:val="22"/>
        </w:rPr>
      </w:pPr>
    </w:p>
    <w:p w14:paraId="07B637F5" w14:textId="77777777" w:rsidR="006A5B89" w:rsidRDefault="006A5B89" w:rsidP="006A5B89">
      <w:pPr>
        <w:rPr>
          <w:sz w:val="22"/>
          <w:szCs w:val="22"/>
        </w:rPr>
      </w:pPr>
      <w:r>
        <w:rPr>
          <w:sz w:val="22"/>
          <w:szCs w:val="22"/>
        </w:rPr>
        <w:t>Šios ligos PHT vartojančioms moterims buvo pastebėtos dažniau, nei PHT nevartojusioms:</w:t>
      </w:r>
    </w:p>
    <w:p w14:paraId="748D68EC" w14:textId="77777777" w:rsidR="006A5B89" w:rsidRDefault="006A5B89" w:rsidP="006A5B89">
      <w:pPr>
        <w:numPr>
          <w:ilvl w:val="0"/>
          <w:numId w:val="9"/>
        </w:numPr>
        <w:tabs>
          <w:tab w:val="num" w:pos="567"/>
        </w:tabs>
        <w:ind w:left="567" w:hanging="567"/>
        <w:rPr>
          <w:sz w:val="22"/>
          <w:szCs w:val="22"/>
        </w:rPr>
      </w:pPr>
      <w:r>
        <w:rPr>
          <w:sz w:val="22"/>
          <w:szCs w:val="22"/>
        </w:rPr>
        <w:t>krūties vėžys;</w:t>
      </w:r>
    </w:p>
    <w:p w14:paraId="6FFF2B67" w14:textId="77777777" w:rsidR="006A5B89" w:rsidRDefault="006A5B89" w:rsidP="006A5B89">
      <w:pPr>
        <w:numPr>
          <w:ilvl w:val="0"/>
          <w:numId w:val="9"/>
        </w:numPr>
        <w:tabs>
          <w:tab w:val="num" w:pos="567"/>
        </w:tabs>
        <w:ind w:left="567" w:hanging="567"/>
        <w:rPr>
          <w:sz w:val="22"/>
          <w:szCs w:val="22"/>
        </w:rPr>
      </w:pPr>
      <w:r>
        <w:rPr>
          <w:sz w:val="22"/>
          <w:szCs w:val="22"/>
        </w:rPr>
        <w:t>nenormalus gimdos gleivinės augimas arba vėžys (</w:t>
      </w:r>
      <w:proofErr w:type="spellStart"/>
      <w:r>
        <w:rPr>
          <w:sz w:val="22"/>
          <w:szCs w:val="22"/>
        </w:rPr>
        <w:t>endometriumo</w:t>
      </w:r>
      <w:proofErr w:type="spellEnd"/>
      <w:r>
        <w:rPr>
          <w:sz w:val="22"/>
          <w:szCs w:val="22"/>
        </w:rPr>
        <w:t xml:space="preserve"> </w:t>
      </w:r>
      <w:proofErr w:type="spellStart"/>
      <w:r>
        <w:rPr>
          <w:sz w:val="22"/>
          <w:szCs w:val="22"/>
        </w:rPr>
        <w:t>hiperplazija</w:t>
      </w:r>
      <w:proofErr w:type="spellEnd"/>
      <w:r>
        <w:rPr>
          <w:sz w:val="22"/>
          <w:szCs w:val="22"/>
        </w:rPr>
        <w:t xml:space="preserve"> ar vėžys);</w:t>
      </w:r>
    </w:p>
    <w:p w14:paraId="2B31106C" w14:textId="77777777" w:rsidR="006A5B89" w:rsidRDefault="006A5B89" w:rsidP="006A5B89">
      <w:pPr>
        <w:numPr>
          <w:ilvl w:val="0"/>
          <w:numId w:val="9"/>
        </w:numPr>
        <w:tabs>
          <w:tab w:val="num" w:pos="567"/>
        </w:tabs>
        <w:ind w:left="567" w:hanging="567"/>
        <w:rPr>
          <w:sz w:val="22"/>
          <w:szCs w:val="22"/>
        </w:rPr>
      </w:pPr>
      <w:r>
        <w:rPr>
          <w:sz w:val="22"/>
          <w:szCs w:val="22"/>
        </w:rPr>
        <w:t>kiaušidžių vėžys;</w:t>
      </w:r>
    </w:p>
    <w:p w14:paraId="144FB868" w14:textId="77777777" w:rsidR="006A5B89" w:rsidRDefault="006A5B89" w:rsidP="006A5B89">
      <w:pPr>
        <w:numPr>
          <w:ilvl w:val="0"/>
          <w:numId w:val="9"/>
        </w:numPr>
        <w:tabs>
          <w:tab w:val="num" w:pos="567"/>
        </w:tabs>
        <w:ind w:left="567" w:hanging="567"/>
        <w:rPr>
          <w:sz w:val="22"/>
          <w:szCs w:val="22"/>
        </w:rPr>
      </w:pPr>
      <w:r>
        <w:rPr>
          <w:sz w:val="22"/>
          <w:szCs w:val="22"/>
        </w:rPr>
        <w:t xml:space="preserve">kraujo krešuliai kojų ar plaučių venose (venų </w:t>
      </w:r>
      <w:proofErr w:type="spellStart"/>
      <w:r>
        <w:rPr>
          <w:sz w:val="22"/>
          <w:szCs w:val="22"/>
        </w:rPr>
        <w:t>tromboembolija</w:t>
      </w:r>
      <w:proofErr w:type="spellEnd"/>
      <w:r>
        <w:rPr>
          <w:sz w:val="22"/>
          <w:szCs w:val="22"/>
        </w:rPr>
        <w:t>);</w:t>
      </w:r>
    </w:p>
    <w:p w14:paraId="516237F6" w14:textId="77777777" w:rsidR="006A5B89" w:rsidRDefault="006A5B89" w:rsidP="006A5B89">
      <w:pPr>
        <w:numPr>
          <w:ilvl w:val="0"/>
          <w:numId w:val="9"/>
        </w:numPr>
        <w:tabs>
          <w:tab w:val="num" w:pos="567"/>
        </w:tabs>
        <w:ind w:left="567" w:hanging="567"/>
        <w:rPr>
          <w:sz w:val="22"/>
          <w:szCs w:val="22"/>
        </w:rPr>
      </w:pPr>
      <w:r>
        <w:rPr>
          <w:sz w:val="22"/>
          <w:szCs w:val="22"/>
        </w:rPr>
        <w:t>širdies liga;</w:t>
      </w:r>
    </w:p>
    <w:p w14:paraId="4009AB77" w14:textId="77777777" w:rsidR="006A5B89" w:rsidRDefault="006A5B89" w:rsidP="006A5B89">
      <w:pPr>
        <w:numPr>
          <w:ilvl w:val="0"/>
          <w:numId w:val="9"/>
        </w:numPr>
        <w:tabs>
          <w:tab w:val="num" w:pos="567"/>
        </w:tabs>
        <w:ind w:left="567" w:hanging="567"/>
        <w:rPr>
          <w:sz w:val="22"/>
          <w:szCs w:val="22"/>
        </w:rPr>
      </w:pPr>
      <w:r>
        <w:rPr>
          <w:sz w:val="22"/>
          <w:szCs w:val="22"/>
        </w:rPr>
        <w:t>insultas;</w:t>
      </w:r>
    </w:p>
    <w:p w14:paraId="4E03B891" w14:textId="77777777" w:rsidR="006A5B89" w:rsidRDefault="006A5B89" w:rsidP="006A5B89">
      <w:pPr>
        <w:numPr>
          <w:ilvl w:val="0"/>
          <w:numId w:val="9"/>
        </w:numPr>
        <w:tabs>
          <w:tab w:val="num" w:pos="567"/>
        </w:tabs>
        <w:ind w:left="567" w:hanging="567"/>
        <w:rPr>
          <w:sz w:val="22"/>
          <w:szCs w:val="22"/>
        </w:rPr>
      </w:pPr>
      <w:r>
        <w:rPr>
          <w:sz w:val="22"/>
          <w:szCs w:val="22"/>
        </w:rPr>
        <w:t>galimas atminties praradimas, jei PHT pradedama taikyti po 65 metų.</w:t>
      </w:r>
    </w:p>
    <w:p w14:paraId="7FCC5F53" w14:textId="77777777" w:rsidR="006A5B89" w:rsidRDefault="006A5B89" w:rsidP="006A5B89">
      <w:pPr>
        <w:ind w:left="567"/>
        <w:rPr>
          <w:sz w:val="22"/>
          <w:szCs w:val="22"/>
        </w:rPr>
      </w:pPr>
    </w:p>
    <w:p w14:paraId="5E71EC63" w14:textId="77777777" w:rsidR="006A5B89" w:rsidRDefault="006A5B89" w:rsidP="006A5B89">
      <w:pPr>
        <w:rPr>
          <w:sz w:val="22"/>
          <w:szCs w:val="22"/>
        </w:rPr>
      </w:pPr>
      <w:r>
        <w:rPr>
          <w:sz w:val="22"/>
          <w:szCs w:val="22"/>
        </w:rPr>
        <w:t>Daugiau informacijos apie šiuos poveikius rasite 2 skyriuje.</w:t>
      </w:r>
    </w:p>
    <w:p w14:paraId="538667E8" w14:textId="77777777" w:rsidR="006A5B89" w:rsidRDefault="006A5B89" w:rsidP="006A5B89">
      <w:pPr>
        <w:rPr>
          <w:sz w:val="22"/>
          <w:szCs w:val="22"/>
        </w:rPr>
      </w:pPr>
    </w:p>
    <w:p w14:paraId="664D163B" w14:textId="77777777" w:rsidR="006A5B89" w:rsidRDefault="006A5B89" w:rsidP="006A5B89">
      <w:pPr>
        <w:rPr>
          <w:sz w:val="22"/>
          <w:szCs w:val="22"/>
        </w:rPr>
      </w:pPr>
      <w:r>
        <w:rPr>
          <w:sz w:val="22"/>
          <w:szCs w:val="22"/>
        </w:rPr>
        <w:t>Klinikinių tyrimų metu dažnai nustatytas šis šalutinis poveikis (pasireiškė 1</w:t>
      </w:r>
      <w:r>
        <w:rPr>
          <w:sz w:val="22"/>
          <w:szCs w:val="22"/>
        </w:rPr>
        <w:noBreakHyphen/>
        <w:t xml:space="preserve">10 % </w:t>
      </w:r>
      <w:proofErr w:type="spellStart"/>
      <w:r>
        <w:rPr>
          <w:sz w:val="22"/>
          <w:szCs w:val="22"/>
        </w:rPr>
        <w:t>Livial</w:t>
      </w:r>
      <w:proofErr w:type="spellEnd"/>
      <w:r>
        <w:rPr>
          <w:sz w:val="22"/>
          <w:szCs w:val="22"/>
        </w:rPr>
        <w:t xml:space="preserve"> vartojusių moterų):</w:t>
      </w:r>
    </w:p>
    <w:p w14:paraId="365AC54D" w14:textId="77777777" w:rsidR="006A5B89" w:rsidRDefault="006A5B89" w:rsidP="006A5B89">
      <w:pPr>
        <w:ind w:left="540" w:hanging="540"/>
        <w:rPr>
          <w:sz w:val="22"/>
          <w:szCs w:val="22"/>
        </w:rPr>
      </w:pPr>
      <w:r>
        <w:rPr>
          <w:sz w:val="22"/>
          <w:szCs w:val="22"/>
        </w:rPr>
        <w:t>-</w:t>
      </w:r>
      <w:r>
        <w:rPr>
          <w:sz w:val="22"/>
          <w:szCs w:val="22"/>
        </w:rPr>
        <w:tab/>
        <w:t>kraujavimas ar tepliojimas iš makšties;</w:t>
      </w:r>
    </w:p>
    <w:p w14:paraId="534FFC14" w14:textId="77777777" w:rsidR="006A5B89" w:rsidRDefault="006A5B89" w:rsidP="006A5B89">
      <w:pPr>
        <w:ind w:left="540" w:hanging="540"/>
        <w:rPr>
          <w:sz w:val="22"/>
          <w:szCs w:val="22"/>
        </w:rPr>
      </w:pPr>
      <w:r>
        <w:rPr>
          <w:sz w:val="22"/>
          <w:szCs w:val="22"/>
        </w:rPr>
        <w:t>-</w:t>
      </w:r>
      <w:r>
        <w:rPr>
          <w:sz w:val="22"/>
          <w:szCs w:val="22"/>
        </w:rPr>
        <w:tab/>
        <w:t>pilvo skausmas;</w:t>
      </w:r>
    </w:p>
    <w:p w14:paraId="3E8674B1" w14:textId="77777777" w:rsidR="006A5B89" w:rsidRDefault="006A5B89" w:rsidP="006A5B89">
      <w:pPr>
        <w:ind w:left="540" w:hanging="540"/>
        <w:rPr>
          <w:sz w:val="22"/>
          <w:szCs w:val="22"/>
        </w:rPr>
      </w:pPr>
      <w:r>
        <w:rPr>
          <w:sz w:val="22"/>
          <w:szCs w:val="22"/>
        </w:rPr>
        <w:t>-</w:t>
      </w:r>
      <w:r>
        <w:rPr>
          <w:sz w:val="22"/>
          <w:szCs w:val="22"/>
        </w:rPr>
        <w:tab/>
        <w:t>padidėjęs kūno svoris;</w:t>
      </w:r>
    </w:p>
    <w:p w14:paraId="47377395" w14:textId="77777777" w:rsidR="006A5B89" w:rsidRDefault="006A5B89" w:rsidP="006A5B89">
      <w:pPr>
        <w:ind w:left="540" w:hanging="540"/>
        <w:rPr>
          <w:sz w:val="22"/>
          <w:szCs w:val="22"/>
        </w:rPr>
      </w:pPr>
      <w:r>
        <w:rPr>
          <w:sz w:val="22"/>
          <w:szCs w:val="22"/>
        </w:rPr>
        <w:t>-</w:t>
      </w:r>
      <w:r>
        <w:rPr>
          <w:sz w:val="22"/>
          <w:szCs w:val="22"/>
        </w:rPr>
        <w:tab/>
        <w:t>krūtų skausmas;</w:t>
      </w:r>
    </w:p>
    <w:p w14:paraId="3559E755" w14:textId="77777777" w:rsidR="006A5B89" w:rsidRDefault="006A5B89" w:rsidP="006A5B89">
      <w:pPr>
        <w:ind w:left="540" w:hanging="540"/>
        <w:rPr>
          <w:sz w:val="22"/>
          <w:szCs w:val="22"/>
        </w:rPr>
      </w:pPr>
      <w:r>
        <w:rPr>
          <w:sz w:val="22"/>
          <w:szCs w:val="22"/>
        </w:rPr>
        <w:t>-</w:t>
      </w:r>
      <w:r>
        <w:rPr>
          <w:sz w:val="22"/>
          <w:szCs w:val="22"/>
        </w:rPr>
        <w:tab/>
        <w:t>nenatūralus plaukų augimas;</w:t>
      </w:r>
    </w:p>
    <w:p w14:paraId="550C774D" w14:textId="77777777" w:rsidR="006A5B89" w:rsidRDefault="006A5B89" w:rsidP="006A5B89">
      <w:pPr>
        <w:ind w:left="540" w:hanging="540"/>
        <w:rPr>
          <w:sz w:val="22"/>
          <w:szCs w:val="22"/>
        </w:rPr>
      </w:pPr>
      <w:r>
        <w:rPr>
          <w:sz w:val="22"/>
          <w:szCs w:val="22"/>
        </w:rPr>
        <w:t>-</w:t>
      </w:r>
      <w:r>
        <w:rPr>
          <w:sz w:val="22"/>
          <w:szCs w:val="22"/>
        </w:rPr>
        <w:tab/>
        <w:t>makšties simptomai (pvz., išskyros, niežėjimas ir sudirginimas).</w:t>
      </w:r>
    </w:p>
    <w:p w14:paraId="5A49B37E" w14:textId="77777777" w:rsidR="006A5B89" w:rsidRDefault="006A5B89" w:rsidP="006A5B89">
      <w:pPr>
        <w:ind w:left="540" w:hanging="540"/>
        <w:rPr>
          <w:sz w:val="22"/>
          <w:szCs w:val="22"/>
        </w:rPr>
      </w:pPr>
    </w:p>
    <w:p w14:paraId="5877BF8A" w14:textId="77777777" w:rsidR="006A5B89" w:rsidRDefault="006A5B89" w:rsidP="006A5B89">
      <w:pPr>
        <w:outlineLvl w:val="0"/>
        <w:rPr>
          <w:sz w:val="22"/>
          <w:szCs w:val="22"/>
        </w:rPr>
      </w:pPr>
      <w:r>
        <w:rPr>
          <w:sz w:val="22"/>
          <w:szCs w:val="22"/>
        </w:rPr>
        <w:t>Nedažnas šalutinis poveikis (pasireiškė 0,1</w:t>
      </w:r>
      <w:r>
        <w:rPr>
          <w:sz w:val="22"/>
          <w:szCs w:val="22"/>
        </w:rPr>
        <w:noBreakHyphen/>
        <w:t xml:space="preserve">1 % </w:t>
      </w:r>
      <w:proofErr w:type="spellStart"/>
      <w:r>
        <w:rPr>
          <w:sz w:val="22"/>
          <w:szCs w:val="22"/>
        </w:rPr>
        <w:t>Livial</w:t>
      </w:r>
      <w:proofErr w:type="spellEnd"/>
      <w:r>
        <w:rPr>
          <w:sz w:val="22"/>
          <w:szCs w:val="22"/>
        </w:rPr>
        <w:t xml:space="preserve"> vartojusių moterų) – spuogai.</w:t>
      </w:r>
    </w:p>
    <w:p w14:paraId="04FBF803" w14:textId="77777777" w:rsidR="006A5B89" w:rsidRDefault="006A5B89" w:rsidP="006A5B89">
      <w:pPr>
        <w:rPr>
          <w:sz w:val="22"/>
          <w:szCs w:val="22"/>
        </w:rPr>
      </w:pPr>
    </w:p>
    <w:p w14:paraId="51664DA0" w14:textId="77777777" w:rsidR="006A5B89" w:rsidRDefault="006A5B89" w:rsidP="006A5B89">
      <w:pPr>
        <w:rPr>
          <w:sz w:val="22"/>
          <w:szCs w:val="22"/>
        </w:rPr>
      </w:pPr>
      <w:r>
        <w:rPr>
          <w:sz w:val="22"/>
          <w:szCs w:val="22"/>
        </w:rPr>
        <w:t xml:space="preserve">Kitas šalutinis poveikis, pastebėtas </w:t>
      </w:r>
      <w:proofErr w:type="spellStart"/>
      <w:r>
        <w:rPr>
          <w:sz w:val="22"/>
          <w:szCs w:val="22"/>
        </w:rPr>
        <w:t>Livial</w:t>
      </w:r>
      <w:proofErr w:type="spellEnd"/>
      <w:r>
        <w:rPr>
          <w:sz w:val="22"/>
          <w:szCs w:val="22"/>
        </w:rPr>
        <w:t xml:space="preserve"> pateikus į rinką:</w:t>
      </w:r>
    </w:p>
    <w:p w14:paraId="5CBCD85A" w14:textId="77777777" w:rsidR="006A5B89" w:rsidRDefault="006A5B89" w:rsidP="006A5B89">
      <w:pPr>
        <w:ind w:left="540" w:hanging="540"/>
        <w:rPr>
          <w:sz w:val="22"/>
          <w:szCs w:val="22"/>
        </w:rPr>
      </w:pPr>
      <w:r>
        <w:rPr>
          <w:sz w:val="22"/>
          <w:szCs w:val="22"/>
        </w:rPr>
        <w:t>-</w:t>
      </w:r>
      <w:r>
        <w:rPr>
          <w:sz w:val="22"/>
          <w:szCs w:val="22"/>
        </w:rPr>
        <w:tab/>
        <w:t>galvos svaigimas, galvos skausmas, migrena, depresija;</w:t>
      </w:r>
    </w:p>
    <w:p w14:paraId="53C4DDBE" w14:textId="77777777" w:rsidR="006A5B89" w:rsidRDefault="006A5B89" w:rsidP="006A5B89">
      <w:pPr>
        <w:ind w:left="540" w:hanging="540"/>
        <w:rPr>
          <w:sz w:val="22"/>
          <w:szCs w:val="22"/>
        </w:rPr>
      </w:pPr>
      <w:r>
        <w:rPr>
          <w:sz w:val="22"/>
          <w:szCs w:val="22"/>
        </w:rPr>
        <w:t>-</w:t>
      </w:r>
      <w:r>
        <w:rPr>
          <w:sz w:val="22"/>
          <w:szCs w:val="22"/>
        </w:rPr>
        <w:tab/>
        <w:t>išbėrimas arba niežulys;</w:t>
      </w:r>
    </w:p>
    <w:p w14:paraId="427BB530" w14:textId="77777777" w:rsidR="006A5B89" w:rsidRDefault="006A5B89" w:rsidP="006A5B89">
      <w:pPr>
        <w:ind w:left="540" w:hanging="540"/>
        <w:rPr>
          <w:sz w:val="22"/>
          <w:szCs w:val="22"/>
        </w:rPr>
      </w:pPr>
      <w:r>
        <w:rPr>
          <w:sz w:val="22"/>
          <w:szCs w:val="22"/>
        </w:rPr>
        <w:t>-</w:t>
      </w:r>
      <w:r>
        <w:rPr>
          <w:sz w:val="22"/>
          <w:szCs w:val="22"/>
        </w:rPr>
        <w:tab/>
        <w:t>regos sutrikimai;</w:t>
      </w:r>
    </w:p>
    <w:p w14:paraId="1EE2D33F" w14:textId="77777777" w:rsidR="006A5B89" w:rsidRDefault="006A5B89" w:rsidP="006A5B89">
      <w:pPr>
        <w:ind w:left="540" w:hanging="540"/>
        <w:rPr>
          <w:sz w:val="22"/>
          <w:szCs w:val="22"/>
        </w:rPr>
      </w:pPr>
      <w:r>
        <w:rPr>
          <w:sz w:val="22"/>
          <w:szCs w:val="22"/>
        </w:rPr>
        <w:t>-</w:t>
      </w:r>
      <w:r>
        <w:rPr>
          <w:sz w:val="22"/>
          <w:szCs w:val="22"/>
        </w:rPr>
        <w:tab/>
        <w:t>virškinimo sutrikimai;</w:t>
      </w:r>
    </w:p>
    <w:p w14:paraId="7ECEE56F" w14:textId="77777777" w:rsidR="006A5B89" w:rsidRDefault="006A5B89" w:rsidP="006A5B89">
      <w:pPr>
        <w:ind w:left="540" w:hanging="540"/>
        <w:rPr>
          <w:sz w:val="22"/>
          <w:szCs w:val="22"/>
        </w:rPr>
      </w:pPr>
      <w:r>
        <w:rPr>
          <w:sz w:val="22"/>
          <w:szCs w:val="22"/>
        </w:rPr>
        <w:t>-</w:t>
      </w:r>
      <w:r>
        <w:rPr>
          <w:sz w:val="22"/>
          <w:szCs w:val="22"/>
        </w:rPr>
        <w:tab/>
        <w:t>skysčių susilaikymas;</w:t>
      </w:r>
    </w:p>
    <w:p w14:paraId="6244D373" w14:textId="77777777" w:rsidR="006A5B89" w:rsidRDefault="006A5B89" w:rsidP="006A5B89">
      <w:pPr>
        <w:ind w:left="540" w:hanging="540"/>
        <w:rPr>
          <w:sz w:val="22"/>
          <w:szCs w:val="22"/>
        </w:rPr>
      </w:pPr>
      <w:r>
        <w:rPr>
          <w:sz w:val="22"/>
          <w:szCs w:val="22"/>
        </w:rPr>
        <w:t>-</w:t>
      </w:r>
      <w:r>
        <w:rPr>
          <w:sz w:val="22"/>
          <w:szCs w:val="22"/>
        </w:rPr>
        <w:tab/>
        <w:t>sąnarių skausmas, raumenų skausmas;</w:t>
      </w:r>
    </w:p>
    <w:p w14:paraId="0570D3FF" w14:textId="77777777" w:rsidR="006A5B89" w:rsidRDefault="006A5B89" w:rsidP="006A5B89">
      <w:pPr>
        <w:ind w:left="540" w:hanging="540"/>
        <w:rPr>
          <w:sz w:val="22"/>
          <w:szCs w:val="22"/>
        </w:rPr>
      </w:pPr>
      <w:r>
        <w:rPr>
          <w:sz w:val="22"/>
          <w:szCs w:val="22"/>
        </w:rPr>
        <w:t>-</w:t>
      </w:r>
      <w:r>
        <w:rPr>
          <w:sz w:val="22"/>
          <w:szCs w:val="22"/>
        </w:rPr>
        <w:tab/>
        <w:t>kepenų funkcijos pokyčiai.</w:t>
      </w:r>
    </w:p>
    <w:p w14:paraId="5481A2B8" w14:textId="77777777" w:rsidR="006A5B89" w:rsidRDefault="006A5B89" w:rsidP="006A5B89">
      <w:pPr>
        <w:rPr>
          <w:sz w:val="22"/>
          <w:szCs w:val="22"/>
        </w:rPr>
      </w:pPr>
    </w:p>
    <w:p w14:paraId="0C4C58D2" w14:textId="77777777" w:rsidR="006A5B89" w:rsidRDefault="006A5B89" w:rsidP="006A5B89">
      <w:pPr>
        <w:rPr>
          <w:sz w:val="22"/>
          <w:szCs w:val="22"/>
        </w:rPr>
      </w:pPr>
      <w:proofErr w:type="spellStart"/>
      <w:r>
        <w:rPr>
          <w:sz w:val="22"/>
          <w:szCs w:val="22"/>
        </w:rPr>
        <w:t>Livial</w:t>
      </w:r>
      <w:proofErr w:type="spellEnd"/>
      <w:r>
        <w:rPr>
          <w:sz w:val="22"/>
          <w:szCs w:val="22"/>
        </w:rPr>
        <w:t xml:space="preserve"> vartojusioms moterims buvo pastebėti krūties vėžio, gimdos gleivinės ląstelių išvešėjimo ar vėžio atvejai.</w:t>
      </w:r>
    </w:p>
    <w:p w14:paraId="67F819F2" w14:textId="77777777" w:rsidR="006A5B89" w:rsidRDefault="006A5B89" w:rsidP="006A5B89">
      <w:pPr>
        <w:rPr>
          <w:sz w:val="22"/>
          <w:szCs w:val="22"/>
        </w:rPr>
      </w:pPr>
    </w:p>
    <w:p w14:paraId="340858D1" w14:textId="77777777" w:rsidR="006A5B89" w:rsidRDefault="006A5B89" w:rsidP="006A5B89">
      <w:pPr>
        <w:rPr>
          <w:sz w:val="22"/>
          <w:szCs w:val="22"/>
        </w:rPr>
      </w:pPr>
      <w:r>
        <w:rPr>
          <w:sz w:val="22"/>
          <w:szCs w:val="22"/>
        </w:rPr>
        <w:t>Jeigu prasideda tepliojimas ar kraujavimas iš makšties arba jei bet kuris anksčiau paminėtas šalutinis poveikis vargina ir nepraeina, pasakykite gydytojui.</w:t>
      </w:r>
    </w:p>
    <w:p w14:paraId="3F442617" w14:textId="77777777" w:rsidR="006A5B89" w:rsidRDefault="006A5B89" w:rsidP="006A5B89">
      <w:pPr>
        <w:rPr>
          <w:sz w:val="22"/>
          <w:szCs w:val="22"/>
        </w:rPr>
      </w:pPr>
    </w:p>
    <w:p w14:paraId="347603DE" w14:textId="77777777" w:rsidR="006A5B89" w:rsidRDefault="006A5B89" w:rsidP="006A5B89">
      <w:pPr>
        <w:rPr>
          <w:sz w:val="22"/>
          <w:szCs w:val="22"/>
        </w:rPr>
      </w:pPr>
      <w:r>
        <w:rPr>
          <w:sz w:val="22"/>
          <w:szCs w:val="22"/>
        </w:rPr>
        <w:lastRenderedPageBreak/>
        <w:t>Šis šalutinis poveikis buvo pastebėtas vartojant kitų tipų PHT:</w:t>
      </w:r>
    </w:p>
    <w:p w14:paraId="2E7F2860" w14:textId="77777777" w:rsidR="006A5B89" w:rsidRDefault="006A5B89" w:rsidP="006A5B89">
      <w:pPr>
        <w:ind w:left="540" w:hanging="540"/>
        <w:rPr>
          <w:sz w:val="22"/>
          <w:szCs w:val="22"/>
        </w:rPr>
      </w:pPr>
      <w:r>
        <w:rPr>
          <w:sz w:val="22"/>
          <w:szCs w:val="22"/>
        </w:rPr>
        <w:t>-</w:t>
      </w:r>
      <w:r>
        <w:rPr>
          <w:sz w:val="22"/>
          <w:szCs w:val="22"/>
        </w:rPr>
        <w:tab/>
        <w:t>tulžies pūslės liga;</w:t>
      </w:r>
    </w:p>
    <w:p w14:paraId="5F3CC4B6" w14:textId="77777777" w:rsidR="006A5B89" w:rsidRDefault="006A5B89" w:rsidP="006A5B89">
      <w:pPr>
        <w:ind w:left="540" w:hanging="540"/>
        <w:rPr>
          <w:sz w:val="22"/>
          <w:szCs w:val="22"/>
        </w:rPr>
      </w:pPr>
      <w:r>
        <w:rPr>
          <w:sz w:val="22"/>
          <w:szCs w:val="22"/>
        </w:rPr>
        <w:t>-</w:t>
      </w:r>
      <w:r>
        <w:rPr>
          <w:sz w:val="22"/>
          <w:szCs w:val="22"/>
        </w:rPr>
        <w:tab/>
        <w:t>įvairūs odos sutrikimai:</w:t>
      </w:r>
    </w:p>
    <w:p w14:paraId="39537227" w14:textId="77777777" w:rsidR="006A5B89" w:rsidRDefault="006A5B89" w:rsidP="006A5B89">
      <w:pPr>
        <w:numPr>
          <w:ilvl w:val="0"/>
          <w:numId w:val="11"/>
        </w:numPr>
        <w:ind w:left="851" w:hanging="284"/>
        <w:rPr>
          <w:sz w:val="22"/>
          <w:szCs w:val="22"/>
        </w:rPr>
      </w:pPr>
      <w:r>
        <w:rPr>
          <w:sz w:val="22"/>
          <w:szCs w:val="22"/>
        </w:rPr>
        <w:t>odos spalvos pokyčiai, ypač veido ar sprando, dar žinoma kaip „nėštumo dėmės“ (</w:t>
      </w:r>
      <w:proofErr w:type="spellStart"/>
      <w:r>
        <w:rPr>
          <w:sz w:val="22"/>
          <w:szCs w:val="22"/>
        </w:rPr>
        <w:t>chloazma</w:t>
      </w:r>
      <w:proofErr w:type="spellEnd"/>
      <w:r>
        <w:rPr>
          <w:sz w:val="22"/>
          <w:szCs w:val="22"/>
        </w:rPr>
        <w:t>);</w:t>
      </w:r>
    </w:p>
    <w:p w14:paraId="514F1B8F" w14:textId="77777777" w:rsidR="006A5B89" w:rsidRDefault="006A5B89" w:rsidP="006A5B89">
      <w:pPr>
        <w:numPr>
          <w:ilvl w:val="0"/>
          <w:numId w:val="11"/>
        </w:numPr>
        <w:ind w:left="851" w:hanging="284"/>
        <w:rPr>
          <w:sz w:val="22"/>
          <w:szCs w:val="22"/>
        </w:rPr>
      </w:pPr>
      <w:r>
        <w:rPr>
          <w:sz w:val="22"/>
          <w:szCs w:val="22"/>
        </w:rPr>
        <w:t xml:space="preserve">skausmingi rausvi odos mazgeliai (mazginė </w:t>
      </w:r>
      <w:proofErr w:type="spellStart"/>
      <w:r>
        <w:rPr>
          <w:sz w:val="22"/>
          <w:szCs w:val="22"/>
        </w:rPr>
        <w:t>eritema</w:t>
      </w:r>
      <w:proofErr w:type="spellEnd"/>
      <w:r>
        <w:rPr>
          <w:sz w:val="22"/>
          <w:szCs w:val="22"/>
        </w:rPr>
        <w:t>);</w:t>
      </w:r>
    </w:p>
    <w:p w14:paraId="62E10B2C" w14:textId="77777777" w:rsidR="006A5B89" w:rsidRDefault="006A5B89" w:rsidP="006A5B89">
      <w:pPr>
        <w:numPr>
          <w:ilvl w:val="0"/>
          <w:numId w:val="11"/>
        </w:numPr>
        <w:ind w:left="851" w:hanging="284"/>
        <w:rPr>
          <w:sz w:val="22"/>
          <w:szCs w:val="22"/>
        </w:rPr>
      </w:pPr>
      <w:r>
        <w:rPr>
          <w:sz w:val="22"/>
          <w:szCs w:val="22"/>
        </w:rPr>
        <w:t xml:space="preserve">išbėrimas, pasižymintis taikinio formos raudonomis dėmėmis ar opelėmis (daugiaformė </w:t>
      </w:r>
      <w:proofErr w:type="spellStart"/>
      <w:r>
        <w:rPr>
          <w:sz w:val="22"/>
          <w:szCs w:val="22"/>
        </w:rPr>
        <w:t>eritema</w:t>
      </w:r>
      <w:proofErr w:type="spellEnd"/>
      <w:r>
        <w:rPr>
          <w:sz w:val="22"/>
          <w:szCs w:val="22"/>
        </w:rPr>
        <w:t>).</w:t>
      </w:r>
    </w:p>
    <w:p w14:paraId="6E768919" w14:textId="77777777" w:rsidR="006A5B89" w:rsidRDefault="006A5B89" w:rsidP="006A5B89">
      <w:pPr>
        <w:rPr>
          <w:sz w:val="22"/>
          <w:szCs w:val="22"/>
        </w:rPr>
      </w:pPr>
    </w:p>
    <w:p w14:paraId="5476766C" w14:textId="77777777" w:rsidR="006A5B89" w:rsidRDefault="006A5B89" w:rsidP="006A5B89">
      <w:pPr>
        <w:rPr>
          <w:b/>
          <w:sz w:val="22"/>
          <w:szCs w:val="22"/>
        </w:rPr>
      </w:pPr>
      <w:r>
        <w:rPr>
          <w:b/>
          <w:noProof/>
          <w:sz w:val="22"/>
          <w:szCs w:val="22"/>
        </w:rPr>
        <w:t>Pranešimas apie šalutinį poveikį</w:t>
      </w:r>
    </w:p>
    <w:p w14:paraId="5FA9EE44" w14:textId="77777777" w:rsidR="006A5B89" w:rsidRDefault="006A5B89" w:rsidP="006A5B89">
      <w:pPr>
        <w:ind w:right="-449"/>
        <w:rPr>
          <w:sz w:val="22"/>
          <w:szCs w:val="22"/>
        </w:rPr>
      </w:pPr>
      <w:r>
        <w:rPr>
          <w:sz w:val="22"/>
          <w:szCs w:val="22"/>
        </w:rPr>
        <w:t xml:space="preserve">Jeigu pasireiškė sunkus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6" w:history="1">
        <w:r>
          <w:rPr>
            <w:rStyle w:val="Hipersaitas"/>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7" w:history="1">
        <w:r>
          <w:rPr>
            <w:rStyle w:val="Hipersaitas"/>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8" w:history="1">
        <w:r>
          <w:rPr>
            <w:rStyle w:val="Hipersaitas"/>
            <w:sz w:val="22"/>
            <w:szCs w:val="22"/>
          </w:rPr>
          <w:t>http://www.vvkt.lt</w:t>
        </w:r>
      </w:hyperlink>
      <w:r>
        <w:rPr>
          <w:sz w:val="22"/>
          <w:szCs w:val="22"/>
        </w:rPr>
        <w:t>). Pranešdami apie šalutinį poveikį galite mums padėti gauti daugiau informacijos apie šio vaisto saugumą.</w:t>
      </w:r>
    </w:p>
    <w:p w14:paraId="15268929" w14:textId="77777777" w:rsidR="006A5B89" w:rsidRDefault="006A5B89" w:rsidP="006A5B89">
      <w:pPr>
        <w:rPr>
          <w:sz w:val="22"/>
          <w:szCs w:val="22"/>
        </w:rPr>
      </w:pPr>
    </w:p>
    <w:p w14:paraId="0268B74D" w14:textId="77777777" w:rsidR="006A5B89" w:rsidRDefault="006A5B89" w:rsidP="006A5B89">
      <w:pPr>
        <w:rPr>
          <w:sz w:val="22"/>
          <w:szCs w:val="22"/>
        </w:rPr>
      </w:pPr>
    </w:p>
    <w:p w14:paraId="064CAA71" w14:textId="77777777" w:rsidR="006A5B89" w:rsidRDefault="006A5B89" w:rsidP="006A5B89">
      <w:pPr>
        <w:ind w:left="540" w:hanging="540"/>
        <w:rPr>
          <w:b/>
          <w:sz w:val="22"/>
          <w:szCs w:val="22"/>
        </w:rPr>
      </w:pPr>
      <w:r>
        <w:rPr>
          <w:b/>
          <w:sz w:val="22"/>
          <w:szCs w:val="22"/>
        </w:rPr>
        <w:t>5.</w:t>
      </w:r>
      <w:r>
        <w:rPr>
          <w:b/>
          <w:sz w:val="22"/>
          <w:szCs w:val="22"/>
        </w:rPr>
        <w:tab/>
        <w:t xml:space="preserve">Kaip laikyti </w:t>
      </w:r>
      <w:proofErr w:type="spellStart"/>
      <w:r>
        <w:rPr>
          <w:b/>
          <w:sz w:val="22"/>
          <w:szCs w:val="22"/>
        </w:rPr>
        <w:t>Livial</w:t>
      </w:r>
      <w:proofErr w:type="spellEnd"/>
    </w:p>
    <w:p w14:paraId="46335DA3" w14:textId="77777777" w:rsidR="006A5B89" w:rsidRDefault="006A5B89" w:rsidP="006A5B89">
      <w:pPr>
        <w:rPr>
          <w:sz w:val="22"/>
          <w:szCs w:val="22"/>
        </w:rPr>
      </w:pPr>
    </w:p>
    <w:p w14:paraId="3B9C039B" w14:textId="77777777" w:rsidR="006A5B89" w:rsidRDefault="006A5B89" w:rsidP="006A5B89">
      <w:pPr>
        <w:outlineLvl w:val="0"/>
        <w:rPr>
          <w:sz w:val="22"/>
          <w:szCs w:val="22"/>
        </w:rPr>
      </w:pPr>
      <w:r>
        <w:rPr>
          <w:sz w:val="22"/>
          <w:szCs w:val="22"/>
        </w:rPr>
        <w:t>Šį vaistą laikykite vaikams nepastebimoje ir nepasiekiamoje vietoje.</w:t>
      </w:r>
    </w:p>
    <w:p w14:paraId="6B433436" w14:textId="77777777" w:rsidR="006A5B89" w:rsidRDefault="006A5B89" w:rsidP="006A5B89">
      <w:pPr>
        <w:rPr>
          <w:sz w:val="22"/>
          <w:szCs w:val="22"/>
        </w:rPr>
      </w:pPr>
    </w:p>
    <w:p w14:paraId="0C36F2D5" w14:textId="77777777" w:rsidR="006A5B89" w:rsidRDefault="006A5B89" w:rsidP="006A5B89">
      <w:pPr>
        <w:rPr>
          <w:sz w:val="22"/>
          <w:szCs w:val="22"/>
        </w:rPr>
      </w:pPr>
      <w:r>
        <w:rPr>
          <w:sz w:val="22"/>
          <w:szCs w:val="22"/>
        </w:rPr>
        <w:t>Laikyti gamintojo pakuotėje. Laikyti ne aukštesnėje kaip 25 ºC temperatūroje.</w:t>
      </w:r>
    </w:p>
    <w:p w14:paraId="330E888E" w14:textId="77777777" w:rsidR="006A5B89" w:rsidRDefault="006A5B89" w:rsidP="006A5B89">
      <w:pPr>
        <w:rPr>
          <w:sz w:val="22"/>
          <w:szCs w:val="22"/>
        </w:rPr>
      </w:pPr>
    </w:p>
    <w:p w14:paraId="4F998BBF" w14:textId="77777777" w:rsidR="006A5B89" w:rsidRDefault="006A5B89" w:rsidP="006A5B89">
      <w:pPr>
        <w:outlineLvl w:val="0"/>
        <w:rPr>
          <w:sz w:val="22"/>
          <w:szCs w:val="22"/>
        </w:rPr>
      </w:pPr>
      <w:r>
        <w:rPr>
          <w:sz w:val="22"/>
          <w:szCs w:val="22"/>
        </w:rPr>
        <w:t>Ant dėžutės ir lizdinės plokštelės po „EXP“ nurodytam tinkamumo laikui pasibaigus, šio vaisto vartoti negalima.</w:t>
      </w:r>
    </w:p>
    <w:p w14:paraId="50930842" w14:textId="77777777" w:rsidR="006A5B89" w:rsidRDefault="006A5B89" w:rsidP="006A5B89">
      <w:pPr>
        <w:rPr>
          <w:sz w:val="22"/>
          <w:szCs w:val="22"/>
        </w:rPr>
      </w:pPr>
    </w:p>
    <w:p w14:paraId="33B0BF11" w14:textId="77777777" w:rsidR="006A5B89" w:rsidRDefault="006A5B89" w:rsidP="006A5B89">
      <w:pPr>
        <w:rPr>
          <w:sz w:val="22"/>
          <w:szCs w:val="22"/>
        </w:rPr>
      </w:pPr>
    </w:p>
    <w:p w14:paraId="1E9EC904" w14:textId="77777777" w:rsidR="006A5B89" w:rsidRDefault="006A5B89" w:rsidP="006A5B89">
      <w:pPr>
        <w:ind w:left="540" w:hanging="540"/>
        <w:rPr>
          <w:b/>
          <w:sz w:val="22"/>
          <w:szCs w:val="22"/>
        </w:rPr>
      </w:pPr>
      <w:r>
        <w:rPr>
          <w:b/>
          <w:sz w:val="22"/>
          <w:szCs w:val="22"/>
        </w:rPr>
        <w:t>6.</w:t>
      </w:r>
      <w:r>
        <w:rPr>
          <w:b/>
          <w:sz w:val="22"/>
          <w:szCs w:val="22"/>
        </w:rPr>
        <w:tab/>
        <w:t>Pakuotės turinys ir kita informacija</w:t>
      </w:r>
    </w:p>
    <w:p w14:paraId="4C927020" w14:textId="77777777" w:rsidR="006A5B89" w:rsidRDefault="006A5B89" w:rsidP="006A5B89">
      <w:pPr>
        <w:rPr>
          <w:sz w:val="22"/>
          <w:szCs w:val="22"/>
        </w:rPr>
      </w:pPr>
    </w:p>
    <w:p w14:paraId="28E45504"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sudėtis</w:t>
      </w:r>
    </w:p>
    <w:p w14:paraId="5A9E48AD" w14:textId="77777777" w:rsidR="006A5B89" w:rsidRDefault="006A5B89" w:rsidP="006A5B89">
      <w:pPr>
        <w:ind w:left="540" w:hanging="540"/>
        <w:rPr>
          <w:sz w:val="22"/>
          <w:szCs w:val="22"/>
        </w:rPr>
      </w:pPr>
      <w:r>
        <w:rPr>
          <w:sz w:val="22"/>
          <w:szCs w:val="22"/>
        </w:rPr>
        <w:t>-</w:t>
      </w:r>
      <w:r>
        <w:rPr>
          <w:sz w:val="22"/>
          <w:szCs w:val="22"/>
        </w:rPr>
        <w:tab/>
        <w:t xml:space="preserve">Veiklioji medžiaga – </w:t>
      </w:r>
      <w:proofErr w:type="spellStart"/>
      <w:r>
        <w:rPr>
          <w:sz w:val="22"/>
          <w:szCs w:val="22"/>
        </w:rPr>
        <w:t>tibolonas</w:t>
      </w:r>
      <w:proofErr w:type="spellEnd"/>
      <w:r>
        <w:rPr>
          <w:sz w:val="22"/>
          <w:szCs w:val="22"/>
        </w:rPr>
        <w:t xml:space="preserve">. Kiekvienoje tabletėje yra 2,5 mg </w:t>
      </w:r>
      <w:proofErr w:type="spellStart"/>
      <w:r>
        <w:rPr>
          <w:sz w:val="22"/>
          <w:szCs w:val="22"/>
        </w:rPr>
        <w:t>tibolono</w:t>
      </w:r>
      <w:proofErr w:type="spellEnd"/>
      <w:r>
        <w:rPr>
          <w:sz w:val="22"/>
          <w:szCs w:val="22"/>
        </w:rPr>
        <w:t>.</w:t>
      </w:r>
    </w:p>
    <w:p w14:paraId="055706F8" w14:textId="77777777" w:rsidR="006A5B89" w:rsidRDefault="006A5B89" w:rsidP="006A5B89">
      <w:pPr>
        <w:ind w:left="540" w:hanging="540"/>
        <w:rPr>
          <w:sz w:val="22"/>
          <w:szCs w:val="22"/>
        </w:rPr>
      </w:pPr>
      <w:r>
        <w:rPr>
          <w:sz w:val="22"/>
          <w:szCs w:val="22"/>
        </w:rPr>
        <w:t>-</w:t>
      </w:r>
      <w:r>
        <w:rPr>
          <w:sz w:val="22"/>
          <w:szCs w:val="22"/>
        </w:rPr>
        <w:tab/>
        <w:t xml:space="preserve">Pagalbinės medžiagos: bulvių krakmolas, laktozė, </w:t>
      </w:r>
      <w:proofErr w:type="spellStart"/>
      <w:r>
        <w:rPr>
          <w:sz w:val="22"/>
          <w:szCs w:val="22"/>
        </w:rPr>
        <w:t>askorbilo</w:t>
      </w:r>
      <w:proofErr w:type="spellEnd"/>
      <w:r>
        <w:rPr>
          <w:sz w:val="22"/>
          <w:szCs w:val="22"/>
        </w:rPr>
        <w:t xml:space="preserve"> </w:t>
      </w:r>
      <w:proofErr w:type="spellStart"/>
      <w:r>
        <w:rPr>
          <w:sz w:val="22"/>
          <w:szCs w:val="22"/>
        </w:rPr>
        <w:t>palmitatas</w:t>
      </w:r>
      <w:proofErr w:type="spellEnd"/>
      <w:r>
        <w:rPr>
          <w:sz w:val="22"/>
          <w:szCs w:val="22"/>
        </w:rPr>
        <w:t xml:space="preserve">, magnio </w:t>
      </w:r>
      <w:proofErr w:type="spellStart"/>
      <w:r>
        <w:rPr>
          <w:sz w:val="22"/>
          <w:szCs w:val="22"/>
        </w:rPr>
        <w:t>stearatas</w:t>
      </w:r>
      <w:proofErr w:type="spellEnd"/>
      <w:r>
        <w:rPr>
          <w:sz w:val="22"/>
          <w:szCs w:val="22"/>
        </w:rPr>
        <w:t>.</w:t>
      </w:r>
    </w:p>
    <w:p w14:paraId="76B2FDB4" w14:textId="77777777" w:rsidR="006A5B89" w:rsidRDefault="006A5B89" w:rsidP="006A5B89">
      <w:pPr>
        <w:rPr>
          <w:sz w:val="22"/>
          <w:szCs w:val="22"/>
        </w:rPr>
      </w:pPr>
    </w:p>
    <w:p w14:paraId="4BBBE9A3" w14:textId="77777777" w:rsidR="006A5B89" w:rsidRDefault="006A5B89" w:rsidP="006A5B89">
      <w:pPr>
        <w:outlineLvl w:val="0"/>
        <w:rPr>
          <w:b/>
          <w:sz w:val="22"/>
          <w:szCs w:val="22"/>
        </w:rPr>
      </w:pPr>
      <w:proofErr w:type="spellStart"/>
      <w:r>
        <w:rPr>
          <w:b/>
          <w:sz w:val="22"/>
          <w:szCs w:val="22"/>
        </w:rPr>
        <w:t>Livial</w:t>
      </w:r>
      <w:proofErr w:type="spellEnd"/>
      <w:r>
        <w:rPr>
          <w:b/>
          <w:sz w:val="22"/>
          <w:szCs w:val="22"/>
        </w:rPr>
        <w:t xml:space="preserve"> išvaizda ir kiekis pakuotėje</w:t>
      </w:r>
    </w:p>
    <w:p w14:paraId="02FEE6D0" w14:textId="77777777" w:rsidR="006A5B89" w:rsidRDefault="006A5B89" w:rsidP="006A5B89">
      <w:pPr>
        <w:rPr>
          <w:sz w:val="22"/>
          <w:szCs w:val="22"/>
        </w:rPr>
      </w:pPr>
      <w:proofErr w:type="spellStart"/>
      <w:r>
        <w:rPr>
          <w:sz w:val="22"/>
          <w:szCs w:val="22"/>
        </w:rPr>
        <w:t>Livial</w:t>
      </w:r>
      <w:proofErr w:type="spellEnd"/>
      <w:r>
        <w:rPr>
          <w:sz w:val="22"/>
          <w:szCs w:val="22"/>
        </w:rPr>
        <w:t xml:space="preserve"> 2,5 mg yra baltos spalvos tabletės, kurių vienoje pusėje užrašyta “MK2”, o kitoje – ,,</w:t>
      </w:r>
      <w:proofErr w:type="spellStart"/>
      <w:r>
        <w:rPr>
          <w:sz w:val="22"/>
          <w:szCs w:val="22"/>
        </w:rPr>
        <w:t>Organon</w:t>
      </w:r>
      <w:proofErr w:type="spellEnd"/>
      <w:r>
        <w:rPr>
          <w:sz w:val="22"/>
          <w:szCs w:val="22"/>
        </w:rPr>
        <w:t>”. Tiekiamos lizdinių plokštelių pakuotės po 28 tabletes.</w:t>
      </w:r>
    </w:p>
    <w:p w14:paraId="07E96FD0" w14:textId="77777777" w:rsidR="006A5B89" w:rsidRDefault="006A5B89" w:rsidP="006A5B89">
      <w:pPr>
        <w:rPr>
          <w:sz w:val="22"/>
          <w:szCs w:val="22"/>
        </w:rPr>
      </w:pPr>
    </w:p>
    <w:p w14:paraId="21734586" w14:textId="77777777" w:rsidR="006A5B89" w:rsidRDefault="006A5B89" w:rsidP="006A5B89">
      <w:pPr>
        <w:outlineLvl w:val="0"/>
        <w:rPr>
          <w:sz w:val="22"/>
          <w:szCs w:val="22"/>
        </w:rPr>
      </w:pPr>
      <w:r>
        <w:rPr>
          <w:b/>
          <w:sz w:val="22"/>
          <w:szCs w:val="22"/>
        </w:rPr>
        <w:t>Registruotojas ir gamintojas</w:t>
      </w:r>
    </w:p>
    <w:p w14:paraId="5E3EF0AC" w14:textId="77777777" w:rsidR="006A5B89" w:rsidRDefault="006A5B89" w:rsidP="006A5B89">
      <w:pPr>
        <w:rPr>
          <w:sz w:val="22"/>
          <w:szCs w:val="22"/>
        </w:rPr>
      </w:pPr>
      <w:r>
        <w:rPr>
          <w:sz w:val="22"/>
          <w:szCs w:val="22"/>
        </w:rPr>
        <w:t>Registruotojas:</w:t>
      </w:r>
    </w:p>
    <w:p w14:paraId="1DB3AD9F" w14:textId="77777777" w:rsidR="000314FD" w:rsidRPr="00E844C6" w:rsidRDefault="000314FD" w:rsidP="000314FD">
      <w:pPr>
        <w:rPr>
          <w:sz w:val="22"/>
          <w:szCs w:val="22"/>
        </w:rPr>
      </w:pPr>
      <w:r w:rsidRPr="00E844C6">
        <w:rPr>
          <w:sz w:val="22"/>
          <w:szCs w:val="22"/>
        </w:rPr>
        <w:t xml:space="preserve">N.V. </w:t>
      </w:r>
      <w:proofErr w:type="spellStart"/>
      <w:r w:rsidRPr="00E844C6">
        <w:rPr>
          <w:sz w:val="22"/>
          <w:szCs w:val="22"/>
        </w:rPr>
        <w:t>Organon</w:t>
      </w:r>
      <w:proofErr w:type="spellEnd"/>
      <w:r w:rsidRPr="00E844C6">
        <w:rPr>
          <w:sz w:val="22"/>
          <w:szCs w:val="22"/>
        </w:rPr>
        <w:t xml:space="preserve"> </w:t>
      </w:r>
    </w:p>
    <w:p w14:paraId="111860C4" w14:textId="77777777" w:rsidR="000314FD" w:rsidRPr="00E844C6" w:rsidRDefault="000314FD" w:rsidP="000314FD">
      <w:pPr>
        <w:rPr>
          <w:sz w:val="22"/>
          <w:szCs w:val="22"/>
        </w:rPr>
      </w:pPr>
      <w:proofErr w:type="spellStart"/>
      <w:r w:rsidRPr="00E844C6">
        <w:rPr>
          <w:sz w:val="22"/>
          <w:szCs w:val="22"/>
        </w:rPr>
        <w:t>Kloosterstraat</w:t>
      </w:r>
      <w:proofErr w:type="spellEnd"/>
      <w:r w:rsidRPr="00E844C6">
        <w:rPr>
          <w:sz w:val="22"/>
          <w:szCs w:val="22"/>
        </w:rPr>
        <w:t xml:space="preserve"> 6 </w:t>
      </w:r>
    </w:p>
    <w:p w14:paraId="6F44F4ED" w14:textId="77777777" w:rsidR="000314FD" w:rsidRPr="00E844C6" w:rsidRDefault="000314FD" w:rsidP="000314FD">
      <w:pPr>
        <w:rPr>
          <w:sz w:val="22"/>
          <w:szCs w:val="22"/>
        </w:rPr>
      </w:pPr>
      <w:r w:rsidRPr="00E844C6">
        <w:rPr>
          <w:sz w:val="22"/>
          <w:szCs w:val="22"/>
        </w:rPr>
        <w:t xml:space="preserve">5349 AB </w:t>
      </w:r>
      <w:proofErr w:type="spellStart"/>
      <w:r w:rsidRPr="00E844C6">
        <w:rPr>
          <w:sz w:val="22"/>
          <w:szCs w:val="22"/>
        </w:rPr>
        <w:t>Oss</w:t>
      </w:r>
      <w:proofErr w:type="spellEnd"/>
      <w:r w:rsidRPr="00E844C6">
        <w:rPr>
          <w:sz w:val="22"/>
          <w:szCs w:val="22"/>
        </w:rPr>
        <w:t xml:space="preserve"> </w:t>
      </w:r>
    </w:p>
    <w:p w14:paraId="43750B01" w14:textId="77777777" w:rsidR="000314FD" w:rsidRPr="00E844C6" w:rsidRDefault="000314FD" w:rsidP="000314FD">
      <w:pPr>
        <w:rPr>
          <w:sz w:val="22"/>
          <w:szCs w:val="22"/>
          <w:lang w:eastAsia="lt-LT"/>
        </w:rPr>
      </w:pPr>
      <w:r w:rsidRPr="00E844C6">
        <w:rPr>
          <w:sz w:val="22"/>
          <w:szCs w:val="22"/>
        </w:rPr>
        <w:t>Nyderlandai</w:t>
      </w:r>
    </w:p>
    <w:p w14:paraId="4D0FEA51" w14:textId="77777777" w:rsidR="006A5B89" w:rsidRDefault="006A5B89" w:rsidP="006A5B89">
      <w:pPr>
        <w:rPr>
          <w:sz w:val="22"/>
          <w:szCs w:val="22"/>
        </w:rPr>
      </w:pPr>
    </w:p>
    <w:p w14:paraId="769D09AD" w14:textId="77777777" w:rsidR="006A5B89" w:rsidRDefault="006A5B89" w:rsidP="006A5B89">
      <w:pPr>
        <w:rPr>
          <w:sz w:val="22"/>
          <w:szCs w:val="22"/>
        </w:rPr>
      </w:pPr>
      <w:r>
        <w:rPr>
          <w:sz w:val="22"/>
          <w:szCs w:val="22"/>
        </w:rPr>
        <w:t>Gamintojas:</w:t>
      </w:r>
    </w:p>
    <w:p w14:paraId="01893367" w14:textId="77777777" w:rsidR="006A5B89" w:rsidRDefault="006A5B89" w:rsidP="006A5B89">
      <w:pPr>
        <w:rPr>
          <w:sz w:val="22"/>
          <w:szCs w:val="22"/>
        </w:rPr>
      </w:pPr>
      <w:r>
        <w:rPr>
          <w:sz w:val="22"/>
          <w:szCs w:val="22"/>
        </w:rPr>
        <w:t xml:space="preserve">N.V. </w:t>
      </w:r>
      <w:proofErr w:type="spellStart"/>
      <w:r>
        <w:rPr>
          <w:sz w:val="22"/>
          <w:szCs w:val="22"/>
        </w:rPr>
        <w:t>Organon</w:t>
      </w:r>
      <w:proofErr w:type="spellEnd"/>
    </w:p>
    <w:p w14:paraId="0785AC25" w14:textId="77777777" w:rsidR="006A5B89" w:rsidRDefault="006A5B89" w:rsidP="006A5B89">
      <w:pPr>
        <w:rPr>
          <w:sz w:val="22"/>
          <w:szCs w:val="22"/>
        </w:rPr>
      </w:pPr>
      <w:proofErr w:type="spellStart"/>
      <w:r>
        <w:rPr>
          <w:sz w:val="22"/>
          <w:szCs w:val="22"/>
        </w:rPr>
        <w:t>P.O.Box</w:t>
      </w:r>
      <w:proofErr w:type="spellEnd"/>
      <w:r>
        <w:rPr>
          <w:sz w:val="22"/>
          <w:szCs w:val="22"/>
        </w:rPr>
        <w:t xml:space="preserve"> 20</w:t>
      </w:r>
    </w:p>
    <w:p w14:paraId="2E29C3FC" w14:textId="77777777" w:rsidR="006A5B89" w:rsidRDefault="006A5B89" w:rsidP="006A5B89">
      <w:pPr>
        <w:rPr>
          <w:sz w:val="22"/>
          <w:szCs w:val="22"/>
        </w:rPr>
      </w:pPr>
      <w:r>
        <w:rPr>
          <w:sz w:val="22"/>
          <w:szCs w:val="22"/>
        </w:rPr>
        <w:t xml:space="preserve">5340 BH </w:t>
      </w:r>
      <w:proofErr w:type="spellStart"/>
      <w:r>
        <w:rPr>
          <w:sz w:val="22"/>
          <w:szCs w:val="22"/>
        </w:rPr>
        <w:t>Oss</w:t>
      </w:r>
      <w:proofErr w:type="spellEnd"/>
    </w:p>
    <w:p w14:paraId="135076E6" w14:textId="77777777" w:rsidR="006A5B89" w:rsidRDefault="006A5B89" w:rsidP="006A5B89">
      <w:pPr>
        <w:rPr>
          <w:sz w:val="22"/>
          <w:szCs w:val="22"/>
        </w:rPr>
      </w:pPr>
      <w:r>
        <w:rPr>
          <w:sz w:val="22"/>
          <w:szCs w:val="22"/>
        </w:rPr>
        <w:t>Nyderlandai</w:t>
      </w:r>
    </w:p>
    <w:p w14:paraId="10EE174F" w14:textId="103810D9" w:rsidR="006A5B89" w:rsidRDefault="006A5B89" w:rsidP="006A5B89">
      <w:pPr>
        <w:rPr>
          <w:sz w:val="22"/>
          <w:szCs w:val="22"/>
        </w:rPr>
      </w:pPr>
    </w:p>
    <w:p w14:paraId="51EB0ADB" w14:textId="77777777" w:rsidR="000314FD" w:rsidRDefault="000314FD" w:rsidP="006A5B89">
      <w:pPr>
        <w:rPr>
          <w:sz w:val="22"/>
          <w:szCs w:val="22"/>
        </w:rPr>
      </w:pPr>
    </w:p>
    <w:p w14:paraId="1900E0F2" w14:textId="77777777" w:rsidR="006A5B89" w:rsidRDefault="006A5B89" w:rsidP="006A5B89">
      <w:pPr>
        <w:keepNext/>
        <w:outlineLvl w:val="0"/>
        <w:rPr>
          <w:sz w:val="22"/>
          <w:szCs w:val="22"/>
        </w:rPr>
      </w:pPr>
      <w:r>
        <w:rPr>
          <w:sz w:val="22"/>
          <w:szCs w:val="22"/>
        </w:rPr>
        <w:lastRenderedPageBreak/>
        <w:t>Jeigu apie šį vaistą norite sužinoti daugiau, kreipkitės į vietinį registruotojo atstovą:</w:t>
      </w:r>
    </w:p>
    <w:p w14:paraId="51C25853" w14:textId="77777777" w:rsidR="006A5B89" w:rsidRDefault="006A5B89" w:rsidP="006A5B89">
      <w:pPr>
        <w:keepNext/>
        <w:rPr>
          <w:sz w:val="22"/>
          <w:szCs w:val="22"/>
        </w:rPr>
      </w:pPr>
    </w:p>
    <w:p w14:paraId="730D887D" w14:textId="77777777" w:rsidR="000314FD" w:rsidRPr="000314FD" w:rsidRDefault="000314FD" w:rsidP="000314FD">
      <w:pPr>
        <w:rPr>
          <w:sz w:val="22"/>
          <w:szCs w:val="22"/>
        </w:rPr>
      </w:pPr>
      <w:proofErr w:type="spellStart"/>
      <w:r w:rsidRPr="000314FD">
        <w:rPr>
          <w:sz w:val="22"/>
          <w:szCs w:val="22"/>
        </w:rPr>
        <w:t>Organon</w:t>
      </w:r>
      <w:proofErr w:type="spellEnd"/>
      <w:r w:rsidRPr="000314FD">
        <w:rPr>
          <w:sz w:val="22"/>
          <w:szCs w:val="22"/>
        </w:rPr>
        <w:t xml:space="preserve"> </w:t>
      </w:r>
      <w:proofErr w:type="spellStart"/>
      <w:r w:rsidRPr="000314FD">
        <w:rPr>
          <w:sz w:val="22"/>
          <w:szCs w:val="22"/>
        </w:rPr>
        <w:t>Pharma</w:t>
      </w:r>
      <w:proofErr w:type="spellEnd"/>
      <w:r w:rsidRPr="000314FD">
        <w:rPr>
          <w:sz w:val="22"/>
          <w:szCs w:val="22"/>
        </w:rPr>
        <w:t xml:space="preserve"> B.V. Lithuania atstovybė</w:t>
      </w:r>
    </w:p>
    <w:p w14:paraId="693A1E37" w14:textId="77777777" w:rsidR="000314FD" w:rsidRPr="000314FD" w:rsidRDefault="000314FD" w:rsidP="000314FD">
      <w:pPr>
        <w:rPr>
          <w:sz w:val="22"/>
          <w:szCs w:val="22"/>
        </w:rPr>
      </w:pPr>
      <w:r w:rsidRPr="000314FD">
        <w:rPr>
          <w:sz w:val="22"/>
          <w:szCs w:val="22"/>
        </w:rPr>
        <w:t>Tel.: +370 52041693</w:t>
      </w:r>
    </w:p>
    <w:p w14:paraId="75A61917" w14:textId="77777777" w:rsidR="000314FD" w:rsidRPr="000314FD" w:rsidRDefault="000314FD" w:rsidP="000314FD">
      <w:pPr>
        <w:rPr>
          <w:sz w:val="22"/>
          <w:szCs w:val="22"/>
        </w:rPr>
      </w:pPr>
      <w:r w:rsidRPr="000314FD">
        <w:rPr>
          <w:sz w:val="22"/>
          <w:szCs w:val="22"/>
        </w:rPr>
        <w:t>dpoc.lithuania@organon.com</w:t>
      </w:r>
    </w:p>
    <w:p w14:paraId="5B10B903" w14:textId="77777777" w:rsidR="006A5B89" w:rsidRDefault="006A5B89" w:rsidP="006A5B89">
      <w:pPr>
        <w:outlineLvl w:val="0"/>
        <w:rPr>
          <w:b/>
          <w:bCs/>
          <w:sz w:val="22"/>
          <w:szCs w:val="22"/>
        </w:rPr>
      </w:pPr>
    </w:p>
    <w:p w14:paraId="2B969EA1" w14:textId="5689897C" w:rsidR="006A5B89" w:rsidRDefault="006A5B89" w:rsidP="006A5B89">
      <w:pPr>
        <w:outlineLvl w:val="0"/>
        <w:rPr>
          <w:sz w:val="22"/>
          <w:szCs w:val="22"/>
        </w:rPr>
      </w:pPr>
      <w:r>
        <w:rPr>
          <w:b/>
          <w:bCs/>
          <w:sz w:val="22"/>
          <w:szCs w:val="22"/>
        </w:rPr>
        <w:t>Šis pakuotės lapelis</w:t>
      </w:r>
      <w:r>
        <w:rPr>
          <w:b/>
          <w:sz w:val="22"/>
          <w:szCs w:val="22"/>
        </w:rPr>
        <w:t xml:space="preserve"> paskutinį kartą peržiūrėtas</w:t>
      </w:r>
      <w:r w:rsidR="00A6584F">
        <w:rPr>
          <w:b/>
          <w:sz w:val="22"/>
          <w:szCs w:val="22"/>
        </w:rPr>
        <w:t xml:space="preserve"> 202</w:t>
      </w:r>
      <w:r w:rsidR="000314FD">
        <w:rPr>
          <w:b/>
          <w:sz w:val="22"/>
          <w:szCs w:val="22"/>
        </w:rPr>
        <w:t>1</w:t>
      </w:r>
      <w:r w:rsidR="00A6584F">
        <w:rPr>
          <w:b/>
          <w:sz w:val="22"/>
          <w:szCs w:val="22"/>
        </w:rPr>
        <w:t>-09-</w:t>
      </w:r>
      <w:r w:rsidR="000314FD">
        <w:rPr>
          <w:b/>
          <w:sz w:val="22"/>
          <w:szCs w:val="22"/>
        </w:rPr>
        <w:t>01</w:t>
      </w:r>
      <w:r w:rsidR="00FE5CD3">
        <w:rPr>
          <w:b/>
          <w:sz w:val="22"/>
          <w:szCs w:val="22"/>
        </w:rPr>
        <w:t>.</w:t>
      </w:r>
    </w:p>
    <w:p w14:paraId="4C50479A" w14:textId="77777777" w:rsidR="006A5B89" w:rsidRDefault="006A5B89" w:rsidP="006A5B89">
      <w:pPr>
        <w:rPr>
          <w:sz w:val="22"/>
          <w:szCs w:val="22"/>
        </w:rPr>
      </w:pPr>
    </w:p>
    <w:p w14:paraId="3ED7B2DE" w14:textId="77777777" w:rsidR="006A5B89" w:rsidRDefault="006A5B89" w:rsidP="006A5B89">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9" w:history="1">
        <w:r>
          <w:rPr>
            <w:rStyle w:val="Hipersaitas"/>
            <w:rFonts w:eastAsia="SimSun"/>
            <w:sz w:val="22"/>
            <w:szCs w:val="22"/>
          </w:rPr>
          <w:t>http://www.vvkt.lt/</w:t>
        </w:r>
      </w:hyperlink>
    </w:p>
    <w:p w14:paraId="73F5B2E8" w14:textId="77777777" w:rsidR="006A5B89" w:rsidRDefault="006A5B89" w:rsidP="006A5B89">
      <w:bookmarkStart w:id="6" w:name="_GoBack"/>
      <w:bookmarkEnd w:id="6"/>
    </w:p>
    <w:sectPr w:rsidR="006A5B89" w:rsidSect="002D58E4">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1C05C" w14:textId="77777777" w:rsidR="00B502C3" w:rsidRDefault="00B502C3">
      <w:r>
        <w:separator/>
      </w:r>
    </w:p>
  </w:endnote>
  <w:endnote w:type="continuationSeparator" w:id="0">
    <w:p w14:paraId="71F707D5" w14:textId="77777777" w:rsidR="00B502C3" w:rsidRDefault="00B502C3">
      <w:r>
        <w:continuationSeparator/>
      </w:r>
    </w:p>
  </w:endnote>
  <w:endnote w:type="continuationNotice" w:id="1">
    <w:p w14:paraId="35572A58" w14:textId="77777777" w:rsidR="00B502C3" w:rsidRDefault="00B5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D6EF" w14:textId="77777777" w:rsidR="004D3446" w:rsidRDefault="004D3446" w:rsidP="002D58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861FF" w14:textId="77777777" w:rsidR="004D3446" w:rsidRDefault="004D34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6C14" w14:textId="44EB0FAC" w:rsidR="004D3446" w:rsidRPr="00F402BA" w:rsidRDefault="004D3446" w:rsidP="00400AE4">
    <w:pPr>
      <w:pStyle w:val="Porat"/>
      <w:framePr w:wrap="around" w:vAnchor="text" w:hAnchor="margin" w:xAlign="right" w:y="1"/>
      <w:rPr>
        <w:rStyle w:val="Puslapionumeris"/>
        <w:sz w:val="22"/>
        <w:szCs w:val="22"/>
      </w:rPr>
    </w:pPr>
    <w:r w:rsidRPr="00F402BA">
      <w:rPr>
        <w:rStyle w:val="Puslapionumeris"/>
        <w:sz w:val="22"/>
        <w:szCs w:val="22"/>
      </w:rPr>
      <w:fldChar w:fldCharType="begin"/>
    </w:r>
    <w:r w:rsidRPr="00F402BA">
      <w:rPr>
        <w:rStyle w:val="Puslapionumeris"/>
        <w:sz w:val="22"/>
        <w:szCs w:val="22"/>
      </w:rPr>
      <w:instrText xml:space="preserve">PAGE  </w:instrText>
    </w:r>
    <w:r w:rsidRPr="00F402BA">
      <w:rPr>
        <w:rStyle w:val="Puslapionumeris"/>
        <w:sz w:val="22"/>
        <w:szCs w:val="22"/>
      </w:rPr>
      <w:fldChar w:fldCharType="separate"/>
    </w:r>
    <w:r w:rsidR="000314FD">
      <w:rPr>
        <w:rStyle w:val="Puslapionumeris"/>
        <w:noProof/>
        <w:sz w:val="22"/>
        <w:szCs w:val="22"/>
      </w:rPr>
      <w:t>27</w:t>
    </w:r>
    <w:r w:rsidRPr="00F402BA">
      <w:rPr>
        <w:rStyle w:val="Puslapionumeris"/>
        <w:sz w:val="22"/>
        <w:szCs w:val="22"/>
      </w:rPr>
      <w:fldChar w:fldCharType="end"/>
    </w:r>
  </w:p>
  <w:p w14:paraId="402234E0" w14:textId="77777777" w:rsidR="004D3446" w:rsidRDefault="004D344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EBD6C" w14:textId="77777777" w:rsidR="00B502C3" w:rsidRDefault="00B502C3">
      <w:r>
        <w:separator/>
      </w:r>
    </w:p>
  </w:footnote>
  <w:footnote w:type="continuationSeparator" w:id="0">
    <w:p w14:paraId="0E606228" w14:textId="77777777" w:rsidR="00B502C3" w:rsidRDefault="00B502C3">
      <w:r>
        <w:continuationSeparator/>
      </w:r>
    </w:p>
  </w:footnote>
  <w:footnote w:type="continuationNotice" w:id="1">
    <w:p w14:paraId="47C654D6" w14:textId="77777777" w:rsidR="00B502C3" w:rsidRDefault="00B502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0A1E"/>
    <w:multiLevelType w:val="hybridMultilevel"/>
    <w:tmpl w:val="7112513C"/>
    <w:lvl w:ilvl="0" w:tplc="04090001">
      <w:start w:val="1"/>
      <w:numFmt w:val="bullet"/>
      <w:lvlText w:val=""/>
      <w:lvlJc w:val="left"/>
      <w:pPr>
        <w:tabs>
          <w:tab w:val="num" w:pos="1066"/>
        </w:tabs>
        <w:ind w:left="1066" w:hanging="360"/>
      </w:pPr>
      <w:rPr>
        <w:rFonts w:ascii="Symbol" w:hAnsi="Symbol" w:hint="default"/>
      </w:rPr>
    </w:lvl>
    <w:lvl w:ilvl="1" w:tplc="541400AA">
      <w:start w:val="1"/>
      <w:numFmt w:val="bullet"/>
      <w:lvlText w:val=""/>
      <w:lvlJc w:val="left"/>
      <w:pPr>
        <w:tabs>
          <w:tab w:val="num" w:pos="2146"/>
        </w:tabs>
        <w:ind w:left="2146" w:hanging="360"/>
      </w:pPr>
      <w:rPr>
        <w:rFonts w:ascii="Symbol" w:hAnsi="Symbol" w:hint="default"/>
        <w:color w:val="auto"/>
        <w:sz w:val="20"/>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1"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B2264E1"/>
    <w:multiLevelType w:val="hybridMultilevel"/>
    <w:tmpl w:val="AF6A07FC"/>
    <w:lvl w:ilvl="0" w:tplc="541400A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EC60BCB"/>
    <w:multiLevelType w:val="hybridMultilevel"/>
    <w:tmpl w:val="4DA05608"/>
    <w:lvl w:ilvl="0" w:tplc="CB4A821E">
      <w:start w:val="1"/>
      <w:numFmt w:val="decimal"/>
      <w:lvlText w:val="%1."/>
      <w:lvlJc w:val="left"/>
      <w:pPr>
        <w:tabs>
          <w:tab w:val="num" w:pos="360"/>
        </w:tabs>
        <w:ind w:left="360" w:hanging="360"/>
      </w:pPr>
      <w:rPr>
        <w:rFonts w:cs="Times New Roman"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CD63C0"/>
    <w:multiLevelType w:val="hybridMultilevel"/>
    <w:tmpl w:val="35B0EF22"/>
    <w:lvl w:ilvl="0" w:tplc="752ECA38">
      <w:start w:val="1"/>
      <w:numFmt w:val="bullet"/>
      <w:lvlText w:val=""/>
      <w:lvlJc w:val="left"/>
      <w:pPr>
        <w:tabs>
          <w:tab w:val="num" w:pos="360"/>
        </w:tabs>
        <w:ind w:left="360" w:hanging="360"/>
      </w:pPr>
      <w:rPr>
        <w:rFonts w:ascii="Symbol" w:hAnsi="Symbol" w:hint="default"/>
        <w:sz w:val="16"/>
      </w:rPr>
    </w:lvl>
    <w:lvl w:ilvl="1" w:tplc="74903CF2">
      <w:start w:val="5"/>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DD0143"/>
    <w:multiLevelType w:val="hybridMultilevel"/>
    <w:tmpl w:val="7982F71A"/>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A4987"/>
    <w:multiLevelType w:val="hybridMultilevel"/>
    <w:tmpl w:val="2ED2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0"/>
  </w:num>
  <w:num w:numId="5">
    <w:abstractNumId w:val="4"/>
  </w:num>
  <w:num w:numId="6">
    <w:abstractNumId w:val="9"/>
  </w:num>
  <w:num w:numId="7">
    <w:abstractNumId w:val="7"/>
  </w:num>
  <w:num w:numId="8">
    <w:abstractNumId w:val="12"/>
  </w:num>
  <w:num w:numId="9">
    <w:abstractNumId w:val="5"/>
  </w:num>
  <w:num w:numId="10">
    <w:abstractNumId w:val="2"/>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FD"/>
    <w:rsid w:val="000055C9"/>
    <w:rsid w:val="00006581"/>
    <w:rsid w:val="00012A67"/>
    <w:rsid w:val="00027CE9"/>
    <w:rsid w:val="000314FD"/>
    <w:rsid w:val="00033918"/>
    <w:rsid w:val="00043335"/>
    <w:rsid w:val="00043502"/>
    <w:rsid w:val="00052B5E"/>
    <w:rsid w:val="00076164"/>
    <w:rsid w:val="000944C9"/>
    <w:rsid w:val="000A3144"/>
    <w:rsid w:val="000C1654"/>
    <w:rsid w:val="000C40F5"/>
    <w:rsid w:val="001065A4"/>
    <w:rsid w:val="00136757"/>
    <w:rsid w:val="00142376"/>
    <w:rsid w:val="0015117E"/>
    <w:rsid w:val="001622D6"/>
    <w:rsid w:val="0017706B"/>
    <w:rsid w:val="00177532"/>
    <w:rsid w:val="00186A14"/>
    <w:rsid w:val="00187FB4"/>
    <w:rsid w:val="00192962"/>
    <w:rsid w:val="001C1E78"/>
    <w:rsid w:val="001F20EC"/>
    <w:rsid w:val="00207526"/>
    <w:rsid w:val="00214D7E"/>
    <w:rsid w:val="002156D4"/>
    <w:rsid w:val="0023079D"/>
    <w:rsid w:val="00230BCD"/>
    <w:rsid w:val="00235435"/>
    <w:rsid w:val="00235C96"/>
    <w:rsid w:val="00245EEC"/>
    <w:rsid w:val="0025112E"/>
    <w:rsid w:val="00253FB0"/>
    <w:rsid w:val="002A3288"/>
    <w:rsid w:val="002D58E4"/>
    <w:rsid w:val="002F3665"/>
    <w:rsid w:val="003060E5"/>
    <w:rsid w:val="003069CE"/>
    <w:rsid w:val="00307A47"/>
    <w:rsid w:val="00310132"/>
    <w:rsid w:val="00345F53"/>
    <w:rsid w:val="00371B28"/>
    <w:rsid w:val="003761A6"/>
    <w:rsid w:val="003A7A8A"/>
    <w:rsid w:val="003C0DB7"/>
    <w:rsid w:val="003C686E"/>
    <w:rsid w:val="003E47A2"/>
    <w:rsid w:val="00400AE4"/>
    <w:rsid w:val="0040344E"/>
    <w:rsid w:val="0040645D"/>
    <w:rsid w:val="004215D3"/>
    <w:rsid w:val="00427C12"/>
    <w:rsid w:val="004327DE"/>
    <w:rsid w:val="0044787B"/>
    <w:rsid w:val="00452B13"/>
    <w:rsid w:val="00466C40"/>
    <w:rsid w:val="00480EA1"/>
    <w:rsid w:val="00485D5F"/>
    <w:rsid w:val="004930C0"/>
    <w:rsid w:val="004A19B8"/>
    <w:rsid w:val="004A3852"/>
    <w:rsid w:val="004A3D26"/>
    <w:rsid w:val="004B6986"/>
    <w:rsid w:val="004D3446"/>
    <w:rsid w:val="004D6CC6"/>
    <w:rsid w:val="004E4DE8"/>
    <w:rsid w:val="0050231C"/>
    <w:rsid w:val="00511166"/>
    <w:rsid w:val="00514236"/>
    <w:rsid w:val="0053375F"/>
    <w:rsid w:val="0053480B"/>
    <w:rsid w:val="0054232C"/>
    <w:rsid w:val="00561308"/>
    <w:rsid w:val="005709C2"/>
    <w:rsid w:val="00584449"/>
    <w:rsid w:val="005F31B8"/>
    <w:rsid w:val="00606848"/>
    <w:rsid w:val="00617FB7"/>
    <w:rsid w:val="0063146A"/>
    <w:rsid w:val="006542BF"/>
    <w:rsid w:val="00660548"/>
    <w:rsid w:val="00674023"/>
    <w:rsid w:val="006762DE"/>
    <w:rsid w:val="00682F38"/>
    <w:rsid w:val="00691E81"/>
    <w:rsid w:val="006A198A"/>
    <w:rsid w:val="006A235C"/>
    <w:rsid w:val="006A5B89"/>
    <w:rsid w:val="006B70C2"/>
    <w:rsid w:val="006D7935"/>
    <w:rsid w:val="006E2FA1"/>
    <w:rsid w:val="006F3554"/>
    <w:rsid w:val="007052C2"/>
    <w:rsid w:val="00707DD4"/>
    <w:rsid w:val="007308E9"/>
    <w:rsid w:val="007348AC"/>
    <w:rsid w:val="00781723"/>
    <w:rsid w:val="00794CAA"/>
    <w:rsid w:val="00796BB3"/>
    <w:rsid w:val="007F28A8"/>
    <w:rsid w:val="00805F31"/>
    <w:rsid w:val="00806B91"/>
    <w:rsid w:val="008150DB"/>
    <w:rsid w:val="00843F66"/>
    <w:rsid w:val="00891B2E"/>
    <w:rsid w:val="008A09A5"/>
    <w:rsid w:val="008B66B3"/>
    <w:rsid w:val="008E1839"/>
    <w:rsid w:val="008E635A"/>
    <w:rsid w:val="0090676A"/>
    <w:rsid w:val="00911851"/>
    <w:rsid w:val="009271F4"/>
    <w:rsid w:val="00944EA2"/>
    <w:rsid w:val="00953B2C"/>
    <w:rsid w:val="00956546"/>
    <w:rsid w:val="00972F1E"/>
    <w:rsid w:val="00974AF9"/>
    <w:rsid w:val="009B352E"/>
    <w:rsid w:val="009D5C62"/>
    <w:rsid w:val="009E6660"/>
    <w:rsid w:val="009E685D"/>
    <w:rsid w:val="009F517F"/>
    <w:rsid w:val="009F7C2D"/>
    <w:rsid w:val="00A01001"/>
    <w:rsid w:val="00A27D56"/>
    <w:rsid w:val="00A42B8F"/>
    <w:rsid w:val="00A6584F"/>
    <w:rsid w:val="00A703B4"/>
    <w:rsid w:val="00AB5F49"/>
    <w:rsid w:val="00AC4A5E"/>
    <w:rsid w:val="00AE0309"/>
    <w:rsid w:val="00AE0BCD"/>
    <w:rsid w:val="00AE31FF"/>
    <w:rsid w:val="00AE56A8"/>
    <w:rsid w:val="00B23AEB"/>
    <w:rsid w:val="00B45281"/>
    <w:rsid w:val="00B502C3"/>
    <w:rsid w:val="00B800C1"/>
    <w:rsid w:val="00B83486"/>
    <w:rsid w:val="00B94457"/>
    <w:rsid w:val="00BB734D"/>
    <w:rsid w:val="00BC3500"/>
    <w:rsid w:val="00C45646"/>
    <w:rsid w:val="00C510BD"/>
    <w:rsid w:val="00C729D0"/>
    <w:rsid w:val="00C822FB"/>
    <w:rsid w:val="00C93D72"/>
    <w:rsid w:val="00CA5A5C"/>
    <w:rsid w:val="00CD4817"/>
    <w:rsid w:val="00CD551F"/>
    <w:rsid w:val="00CE0601"/>
    <w:rsid w:val="00D0791F"/>
    <w:rsid w:val="00D1040B"/>
    <w:rsid w:val="00DA4259"/>
    <w:rsid w:val="00DB17E2"/>
    <w:rsid w:val="00E15DF7"/>
    <w:rsid w:val="00E2029F"/>
    <w:rsid w:val="00E43487"/>
    <w:rsid w:val="00E474FD"/>
    <w:rsid w:val="00E50B97"/>
    <w:rsid w:val="00E573DB"/>
    <w:rsid w:val="00E6505F"/>
    <w:rsid w:val="00E95961"/>
    <w:rsid w:val="00E97B6B"/>
    <w:rsid w:val="00EB0219"/>
    <w:rsid w:val="00EC3A8A"/>
    <w:rsid w:val="00EE63DE"/>
    <w:rsid w:val="00EF2F9D"/>
    <w:rsid w:val="00F100A3"/>
    <w:rsid w:val="00F12054"/>
    <w:rsid w:val="00F20890"/>
    <w:rsid w:val="00F231D6"/>
    <w:rsid w:val="00F24958"/>
    <w:rsid w:val="00F30FC7"/>
    <w:rsid w:val="00F52EC0"/>
    <w:rsid w:val="00F54AED"/>
    <w:rsid w:val="00F55535"/>
    <w:rsid w:val="00F83E3A"/>
    <w:rsid w:val="00F85E0A"/>
    <w:rsid w:val="00F96085"/>
    <w:rsid w:val="00FB1111"/>
    <w:rsid w:val="00FB134A"/>
    <w:rsid w:val="00FC20C5"/>
    <w:rsid w:val="00FE3451"/>
    <w:rsid w:val="00FE5CD3"/>
    <w:rsid w:val="00FF1F40"/>
    <w:rsid w:val="00FF2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8193"/>
    <o:shapelayout v:ext="edit">
      <o:idmap v:ext="edit" data="1"/>
    </o:shapelayout>
  </w:shapeDefaults>
  <w:decimalSymbol w:val=","/>
  <w:listSeparator w:val=";"/>
  <w14:docId w14:val="693C2B23"/>
  <w15:docId w15:val="{9E697890-E7D8-4264-96D1-61172E98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646"/>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C456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456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45646"/>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qFormat/>
    <w:rsid w:val="00C45646"/>
    <w:pPr>
      <w:spacing w:before="240" w:after="60" w:line="300" w:lineRule="atLeast"/>
      <w:outlineLvl w:val="4"/>
    </w:pPr>
    <w:rPr>
      <w:rFonts w:ascii="Arial" w:hAnsi="Arial"/>
      <w:sz w:val="22"/>
      <w:szCs w:val="20"/>
      <w:lang w:val="en-US"/>
    </w:rPr>
  </w:style>
  <w:style w:type="paragraph" w:styleId="Antrat6">
    <w:name w:val="heading 6"/>
    <w:basedOn w:val="prastasis"/>
    <w:next w:val="prastasis"/>
    <w:link w:val="Antrat6Diagrama"/>
    <w:qFormat/>
    <w:rsid w:val="00C45646"/>
    <w:pPr>
      <w:spacing w:before="240" w:after="60" w:line="300" w:lineRule="atLeast"/>
      <w:outlineLvl w:val="5"/>
    </w:pPr>
    <w:rPr>
      <w:rFonts w:ascii="Arial" w:hAnsi="Arial"/>
      <w:i/>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C45646"/>
    <w:rPr>
      <w:rFonts w:ascii="Arial" w:eastAsia="Calibri" w:hAnsi="Arial" w:cs="Times New Roman"/>
      <w:szCs w:val="20"/>
    </w:rPr>
  </w:style>
  <w:style w:type="character" w:customStyle="1" w:styleId="Antrat6Diagrama">
    <w:name w:val="Antraštė 6 Diagrama"/>
    <w:basedOn w:val="Numatytasispastraiposriftas"/>
    <w:link w:val="Antrat6"/>
    <w:rsid w:val="00C45646"/>
    <w:rPr>
      <w:rFonts w:ascii="Arial" w:eastAsia="Calibri" w:hAnsi="Arial" w:cs="Times New Roman"/>
      <w:i/>
      <w:szCs w:val="20"/>
    </w:rPr>
  </w:style>
  <w:style w:type="paragraph" w:styleId="Pavadinimas">
    <w:name w:val="Title"/>
    <w:basedOn w:val="prastasis"/>
    <w:link w:val="PavadinimasDiagrama"/>
    <w:qFormat/>
    <w:rsid w:val="00C45646"/>
    <w:pPr>
      <w:autoSpaceDE w:val="0"/>
      <w:autoSpaceDN w:val="0"/>
      <w:adjustRightInd w:val="0"/>
      <w:jc w:val="center"/>
    </w:pPr>
    <w:rPr>
      <w:b/>
      <w:bCs/>
      <w:sz w:val="22"/>
      <w:szCs w:val="16"/>
    </w:rPr>
  </w:style>
  <w:style w:type="character" w:customStyle="1" w:styleId="PavadinimasDiagrama">
    <w:name w:val="Pavadinimas Diagrama"/>
    <w:basedOn w:val="Numatytasispastraiposriftas"/>
    <w:link w:val="Pavadinimas"/>
    <w:rsid w:val="00C45646"/>
    <w:rPr>
      <w:rFonts w:ascii="Times New Roman" w:eastAsia="Calibri" w:hAnsi="Times New Roman" w:cs="Times New Roman"/>
      <w:b/>
      <w:bCs/>
      <w:szCs w:val="16"/>
      <w:lang w:val="lt-LT"/>
    </w:rPr>
  </w:style>
  <w:style w:type="paragraph" w:styleId="Pagrindinistekstas">
    <w:name w:val="Body Text"/>
    <w:basedOn w:val="prastasis"/>
    <w:link w:val="PagrindinistekstasDiagrama"/>
    <w:rsid w:val="00C45646"/>
    <w:pPr>
      <w:autoSpaceDE w:val="0"/>
      <w:autoSpaceDN w:val="0"/>
      <w:adjustRightInd w:val="0"/>
    </w:pPr>
    <w:rPr>
      <w:sz w:val="22"/>
    </w:rPr>
  </w:style>
  <w:style w:type="character" w:customStyle="1" w:styleId="PagrindinistekstasDiagrama">
    <w:name w:val="Pagrindinis tekstas Diagrama"/>
    <w:basedOn w:val="Numatytasispastraiposriftas"/>
    <w:link w:val="Pagrindinistekstas"/>
    <w:rsid w:val="00C45646"/>
    <w:rPr>
      <w:rFonts w:ascii="Times New Roman" w:eastAsia="Calibri" w:hAnsi="Times New Roman" w:cs="Times New Roman"/>
      <w:szCs w:val="24"/>
      <w:lang w:val="lt-LT"/>
    </w:rPr>
  </w:style>
  <w:style w:type="paragraph" w:customStyle="1" w:styleId="Paragraph">
    <w:name w:val="Paragraph"/>
    <w:basedOn w:val="prastasis"/>
    <w:rsid w:val="00C45646"/>
    <w:pPr>
      <w:spacing w:after="120" w:line="300" w:lineRule="atLeast"/>
    </w:pPr>
    <w:rPr>
      <w:rFonts w:ascii="Arial" w:hAnsi="Arial"/>
      <w:sz w:val="22"/>
      <w:szCs w:val="20"/>
      <w:lang w:val="en-US"/>
    </w:rPr>
  </w:style>
  <w:style w:type="paragraph" w:styleId="Porat">
    <w:name w:val="footer"/>
    <w:basedOn w:val="prastasis"/>
    <w:link w:val="PoratDiagrama"/>
    <w:rsid w:val="00C45646"/>
    <w:pPr>
      <w:tabs>
        <w:tab w:val="center" w:pos="4320"/>
        <w:tab w:val="right" w:pos="8640"/>
      </w:tabs>
    </w:pPr>
  </w:style>
  <w:style w:type="character" w:customStyle="1" w:styleId="PoratDiagrama">
    <w:name w:val="Poraštė Diagrama"/>
    <w:basedOn w:val="Numatytasispastraiposriftas"/>
    <w:link w:val="Porat"/>
    <w:rsid w:val="00C45646"/>
    <w:rPr>
      <w:rFonts w:ascii="Times New Roman" w:eastAsia="Calibri" w:hAnsi="Times New Roman" w:cs="Times New Roman"/>
      <w:sz w:val="24"/>
      <w:szCs w:val="24"/>
      <w:lang w:val="lt-LT"/>
    </w:rPr>
  </w:style>
  <w:style w:type="character" w:styleId="Puslapionumeris">
    <w:name w:val="page number"/>
    <w:basedOn w:val="Numatytasispastraiposriftas"/>
    <w:rsid w:val="00C45646"/>
    <w:rPr>
      <w:rFonts w:cs="Times New Roman"/>
    </w:rPr>
  </w:style>
  <w:style w:type="character" w:styleId="Hipersaitas">
    <w:name w:val="Hyperlink"/>
    <w:basedOn w:val="Numatytasispastraiposriftas"/>
    <w:rsid w:val="00C45646"/>
    <w:rPr>
      <w:rFonts w:cs="Times New Roman"/>
      <w:color w:val="0000FF"/>
      <w:u w:val="single"/>
    </w:rPr>
  </w:style>
  <w:style w:type="paragraph" w:customStyle="1" w:styleId="PI-1labEMEASMCA">
    <w:name w:val="PI-1_lab EMEA_SMCA"/>
    <w:basedOn w:val="prastasis"/>
    <w:link w:val="PI-1labEMEASMCAChar"/>
    <w:autoRedefine/>
    <w:rsid w:val="00C45646"/>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C45646"/>
    <w:rPr>
      <w:rFonts w:ascii="Times New Roman" w:eastAsia="Calibri" w:hAnsi="Times New Roman" w:cs="Times New Roman"/>
      <w:b/>
      <w:noProof/>
      <w:sz w:val="20"/>
      <w:szCs w:val="20"/>
      <w:lang w:val="lt-LT" w:eastAsia="lt-LT"/>
    </w:rPr>
  </w:style>
  <w:style w:type="paragraph" w:customStyle="1" w:styleId="BTEMEASMCA">
    <w:name w:val="BT EMEA_SMCA"/>
    <w:basedOn w:val="prastasis"/>
    <w:link w:val="BTEMEASMCAChar"/>
    <w:autoRedefine/>
    <w:rsid w:val="00C45646"/>
    <w:rPr>
      <w:noProof/>
      <w:sz w:val="20"/>
      <w:szCs w:val="20"/>
      <w:lang w:eastAsia="lt-LT"/>
    </w:rPr>
  </w:style>
  <w:style w:type="character" w:customStyle="1" w:styleId="BTEMEASMCAChar">
    <w:name w:val="BT EMEA_SMCA Char"/>
    <w:link w:val="BTEMEASMCA"/>
    <w:locked/>
    <w:rsid w:val="00C45646"/>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C45646"/>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eastAsia="x-none"/>
    </w:rPr>
  </w:style>
  <w:style w:type="character" w:customStyle="1" w:styleId="TTEMEASMCAChar">
    <w:name w:val="TT EMEA_SMCA Char"/>
    <w:link w:val="TTEMEASMCA"/>
    <w:locked/>
    <w:rsid w:val="00C45646"/>
    <w:rPr>
      <w:rFonts w:ascii="Times New Roman" w:eastAsia="Calibri" w:hAnsi="Times New Roman" w:cs="Times New Roman"/>
      <w:b/>
      <w:caps/>
      <w:lang w:val="lt-LT" w:eastAsia="x-none"/>
    </w:rPr>
  </w:style>
  <w:style w:type="paragraph" w:customStyle="1" w:styleId="PI-1EMEASMCA">
    <w:name w:val="PI-1 EMEA_SMCA"/>
    <w:basedOn w:val="Antrat2"/>
    <w:autoRedefine/>
    <w:rsid w:val="00C45646"/>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2EMEASMCA">
    <w:name w:val="PI-2 EMEA_SMCA"/>
    <w:basedOn w:val="Antrat3"/>
    <w:autoRedefine/>
    <w:rsid w:val="00C45646"/>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AnIIEMEASMCA">
    <w:name w:val="BT(AnII) EMEA_SMCA"/>
    <w:basedOn w:val="Debesliotekstas"/>
    <w:autoRedefine/>
    <w:rsid w:val="00C45646"/>
    <w:pPr>
      <w:tabs>
        <w:tab w:val="left" w:pos="1701"/>
      </w:tabs>
      <w:ind w:left="1701" w:hanging="567"/>
    </w:pPr>
    <w:rPr>
      <w:rFonts w:ascii="Times New Roman" w:hAnsi="Times New Roman" w:cs="Times New Roman"/>
      <w:b/>
      <w:sz w:val="22"/>
      <w:szCs w:val="22"/>
      <w:lang w:val="en-GB"/>
    </w:rPr>
  </w:style>
  <w:style w:type="paragraph" w:customStyle="1" w:styleId="BTuEMEASMCA">
    <w:name w:val="BT(u) EMEA_SMCA"/>
    <w:basedOn w:val="BTEMEASMCA"/>
    <w:autoRedefine/>
    <w:rsid w:val="00C45646"/>
    <w:rPr>
      <w:u w:val="single"/>
    </w:rPr>
  </w:style>
  <w:style w:type="paragraph" w:styleId="Antrats">
    <w:name w:val="header"/>
    <w:basedOn w:val="prastasis"/>
    <w:link w:val="AntratsDiagrama"/>
    <w:rsid w:val="00C45646"/>
    <w:pPr>
      <w:tabs>
        <w:tab w:val="center" w:pos="4819"/>
        <w:tab w:val="right" w:pos="9638"/>
      </w:tabs>
    </w:pPr>
  </w:style>
  <w:style w:type="character" w:customStyle="1" w:styleId="AntratsDiagrama">
    <w:name w:val="Antraštės Diagrama"/>
    <w:basedOn w:val="Numatytasispastraiposriftas"/>
    <w:link w:val="Antrats"/>
    <w:rsid w:val="00C45646"/>
    <w:rPr>
      <w:rFonts w:ascii="Times New Roman" w:eastAsia="Calibri" w:hAnsi="Times New Roman" w:cs="Times New Roman"/>
      <w:sz w:val="24"/>
      <w:szCs w:val="24"/>
      <w:lang w:val="lt-LT"/>
    </w:rPr>
  </w:style>
  <w:style w:type="character" w:customStyle="1" w:styleId="Antrat1Diagrama">
    <w:name w:val="Antraštė 1 Diagrama"/>
    <w:basedOn w:val="Numatytasispastraiposriftas"/>
    <w:link w:val="Antrat1"/>
    <w:uiPriority w:val="9"/>
    <w:rsid w:val="00C45646"/>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C4564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45646"/>
    <w:rPr>
      <w:rFonts w:asciiTheme="majorHAnsi" w:eastAsiaTheme="majorEastAsia" w:hAnsiTheme="majorHAnsi" w:cstheme="majorBidi"/>
      <w:b/>
      <w:bCs/>
      <w:color w:val="4F81BD" w:themeColor="accent1"/>
      <w:sz w:val="24"/>
      <w:szCs w:val="24"/>
      <w:lang w:val="lt-LT"/>
    </w:rPr>
  </w:style>
  <w:style w:type="paragraph" w:styleId="Debesliotekstas">
    <w:name w:val="Balloon Text"/>
    <w:basedOn w:val="prastasis"/>
    <w:link w:val="DebesliotekstasDiagrama"/>
    <w:uiPriority w:val="99"/>
    <w:semiHidden/>
    <w:unhideWhenUsed/>
    <w:rsid w:val="00C456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5646"/>
    <w:rPr>
      <w:rFonts w:ascii="Tahoma" w:eastAsia="Calibri" w:hAnsi="Tahoma" w:cs="Tahoma"/>
      <w:sz w:val="16"/>
      <w:szCs w:val="16"/>
      <w:lang w:val="lt-LT"/>
    </w:rPr>
  </w:style>
  <w:style w:type="paragraph" w:styleId="Paprastasistekstas">
    <w:name w:val="Plain Text"/>
    <w:basedOn w:val="prastasis"/>
    <w:link w:val="PaprastasistekstasDiagrama"/>
    <w:uiPriority w:val="99"/>
    <w:rsid w:val="003069C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069CE"/>
    <w:rPr>
      <w:rFonts w:ascii="Courier New" w:eastAsia="SimSun" w:hAnsi="Courier New" w:cs="Times New Roman"/>
      <w:sz w:val="20"/>
      <w:szCs w:val="20"/>
    </w:rPr>
  </w:style>
  <w:style w:type="paragraph" w:styleId="Sraopastraipa">
    <w:name w:val="List Paragraph"/>
    <w:basedOn w:val="prastasis"/>
    <w:uiPriority w:val="34"/>
    <w:qFormat/>
    <w:rsid w:val="000C1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1F027DC084A408074D42DFE287CD2" ma:contentTypeVersion="10" ma:contentTypeDescription="Create a new document." ma:contentTypeScope="" ma:versionID="d1edc23878fc040ca459b8b5eea39635">
  <xsd:schema xmlns:xsd="http://www.w3.org/2001/XMLSchema" xmlns:xs="http://www.w3.org/2001/XMLSchema" xmlns:p="http://schemas.microsoft.com/office/2006/metadata/properties" xmlns:ns3="9a826958-8036-4681-bfe0-c5c88f01c0e6" targetNamespace="http://schemas.microsoft.com/office/2006/metadata/properties" ma:root="true" ma:fieldsID="babe89d10bf4ecf95285a4b9ca1d3b87" ns3:_="">
    <xsd:import namespace="9a826958-8036-4681-bfe0-c5c88f01c0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26958-8036-4681-bfe0-c5c88f01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733DAF47-ED0D-40E2-8F75-D381AD7281D6}">
  <ds:schemaRefs>
    <ds:schemaRef ds:uri="http://schemas.openxmlformats.org/package/2006/metadata/core-properties"/>
    <ds:schemaRef ds:uri="http://purl.org/dc/dcmitype/"/>
    <ds:schemaRef ds:uri="9a826958-8036-4681-bfe0-c5c88f01c0e6"/>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303543-C4A9-4E60-8B0B-86974458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26958-8036-4681-bfe0-c5c88f01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BCDF4-24E0-41D7-8799-860CE71F2BB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353194E-4B34-4B94-9135-DFCE43BB2AE2}">
  <ds:schemaRefs>
    <ds:schemaRef ds:uri="http://schemas.microsoft.com/sharepoint/v3/contenttype/forms"/>
  </ds:schemaRefs>
</ds:datastoreItem>
</file>

<file path=customXml/itemProps5.xml><?xml version="1.0" encoding="utf-8"?>
<ds:datastoreItem xmlns:ds="http://schemas.openxmlformats.org/officeDocument/2006/customXml" ds:itemID="{2569E131-3D46-40CA-870B-E1D7FE5C98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32286</Words>
  <Characters>18404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 &amp; Co., Inc.</dc:creator>
  <cp:keywords/>
  <dc:description/>
  <cp:lastModifiedBy>Albina Burkauskaitė</cp:lastModifiedBy>
  <cp:revision>3</cp:revision>
  <dcterms:created xsi:type="dcterms:W3CDTF">2021-09-01T06:43:00Z</dcterms:created>
  <dcterms:modified xsi:type="dcterms:W3CDTF">2021-09-01T06:46:00Z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62a530f1-eb69-4ba5-8f63-1ed2ab46a6be</vt:lpwstr>
  </property>
  <property fmtid="{D5CDD505-2E9C-101B-9397-08002B2CF9AE}" pid="3" name="bjSaver">
    <vt:lpwstr>e8Af50BoJ/pbENC/Zv9F7E/52EbSPKfO</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0x0101006E51F027DC084A408074D42DFE287CD2</vt:lpwstr>
  </property>
</Properties>
</file>