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DEA05" w14:textId="77777777" w:rsidR="0018708C" w:rsidRPr="00F778AF" w:rsidRDefault="0018708C" w:rsidP="0018708C">
      <w:pPr>
        <w:pStyle w:val="Pagrindinistekstas"/>
        <w:spacing w:after="0"/>
        <w:rPr>
          <w:szCs w:val="22"/>
        </w:rPr>
      </w:pPr>
    </w:p>
    <w:p w14:paraId="07F77991" w14:textId="77777777" w:rsidR="0018708C" w:rsidRPr="00F778AF" w:rsidRDefault="0018708C" w:rsidP="0018708C">
      <w:pPr>
        <w:pStyle w:val="Pagrindinistekstas"/>
        <w:spacing w:after="0"/>
        <w:rPr>
          <w:szCs w:val="22"/>
        </w:rPr>
      </w:pPr>
    </w:p>
    <w:p w14:paraId="3BFF688D" w14:textId="77777777" w:rsidR="0018708C" w:rsidRPr="00F778AF" w:rsidRDefault="0018708C" w:rsidP="0018708C">
      <w:pPr>
        <w:pStyle w:val="Pagrindinistekstas"/>
        <w:spacing w:after="0"/>
        <w:rPr>
          <w:szCs w:val="22"/>
        </w:rPr>
      </w:pPr>
    </w:p>
    <w:p w14:paraId="505AAE85" w14:textId="77777777" w:rsidR="0018708C" w:rsidRPr="00F778AF" w:rsidRDefault="0018708C" w:rsidP="0018708C">
      <w:pPr>
        <w:pStyle w:val="Pagrindinistekstas"/>
        <w:spacing w:after="0"/>
        <w:rPr>
          <w:szCs w:val="22"/>
        </w:rPr>
      </w:pPr>
    </w:p>
    <w:p w14:paraId="41E615E8" w14:textId="77777777" w:rsidR="0018708C" w:rsidRPr="00F778AF" w:rsidRDefault="0018708C" w:rsidP="0018708C">
      <w:pPr>
        <w:pStyle w:val="Pagrindinistekstas"/>
        <w:spacing w:after="0"/>
        <w:rPr>
          <w:szCs w:val="22"/>
        </w:rPr>
      </w:pPr>
    </w:p>
    <w:p w14:paraId="32E34D35" w14:textId="77777777" w:rsidR="0018708C" w:rsidRPr="00F778AF" w:rsidRDefault="0018708C" w:rsidP="0018708C">
      <w:pPr>
        <w:pStyle w:val="Pagrindinistekstas"/>
        <w:spacing w:after="0"/>
        <w:rPr>
          <w:szCs w:val="22"/>
        </w:rPr>
      </w:pPr>
    </w:p>
    <w:p w14:paraId="5515C19F" w14:textId="77777777" w:rsidR="0018708C" w:rsidRPr="00F778AF" w:rsidRDefault="0018708C" w:rsidP="0018708C">
      <w:pPr>
        <w:pStyle w:val="Pagrindinistekstas"/>
        <w:spacing w:after="0"/>
        <w:rPr>
          <w:szCs w:val="22"/>
        </w:rPr>
      </w:pPr>
    </w:p>
    <w:p w14:paraId="3EB1C2A9" w14:textId="77777777" w:rsidR="0018708C" w:rsidRPr="00F778AF" w:rsidRDefault="0018708C" w:rsidP="0018708C">
      <w:pPr>
        <w:pStyle w:val="Pagrindinistekstas"/>
        <w:spacing w:after="0"/>
        <w:rPr>
          <w:szCs w:val="22"/>
        </w:rPr>
      </w:pPr>
    </w:p>
    <w:p w14:paraId="44859553" w14:textId="77777777" w:rsidR="0018708C" w:rsidRPr="00F778AF" w:rsidRDefault="0018708C" w:rsidP="0018708C">
      <w:pPr>
        <w:pStyle w:val="Pagrindinistekstas"/>
        <w:spacing w:after="0"/>
        <w:rPr>
          <w:szCs w:val="22"/>
        </w:rPr>
      </w:pPr>
    </w:p>
    <w:p w14:paraId="53BE7960" w14:textId="77777777" w:rsidR="0018708C" w:rsidRPr="00F778AF" w:rsidRDefault="0018708C" w:rsidP="0018708C">
      <w:pPr>
        <w:pStyle w:val="Pagrindinistekstas"/>
        <w:spacing w:after="0"/>
        <w:rPr>
          <w:szCs w:val="22"/>
        </w:rPr>
      </w:pPr>
    </w:p>
    <w:p w14:paraId="4D434B1D" w14:textId="77777777" w:rsidR="0018708C" w:rsidRPr="00F778AF" w:rsidRDefault="0018708C" w:rsidP="0018708C">
      <w:pPr>
        <w:pStyle w:val="Pagrindinistekstas"/>
        <w:spacing w:after="0"/>
        <w:rPr>
          <w:szCs w:val="22"/>
        </w:rPr>
      </w:pPr>
    </w:p>
    <w:p w14:paraId="29A57F50" w14:textId="77777777" w:rsidR="0018708C" w:rsidRPr="00F778AF" w:rsidRDefault="0018708C" w:rsidP="0018708C">
      <w:pPr>
        <w:pStyle w:val="Pagrindinistekstas"/>
        <w:spacing w:after="0"/>
        <w:rPr>
          <w:szCs w:val="22"/>
        </w:rPr>
      </w:pPr>
    </w:p>
    <w:p w14:paraId="4D11E97E" w14:textId="77777777" w:rsidR="0018708C" w:rsidRPr="00F778AF" w:rsidRDefault="0018708C" w:rsidP="0018708C">
      <w:pPr>
        <w:pStyle w:val="Pagrindinistekstas"/>
        <w:spacing w:after="0"/>
        <w:rPr>
          <w:szCs w:val="22"/>
        </w:rPr>
      </w:pPr>
    </w:p>
    <w:p w14:paraId="433760EA" w14:textId="77777777" w:rsidR="0018708C" w:rsidRPr="00F778AF" w:rsidRDefault="0018708C" w:rsidP="0018708C">
      <w:pPr>
        <w:pStyle w:val="Pagrindinistekstas"/>
        <w:spacing w:after="0"/>
        <w:rPr>
          <w:szCs w:val="22"/>
        </w:rPr>
      </w:pPr>
    </w:p>
    <w:p w14:paraId="3E8DB831" w14:textId="77777777" w:rsidR="0018708C" w:rsidRPr="00F778AF" w:rsidRDefault="0018708C" w:rsidP="0018708C">
      <w:pPr>
        <w:pStyle w:val="Pagrindinistekstas"/>
        <w:spacing w:after="0"/>
        <w:rPr>
          <w:szCs w:val="22"/>
        </w:rPr>
      </w:pPr>
    </w:p>
    <w:p w14:paraId="5DDFF8B4" w14:textId="77777777" w:rsidR="0018708C" w:rsidRPr="00F778AF" w:rsidRDefault="0018708C" w:rsidP="0018708C">
      <w:pPr>
        <w:pStyle w:val="Pagrindinistekstas"/>
        <w:spacing w:after="0"/>
        <w:rPr>
          <w:szCs w:val="22"/>
        </w:rPr>
      </w:pPr>
    </w:p>
    <w:p w14:paraId="7455077A" w14:textId="77777777" w:rsidR="0018708C" w:rsidRPr="00F778AF" w:rsidRDefault="0018708C" w:rsidP="0018708C">
      <w:pPr>
        <w:pStyle w:val="Pagrindinistekstas"/>
        <w:spacing w:after="0"/>
        <w:rPr>
          <w:szCs w:val="22"/>
        </w:rPr>
      </w:pPr>
    </w:p>
    <w:p w14:paraId="7D0CB759" w14:textId="77777777" w:rsidR="0018708C" w:rsidRPr="00F778AF" w:rsidRDefault="0018708C" w:rsidP="0018708C">
      <w:pPr>
        <w:pStyle w:val="Pagrindinistekstas"/>
        <w:spacing w:after="0"/>
        <w:rPr>
          <w:szCs w:val="22"/>
        </w:rPr>
      </w:pPr>
    </w:p>
    <w:p w14:paraId="6BE2BE0D" w14:textId="77777777" w:rsidR="0018708C" w:rsidRPr="00F778AF" w:rsidRDefault="0018708C" w:rsidP="0018708C">
      <w:pPr>
        <w:pStyle w:val="Pagrindinistekstas"/>
        <w:spacing w:after="0"/>
        <w:rPr>
          <w:szCs w:val="22"/>
        </w:rPr>
      </w:pPr>
    </w:p>
    <w:p w14:paraId="74A1E823" w14:textId="77777777" w:rsidR="0018708C" w:rsidRPr="00F778AF" w:rsidRDefault="0018708C" w:rsidP="0018708C">
      <w:pPr>
        <w:pStyle w:val="Pagrindinistekstas"/>
        <w:spacing w:after="0"/>
        <w:rPr>
          <w:szCs w:val="22"/>
        </w:rPr>
      </w:pPr>
    </w:p>
    <w:p w14:paraId="02538AD1" w14:textId="77777777" w:rsidR="0018708C" w:rsidRPr="00F778AF" w:rsidRDefault="0018708C" w:rsidP="0018708C">
      <w:pPr>
        <w:pStyle w:val="Pagrindinistekstas"/>
        <w:spacing w:after="0"/>
        <w:rPr>
          <w:szCs w:val="22"/>
        </w:rPr>
      </w:pPr>
    </w:p>
    <w:p w14:paraId="5A013064" w14:textId="77777777" w:rsidR="0018708C" w:rsidRPr="00F778AF" w:rsidRDefault="0018708C" w:rsidP="0018708C">
      <w:pPr>
        <w:pStyle w:val="Pagrindinistekstas"/>
        <w:spacing w:after="0"/>
        <w:rPr>
          <w:szCs w:val="22"/>
        </w:rPr>
      </w:pPr>
    </w:p>
    <w:p w14:paraId="7AAA5C92" w14:textId="77777777" w:rsidR="0018708C" w:rsidRPr="00F778AF" w:rsidRDefault="0018708C" w:rsidP="0018708C">
      <w:pPr>
        <w:pStyle w:val="Pagrindinistekstas"/>
        <w:spacing w:after="0"/>
        <w:rPr>
          <w:szCs w:val="22"/>
        </w:rPr>
      </w:pPr>
    </w:p>
    <w:p w14:paraId="74AE41A0" w14:textId="77777777" w:rsidR="0018708C" w:rsidRPr="00F778AF" w:rsidRDefault="0018708C" w:rsidP="0018708C">
      <w:pPr>
        <w:pStyle w:val="Pavadinimas"/>
        <w:rPr>
          <w:szCs w:val="22"/>
        </w:rPr>
      </w:pPr>
      <w:r w:rsidRPr="00F778AF">
        <w:rPr>
          <w:szCs w:val="22"/>
        </w:rPr>
        <w:t>I PRIEDAS</w:t>
      </w:r>
    </w:p>
    <w:p w14:paraId="5C18893D" w14:textId="77777777" w:rsidR="0018708C" w:rsidRPr="00F778AF" w:rsidRDefault="0018708C" w:rsidP="0018708C">
      <w:pPr>
        <w:pStyle w:val="Pagrindinistekstas"/>
        <w:spacing w:after="0"/>
        <w:rPr>
          <w:szCs w:val="22"/>
        </w:rPr>
      </w:pPr>
    </w:p>
    <w:p w14:paraId="3455DB94" w14:textId="77777777" w:rsidR="0018708C" w:rsidRPr="00F778AF" w:rsidRDefault="0018708C" w:rsidP="0018708C">
      <w:pPr>
        <w:pStyle w:val="Pavadinimas"/>
        <w:rPr>
          <w:szCs w:val="22"/>
        </w:rPr>
      </w:pPr>
      <w:r w:rsidRPr="00F778AF">
        <w:rPr>
          <w:szCs w:val="22"/>
        </w:rPr>
        <w:t>PREPARATO CHARAKTERISTIKŲ SANTRAUKA</w:t>
      </w:r>
    </w:p>
    <w:p w14:paraId="5CD57E40" w14:textId="77777777" w:rsidR="0018708C" w:rsidRPr="00F778AF" w:rsidRDefault="0018708C" w:rsidP="0018708C">
      <w:pPr>
        <w:pStyle w:val="Pagrindinistekstas"/>
        <w:spacing w:after="0"/>
        <w:rPr>
          <w:szCs w:val="22"/>
        </w:rPr>
      </w:pPr>
    </w:p>
    <w:p w14:paraId="05595404" w14:textId="77777777" w:rsidR="0018708C" w:rsidRPr="00F778AF" w:rsidRDefault="0018708C" w:rsidP="0018708C">
      <w:pPr>
        <w:pStyle w:val="Antrat2"/>
      </w:pPr>
      <w:r w:rsidRPr="00F778AF">
        <w:br w:type="page"/>
      </w:r>
      <w:r w:rsidRPr="00F778AF">
        <w:lastRenderedPageBreak/>
        <w:t>1.</w:t>
      </w:r>
      <w:r w:rsidRPr="00F778AF">
        <w:tab/>
        <w:t>VAISTINIO PREPARATO PAVADINIMAS</w:t>
      </w:r>
    </w:p>
    <w:p w14:paraId="4EF8CD1B" w14:textId="77777777" w:rsidR="0018708C" w:rsidRPr="00F778AF" w:rsidRDefault="0018708C" w:rsidP="0018708C">
      <w:pPr>
        <w:pStyle w:val="Pagrindinistekstas"/>
        <w:spacing w:after="0"/>
        <w:rPr>
          <w:szCs w:val="22"/>
        </w:rPr>
      </w:pPr>
    </w:p>
    <w:p w14:paraId="39E172BB" w14:textId="77777777" w:rsidR="0018708C" w:rsidRPr="00F778AF" w:rsidRDefault="0018708C" w:rsidP="0018708C">
      <w:pPr>
        <w:pStyle w:val="Pagrindinistekstas"/>
        <w:spacing w:after="0"/>
        <w:rPr>
          <w:szCs w:val="22"/>
        </w:rPr>
      </w:pPr>
      <w:r w:rsidRPr="00F778AF">
        <w:rPr>
          <w:szCs w:val="22"/>
        </w:rPr>
        <w:t>Imdur 60 mg pailginto atpalaidavimo tabletės</w:t>
      </w:r>
    </w:p>
    <w:p w14:paraId="18FB3552" w14:textId="77777777" w:rsidR="0018708C" w:rsidRPr="00F778AF" w:rsidRDefault="0018708C" w:rsidP="0018708C">
      <w:pPr>
        <w:pStyle w:val="Pagrindinistekstas"/>
        <w:spacing w:after="0"/>
        <w:rPr>
          <w:szCs w:val="22"/>
        </w:rPr>
      </w:pPr>
    </w:p>
    <w:p w14:paraId="783945E8" w14:textId="77777777" w:rsidR="0018708C" w:rsidRPr="00F778AF" w:rsidRDefault="0018708C" w:rsidP="0018708C">
      <w:pPr>
        <w:pStyle w:val="Pagrindinistekstas"/>
        <w:spacing w:after="0"/>
        <w:rPr>
          <w:szCs w:val="22"/>
        </w:rPr>
      </w:pPr>
    </w:p>
    <w:p w14:paraId="483BBB2F" w14:textId="77777777" w:rsidR="0018708C" w:rsidRPr="00F778AF" w:rsidRDefault="0018708C" w:rsidP="0018708C">
      <w:pPr>
        <w:pStyle w:val="Antrat2"/>
      </w:pPr>
      <w:r w:rsidRPr="00F778AF">
        <w:t>2.</w:t>
      </w:r>
      <w:r w:rsidRPr="00F778AF">
        <w:tab/>
        <w:t>KOKYBINĖ IR KIEKYBINĖ SUDĖTIS</w:t>
      </w:r>
    </w:p>
    <w:p w14:paraId="3688D51D" w14:textId="77777777" w:rsidR="0018708C" w:rsidRPr="00F778AF" w:rsidRDefault="0018708C" w:rsidP="0018708C">
      <w:pPr>
        <w:pStyle w:val="Pagrindinistekstas"/>
        <w:spacing w:after="0"/>
        <w:rPr>
          <w:szCs w:val="22"/>
        </w:rPr>
      </w:pPr>
    </w:p>
    <w:p w14:paraId="3A64879C" w14:textId="77777777" w:rsidR="0018708C" w:rsidRPr="00F778AF" w:rsidRDefault="0018708C" w:rsidP="0018708C">
      <w:pPr>
        <w:pStyle w:val="Pagrindinistekstas"/>
        <w:spacing w:after="0"/>
        <w:rPr>
          <w:szCs w:val="22"/>
        </w:rPr>
      </w:pPr>
      <w:r w:rsidRPr="00F778AF">
        <w:rPr>
          <w:szCs w:val="22"/>
        </w:rPr>
        <w:t>Kiekvienoje pailginto atpalaidavimo tabletėje yra 60 mg izosorbido mononitrato.</w:t>
      </w:r>
    </w:p>
    <w:p w14:paraId="3DB34FDA" w14:textId="77777777" w:rsidR="0018708C" w:rsidRPr="00F778AF" w:rsidRDefault="0018708C" w:rsidP="0018708C">
      <w:pPr>
        <w:pStyle w:val="Pagrindinistekstas"/>
        <w:spacing w:after="0"/>
        <w:rPr>
          <w:szCs w:val="22"/>
        </w:rPr>
      </w:pPr>
    </w:p>
    <w:p w14:paraId="230B326B" w14:textId="77777777" w:rsidR="0018708C" w:rsidRPr="00F778AF" w:rsidRDefault="0018708C" w:rsidP="0018708C">
      <w:pPr>
        <w:pStyle w:val="Pagrindinistekstas"/>
        <w:spacing w:after="0"/>
        <w:rPr>
          <w:szCs w:val="22"/>
        </w:rPr>
      </w:pPr>
      <w:r w:rsidRPr="00F778AF">
        <w:rPr>
          <w:szCs w:val="22"/>
          <w:u w:val="single"/>
        </w:rPr>
        <w:t>Pagalbinė medžiaga, kurios poveikis žinomas</w:t>
      </w:r>
      <w:r w:rsidRPr="00F778AF">
        <w:rPr>
          <w:szCs w:val="22"/>
        </w:rPr>
        <w:t>: natris (mažiau kaip 1 mmol (23 mg)/tabletėje).</w:t>
      </w:r>
    </w:p>
    <w:p w14:paraId="524BDDC5" w14:textId="77777777" w:rsidR="006B4733" w:rsidRDefault="006B4733" w:rsidP="0018708C">
      <w:pPr>
        <w:pStyle w:val="Pagrindinistekstas"/>
        <w:spacing w:after="0"/>
        <w:rPr>
          <w:szCs w:val="22"/>
        </w:rPr>
      </w:pPr>
    </w:p>
    <w:p w14:paraId="7F99ECA3" w14:textId="74B15662" w:rsidR="0018708C" w:rsidRPr="00F778AF" w:rsidRDefault="0018708C" w:rsidP="0018708C">
      <w:pPr>
        <w:pStyle w:val="Pagrindinistekstas"/>
        <w:spacing w:after="0"/>
        <w:rPr>
          <w:szCs w:val="22"/>
        </w:rPr>
      </w:pPr>
      <w:r w:rsidRPr="00F778AF">
        <w:rPr>
          <w:szCs w:val="22"/>
        </w:rPr>
        <w:t>Visos pagalbinės medžiagos išvardytos 6.1 skyriuje.</w:t>
      </w:r>
    </w:p>
    <w:p w14:paraId="4F182B24" w14:textId="77777777" w:rsidR="0018708C" w:rsidRPr="00F778AF" w:rsidRDefault="0018708C" w:rsidP="0018708C">
      <w:pPr>
        <w:pStyle w:val="Pagrindinistekstas"/>
        <w:spacing w:after="0"/>
        <w:rPr>
          <w:szCs w:val="22"/>
        </w:rPr>
      </w:pPr>
    </w:p>
    <w:p w14:paraId="6D3BDCB7" w14:textId="77777777" w:rsidR="0018708C" w:rsidRPr="00F778AF" w:rsidRDefault="0018708C" w:rsidP="0018708C">
      <w:pPr>
        <w:pStyle w:val="Pagrindinistekstas"/>
        <w:spacing w:after="0"/>
        <w:rPr>
          <w:szCs w:val="22"/>
        </w:rPr>
      </w:pPr>
    </w:p>
    <w:p w14:paraId="2C8F541D" w14:textId="77777777" w:rsidR="0018708C" w:rsidRPr="00F778AF" w:rsidRDefault="0018708C" w:rsidP="0018708C">
      <w:pPr>
        <w:pStyle w:val="Antrat2"/>
      </w:pPr>
      <w:r w:rsidRPr="00F778AF">
        <w:t>3.</w:t>
      </w:r>
      <w:r w:rsidRPr="00F778AF">
        <w:tab/>
        <w:t>FARMACINĖ FORMA</w:t>
      </w:r>
    </w:p>
    <w:p w14:paraId="119AAB4A" w14:textId="77777777" w:rsidR="0018708C" w:rsidRPr="00F778AF" w:rsidRDefault="0018708C" w:rsidP="0018708C">
      <w:pPr>
        <w:pStyle w:val="Pagrindinistekstas"/>
        <w:spacing w:after="0"/>
        <w:rPr>
          <w:szCs w:val="22"/>
        </w:rPr>
      </w:pPr>
    </w:p>
    <w:p w14:paraId="75A9E5AF" w14:textId="77777777" w:rsidR="0018708C" w:rsidRPr="00F778AF" w:rsidRDefault="0018708C" w:rsidP="0018708C">
      <w:pPr>
        <w:pStyle w:val="Pagrindinistekstas"/>
        <w:spacing w:after="0"/>
        <w:rPr>
          <w:szCs w:val="22"/>
        </w:rPr>
      </w:pPr>
      <w:r w:rsidRPr="00F778AF">
        <w:rPr>
          <w:szCs w:val="22"/>
        </w:rPr>
        <w:t>Pailginto atpalaidavimo tabletė.</w:t>
      </w:r>
    </w:p>
    <w:p w14:paraId="11DD666F" w14:textId="77777777" w:rsidR="0018708C" w:rsidRPr="00F778AF" w:rsidRDefault="0018708C" w:rsidP="0018708C">
      <w:pPr>
        <w:pStyle w:val="Pagrindinistekstas"/>
        <w:spacing w:after="0"/>
        <w:rPr>
          <w:szCs w:val="22"/>
        </w:rPr>
      </w:pPr>
    </w:p>
    <w:p w14:paraId="75AF6D8A" w14:textId="77777777" w:rsidR="0018708C" w:rsidRPr="00F778AF" w:rsidRDefault="0018708C" w:rsidP="0018708C">
      <w:pPr>
        <w:pStyle w:val="Pagrindinistekstas"/>
        <w:spacing w:after="0"/>
        <w:rPr>
          <w:szCs w:val="22"/>
        </w:rPr>
      </w:pPr>
      <w:r w:rsidRPr="00F778AF">
        <w:rPr>
          <w:szCs w:val="22"/>
        </w:rPr>
        <w:t>Tabletės yra geltonos, ovalios, abipus išgaubtos, su vagele, vienoje pusėje įrėžta A/ID.</w:t>
      </w:r>
    </w:p>
    <w:p w14:paraId="660A3055" w14:textId="77777777" w:rsidR="0018708C" w:rsidRPr="00F778AF" w:rsidRDefault="0018708C" w:rsidP="0018708C">
      <w:pPr>
        <w:pStyle w:val="BTEMEASMCA"/>
        <w:rPr>
          <w:noProof w:val="0"/>
        </w:rPr>
      </w:pPr>
      <w:r w:rsidRPr="00F778AF">
        <w:rPr>
          <w:noProof w:val="0"/>
        </w:rPr>
        <w:t>Vagelė skirta tik tabletei perlaužti, kad būtų lengviau nuryti, bet ne jai padalyti į lygias dozes.</w:t>
      </w:r>
    </w:p>
    <w:p w14:paraId="2FED079E" w14:textId="77777777" w:rsidR="0018708C" w:rsidRPr="00F778AF" w:rsidRDefault="0018708C" w:rsidP="0018708C">
      <w:pPr>
        <w:pStyle w:val="Pagrindinistekstas"/>
        <w:spacing w:after="0"/>
        <w:rPr>
          <w:szCs w:val="22"/>
        </w:rPr>
      </w:pPr>
    </w:p>
    <w:p w14:paraId="334A10F7" w14:textId="77777777" w:rsidR="0018708C" w:rsidRPr="00F778AF" w:rsidRDefault="0018708C" w:rsidP="0018708C">
      <w:pPr>
        <w:pStyle w:val="Pagrindinistekstas"/>
        <w:spacing w:after="0"/>
        <w:rPr>
          <w:szCs w:val="22"/>
        </w:rPr>
      </w:pPr>
    </w:p>
    <w:p w14:paraId="3B79A208" w14:textId="77777777" w:rsidR="0018708C" w:rsidRPr="00F778AF" w:rsidRDefault="0018708C" w:rsidP="0018708C">
      <w:pPr>
        <w:pStyle w:val="Antrat2"/>
      </w:pPr>
      <w:r w:rsidRPr="00F778AF">
        <w:rPr>
          <w:caps/>
        </w:rPr>
        <w:t>4.</w:t>
      </w:r>
      <w:r w:rsidRPr="00F778AF">
        <w:rPr>
          <w:caps/>
        </w:rPr>
        <w:tab/>
      </w:r>
      <w:r w:rsidRPr="00F778AF">
        <w:t>KLINIKINĖ INFORMACIJA</w:t>
      </w:r>
    </w:p>
    <w:p w14:paraId="4449DFA1" w14:textId="77777777" w:rsidR="0018708C" w:rsidRPr="00F778AF" w:rsidRDefault="0018708C" w:rsidP="0018708C">
      <w:pPr>
        <w:pStyle w:val="Pagrindinistekstas"/>
        <w:spacing w:after="0"/>
        <w:rPr>
          <w:szCs w:val="22"/>
        </w:rPr>
      </w:pPr>
    </w:p>
    <w:p w14:paraId="6114EB58" w14:textId="77777777" w:rsidR="0018708C" w:rsidRPr="00F778AF" w:rsidRDefault="0018708C" w:rsidP="0018708C">
      <w:pPr>
        <w:pStyle w:val="Antrat3"/>
      </w:pPr>
      <w:r w:rsidRPr="00F778AF">
        <w:t>4.1</w:t>
      </w:r>
      <w:r w:rsidRPr="00F778AF">
        <w:tab/>
        <w:t>Terapinės indikacijos</w:t>
      </w:r>
    </w:p>
    <w:p w14:paraId="7A957039" w14:textId="77777777" w:rsidR="0018708C" w:rsidRPr="00F778AF" w:rsidRDefault="0018708C" w:rsidP="0018708C">
      <w:pPr>
        <w:pStyle w:val="Pagrindinistekstas"/>
        <w:spacing w:after="0"/>
        <w:rPr>
          <w:szCs w:val="22"/>
        </w:rPr>
      </w:pPr>
    </w:p>
    <w:p w14:paraId="51FF3211" w14:textId="77777777" w:rsidR="0018708C" w:rsidRPr="00F778AF" w:rsidRDefault="0018708C" w:rsidP="0018708C">
      <w:pPr>
        <w:rPr>
          <w:b w:val="0"/>
          <w:sz w:val="22"/>
          <w:szCs w:val="22"/>
        </w:rPr>
      </w:pPr>
      <w:r w:rsidRPr="00F778AF">
        <w:rPr>
          <w:b w:val="0"/>
          <w:bCs w:val="0"/>
          <w:sz w:val="22"/>
          <w:szCs w:val="22"/>
        </w:rPr>
        <w:t>Krūtinės anginos priepuolių profilaktika.</w:t>
      </w:r>
    </w:p>
    <w:p w14:paraId="46309DA7" w14:textId="77777777" w:rsidR="0018708C" w:rsidRPr="00F778AF" w:rsidRDefault="0018708C" w:rsidP="0018708C">
      <w:pPr>
        <w:pStyle w:val="Pagrindinistekstas"/>
        <w:spacing w:after="0"/>
        <w:rPr>
          <w:szCs w:val="22"/>
        </w:rPr>
      </w:pPr>
    </w:p>
    <w:p w14:paraId="521CE396" w14:textId="77777777" w:rsidR="0018708C" w:rsidRPr="00F778AF" w:rsidRDefault="0018708C" w:rsidP="0018708C">
      <w:pPr>
        <w:pStyle w:val="Antrat3"/>
      </w:pPr>
      <w:r w:rsidRPr="00F778AF">
        <w:t>4.2</w:t>
      </w:r>
      <w:r w:rsidRPr="00F778AF">
        <w:tab/>
        <w:t>Dozavimas ir vartojimo metodas</w:t>
      </w:r>
    </w:p>
    <w:p w14:paraId="3953DC1E" w14:textId="77777777" w:rsidR="0018708C" w:rsidRPr="00F778AF" w:rsidRDefault="0018708C" w:rsidP="0018708C">
      <w:pPr>
        <w:pStyle w:val="Pagrindinistekstas"/>
        <w:spacing w:after="0"/>
        <w:rPr>
          <w:szCs w:val="22"/>
        </w:rPr>
      </w:pPr>
    </w:p>
    <w:p w14:paraId="61303094" w14:textId="77777777" w:rsidR="0018708C" w:rsidRPr="00F778AF" w:rsidRDefault="0018708C" w:rsidP="0018708C">
      <w:pPr>
        <w:pStyle w:val="Pagrindinistekstas"/>
        <w:spacing w:after="0"/>
        <w:rPr>
          <w:szCs w:val="22"/>
          <w:u w:val="single"/>
        </w:rPr>
      </w:pPr>
      <w:r w:rsidRPr="00F778AF">
        <w:rPr>
          <w:szCs w:val="22"/>
          <w:u w:val="single"/>
        </w:rPr>
        <w:t>Dozavimas</w:t>
      </w:r>
    </w:p>
    <w:p w14:paraId="10C49B20" w14:textId="77777777" w:rsidR="0018708C" w:rsidRPr="00F778AF" w:rsidRDefault="0018708C" w:rsidP="0018708C">
      <w:pPr>
        <w:pStyle w:val="Pagrindinistekstas"/>
        <w:spacing w:after="0"/>
        <w:rPr>
          <w:szCs w:val="22"/>
        </w:rPr>
      </w:pPr>
    </w:p>
    <w:p w14:paraId="617FC9AE" w14:textId="77777777" w:rsidR="0018708C" w:rsidRPr="00F778AF" w:rsidRDefault="0018708C" w:rsidP="0018708C">
      <w:pPr>
        <w:pStyle w:val="Pagrindinistekstas"/>
        <w:spacing w:after="0"/>
        <w:rPr>
          <w:szCs w:val="22"/>
        </w:rPr>
      </w:pPr>
      <w:r w:rsidRPr="00F778AF">
        <w:rPr>
          <w:szCs w:val="22"/>
        </w:rPr>
        <w:t>Geriama 60 mg 1 kartą per parą (rytą). Dozę galima padidinti iki 120 mg 1 kartą per parą (rytą). No</w:t>
      </w:r>
      <w:r w:rsidRPr="00F778AF">
        <w:rPr>
          <w:szCs w:val="22"/>
        </w:rPr>
        <w:softHyphen/>
        <w:t>rint sumažinti galvos skausmo tikimybę gydymo pradžioje, pirmąsias 2-4 paras galima vartoti po 30 mg. Tabletes galima gerti valgant arba ne valgio metu.</w:t>
      </w:r>
    </w:p>
    <w:p w14:paraId="7E68F4BE" w14:textId="77777777" w:rsidR="0018708C" w:rsidRPr="00F778AF" w:rsidRDefault="0018708C" w:rsidP="0018708C">
      <w:pPr>
        <w:pStyle w:val="Pagrindinistekstas"/>
        <w:spacing w:after="0"/>
        <w:rPr>
          <w:szCs w:val="22"/>
        </w:rPr>
      </w:pPr>
    </w:p>
    <w:p w14:paraId="1B8229BE" w14:textId="77777777" w:rsidR="0018708C" w:rsidRPr="00F778AF" w:rsidRDefault="0018708C" w:rsidP="0018708C">
      <w:pPr>
        <w:rPr>
          <w:b w:val="0"/>
          <w:bCs w:val="0"/>
          <w:i/>
          <w:sz w:val="22"/>
          <w:szCs w:val="22"/>
        </w:rPr>
      </w:pPr>
      <w:r w:rsidRPr="00F778AF">
        <w:rPr>
          <w:b w:val="0"/>
          <w:bCs w:val="0"/>
          <w:i/>
          <w:iCs/>
          <w:snapToGrid w:val="0"/>
          <w:color w:val="000000"/>
          <w:sz w:val="22"/>
          <w:szCs w:val="22"/>
        </w:rPr>
        <w:t>Pacientams, kurių inkstų funkcija sutrikusi</w:t>
      </w:r>
      <w:r w:rsidRPr="00F778AF">
        <w:rPr>
          <w:b w:val="0"/>
          <w:bCs w:val="0"/>
          <w:i/>
          <w:sz w:val="22"/>
          <w:szCs w:val="22"/>
        </w:rPr>
        <w:t xml:space="preserve"> </w:t>
      </w:r>
    </w:p>
    <w:p w14:paraId="6B88164B" w14:textId="77777777" w:rsidR="0018708C" w:rsidRPr="00F778AF" w:rsidRDefault="0018708C" w:rsidP="0018708C">
      <w:pPr>
        <w:rPr>
          <w:b w:val="0"/>
          <w:sz w:val="22"/>
          <w:szCs w:val="22"/>
        </w:rPr>
      </w:pPr>
      <w:r w:rsidRPr="00F778AF">
        <w:rPr>
          <w:b w:val="0"/>
          <w:color w:val="222222"/>
          <w:sz w:val="22"/>
          <w:szCs w:val="22"/>
        </w:rPr>
        <w:t>Pacientams, kurių inkstų funkcija sutrikusi, dozės koreguoti nereikia.</w:t>
      </w:r>
    </w:p>
    <w:p w14:paraId="5ECC24E5" w14:textId="77777777" w:rsidR="0018708C" w:rsidRPr="00F778AF" w:rsidRDefault="0018708C" w:rsidP="0018708C">
      <w:pPr>
        <w:pStyle w:val="Pagrindinistekstas"/>
        <w:spacing w:after="0"/>
        <w:rPr>
          <w:bCs/>
          <w:szCs w:val="22"/>
          <w:lang w:eastAsia="lt-LT"/>
        </w:rPr>
      </w:pPr>
    </w:p>
    <w:p w14:paraId="58B04386" w14:textId="77777777" w:rsidR="0018708C" w:rsidRPr="00F778AF" w:rsidRDefault="0018708C" w:rsidP="0018708C">
      <w:pPr>
        <w:rPr>
          <w:b w:val="0"/>
          <w:bCs w:val="0"/>
          <w:sz w:val="22"/>
          <w:szCs w:val="22"/>
        </w:rPr>
      </w:pPr>
      <w:r w:rsidRPr="00F778AF">
        <w:rPr>
          <w:b w:val="0"/>
          <w:bCs w:val="0"/>
          <w:i/>
          <w:iCs/>
          <w:snapToGrid w:val="0"/>
          <w:color w:val="000000"/>
          <w:sz w:val="22"/>
          <w:szCs w:val="22"/>
        </w:rPr>
        <w:t>Pacientams, kurių kepenų funkcija sutrikusi</w:t>
      </w:r>
      <w:r w:rsidRPr="00F778AF">
        <w:rPr>
          <w:b w:val="0"/>
          <w:bCs w:val="0"/>
          <w:i/>
          <w:sz w:val="22"/>
          <w:szCs w:val="22"/>
        </w:rPr>
        <w:t xml:space="preserve"> </w:t>
      </w:r>
    </w:p>
    <w:p w14:paraId="7D1B5FD1" w14:textId="77777777" w:rsidR="0018708C" w:rsidRPr="00F778AF" w:rsidRDefault="0018708C" w:rsidP="0018708C">
      <w:pPr>
        <w:autoSpaceDE w:val="0"/>
        <w:autoSpaceDN w:val="0"/>
        <w:adjustRightInd w:val="0"/>
        <w:rPr>
          <w:bCs w:val="0"/>
          <w:sz w:val="22"/>
          <w:szCs w:val="22"/>
          <w:lang w:eastAsia="lt-LT"/>
        </w:rPr>
      </w:pPr>
      <w:r w:rsidRPr="00F778AF">
        <w:rPr>
          <w:b w:val="0"/>
          <w:bCs w:val="0"/>
          <w:sz w:val="22"/>
          <w:szCs w:val="22"/>
          <w:lang w:eastAsia="lt-LT"/>
        </w:rPr>
        <w:t>Pacientams, kurių kepenų funkcija sunkiai sutrikusi, negalima vartoti daugiau kaip 60 mg 1 kartą per parą.</w:t>
      </w:r>
    </w:p>
    <w:p w14:paraId="1E37C399" w14:textId="77777777" w:rsidR="0018708C" w:rsidRPr="00F778AF" w:rsidRDefault="0018708C" w:rsidP="0018708C">
      <w:pPr>
        <w:pStyle w:val="Pagrindinistekstas"/>
        <w:spacing w:after="0"/>
        <w:rPr>
          <w:bCs/>
          <w:szCs w:val="22"/>
          <w:lang w:eastAsia="lt-LT"/>
        </w:rPr>
      </w:pPr>
    </w:p>
    <w:p w14:paraId="5C5782FF" w14:textId="77777777" w:rsidR="0018708C" w:rsidRPr="00F778AF" w:rsidRDefault="0018708C" w:rsidP="0018708C">
      <w:pPr>
        <w:rPr>
          <w:b w:val="0"/>
          <w:bCs w:val="0"/>
          <w:sz w:val="22"/>
          <w:szCs w:val="22"/>
        </w:rPr>
      </w:pPr>
      <w:r w:rsidRPr="00F778AF">
        <w:rPr>
          <w:b w:val="0"/>
          <w:bCs w:val="0"/>
          <w:i/>
          <w:sz w:val="22"/>
          <w:szCs w:val="22"/>
        </w:rPr>
        <w:t>Senyviems žmonėms</w:t>
      </w:r>
    </w:p>
    <w:p w14:paraId="2449563E" w14:textId="77777777" w:rsidR="0018708C" w:rsidRPr="00F778AF" w:rsidRDefault="0018708C" w:rsidP="0018708C">
      <w:pPr>
        <w:autoSpaceDE w:val="0"/>
        <w:autoSpaceDN w:val="0"/>
        <w:adjustRightInd w:val="0"/>
        <w:rPr>
          <w:bCs w:val="0"/>
          <w:sz w:val="22"/>
          <w:szCs w:val="22"/>
          <w:lang w:eastAsia="lt-LT"/>
        </w:rPr>
      </w:pPr>
      <w:r w:rsidRPr="00F778AF">
        <w:rPr>
          <w:b w:val="0"/>
          <w:bCs w:val="0"/>
          <w:sz w:val="22"/>
          <w:szCs w:val="22"/>
          <w:lang w:eastAsia="lt-LT"/>
        </w:rPr>
        <w:t>Senyviems pacientams koreguoti Imdur dozės dažniausiai nereikia, tačiau gali būti tikslinga ją didinti palaipsniui, t.y. pirmomis dienomis vartoti pusę tabletės 1 kartą per parą.</w:t>
      </w:r>
    </w:p>
    <w:p w14:paraId="2C7E47B1" w14:textId="77777777" w:rsidR="0018708C" w:rsidRPr="00F778AF" w:rsidRDefault="0018708C" w:rsidP="0018708C">
      <w:pPr>
        <w:pStyle w:val="Pagrindinistekstas"/>
        <w:spacing w:after="0"/>
        <w:rPr>
          <w:szCs w:val="22"/>
        </w:rPr>
      </w:pPr>
    </w:p>
    <w:p w14:paraId="03910980" w14:textId="77777777" w:rsidR="0018708C" w:rsidRPr="00F778AF" w:rsidRDefault="0018708C" w:rsidP="0018708C">
      <w:pPr>
        <w:rPr>
          <w:b w:val="0"/>
          <w:bCs w:val="0"/>
          <w:i/>
          <w:iCs/>
          <w:sz w:val="22"/>
          <w:szCs w:val="22"/>
        </w:rPr>
      </w:pPr>
      <w:r w:rsidRPr="00F778AF">
        <w:rPr>
          <w:b w:val="0"/>
          <w:bCs w:val="0"/>
          <w:i/>
          <w:iCs/>
          <w:sz w:val="22"/>
          <w:szCs w:val="22"/>
        </w:rPr>
        <w:t>Vaikų populiacija</w:t>
      </w:r>
    </w:p>
    <w:p w14:paraId="6E262FD1" w14:textId="77777777" w:rsidR="0018708C" w:rsidRPr="00F778AF" w:rsidRDefault="0018708C" w:rsidP="0018708C">
      <w:pPr>
        <w:autoSpaceDE w:val="0"/>
        <w:autoSpaceDN w:val="0"/>
        <w:adjustRightInd w:val="0"/>
        <w:rPr>
          <w:b w:val="0"/>
          <w:bCs w:val="0"/>
          <w:sz w:val="22"/>
          <w:szCs w:val="22"/>
          <w:lang w:eastAsia="lt-LT"/>
        </w:rPr>
      </w:pPr>
      <w:r w:rsidRPr="00F778AF">
        <w:rPr>
          <w:b w:val="0"/>
          <w:bCs w:val="0"/>
          <w:sz w:val="22"/>
          <w:szCs w:val="22"/>
          <w:lang w:eastAsia="lt-LT"/>
        </w:rPr>
        <w:t>Vaikams nebūna krūtinės anginos priepuolių dėl nuolatinio subepikardinių vainikinių arterijų susiaurėjimo, todėl jiems Imdur vartoti negalima.</w:t>
      </w:r>
    </w:p>
    <w:p w14:paraId="4A05473B" w14:textId="77777777" w:rsidR="0018708C" w:rsidRPr="00F778AF" w:rsidRDefault="0018708C" w:rsidP="0018708C">
      <w:pPr>
        <w:autoSpaceDE w:val="0"/>
        <w:autoSpaceDN w:val="0"/>
        <w:adjustRightInd w:val="0"/>
        <w:rPr>
          <w:sz w:val="22"/>
          <w:szCs w:val="22"/>
        </w:rPr>
      </w:pPr>
    </w:p>
    <w:p w14:paraId="478A8843" w14:textId="77777777" w:rsidR="0018708C" w:rsidRPr="00F778AF" w:rsidRDefault="0018708C" w:rsidP="0018708C">
      <w:pPr>
        <w:pStyle w:val="Pagrindinistekstas"/>
        <w:spacing w:after="0"/>
        <w:rPr>
          <w:szCs w:val="22"/>
          <w:u w:val="single"/>
        </w:rPr>
      </w:pPr>
      <w:r w:rsidRPr="00F778AF">
        <w:rPr>
          <w:szCs w:val="22"/>
          <w:u w:val="single"/>
        </w:rPr>
        <w:t>Vartojimo metodas</w:t>
      </w:r>
    </w:p>
    <w:p w14:paraId="289A4669" w14:textId="77777777" w:rsidR="0018708C" w:rsidRPr="00F778AF" w:rsidRDefault="0018708C" w:rsidP="0018708C">
      <w:pPr>
        <w:pStyle w:val="Pagrindinistekstas"/>
        <w:spacing w:after="0"/>
        <w:rPr>
          <w:szCs w:val="22"/>
        </w:rPr>
      </w:pPr>
    </w:p>
    <w:p w14:paraId="418BFC57" w14:textId="77777777" w:rsidR="0018708C" w:rsidRPr="00F778AF" w:rsidRDefault="0018708C" w:rsidP="0018708C">
      <w:pPr>
        <w:pStyle w:val="Pagrindinistekstas"/>
        <w:spacing w:after="0"/>
        <w:rPr>
          <w:szCs w:val="22"/>
        </w:rPr>
      </w:pPr>
      <w:r w:rsidRPr="00F778AF">
        <w:rPr>
          <w:szCs w:val="22"/>
        </w:rPr>
        <w:t>Tabletė turi vagelę, todėl ją galima padalyti. Tabletės ar jos pusės negalima kramtyti ar traiškyti (reikia nuryti užgeriant puse stiklinės skysčio). Krūtinės anginos priepuoliui nutraukti Imdur netinka (varto</w:t>
      </w:r>
      <w:r w:rsidRPr="00F778AF">
        <w:rPr>
          <w:szCs w:val="22"/>
        </w:rPr>
        <w:softHyphen/>
        <w:t>jamos poliežuvinės ar žandinės nitroglicerino tabletės arba purškalai).</w:t>
      </w:r>
    </w:p>
    <w:p w14:paraId="325C7969" w14:textId="77777777" w:rsidR="0018708C" w:rsidRPr="00F778AF" w:rsidRDefault="0018708C" w:rsidP="0018708C">
      <w:pPr>
        <w:pStyle w:val="Pagrindinistekstas"/>
        <w:spacing w:after="0"/>
        <w:rPr>
          <w:szCs w:val="22"/>
        </w:rPr>
      </w:pPr>
    </w:p>
    <w:p w14:paraId="20AA88E3" w14:textId="77777777" w:rsidR="0018708C" w:rsidRPr="00F778AF" w:rsidRDefault="0018708C" w:rsidP="0018708C">
      <w:pPr>
        <w:pStyle w:val="Pagrindinistekstas"/>
        <w:spacing w:after="0"/>
        <w:rPr>
          <w:szCs w:val="22"/>
        </w:rPr>
      </w:pPr>
      <w:r w:rsidRPr="00F778AF">
        <w:rPr>
          <w:szCs w:val="22"/>
        </w:rPr>
        <w:lastRenderedPageBreak/>
        <w:t>Tabletės matrica yra netirpi, tačiau ji suyra atsipalaiduojant veikliajai medžiagai. Kartais matrica gali nesuirusi praeiti virškinimo traktą ir matytis išmatose, tačiau vaisto poveikio susilpnėjimo tai nerodo.</w:t>
      </w:r>
    </w:p>
    <w:p w14:paraId="49523AD7" w14:textId="77777777" w:rsidR="0018708C" w:rsidRPr="00F778AF" w:rsidRDefault="0018708C" w:rsidP="0018708C">
      <w:pPr>
        <w:pStyle w:val="Pagrindinistekstas"/>
        <w:spacing w:after="0"/>
        <w:rPr>
          <w:szCs w:val="22"/>
        </w:rPr>
      </w:pPr>
    </w:p>
    <w:p w14:paraId="72A823CB" w14:textId="77777777" w:rsidR="0018708C" w:rsidRPr="00F778AF" w:rsidRDefault="0018708C" w:rsidP="0018708C">
      <w:pPr>
        <w:pStyle w:val="Antrat3"/>
      </w:pPr>
      <w:r w:rsidRPr="00F778AF">
        <w:t>4.3</w:t>
      </w:r>
      <w:r w:rsidRPr="00F778AF">
        <w:tab/>
        <w:t>Kontraindikacijos</w:t>
      </w:r>
    </w:p>
    <w:p w14:paraId="37720CD8" w14:textId="77777777" w:rsidR="0018708C" w:rsidRPr="00F778AF" w:rsidRDefault="0018708C" w:rsidP="0018708C">
      <w:pPr>
        <w:pStyle w:val="Pagrindinistekstas"/>
        <w:spacing w:after="0"/>
        <w:rPr>
          <w:szCs w:val="22"/>
        </w:rPr>
      </w:pPr>
    </w:p>
    <w:p w14:paraId="2D639C1A" w14:textId="77777777" w:rsidR="0018708C" w:rsidRPr="00F778AF" w:rsidRDefault="0018708C" w:rsidP="0018708C">
      <w:pPr>
        <w:pStyle w:val="Pagrindinistekstas"/>
        <w:spacing w:after="0"/>
        <w:rPr>
          <w:szCs w:val="22"/>
        </w:rPr>
      </w:pPr>
      <w:r w:rsidRPr="00F778AF">
        <w:rPr>
          <w:szCs w:val="22"/>
        </w:rPr>
        <w:t>Padidėjęs jautrumas veikliajai arba kuriai nors pagalbinei medžiagai. Ūminis kraujotakos nepakankamumas (šokas, kolapsas). Sunki hipotenzija. Konstrikcinė kardiomiopatija. Konstrikcinis perikarditas. Širdies tamponada.</w:t>
      </w:r>
    </w:p>
    <w:p w14:paraId="61685EEB" w14:textId="77777777" w:rsidR="0018708C" w:rsidRPr="00F778AF" w:rsidRDefault="0018708C" w:rsidP="0018708C">
      <w:pPr>
        <w:pStyle w:val="Pagrindinistekstas"/>
        <w:spacing w:after="0"/>
        <w:rPr>
          <w:szCs w:val="22"/>
        </w:rPr>
      </w:pPr>
    </w:p>
    <w:p w14:paraId="7C0E5687" w14:textId="77777777" w:rsidR="0018708C" w:rsidRPr="00F778AF" w:rsidRDefault="0018708C" w:rsidP="0018708C">
      <w:pPr>
        <w:tabs>
          <w:tab w:val="left" w:pos="567"/>
        </w:tabs>
        <w:rPr>
          <w:b w:val="0"/>
          <w:sz w:val="22"/>
          <w:szCs w:val="22"/>
        </w:rPr>
      </w:pPr>
      <w:r w:rsidRPr="00F778AF">
        <w:rPr>
          <w:b w:val="0"/>
          <w:sz w:val="22"/>
          <w:szCs w:val="22"/>
        </w:rPr>
        <w:t>Vartojimas kartu su fosfodiesterazės-5 inhibitoriais (pvz., sildenafiliu, tadalafiliu, vardenafiliu) (žr. 4.5 skyrių „Sąveika su kitais vaistiniais preparatais ir kitokia sąveika“).</w:t>
      </w:r>
    </w:p>
    <w:p w14:paraId="4D1A6E3B" w14:textId="77777777" w:rsidR="0018708C" w:rsidRPr="00F778AF" w:rsidRDefault="0018708C" w:rsidP="0018708C">
      <w:pPr>
        <w:pStyle w:val="Pagrindinistekstas"/>
        <w:spacing w:after="0"/>
        <w:rPr>
          <w:szCs w:val="22"/>
        </w:rPr>
      </w:pPr>
    </w:p>
    <w:p w14:paraId="0A03AA93" w14:textId="77777777" w:rsidR="0018708C" w:rsidRPr="00F778AF" w:rsidRDefault="0018708C" w:rsidP="0018708C">
      <w:pPr>
        <w:pStyle w:val="Antrat3"/>
      </w:pPr>
      <w:r w:rsidRPr="00F778AF">
        <w:t>4.4</w:t>
      </w:r>
      <w:r w:rsidRPr="00F778AF">
        <w:tab/>
        <w:t>Specialūs įspėjimai ir atsargumo priemonės</w:t>
      </w:r>
    </w:p>
    <w:p w14:paraId="49B37469" w14:textId="77777777" w:rsidR="0018708C" w:rsidRPr="00F778AF" w:rsidRDefault="0018708C" w:rsidP="0018708C">
      <w:pPr>
        <w:pStyle w:val="Pagrindinistekstas"/>
        <w:spacing w:after="0"/>
        <w:rPr>
          <w:szCs w:val="22"/>
        </w:rPr>
      </w:pPr>
    </w:p>
    <w:p w14:paraId="0485C407" w14:textId="77777777" w:rsidR="0018708C" w:rsidRPr="00F778AF" w:rsidRDefault="0018708C" w:rsidP="0018708C">
      <w:pPr>
        <w:pStyle w:val="Pagrindinistekstas"/>
        <w:spacing w:after="0"/>
        <w:rPr>
          <w:szCs w:val="22"/>
        </w:rPr>
      </w:pPr>
      <w:r w:rsidRPr="00F778AF">
        <w:rPr>
          <w:szCs w:val="22"/>
        </w:rPr>
        <w:t>Jei yra sunki smegenų arteriosklerozė arba hipotenzija, šio vaisto skiriama atsargiai.</w:t>
      </w:r>
    </w:p>
    <w:p w14:paraId="1ABDF8E4" w14:textId="77777777" w:rsidR="0018708C" w:rsidRPr="00F778AF" w:rsidRDefault="0018708C" w:rsidP="0018708C">
      <w:pPr>
        <w:pStyle w:val="Pagrindinistekstas"/>
        <w:spacing w:after="0"/>
        <w:rPr>
          <w:szCs w:val="22"/>
        </w:rPr>
      </w:pPr>
    </w:p>
    <w:p w14:paraId="05020D16" w14:textId="77777777" w:rsidR="0018708C" w:rsidRPr="00F778AF" w:rsidRDefault="0018708C" w:rsidP="0018708C">
      <w:pPr>
        <w:pStyle w:val="Antrat3"/>
      </w:pPr>
      <w:r w:rsidRPr="00F778AF">
        <w:t>4.5</w:t>
      </w:r>
      <w:r w:rsidRPr="00F778AF">
        <w:tab/>
        <w:t>Sąveika su kitais vaistiniais preparatais ir kitokia sąveika</w:t>
      </w:r>
    </w:p>
    <w:p w14:paraId="3ABCB8B2" w14:textId="77777777" w:rsidR="0018708C" w:rsidRPr="00F778AF" w:rsidRDefault="0018708C" w:rsidP="0018708C">
      <w:pPr>
        <w:pStyle w:val="Pagrindinistekstas"/>
        <w:spacing w:after="0"/>
        <w:rPr>
          <w:szCs w:val="22"/>
        </w:rPr>
      </w:pPr>
    </w:p>
    <w:p w14:paraId="750644E0" w14:textId="77777777" w:rsidR="0018708C" w:rsidRPr="00F778AF" w:rsidRDefault="0018708C" w:rsidP="0018708C">
      <w:pPr>
        <w:pStyle w:val="Pagrindinistekstas"/>
        <w:spacing w:after="0"/>
        <w:rPr>
          <w:szCs w:val="22"/>
        </w:rPr>
      </w:pPr>
      <w:r w:rsidRPr="00F778AF">
        <w:rPr>
          <w:szCs w:val="22"/>
        </w:rPr>
        <w:t>Kartu vartojami fosfodiesterazės-5 inhibitoriai gali sustiprinti kraujagysles plečiantį Imdur poveikį, to</w:t>
      </w:r>
      <w:r w:rsidRPr="00F778AF">
        <w:rPr>
          <w:szCs w:val="22"/>
        </w:rPr>
        <w:softHyphen/>
        <w:t>dėl gali pasireikšti sunkus nepageidaujamas poveikis (sinkopė, miokardo infarktas). Dėl to Imdur vartojantiems pacientams fosfodiesterazės-5 inhibitorių skirti negalima.</w:t>
      </w:r>
    </w:p>
    <w:p w14:paraId="0C8D38C5" w14:textId="77777777" w:rsidR="0018708C" w:rsidRPr="00F778AF" w:rsidRDefault="0018708C" w:rsidP="0018708C">
      <w:pPr>
        <w:pStyle w:val="Pagrindinistekstas"/>
        <w:spacing w:after="0"/>
        <w:rPr>
          <w:szCs w:val="22"/>
        </w:rPr>
      </w:pPr>
    </w:p>
    <w:p w14:paraId="20C7868E" w14:textId="77777777" w:rsidR="0018708C" w:rsidRPr="00F778AF" w:rsidRDefault="0018708C" w:rsidP="0018708C">
      <w:pPr>
        <w:pStyle w:val="Pagrindinistekstas"/>
        <w:spacing w:after="0"/>
        <w:rPr>
          <w:szCs w:val="22"/>
        </w:rPr>
      </w:pPr>
      <w:r w:rsidRPr="00F778AF">
        <w:rPr>
          <w:szCs w:val="22"/>
        </w:rPr>
        <w:t>Maisto poveikis Imdur rezorbcijai kliniškai nereikšmingas.</w:t>
      </w:r>
    </w:p>
    <w:p w14:paraId="2181B6C7" w14:textId="77777777" w:rsidR="0018708C" w:rsidRPr="00F778AF" w:rsidRDefault="0018708C" w:rsidP="0018708C">
      <w:pPr>
        <w:pStyle w:val="Pagrindinistekstas"/>
        <w:spacing w:after="0"/>
        <w:rPr>
          <w:szCs w:val="22"/>
        </w:rPr>
      </w:pPr>
    </w:p>
    <w:p w14:paraId="084DA4D2" w14:textId="77777777" w:rsidR="0018708C" w:rsidRPr="00F778AF" w:rsidRDefault="0018708C" w:rsidP="0018708C">
      <w:pPr>
        <w:pStyle w:val="Antrat3"/>
      </w:pPr>
      <w:r w:rsidRPr="00F778AF">
        <w:t>4.6</w:t>
      </w:r>
      <w:r w:rsidRPr="00F778AF">
        <w:tab/>
        <w:t>Vaisingumas, nėštumo ir žindymo laikotarpis</w:t>
      </w:r>
    </w:p>
    <w:p w14:paraId="25B8CC6E" w14:textId="77777777" w:rsidR="0018708C" w:rsidRPr="00F778AF" w:rsidRDefault="0018708C" w:rsidP="0018708C">
      <w:pPr>
        <w:pStyle w:val="Pagrindinistekstas"/>
        <w:spacing w:after="0"/>
        <w:rPr>
          <w:szCs w:val="22"/>
        </w:rPr>
      </w:pPr>
    </w:p>
    <w:p w14:paraId="3D875E05" w14:textId="77777777" w:rsidR="0018708C" w:rsidRPr="00F778AF" w:rsidRDefault="0018708C" w:rsidP="0018708C">
      <w:pPr>
        <w:rPr>
          <w:rStyle w:val="longtext1"/>
          <w:b w:val="0"/>
          <w:sz w:val="22"/>
          <w:szCs w:val="22"/>
          <w:u w:val="single"/>
          <w:shd w:val="clear" w:color="auto" w:fill="FFFFFF"/>
        </w:rPr>
      </w:pPr>
      <w:r w:rsidRPr="00F778AF">
        <w:rPr>
          <w:rStyle w:val="longtext1"/>
          <w:b w:val="0"/>
          <w:sz w:val="22"/>
          <w:szCs w:val="22"/>
          <w:u w:val="single"/>
          <w:shd w:val="clear" w:color="auto" w:fill="FFFFFF"/>
        </w:rPr>
        <w:t>Nėštumas</w:t>
      </w:r>
    </w:p>
    <w:p w14:paraId="0D2EB94A" w14:textId="77777777" w:rsidR="0018708C" w:rsidRPr="00F778AF" w:rsidRDefault="0018708C" w:rsidP="0018708C">
      <w:pPr>
        <w:autoSpaceDE w:val="0"/>
        <w:autoSpaceDN w:val="0"/>
        <w:adjustRightInd w:val="0"/>
        <w:rPr>
          <w:rStyle w:val="longtext1"/>
          <w:sz w:val="22"/>
          <w:szCs w:val="22"/>
          <w:shd w:val="clear" w:color="auto" w:fill="FFFFFF"/>
        </w:rPr>
      </w:pPr>
      <w:r w:rsidRPr="00F778AF">
        <w:rPr>
          <w:b w:val="0"/>
          <w:bCs w:val="0"/>
          <w:iCs/>
          <w:sz w:val="22"/>
          <w:szCs w:val="22"/>
          <w:lang w:eastAsia="lt-LT"/>
        </w:rPr>
        <w:t>Imdur vartojimo nėštumo laikotarpiu saugumas ir veiksmingumas neištirti. Dėl to nėščių moterų stabilios krūtinės anginos priepuolių profilaktikai Imdur neskiriama.</w:t>
      </w:r>
    </w:p>
    <w:p w14:paraId="54870CB2" w14:textId="77777777" w:rsidR="0018708C" w:rsidRPr="00F778AF" w:rsidRDefault="0018708C" w:rsidP="0018708C">
      <w:pPr>
        <w:rPr>
          <w:rStyle w:val="longtext1"/>
          <w:sz w:val="22"/>
          <w:szCs w:val="22"/>
          <w:shd w:val="clear" w:color="auto" w:fill="FFFFFF"/>
        </w:rPr>
      </w:pPr>
    </w:p>
    <w:p w14:paraId="5BFEE713" w14:textId="77777777" w:rsidR="0018708C" w:rsidRPr="00F778AF" w:rsidRDefault="0018708C" w:rsidP="0018708C">
      <w:pPr>
        <w:tabs>
          <w:tab w:val="num" w:pos="315"/>
        </w:tabs>
        <w:rPr>
          <w:rStyle w:val="longtext1"/>
          <w:b w:val="0"/>
          <w:sz w:val="22"/>
          <w:szCs w:val="22"/>
          <w:u w:val="single"/>
        </w:rPr>
      </w:pPr>
      <w:r w:rsidRPr="00F778AF">
        <w:rPr>
          <w:rStyle w:val="longtext1"/>
          <w:b w:val="0"/>
          <w:sz w:val="22"/>
          <w:szCs w:val="22"/>
          <w:u w:val="single"/>
        </w:rPr>
        <w:t>Žindymas</w:t>
      </w:r>
    </w:p>
    <w:p w14:paraId="5CF398A5" w14:textId="77777777" w:rsidR="0018708C" w:rsidRPr="00F778AF" w:rsidRDefault="0018708C" w:rsidP="0018708C">
      <w:pPr>
        <w:autoSpaceDE w:val="0"/>
        <w:autoSpaceDN w:val="0"/>
        <w:adjustRightInd w:val="0"/>
        <w:rPr>
          <w:bCs w:val="0"/>
          <w:sz w:val="22"/>
          <w:szCs w:val="22"/>
        </w:rPr>
      </w:pPr>
      <w:r w:rsidRPr="00F778AF">
        <w:rPr>
          <w:b w:val="0"/>
          <w:sz w:val="22"/>
          <w:szCs w:val="22"/>
        </w:rPr>
        <w:t>Duomenų apie izosorbido mononitrato išsiskyrimą su moters pienu nėra.</w:t>
      </w:r>
      <w:r w:rsidRPr="00F778AF">
        <w:rPr>
          <w:b w:val="0"/>
          <w:bCs w:val="0"/>
          <w:i/>
          <w:iCs/>
          <w:sz w:val="22"/>
          <w:szCs w:val="22"/>
          <w:lang w:eastAsia="lt-LT"/>
        </w:rPr>
        <w:t xml:space="preserve"> </w:t>
      </w:r>
      <w:r w:rsidRPr="00F778AF">
        <w:rPr>
          <w:b w:val="0"/>
          <w:bCs w:val="0"/>
          <w:iCs/>
          <w:sz w:val="22"/>
          <w:szCs w:val="22"/>
          <w:lang w:eastAsia="lt-LT"/>
        </w:rPr>
        <w:t>Dėl to negalima atmesti poveikio žindomam kūdikiui galimybės. Prieš pradedant vartoti Imdur, žindymą reikia nutraukti.</w:t>
      </w:r>
      <w:r w:rsidRPr="00F778AF">
        <w:rPr>
          <w:b w:val="0"/>
          <w:sz w:val="22"/>
          <w:szCs w:val="22"/>
        </w:rPr>
        <w:t xml:space="preserve"> </w:t>
      </w:r>
    </w:p>
    <w:p w14:paraId="0833DC7E" w14:textId="77777777" w:rsidR="0018708C" w:rsidRPr="00F778AF" w:rsidRDefault="0018708C" w:rsidP="0018708C">
      <w:pPr>
        <w:pStyle w:val="Pagrindinistekstas"/>
        <w:spacing w:after="0"/>
        <w:rPr>
          <w:szCs w:val="22"/>
        </w:rPr>
      </w:pPr>
    </w:p>
    <w:p w14:paraId="489E8C7D" w14:textId="77777777" w:rsidR="0018708C" w:rsidRPr="00F778AF" w:rsidRDefault="0018708C" w:rsidP="0018708C">
      <w:pPr>
        <w:pStyle w:val="Antrat3"/>
      </w:pPr>
      <w:r w:rsidRPr="00F778AF">
        <w:t>4.7</w:t>
      </w:r>
      <w:r w:rsidRPr="00F778AF">
        <w:tab/>
        <w:t>Poveikis gebėjimui vairuoti ir valdyti mechanizmus</w:t>
      </w:r>
    </w:p>
    <w:p w14:paraId="05807287" w14:textId="77777777" w:rsidR="0018708C" w:rsidRPr="00F778AF" w:rsidRDefault="0018708C" w:rsidP="0018708C">
      <w:pPr>
        <w:pStyle w:val="Pagrindinistekstas"/>
        <w:spacing w:after="0"/>
        <w:rPr>
          <w:szCs w:val="22"/>
        </w:rPr>
      </w:pPr>
    </w:p>
    <w:p w14:paraId="2BB653BA" w14:textId="77777777" w:rsidR="0018708C" w:rsidRPr="00F778AF" w:rsidRDefault="0018708C" w:rsidP="0018708C">
      <w:pPr>
        <w:pStyle w:val="Pagrindinistekstas"/>
        <w:spacing w:after="0"/>
        <w:rPr>
          <w:szCs w:val="22"/>
        </w:rPr>
      </w:pPr>
      <w:r w:rsidRPr="00F778AF">
        <w:rPr>
          <w:szCs w:val="22"/>
        </w:rPr>
        <w:t>Pradėjus vartoti Imdur, gali svaigti galva. Pacientui reikia patarti, kad, prieš pradėdamas vairuoti ar dirbti su technika, įsitikintų, kad tokio poveikio nejaučia.</w:t>
      </w:r>
    </w:p>
    <w:p w14:paraId="0CB6C045" w14:textId="77777777" w:rsidR="0018708C" w:rsidRPr="00F778AF" w:rsidRDefault="0018708C" w:rsidP="0018708C">
      <w:pPr>
        <w:pStyle w:val="Pagrindinistekstas"/>
        <w:spacing w:after="0"/>
        <w:rPr>
          <w:szCs w:val="22"/>
        </w:rPr>
      </w:pPr>
    </w:p>
    <w:p w14:paraId="59FAC54C" w14:textId="77777777" w:rsidR="0018708C" w:rsidRPr="00F778AF" w:rsidRDefault="0018708C" w:rsidP="0018708C">
      <w:pPr>
        <w:pStyle w:val="Antrat3"/>
      </w:pPr>
      <w:r w:rsidRPr="00F778AF">
        <w:t>4.8</w:t>
      </w:r>
      <w:r w:rsidRPr="00F778AF">
        <w:tab/>
        <w:t>Nepageidaujamas poveikis</w:t>
      </w:r>
    </w:p>
    <w:p w14:paraId="046FD13A" w14:textId="77777777" w:rsidR="0018708C" w:rsidRPr="00F778AF" w:rsidRDefault="0018708C" w:rsidP="0018708C">
      <w:pPr>
        <w:pStyle w:val="Pagrindinistekstas"/>
        <w:spacing w:after="0"/>
        <w:rPr>
          <w:szCs w:val="22"/>
        </w:rPr>
      </w:pPr>
    </w:p>
    <w:p w14:paraId="50BA3EAA" w14:textId="77777777" w:rsidR="0018708C" w:rsidRPr="00F778AF" w:rsidRDefault="0018708C" w:rsidP="0018708C">
      <w:pPr>
        <w:pStyle w:val="Pagrindinistekstas"/>
        <w:spacing w:after="0"/>
        <w:rPr>
          <w:szCs w:val="22"/>
        </w:rPr>
      </w:pPr>
      <w:r w:rsidRPr="00F778AF">
        <w:rPr>
          <w:szCs w:val="22"/>
        </w:rPr>
        <w:t>Dauguma nepageidaujamų reakcijų priklauso nuo farmakodinamikos ir dozės. Pradėjus vartoti Imdur, ga</w:t>
      </w:r>
      <w:r w:rsidRPr="00F778AF">
        <w:rPr>
          <w:szCs w:val="22"/>
        </w:rPr>
        <w:softHyphen/>
        <w:t>li svaigti galva, tačiau šis sutrikimas dažniausiai praeina vaistą vartojant toliau. Aprašyta hipo</w:t>
      </w:r>
      <w:r w:rsidRPr="00F778AF">
        <w:rPr>
          <w:szCs w:val="22"/>
        </w:rPr>
        <w:softHyphen/>
        <w:t>ten</w:t>
      </w:r>
      <w:r w:rsidRPr="00F778AF">
        <w:rPr>
          <w:szCs w:val="22"/>
        </w:rPr>
        <w:softHyphen/>
        <w:t>zi</w:t>
      </w:r>
      <w:r w:rsidRPr="00F778AF">
        <w:rPr>
          <w:szCs w:val="22"/>
        </w:rPr>
        <w:softHyphen/>
        <w:t>jos, sukėlusios galvos svaigimą, pykinimą ir (pavieniais atvejais) sinkopę atvejų. Vaistą vartojant to</w:t>
      </w:r>
      <w:r w:rsidRPr="00F778AF">
        <w:rPr>
          <w:szCs w:val="22"/>
        </w:rPr>
        <w:softHyphen/>
        <w:t>liau, šie sutrikimai dažniausiai paprastai praeina.</w:t>
      </w:r>
    </w:p>
    <w:p w14:paraId="1402DA20" w14:textId="77777777" w:rsidR="0018708C" w:rsidRPr="00F778AF" w:rsidRDefault="0018708C" w:rsidP="0018708C">
      <w:pPr>
        <w:pStyle w:val="Pagrindinistekstas"/>
        <w:spacing w:after="0"/>
        <w:rPr>
          <w:szCs w:val="22"/>
        </w:rPr>
      </w:pPr>
    </w:p>
    <w:p w14:paraId="4C76B359" w14:textId="77777777" w:rsidR="0018708C" w:rsidRPr="00F778AF" w:rsidRDefault="0018708C" w:rsidP="0018708C">
      <w:pPr>
        <w:spacing w:after="120"/>
        <w:rPr>
          <w:b w:val="0"/>
          <w:bCs w:val="0"/>
          <w:sz w:val="22"/>
          <w:szCs w:val="22"/>
        </w:rPr>
      </w:pPr>
      <w:r w:rsidRPr="00F778AF">
        <w:rPr>
          <w:b w:val="0"/>
          <w:bCs w:val="0"/>
          <w:sz w:val="22"/>
          <w:szCs w:val="22"/>
        </w:rPr>
        <w:t xml:space="preserve">Nepageidaujamo poveikio dažnis apibūdinamas taip: labai dažnas </w:t>
      </w:r>
      <w:r w:rsidRPr="00F778AF">
        <w:rPr>
          <w:b w:val="0"/>
          <w:bCs w:val="0"/>
          <w:sz w:val="22"/>
          <w:szCs w:val="22"/>
        </w:rPr>
        <w:sym w:font="Symbol" w:char="F0B3"/>
      </w:r>
      <w:r w:rsidRPr="00F778AF">
        <w:rPr>
          <w:b w:val="0"/>
          <w:bCs w:val="0"/>
          <w:sz w:val="22"/>
          <w:szCs w:val="22"/>
        </w:rPr>
        <w:t xml:space="preserve"> 1/10, dažnas nuo </w:t>
      </w:r>
      <w:r w:rsidRPr="00F778AF">
        <w:rPr>
          <w:b w:val="0"/>
          <w:bCs w:val="0"/>
          <w:sz w:val="22"/>
          <w:szCs w:val="22"/>
        </w:rPr>
        <w:sym w:font="Symbol" w:char="F0B3"/>
      </w:r>
      <w:r w:rsidRPr="00F778AF">
        <w:rPr>
          <w:b w:val="0"/>
          <w:bCs w:val="0"/>
          <w:sz w:val="22"/>
          <w:szCs w:val="22"/>
        </w:rPr>
        <w:t xml:space="preserve"> 1/100 iki  &lt; 1/10, nedažnas nuo </w:t>
      </w:r>
      <w:r w:rsidRPr="00F778AF">
        <w:rPr>
          <w:b w:val="0"/>
          <w:bCs w:val="0"/>
          <w:sz w:val="22"/>
          <w:szCs w:val="22"/>
        </w:rPr>
        <w:sym w:font="Symbol" w:char="F0B3"/>
      </w:r>
      <w:r w:rsidRPr="00F778AF">
        <w:rPr>
          <w:b w:val="0"/>
          <w:bCs w:val="0"/>
          <w:sz w:val="22"/>
          <w:szCs w:val="22"/>
        </w:rPr>
        <w:t xml:space="preserve"> 1/1000 iki  &lt; 1/100, retas nuo </w:t>
      </w:r>
      <w:r w:rsidRPr="00F778AF">
        <w:rPr>
          <w:b w:val="0"/>
          <w:bCs w:val="0"/>
          <w:sz w:val="22"/>
          <w:szCs w:val="22"/>
        </w:rPr>
        <w:sym w:font="Symbol" w:char="F0B3"/>
      </w:r>
      <w:r w:rsidRPr="00F778AF">
        <w:rPr>
          <w:b w:val="0"/>
          <w:bCs w:val="0"/>
          <w:sz w:val="22"/>
          <w:szCs w:val="22"/>
        </w:rPr>
        <w:t> 1/10000 iki  &lt; 1/1000, labai retas &lt; 1/10000.</w:t>
      </w:r>
    </w:p>
    <w:p w14:paraId="00CB403E" w14:textId="77777777" w:rsidR="0018708C" w:rsidRPr="00F778AF" w:rsidRDefault="0018708C" w:rsidP="0018708C">
      <w:pPr>
        <w:rPr>
          <w:bCs w:val="0"/>
          <w:sz w:val="22"/>
          <w:szCs w:val="22"/>
        </w:rPr>
      </w:pPr>
      <w:r w:rsidRPr="00F778AF">
        <w:rPr>
          <w:bCs w:val="0"/>
          <w:sz w:val="22"/>
          <w:szCs w:val="22"/>
        </w:rPr>
        <w:t>1 lentelė</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67"/>
        <w:gridCol w:w="5387"/>
      </w:tblGrid>
      <w:tr w:rsidR="0018708C" w:rsidRPr="00F778AF" w14:paraId="48AE156B" w14:textId="77777777" w:rsidTr="00CE2841">
        <w:trPr>
          <w:tblHeader/>
        </w:trPr>
        <w:tc>
          <w:tcPr>
            <w:tcW w:w="2802" w:type="dxa"/>
          </w:tcPr>
          <w:p w14:paraId="106C3503" w14:textId="77777777" w:rsidR="0018708C" w:rsidRPr="00F778AF" w:rsidRDefault="0018708C" w:rsidP="00CE2841">
            <w:pPr>
              <w:rPr>
                <w:rFonts w:eastAsia="Calibri"/>
                <w:bCs w:val="0"/>
                <w:sz w:val="22"/>
                <w:szCs w:val="22"/>
                <w:lang w:eastAsia="lt-LT"/>
              </w:rPr>
            </w:pPr>
            <w:r w:rsidRPr="00F778AF">
              <w:rPr>
                <w:rFonts w:eastAsia="Calibri"/>
                <w:bCs w:val="0"/>
                <w:sz w:val="22"/>
                <w:szCs w:val="22"/>
                <w:lang w:eastAsia="lt-LT"/>
              </w:rPr>
              <w:t>Organų sistemų klasė</w:t>
            </w:r>
          </w:p>
        </w:tc>
        <w:tc>
          <w:tcPr>
            <w:tcW w:w="1167" w:type="dxa"/>
          </w:tcPr>
          <w:p w14:paraId="223A6732" w14:textId="77777777" w:rsidR="0018708C" w:rsidRPr="00F778AF" w:rsidRDefault="0018708C" w:rsidP="00CE2841">
            <w:pPr>
              <w:rPr>
                <w:rFonts w:eastAsia="Calibri"/>
                <w:bCs w:val="0"/>
                <w:sz w:val="22"/>
                <w:szCs w:val="22"/>
                <w:lang w:eastAsia="lt-LT"/>
              </w:rPr>
            </w:pPr>
            <w:r w:rsidRPr="00F778AF">
              <w:rPr>
                <w:rFonts w:eastAsia="Calibri"/>
                <w:bCs w:val="0"/>
                <w:sz w:val="22"/>
                <w:szCs w:val="22"/>
                <w:lang w:eastAsia="lt-LT"/>
              </w:rPr>
              <w:t>Dažnis</w:t>
            </w:r>
          </w:p>
        </w:tc>
        <w:tc>
          <w:tcPr>
            <w:tcW w:w="5387" w:type="dxa"/>
          </w:tcPr>
          <w:p w14:paraId="3595A37F" w14:textId="77777777" w:rsidR="0018708C" w:rsidRPr="00F778AF" w:rsidRDefault="0018708C" w:rsidP="00CE2841">
            <w:pPr>
              <w:rPr>
                <w:rFonts w:eastAsia="Calibri"/>
                <w:bCs w:val="0"/>
                <w:sz w:val="22"/>
                <w:szCs w:val="22"/>
                <w:lang w:eastAsia="lt-LT"/>
              </w:rPr>
            </w:pPr>
            <w:r w:rsidRPr="00F778AF">
              <w:rPr>
                <w:rFonts w:eastAsia="Calibri"/>
                <w:bCs w:val="0"/>
                <w:sz w:val="22"/>
                <w:szCs w:val="22"/>
                <w:lang w:eastAsia="lt-LT"/>
              </w:rPr>
              <w:t>Nepageidaujama reakcija į vaistą</w:t>
            </w:r>
          </w:p>
        </w:tc>
      </w:tr>
      <w:tr w:rsidR="0018708C" w:rsidRPr="00F778AF" w14:paraId="02889688" w14:textId="77777777" w:rsidTr="00CE2841">
        <w:tc>
          <w:tcPr>
            <w:tcW w:w="2802" w:type="dxa"/>
          </w:tcPr>
          <w:p w14:paraId="59787699" w14:textId="77777777" w:rsidR="0018708C" w:rsidRPr="00F778AF" w:rsidRDefault="0018708C" w:rsidP="00CE2841">
            <w:pPr>
              <w:pStyle w:val="Pagrindinistekstas"/>
              <w:spacing w:after="0"/>
              <w:rPr>
                <w:szCs w:val="22"/>
              </w:rPr>
            </w:pPr>
            <w:r w:rsidRPr="00F778AF">
              <w:rPr>
                <w:szCs w:val="22"/>
              </w:rPr>
              <w:t>Širdies sutrikimai</w:t>
            </w:r>
          </w:p>
          <w:p w14:paraId="7D6AA56B" w14:textId="77777777" w:rsidR="0018708C" w:rsidRPr="00F778AF" w:rsidRDefault="0018708C" w:rsidP="00CE2841">
            <w:pPr>
              <w:rPr>
                <w:rFonts w:eastAsia="Calibri"/>
                <w:b w:val="0"/>
                <w:bCs w:val="0"/>
                <w:sz w:val="22"/>
                <w:szCs w:val="22"/>
                <w:lang w:eastAsia="lt-LT"/>
              </w:rPr>
            </w:pPr>
          </w:p>
        </w:tc>
        <w:tc>
          <w:tcPr>
            <w:tcW w:w="1167" w:type="dxa"/>
          </w:tcPr>
          <w:p w14:paraId="7F58F1E7"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dažnas</w:t>
            </w:r>
          </w:p>
        </w:tc>
        <w:tc>
          <w:tcPr>
            <w:tcW w:w="5387" w:type="dxa"/>
          </w:tcPr>
          <w:p w14:paraId="12452AD3"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tachikardija</w:t>
            </w:r>
          </w:p>
        </w:tc>
      </w:tr>
      <w:tr w:rsidR="0018708C" w:rsidRPr="00F778AF" w14:paraId="5D3CACFE" w14:textId="77777777" w:rsidTr="00CE2841">
        <w:tc>
          <w:tcPr>
            <w:tcW w:w="2802" w:type="dxa"/>
          </w:tcPr>
          <w:p w14:paraId="4D038385" w14:textId="77777777" w:rsidR="0018708C" w:rsidRPr="00F778AF" w:rsidRDefault="0018708C" w:rsidP="00CE2841">
            <w:pPr>
              <w:pStyle w:val="Pagrindinistekstas"/>
              <w:spacing w:after="0"/>
              <w:rPr>
                <w:szCs w:val="22"/>
              </w:rPr>
            </w:pPr>
            <w:r w:rsidRPr="00F778AF">
              <w:rPr>
                <w:szCs w:val="22"/>
              </w:rPr>
              <w:t>Kraujagyslių sutrikimai</w:t>
            </w:r>
          </w:p>
          <w:p w14:paraId="1AD9744A" w14:textId="77777777" w:rsidR="0018708C" w:rsidRPr="00F778AF" w:rsidRDefault="0018708C" w:rsidP="00CE2841">
            <w:pPr>
              <w:rPr>
                <w:b w:val="0"/>
                <w:sz w:val="22"/>
                <w:szCs w:val="22"/>
              </w:rPr>
            </w:pPr>
          </w:p>
        </w:tc>
        <w:tc>
          <w:tcPr>
            <w:tcW w:w="1167" w:type="dxa"/>
          </w:tcPr>
          <w:p w14:paraId="234F05BD"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dažnas</w:t>
            </w:r>
          </w:p>
        </w:tc>
        <w:tc>
          <w:tcPr>
            <w:tcW w:w="5387" w:type="dxa"/>
          </w:tcPr>
          <w:p w14:paraId="299BE8BF" w14:textId="77777777" w:rsidR="0018708C" w:rsidRPr="00F778AF" w:rsidRDefault="0018708C" w:rsidP="00CE2841">
            <w:pPr>
              <w:rPr>
                <w:b w:val="0"/>
                <w:sz w:val="22"/>
                <w:szCs w:val="22"/>
                <w:lang w:val="pt-BR"/>
              </w:rPr>
            </w:pPr>
            <w:r w:rsidRPr="00F778AF">
              <w:rPr>
                <w:b w:val="0"/>
                <w:sz w:val="22"/>
                <w:szCs w:val="22"/>
                <w:lang w:val="pt-BR"/>
              </w:rPr>
              <w:t>hipotenzija</w:t>
            </w:r>
          </w:p>
        </w:tc>
      </w:tr>
      <w:tr w:rsidR="0018708C" w:rsidRPr="00F778AF" w14:paraId="6E5948D9" w14:textId="77777777" w:rsidTr="00CE2841">
        <w:tc>
          <w:tcPr>
            <w:tcW w:w="2802" w:type="dxa"/>
            <w:vMerge w:val="restart"/>
          </w:tcPr>
          <w:p w14:paraId="7BC582A8" w14:textId="77777777" w:rsidR="0018708C" w:rsidRPr="00F778AF" w:rsidRDefault="0018708C" w:rsidP="00CE2841">
            <w:pPr>
              <w:pStyle w:val="Pagrindinistekstas"/>
              <w:spacing w:after="0"/>
              <w:rPr>
                <w:szCs w:val="22"/>
              </w:rPr>
            </w:pPr>
            <w:r w:rsidRPr="00F778AF">
              <w:rPr>
                <w:szCs w:val="22"/>
              </w:rPr>
              <w:t>Nervų sistemos sutrikimai</w:t>
            </w:r>
          </w:p>
          <w:p w14:paraId="633266EF" w14:textId="77777777" w:rsidR="0018708C" w:rsidRPr="00F778AF" w:rsidRDefault="0018708C" w:rsidP="00CE2841">
            <w:pPr>
              <w:rPr>
                <w:rFonts w:eastAsia="Calibri"/>
                <w:b w:val="0"/>
                <w:bCs w:val="0"/>
                <w:sz w:val="22"/>
                <w:szCs w:val="22"/>
                <w:lang w:eastAsia="lt-LT"/>
              </w:rPr>
            </w:pPr>
          </w:p>
        </w:tc>
        <w:tc>
          <w:tcPr>
            <w:tcW w:w="1167" w:type="dxa"/>
          </w:tcPr>
          <w:p w14:paraId="1FA3BB10"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dažnas</w:t>
            </w:r>
          </w:p>
        </w:tc>
        <w:tc>
          <w:tcPr>
            <w:tcW w:w="5387" w:type="dxa"/>
          </w:tcPr>
          <w:p w14:paraId="674C1F4A" w14:textId="77777777" w:rsidR="0018708C" w:rsidRPr="00F778AF" w:rsidRDefault="0018708C" w:rsidP="00CE2841">
            <w:pPr>
              <w:rPr>
                <w:rFonts w:eastAsia="Calibri"/>
                <w:b w:val="0"/>
                <w:bCs w:val="0"/>
                <w:sz w:val="22"/>
                <w:szCs w:val="22"/>
                <w:lang w:eastAsia="lt-LT"/>
              </w:rPr>
            </w:pPr>
            <w:r w:rsidRPr="00F778AF">
              <w:rPr>
                <w:b w:val="0"/>
                <w:sz w:val="22"/>
                <w:szCs w:val="22"/>
              </w:rPr>
              <w:t>galvos skausmas ir galvos svaigimas</w:t>
            </w:r>
          </w:p>
        </w:tc>
      </w:tr>
      <w:tr w:rsidR="0018708C" w:rsidRPr="00F778AF" w14:paraId="13C715AA" w14:textId="77777777" w:rsidTr="00CE2841">
        <w:tc>
          <w:tcPr>
            <w:tcW w:w="2802" w:type="dxa"/>
            <w:vMerge/>
          </w:tcPr>
          <w:p w14:paraId="724CAD68" w14:textId="77777777" w:rsidR="0018708C" w:rsidRPr="00F778AF" w:rsidRDefault="0018708C" w:rsidP="00CE2841">
            <w:pPr>
              <w:rPr>
                <w:rFonts w:eastAsia="Calibri"/>
                <w:b w:val="0"/>
                <w:bCs w:val="0"/>
                <w:sz w:val="22"/>
                <w:szCs w:val="22"/>
                <w:lang w:eastAsia="lt-LT"/>
              </w:rPr>
            </w:pPr>
          </w:p>
        </w:tc>
        <w:tc>
          <w:tcPr>
            <w:tcW w:w="1167" w:type="dxa"/>
          </w:tcPr>
          <w:p w14:paraId="02A5634C"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retas</w:t>
            </w:r>
          </w:p>
        </w:tc>
        <w:tc>
          <w:tcPr>
            <w:tcW w:w="5387" w:type="dxa"/>
          </w:tcPr>
          <w:p w14:paraId="1DDF1F79"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alpimas</w:t>
            </w:r>
          </w:p>
        </w:tc>
      </w:tr>
      <w:tr w:rsidR="0018708C" w:rsidRPr="00F778AF" w14:paraId="292BB283" w14:textId="77777777" w:rsidTr="00CE2841">
        <w:tc>
          <w:tcPr>
            <w:tcW w:w="2802" w:type="dxa"/>
            <w:vMerge w:val="restart"/>
          </w:tcPr>
          <w:p w14:paraId="5796E7C8" w14:textId="77777777" w:rsidR="0018708C" w:rsidRPr="00F778AF" w:rsidRDefault="0018708C" w:rsidP="00CE2841">
            <w:pPr>
              <w:pStyle w:val="Pagrindinistekstas"/>
              <w:spacing w:after="0"/>
              <w:rPr>
                <w:szCs w:val="22"/>
              </w:rPr>
            </w:pPr>
            <w:r w:rsidRPr="00F778AF">
              <w:rPr>
                <w:szCs w:val="22"/>
              </w:rPr>
              <w:lastRenderedPageBreak/>
              <w:t>Virškinimo trakto sutrikimai</w:t>
            </w:r>
          </w:p>
          <w:p w14:paraId="5346D95E" w14:textId="77777777" w:rsidR="0018708C" w:rsidRPr="00F778AF" w:rsidRDefault="0018708C" w:rsidP="00CE2841">
            <w:pPr>
              <w:pStyle w:val="Pagrindinistekstas"/>
              <w:spacing w:after="0"/>
              <w:rPr>
                <w:rFonts w:eastAsia="Calibri"/>
                <w:b/>
                <w:bCs/>
                <w:szCs w:val="22"/>
                <w:lang w:eastAsia="lt-LT"/>
              </w:rPr>
            </w:pPr>
          </w:p>
        </w:tc>
        <w:tc>
          <w:tcPr>
            <w:tcW w:w="1167" w:type="dxa"/>
          </w:tcPr>
          <w:p w14:paraId="600DD2B3"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dažnas</w:t>
            </w:r>
          </w:p>
        </w:tc>
        <w:tc>
          <w:tcPr>
            <w:tcW w:w="5387" w:type="dxa"/>
          </w:tcPr>
          <w:p w14:paraId="0D58F7EB"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pykinimas</w:t>
            </w:r>
          </w:p>
        </w:tc>
      </w:tr>
      <w:tr w:rsidR="0018708C" w:rsidRPr="00F778AF" w14:paraId="2C7F3138" w14:textId="77777777" w:rsidTr="00CE2841">
        <w:tc>
          <w:tcPr>
            <w:tcW w:w="2802" w:type="dxa"/>
            <w:vMerge/>
          </w:tcPr>
          <w:p w14:paraId="0C6C11A7" w14:textId="77777777" w:rsidR="0018708C" w:rsidRPr="00F778AF" w:rsidRDefault="0018708C" w:rsidP="00CE2841">
            <w:pPr>
              <w:rPr>
                <w:rFonts w:eastAsia="Calibri"/>
                <w:b w:val="0"/>
                <w:bCs w:val="0"/>
                <w:sz w:val="22"/>
                <w:szCs w:val="22"/>
                <w:lang w:eastAsia="lt-LT"/>
              </w:rPr>
            </w:pPr>
          </w:p>
        </w:tc>
        <w:tc>
          <w:tcPr>
            <w:tcW w:w="1167" w:type="dxa"/>
          </w:tcPr>
          <w:p w14:paraId="28EDE0C7"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nedažnas</w:t>
            </w:r>
          </w:p>
        </w:tc>
        <w:tc>
          <w:tcPr>
            <w:tcW w:w="5387" w:type="dxa"/>
          </w:tcPr>
          <w:p w14:paraId="48D4F31B" w14:textId="77777777" w:rsidR="0018708C" w:rsidRPr="00F778AF" w:rsidRDefault="0018708C" w:rsidP="00CE2841">
            <w:pPr>
              <w:rPr>
                <w:rFonts w:eastAsia="Calibri"/>
                <w:b w:val="0"/>
                <w:bCs w:val="0"/>
                <w:sz w:val="22"/>
                <w:szCs w:val="22"/>
                <w:lang w:eastAsia="lt-LT"/>
              </w:rPr>
            </w:pPr>
            <w:r w:rsidRPr="00F778AF">
              <w:rPr>
                <w:b w:val="0"/>
                <w:sz w:val="22"/>
                <w:szCs w:val="22"/>
              </w:rPr>
              <w:t>vėmimas ir viduriavimas</w:t>
            </w:r>
          </w:p>
        </w:tc>
      </w:tr>
      <w:tr w:rsidR="0018708C" w:rsidRPr="00F778AF" w14:paraId="2B31DDCE" w14:textId="77777777" w:rsidTr="00CE2841">
        <w:tc>
          <w:tcPr>
            <w:tcW w:w="2802" w:type="dxa"/>
          </w:tcPr>
          <w:p w14:paraId="26900617" w14:textId="77777777" w:rsidR="0018708C" w:rsidRPr="00F778AF" w:rsidRDefault="0018708C" w:rsidP="00CE2841">
            <w:pPr>
              <w:pStyle w:val="Pagrindinistekstas"/>
              <w:spacing w:after="0"/>
              <w:rPr>
                <w:szCs w:val="22"/>
              </w:rPr>
            </w:pPr>
            <w:r w:rsidRPr="00F778AF">
              <w:rPr>
                <w:szCs w:val="22"/>
              </w:rPr>
              <w:t>Skeleto, raumenų  ir jungiamojo audinio sutrikimai</w:t>
            </w:r>
          </w:p>
        </w:tc>
        <w:tc>
          <w:tcPr>
            <w:tcW w:w="1167" w:type="dxa"/>
          </w:tcPr>
          <w:p w14:paraId="7E466489"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labai retas</w:t>
            </w:r>
          </w:p>
        </w:tc>
        <w:tc>
          <w:tcPr>
            <w:tcW w:w="5387" w:type="dxa"/>
          </w:tcPr>
          <w:p w14:paraId="6D8BE735"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mialgija</w:t>
            </w:r>
          </w:p>
        </w:tc>
      </w:tr>
      <w:tr w:rsidR="0018708C" w:rsidRPr="00F778AF" w14:paraId="22C28528" w14:textId="77777777" w:rsidTr="00CE2841">
        <w:tc>
          <w:tcPr>
            <w:tcW w:w="2802" w:type="dxa"/>
          </w:tcPr>
          <w:p w14:paraId="331703ED" w14:textId="77777777" w:rsidR="0018708C" w:rsidRPr="00F778AF" w:rsidRDefault="0018708C" w:rsidP="00CE2841">
            <w:pPr>
              <w:pStyle w:val="Pagrindinistekstas"/>
              <w:spacing w:after="0"/>
              <w:rPr>
                <w:szCs w:val="22"/>
              </w:rPr>
            </w:pPr>
            <w:r w:rsidRPr="00F778AF">
              <w:rPr>
                <w:szCs w:val="22"/>
              </w:rPr>
              <w:t>Odos ir poodinio audinio sutrikimai</w:t>
            </w:r>
          </w:p>
          <w:p w14:paraId="14FE57A5" w14:textId="77777777" w:rsidR="0018708C" w:rsidRPr="00F778AF" w:rsidRDefault="0018708C" w:rsidP="00CE2841">
            <w:pPr>
              <w:rPr>
                <w:rFonts w:eastAsia="Calibri"/>
                <w:b w:val="0"/>
                <w:bCs w:val="0"/>
                <w:sz w:val="22"/>
                <w:szCs w:val="22"/>
                <w:lang w:eastAsia="lt-LT"/>
              </w:rPr>
            </w:pPr>
          </w:p>
        </w:tc>
        <w:tc>
          <w:tcPr>
            <w:tcW w:w="1167" w:type="dxa"/>
          </w:tcPr>
          <w:p w14:paraId="7C74FF6C" w14:textId="77777777" w:rsidR="0018708C" w:rsidRPr="00F778AF" w:rsidRDefault="0018708C" w:rsidP="00CE2841">
            <w:pPr>
              <w:rPr>
                <w:rFonts w:eastAsia="Calibri"/>
                <w:b w:val="0"/>
                <w:bCs w:val="0"/>
                <w:sz w:val="22"/>
                <w:szCs w:val="22"/>
                <w:lang w:eastAsia="lt-LT"/>
              </w:rPr>
            </w:pPr>
            <w:r w:rsidRPr="00F778AF">
              <w:rPr>
                <w:rFonts w:eastAsia="Calibri"/>
                <w:b w:val="0"/>
                <w:bCs w:val="0"/>
                <w:sz w:val="22"/>
                <w:szCs w:val="22"/>
                <w:lang w:eastAsia="lt-LT"/>
              </w:rPr>
              <w:t>retas</w:t>
            </w:r>
          </w:p>
        </w:tc>
        <w:tc>
          <w:tcPr>
            <w:tcW w:w="5387" w:type="dxa"/>
          </w:tcPr>
          <w:p w14:paraId="2F77D210" w14:textId="77777777" w:rsidR="0018708C" w:rsidRPr="00F778AF" w:rsidRDefault="0018708C" w:rsidP="00CE2841">
            <w:pPr>
              <w:rPr>
                <w:rFonts w:eastAsia="Calibri"/>
                <w:b w:val="0"/>
                <w:bCs w:val="0"/>
                <w:sz w:val="22"/>
                <w:szCs w:val="22"/>
                <w:lang w:eastAsia="lt-LT"/>
              </w:rPr>
            </w:pPr>
            <w:r w:rsidRPr="00F778AF">
              <w:rPr>
                <w:b w:val="0"/>
                <w:sz w:val="22"/>
                <w:szCs w:val="22"/>
              </w:rPr>
              <w:t>išbėrimas, niežulys</w:t>
            </w:r>
          </w:p>
        </w:tc>
      </w:tr>
    </w:tbl>
    <w:p w14:paraId="1B7B251A" w14:textId="77777777" w:rsidR="0018708C" w:rsidRPr="00F778AF" w:rsidRDefault="0018708C" w:rsidP="0018708C">
      <w:pPr>
        <w:pStyle w:val="Pagrindinistekstas"/>
        <w:spacing w:after="0"/>
        <w:rPr>
          <w:szCs w:val="22"/>
        </w:rPr>
      </w:pPr>
    </w:p>
    <w:p w14:paraId="5E4B1A8E" w14:textId="77777777" w:rsidR="0018708C" w:rsidRPr="00F778AF" w:rsidRDefault="0018708C" w:rsidP="0018708C">
      <w:pPr>
        <w:pStyle w:val="Pagrindinistekstas"/>
        <w:spacing w:after="0"/>
        <w:rPr>
          <w:szCs w:val="22"/>
        </w:rPr>
      </w:pPr>
    </w:p>
    <w:p w14:paraId="024697B3" w14:textId="77777777" w:rsidR="0018708C" w:rsidRPr="00F778AF" w:rsidRDefault="0018708C" w:rsidP="0018708C">
      <w:pPr>
        <w:tabs>
          <w:tab w:val="left" w:pos="567"/>
        </w:tabs>
        <w:autoSpaceDE w:val="0"/>
        <w:autoSpaceDN w:val="0"/>
        <w:adjustRightInd w:val="0"/>
        <w:spacing w:line="260" w:lineRule="exact"/>
        <w:jc w:val="both"/>
        <w:rPr>
          <w:b w:val="0"/>
          <w:bCs w:val="0"/>
          <w:snapToGrid w:val="0"/>
          <w:sz w:val="22"/>
          <w:szCs w:val="22"/>
          <w:u w:val="single"/>
        </w:rPr>
      </w:pPr>
      <w:r w:rsidRPr="00F778AF">
        <w:rPr>
          <w:b w:val="0"/>
          <w:bCs w:val="0"/>
          <w:noProof/>
          <w:snapToGrid w:val="0"/>
          <w:sz w:val="22"/>
          <w:szCs w:val="22"/>
          <w:u w:val="single"/>
        </w:rPr>
        <w:t>Pranešimas apie įtariamas nepageidaujamas reakcijas</w:t>
      </w:r>
    </w:p>
    <w:p w14:paraId="0DC5AB1C" w14:textId="461E2DB1" w:rsidR="006B4733" w:rsidRPr="005F2C94" w:rsidRDefault="006B4733" w:rsidP="006B4733">
      <w:pPr>
        <w:jc w:val="both"/>
        <w:rPr>
          <w:b w:val="0"/>
          <w:bCs w:val="0"/>
          <w:sz w:val="22"/>
          <w:szCs w:val="22"/>
          <w:lang w:eastAsia="lt-LT"/>
        </w:rPr>
      </w:pPr>
      <w:r w:rsidRPr="006B4733">
        <w:rPr>
          <w:sz w:val="22"/>
          <w:szCs w:val="22"/>
          <w:lang w:eastAsia="lt-LT"/>
        </w:rPr>
        <w:t xml:space="preserve"> </w:t>
      </w:r>
      <w:r w:rsidRPr="005F2C94">
        <w:rPr>
          <w:b w:val="0"/>
          <w:bCs w:val="0"/>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F2C94">
        <w:rPr>
          <w:b w:val="0"/>
          <w:bCs w:val="0"/>
          <w:color w:val="0000EE"/>
          <w:sz w:val="22"/>
          <w:szCs w:val="22"/>
          <w:u w:val="single"/>
          <w:lang w:eastAsia="lt-LT"/>
        </w:rPr>
        <w:t>https://vvkt.lrv.lt/lt/</w:t>
      </w:r>
      <w:r w:rsidRPr="005F2C94">
        <w:rPr>
          <w:b w:val="0"/>
          <w:bCs w:val="0"/>
          <w:sz w:val="22"/>
          <w:szCs w:val="22"/>
          <w:lang w:eastAsia="lt-LT"/>
        </w:rPr>
        <w:t xml:space="preserve"> nurodytais būdais.</w:t>
      </w:r>
    </w:p>
    <w:p w14:paraId="693666E5" w14:textId="73421069" w:rsidR="0018708C" w:rsidRPr="00F778AF" w:rsidRDefault="0018708C" w:rsidP="0018708C">
      <w:pPr>
        <w:tabs>
          <w:tab w:val="left" w:pos="567"/>
        </w:tabs>
        <w:autoSpaceDE w:val="0"/>
        <w:autoSpaceDN w:val="0"/>
        <w:adjustRightInd w:val="0"/>
        <w:spacing w:line="260" w:lineRule="exact"/>
        <w:jc w:val="both"/>
        <w:rPr>
          <w:b w:val="0"/>
          <w:bCs w:val="0"/>
          <w:noProof/>
          <w:snapToGrid w:val="0"/>
          <w:sz w:val="22"/>
          <w:szCs w:val="22"/>
        </w:rPr>
      </w:pPr>
    </w:p>
    <w:p w14:paraId="67165A39" w14:textId="77777777" w:rsidR="0018708C" w:rsidRPr="00F778AF" w:rsidRDefault="0018708C" w:rsidP="0018708C">
      <w:pPr>
        <w:pStyle w:val="Pagrindinistekstas"/>
        <w:spacing w:after="0"/>
        <w:rPr>
          <w:szCs w:val="22"/>
        </w:rPr>
      </w:pPr>
    </w:p>
    <w:p w14:paraId="5F90374A" w14:textId="77777777" w:rsidR="0018708C" w:rsidRPr="00F778AF" w:rsidRDefault="0018708C" w:rsidP="0018708C">
      <w:pPr>
        <w:pStyle w:val="Antrat3"/>
      </w:pPr>
      <w:r w:rsidRPr="00F778AF">
        <w:t>4.9</w:t>
      </w:r>
      <w:r w:rsidRPr="00F778AF">
        <w:tab/>
        <w:t>Perdozavimas</w:t>
      </w:r>
    </w:p>
    <w:p w14:paraId="3AA5F204" w14:textId="77777777" w:rsidR="0018708C" w:rsidRPr="00F778AF" w:rsidRDefault="0018708C" w:rsidP="0018708C">
      <w:pPr>
        <w:pStyle w:val="Pagrindinistekstas"/>
        <w:spacing w:after="0"/>
        <w:rPr>
          <w:szCs w:val="22"/>
        </w:rPr>
      </w:pPr>
    </w:p>
    <w:p w14:paraId="0B425F05" w14:textId="77777777" w:rsidR="0018708C" w:rsidRPr="00F778AF" w:rsidRDefault="0018708C" w:rsidP="0018708C">
      <w:pPr>
        <w:pStyle w:val="Pagrindinistekstas"/>
        <w:spacing w:after="0"/>
        <w:rPr>
          <w:szCs w:val="22"/>
        </w:rPr>
      </w:pPr>
      <w:r w:rsidRPr="00F778AF">
        <w:rPr>
          <w:i/>
          <w:szCs w:val="22"/>
        </w:rPr>
        <w:t>Simptomai:</w:t>
      </w:r>
      <w:r w:rsidRPr="00F778AF">
        <w:rPr>
          <w:szCs w:val="22"/>
        </w:rPr>
        <w:t xml:space="preserve"> pulsuojantis galvos skausmas, sunkesniais atvejais – sujaudinimas, paraudimas priplūdus kraujo, šaltas prakaitas, pykinimas, vėmimas, galvos sukimasis, sinkopė, tachikardija, hipotenzija.</w:t>
      </w:r>
    </w:p>
    <w:p w14:paraId="0C43F4F2" w14:textId="77777777" w:rsidR="0018708C" w:rsidRPr="00F778AF" w:rsidRDefault="0018708C" w:rsidP="0018708C">
      <w:pPr>
        <w:pStyle w:val="Pagrindinistekstas"/>
        <w:spacing w:after="0"/>
        <w:rPr>
          <w:szCs w:val="22"/>
        </w:rPr>
      </w:pPr>
    </w:p>
    <w:p w14:paraId="2618AF3F" w14:textId="77777777" w:rsidR="0018708C" w:rsidRPr="00F778AF" w:rsidRDefault="0018708C" w:rsidP="0018708C">
      <w:pPr>
        <w:pStyle w:val="Pagrindinistekstas"/>
        <w:spacing w:after="0"/>
        <w:rPr>
          <w:szCs w:val="22"/>
        </w:rPr>
      </w:pPr>
      <w:r w:rsidRPr="00F778AF">
        <w:rPr>
          <w:i/>
          <w:szCs w:val="22"/>
        </w:rPr>
        <w:t>Gydymas.</w:t>
      </w:r>
      <w:r w:rsidRPr="00F778AF">
        <w:rPr>
          <w:szCs w:val="22"/>
        </w:rPr>
        <w:t xml:space="preserve"> Sukelti vėmimą, duoti aktyvintosios anglies. Pasireiškus ryškiai hipotenzijai, pirmiausia reikia paguldyti pacientą ir pakelti jo kojas. Prireikus infuzuojama skysčių į veną.</w:t>
      </w:r>
    </w:p>
    <w:p w14:paraId="1C07DABB" w14:textId="77777777" w:rsidR="0018708C" w:rsidRPr="00F778AF" w:rsidRDefault="0018708C" w:rsidP="0018708C">
      <w:pPr>
        <w:pStyle w:val="Pagrindinistekstas"/>
        <w:spacing w:after="0"/>
        <w:rPr>
          <w:szCs w:val="22"/>
        </w:rPr>
      </w:pPr>
    </w:p>
    <w:p w14:paraId="745EFF6A" w14:textId="77777777" w:rsidR="0018708C" w:rsidRPr="00F778AF" w:rsidRDefault="0018708C" w:rsidP="0018708C">
      <w:pPr>
        <w:pStyle w:val="Pagrindinistekstas"/>
        <w:spacing w:after="0"/>
        <w:rPr>
          <w:szCs w:val="22"/>
        </w:rPr>
      </w:pPr>
    </w:p>
    <w:p w14:paraId="7B796A48" w14:textId="77777777" w:rsidR="0018708C" w:rsidRPr="00F778AF" w:rsidRDefault="0018708C" w:rsidP="0018708C">
      <w:pPr>
        <w:pStyle w:val="Antrat2"/>
      </w:pPr>
      <w:r w:rsidRPr="00F778AF">
        <w:t>5.</w:t>
      </w:r>
      <w:r w:rsidRPr="00F778AF">
        <w:tab/>
        <w:t>FARMAKOLOGINĖS SAVYBĖS</w:t>
      </w:r>
    </w:p>
    <w:p w14:paraId="7BEF5832" w14:textId="77777777" w:rsidR="0018708C" w:rsidRPr="00F778AF" w:rsidRDefault="0018708C" w:rsidP="0018708C">
      <w:pPr>
        <w:pStyle w:val="Pagrindinistekstas"/>
        <w:spacing w:after="0"/>
        <w:rPr>
          <w:szCs w:val="22"/>
        </w:rPr>
      </w:pPr>
    </w:p>
    <w:p w14:paraId="281762BD" w14:textId="77777777" w:rsidR="0018708C" w:rsidRPr="00F778AF" w:rsidRDefault="0018708C" w:rsidP="0018708C">
      <w:pPr>
        <w:pStyle w:val="Antrat3"/>
      </w:pPr>
      <w:r w:rsidRPr="00F778AF">
        <w:t>5.1</w:t>
      </w:r>
      <w:r w:rsidRPr="00F778AF">
        <w:tab/>
        <w:t>Farmakodinaminės savybės</w:t>
      </w:r>
    </w:p>
    <w:p w14:paraId="2433A7C8" w14:textId="77777777" w:rsidR="0018708C" w:rsidRPr="00F778AF" w:rsidRDefault="0018708C" w:rsidP="0018708C">
      <w:pPr>
        <w:pStyle w:val="Pagrindinistekstas"/>
        <w:spacing w:after="0"/>
        <w:rPr>
          <w:szCs w:val="22"/>
        </w:rPr>
      </w:pPr>
    </w:p>
    <w:p w14:paraId="6CB86331" w14:textId="77777777" w:rsidR="0018708C" w:rsidRPr="00F778AF" w:rsidRDefault="0018708C" w:rsidP="0018708C">
      <w:pPr>
        <w:pStyle w:val="Pagrindinistekstas"/>
        <w:spacing w:after="0"/>
        <w:rPr>
          <w:bCs/>
          <w:szCs w:val="22"/>
          <w:lang w:eastAsia="lt-LT"/>
        </w:rPr>
      </w:pPr>
      <w:r w:rsidRPr="00F778AF">
        <w:rPr>
          <w:szCs w:val="22"/>
        </w:rPr>
        <w:t xml:space="preserve">ATC kodas – </w:t>
      </w:r>
      <w:r w:rsidRPr="00F778AF">
        <w:rPr>
          <w:b/>
          <w:bCs/>
          <w:szCs w:val="22"/>
          <w:lang w:eastAsia="lt-LT"/>
        </w:rPr>
        <w:t xml:space="preserve"> </w:t>
      </w:r>
      <w:r w:rsidRPr="00F778AF">
        <w:rPr>
          <w:bCs/>
          <w:szCs w:val="22"/>
          <w:lang w:eastAsia="lt-LT"/>
        </w:rPr>
        <w:t>C01DA14</w:t>
      </w:r>
    </w:p>
    <w:p w14:paraId="78C25033" w14:textId="77777777" w:rsidR="0018708C" w:rsidRPr="00F778AF" w:rsidRDefault="0018708C" w:rsidP="0018708C">
      <w:pPr>
        <w:pStyle w:val="Pagrindinistekstas"/>
        <w:spacing w:after="0"/>
        <w:rPr>
          <w:szCs w:val="22"/>
        </w:rPr>
      </w:pPr>
    </w:p>
    <w:p w14:paraId="518BA90A" w14:textId="77777777" w:rsidR="0018708C" w:rsidRPr="00F778AF" w:rsidRDefault="0018708C" w:rsidP="0018708C">
      <w:pPr>
        <w:pStyle w:val="Pagrindinistekstas"/>
        <w:spacing w:after="0"/>
        <w:rPr>
          <w:szCs w:val="22"/>
        </w:rPr>
      </w:pPr>
      <w:r w:rsidRPr="00F778AF">
        <w:rPr>
          <w:szCs w:val="22"/>
        </w:rPr>
        <w:t>Svarbiausias izosorbido mononitrato (aktyvaus izosorbido dinitrato metabolito) farmakologinis poveikis – kraujagyslių lygiųjų raumenų atpalaidavimas, dėl kurio išsiplečia arterijos ir (labiausiai) venos. Vaisto poveikis priklauso nuo jo dozės. Kai nitratų koncentracija plazmoje maža, išsiplečia venos, kraujas kaupiasi periferijoje, todėl mažiau jo grįžta į širdį, sumažėja spaudimas kairiajame skilvelyje diastolės pabaigoje (prieškrūvis). Didelės koncentracijos taip pat plečia arterijas, todėl mažina sisteminį kraujagyslių pasipriešinimą ir arterinį kraujospūdį (sumažėja pokrūvis).</w:t>
      </w:r>
    </w:p>
    <w:p w14:paraId="75E0CFDA" w14:textId="77777777" w:rsidR="0018708C" w:rsidRPr="00F778AF" w:rsidRDefault="0018708C" w:rsidP="0018708C">
      <w:pPr>
        <w:pStyle w:val="Pagrindinistekstas"/>
        <w:spacing w:after="0"/>
        <w:rPr>
          <w:szCs w:val="22"/>
        </w:rPr>
      </w:pPr>
    </w:p>
    <w:p w14:paraId="4C92DBA0" w14:textId="77777777" w:rsidR="0018708C" w:rsidRPr="00F778AF" w:rsidRDefault="0018708C" w:rsidP="0018708C">
      <w:pPr>
        <w:pStyle w:val="Pagrindinistekstas"/>
        <w:spacing w:after="0"/>
        <w:rPr>
          <w:szCs w:val="22"/>
        </w:rPr>
      </w:pPr>
      <w:r w:rsidRPr="00F778AF">
        <w:rPr>
          <w:szCs w:val="22"/>
        </w:rPr>
        <w:t>Be to, izosorbido mononitratas gali tiesiogiai plėsti vainikines arterijas. Šis vaistas mažina kraujo spaudimą ir tūrį diastolės pabaigoje, todėl sumažėja intramuralinis spaudimas, pagerėja subendokar</w:t>
      </w:r>
      <w:r w:rsidRPr="00F778AF">
        <w:rPr>
          <w:szCs w:val="22"/>
        </w:rPr>
        <w:softHyphen/>
        <w:t>di</w:t>
      </w:r>
      <w:r w:rsidRPr="00F778AF">
        <w:rPr>
          <w:szCs w:val="22"/>
        </w:rPr>
        <w:softHyphen/>
        <w:t>nė kraujotaka. Dėl aukščiau nurodytų poveikių izosorbido mononitratas lengvina širdies darbą bei palankiai veikia deguonies tiekimo ir jo poreikio santykį miokarde.</w:t>
      </w:r>
    </w:p>
    <w:p w14:paraId="390065AA" w14:textId="77777777" w:rsidR="0018708C" w:rsidRPr="00F778AF" w:rsidRDefault="0018708C" w:rsidP="0018708C">
      <w:pPr>
        <w:pStyle w:val="Pagrindinistekstas"/>
        <w:spacing w:after="0"/>
        <w:rPr>
          <w:szCs w:val="22"/>
        </w:rPr>
      </w:pPr>
    </w:p>
    <w:p w14:paraId="5F48EABF" w14:textId="77777777" w:rsidR="0018708C" w:rsidRPr="00F778AF" w:rsidRDefault="0018708C" w:rsidP="0018708C">
      <w:pPr>
        <w:pStyle w:val="Pagrindinistekstas"/>
        <w:spacing w:after="0"/>
        <w:rPr>
          <w:szCs w:val="22"/>
        </w:rPr>
      </w:pPr>
      <w:r w:rsidRPr="00F778AF">
        <w:rPr>
          <w:szCs w:val="22"/>
        </w:rPr>
        <w:t>Placebu kontroliuojamais tyrimais nustatyta, kad 1 kartą per parą vartojamas Imdur veiksmingas krūtinės anginos priepuolių profilaktikai: jį vartojantys pacientai geriau toleruoja didesnį fizinį krūvį, jiems palengvėja ligos simptomai ir miokardo išemijos požymiai. Šie poveikiai trunka bent 12 val. 12 val. po šio vaisto vartojimo jo koncentracija plazmoje būna 1300 nmol/l (panaši kaip po 1 val.).</w:t>
      </w:r>
    </w:p>
    <w:p w14:paraId="0B627FE0" w14:textId="77777777" w:rsidR="0018708C" w:rsidRPr="00F778AF" w:rsidRDefault="0018708C" w:rsidP="0018708C">
      <w:pPr>
        <w:pStyle w:val="Pagrindinistekstas"/>
        <w:spacing w:after="0"/>
        <w:rPr>
          <w:szCs w:val="22"/>
        </w:rPr>
      </w:pPr>
    </w:p>
    <w:p w14:paraId="5CD069B9" w14:textId="77777777" w:rsidR="0018708C" w:rsidRPr="00F778AF" w:rsidRDefault="0018708C" w:rsidP="0018708C">
      <w:pPr>
        <w:pStyle w:val="Pagrindinistekstas"/>
        <w:spacing w:after="0"/>
        <w:rPr>
          <w:szCs w:val="22"/>
        </w:rPr>
      </w:pPr>
      <w:r w:rsidRPr="00F778AF">
        <w:rPr>
          <w:szCs w:val="22"/>
        </w:rPr>
        <w:t xml:space="preserve">Nustatyta, kad Imdur yra veiksmingas tiek vartojamas atskirai, tiek derinamas su </w:t>
      </w:r>
      <w:r w:rsidRPr="00F778AF">
        <w:rPr>
          <w:szCs w:val="22"/>
        </w:rPr>
        <w:sym w:font="Symbol" w:char="F062"/>
      </w:r>
      <w:r w:rsidRPr="00F778AF">
        <w:rPr>
          <w:szCs w:val="22"/>
        </w:rPr>
        <w:t xml:space="preserve"> blokatoriais ar kalcio antagonistais.</w:t>
      </w:r>
    </w:p>
    <w:p w14:paraId="4274C4A2" w14:textId="77777777" w:rsidR="0018708C" w:rsidRPr="00F778AF" w:rsidRDefault="0018708C" w:rsidP="0018708C">
      <w:pPr>
        <w:pStyle w:val="Pagrindinistekstas"/>
        <w:spacing w:after="0"/>
        <w:rPr>
          <w:szCs w:val="22"/>
        </w:rPr>
      </w:pPr>
    </w:p>
    <w:p w14:paraId="14A8604F" w14:textId="77777777" w:rsidR="0018708C" w:rsidRPr="00F778AF" w:rsidRDefault="0018708C" w:rsidP="0018708C">
      <w:pPr>
        <w:pStyle w:val="Pagrindinistekstas"/>
        <w:spacing w:after="0"/>
        <w:rPr>
          <w:szCs w:val="22"/>
        </w:rPr>
      </w:pPr>
      <w:r w:rsidRPr="00F778AF">
        <w:rPr>
          <w:szCs w:val="22"/>
        </w:rPr>
        <w:t xml:space="preserve">Pakartotinai vartojamų nitratų klinikinis poveikis gali silpnėti dėl to, kad plazmoje nuolat būna didelė ir gana pastovi jų koncentracija. To galima išvengti leidžiant tam tikram laikotarpiui tarp dviejų dozių susidaryti mažai nitratų koncentracijai plazmoje. Imdur vartojant 1 kartą per parą (rytą), koncentracija </w:t>
      </w:r>
      <w:r w:rsidRPr="00F778AF">
        <w:rPr>
          <w:szCs w:val="22"/>
        </w:rPr>
        <w:lastRenderedPageBreak/>
        <w:t>plazmoje dieną būna didelė, naktį – maža. Vartojant 60 mg arba 120 mg Imdur 1 kartą per parą, tole</w:t>
      </w:r>
      <w:r w:rsidRPr="00F778AF">
        <w:rPr>
          <w:szCs w:val="22"/>
        </w:rPr>
        <w:softHyphen/>
        <w:t>rancijos antiangininiam poveikiui nepastebėta. Vartojant Imdur, nepastebėta rikošeto fenomeno, kuris pasireiškia intermituojamąja tvarka vartojant nitratų plėveles.</w:t>
      </w:r>
    </w:p>
    <w:p w14:paraId="1A8367EE" w14:textId="77777777" w:rsidR="0018708C" w:rsidRPr="00F778AF" w:rsidRDefault="0018708C" w:rsidP="0018708C">
      <w:pPr>
        <w:pStyle w:val="Pagrindinistekstas"/>
        <w:spacing w:after="0"/>
        <w:rPr>
          <w:szCs w:val="22"/>
        </w:rPr>
      </w:pPr>
    </w:p>
    <w:p w14:paraId="3E36D5E6" w14:textId="77777777" w:rsidR="0018708C" w:rsidRPr="00F778AF" w:rsidRDefault="0018708C" w:rsidP="0018708C">
      <w:pPr>
        <w:pStyle w:val="Pagrindinistekstas"/>
        <w:spacing w:after="0"/>
        <w:rPr>
          <w:szCs w:val="22"/>
        </w:rPr>
      </w:pPr>
      <w:r w:rsidRPr="00F778AF">
        <w:rPr>
          <w:szCs w:val="22"/>
        </w:rPr>
        <w:t>Imdur yra saugus ir gerai toleruojamas ištikus ūminiam miokardo infarktui. Iš pradžių geriama 30 mg, po 12 val. – dar 30 mg, vėliau – 60 mg 1 kartą per parą. Vaisto koncentracija ūminio miokardo infark</w:t>
      </w:r>
      <w:r w:rsidRPr="00F778AF">
        <w:rPr>
          <w:szCs w:val="22"/>
        </w:rPr>
        <w:softHyphen/>
        <w:t>to ištiktų pacientų plazmoje būna panaši kaip sveikų savanorių. Kartais vaisto rezorbcija gali būti lė</w:t>
      </w:r>
      <w:r w:rsidRPr="00F778AF">
        <w:rPr>
          <w:szCs w:val="22"/>
        </w:rPr>
        <w:softHyphen/>
        <w:t>tes</w:t>
      </w:r>
      <w:r w:rsidRPr="00F778AF">
        <w:rPr>
          <w:szCs w:val="22"/>
        </w:rPr>
        <w:softHyphen/>
        <w:t>nė (galbūt dėl kartu vartojamo morfino poveikio).</w:t>
      </w:r>
    </w:p>
    <w:p w14:paraId="58B8BA7C" w14:textId="77777777" w:rsidR="0018708C" w:rsidRPr="00F778AF" w:rsidRDefault="0018708C" w:rsidP="0018708C">
      <w:pPr>
        <w:pStyle w:val="Pagrindinistekstas"/>
        <w:spacing w:after="0"/>
        <w:rPr>
          <w:szCs w:val="22"/>
        </w:rPr>
      </w:pPr>
    </w:p>
    <w:p w14:paraId="41D71065" w14:textId="77777777" w:rsidR="0018708C" w:rsidRPr="00F778AF" w:rsidRDefault="0018708C" w:rsidP="0018708C">
      <w:pPr>
        <w:pStyle w:val="Antrat3"/>
      </w:pPr>
      <w:r w:rsidRPr="00F778AF">
        <w:t>5.2</w:t>
      </w:r>
      <w:r w:rsidRPr="00F778AF">
        <w:tab/>
        <w:t>Farmakokinetinės savybės</w:t>
      </w:r>
    </w:p>
    <w:p w14:paraId="729CDB5D" w14:textId="77777777" w:rsidR="0018708C" w:rsidRPr="00F778AF" w:rsidRDefault="0018708C" w:rsidP="0018708C">
      <w:pPr>
        <w:pStyle w:val="Pagrindinistekstas"/>
        <w:spacing w:after="0"/>
        <w:rPr>
          <w:szCs w:val="22"/>
        </w:rPr>
      </w:pPr>
    </w:p>
    <w:p w14:paraId="0698757A" w14:textId="77777777" w:rsidR="0018708C" w:rsidRPr="00F778AF" w:rsidRDefault="0018708C" w:rsidP="0018708C">
      <w:pPr>
        <w:pStyle w:val="Pagrindinistekstas"/>
        <w:spacing w:after="0"/>
        <w:rPr>
          <w:i/>
          <w:szCs w:val="22"/>
        </w:rPr>
      </w:pPr>
      <w:r w:rsidRPr="00F778AF">
        <w:rPr>
          <w:i/>
          <w:szCs w:val="22"/>
        </w:rPr>
        <w:t>Rezorbcija</w:t>
      </w:r>
    </w:p>
    <w:p w14:paraId="21DF7202" w14:textId="77777777" w:rsidR="0018708C" w:rsidRPr="00F778AF" w:rsidRDefault="0018708C" w:rsidP="0018708C">
      <w:pPr>
        <w:pStyle w:val="Pagrindinistekstas"/>
        <w:spacing w:after="0"/>
        <w:rPr>
          <w:szCs w:val="22"/>
        </w:rPr>
      </w:pPr>
      <w:r w:rsidRPr="00F778AF">
        <w:rPr>
          <w:szCs w:val="22"/>
        </w:rPr>
        <w:t>Izosorbido mononitratas visas rezorbuojamas ir, pirmą kartą patekęs į kepenis, nemetabolizuojamas. Dėl to susidaro vienodesnė koncentracija tiek to paties, tiek skirtingų asmenų plazmoje, galima numa</w:t>
      </w:r>
      <w:r w:rsidRPr="00F778AF">
        <w:rPr>
          <w:szCs w:val="22"/>
        </w:rPr>
        <w:softHyphen/>
        <w:t xml:space="preserve">tyti ir pakartoti klinikinius poveikius. </w:t>
      </w:r>
    </w:p>
    <w:p w14:paraId="14258268" w14:textId="77777777" w:rsidR="0018708C" w:rsidRPr="00F778AF" w:rsidRDefault="0018708C" w:rsidP="0018708C">
      <w:pPr>
        <w:pStyle w:val="Pagrindinistekstas"/>
        <w:spacing w:after="0"/>
        <w:rPr>
          <w:szCs w:val="22"/>
        </w:rPr>
      </w:pPr>
    </w:p>
    <w:p w14:paraId="7E0894C9" w14:textId="77777777" w:rsidR="0018708C" w:rsidRPr="00F778AF" w:rsidRDefault="0018708C" w:rsidP="0018708C">
      <w:pPr>
        <w:pStyle w:val="Pagrindinistekstas"/>
        <w:spacing w:after="0"/>
        <w:rPr>
          <w:szCs w:val="22"/>
        </w:rPr>
      </w:pPr>
      <w:r w:rsidRPr="00F778AF">
        <w:rPr>
          <w:szCs w:val="22"/>
        </w:rPr>
        <w:t>Imdur yra izosorbido mononitrato pailginto atsipalaidavimo forma. Veiklioji medžiaga atpalaiduojama nepriklausomai nuo pH, per 10 val. Išgėrus Imdur, izosorbido mononitratas rezor</w:t>
      </w:r>
      <w:r w:rsidRPr="00F778AF">
        <w:rPr>
          <w:szCs w:val="22"/>
        </w:rPr>
        <w:softHyphen/>
        <w:t>buojamas lėčiau ir veikia ilgiau negu išgėrus paprastą tabletę. Imdur biologinis prieinamumas, paly</w:t>
      </w:r>
      <w:r w:rsidRPr="00F778AF">
        <w:rPr>
          <w:szCs w:val="22"/>
        </w:rPr>
        <w:softHyphen/>
        <w:t>ginus su paprastomis (greito atpalaidavimo) tabletėmis, yra maždaug 90 %. Maistas neturi reikšmingos įtakos šio vaisto rezorbcijai. Pakartotinai geriant 60 mg 1 kartą per parą, didžiausia koncentracija plazmoje (apie 3000 nmol/l) susidaro praėjus maždaug 4 val. po dozės. Vėliau ji palaipsniui mažėja, vartojimo intervalo pabaigoje (t.y. praėjus 24 val. po dozės) lieka maždaug 500 nmol/l.</w:t>
      </w:r>
    </w:p>
    <w:p w14:paraId="2A40EE63" w14:textId="77777777" w:rsidR="0018708C" w:rsidRPr="00F778AF" w:rsidRDefault="0018708C" w:rsidP="0018708C">
      <w:pPr>
        <w:pStyle w:val="Pagrindinistekstas"/>
        <w:spacing w:after="0"/>
        <w:rPr>
          <w:szCs w:val="22"/>
        </w:rPr>
      </w:pPr>
    </w:p>
    <w:p w14:paraId="1806201D" w14:textId="77777777" w:rsidR="0018708C" w:rsidRPr="00F778AF" w:rsidRDefault="0018708C" w:rsidP="0018708C">
      <w:pPr>
        <w:pStyle w:val="Pagrindinistekstas"/>
        <w:spacing w:after="0"/>
        <w:rPr>
          <w:i/>
          <w:szCs w:val="22"/>
        </w:rPr>
      </w:pPr>
      <w:r w:rsidRPr="00F778AF">
        <w:rPr>
          <w:i/>
          <w:szCs w:val="22"/>
        </w:rPr>
        <w:t>Eliminacija</w:t>
      </w:r>
    </w:p>
    <w:p w14:paraId="3E0AAB56" w14:textId="77777777" w:rsidR="0018708C" w:rsidRPr="00F778AF" w:rsidRDefault="0018708C" w:rsidP="0018708C">
      <w:pPr>
        <w:pStyle w:val="Pagrindinistekstas"/>
        <w:spacing w:after="0"/>
        <w:rPr>
          <w:szCs w:val="22"/>
        </w:rPr>
      </w:pPr>
      <w:r w:rsidRPr="00F778AF">
        <w:rPr>
          <w:szCs w:val="22"/>
        </w:rPr>
        <w:t>Izosorbido mononitrato pusinis eliminacijos laikas – apie 5 val., suminis klirensas – apie 115 ml/min. Eliminacija vyksta de</w:t>
      </w:r>
      <w:r w:rsidRPr="00F778AF">
        <w:rPr>
          <w:szCs w:val="22"/>
        </w:rPr>
        <w:softHyphen/>
        <w:t>ni</w:t>
      </w:r>
      <w:r w:rsidRPr="00F778AF">
        <w:rPr>
          <w:szCs w:val="22"/>
        </w:rPr>
        <w:softHyphen/>
        <w:t>tracijos ir konjugacijos būdais. Metabolitai daugiausiai išskiriami per inkstus. Tik maždaug 2 % vaisto išskiriama per inkstus nepakitusio.</w:t>
      </w:r>
    </w:p>
    <w:p w14:paraId="3A5BE1ED" w14:textId="77777777" w:rsidR="0018708C" w:rsidRPr="00F778AF" w:rsidRDefault="0018708C" w:rsidP="0018708C">
      <w:pPr>
        <w:pStyle w:val="Pagrindinistekstas"/>
        <w:spacing w:after="0"/>
        <w:rPr>
          <w:szCs w:val="22"/>
        </w:rPr>
      </w:pPr>
    </w:p>
    <w:p w14:paraId="71F71936" w14:textId="77777777" w:rsidR="0018708C" w:rsidRPr="00F778AF" w:rsidRDefault="0018708C" w:rsidP="0018708C">
      <w:pPr>
        <w:pStyle w:val="Pagrindinistekstas"/>
        <w:spacing w:after="0"/>
        <w:rPr>
          <w:i/>
          <w:szCs w:val="22"/>
        </w:rPr>
      </w:pPr>
      <w:r w:rsidRPr="00F778AF">
        <w:rPr>
          <w:i/>
          <w:szCs w:val="22"/>
        </w:rPr>
        <w:t>Pasiskirstymas</w:t>
      </w:r>
    </w:p>
    <w:p w14:paraId="2F8F1DD6" w14:textId="77777777" w:rsidR="0018708C" w:rsidRPr="00F778AF" w:rsidRDefault="0018708C" w:rsidP="0018708C">
      <w:pPr>
        <w:pStyle w:val="Pagrindinistekstas"/>
        <w:spacing w:after="0"/>
        <w:rPr>
          <w:szCs w:val="22"/>
        </w:rPr>
      </w:pPr>
      <w:r w:rsidRPr="00F778AF">
        <w:rPr>
          <w:szCs w:val="22"/>
        </w:rPr>
        <w:t>Izosorbido mononitrato pasiskirstymo tūris – apie 0,6 l/kg,</w:t>
      </w:r>
    </w:p>
    <w:p w14:paraId="20785FE7" w14:textId="77777777" w:rsidR="0018708C" w:rsidRPr="00F778AF" w:rsidRDefault="0018708C" w:rsidP="0018708C">
      <w:pPr>
        <w:pStyle w:val="Pagrindinistekstas"/>
        <w:spacing w:after="0"/>
        <w:rPr>
          <w:szCs w:val="22"/>
        </w:rPr>
      </w:pPr>
    </w:p>
    <w:p w14:paraId="4503ED7F" w14:textId="77777777" w:rsidR="0018708C" w:rsidRPr="00F778AF" w:rsidRDefault="0018708C" w:rsidP="0018708C">
      <w:pPr>
        <w:pStyle w:val="Pagrindinistekstas"/>
        <w:spacing w:after="0"/>
        <w:rPr>
          <w:szCs w:val="22"/>
        </w:rPr>
      </w:pPr>
      <w:r w:rsidRPr="00F778AF">
        <w:rPr>
          <w:szCs w:val="22"/>
        </w:rPr>
        <w:t>Kepenų ar inkstų nepakankamumas didelės įtakos Imdur farmakokinetikai neturi.</w:t>
      </w:r>
    </w:p>
    <w:p w14:paraId="42BAED0A" w14:textId="77777777" w:rsidR="0018708C" w:rsidRPr="00F778AF" w:rsidRDefault="0018708C" w:rsidP="0018708C">
      <w:pPr>
        <w:pStyle w:val="Pagrindinistekstas"/>
        <w:spacing w:after="0"/>
        <w:rPr>
          <w:szCs w:val="22"/>
        </w:rPr>
      </w:pPr>
    </w:p>
    <w:p w14:paraId="1824728D" w14:textId="77777777" w:rsidR="0018708C" w:rsidRPr="00F778AF" w:rsidRDefault="0018708C" w:rsidP="0018708C">
      <w:pPr>
        <w:pStyle w:val="Pagrindinistekstas"/>
        <w:spacing w:after="0"/>
        <w:rPr>
          <w:szCs w:val="22"/>
        </w:rPr>
      </w:pPr>
    </w:p>
    <w:p w14:paraId="494B3D80" w14:textId="77777777" w:rsidR="0018708C" w:rsidRPr="00F778AF" w:rsidRDefault="0018708C" w:rsidP="0018708C">
      <w:pPr>
        <w:pStyle w:val="Antrat3"/>
      </w:pPr>
      <w:r w:rsidRPr="00F778AF">
        <w:t>5.3</w:t>
      </w:r>
      <w:r w:rsidRPr="00F778AF">
        <w:tab/>
        <w:t>Ikiklinikinių saugumo tyrimų duomenys</w:t>
      </w:r>
    </w:p>
    <w:p w14:paraId="66832CC4" w14:textId="77777777" w:rsidR="0018708C" w:rsidRPr="00F778AF" w:rsidRDefault="0018708C" w:rsidP="0018708C">
      <w:pPr>
        <w:rPr>
          <w:sz w:val="22"/>
          <w:szCs w:val="22"/>
        </w:rPr>
      </w:pPr>
    </w:p>
    <w:p w14:paraId="5159502A" w14:textId="77777777" w:rsidR="0018708C" w:rsidRPr="00F778AF" w:rsidRDefault="0018708C" w:rsidP="0018708C">
      <w:pPr>
        <w:pStyle w:val="Pagrindinistekstas"/>
        <w:spacing w:after="0"/>
        <w:rPr>
          <w:szCs w:val="22"/>
        </w:rPr>
      </w:pPr>
      <w:r w:rsidRPr="00F778AF">
        <w:rPr>
          <w:iCs/>
          <w:szCs w:val="22"/>
          <w:lang w:eastAsia="lt-LT"/>
        </w:rPr>
        <w:t>Prieinami duomenys rodo, kad izosorbido mononitratas turi organinių nitratų esteriams būdingas farmakodinamines savybes, paprastas farmakokinetines savybes ir nesukelia toksinio, mutageninio ar kancerogeninio poveikio.</w:t>
      </w:r>
    </w:p>
    <w:p w14:paraId="6A6549DA" w14:textId="77777777" w:rsidR="0018708C" w:rsidRPr="00F778AF" w:rsidRDefault="0018708C" w:rsidP="0018708C">
      <w:pPr>
        <w:pStyle w:val="Pagrindinistekstas"/>
        <w:spacing w:after="0"/>
        <w:rPr>
          <w:szCs w:val="22"/>
        </w:rPr>
      </w:pPr>
    </w:p>
    <w:p w14:paraId="4ACF0DEE" w14:textId="77777777" w:rsidR="0018708C" w:rsidRPr="00F778AF" w:rsidRDefault="0018708C" w:rsidP="0018708C">
      <w:pPr>
        <w:pStyle w:val="Antrat2"/>
      </w:pPr>
      <w:r w:rsidRPr="00F778AF">
        <w:t>6.</w:t>
      </w:r>
      <w:r w:rsidRPr="00F778AF">
        <w:tab/>
        <w:t>FARMACINĖ INFORMACIJA</w:t>
      </w:r>
    </w:p>
    <w:p w14:paraId="04564638" w14:textId="77777777" w:rsidR="0018708C" w:rsidRPr="00F778AF" w:rsidRDefault="0018708C" w:rsidP="0018708C">
      <w:pPr>
        <w:pStyle w:val="Pagrindinistekstas"/>
        <w:spacing w:after="0"/>
        <w:rPr>
          <w:b/>
          <w:szCs w:val="22"/>
        </w:rPr>
      </w:pPr>
    </w:p>
    <w:p w14:paraId="7CD09540" w14:textId="77777777" w:rsidR="0018708C" w:rsidRPr="00F778AF" w:rsidRDefault="0018708C" w:rsidP="0018708C">
      <w:pPr>
        <w:pStyle w:val="Antrat3"/>
      </w:pPr>
      <w:r w:rsidRPr="00F778AF">
        <w:t>6.1</w:t>
      </w:r>
      <w:r w:rsidRPr="00F778AF">
        <w:tab/>
        <w:t>Pagalbinių medžiagų sąrašas</w:t>
      </w:r>
    </w:p>
    <w:p w14:paraId="68FAC051" w14:textId="77777777" w:rsidR="0018708C" w:rsidRPr="00F778AF" w:rsidRDefault="0018708C" w:rsidP="0018708C">
      <w:pPr>
        <w:pStyle w:val="Pagrindinistekstas"/>
        <w:spacing w:after="0"/>
        <w:rPr>
          <w:szCs w:val="22"/>
        </w:rPr>
      </w:pPr>
    </w:p>
    <w:p w14:paraId="76B0DE3B" w14:textId="77777777" w:rsidR="0018708C" w:rsidRPr="00F778AF" w:rsidRDefault="0018708C" w:rsidP="0018708C">
      <w:pPr>
        <w:pStyle w:val="Pagrindinistekstas"/>
        <w:spacing w:after="0"/>
        <w:rPr>
          <w:szCs w:val="22"/>
        </w:rPr>
      </w:pPr>
      <w:r w:rsidRPr="00F778AF">
        <w:rPr>
          <w:szCs w:val="22"/>
        </w:rPr>
        <w:t>Aliuminio-natrio silikatas</w:t>
      </w:r>
    </w:p>
    <w:p w14:paraId="7A4A7278" w14:textId="77777777" w:rsidR="0018708C" w:rsidRPr="00F778AF" w:rsidRDefault="0018708C" w:rsidP="0018708C">
      <w:pPr>
        <w:pStyle w:val="Pagrindinistekstas"/>
        <w:spacing w:after="0"/>
        <w:rPr>
          <w:szCs w:val="22"/>
        </w:rPr>
      </w:pPr>
      <w:r w:rsidRPr="00F778AF">
        <w:rPr>
          <w:szCs w:val="22"/>
        </w:rPr>
        <w:t xml:space="preserve">Sintetinis parafinas </w:t>
      </w:r>
    </w:p>
    <w:p w14:paraId="15165B4F" w14:textId="77777777" w:rsidR="0018708C" w:rsidRPr="00F778AF" w:rsidRDefault="0018708C" w:rsidP="0018708C">
      <w:pPr>
        <w:pStyle w:val="Pagrindinistekstas"/>
        <w:spacing w:after="0"/>
        <w:rPr>
          <w:szCs w:val="22"/>
        </w:rPr>
      </w:pPr>
      <w:r w:rsidRPr="00F778AF">
        <w:rPr>
          <w:szCs w:val="22"/>
        </w:rPr>
        <w:t>Hidroksipropilceliuliozė</w:t>
      </w:r>
    </w:p>
    <w:p w14:paraId="15B9A6F7" w14:textId="77777777" w:rsidR="0018708C" w:rsidRPr="00F778AF" w:rsidRDefault="0018708C" w:rsidP="0018708C">
      <w:pPr>
        <w:pStyle w:val="Pagrindinistekstas"/>
        <w:spacing w:after="0"/>
        <w:rPr>
          <w:szCs w:val="22"/>
        </w:rPr>
      </w:pPr>
      <w:r w:rsidRPr="00F778AF">
        <w:rPr>
          <w:szCs w:val="22"/>
        </w:rPr>
        <w:t>Magnio stearatas</w:t>
      </w:r>
    </w:p>
    <w:p w14:paraId="0E470D3A" w14:textId="77777777" w:rsidR="0018708C" w:rsidRPr="00F778AF" w:rsidRDefault="0018708C" w:rsidP="0018708C">
      <w:pPr>
        <w:pStyle w:val="Pagrindinistekstas"/>
        <w:spacing w:after="0"/>
        <w:rPr>
          <w:szCs w:val="22"/>
        </w:rPr>
      </w:pPr>
      <w:r w:rsidRPr="00F778AF">
        <w:rPr>
          <w:szCs w:val="22"/>
        </w:rPr>
        <w:t>Koloidinis bevandenis silicio dioksidas</w:t>
      </w:r>
    </w:p>
    <w:p w14:paraId="56D32616" w14:textId="77777777" w:rsidR="0018708C" w:rsidRPr="00F778AF" w:rsidRDefault="0018708C" w:rsidP="0018708C">
      <w:pPr>
        <w:pStyle w:val="Pagrindinistekstas"/>
        <w:spacing w:after="0"/>
        <w:rPr>
          <w:szCs w:val="22"/>
        </w:rPr>
      </w:pPr>
      <w:r w:rsidRPr="00F778AF">
        <w:rPr>
          <w:szCs w:val="22"/>
        </w:rPr>
        <w:t>Hipromeliozė</w:t>
      </w:r>
    </w:p>
    <w:p w14:paraId="7D6906C9" w14:textId="77777777" w:rsidR="0018708C" w:rsidRPr="00F778AF" w:rsidRDefault="0018708C" w:rsidP="0018708C">
      <w:pPr>
        <w:pStyle w:val="Pagrindinistekstas"/>
        <w:spacing w:after="0"/>
        <w:rPr>
          <w:szCs w:val="22"/>
        </w:rPr>
      </w:pPr>
      <w:r w:rsidRPr="00F778AF">
        <w:rPr>
          <w:szCs w:val="22"/>
        </w:rPr>
        <w:t>Makrogolis</w:t>
      </w:r>
    </w:p>
    <w:p w14:paraId="41364355" w14:textId="77777777" w:rsidR="0018708C" w:rsidRPr="00F778AF" w:rsidRDefault="0018708C" w:rsidP="0018708C">
      <w:pPr>
        <w:pStyle w:val="Pagrindinistekstas"/>
        <w:spacing w:after="0"/>
        <w:rPr>
          <w:szCs w:val="22"/>
        </w:rPr>
      </w:pPr>
      <w:r w:rsidRPr="00F778AF">
        <w:rPr>
          <w:szCs w:val="22"/>
        </w:rPr>
        <w:t>Geltonasis geležies oksidas (E172)</w:t>
      </w:r>
    </w:p>
    <w:p w14:paraId="59C1E686" w14:textId="77777777" w:rsidR="0018708C" w:rsidRPr="00F778AF" w:rsidRDefault="0018708C" w:rsidP="0018708C">
      <w:pPr>
        <w:pStyle w:val="Pagrindinistekstas"/>
        <w:spacing w:after="0"/>
        <w:rPr>
          <w:szCs w:val="22"/>
        </w:rPr>
      </w:pPr>
      <w:r w:rsidRPr="00F778AF">
        <w:rPr>
          <w:szCs w:val="22"/>
        </w:rPr>
        <w:t>Titano dioksidas (E171)</w:t>
      </w:r>
    </w:p>
    <w:p w14:paraId="7EB589ED" w14:textId="77777777" w:rsidR="0018708C" w:rsidRPr="00F778AF" w:rsidRDefault="0018708C" w:rsidP="0018708C">
      <w:pPr>
        <w:pStyle w:val="Pagrindinistekstas"/>
        <w:spacing w:after="0"/>
        <w:rPr>
          <w:szCs w:val="22"/>
        </w:rPr>
      </w:pPr>
    </w:p>
    <w:p w14:paraId="157954D8" w14:textId="77777777" w:rsidR="0018708C" w:rsidRPr="00F778AF" w:rsidRDefault="0018708C" w:rsidP="0018708C">
      <w:pPr>
        <w:pStyle w:val="Antrat3"/>
      </w:pPr>
      <w:r w:rsidRPr="00F778AF">
        <w:t>6.2</w:t>
      </w:r>
      <w:r w:rsidRPr="00F778AF">
        <w:tab/>
        <w:t>Nesuderinamumas</w:t>
      </w:r>
    </w:p>
    <w:p w14:paraId="6AB88CCD" w14:textId="77777777" w:rsidR="0018708C" w:rsidRPr="00F778AF" w:rsidRDefault="0018708C" w:rsidP="0018708C">
      <w:pPr>
        <w:pStyle w:val="Pagrindinistekstas"/>
        <w:spacing w:after="0"/>
        <w:rPr>
          <w:szCs w:val="22"/>
        </w:rPr>
      </w:pPr>
    </w:p>
    <w:p w14:paraId="44FE865D" w14:textId="77777777" w:rsidR="0018708C" w:rsidRPr="00F778AF" w:rsidRDefault="0018708C" w:rsidP="0018708C">
      <w:pPr>
        <w:pStyle w:val="Pagrindinistekstas"/>
        <w:spacing w:after="0"/>
        <w:rPr>
          <w:szCs w:val="22"/>
        </w:rPr>
      </w:pPr>
      <w:r w:rsidRPr="00F778AF">
        <w:rPr>
          <w:szCs w:val="22"/>
        </w:rPr>
        <w:lastRenderedPageBreak/>
        <w:t>Duomenys nebūtini.</w:t>
      </w:r>
    </w:p>
    <w:p w14:paraId="73757B38" w14:textId="77777777" w:rsidR="0018708C" w:rsidRPr="00F778AF" w:rsidRDefault="0018708C" w:rsidP="0018708C">
      <w:pPr>
        <w:pStyle w:val="Pagrindinistekstas"/>
        <w:spacing w:after="0"/>
        <w:rPr>
          <w:szCs w:val="22"/>
        </w:rPr>
      </w:pPr>
    </w:p>
    <w:p w14:paraId="7D050096" w14:textId="77777777" w:rsidR="0018708C" w:rsidRPr="00F778AF" w:rsidRDefault="0018708C" w:rsidP="0018708C">
      <w:pPr>
        <w:pStyle w:val="Antrat3"/>
      </w:pPr>
      <w:r w:rsidRPr="00F778AF">
        <w:t>6.3</w:t>
      </w:r>
      <w:r w:rsidRPr="00F778AF">
        <w:tab/>
        <w:t>Tinkamumo laikas</w:t>
      </w:r>
    </w:p>
    <w:p w14:paraId="43F47467" w14:textId="77777777" w:rsidR="0018708C" w:rsidRPr="00F778AF" w:rsidRDefault="0018708C" w:rsidP="0018708C">
      <w:pPr>
        <w:pStyle w:val="Pagrindinistekstas"/>
        <w:spacing w:after="0"/>
        <w:rPr>
          <w:szCs w:val="22"/>
        </w:rPr>
      </w:pPr>
    </w:p>
    <w:p w14:paraId="14225B47" w14:textId="77777777" w:rsidR="0018708C" w:rsidRPr="00F778AF" w:rsidRDefault="0018708C" w:rsidP="0018708C">
      <w:pPr>
        <w:pStyle w:val="Pagrindinistekstas"/>
        <w:spacing w:after="0"/>
        <w:rPr>
          <w:szCs w:val="22"/>
        </w:rPr>
      </w:pPr>
      <w:r w:rsidRPr="00F778AF">
        <w:rPr>
          <w:szCs w:val="22"/>
        </w:rPr>
        <w:t>3 metai</w:t>
      </w:r>
    </w:p>
    <w:p w14:paraId="05146DB1" w14:textId="77777777" w:rsidR="0018708C" w:rsidRPr="00F778AF" w:rsidRDefault="0018708C" w:rsidP="0018708C">
      <w:pPr>
        <w:pStyle w:val="Pagrindinistekstas"/>
        <w:spacing w:after="0"/>
        <w:rPr>
          <w:szCs w:val="22"/>
        </w:rPr>
      </w:pPr>
    </w:p>
    <w:p w14:paraId="7BC0C9EF" w14:textId="77777777" w:rsidR="0018708C" w:rsidRPr="00F778AF" w:rsidRDefault="0018708C" w:rsidP="0018708C">
      <w:pPr>
        <w:pStyle w:val="Antrat3"/>
      </w:pPr>
      <w:r w:rsidRPr="00F778AF">
        <w:t>6.4</w:t>
      </w:r>
      <w:r w:rsidRPr="00F778AF">
        <w:tab/>
        <w:t>Specialios laikymo sąlygos</w:t>
      </w:r>
    </w:p>
    <w:p w14:paraId="2E0FBD3A" w14:textId="77777777" w:rsidR="0018708C" w:rsidRPr="00F778AF" w:rsidRDefault="0018708C" w:rsidP="0018708C">
      <w:pPr>
        <w:pStyle w:val="Pagrindinistekstas"/>
        <w:spacing w:after="0"/>
        <w:rPr>
          <w:szCs w:val="22"/>
        </w:rPr>
      </w:pPr>
    </w:p>
    <w:p w14:paraId="2CDB2706" w14:textId="77777777" w:rsidR="0018708C" w:rsidRPr="00F778AF" w:rsidRDefault="0018708C" w:rsidP="0018708C">
      <w:pPr>
        <w:pStyle w:val="Pagrindinistekstas"/>
        <w:spacing w:after="0"/>
        <w:rPr>
          <w:szCs w:val="22"/>
        </w:rPr>
      </w:pPr>
      <w:r w:rsidRPr="00F778AF">
        <w:rPr>
          <w:szCs w:val="22"/>
        </w:rPr>
        <w:t>Šiam vaistiniam preparatui specialių laikymo sąlygų nereikia.</w:t>
      </w:r>
    </w:p>
    <w:p w14:paraId="6E74D98F" w14:textId="77777777" w:rsidR="0018708C" w:rsidRPr="00F778AF" w:rsidRDefault="0018708C" w:rsidP="0018708C">
      <w:pPr>
        <w:pStyle w:val="Pagrindinistekstas"/>
        <w:spacing w:after="0"/>
        <w:rPr>
          <w:szCs w:val="22"/>
        </w:rPr>
      </w:pPr>
    </w:p>
    <w:p w14:paraId="13CB2EA0" w14:textId="77777777" w:rsidR="0018708C" w:rsidRPr="00F778AF" w:rsidRDefault="0018708C" w:rsidP="0018708C">
      <w:pPr>
        <w:pStyle w:val="Antrat3"/>
      </w:pPr>
      <w:r w:rsidRPr="00F778AF">
        <w:t>6.5</w:t>
      </w:r>
      <w:r w:rsidRPr="00F778AF">
        <w:tab/>
        <w:t>Talpyklės pobūdis ir  jos turinys</w:t>
      </w:r>
    </w:p>
    <w:p w14:paraId="74C86459" w14:textId="77777777" w:rsidR="0018708C" w:rsidRPr="00F778AF" w:rsidRDefault="0018708C" w:rsidP="0018708C">
      <w:pPr>
        <w:pStyle w:val="Pagrindinistekstas"/>
        <w:spacing w:after="0"/>
        <w:rPr>
          <w:szCs w:val="22"/>
        </w:rPr>
      </w:pPr>
    </w:p>
    <w:p w14:paraId="46BE9B53" w14:textId="77777777" w:rsidR="0018708C" w:rsidRPr="00F778AF" w:rsidRDefault="0018708C" w:rsidP="0018708C">
      <w:pPr>
        <w:pStyle w:val="Pagrindinistekstas"/>
        <w:spacing w:after="0"/>
        <w:rPr>
          <w:bCs/>
          <w:szCs w:val="22"/>
        </w:rPr>
      </w:pPr>
      <w:r w:rsidRPr="00F778AF">
        <w:rPr>
          <w:bCs/>
          <w:szCs w:val="22"/>
        </w:rPr>
        <w:t>Didelio tankio polietileninis buteliukas su užsukamu polipropileniniu dangteliu.</w:t>
      </w:r>
    </w:p>
    <w:p w14:paraId="195995B2" w14:textId="77777777" w:rsidR="0018708C" w:rsidRPr="00F778AF" w:rsidRDefault="0018708C" w:rsidP="0018708C">
      <w:pPr>
        <w:pStyle w:val="Pagrindinistekstas"/>
        <w:spacing w:after="0"/>
        <w:rPr>
          <w:szCs w:val="22"/>
        </w:rPr>
      </w:pPr>
      <w:r w:rsidRPr="00F778AF">
        <w:rPr>
          <w:bCs/>
          <w:szCs w:val="22"/>
        </w:rPr>
        <w:t>Pakuotėje yra 30 pailginto atpalaidavimo tablečių.</w:t>
      </w:r>
    </w:p>
    <w:p w14:paraId="1CD09FA3" w14:textId="77777777" w:rsidR="0018708C" w:rsidRPr="00F778AF" w:rsidRDefault="0018708C" w:rsidP="0018708C">
      <w:pPr>
        <w:pStyle w:val="Pagrindinistekstas"/>
        <w:spacing w:after="0"/>
        <w:rPr>
          <w:szCs w:val="22"/>
        </w:rPr>
      </w:pPr>
      <w:r w:rsidRPr="00F778AF">
        <w:rPr>
          <w:szCs w:val="22"/>
        </w:rPr>
        <w:t>Kartono dėžutėje yra vienas buteliukas.</w:t>
      </w:r>
    </w:p>
    <w:p w14:paraId="0A88FF1E" w14:textId="77777777" w:rsidR="0018708C" w:rsidRPr="00F778AF" w:rsidRDefault="0018708C" w:rsidP="0018708C">
      <w:pPr>
        <w:pStyle w:val="Pagrindinistekstas"/>
        <w:spacing w:after="0"/>
        <w:rPr>
          <w:szCs w:val="22"/>
        </w:rPr>
      </w:pPr>
    </w:p>
    <w:p w14:paraId="44AFDFA4" w14:textId="77777777" w:rsidR="0018708C" w:rsidRPr="00F778AF" w:rsidRDefault="0018708C" w:rsidP="0018708C">
      <w:pPr>
        <w:pStyle w:val="Antrat3"/>
      </w:pPr>
      <w:r w:rsidRPr="00F778AF">
        <w:t>6.6</w:t>
      </w:r>
      <w:r w:rsidRPr="00F778AF">
        <w:tab/>
        <w:t>Specialūs reikalavimai atliekoms tvarkyti</w:t>
      </w:r>
    </w:p>
    <w:p w14:paraId="2A2363D5" w14:textId="77777777" w:rsidR="0018708C" w:rsidRPr="00F778AF" w:rsidRDefault="0018708C" w:rsidP="0018708C">
      <w:pPr>
        <w:pStyle w:val="Pagrindinistekstas"/>
        <w:spacing w:after="0"/>
        <w:rPr>
          <w:szCs w:val="22"/>
        </w:rPr>
      </w:pPr>
    </w:p>
    <w:p w14:paraId="2AB9A045" w14:textId="77777777" w:rsidR="0018708C" w:rsidRPr="00F778AF" w:rsidRDefault="0018708C" w:rsidP="0018708C">
      <w:pPr>
        <w:pStyle w:val="Pagrindinistekstas"/>
        <w:spacing w:after="0"/>
        <w:rPr>
          <w:szCs w:val="22"/>
        </w:rPr>
      </w:pPr>
      <w:r w:rsidRPr="00F778AF">
        <w:rPr>
          <w:szCs w:val="22"/>
        </w:rPr>
        <w:t>Specialių reikalavimų nėra.</w:t>
      </w:r>
    </w:p>
    <w:p w14:paraId="2E465241" w14:textId="77777777" w:rsidR="0018708C" w:rsidRPr="00F778AF" w:rsidRDefault="0018708C" w:rsidP="0018708C">
      <w:pPr>
        <w:pStyle w:val="Pagrindinistekstas"/>
        <w:spacing w:after="0"/>
        <w:rPr>
          <w:szCs w:val="22"/>
        </w:rPr>
      </w:pPr>
    </w:p>
    <w:p w14:paraId="5ACE63A0" w14:textId="77777777" w:rsidR="0018708C" w:rsidRPr="00F778AF" w:rsidRDefault="0018708C" w:rsidP="0018708C">
      <w:pPr>
        <w:pStyle w:val="Pagrindinistekstas"/>
        <w:spacing w:after="0"/>
        <w:rPr>
          <w:szCs w:val="22"/>
        </w:rPr>
      </w:pPr>
    </w:p>
    <w:p w14:paraId="3AD0CD10" w14:textId="77777777" w:rsidR="0018708C" w:rsidRPr="00F778AF" w:rsidRDefault="0018708C" w:rsidP="0018708C">
      <w:pPr>
        <w:pStyle w:val="Antrat2"/>
      </w:pPr>
      <w:r w:rsidRPr="00F778AF">
        <w:t>7.</w:t>
      </w:r>
      <w:r w:rsidRPr="00F778AF">
        <w:tab/>
        <w:t>REGISTRUOTOJAS</w:t>
      </w:r>
    </w:p>
    <w:p w14:paraId="7757B3C7" w14:textId="77777777" w:rsidR="0018708C" w:rsidRPr="00F778AF" w:rsidRDefault="0018708C" w:rsidP="0018708C">
      <w:pPr>
        <w:pStyle w:val="Pagrindinistekstas"/>
        <w:spacing w:after="0"/>
        <w:rPr>
          <w:szCs w:val="22"/>
        </w:rPr>
      </w:pPr>
    </w:p>
    <w:p w14:paraId="7A98D8BE" w14:textId="77777777" w:rsidR="0018708C" w:rsidRDefault="0018708C" w:rsidP="0018708C">
      <w:pPr>
        <w:pStyle w:val="Pagrindinistekstas"/>
        <w:spacing w:after="0"/>
        <w:rPr>
          <w:szCs w:val="22"/>
        </w:rPr>
      </w:pPr>
      <w:r w:rsidRPr="00515E15">
        <w:rPr>
          <w:szCs w:val="22"/>
        </w:rPr>
        <w:t xml:space="preserve">TopRidge Pharma (Ireland) Limited </w:t>
      </w:r>
    </w:p>
    <w:p w14:paraId="54BFF02D" w14:textId="77777777" w:rsidR="0018708C" w:rsidRDefault="0018708C" w:rsidP="0018708C">
      <w:pPr>
        <w:pStyle w:val="Pagrindinistekstas"/>
        <w:spacing w:after="0"/>
        <w:rPr>
          <w:szCs w:val="22"/>
        </w:rPr>
      </w:pPr>
      <w:r w:rsidRPr="00515E15">
        <w:rPr>
          <w:szCs w:val="22"/>
        </w:rPr>
        <w:t>6-9 Trinity Street</w:t>
      </w:r>
      <w:r>
        <w:rPr>
          <w:szCs w:val="22"/>
        </w:rPr>
        <w:t xml:space="preserve">, </w:t>
      </w:r>
      <w:r w:rsidRPr="00515E15">
        <w:rPr>
          <w:szCs w:val="22"/>
        </w:rPr>
        <w:t xml:space="preserve">Dublinas 2 </w:t>
      </w:r>
    </w:p>
    <w:p w14:paraId="626DD1A0" w14:textId="77777777" w:rsidR="0018708C" w:rsidRPr="00515E15" w:rsidRDefault="0018708C" w:rsidP="0018708C">
      <w:pPr>
        <w:pStyle w:val="Pagrindinistekstas"/>
        <w:spacing w:after="0"/>
        <w:rPr>
          <w:szCs w:val="22"/>
        </w:rPr>
      </w:pPr>
      <w:r w:rsidRPr="00515E15">
        <w:rPr>
          <w:szCs w:val="22"/>
        </w:rPr>
        <w:t>Airija</w:t>
      </w:r>
    </w:p>
    <w:p w14:paraId="2A0FDAD1" w14:textId="77777777" w:rsidR="0018708C" w:rsidRDefault="0018708C" w:rsidP="0018708C">
      <w:pPr>
        <w:pStyle w:val="Pagrindinistekstas"/>
        <w:spacing w:after="0"/>
        <w:rPr>
          <w:szCs w:val="22"/>
        </w:rPr>
      </w:pPr>
    </w:p>
    <w:p w14:paraId="3D4A48C9" w14:textId="77777777" w:rsidR="0018708C" w:rsidRPr="00F778AF" w:rsidRDefault="0018708C" w:rsidP="0018708C">
      <w:pPr>
        <w:pStyle w:val="Pagrindinistekstas"/>
        <w:spacing w:after="0"/>
        <w:rPr>
          <w:szCs w:val="22"/>
        </w:rPr>
      </w:pPr>
    </w:p>
    <w:p w14:paraId="65D71E16" w14:textId="77777777" w:rsidR="0018708C" w:rsidRPr="00F778AF" w:rsidRDefault="0018708C" w:rsidP="0018708C">
      <w:pPr>
        <w:pStyle w:val="Antrat2"/>
      </w:pPr>
      <w:r w:rsidRPr="00F778AF">
        <w:t>8.</w:t>
      </w:r>
      <w:r w:rsidRPr="00F778AF">
        <w:tab/>
        <w:t>REGISTRACIJOS PAŽYMĖJIMO NUMERIS</w:t>
      </w:r>
    </w:p>
    <w:p w14:paraId="08AA0E62" w14:textId="77777777" w:rsidR="0018708C" w:rsidRPr="00F778AF" w:rsidRDefault="0018708C" w:rsidP="0018708C">
      <w:pPr>
        <w:pStyle w:val="Pagrindinistekstas"/>
        <w:spacing w:after="0"/>
        <w:rPr>
          <w:szCs w:val="22"/>
        </w:rPr>
      </w:pPr>
    </w:p>
    <w:p w14:paraId="7EF677A6" w14:textId="77777777" w:rsidR="0018708C" w:rsidRPr="00F778AF" w:rsidRDefault="0018708C" w:rsidP="0018708C">
      <w:pPr>
        <w:pStyle w:val="Pagrindinistekstas"/>
        <w:spacing w:after="0"/>
        <w:rPr>
          <w:bCs/>
          <w:szCs w:val="22"/>
        </w:rPr>
      </w:pPr>
      <w:r w:rsidRPr="00F778AF">
        <w:rPr>
          <w:bCs/>
          <w:szCs w:val="22"/>
        </w:rPr>
        <w:t>LT/1/97/0144/001</w:t>
      </w:r>
    </w:p>
    <w:p w14:paraId="50592865" w14:textId="77777777" w:rsidR="0018708C" w:rsidRPr="00F778AF" w:rsidRDefault="0018708C" w:rsidP="0018708C">
      <w:pPr>
        <w:pStyle w:val="Pagrindinistekstas"/>
        <w:spacing w:after="0"/>
        <w:rPr>
          <w:szCs w:val="22"/>
        </w:rPr>
      </w:pPr>
    </w:p>
    <w:p w14:paraId="076F85BC" w14:textId="77777777" w:rsidR="0018708C" w:rsidRPr="00F778AF" w:rsidRDefault="0018708C" w:rsidP="0018708C">
      <w:pPr>
        <w:pStyle w:val="Pagrindinistekstas"/>
        <w:spacing w:after="0"/>
        <w:rPr>
          <w:szCs w:val="22"/>
        </w:rPr>
      </w:pPr>
    </w:p>
    <w:p w14:paraId="5C6A2502" w14:textId="77777777" w:rsidR="0018708C" w:rsidRPr="00F778AF" w:rsidRDefault="0018708C" w:rsidP="0018708C">
      <w:pPr>
        <w:pStyle w:val="Antrat2"/>
      </w:pPr>
      <w:r w:rsidRPr="00F778AF">
        <w:t>9.</w:t>
      </w:r>
      <w:r w:rsidRPr="00F778AF">
        <w:tab/>
        <w:t>REGISTRAVIMO / PERREGISTRAVIMO DATA</w:t>
      </w:r>
    </w:p>
    <w:p w14:paraId="6F1AA1E7" w14:textId="77777777" w:rsidR="0018708C" w:rsidRPr="00F778AF" w:rsidRDefault="0018708C" w:rsidP="0018708C">
      <w:pPr>
        <w:pStyle w:val="Pagrindinistekstas"/>
        <w:spacing w:after="0"/>
        <w:rPr>
          <w:szCs w:val="22"/>
        </w:rPr>
      </w:pPr>
    </w:p>
    <w:p w14:paraId="6BC21580" w14:textId="77777777" w:rsidR="0018708C" w:rsidRPr="00F778AF" w:rsidRDefault="0018708C" w:rsidP="0018708C">
      <w:pPr>
        <w:pStyle w:val="Pagrindinistekstas"/>
        <w:spacing w:after="0"/>
        <w:rPr>
          <w:szCs w:val="22"/>
        </w:rPr>
      </w:pPr>
      <w:r w:rsidRPr="00F778AF">
        <w:rPr>
          <w:szCs w:val="22"/>
        </w:rPr>
        <w:t>Registravimo data 1997 m. rugsėjo mėn. 03 d.</w:t>
      </w:r>
    </w:p>
    <w:p w14:paraId="0FBFAFA3" w14:textId="77777777" w:rsidR="0018708C" w:rsidRPr="00F778AF" w:rsidRDefault="0018708C" w:rsidP="0018708C">
      <w:pPr>
        <w:pStyle w:val="Pagrindinistekstas"/>
        <w:spacing w:after="0"/>
        <w:rPr>
          <w:szCs w:val="22"/>
        </w:rPr>
      </w:pPr>
      <w:r w:rsidRPr="00F778AF">
        <w:rPr>
          <w:szCs w:val="22"/>
        </w:rPr>
        <w:t>Paskutinio perregistravimo data 2012 m. birželio mėn. 15 d.</w:t>
      </w:r>
    </w:p>
    <w:p w14:paraId="47C1B57D" w14:textId="77777777" w:rsidR="0018708C" w:rsidRPr="00F778AF" w:rsidRDefault="0018708C" w:rsidP="0018708C">
      <w:pPr>
        <w:pStyle w:val="Pagrindinistekstas"/>
        <w:spacing w:after="0"/>
        <w:rPr>
          <w:szCs w:val="22"/>
        </w:rPr>
      </w:pPr>
    </w:p>
    <w:p w14:paraId="6D5C5BDE" w14:textId="77777777" w:rsidR="0018708C" w:rsidRPr="00F778AF" w:rsidRDefault="0018708C" w:rsidP="0018708C">
      <w:pPr>
        <w:pStyle w:val="Pagrindinistekstas"/>
        <w:spacing w:after="0"/>
        <w:rPr>
          <w:szCs w:val="22"/>
        </w:rPr>
      </w:pPr>
    </w:p>
    <w:p w14:paraId="0B3D3D3A" w14:textId="77777777" w:rsidR="0018708C" w:rsidRPr="00F778AF" w:rsidRDefault="0018708C" w:rsidP="0018708C">
      <w:pPr>
        <w:pStyle w:val="Antrat2"/>
      </w:pPr>
      <w:r w:rsidRPr="00F778AF">
        <w:t>10.</w:t>
      </w:r>
      <w:r w:rsidRPr="00F778AF">
        <w:tab/>
        <w:t>TEKSTO PERŽIŪROS DATA</w:t>
      </w:r>
    </w:p>
    <w:p w14:paraId="47628B00" w14:textId="77777777" w:rsidR="0018708C" w:rsidRPr="00F778AF" w:rsidRDefault="0018708C" w:rsidP="0018708C">
      <w:pPr>
        <w:pStyle w:val="Pagrindinistekstas"/>
        <w:spacing w:after="0"/>
        <w:rPr>
          <w:szCs w:val="22"/>
        </w:rPr>
      </w:pPr>
    </w:p>
    <w:p w14:paraId="2A7B49EE" w14:textId="0ECBBA58" w:rsidR="0018708C" w:rsidRDefault="00AD08F8" w:rsidP="0018708C">
      <w:pPr>
        <w:pStyle w:val="Pagrindinistekstas"/>
        <w:spacing w:after="0"/>
        <w:rPr>
          <w:szCs w:val="22"/>
        </w:rPr>
      </w:pPr>
      <w:r>
        <w:rPr>
          <w:szCs w:val="22"/>
        </w:rPr>
        <w:t>2025 m. sausio 14 d.</w:t>
      </w:r>
    </w:p>
    <w:p w14:paraId="56CFFB83" w14:textId="77777777" w:rsidR="0018708C" w:rsidRPr="00F778AF" w:rsidRDefault="0018708C" w:rsidP="0018708C">
      <w:pPr>
        <w:pStyle w:val="Pagrindinistekstas"/>
        <w:spacing w:after="0"/>
        <w:rPr>
          <w:szCs w:val="22"/>
        </w:rPr>
      </w:pPr>
    </w:p>
    <w:p w14:paraId="03F0B872" w14:textId="38B869AE" w:rsidR="0018708C" w:rsidRPr="00F778AF" w:rsidRDefault="0018708C" w:rsidP="0018708C">
      <w:pPr>
        <w:tabs>
          <w:tab w:val="left" w:pos="5954"/>
          <w:tab w:val="left" w:pos="6237"/>
          <w:tab w:val="left" w:pos="6663"/>
          <w:tab w:val="left" w:pos="6946"/>
        </w:tabs>
        <w:rPr>
          <w:rFonts w:eastAsia="SimSun"/>
          <w:b w:val="0"/>
          <w:bCs w:val="0"/>
          <w:sz w:val="22"/>
          <w:szCs w:val="22"/>
        </w:rPr>
      </w:pPr>
      <w:r w:rsidRPr="00F778AF">
        <w:rPr>
          <w:rFonts w:eastAsia="SimSun"/>
          <w:b w:val="0"/>
          <w:bCs w:val="0"/>
          <w:noProof/>
          <w:sz w:val="22"/>
          <w:szCs w:val="22"/>
        </w:rPr>
        <w:t>Išsami informacija apie šį vaistinį preparatą pateikiama Valstybinės vaistų kontrolės tarnybos prie Lietuvos Respublikos sveikatos apsaugos ministerijos tinklalapyje</w:t>
      </w:r>
      <w:r w:rsidRPr="00F778AF">
        <w:rPr>
          <w:rFonts w:eastAsia="SimSun"/>
          <w:b w:val="0"/>
          <w:bCs w:val="0"/>
          <w:i/>
          <w:noProof/>
          <w:sz w:val="22"/>
          <w:szCs w:val="22"/>
        </w:rPr>
        <w:t xml:space="preserve"> </w:t>
      </w:r>
      <w:hyperlink r:id="rId7" w:history="1">
        <w:r w:rsidR="006B4733" w:rsidRPr="0038376F">
          <w:rPr>
            <w:rStyle w:val="Hipersaitas"/>
            <w:rFonts w:eastAsia="SimSun"/>
            <w:b w:val="0"/>
            <w:bCs w:val="0"/>
            <w:noProof/>
            <w:sz w:val="22"/>
            <w:szCs w:val="22"/>
          </w:rPr>
          <w:t>https://</w:t>
        </w:r>
        <w:r w:rsidR="006B4733" w:rsidRPr="0038376F">
          <w:rPr>
            <w:rStyle w:val="Hipersaitas"/>
            <w:rFonts w:eastAsia="SimSun"/>
            <w:b w:val="0"/>
            <w:bCs w:val="0"/>
            <w:sz w:val="22"/>
            <w:szCs w:val="22"/>
          </w:rPr>
          <w:t>vvkt.lrv.lt/lt</w:t>
        </w:r>
      </w:hyperlink>
      <w:r w:rsidR="006B4733">
        <w:rPr>
          <w:rFonts w:eastAsia="SimSun"/>
          <w:b w:val="0"/>
          <w:bCs w:val="0"/>
          <w:noProof/>
          <w:color w:val="0000FF"/>
          <w:sz w:val="22"/>
          <w:szCs w:val="22"/>
          <w:u w:val="single"/>
        </w:rPr>
        <w:t>/</w:t>
      </w:r>
    </w:p>
    <w:p w14:paraId="44E09773" w14:textId="77777777" w:rsidR="0018708C" w:rsidRPr="00F778AF" w:rsidRDefault="0018708C" w:rsidP="0018708C">
      <w:pPr>
        <w:pStyle w:val="BTEMEASMCA"/>
        <w:rPr>
          <w:noProof w:val="0"/>
        </w:rPr>
      </w:pPr>
      <w:r w:rsidRPr="00F778AF">
        <w:br w:type="page"/>
      </w:r>
    </w:p>
    <w:p w14:paraId="771EECCB" w14:textId="77777777" w:rsidR="0018708C" w:rsidRPr="00F778AF" w:rsidRDefault="0018708C" w:rsidP="0018708C">
      <w:pPr>
        <w:pStyle w:val="BTEMEASMCA"/>
        <w:rPr>
          <w:noProof w:val="0"/>
        </w:rPr>
      </w:pPr>
    </w:p>
    <w:p w14:paraId="786F15AA" w14:textId="77777777" w:rsidR="0018708C" w:rsidRPr="00F778AF" w:rsidRDefault="0018708C" w:rsidP="0018708C">
      <w:pPr>
        <w:pStyle w:val="BTEMEASMCA"/>
        <w:rPr>
          <w:noProof w:val="0"/>
        </w:rPr>
      </w:pPr>
    </w:p>
    <w:p w14:paraId="589F0694" w14:textId="77777777" w:rsidR="0018708C" w:rsidRPr="00F778AF" w:rsidRDefault="0018708C" w:rsidP="0018708C">
      <w:pPr>
        <w:pStyle w:val="BTEMEASMCA"/>
        <w:rPr>
          <w:noProof w:val="0"/>
        </w:rPr>
      </w:pPr>
    </w:p>
    <w:p w14:paraId="67CC444A" w14:textId="77777777" w:rsidR="0018708C" w:rsidRPr="00F778AF" w:rsidRDefault="0018708C" w:rsidP="0018708C">
      <w:pPr>
        <w:pStyle w:val="BTEMEASMCA"/>
        <w:rPr>
          <w:noProof w:val="0"/>
        </w:rPr>
      </w:pPr>
    </w:p>
    <w:p w14:paraId="2264B3A2" w14:textId="77777777" w:rsidR="0018708C" w:rsidRPr="00F778AF" w:rsidRDefault="0018708C" w:rsidP="0018708C">
      <w:pPr>
        <w:pStyle w:val="BTEMEASMCA"/>
        <w:rPr>
          <w:noProof w:val="0"/>
        </w:rPr>
      </w:pPr>
    </w:p>
    <w:p w14:paraId="0C4C2526" w14:textId="77777777" w:rsidR="0018708C" w:rsidRPr="00F778AF" w:rsidRDefault="0018708C" w:rsidP="0018708C">
      <w:pPr>
        <w:pStyle w:val="BTEMEASMCA"/>
        <w:rPr>
          <w:noProof w:val="0"/>
        </w:rPr>
      </w:pPr>
    </w:p>
    <w:p w14:paraId="6039C75E" w14:textId="77777777" w:rsidR="0018708C" w:rsidRPr="00F778AF" w:rsidRDefault="0018708C" w:rsidP="0018708C">
      <w:pPr>
        <w:pStyle w:val="BTEMEASMCA"/>
        <w:rPr>
          <w:noProof w:val="0"/>
        </w:rPr>
      </w:pPr>
    </w:p>
    <w:p w14:paraId="23A25391" w14:textId="77777777" w:rsidR="0018708C" w:rsidRPr="00F778AF" w:rsidRDefault="0018708C" w:rsidP="0018708C">
      <w:pPr>
        <w:pStyle w:val="BTEMEASMCA"/>
        <w:rPr>
          <w:noProof w:val="0"/>
        </w:rPr>
      </w:pPr>
    </w:p>
    <w:p w14:paraId="256CA32A" w14:textId="77777777" w:rsidR="0018708C" w:rsidRPr="00F778AF" w:rsidRDefault="0018708C" w:rsidP="0018708C">
      <w:pPr>
        <w:pStyle w:val="BTEMEASMCA"/>
        <w:rPr>
          <w:noProof w:val="0"/>
        </w:rPr>
      </w:pPr>
    </w:p>
    <w:p w14:paraId="53BC52A8" w14:textId="77777777" w:rsidR="0018708C" w:rsidRPr="00F778AF" w:rsidRDefault="0018708C" w:rsidP="0018708C">
      <w:pPr>
        <w:pStyle w:val="BTEMEASMCA"/>
        <w:rPr>
          <w:noProof w:val="0"/>
        </w:rPr>
      </w:pPr>
    </w:p>
    <w:p w14:paraId="7ABBCD0C" w14:textId="77777777" w:rsidR="0018708C" w:rsidRPr="00F778AF" w:rsidRDefault="0018708C" w:rsidP="0018708C">
      <w:pPr>
        <w:pStyle w:val="BTEMEASMCA"/>
        <w:rPr>
          <w:noProof w:val="0"/>
        </w:rPr>
      </w:pPr>
    </w:p>
    <w:p w14:paraId="11B63348" w14:textId="77777777" w:rsidR="0018708C" w:rsidRPr="00F778AF" w:rsidRDefault="0018708C" w:rsidP="0018708C">
      <w:pPr>
        <w:pStyle w:val="BTEMEASMCA"/>
        <w:rPr>
          <w:noProof w:val="0"/>
        </w:rPr>
      </w:pPr>
    </w:p>
    <w:p w14:paraId="15DA169E" w14:textId="77777777" w:rsidR="0018708C" w:rsidRPr="00F778AF" w:rsidRDefault="0018708C" w:rsidP="0018708C">
      <w:pPr>
        <w:pStyle w:val="BTEMEASMCA"/>
        <w:rPr>
          <w:noProof w:val="0"/>
        </w:rPr>
      </w:pPr>
    </w:p>
    <w:p w14:paraId="6AA26D7C" w14:textId="77777777" w:rsidR="0018708C" w:rsidRPr="00F778AF" w:rsidRDefault="0018708C" w:rsidP="0018708C">
      <w:pPr>
        <w:pStyle w:val="BTEMEASMCA"/>
        <w:rPr>
          <w:noProof w:val="0"/>
        </w:rPr>
      </w:pPr>
    </w:p>
    <w:p w14:paraId="744F0FD3" w14:textId="77777777" w:rsidR="0018708C" w:rsidRPr="00F778AF" w:rsidRDefault="0018708C" w:rsidP="0018708C">
      <w:pPr>
        <w:pStyle w:val="BTEMEASMCA"/>
        <w:rPr>
          <w:noProof w:val="0"/>
        </w:rPr>
      </w:pPr>
    </w:p>
    <w:p w14:paraId="181F136E" w14:textId="77777777" w:rsidR="0018708C" w:rsidRPr="00F778AF" w:rsidRDefault="0018708C" w:rsidP="0018708C">
      <w:pPr>
        <w:pStyle w:val="BTEMEASMCA"/>
        <w:rPr>
          <w:noProof w:val="0"/>
        </w:rPr>
      </w:pPr>
    </w:p>
    <w:p w14:paraId="7B392D83" w14:textId="77777777" w:rsidR="0018708C" w:rsidRPr="00F778AF" w:rsidRDefault="0018708C" w:rsidP="0018708C">
      <w:pPr>
        <w:pStyle w:val="BTEMEASMCA"/>
        <w:rPr>
          <w:noProof w:val="0"/>
        </w:rPr>
      </w:pPr>
    </w:p>
    <w:p w14:paraId="5B93F087" w14:textId="77777777" w:rsidR="0018708C" w:rsidRPr="00F778AF" w:rsidRDefault="0018708C" w:rsidP="0018708C">
      <w:pPr>
        <w:pStyle w:val="BTEMEASMCA"/>
        <w:rPr>
          <w:noProof w:val="0"/>
        </w:rPr>
      </w:pPr>
    </w:p>
    <w:p w14:paraId="557F4149" w14:textId="77777777" w:rsidR="0018708C" w:rsidRPr="00F778AF" w:rsidRDefault="0018708C" w:rsidP="0018708C">
      <w:pPr>
        <w:pStyle w:val="BTEMEASMCA"/>
        <w:rPr>
          <w:noProof w:val="0"/>
        </w:rPr>
      </w:pPr>
    </w:p>
    <w:p w14:paraId="0DF869FC" w14:textId="77777777" w:rsidR="0018708C" w:rsidRPr="00F778AF" w:rsidRDefault="0018708C" w:rsidP="0018708C">
      <w:pPr>
        <w:pStyle w:val="BTEMEASMCA"/>
        <w:rPr>
          <w:noProof w:val="0"/>
        </w:rPr>
      </w:pPr>
    </w:p>
    <w:p w14:paraId="0E06A192" w14:textId="77777777" w:rsidR="0018708C" w:rsidRPr="00F778AF" w:rsidRDefault="0018708C" w:rsidP="0018708C">
      <w:pPr>
        <w:pStyle w:val="BTEMEASMCA"/>
        <w:rPr>
          <w:noProof w:val="0"/>
        </w:rPr>
      </w:pPr>
    </w:p>
    <w:p w14:paraId="2F711A48" w14:textId="77777777" w:rsidR="0018708C" w:rsidRPr="00F778AF" w:rsidRDefault="0018708C" w:rsidP="0018708C">
      <w:pPr>
        <w:pStyle w:val="BTEMEASMCA"/>
        <w:rPr>
          <w:noProof w:val="0"/>
        </w:rPr>
      </w:pPr>
    </w:p>
    <w:p w14:paraId="210A177F" w14:textId="77777777" w:rsidR="0018708C" w:rsidRDefault="0018708C" w:rsidP="0018708C">
      <w:pPr>
        <w:pStyle w:val="TTEMEASMCA"/>
        <w:rPr>
          <w:lang w:val="lt-LT"/>
        </w:rPr>
      </w:pPr>
      <w:bookmarkStart w:id="0" w:name="_Toc129243128"/>
      <w:bookmarkStart w:id="1" w:name="_Toc129243253"/>
    </w:p>
    <w:p w14:paraId="1B3426BA" w14:textId="77777777" w:rsidR="0018708C" w:rsidRPr="00F778AF" w:rsidRDefault="0018708C" w:rsidP="0018708C">
      <w:pPr>
        <w:pStyle w:val="TTEMEASMCA"/>
        <w:rPr>
          <w:lang w:val="lt-LT"/>
        </w:rPr>
      </w:pPr>
      <w:r w:rsidRPr="00F778AF">
        <w:rPr>
          <w:lang w:val="lt-LT"/>
        </w:rPr>
        <w:t>II PRIEDAS</w:t>
      </w:r>
      <w:bookmarkEnd w:id="0"/>
      <w:bookmarkEnd w:id="1"/>
    </w:p>
    <w:p w14:paraId="3ABE5AE7" w14:textId="77777777" w:rsidR="0018708C" w:rsidRPr="00F778AF" w:rsidRDefault="0018708C" w:rsidP="0018708C">
      <w:pPr>
        <w:pStyle w:val="TTEMEASMCA"/>
        <w:rPr>
          <w:lang w:val="lt-LT"/>
        </w:rPr>
      </w:pPr>
    </w:p>
    <w:p w14:paraId="33B225A3" w14:textId="77777777" w:rsidR="0018708C" w:rsidRPr="00F778AF" w:rsidRDefault="0018708C" w:rsidP="0018708C">
      <w:pPr>
        <w:pStyle w:val="TTEMEASMCA"/>
        <w:rPr>
          <w:lang w:val="lt-LT"/>
        </w:rPr>
      </w:pPr>
      <w:r w:rsidRPr="00F778AF">
        <w:rPr>
          <w:lang w:val="lt-LT"/>
        </w:rPr>
        <w:t>registracijos SĄLYGOS</w:t>
      </w:r>
    </w:p>
    <w:p w14:paraId="545AB043" w14:textId="77777777" w:rsidR="0018708C" w:rsidRPr="00F778AF" w:rsidRDefault="0018708C" w:rsidP="0018708C">
      <w:pPr>
        <w:pStyle w:val="BTEMEASMCA"/>
        <w:rPr>
          <w:noProof w:val="0"/>
        </w:rPr>
      </w:pPr>
    </w:p>
    <w:p w14:paraId="3628D035" w14:textId="77777777" w:rsidR="0018708C" w:rsidRPr="00F778AF" w:rsidRDefault="0018708C" w:rsidP="0018708C">
      <w:pPr>
        <w:pStyle w:val="BTAnIIEMEASMCA"/>
        <w:rPr>
          <w:rFonts w:cs="Times New Roman"/>
          <w:highlight w:val="yellow"/>
          <w:lang w:val="lt-LT"/>
        </w:rPr>
      </w:pPr>
      <w:r w:rsidRPr="00F778AF">
        <w:rPr>
          <w:rFonts w:cs="Times New Roman"/>
          <w:lang w:val="lt-LT"/>
        </w:rPr>
        <w:t>A.</w:t>
      </w:r>
      <w:r w:rsidRPr="00F778AF">
        <w:rPr>
          <w:rFonts w:cs="Times New Roman"/>
          <w:lang w:val="lt-LT"/>
        </w:rPr>
        <w:tab/>
      </w:r>
      <w:r w:rsidRPr="00F778AF">
        <w:rPr>
          <w:rFonts w:cs="Times New Roman"/>
          <w:noProof/>
          <w:snapToGrid w:val="0"/>
          <w:lang w:val="lt-LT"/>
        </w:rPr>
        <w:t>GAMINTOJAS (-AI), ATSAKINGAS (-I) UŽ SERIJŲ IŠLEIDIMĄ</w:t>
      </w:r>
      <w:r w:rsidRPr="00F778AF">
        <w:rPr>
          <w:rFonts w:cs="Times New Roman"/>
          <w:lang w:val="lt-LT"/>
        </w:rPr>
        <w:t xml:space="preserve"> </w:t>
      </w:r>
    </w:p>
    <w:p w14:paraId="56C8613C" w14:textId="77777777" w:rsidR="0018708C" w:rsidRPr="00F778AF" w:rsidRDefault="0018708C" w:rsidP="0018708C">
      <w:pPr>
        <w:pStyle w:val="BTEMEASMCA"/>
        <w:rPr>
          <w:noProof w:val="0"/>
          <w:highlight w:val="yellow"/>
        </w:rPr>
      </w:pPr>
    </w:p>
    <w:p w14:paraId="60472EC9" w14:textId="77777777" w:rsidR="0018708C" w:rsidRPr="00F778AF" w:rsidRDefault="0018708C" w:rsidP="0018708C">
      <w:pPr>
        <w:tabs>
          <w:tab w:val="left" w:pos="1701"/>
        </w:tabs>
        <w:ind w:left="1701" w:right="567" w:hanging="567"/>
        <w:rPr>
          <w:bCs w:val="0"/>
          <w:snapToGrid w:val="0"/>
          <w:sz w:val="22"/>
          <w:szCs w:val="22"/>
        </w:rPr>
      </w:pPr>
      <w:r w:rsidRPr="00F778AF">
        <w:rPr>
          <w:sz w:val="22"/>
          <w:szCs w:val="22"/>
        </w:rPr>
        <w:t>B.</w:t>
      </w:r>
      <w:r w:rsidRPr="00F778AF">
        <w:rPr>
          <w:sz w:val="22"/>
          <w:szCs w:val="22"/>
        </w:rPr>
        <w:tab/>
      </w:r>
      <w:r w:rsidRPr="00F778AF">
        <w:rPr>
          <w:bCs w:val="0"/>
          <w:snapToGrid w:val="0"/>
          <w:sz w:val="22"/>
          <w:szCs w:val="22"/>
        </w:rPr>
        <w:t>TIEKIMO IR VARTOJIMO SĄLYGOS AR APRIBOJIMAI</w:t>
      </w:r>
    </w:p>
    <w:p w14:paraId="25DAB5C1" w14:textId="77777777" w:rsidR="0018708C" w:rsidRPr="00F778AF" w:rsidRDefault="0018708C" w:rsidP="0018708C">
      <w:pPr>
        <w:pStyle w:val="BTEMEASMCA"/>
        <w:rPr>
          <w:noProof w:val="0"/>
          <w:highlight w:val="yellow"/>
        </w:rPr>
      </w:pPr>
    </w:p>
    <w:p w14:paraId="527B73B2" w14:textId="77777777" w:rsidR="0018708C" w:rsidRPr="00F778AF" w:rsidRDefault="0018708C" w:rsidP="0018708C">
      <w:pPr>
        <w:pStyle w:val="BTAnIIEMEASMCA"/>
        <w:rPr>
          <w:rFonts w:cs="Times New Roman"/>
          <w:lang w:val="lt-LT"/>
        </w:rPr>
      </w:pPr>
    </w:p>
    <w:p w14:paraId="6512518C" w14:textId="77777777" w:rsidR="0018708C" w:rsidRPr="00F778AF" w:rsidRDefault="0018708C" w:rsidP="0018708C">
      <w:pPr>
        <w:pStyle w:val="PI-1EMEASMCA"/>
      </w:pPr>
      <w:r w:rsidRPr="00F778AF">
        <w:br w:type="page"/>
      </w:r>
      <w:r w:rsidRPr="00F778AF">
        <w:lastRenderedPageBreak/>
        <w:t>A.</w:t>
      </w:r>
      <w:r w:rsidRPr="00F778AF">
        <w:tab/>
        <w:t xml:space="preserve">GAMINTOJAS (-AI), ATSAKINGAS (-I) UŽ SERIJŲ IŠLEIDIMĄ </w:t>
      </w:r>
    </w:p>
    <w:p w14:paraId="0ACF588E" w14:textId="77777777" w:rsidR="0018708C" w:rsidRPr="00F778AF" w:rsidRDefault="0018708C" w:rsidP="0018708C">
      <w:pPr>
        <w:pStyle w:val="BTEMEASMCA"/>
        <w:rPr>
          <w:noProof w:val="0"/>
          <w:highlight w:val="yellow"/>
        </w:rPr>
      </w:pPr>
    </w:p>
    <w:p w14:paraId="4F84FA41" w14:textId="463CFC8C" w:rsidR="0018708C" w:rsidRPr="00F778AF" w:rsidRDefault="0018708C" w:rsidP="0018708C">
      <w:pPr>
        <w:pStyle w:val="BTuEMEASMCA"/>
        <w:rPr>
          <w:noProof w:val="0"/>
        </w:rPr>
      </w:pPr>
      <w:r w:rsidRPr="00F778AF">
        <w:rPr>
          <w:noProof w:val="0"/>
        </w:rPr>
        <w:t>Gamintoj</w:t>
      </w:r>
      <w:r w:rsidR="006B4733">
        <w:rPr>
          <w:noProof w:val="0"/>
        </w:rPr>
        <w:t>ų</w:t>
      </w:r>
      <w:r w:rsidRPr="00F778AF">
        <w:rPr>
          <w:noProof w:val="0"/>
        </w:rPr>
        <w:t>, atsaking</w:t>
      </w:r>
      <w:r w:rsidR="006B4733">
        <w:rPr>
          <w:noProof w:val="0"/>
        </w:rPr>
        <w:t>ų</w:t>
      </w:r>
      <w:r w:rsidRPr="00F778AF">
        <w:rPr>
          <w:noProof w:val="0"/>
        </w:rPr>
        <w:t xml:space="preserve"> už serijų išleidimą, pavadinimai ir adresai</w:t>
      </w:r>
    </w:p>
    <w:p w14:paraId="3B817212" w14:textId="77777777" w:rsidR="0018708C" w:rsidRPr="00F778AF" w:rsidRDefault="0018708C" w:rsidP="0018708C">
      <w:pPr>
        <w:pStyle w:val="BTEMEASMCA"/>
        <w:rPr>
          <w:noProof w:val="0"/>
        </w:rPr>
      </w:pPr>
    </w:p>
    <w:p w14:paraId="7001E9F0" w14:textId="77777777" w:rsidR="0018708C" w:rsidRPr="00347490" w:rsidRDefault="0018708C" w:rsidP="0018708C">
      <w:pPr>
        <w:rPr>
          <w:b w:val="0"/>
          <w:bCs w:val="0"/>
          <w:sz w:val="22"/>
          <w:szCs w:val="22"/>
        </w:rPr>
      </w:pPr>
      <w:r w:rsidRPr="00347490">
        <w:rPr>
          <w:b w:val="0"/>
          <w:bCs w:val="0"/>
          <w:sz w:val="22"/>
          <w:szCs w:val="22"/>
        </w:rPr>
        <w:t>Laboratorios Alcalá Farma, S.L.</w:t>
      </w:r>
    </w:p>
    <w:p w14:paraId="14788E62" w14:textId="77777777" w:rsidR="0018708C" w:rsidRPr="00347490" w:rsidRDefault="0018708C" w:rsidP="0018708C">
      <w:pPr>
        <w:rPr>
          <w:b w:val="0"/>
          <w:bCs w:val="0"/>
          <w:sz w:val="22"/>
          <w:szCs w:val="22"/>
        </w:rPr>
      </w:pPr>
      <w:r w:rsidRPr="00347490">
        <w:rPr>
          <w:b w:val="0"/>
          <w:bCs w:val="0"/>
          <w:sz w:val="22"/>
          <w:szCs w:val="22"/>
        </w:rPr>
        <w:t xml:space="preserve">Avenida de Madrid, 82, </w:t>
      </w:r>
    </w:p>
    <w:p w14:paraId="6FFAF22E" w14:textId="77777777" w:rsidR="0018708C" w:rsidRPr="00347490" w:rsidRDefault="0018708C" w:rsidP="0018708C">
      <w:pPr>
        <w:rPr>
          <w:b w:val="0"/>
          <w:bCs w:val="0"/>
          <w:sz w:val="22"/>
          <w:szCs w:val="22"/>
        </w:rPr>
      </w:pPr>
      <w:r w:rsidRPr="00347490">
        <w:rPr>
          <w:b w:val="0"/>
          <w:bCs w:val="0"/>
          <w:sz w:val="22"/>
          <w:szCs w:val="22"/>
        </w:rPr>
        <w:t>Alcalá de Henares, Madridas, 28802, Ispanija</w:t>
      </w:r>
    </w:p>
    <w:p w14:paraId="0670A26A" w14:textId="77777777" w:rsidR="006B4733" w:rsidRDefault="006B4733" w:rsidP="0018708C">
      <w:pPr>
        <w:rPr>
          <w:b w:val="0"/>
          <w:sz w:val="22"/>
          <w:szCs w:val="22"/>
        </w:rPr>
      </w:pPr>
    </w:p>
    <w:p w14:paraId="3EDA031F" w14:textId="74A7522E" w:rsidR="006B4733" w:rsidRDefault="006B4733" w:rsidP="0018708C">
      <w:pPr>
        <w:rPr>
          <w:b w:val="0"/>
          <w:sz w:val="22"/>
          <w:szCs w:val="22"/>
        </w:rPr>
      </w:pPr>
      <w:r>
        <w:rPr>
          <w:b w:val="0"/>
          <w:sz w:val="22"/>
          <w:szCs w:val="22"/>
        </w:rPr>
        <w:t>arba</w:t>
      </w:r>
    </w:p>
    <w:p w14:paraId="4FC0B94B" w14:textId="77777777" w:rsidR="006B4733" w:rsidRDefault="006B4733" w:rsidP="0018708C">
      <w:pPr>
        <w:rPr>
          <w:b w:val="0"/>
          <w:sz w:val="22"/>
          <w:szCs w:val="22"/>
        </w:rPr>
      </w:pPr>
    </w:p>
    <w:p w14:paraId="1CF5B406" w14:textId="77777777" w:rsidR="006B4733" w:rsidRPr="00F91490" w:rsidRDefault="006B4733" w:rsidP="006B4733">
      <w:pPr>
        <w:rPr>
          <w:bCs w:val="0"/>
          <w:sz w:val="22"/>
          <w:szCs w:val="22"/>
        </w:rPr>
      </w:pPr>
      <w:r w:rsidRPr="00F91490">
        <w:rPr>
          <w:b w:val="0"/>
          <w:bCs w:val="0"/>
          <w:sz w:val="22"/>
          <w:szCs w:val="22"/>
        </w:rPr>
        <w:t>ADOH B.V.</w:t>
      </w:r>
    </w:p>
    <w:p w14:paraId="1908108A" w14:textId="77777777" w:rsidR="006B4733" w:rsidRPr="00F91490" w:rsidRDefault="006B4733" w:rsidP="006B4733">
      <w:pPr>
        <w:rPr>
          <w:bCs w:val="0"/>
          <w:sz w:val="22"/>
          <w:szCs w:val="22"/>
        </w:rPr>
      </w:pPr>
      <w:r w:rsidRPr="00F91490">
        <w:rPr>
          <w:b w:val="0"/>
          <w:bCs w:val="0"/>
          <w:sz w:val="22"/>
          <w:szCs w:val="22"/>
        </w:rPr>
        <w:t>Godfried Bomansstraat 31,</w:t>
      </w:r>
    </w:p>
    <w:p w14:paraId="656F471C" w14:textId="77777777" w:rsidR="006B4733" w:rsidRPr="00F91490" w:rsidRDefault="006B4733" w:rsidP="006B4733">
      <w:pPr>
        <w:rPr>
          <w:bCs w:val="0"/>
          <w:sz w:val="22"/>
          <w:szCs w:val="22"/>
        </w:rPr>
      </w:pPr>
      <w:r w:rsidRPr="00F91490">
        <w:rPr>
          <w:b w:val="0"/>
          <w:bCs w:val="0"/>
          <w:sz w:val="22"/>
          <w:szCs w:val="22"/>
        </w:rPr>
        <w:t>6543JA Nijmegen,</w:t>
      </w:r>
    </w:p>
    <w:p w14:paraId="7907FA39" w14:textId="332FAA33" w:rsidR="006B4733" w:rsidRPr="00F91490" w:rsidRDefault="006B4733" w:rsidP="006B4733">
      <w:pPr>
        <w:rPr>
          <w:b w:val="0"/>
          <w:bCs w:val="0"/>
          <w:sz w:val="22"/>
          <w:szCs w:val="22"/>
        </w:rPr>
      </w:pPr>
      <w:r>
        <w:rPr>
          <w:b w:val="0"/>
          <w:bCs w:val="0"/>
          <w:sz w:val="22"/>
          <w:szCs w:val="22"/>
        </w:rPr>
        <w:t>Nyderlandai</w:t>
      </w:r>
    </w:p>
    <w:p w14:paraId="3C5109DB" w14:textId="77777777" w:rsidR="006B4733" w:rsidRDefault="006B4733" w:rsidP="0018708C">
      <w:pPr>
        <w:rPr>
          <w:b w:val="0"/>
          <w:sz w:val="22"/>
          <w:szCs w:val="22"/>
        </w:rPr>
      </w:pPr>
    </w:p>
    <w:p w14:paraId="50993B08" w14:textId="4CE06523" w:rsidR="006B4733" w:rsidRDefault="006B4733" w:rsidP="0018708C">
      <w:pPr>
        <w:rPr>
          <w:b w:val="0"/>
          <w:bCs w:val="0"/>
          <w:noProof/>
          <w:snapToGrid w:val="0"/>
          <w:sz w:val="22"/>
          <w:szCs w:val="24"/>
        </w:rPr>
      </w:pPr>
      <w:r w:rsidRPr="005F2C94">
        <w:rPr>
          <w:b w:val="0"/>
          <w:bCs w:val="0"/>
          <w:noProof/>
          <w:snapToGrid w:val="0"/>
          <w:sz w:val="22"/>
          <w:szCs w:val="24"/>
        </w:rPr>
        <w:t>Su pakuote pateikiamame lapelyje nurodomas gamintojo, atsakingo už konkrečios serijos išleidimą, pavadinimas ir adresas.</w:t>
      </w:r>
    </w:p>
    <w:p w14:paraId="4B81C6D6" w14:textId="77777777" w:rsidR="006B4733" w:rsidRPr="006B4733" w:rsidRDefault="006B4733" w:rsidP="0018708C">
      <w:pPr>
        <w:rPr>
          <w:b w:val="0"/>
          <w:bCs w:val="0"/>
          <w:sz w:val="22"/>
          <w:szCs w:val="22"/>
        </w:rPr>
      </w:pPr>
    </w:p>
    <w:p w14:paraId="2463D3CA" w14:textId="77777777" w:rsidR="0018708C" w:rsidRPr="00F778AF" w:rsidRDefault="0018708C" w:rsidP="0018708C">
      <w:pPr>
        <w:pStyle w:val="BTEMEASMCA"/>
        <w:rPr>
          <w:noProof w:val="0"/>
          <w:highlight w:val="yellow"/>
        </w:rPr>
      </w:pPr>
    </w:p>
    <w:p w14:paraId="24C0A614" w14:textId="77777777" w:rsidR="0018708C" w:rsidRPr="00F778AF" w:rsidRDefault="0018708C" w:rsidP="0018708C">
      <w:pPr>
        <w:pStyle w:val="PI-1EMEASMCA"/>
      </w:pPr>
      <w:bookmarkStart w:id="2" w:name="_Toc129243129"/>
      <w:bookmarkStart w:id="3" w:name="_Toc129243254"/>
      <w:r w:rsidRPr="00F778AF">
        <w:t>B.</w:t>
      </w:r>
      <w:r w:rsidRPr="00F778AF">
        <w:tab/>
      </w:r>
      <w:r w:rsidRPr="00F778AF">
        <w:rPr>
          <w:noProof/>
          <w:snapToGrid w:val="0"/>
        </w:rPr>
        <w:t>TIEKIMO IR VARTOJIMO SĄLYGOS AR APRIBOJIMAI</w:t>
      </w:r>
      <w:r w:rsidRPr="00F778AF">
        <w:t xml:space="preserve"> </w:t>
      </w:r>
      <w:bookmarkEnd w:id="2"/>
      <w:bookmarkEnd w:id="3"/>
    </w:p>
    <w:p w14:paraId="0DB021DD" w14:textId="77777777" w:rsidR="0018708C" w:rsidRPr="00F778AF" w:rsidRDefault="0018708C" w:rsidP="0018708C">
      <w:pPr>
        <w:pStyle w:val="BTEMEASMCA"/>
        <w:rPr>
          <w:noProof w:val="0"/>
        </w:rPr>
      </w:pPr>
    </w:p>
    <w:p w14:paraId="390FD189" w14:textId="77777777" w:rsidR="0018708C" w:rsidRPr="00F778AF" w:rsidRDefault="0018708C" w:rsidP="0018708C">
      <w:pPr>
        <w:pStyle w:val="BTEMEASMCA"/>
        <w:rPr>
          <w:noProof w:val="0"/>
        </w:rPr>
      </w:pPr>
      <w:r w:rsidRPr="00F778AF">
        <w:rPr>
          <w:noProof w:val="0"/>
        </w:rPr>
        <w:t>Receptinis vaistinis preparatas</w:t>
      </w:r>
    </w:p>
    <w:p w14:paraId="2EE63BBA" w14:textId="77777777" w:rsidR="0018708C" w:rsidRPr="00F778AF" w:rsidRDefault="0018708C" w:rsidP="0018708C">
      <w:pPr>
        <w:pStyle w:val="BTEMEASMCA"/>
        <w:rPr>
          <w:noProof w:val="0"/>
        </w:rPr>
      </w:pPr>
    </w:p>
    <w:p w14:paraId="518E28EF" w14:textId="77777777" w:rsidR="0018708C" w:rsidRPr="00F778AF" w:rsidRDefault="0018708C" w:rsidP="0018708C">
      <w:pPr>
        <w:pStyle w:val="BTEMEASMCA"/>
        <w:rPr>
          <w:noProof w:val="0"/>
        </w:rPr>
      </w:pPr>
    </w:p>
    <w:p w14:paraId="55C534E9" w14:textId="77777777" w:rsidR="0018708C" w:rsidRPr="00F778AF" w:rsidRDefault="0018708C" w:rsidP="0018708C">
      <w:pPr>
        <w:pStyle w:val="BTEMEASMCA"/>
        <w:rPr>
          <w:noProof w:val="0"/>
        </w:rPr>
      </w:pPr>
    </w:p>
    <w:p w14:paraId="098BB18E" w14:textId="77777777" w:rsidR="0018708C" w:rsidRPr="00F778AF" w:rsidRDefault="0018708C" w:rsidP="0018708C">
      <w:pPr>
        <w:pStyle w:val="BTEMEASMCA"/>
        <w:rPr>
          <w:noProof w:val="0"/>
        </w:rPr>
      </w:pPr>
    </w:p>
    <w:p w14:paraId="4F273F12" w14:textId="77777777" w:rsidR="0018708C" w:rsidRPr="00F778AF" w:rsidRDefault="0018708C" w:rsidP="0018708C">
      <w:pPr>
        <w:pStyle w:val="BTEMEASMCA"/>
        <w:rPr>
          <w:noProof w:val="0"/>
        </w:rPr>
      </w:pPr>
    </w:p>
    <w:p w14:paraId="2FAB6F01" w14:textId="77777777" w:rsidR="0018708C" w:rsidRPr="00F778AF" w:rsidRDefault="0018708C" w:rsidP="0018708C">
      <w:pPr>
        <w:pStyle w:val="BTEMEASMCA"/>
        <w:rPr>
          <w:noProof w:val="0"/>
        </w:rPr>
      </w:pPr>
    </w:p>
    <w:p w14:paraId="5ECE4E8E" w14:textId="77777777" w:rsidR="0018708C" w:rsidRPr="00F778AF" w:rsidRDefault="0018708C" w:rsidP="0018708C">
      <w:pPr>
        <w:pStyle w:val="BTEMEASMCA"/>
        <w:rPr>
          <w:noProof w:val="0"/>
        </w:rPr>
      </w:pPr>
    </w:p>
    <w:p w14:paraId="2BA88B95" w14:textId="77777777" w:rsidR="0018708C" w:rsidRPr="00F778AF" w:rsidRDefault="0018708C" w:rsidP="0018708C">
      <w:pPr>
        <w:pStyle w:val="BTEMEASMCA"/>
        <w:rPr>
          <w:noProof w:val="0"/>
        </w:rPr>
      </w:pPr>
    </w:p>
    <w:p w14:paraId="7BFF9F7A" w14:textId="77777777" w:rsidR="0018708C" w:rsidRPr="00F778AF" w:rsidRDefault="0018708C" w:rsidP="0018708C">
      <w:pPr>
        <w:pStyle w:val="BTEMEASMCA"/>
        <w:rPr>
          <w:noProof w:val="0"/>
        </w:rPr>
      </w:pPr>
    </w:p>
    <w:p w14:paraId="18960F0C" w14:textId="77777777" w:rsidR="0018708C" w:rsidRPr="00F778AF" w:rsidRDefault="0018708C" w:rsidP="0018708C">
      <w:pPr>
        <w:pStyle w:val="BTEMEASMCA"/>
        <w:rPr>
          <w:noProof w:val="0"/>
        </w:rPr>
      </w:pPr>
    </w:p>
    <w:p w14:paraId="4FCBFF6C" w14:textId="77777777" w:rsidR="0018708C" w:rsidRPr="00F778AF" w:rsidRDefault="0018708C" w:rsidP="0018708C">
      <w:pPr>
        <w:pStyle w:val="Pagrindinistekstas"/>
        <w:spacing w:after="0"/>
        <w:rPr>
          <w:szCs w:val="22"/>
        </w:rPr>
      </w:pPr>
      <w:r w:rsidRPr="00F778AF">
        <w:rPr>
          <w:szCs w:val="22"/>
        </w:rPr>
        <w:br w:type="page"/>
      </w:r>
    </w:p>
    <w:p w14:paraId="6012B7B0" w14:textId="77777777" w:rsidR="0018708C" w:rsidRPr="00F778AF" w:rsidRDefault="0018708C" w:rsidP="0018708C">
      <w:pPr>
        <w:pStyle w:val="Pagrindinistekstas"/>
        <w:spacing w:after="0"/>
        <w:rPr>
          <w:szCs w:val="22"/>
        </w:rPr>
      </w:pPr>
    </w:p>
    <w:p w14:paraId="491DB287" w14:textId="77777777" w:rsidR="0018708C" w:rsidRPr="00F778AF" w:rsidRDefault="0018708C" w:rsidP="0018708C">
      <w:pPr>
        <w:pStyle w:val="Pagrindinistekstas"/>
        <w:spacing w:after="0"/>
        <w:rPr>
          <w:szCs w:val="22"/>
        </w:rPr>
      </w:pPr>
    </w:p>
    <w:p w14:paraId="1356CBD9" w14:textId="77777777" w:rsidR="0018708C" w:rsidRPr="00F778AF" w:rsidRDefault="0018708C" w:rsidP="0018708C">
      <w:pPr>
        <w:pStyle w:val="Pagrindinistekstas"/>
        <w:spacing w:after="0"/>
        <w:rPr>
          <w:szCs w:val="22"/>
        </w:rPr>
      </w:pPr>
    </w:p>
    <w:p w14:paraId="03D6FF67" w14:textId="77777777" w:rsidR="0018708C" w:rsidRPr="00F778AF" w:rsidRDefault="0018708C" w:rsidP="0018708C">
      <w:pPr>
        <w:pStyle w:val="Pagrindinistekstas"/>
        <w:spacing w:after="0"/>
        <w:rPr>
          <w:szCs w:val="22"/>
        </w:rPr>
      </w:pPr>
    </w:p>
    <w:p w14:paraId="6A10D567" w14:textId="77777777" w:rsidR="0018708C" w:rsidRPr="00F778AF" w:rsidRDefault="0018708C" w:rsidP="0018708C">
      <w:pPr>
        <w:pStyle w:val="Pagrindinistekstas"/>
        <w:spacing w:after="0"/>
        <w:rPr>
          <w:szCs w:val="22"/>
        </w:rPr>
      </w:pPr>
    </w:p>
    <w:p w14:paraId="22D7B918" w14:textId="77777777" w:rsidR="0018708C" w:rsidRPr="00F778AF" w:rsidRDefault="0018708C" w:rsidP="0018708C">
      <w:pPr>
        <w:pStyle w:val="Pagrindinistekstas"/>
        <w:spacing w:after="0"/>
        <w:rPr>
          <w:szCs w:val="22"/>
        </w:rPr>
      </w:pPr>
    </w:p>
    <w:p w14:paraId="48E49E0B" w14:textId="77777777" w:rsidR="0018708C" w:rsidRPr="00F778AF" w:rsidRDefault="0018708C" w:rsidP="0018708C">
      <w:pPr>
        <w:pStyle w:val="Pagrindinistekstas"/>
        <w:spacing w:after="0"/>
        <w:rPr>
          <w:szCs w:val="22"/>
        </w:rPr>
      </w:pPr>
    </w:p>
    <w:p w14:paraId="058FDB0D" w14:textId="77777777" w:rsidR="0018708C" w:rsidRPr="00F778AF" w:rsidRDefault="0018708C" w:rsidP="0018708C">
      <w:pPr>
        <w:pStyle w:val="Pagrindinistekstas"/>
        <w:spacing w:after="0"/>
        <w:rPr>
          <w:szCs w:val="22"/>
        </w:rPr>
      </w:pPr>
    </w:p>
    <w:p w14:paraId="7AD32709" w14:textId="77777777" w:rsidR="0018708C" w:rsidRPr="00F778AF" w:rsidRDefault="0018708C" w:rsidP="0018708C">
      <w:pPr>
        <w:pStyle w:val="Pagrindinistekstas"/>
        <w:spacing w:after="0"/>
        <w:rPr>
          <w:szCs w:val="22"/>
        </w:rPr>
      </w:pPr>
    </w:p>
    <w:p w14:paraId="118D6FA5" w14:textId="77777777" w:rsidR="0018708C" w:rsidRPr="00F778AF" w:rsidRDefault="0018708C" w:rsidP="0018708C">
      <w:pPr>
        <w:pStyle w:val="Pagrindinistekstas"/>
        <w:spacing w:after="0"/>
        <w:rPr>
          <w:szCs w:val="22"/>
        </w:rPr>
      </w:pPr>
    </w:p>
    <w:p w14:paraId="7A00CBA7" w14:textId="77777777" w:rsidR="0018708C" w:rsidRPr="00F778AF" w:rsidRDefault="0018708C" w:rsidP="0018708C">
      <w:pPr>
        <w:pStyle w:val="Pagrindinistekstas"/>
        <w:spacing w:after="0"/>
        <w:rPr>
          <w:szCs w:val="22"/>
        </w:rPr>
      </w:pPr>
    </w:p>
    <w:p w14:paraId="0B91C726" w14:textId="77777777" w:rsidR="0018708C" w:rsidRPr="00F778AF" w:rsidRDefault="0018708C" w:rsidP="0018708C">
      <w:pPr>
        <w:pStyle w:val="Pagrindinistekstas"/>
        <w:spacing w:after="0"/>
        <w:rPr>
          <w:szCs w:val="22"/>
        </w:rPr>
      </w:pPr>
    </w:p>
    <w:p w14:paraId="7291AB7B" w14:textId="77777777" w:rsidR="0018708C" w:rsidRPr="00F778AF" w:rsidRDefault="0018708C" w:rsidP="0018708C">
      <w:pPr>
        <w:pStyle w:val="Pagrindinistekstas"/>
        <w:spacing w:after="0"/>
        <w:rPr>
          <w:szCs w:val="22"/>
        </w:rPr>
      </w:pPr>
    </w:p>
    <w:p w14:paraId="596C941B" w14:textId="77777777" w:rsidR="0018708C" w:rsidRPr="00F778AF" w:rsidRDefault="0018708C" w:rsidP="0018708C">
      <w:pPr>
        <w:pStyle w:val="Pagrindinistekstas"/>
        <w:spacing w:after="0"/>
        <w:rPr>
          <w:szCs w:val="22"/>
        </w:rPr>
      </w:pPr>
    </w:p>
    <w:p w14:paraId="357AA48E" w14:textId="77777777" w:rsidR="0018708C" w:rsidRPr="00F778AF" w:rsidRDefault="0018708C" w:rsidP="0018708C">
      <w:pPr>
        <w:pStyle w:val="Pagrindinistekstas"/>
        <w:spacing w:after="0"/>
        <w:rPr>
          <w:szCs w:val="22"/>
        </w:rPr>
      </w:pPr>
    </w:p>
    <w:p w14:paraId="3D079FC5" w14:textId="77777777" w:rsidR="0018708C" w:rsidRPr="00F778AF" w:rsidRDefault="0018708C" w:rsidP="0018708C">
      <w:pPr>
        <w:pStyle w:val="Pagrindinistekstas"/>
        <w:spacing w:after="0"/>
        <w:rPr>
          <w:szCs w:val="22"/>
        </w:rPr>
      </w:pPr>
    </w:p>
    <w:p w14:paraId="68892DA4" w14:textId="77777777" w:rsidR="0018708C" w:rsidRPr="00F778AF" w:rsidRDefault="0018708C" w:rsidP="0018708C">
      <w:pPr>
        <w:pStyle w:val="Pagrindinistekstas"/>
        <w:spacing w:after="0"/>
        <w:rPr>
          <w:szCs w:val="22"/>
        </w:rPr>
      </w:pPr>
    </w:p>
    <w:p w14:paraId="71A8EE0D" w14:textId="77777777" w:rsidR="0018708C" w:rsidRPr="00F778AF" w:rsidRDefault="0018708C" w:rsidP="0018708C">
      <w:pPr>
        <w:pStyle w:val="Pagrindinistekstas"/>
        <w:spacing w:after="0"/>
        <w:rPr>
          <w:szCs w:val="22"/>
        </w:rPr>
      </w:pPr>
    </w:p>
    <w:p w14:paraId="78C16420" w14:textId="77777777" w:rsidR="0018708C" w:rsidRPr="00F778AF" w:rsidRDefault="0018708C" w:rsidP="0018708C">
      <w:pPr>
        <w:pStyle w:val="Pagrindinistekstas"/>
        <w:spacing w:after="0"/>
        <w:rPr>
          <w:szCs w:val="22"/>
        </w:rPr>
      </w:pPr>
    </w:p>
    <w:p w14:paraId="2E2B261F" w14:textId="77777777" w:rsidR="0018708C" w:rsidRPr="00F778AF" w:rsidRDefault="0018708C" w:rsidP="0018708C">
      <w:pPr>
        <w:pStyle w:val="Pagrindinistekstas"/>
        <w:spacing w:after="0"/>
        <w:rPr>
          <w:szCs w:val="22"/>
        </w:rPr>
      </w:pPr>
    </w:p>
    <w:p w14:paraId="48624EE6" w14:textId="77777777" w:rsidR="0018708C" w:rsidRPr="00F778AF" w:rsidRDefault="0018708C" w:rsidP="0018708C">
      <w:pPr>
        <w:pStyle w:val="Pagrindinistekstas"/>
        <w:spacing w:after="0"/>
        <w:rPr>
          <w:szCs w:val="22"/>
        </w:rPr>
      </w:pPr>
    </w:p>
    <w:p w14:paraId="7E79AD03" w14:textId="77777777" w:rsidR="0018708C" w:rsidRPr="00F778AF" w:rsidRDefault="0018708C" w:rsidP="0018708C">
      <w:pPr>
        <w:pStyle w:val="Pagrindinistekstas"/>
        <w:spacing w:after="0"/>
        <w:rPr>
          <w:szCs w:val="22"/>
        </w:rPr>
      </w:pPr>
    </w:p>
    <w:p w14:paraId="1CEF35AB" w14:textId="77777777" w:rsidR="0018708C" w:rsidRPr="00F778AF" w:rsidRDefault="0018708C" w:rsidP="0018708C">
      <w:pPr>
        <w:pStyle w:val="Pavadinimas"/>
        <w:rPr>
          <w:szCs w:val="22"/>
        </w:rPr>
      </w:pPr>
      <w:r w:rsidRPr="00F778AF">
        <w:rPr>
          <w:szCs w:val="22"/>
        </w:rPr>
        <w:t>III PRIEDAS</w:t>
      </w:r>
    </w:p>
    <w:p w14:paraId="1FEA920D" w14:textId="77777777" w:rsidR="0018708C" w:rsidRPr="00F778AF" w:rsidRDefault="0018708C" w:rsidP="0018708C">
      <w:pPr>
        <w:pStyle w:val="Pagrindinistekstas"/>
        <w:spacing w:after="0"/>
        <w:rPr>
          <w:szCs w:val="22"/>
        </w:rPr>
      </w:pPr>
    </w:p>
    <w:p w14:paraId="04F1C7A8" w14:textId="77777777" w:rsidR="0018708C" w:rsidRPr="00F778AF" w:rsidRDefault="0018708C" w:rsidP="0018708C">
      <w:pPr>
        <w:pStyle w:val="Pagrindinistekstas"/>
        <w:spacing w:after="0"/>
        <w:jc w:val="center"/>
        <w:rPr>
          <w:b/>
          <w:szCs w:val="22"/>
        </w:rPr>
      </w:pPr>
      <w:r w:rsidRPr="00F778AF">
        <w:rPr>
          <w:b/>
          <w:szCs w:val="22"/>
        </w:rPr>
        <w:t>ŽENKLINIMAS IR PAKUOTĖS LAPELIS</w:t>
      </w:r>
    </w:p>
    <w:p w14:paraId="4A851DB8" w14:textId="77777777" w:rsidR="0018708C" w:rsidRPr="00F778AF" w:rsidRDefault="0018708C" w:rsidP="0018708C">
      <w:pPr>
        <w:pStyle w:val="Pagrindinistekstas"/>
        <w:spacing w:after="0"/>
        <w:rPr>
          <w:szCs w:val="22"/>
        </w:rPr>
      </w:pPr>
      <w:r w:rsidRPr="00F778AF">
        <w:rPr>
          <w:szCs w:val="22"/>
        </w:rPr>
        <w:br w:type="page"/>
      </w:r>
    </w:p>
    <w:p w14:paraId="6FD203B1" w14:textId="77777777" w:rsidR="0018708C" w:rsidRPr="00F778AF" w:rsidRDefault="0018708C" w:rsidP="0018708C">
      <w:pPr>
        <w:pStyle w:val="Pagrindinistekstas"/>
        <w:spacing w:after="0"/>
        <w:rPr>
          <w:szCs w:val="22"/>
        </w:rPr>
      </w:pPr>
    </w:p>
    <w:p w14:paraId="66E4940F" w14:textId="77777777" w:rsidR="0018708C" w:rsidRPr="00F778AF" w:rsidRDefault="0018708C" w:rsidP="0018708C">
      <w:pPr>
        <w:pStyle w:val="Pagrindinistekstas"/>
        <w:spacing w:after="0"/>
        <w:rPr>
          <w:szCs w:val="22"/>
        </w:rPr>
      </w:pPr>
    </w:p>
    <w:p w14:paraId="6A10FFE7" w14:textId="77777777" w:rsidR="0018708C" w:rsidRPr="00F778AF" w:rsidRDefault="0018708C" w:rsidP="0018708C">
      <w:pPr>
        <w:pStyle w:val="Pagrindinistekstas"/>
        <w:spacing w:after="0"/>
        <w:rPr>
          <w:szCs w:val="22"/>
        </w:rPr>
      </w:pPr>
    </w:p>
    <w:p w14:paraId="293635CF" w14:textId="77777777" w:rsidR="0018708C" w:rsidRPr="00F778AF" w:rsidRDefault="0018708C" w:rsidP="0018708C">
      <w:pPr>
        <w:pStyle w:val="Pagrindinistekstas"/>
        <w:spacing w:after="0"/>
        <w:rPr>
          <w:szCs w:val="22"/>
        </w:rPr>
      </w:pPr>
    </w:p>
    <w:p w14:paraId="1FBB0777" w14:textId="77777777" w:rsidR="0018708C" w:rsidRPr="00F778AF" w:rsidRDefault="0018708C" w:rsidP="0018708C">
      <w:pPr>
        <w:pStyle w:val="Pagrindinistekstas"/>
        <w:spacing w:after="0"/>
        <w:rPr>
          <w:szCs w:val="22"/>
        </w:rPr>
      </w:pPr>
    </w:p>
    <w:p w14:paraId="651A1BB9" w14:textId="77777777" w:rsidR="0018708C" w:rsidRPr="00F778AF" w:rsidRDefault="0018708C" w:rsidP="0018708C">
      <w:pPr>
        <w:pStyle w:val="Pagrindinistekstas"/>
        <w:spacing w:after="0"/>
        <w:rPr>
          <w:szCs w:val="22"/>
        </w:rPr>
      </w:pPr>
    </w:p>
    <w:p w14:paraId="35A66A97" w14:textId="77777777" w:rsidR="0018708C" w:rsidRPr="00F778AF" w:rsidRDefault="0018708C" w:rsidP="0018708C">
      <w:pPr>
        <w:pStyle w:val="Pagrindinistekstas"/>
        <w:spacing w:after="0"/>
        <w:rPr>
          <w:szCs w:val="22"/>
        </w:rPr>
      </w:pPr>
    </w:p>
    <w:p w14:paraId="4C53E94A" w14:textId="77777777" w:rsidR="0018708C" w:rsidRPr="00F778AF" w:rsidRDefault="0018708C" w:rsidP="0018708C">
      <w:pPr>
        <w:pStyle w:val="Pagrindinistekstas"/>
        <w:spacing w:after="0"/>
        <w:rPr>
          <w:szCs w:val="22"/>
        </w:rPr>
      </w:pPr>
    </w:p>
    <w:p w14:paraId="4A298BD5" w14:textId="77777777" w:rsidR="0018708C" w:rsidRPr="00F778AF" w:rsidRDefault="0018708C" w:rsidP="0018708C">
      <w:pPr>
        <w:pStyle w:val="Pagrindinistekstas"/>
        <w:spacing w:after="0"/>
        <w:rPr>
          <w:szCs w:val="22"/>
        </w:rPr>
      </w:pPr>
    </w:p>
    <w:p w14:paraId="36E63CF3" w14:textId="77777777" w:rsidR="0018708C" w:rsidRPr="00F778AF" w:rsidRDefault="0018708C" w:rsidP="0018708C">
      <w:pPr>
        <w:pStyle w:val="Pagrindinistekstas"/>
        <w:spacing w:after="0"/>
        <w:rPr>
          <w:szCs w:val="22"/>
        </w:rPr>
      </w:pPr>
    </w:p>
    <w:p w14:paraId="39BD1690" w14:textId="77777777" w:rsidR="0018708C" w:rsidRPr="00F778AF" w:rsidRDefault="0018708C" w:rsidP="0018708C">
      <w:pPr>
        <w:pStyle w:val="Pagrindinistekstas"/>
        <w:spacing w:after="0"/>
        <w:rPr>
          <w:szCs w:val="22"/>
        </w:rPr>
      </w:pPr>
    </w:p>
    <w:p w14:paraId="26175573" w14:textId="77777777" w:rsidR="0018708C" w:rsidRPr="00F778AF" w:rsidRDefault="0018708C" w:rsidP="0018708C">
      <w:pPr>
        <w:pStyle w:val="Pagrindinistekstas"/>
        <w:spacing w:after="0"/>
        <w:rPr>
          <w:szCs w:val="22"/>
        </w:rPr>
      </w:pPr>
    </w:p>
    <w:p w14:paraId="6835ED06" w14:textId="77777777" w:rsidR="0018708C" w:rsidRPr="00F778AF" w:rsidRDefault="0018708C" w:rsidP="0018708C">
      <w:pPr>
        <w:pStyle w:val="Pagrindinistekstas"/>
        <w:spacing w:after="0"/>
        <w:rPr>
          <w:szCs w:val="22"/>
        </w:rPr>
      </w:pPr>
    </w:p>
    <w:p w14:paraId="77D2ED9F" w14:textId="77777777" w:rsidR="0018708C" w:rsidRPr="00F778AF" w:rsidRDefault="0018708C" w:rsidP="0018708C">
      <w:pPr>
        <w:pStyle w:val="Pagrindinistekstas"/>
        <w:spacing w:after="0"/>
        <w:rPr>
          <w:szCs w:val="22"/>
        </w:rPr>
      </w:pPr>
    </w:p>
    <w:p w14:paraId="71F2E2EC" w14:textId="77777777" w:rsidR="0018708C" w:rsidRPr="00F778AF" w:rsidRDefault="0018708C" w:rsidP="0018708C">
      <w:pPr>
        <w:pStyle w:val="Pagrindinistekstas"/>
        <w:spacing w:after="0"/>
        <w:rPr>
          <w:szCs w:val="22"/>
        </w:rPr>
      </w:pPr>
    </w:p>
    <w:p w14:paraId="0DF862CF" w14:textId="77777777" w:rsidR="0018708C" w:rsidRPr="00F778AF" w:rsidRDefault="0018708C" w:rsidP="0018708C">
      <w:pPr>
        <w:pStyle w:val="Pagrindinistekstas"/>
        <w:spacing w:after="0"/>
        <w:rPr>
          <w:szCs w:val="22"/>
        </w:rPr>
      </w:pPr>
    </w:p>
    <w:p w14:paraId="0CF36868" w14:textId="77777777" w:rsidR="0018708C" w:rsidRPr="00F778AF" w:rsidRDefault="0018708C" w:rsidP="0018708C">
      <w:pPr>
        <w:pStyle w:val="Pagrindinistekstas"/>
        <w:spacing w:after="0"/>
        <w:rPr>
          <w:szCs w:val="22"/>
        </w:rPr>
      </w:pPr>
    </w:p>
    <w:p w14:paraId="70F92303" w14:textId="77777777" w:rsidR="0018708C" w:rsidRPr="00F778AF" w:rsidRDefault="0018708C" w:rsidP="0018708C">
      <w:pPr>
        <w:pStyle w:val="Pagrindinistekstas"/>
        <w:spacing w:after="0"/>
        <w:rPr>
          <w:szCs w:val="22"/>
        </w:rPr>
      </w:pPr>
    </w:p>
    <w:p w14:paraId="20C12400" w14:textId="77777777" w:rsidR="0018708C" w:rsidRPr="00F778AF" w:rsidRDefault="0018708C" w:rsidP="0018708C">
      <w:pPr>
        <w:pStyle w:val="Pagrindinistekstas"/>
        <w:spacing w:after="0"/>
        <w:rPr>
          <w:szCs w:val="22"/>
        </w:rPr>
      </w:pPr>
    </w:p>
    <w:p w14:paraId="2C8EDBDC" w14:textId="77777777" w:rsidR="0018708C" w:rsidRPr="00F778AF" w:rsidRDefault="0018708C" w:rsidP="0018708C">
      <w:pPr>
        <w:pStyle w:val="Pagrindinistekstas"/>
        <w:spacing w:after="0"/>
        <w:rPr>
          <w:szCs w:val="22"/>
        </w:rPr>
      </w:pPr>
    </w:p>
    <w:p w14:paraId="7F9541D0" w14:textId="77777777" w:rsidR="0018708C" w:rsidRPr="00F778AF" w:rsidRDefault="0018708C" w:rsidP="0018708C">
      <w:pPr>
        <w:pStyle w:val="Pagrindinistekstas"/>
        <w:spacing w:after="0"/>
        <w:rPr>
          <w:szCs w:val="22"/>
        </w:rPr>
      </w:pPr>
    </w:p>
    <w:p w14:paraId="1C0ABFED" w14:textId="77777777" w:rsidR="0018708C" w:rsidRPr="00F778AF" w:rsidRDefault="0018708C" w:rsidP="0018708C">
      <w:pPr>
        <w:pStyle w:val="Pagrindinistekstas"/>
        <w:spacing w:after="0"/>
        <w:rPr>
          <w:szCs w:val="22"/>
        </w:rPr>
      </w:pPr>
    </w:p>
    <w:p w14:paraId="6371A835" w14:textId="77777777" w:rsidR="0018708C" w:rsidRPr="00F778AF" w:rsidRDefault="0018708C" w:rsidP="0018708C">
      <w:pPr>
        <w:pStyle w:val="Pavadinimas"/>
        <w:rPr>
          <w:szCs w:val="22"/>
        </w:rPr>
      </w:pPr>
      <w:r w:rsidRPr="00F778AF">
        <w:rPr>
          <w:szCs w:val="22"/>
        </w:rPr>
        <w:t>A. ŽENKLINIMAS</w:t>
      </w:r>
    </w:p>
    <w:p w14:paraId="1A4EF38A" w14:textId="77777777" w:rsidR="0018708C" w:rsidRPr="00F778AF" w:rsidRDefault="0018708C" w:rsidP="0018708C">
      <w:pPr>
        <w:pStyle w:val="Antrat2"/>
      </w:pPr>
      <w:r w:rsidRPr="00F778AF">
        <w:br w:type="page"/>
      </w:r>
    </w:p>
    <w:p w14:paraId="61E1B964" w14:textId="77777777" w:rsidR="00361C03" w:rsidRPr="00C16F25" w:rsidRDefault="00361C03" w:rsidP="00361C03">
      <w:pPr>
        <w:pStyle w:val="Pagrindinistekstas"/>
        <w:pBdr>
          <w:top w:val="single" w:sz="4" w:space="1" w:color="auto"/>
          <w:left w:val="single" w:sz="4" w:space="4" w:color="auto"/>
          <w:bottom w:val="single" w:sz="4" w:space="1" w:color="auto"/>
          <w:right w:val="single" w:sz="4" w:space="4" w:color="auto"/>
        </w:pBdr>
        <w:spacing w:after="0"/>
        <w:rPr>
          <w:b/>
          <w:szCs w:val="22"/>
        </w:rPr>
      </w:pPr>
      <w:r w:rsidRPr="00C16F25">
        <w:rPr>
          <w:b/>
        </w:rPr>
        <w:lastRenderedPageBreak/>
        <w:t>INFORMACIJA ANT IŠORINĖS PAKUOTĖS</w:t>
      </w:r>
    </w:p>
    <w:p w14:paraId="2B921D60" w14:textId="77777777" w:rsidR="00361C03" w:rsidRDefault="00361C03" w:rsidP="00361C03">
      <w:pPr>
        <w:pStyle w:val="Pagrindinistekstas"/>
        <w:pBdr>
          <w:top w:val="single" w:sz="4" w:space="1" w:color="auto"/>
          <w:left w:val="single" w:sz="4" w:space="4" w:color="auto"/>
          <w:bottom w:val="single" w:sz="4" w:space="1" w:color="auto"/>
          <w:right w:val="single" w:sz="4" w:space="4" w:color="auto"/>
        </w:pBdr>
        <w:spacing w:after="0"/>
        <w:rPr>
          <w:b/>
          <w:szCs w:val="22"/>
        </w:rPr>
      </w:pPr>
    </w:p>
    <w:p w14:paraId="1F7DC2DE" w14:textId="77777777" w:rsidR="00361C03" w:rsidRPr="00F778AF" w:rsidRDefault="00361C03" w:rsidP="00361C03">
      <w:pPr>
        <w:pStyle w:val="Pagrindinistekstas"/>
        <w:pBdr>
          <w:top w:val="single" w:sz="4" w:space="1" w:color="auto"/>
          <w:left w:val="single" w:sz="4" w:space="4" w:color="auto"/>
          <w:bottom w:val="single" w:sz="4" w:space="1" w:color="auto"/>
          <w:right w:val="single" w:sz="4" w:space="4" w:color="auto"/>
        </w:pBdr>
        <w:spacing w:after="0"/>
        <w:rPr>
          <w:b/>
          <w:szCs w:val="22"/>
        </w:rPr>
      </w:pPr>
      <w:r w:rsidRPr="00F778AF">
        <w:rPr>
          <w:b/>
          <w:szCs w:val="22"/>
        </w:rPr>
        <w:t>DĖŽUTĖ</w:t>
      </w:r>
    </w:p>
    <w:p w14:paraId="36A99411" w14:textId="77777777" w:rsidR="00361C03" w:rsidRPr="00F778AF" w:rsidRDefault="00361C03" w:rsidP="00361C03">
      <w:pPr>
        <w:pStyle w:val="Pagrindinistekstas"/>
        <w:spacing w:after="0"/>
        <w:rPr>
          <w:szCs w:val="22"/>
        </w:rPr>
      </w:pPr>
    </w:p>
    <w:p w14:paraId="22A22CB7" w14:textId="77777777" w:rsidR="00361C03" w:rsidRPr="00F778AF" w:rsidRDefault="00361C03" w:rsidP="00361C03">
      <w:pPr>
        <w:pStyle w:val="Pagrindinistekstas"/>
        <w:spacing w:after="0"/>
        <w:rPr>
          <w:szCs w:val="22"/>
        </w:rPr>
      </w:pPr>
    </w:p>
    <w:p w14:paraId="429A2878"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1.</w:t>
      </w:r>
      <w:r w:rsidRPr="00F778AF">
        <w:tab/>
        <w:t>VAISTINIO PREPARATO PAVADINIMAS</w:t>
      </w:r>
    </w:p>
    <w:p w14:paraId="2F0F6214" w14:textId="77777777" w:rsidR="00361C03" w:rsidRPr="00F778AF" w:rsidRDefault="00361C03" w:rsidP="00361C03">
      <w:pPr>
        <w:pStyle w:val="Pagrindinistekstas"/>
        <w:spacing w:after="0"/>
        <w:rPr>
          <w:szCs w:val="22"/>
        </w:rPr>
      </w:pPr>
    </w:p>
    <w:p w14:paraId="7C3274F9" w14:textId="77777777" w:rsidR="00361C03" w:rsidRPr="00F778AF" w:rsidRDefault="00361C03" w:rsidP="00361C03">
      <w:pPr>
        <w:pStyle w:val="Pagrindinistekstas"/>
        <w:spacing w:after="0"/>
        <w:rPr>
          <w:szCs w:val="22"/>
        </w:rPr>
      </w:pPr>
      <w:r w:rsidRPr="00F778AF">
        <w:rPr>
          <w:szCs w:val="22"/>
        </w:rPr>
        <w:t>Imdur 60 mg pailginto atpalaidavimo tabletės</w:t>
      </w:r>
    </w:p>
    <w:p w14:paraId="36BE8140" w14:textId="2CB166FE" w:rsidR="00361C03" w:rsidRPr="00F778AF" w:rsidRDefault="006B4733" w:rsidP="00361C03">
      <w:pPr>
        <w:pStyle w:val="Pagrindinistekstas"/>
        <w:spacing w:after="0"/>
        <w:rPr>
          <w:szCs w:val="22"/>
        </w:rPr>
      </w:pPr>
      <w:r>
        <w:rPr>
          <w:szCs w:val="22"/>
        </w:rPr>
        <w:t>i</w:t>
      </w:r>
      <w:r w:rsidR="00361C03" w:rsidRPr="00F778AF">
        <w:rPr>
          <w:szCs w:val="22"/>
        </w:rPr>
        <w:t>sosorbidi mononitras</w:t>
      </w:r>
    </w:p>
    <w:p w14:paraId="4571336A" w14:textId="77777777" w:rsidR="00361C03" w:rsidRPr="00F778AF" w:rsidRDefault="00361C03" w:rsidP="00361C03">
      <w:pPr>
        <w:pStyle w:val="Pagrindinistekstas"/>
        <w:spacing w:after="0"/>
        <w:rPr>
          <w:szCs w:val="22"/>
        </w:rPr>
      </w:pPr>
    </w:p>
    <w:p w14:paraId="22CE4812" w14:textId="77777777" w:rsidR="00361C03" w:rsidRPr="00F778AF" w:rsidRDefault="00361C03" w:rsidP="00361C03">
      <w:pPr>
        <w:pStyle w:val="Pagrindinistekstas"/>
        <w:spacing w:after="0"/>
        <w:rPr>
          <w:szCs w:val="22"/>
        </w:rPr>
      </w:pPr>
    </w:p>
    <w:p w14:paraId="5EAF96DB"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2.</w:t>
      </w:r>
      <w:r w:rsidRPr="00F778AF">
        <w:tab/>
        <w:t xml:space="preserve">VEIKLIOJI MEDŽIAGA IR JOS KIEKIS </w:t>
      </w:r>
    </w:p>
    <w:p w14:paraId="113B31DE" w14:textId="77777777" w:rsidR="00361C03" w:rsidRPr="00F778AF" w:rsidRDefault="00361C03" w:rsidP="00361C03">
      <w:pPr>
        <w:pStyle w:val="Pagrindinistekstas"/>
        <w:spacing w:after="0"/>
        <w:rPr>
          <w:szCs w:val="22"/>
        </w:rPr>
      </w:pPr>
    </w:p>
    <w:p w14:paraId="26F4D11D" w14:textId="77777777" w:rsidR="00361C03" w:rsidRPr="00F778AF" w:rsidRDefault="00361C03" w:rsidP="00361C03">
      <w:pPr>
        <w:pStyle w:val="Pagrindinistekstas"/>
        <w:spacing w:after="0"/>
        <w:rPr>
          <w:szCs w:val="22"/>
        </w:rPr>
      </w:pPr>
      <w:r w:rsidRPr="00F778AF">
        <w:rPr>
          <w:szCs w:val="22"/>
        </w:rPr>
        <w:t>Kiekvienoje pailginto atpalaidavimo tabletėje yra 60 mg izosorbido mononitrato.</w:t>
      </w:r>
    </w:p>
    <w:p w14:paraId="1907199B" w14:textId="77777777" w:rsidR="00361C03" w:rsidRPr="00F778AF" w:rsidRDefault="00361C03" w:rsidP="00361C03">
      <w:pPr>
        <w:pStyle w:val="Pagrindinistekstas"/>
        <w:spacing w:after="0"/>
        <w:rPr>
          <w:szCs w:val="22"/>
        </w:rPr>
      </w:pPr>
    </w:p>
    <w:p w14:paraId="406E2181" w14:textId="77777777" w:rsidR="00361C03" w:rsidRPr="00F778AF" w:rsidRDefault="00361C03" w:rsidP="00361C03">
      <w:pPr>
        <w:pStyle w:val="Pagrindinistekstas"/>
        <w:spacing w:after="0"/>
        <w:rPr>
          <w:szCs w:val="22"/>
        </w:rPr>
      </w:pPr>
    </w:p>
    <w:p w14:paraId="5C0835AB"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3.</w:t>
      </w:r>
      <w:r w:rsidRPr="00F778AF">
        <w:tab/>
        <w:t>PAGALBINIŲ MEDŽIAGŲ SĄRAŠAS</w:t>
      </w:r>
    </w:p>
    <w:p w14:paraId="41FFB8DD" w14:textId="77777777" w:rsidR="00361C03" w:rsidRPr="00F778AF" w:rsidRDefault="00361C03" w:rsidP="00361C03">
      <w:pPr>
        <w:pStyle w:val="Pagrindinistekstas"/>
        <w:spacing w:after="0"/>
        <w:rPr>
          <w:szCs w:val="22"/>
        </w:rPr>
      </w:pPr>
    </w:p>
    <w:p w14:paraId="0A63C4AA" w14:textId="77777777" w:rsidR="00361C03" w:rsidRPr="00F778AF" w:rsidRDefault="00361C03" w:rsidP="00361C03">
      <w:pPr>
        <w:pStyle w:val="Pagrindinistekstas"/>
        <w:spacing w:after="0"/>
        <w:rPr>
          <w:szCs w:val="22"/>
        </w:rPr>
      </w:pPr>
    </w:p>
    <w:p w14:paraId="307C6116"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4.</w:t>
      </w:r>
      <w:r w:rsidRPr="00F778AF">
        <w:tab/>
        <w:t>FARMACINĖ FORMA IR KIEKIS PAKUOTĖJE</w:t>
      </w:r>
    </w:p>
    <w:p w14:paraId="2EA54CBB" w14:textId="77777777" w:rsidR="00361C03" w:rsidRPr="00F778AF" w:rsidRDefault="00361C03" w:rsidP="00361C03">
      <w:pPr>
        <w:pStyle w:val="Pagrindinistekstas"/>
        <w:spacing w:after="0"/>
        <w:rPr>
          <w:szCs w:val="22"/>
        </w:rPr>
      </w:pPr>
    </w:p>
    <w:p w14:paraId="167D5D34" w14:textId="77777777" w:rsidR="00361C03" w:rsidRPr="00F778AF" w:rsidRDefault="00361C03" w:rsidP="00361C03">
      <w:pPr>
        <w:pStyle w:val="Pagrindinistekstas"/>
        <w:spacing w:after="0"/>
        <w:rPr>
          <w:szCs w:val="22"/>
        </w:rPr>
      </w:pPr>
      <w:r w:rsidRPr="00F778AF">
        <w:rPr>
          <w:szCs w:val="22"/>
          <w:highlight w:val="lightGray"/>
        </w:rPr>
        <w:t>Pailginto atpalaidavimo tabletės</w:t>
      </w:r>
    </w:p>
    <w:p w14:paraId="626D615D" w14:textId="77777777" w:rsidR="00361C03" w:rsidRPr="00F778AF" w:rsidRDefault="00361C03" w:rsidP="00361C03">
      <w:pPr>
        <w:pStyle w:val="Pagrindinistekstas"/>
        <w:spacing w:after="0"/>
        <w:rPr>
          <w:szCs w:val="22"/>
        </w:rPr>
      </w:pPr>
    </w:p>
    <w:p w14:paraId="193D25F2" w14:textId="77777777" w:rsidR="00361C03" w:rsidRPr="00F778AF" w:rsidRDefault="00361C03" w:rsidP="00361C03">
      <w:pPr>
        <w:pStyle w:val="Pagrindinistekstas"/>
        <w:spacing w:after="0"/>
        <w:rPr>
          <w:szCs w:val="22"/>
        </w:rPr>
      </w:pPr>
      <w:r w:rsidRPr="00F778AF">
        <w:rPr>
          <w:szCs w:val="22"/>
        </w:rPr>
        <w:t>30 pailginto atpalaidavimo tablečių</w:t>
      </w:r>
    </w:p>
    <w:p w14:paraId="59E583BD" w14:textId="77777777" w:rsidR="00361C03" w:rsidRPr="00F778AF" w:rsidRDefault="00361C03" w:rsidP="00361C03">
      <w:pPr>
        <w:pStyle w:val="Pagrindinistekstas"/>
        <w:spacing w:after="0"/>
        <w:rPr>
          <w:szCs w:val="22"/>
        </w:rPr>
      </w:pPr>
    </w:p>
    <w:p w14:paraId="54FBC6CC" w14:textId="77777777" w:rsidR="00361C03" w:rsidRPr="00F778AF" w:rsidRDefault="00361C03" w:rsidP="00361C03">
      <w:pPr>
        <w:pStyle w:val="Pagrindinistekstas"/>
        <w:spacing w:after="0"/>
        <w:rPr>
          <w:szCs w:val="22"/>
        </w:rPr>
      </w:pPr>
    </w:p>
    <w:p w14:paraId="5A06517B"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5.</w:t>
      </w:r>
      <w:r w:rsidRPr="00F778AF">
        <w:tab/>
        <w:t>VARTOJIMO METODAS IR BŪDAS (-AI)</w:t>
      </w:r>
    </w:p>
    <w:p w14:paraId="3F70BF90" w14:textId="77777777" w:rsidR="00361C03" w:rsidRPr="00F778AF" w:rsidRDefault="00361C03" w:rsidP="00361C03">
      <w:pPr>
        <w:pStyle w:val="Pagrindinistekstas"/>
        <w:spacing w:after="0"/>
        <w:rPr>
          <w:szCs w:val="22"/>
        </w:rPr>
      </w:pPr>
    </w:p>
    <w:p w14:paraId="6371D605" w14:textId="77777777" w:rsidR="00361C03" w:rsidRPr="00F778AF" w:rsidRDefault="00361C03" w:rsidP="00361C03">
      <w:pPr>
        <w:pStyle w:val="Pagrindinistekstas"/>
        <w:spacing w:after="0"/>
        <w:rPr>
          <w:szCs w:val="22"/>
        </w:rPr>
      </w:pPr>
      <w:r w:rsidRPr="00F778AF">
        <w:rPr>
          <w:szCs w:val="22"/>
        </w:rPr>
        <w:t>Vartoti per burną.</w:t>
      </w:r>
    </w:p>
    <w:p w14:paraId="212C6E70" w14:textId="77777777" w:rsidR="00361C03" w:rsidRPr="00F778AF" w:rsidRDefault="00361C03" w:rsidP="00361C03">
      <w:pPr>
        <w:pStyle w:val="Pagrindinistekstas"/>
        <w:spacing w:after="0"/>
        <w:rPr>
          <w:szCs w:val="22"/>
        </w:rPr>
      </w:pPr>
      <w:r w:rsidRPr="00F778AF">
        <w:rPr>
          <w:szCs w:val="22"/>
        </w:rPr>
        <w:t>Prieš vartojimą perskaitykite pakuotės lapelį.</w:t>
      </w:r>
    </w:p>
    <w:p w14:paraId="40957263" w14:textId="77777777" w:rsidR="00361C03" w:rsidRPr="00F778AF" w:rsidRDefault="00361C03" w:rsidP="00361C03">
      <w:pPr>
        <w:pStyle w:val="Pagrindinistekstas"/>
        <w:spacing w:after="0"/>
        <w:rPr>
          <w:szCs w:val="22"/>
        </w:rPr>
      </w:pPr>
    </w:p>
    <w:p w14:paraId="4052268B" w14:textId="77777777" w:rsidR="00361C03" w:rsidRPr="00F778AF" w:rsidRDefault="00361C03" w:rsidP="00361C03">
      <w:pPr>
        <w:pStyle w:val="Pagrindinistekstas"/>
        <w:spacing w:after="0"/>
        <w:rPr>
          <w:szCs w:val="22"/>
        </w:rPr>
      </w:pPr>
    </w:p>
    <w:p w14:paraId="2A9D6F86"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6.</w:t>
      </w:r>
      <w:r w:rsidRPr="00F778AF">
        <w:tab/>
        <w:t>SPECIALUS ĮSPĖJIMAS, KAD VAISTINĮ PREPARATĄ BŪTINA LAIKYTI VAIKAMS NEPASTEBIMOJE IR NEPASIEKIAMOJE VIETOJE</w:t>
      </w:r>
    </w:p>
    <w:p w14:paraId="74CC3707" w14:textId="77777777" w:rsidR="00361C03" w:rsidRPr="00F778AF" w:rsidRDefault="00361C03" w:rsidP="00361C03">
      <w:pPr>
        <w:pStyle w:val="Pagrindinistekstas"/>
        <w:spacing w:after="0"/>
        <w:rPr>
          <w:szCs w:val="22"/>
        </w:rPr>
      </w:pPr>
    </w:p>
    <w:p w14:paraId="5967EF18" w14:textId="77777777" w:rsidR="00361C03" w:rsidRPr="00F778AF" w:rsidRDefault="00361C03" w:rsidP="00361C03">
      <w:pPr>
        <w:pStyle w:val="Pagrindinistekstas"/>
        <w:spacing w:after="0"/>
        <w:rPr>
          <w:szCs w:val="22"/>
        </w:rPr>
      </w:pPr>
      <w:r w:rsidRPr="00F778AF">
        <w:rPr>
          <w:szCs w:val="22"/>
        </w:rPr>
        <w:t>Laikyti vaikams nepastebimoje ir nepasiekiamoje vietoje.</w:t>
      </w:r>
    </w:p>
    <w:p w14:paraId="034C46C3" w14:textId="77777777" w:rsidR="00361C03" w:rsidRPr="00F778AF" w:rsidRDefault="00361C03" w:rsidP="00361C03">
      <w:pPr>
        <w:pStyle w:val="Pagrindinistekstas"/>
        <w:spacing w:after="0"/>
        <w:rPr>
          <w:szCs w:val="22"/>
        </w:rPr>
      </w:pPr>
    </w:p>
    <w:p w14:paraId="20434E8E" w14:textId="77777777" w:rsidR="00361C03" w:rsidRPr="00F778AF" w:rsidRDefault="00361C03" w:rsidP="00361C03">
      <w:pPr>
        <w:pStyle w:val="Pagrindinistekstas"/>
        <w:spacing w:after="0"/>
        <w:rPr>
          <w:szCs w:val="22"/>
        </w:rPr>
      </w:pPr>
    </w:p>
    <w:p w14:paraId="51295B67"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7.</w:t>
      </w:r>
      <w:r w:rsidRPr="00F778AF">
        <w:tab/>
        <w:t>KITAS (-I) SPECIALUS (-ŪS)  ĮSPĖJIMAS (-AI) (JEI REIKIA)</w:t>
      </w:r>
    </w:p>
    <w:p w14:paraId="3AA469A4" w14:textId="77777777" w:rsidR="00361C03" w:rsidRPr="00F778AF" w:rsidRDefault="00361C03" w:rsidP="00361C03">
      <w:pPr>
        <w:pStyle w:val="Pagrindinistekstas"/>
        <w:spacing w:after="0"/>
        <w:rPr>
          <w:szCs w:val="22"/>
        </w:rPr>
      </w:pPr>
    </w:p>
    <w:p w14:paraId="50758FA5" w14:textId="77777777" w:rsidR="00361C03" w:rsidRPr="00F778AF" w:rsidRDefault="00361C03" w:rsidP="00361C03">
      <w:pPr>
        <w:pStyle w:val="Pagrindinistekstas"/>
        <w:spacing w:after="0"/>
        <w:rPr>
          <w:szCs w:val="22"/>
        </w:rPr>
      </w:pPr>
    </w:p>
    <w:p w14:paraId="49148954"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8.</w:t>
      </w:r>
      <w:r w:rsidRPr="00F778AF">
        <w:tab/>
        <w:t>TINKAMUMO LAIKAS</w:t>
      </w:r>
    </w:p>
    <w:p w14:paraId="33E533EF" w14:textId="77777777" w:rsidR="00361C03" w:rsidRPr="00F778AF" w:rsidRDefault="00361C03" w:rsidP="00361C03">
      <w:pPr>
        <w:pStyle w:val="Pagrindinistekstas"/>
        <w:spacing w:after="0"/>
        <w:rPr>
          <w:szCs w:val="22"/>
        </w:rPr>
      </w:pPr>
    </w:p>
    <w:p w14:paraId="7B06182F" w14:textId="77777777" w:rsidR="00361C03" w:rsidRPr="00F778AF" w:rsidRDefault="00361C03" w:rsidP="00361C03">
      <w:pPr>
        <w:pStyle w:val="Pagrindinistekstas"/>
        <w:spacing w:after="0"/>
        <w:rPr>
          <w:szCs w:val="22"/>
        </w:rPr>
      </w:pPr>
      <w:r>
        <w:rPr>
          <w:szCs w:val="22"/>
        </w:rPr>
        <w:t xml:space="preserve">EXP </w:t>
      </w:r>
      <w:r w:rsidRPr="00F778AF">
        <w:rPr>
          <w:szCs w:val="22"/>
        </w:rPr>
        <w:t>{MMMM/mm}</w:t>
      </w:r>
    </w:p>
    <w:p w14:paraId="33DAC467" w14:textId="77777777" w:rsidR="00361C03" w:rsidRDefault="00361C03" w:rsidP="00361C03">
      <w:pPr>
        <w:pStyle w:val="Pagrindinistekstas"/>
        <w:spacing w:after="0"/>
        <w:rPr>
          <w:szCs w:val="22"/>
        </w:rPr>
      </w:pPr>
    </w:p>
    <w:p w14:paraId="27A5F9E7" w14:textId="77777777" w:rsidR="006B4733" w:rsidRPr="00F778AF" w:rsidRDefault="006B4733" w:rsidP="00361C03">
      <w:pPr>
        <w:pStyle w:val="Pagrindinistekstas"/>
        <w:spacing w:after="0"/>
        <w:rPr>
          <w:szCs w:val="22"/>
        </w:rPr>
      </w:pPr>
    </w:p>
    <w:p w14:paraId="6AAD6AAC"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9.</w:t>
      </w:r>
      <w:r w:rsidRPr="00F778AF">
        <w:tab/>
        <w:t>SPECIALIOS LAIKYMO SĄLYGOS</w:t>
      </w:r>
    </w:p>
    <w:p w14:paraId="19E23EB9" w14:textId="77777777" w:rsidR="00361C03" w:rsidRPr="00F778AF" w:rsidRDefault="00361C03" w:rsidP="00361C03">
      <w:pPr>
        <w:pStyle w:val="Pagrindinistekstas"/>
        <w:spacing w:after="0"/>
        <w:rPr>
          <w:szCs w:val="22"/>
        </w:rPr>
      </w:pPr>
    </w:p>
    <w:p w14:paraId="178D0AD0" w14:textId="77777777" w:rsidR="00361C03" w:rsidRPr="00F778AF" w:rsidRDefault="00361C03" w:rsidP="00361C03">
      <w:pPr>
        <w:pStyle w:val="Pagrindinistekstas"/>
        <w:spacing w:after="0"/>
        <w:rPr>
          <w:szCs w:val="22"/>
        </w:rPr>
      </w:pPr>
    </w:p>
    <w:p w14:paraId="18E48B9B"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rPr>
          <w:szCs w:val="22"/>
        </w:rPr>
      </w:pPr>
      <w:r w:rsidRPr="00F778AF">
        <w:t>10.</w:t>
      </w:r>
      <w:r w:rsidRPr="00F778AF">
        <w:tab/>
        <w:t>SPECIALIOS ATSARGUMO PRIEMONĖS DĖL NESUVARTOTO VAISTINIO PREPARATO AR JO ATLIEKŲ TVARKYMO (JEI REIKIA)</w:t>
      </w:r>
    </w:p>
    <w:p w14:paraId="12CC7C13" w14:textId="77777777" w:rsidR="00361C03" w:rsidRDefault="00361C03" w:rsidP="00361C03">
      <w:pPr>
        <w:pStyle w:val="Pagrindinistekstas"/>
        <w:spacing w:after="0"/>
        <w:rPr>
          <w:szCs w:val="22"/>
        </w:rPr>
      </w:pPr>
    </w:p>
    <w:p w14:paraId="49C0924F" w14:textId="77777777" w:rsidR="00361C03" w:rsidRPr="00F778AF" w:rsidRDefault="00361C03" w:rsidP="00361C03">
      <w:pPr>
        <w:pStyle w:val="Pagrindinistekstas"/>
        <w:spacing w:after="0"/>
        <w:rPr>
          <w:szCs w:val="22"/>
        </w:rPr>
      </w:pPr>
    </w:p>
    <w:p w14:paraId="7BB9BD62"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lastRenderedPageBreak/>
        <w:t>11.</w:t>
      </w:r>
      <w:r w:rsidRPr="00F778AF">
        <w:tab/>
        <w:t>REGISTRUOTOJO PAVADINIMAS IR ADRESAS</w:t>
      </w:r>
    </w:p>
    <w:p w14:paraId="1FA34CE4" w14:textId="77777777" w:rsidR="00361C03" w:rsidRPr="00F778AF" w:rsidRDefault="00361C03" w:rsidP="00361C03">
      <w:pPr>
        <w:pStyle w:val="Pagrindinistekstas"/>
        <w:spacing w:after="0"/>
        <w:rPr>
          <w:szCs w:val="22"/>
        </w:rPr>
      </w:pPr>
    </w:p>
    <w:p w14:paraId="56C99D12" w14:textId="77777777" w:rsidR="00361C03" w:rsidRDefault="00361C03" w:rsidP="00361C03">
      <w:pPr>
        <w:pStyle w:val="Pagrindinistekstas"/>
        <w:spacing w:after="0"/>
        <w:rPr>
          <w:szCs w:val="22"/>
        </w:rPr>
      </w:pPr>
      <w:r w:rsidRPr="00515E15">
        <w:rPr>
          <w:szCs w:val="22"/>
        </w:rPr>
        <w:t xml:space="preserve">TopRidge Pharma (Ireland) Limited </w:t>
      </w:r>
    </w:p>
    <w:p w14:paraId="0F9B9801" w14:textId="77777777" w:rsidR="00361C03" w:rsidRDefault="00361C03" w:rsidP="00361C03">
      <w:pPr>
        <w:pStyle w:val="Pagrindinistekstas"/>
        <w:spacing w:after="0"/>
        <w:rPr>
          <w:szCs w:val="22"/>
        </w:rPr>
      </w:pPr>
      <w:r w:rsidRPr="00515E15">
        <w:rPr>
          <w:szCs w:val="22"/>
        </w:rPr>
        <w:t>6-9 Trinity Street</w:t>
      </w:r>
      <w:r>
        <w:rPr>
          <w:szCs w:val="22"/>
        </w:rPr>
        <w:t xml:space="preserve">, </w:t>
      </w:r>
      <w:r w:rsidRPr="00515E15">
        <w:rPr>
          <w:szCs w:val="22"/>
        </w:rPr>
        <w:t xml:space="preserve">Dublinas 2 </w:t>
      </w:r>
    </w:p>
    <w:p w14:paraId="5F231762" w14:textId="77777777" w:rsidR="00361C03" w:rsidRPr="00515E15" w:rsidRDefault="00361C03" w:rsidP="00361C03">
      <w:pPr>
        <w:pStyle w:val="Pagrindinistekstas"/>
        <w:spacing w:after="0"/>
        <w:rPr>
          <w:szCs w:val="22"/>
        </w:rPr>
      </w:pPr>
      <w:r w:rsidRPr="00515E15">
        <w:rPr>
          <w:szCs w:val="22"/>
        </w:rPr>
        <w:t>Airija</w:t>
      </w:r>
    </w:p>
    <w:p w14:paraId="6044ED35" w14:textId="77777777" w:rsidR="00361C03" w:rsidRPr="00F778AF" w:rsidRDefault="00361C03" w:rsidP="00361C03">
      <w:pPr>
        <w:pStyle w:val="Pagrindinistekstas"/>
        <w:spacing w:after="0"/>
        <w:rPr>
          <w:szCs w:val="22"/>
        </w:rPr>
      </w:pPr>
    </w:p>
    <w:p w14:paraId="4F4CE597" w14:textId="77777777" w:rsidR="00361C03" w:rsidRPr="00F778AF" w:rsidRDefault="00361C03" w:rsidP="00361C03">
      <w:pPr>
        <w:pStyle w:val="Pagrindinistekstas"/>
        <w:spacing w:after="0"/>
        <w:rPr>
          <w:szCs w:val="22"/>
        </w:rPr>
      </w:pPr>
    </w:p>
    <w:p w14:paraId="5410BBCE"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12.</w:t>
      </w:r>
      <w:r w:rsidRPr="00F778AF">
        <w:tab/>
        <w:t>REGISTRACIJOS PAŽYMĖJIMO NUMERIS</w:t>
      </w:r>
    </w:p>
    <w:p w14:paraId="2101A188" w14:textId="77777777" w:rsidR="00361C03" w:rsidRPr="00F778AF" w:rsidRDefault="00361C03" w:rsidP="00361C03">
      <w:pPr>
        <w:pStyle w:val="Pagrindinistekstas"/>
        <w:spacing w:after="0"/>
        <w:rPr>
          <w:szCs w:val="22"/>
        </w:rPr>
      </w:pPr>
    </w:p>
    <w:p w14:paraId="569EB420" w14:textId="77777777" w:rsidR="00361C03" w:rsidRPr="00F778AF" w:rsidRDefault="00361C03" w:rsidP="00361C03">
      <w:pPr>
        <w:pStyle w:val="Pagrindinistekstas"/>
        <w:spacing w:after="0"/>
        <w:rPr>
          <w:szCs w:val="22"/>
        </w:rPr>
      </w:pPr>
      <w:r w:rsidRPr="00F778AF">
        <w:rPr>
          <w:szCs w:val="22"/>
        </w:rPr>
        <w:t>LT/1/97/0144/001</w:t>
      </w:r>
    </w:p>
    <w:p w14:paraId="217101AC" w14:textId="77777777" w:rsidR="00361C03" w:rsidRPr="00F778AF" w:rsidRDefault="00361C03" w:rsidP="00361C03">
      <w:pPr>
        <w:pStyle w:val="Pagrindinistekstas"/>
        <w:spacing w:after="0"/>
        <w:rPr>
          <w:szCs w:val="22"/>
        </w:rPr>
      </w:pPr>
    </w:p>
    <w:p w14:paraId="0759F95B" w14:textId="77777777" w:rsidR="00361C03" w:rsidRPr="00F778AF" w:rsidRDefault="00361C03" w:rsidP="00361C03">
      <w:pPr>
        <w:pStyle w:val="Pagrindinistekstas"/>
        <w:spacing w:after="0"/>
        <w:rPr>
          <w:szCs w:val="22"/>
        </w:rPr>
      </w:pPr>
    </w:p>
    <w:p w14:paraId="21BFD1AE"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13.</w:t>
      </w:r>
      <w:r w:rsidRPr="00F778AF">
        <w:tab/>
        <w:t>SERIJOS NUMERIS</w:t>
      </w:r>
    </w:p>
    <w:p w14:paraId="56DBCDD6" w14:textId="77777777" w:rsidR="00361C03" w:rsidRPr="00F778AF" w:rsidRDefault="00361C03" w:rsidP="00361C03">
      <w:pPr>
        <w:pStyle w:val="Pagrindinistekstas"/>
        <w:spacing w:after="0"/>
        <w:rPr>
          <w:szCs w:val="22"/>
        </w:rPr>
      </w:pPr>
    </w:p>
    <w:p w14:paraId="49746B79" w14:textId="77777777" w:rsidR="00361C03" w:rsidRPr="00F778AF" w:rsidRDefault="00361C03" w:rsidP="00361C03">
      <w:pPr>
        <w:pStyle w:val="Pagrindinistekstas"/>
        <w:spacing w:after="0"/>
        <w:rPr>
          <w:szCs w:val="22"/>
        </w:rPr>
      </w:pPr>
      <w:r>
        <w:rPr>
          <w:szCs w:val="22"/>
        </w:rPr>
        <w:t>Lot</w:t>
      </w:r>
    </w:p>
    <w:p w14:paraId="124BEDE8" w14:textId="77777777" w:rsidR="00361C03" w:rsidRPr="00F778AF" w:rsidRDefault="00361C03" w:rsidP="00361C03">
      <w:pPr>
        <w:pStyle w:val="Pagrindinistekstas"/>
        <w:spacing w:after="0"/>
        <w:rPr>
          <w:szCs w:val="22"/>
        </w:rPr>
      </w:pPr>
    </w:p>
    <w:p w14:paraId="05F294CF" w14:textId="77777777" w:rsidR="00361C03" w:rsidRPr="00F778AF" w:rsidRDefault="00361C03" w:rsidP="00361C03">
      <w:pPr>
        <w:pStyle w:val="Pagrindinistekstas"/>
        <w:spacing w:after="0"/>
        <w:rPr>
          <w:szCs w:val="22"/>
        </w:rPr>
      </w:pPr>
    </w:p>
    <w:p w14:paraId="46436D2A"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14.</w:t>
      </w:r>
      <w:r w:rsidRPr="00F778AF">
        <w:tab/>
        <w:t>PARDAVIMO (IŠDAVIMO) TVARKA</w:t>
      </w:r>
    </w:p>
    <w:p w14:paraId="23BFC54B" w14:textId="77777777" w:rsidR="00361C03" w:rsidRPr="00F778AF" w:rsidRDefault="00361C03" w:rsidP="00361C03">
      <w:pPr>
        <w:pStyle w:val="Pagrindinistekstas"/>
        <w:spacing w:after="0"/>
        <w:rPr>
          <w:szCs w:val="22"/>
        </w:rPr>
      </w:pPr>
    </w:p>
    <w:p w14:paraId="0F008A58" w14:textId="77777777" w:rsidR="00361C03" w:rsidRPr="00F778AF" w:rsidRDefault="00361C03" w:rsidP="00361C03">
      <w:pPr>
        <w:pStyle w:val="Pagrindinistekstas"/>
        <w:spacing w:after="0"/>
        <w:rPr>
          <w:szCs w:val="22"/>
        </w:rPr>
      </w:pPr>
      <w:r w:rsidRPr="00F778AF">
        <w:rPr>
          <w:szCs w:val="22"/>
        </w:rPr>
        <w:t>Receptinis vaist</w:t>
      </w:r>
      <w:r>
        <w:rPr>
          <w:szCs w:val="22"/>
        </w:rPr>
        <w:t>as</w:t>
      </w:r>
    </w:p>
    <w:p w14:paraId="22C7F902" w14:textId="77777777" w:rsidR="00361C03" w:rsidRPr="00F778AF" w:rsidRDefault="00361C03" w:rsidP="00361C03">
      <w:pPr>
        <w:pStyle w:val="Pagrindinistekstas"/>
        <w:spacing w:after="0"/>
        <w:rPr>
          <w:szCs w:val="22"/>
        </w:rPr>
      </w:pPr>
    </w:p>
    <w:p w14:paraId="6CA88D8D" w14:textId="77777777" w:rsidR="00361C03" w:rsidRPr="00F778AF" w:rsidRDefault="00361C03" w:rsidP="00361C03">
      <w:pPr>
        <w:pStyle w:val="Pagrindinistekstas"/>
        <w:spacing w:after="0"/>
        <w:rPr>
          <w:szCs w:val="22"/>
        </w:rPr>
      </w:pPr>
    </w:p>
    <w:p w14:paraId="194B5389" w14:textId="77777777" w:rsidR="00361C03" w:rsidRPr="00F778AF" w:rsidRDefault="00361C03" w:rsidP="00361C03">
      <w:pPr>
        <w:pStyle w:val="Antrat3"/>
        <w:pBdr>
          <w:top w:val="single" w:sz="4" w:space="1" w:color="auto"/>
          <w:left w:val="single" w:sz="4" w:space="4" w:color="auto"/>
          <w:bottom w:val="single" w:sz="4" w:space="1" w:color="auto"/>
          <w:right w:val="single" w:sz="4" w:space="4" w:color="auto"/>
        </w:pBdr>
      </w:pPr>
      <w:r w:rsidRPr="00F778AF">
        <w:t>15.</w:t>
      </w:r>
      <w:r w:rsidRPr="00F778AF">
        <w:tab/>
        <w:t>VARTOJIMO INSTRUKCIJA</w:t>
      </w:r>
    </w:p>
    <w:p w14:paraId="79D0653D" w14:textId="77777777" w:rsidR="00361C03" w:rsidRPr="00F778AF" w:rsidRDefault="00361C03" w:rsidP="00361C03">
      <w:pPr>
        <w:pStyle w:val="Pagrindinistekstas"/>
        <w:spacing w:after="0"/>
        <w:rPr>
          <w:szCs w:val="22"/>
        </w:rPr>
      </w:pPr>
    </w:p>
    <w:p w14:paraId="4AC8D763" w14:textId="77777777" w:rsidR="00361C03" w:rsidRPr="00F778AF" w:rsidRDefault="00361C03" w:rsidP="00361C03">
      <w:pPr>
        <w:pStyle w:val="Antrat2"/>
      </w:pPr>
    </w:p>
    <w:p w14:paraId="15FBBF1E" w14:textId="77777777" w:rsidR="00361C03" w:rsidRPr="00F778AF" w:rsidRDefault="00361C03" w:rsidP="00361C03">
      <w:pPr>
        <w:pStyle w:val="Antrat2"/>
        <w:pBdr>
          <w:top w:val="single" w:sz="4" w:space="1" w:color="auto"/>
          <w:left w:val="single" w:sz="4" w:space="4" w:color="auto"/>
          <w:bottom w:val="single" w:sz="4" w:space="1" w:color="auto"/>
          <w:right w:val="single" w:sz="4" w:space="4" w:color="auto"/>
        </w:pBdr>
      </w:pPr>
      <w:r w:rsidRPr="00F778AF">
        <w:t>16.</w:t>
      </w:r>
      <w:r w:rsidRPr="00F778AF">
        <w:tab/>
        <w:t>INFORMACIJA BRAILIO RAŠTU</w:t>
      </w:r>
    </w:p>
    <w:p w14:paraId="75DFA6AE" w14:textId="77777777" w:rsidR="00361C03" w:rsidRPr="00F778AF" w:rsidRDefault="00361C03" w:rsidP="00361C03">
      <w:pPr>
        <w:rPr>
          <w:sz w:val="22"/>
          <w:szCs w:val="22"/>
        </w:rPr>
      </w:pPr>
    </w:p>
    <w:p w14:paraId="200A57AD" w14:textId="77777777" w:rsidR="00361C03" w:rsidRDefault="00361C03" w:rsidP="00361C03">
      <w:pPr>
        <w:pStyle w:val="BTEMEASMCA"/>
        <w:rPr>
          <w:noProof w:val="0"/>
        </w:rPr>
      </w:pPr>
      <w:r w:rsidRPr="00F778AF">
        <w:rPr>
          <w:noProof w:val="0"/>
        </w:rPr>
        <w:t>imdur 60 mg</w:t>
      </w:r>
    </w:p>
    <w:p w14:paraId="47D24211" w14:textId="77777777" w:rsidR="00361C03" w:rsidRDefault="00361C03" w:rsidP="00361C03">
      <w:pPr>
        <w:pStyle w:val="BTEMEASMCA"/>
        <w:rPr>
          <w:noProof w:val="0"/>
        </w:rPr>
      </w:pPr>
    </w:p>
    <w:p w14:paraId="683D652F" w14:textId="77777777" w:rsidR="00361C03" w:rsidRDefault="00361C03" w:rsidP="00361C03">
      <w:pPr>
        <w:pStyle w:val="BTEMEASMCA"/>
        <w:rPr>
          <w:noProof w:val="0"/>
        </w:rPr>
      </w:pPr>
    </w:p>
    <w:p w14:paraId="165FA234" w14:textId="77777777" w:rsidR="00361C03" w:rsidRPr="00F0037B" w:rsidRDefault="00361C03" w:rsidP="00361C0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b w:val="0"/>
          <w:bCs w:val="0"/>
          <w:i/>
          <w:noProof/>
          <w:snapToGrid w:val="0"/>
          <w:sz w:val="22"/>
          <w:szCs w:val="24"/>
          <w:lang w:val="en-GB"/>
        </w:rPr>
      </w:pPr>
      <w:r w:rsidRPr="00F0037B">
        <w:rPr>
          <w:bCs w:val="0"/>
          <w:noProof/>
          <w:snapToGrid w:val="0"/>
          <w:sz w:val="22"/>
          <w:lang w:val="en-GB"/>
        </w:rPr>
        <w:t>17.</w:t>
      </w:r>
      <w:r w:rsidRPr="00F0037B">
        <w:rPr>
          <w:bCs w:val="0"/>
          <w:noProof/>
          <w:snapToGrid w:val="0"/>
          <w:sz w:val="22"/>
          <w:lang w:val="en-GB"/>
        </w:rPr>
        <w:tab/>
        <w:t>UNIKALUS IDENTIFIKATORIUS – 2D BRŪKŠNINIS KODAS</w:t>
      </w:r>
    </w:p>
    <w:p w14:paraId="6DDE6E78" w14:textId="77777777" w:rsidR="00361C03" w:rsidRPr="00F0037B" w:rsidRDefault="00361C03" w:rsidP="00361C03">
      <w:pPr>
        <w:tabs>
          <w:tab w:val="left" w:pos="567"/>
        </w:tabs>
        <w:spacing w:line="260" w:lineRule="exact"/>
        <w:rPr>
          <w:b w:val="0"/>
          <w:bCs w:val="0"/>
          <w:noProof/>
          <w:snapToGrid w:val="0"/>
          <w:sz w:val="22"/>
          <w:lang w:val="en-GB"/>
        </w:rPr>
      </w:pPr>
    </w:p>
    <w:p w14:paraId="0940D9AC" w14:textId="77777777" w:rsidR="00361C03" w:rsidRPr="00F0037B" w:rsidRDefault="00361C03" w:rsidP="00361C03">
      <w:pPr>
        <w:tabs>
          <w:tab w:val="left" w:pos="567"/>
        </w:tabs>
        <w:spacing w:line="260" w:lineRule="exact"/>
        <w:rPr>
          <w:b w:val="0"/>
          <w:bCs w:val="0"/>
          <w:noProof/>
          <w:snapToGrid w:val="0"/>
          <w:sz w:val="22"/>
          <w:szCs w:val="22"/>
          <w:shd w:val="clear" w:color="auto" w:fill="CCCCCC"/>
          <w:lang w:val="en-GB"/>
        </w:rPr>
      </w:pPr>
      <w:r w:rsidRPr="00F0037B">
        <w:rPr>
          <w:b w:val="0"/>
          <w:bCs w:val="0"/>
          <w:noProof/>
          <w:snapToGrid w:val="0"/>
          <w:sz w:val="22"/>
          <w:highlight w:val="lightGray"/>
          <w:lang w:val="en-GB"/>
        </w:rPr>
        <w:t>2D brūkšninis kodas su nurod</w:t>
      </w:r>
      <w:r>
        <w:rPr>
          <w:b w:val="0"/>
          <w:bCs w:val="0"/>
          <w:noProof/>
          <w:snapToGrid w:val="0"/>
          <w:sz w:val="22"/>
          <w:highlight w:val="lightGray"/>
          <w:lang w:val="en-GB"/>
        </w:rPr>
        <w:t>ytu unikaliu identifikatoriumi.</w:t>
      </w:r>
    </w:p>
    <w:p w14:paraId="17EB5A80" w14:textId="77777777" w:rsidR="00361C03" w:rsidRPr="00F0037B" w:rsidRDefault="00361C03" w:rsidP="00361C03">
      <w:pPr>
        <w:tabs>
          <w:tab w:val="left" w:pos="567"/>
        </w:tabs>
        <w:spacing w:line="260" w:lineRule="exact"/>
        <w:rPr>
          <w:b w:val="0"/>
          <w:bCs w:val="0"/>
          <w:noProof/>
          <w:snapToGrid w:val="0"/>
          <w:sz w:val="22"/>
          <w:szCs w:val="22"/>
          <w:shd w:val="clear" w:color="auto" w:fill="CCCCCC"/>
          <w:lang w:val="en-GB"/>
        </w:rPr>
      </w:pPr>
    </w:p>
    <w:p w14:paraId="3AFBB120" w14:textId="77777777" w:rsidR="00361C03" w:rsidRPr="00F0037B" w:rsidRDefault="00361C03" w:rsidP="00361C03">
      <w:pPr>
        <w:tabs>
          <w:tab w:val="left" w:pos="567"/>
        </w:tabs>
        <w:spacing w:line="260" w:lineRule="exact"/>
        <w:rPr>
          <w:b w:val="0"/>
          <w:bCs w:val="0"/>
          <w:noProof/>
          <w:snapToGrid w:val="0"/>
          <w:sz w:val="22"/>
          <w:lang w:val="en-GB"/>
        </w:rPr>
      </w:pPr>
    </w:p>
    <w:p w14:paraId="64C6DD2F" w14:textId="77777777" w:rsidR="00361C03" w:rsidRPr="00F0037B" w:rsidRDefault="00361C03" w:rsidP="00361C0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b w:val="0"/>
          <w:bCs w:val="0"/>
          <w:i/>
          <w:noProof/>
          <w:snapToGrid w:val="0"/>
          <w:sz w:val="22"/>
          <w:lang w:val="en-GB"/>
        </w:rPr>
      </w:pPr>
      <w:r w:rsidRPr="00F0037B">
        <w:rPr>
          <w:bCs w:val="0"/>
          <w:noProof/>
          <w:snapToGrid w:val="0"/>
          <w:sz w:val="22"/>
          <w:lang w:val="en-GB"/>
        </w:rPr>
        <w:t>18.</w:t>
      </w:r>
      <w:r w:rsidRPr="00F0037B">
        <w:rPr>
          <w:bCs w:val="0"/>
          <w:noProof/>
          <w:snapToGrid w:val="0"/>
          <w:sz w:val="22"/>
          <w:lang w:val="en-GB"/>
        </w:rPr>
        <w:tab/>
        <w:t>UNIKALUS IDENTIFIKATORIUS – ŽMONĖMS SUPRANTAMI DUOMENYS</w:t>
      </w:r>
    </w:p>
    <w:p w14:paraId="3C2035A2" w14:textId="77777777" w:rsidR="00361C03" w:rsidRPr="00F0037B" w:rsidRDefault="00361C03" w:rsidP="00361C03">
      <w:pPr>
        <w:tabs>
          <w:tab w:val="left" w:pos="567"/>
        </w:tabs>
        <w:spacing w:line="260" w:lineRule="exact"/>
        <w:rPr>
          <w:b w:val="0"/>
          <w:bCs w:val="0"/>
          <w:noProof/>
          <w:snapToGrid w:val="0"/>
          <w:sz w:val="22"/>
          <w:lang w:val="en-GB"/>
        </w:rPr>
      </w:pPr>
    </w:p>
    <w:p w14:paraId="3AB64E5C" w14:textId="77777777" w:rsidR="00361C03" w:rsidRPr="00F0037B" w:rsidRDefault="00361C03" w:rsidP="00361C03">
      <w:pPr>
        <w:tabs>
          <w:tab w:val="left" w:pos="567"/>
        </w:tabs>
        <w:spacing w:line="260" w:lineRule="exact"/>
        <w:rPr>
          <w:b w:val="0"/>
          <w:bCs w:val="0"/>
          <w:snapToGrid w:val="0"/>
          <w:color w:val="008000"/>
          <w:sz w:val="22"/>
          <w:szCs w:val="22"/>
          <w:lang w:val="en-GB"/>
        </w:rPr>
      </w:pPr>
      <w:r>
        <w:rPr>
          <w:b w:val="0"/>
          <w:bCs w:val="0"/>
          <w:snapToGrid w:val="0"/>
          <w:sz w:val="22"/>
          <w:lang w:val="en-GB"/>
        </w:rPr>
        <w:t>PC: {numeris}</w:t>
      </w:r>
    </w:p>
    <w:p w14:paraId="7EE8F656" w14:textId="77777777" w:rsidR="00361C03" w:rsidRPr="00F0037B" w:rsidRDefault="00361C03" w:rsidP="00361C03">
      <w:pPr>
        <w:tabs>
          <w:tab w:val="left" w:pos="567"/>
        </w:tabs>
        <w:spacing w:line="260" w:lineRule="exact"/>
        <w:rPr>
          <w:b w:val="0"/>
          <w:bCs w:val="0"/>
          <w:snapToGrid w:val="0"/>
          <w:sz w:val="22"/>
          <w:szCs w:val="22"/>
          <w:lang w:val="en-GB"/>
        </w:rPr>
      </w:pPr>
      <w:r w:rsidRPr="00F0037B">
        <w:rPr>
          <w:b w:val="0"/>
          <w:bCs w:val="0"/>
          <w:snapToGrid w:val="0"/>
          <w:sz w:val="22"/>
          <w:lang w:val="en-GB"/>
        </w:rPr>
        <w:t xml:space="preserve">SN: {numeris} </w:t>
      </w:r>
    </w:p>
    <w:p w14:paraId="4A3F360E" w14:textId="77777777" w:rsidR="00361C03" w:rsidRPr="00F0037B" w:rsidRDefault="00361C03" w:rsidP="00361C03">
      <w:pPr>
        <w:tabs>
          <w:tab w:val="left" w:pos="567"/>
        </w:tabs>
        <w:spacing w:line="260" w:lineRule="exact"/>
        <w:rPr>
          <w:b w:val="0"/>
          <w:bCs w:val="0"/>
          <w:snapToGrid w:val="0"/>
          <w:sz w:val="22"/>
          <w:szCs w:val="24"/>
        </w:rPr>
      </w:pPr>
      <w:r>
        <w:rPr>
          <w:b w:val="0"/>
          <w:bCs w:val="0"/>
          <w:snapToGrid w:val="0"/>
          <w:sz w:val="22"/>
          <w:highlight w:val="lightGray"/>
          <w:lang w:val="en-GB"/>
        </w:rPr>
        <w:t>NN: {numeris}</w:t>
      </w:r>
      <w:r w:rsidRPr="00F0037B">
        <w:rPr>
          <w:b w:val="0"/>
          <w:bCs w:val="0"/>
          <w:snapToGrid w:val="0"/>
          <w:color w:val="008000"/>
          <w:sz w:val="22"/>
          <w:highlight w:val="lightGray"/>
          <w:lang w:val="en-GB"/>
        </w:rPr>
        <w:t xml:space="preserve"> </w:t>
      </w:r>
    </w:p>
    <w:p w14:paraId="760997D1" w14:textId="77777777" w:rsidR="00361C03" w:rsidRPr="00F778AF" w:rsidRDefault="00361C03" w:rsidP="00361C03">
      <w:pPr>
        <w:pStyle w:val="BTEMEASMCA"/>
        <w:rPr>
          <w:noProof w:val="0"/>
        </w:rPr>
      </w:pPr>
    </w:p>
    <w:p w14:paraId="691219DF" w14:textId="77777777" w:rsidR="00361C03" w:rsidRPr="00F778AF" w:rsidRDefault="00361C03" w:rsidP="00361C03">
      <w:pPr>
        <w:pStyle w:val="Antrat2"/>
      </w:pPr>
      <w:r w:rsidRPr="00F778AF">
        <w:br w:type="page"/>
      </w:r>
    </w:p>
    <w:p w14:paraId="76775E0B" w14:textId="77777777" w:rsidR="00361C03" w:rsidRDefault="00361C03" w:rsidP="00361C03">
      <w:pPr>
        <w:pStyle w:val="Pagrindinistekstas"/>
        <w:pBdr>
          <w:top w:val="single" w:sz="4" w:space="1" w:color="auto"/>
          <w:left w:val="single" w:sz="4" w:space="1" w:color="auto"/>
          <w:bottom w:val="single" w:sz="4" w:space="1" w:color="auto"/>
          <w:right w:val="single" w:sz="4" w:space="1" w:color="auto"/>
        </w:pBdr>
        <w:spacing w:after="0"/>
        <w:rPr>
          <w:b/>
        </w:rPr>
      </w:pPr>
      <w:r w:rsidRPr="00C16F25">
        <w:rPr>
          <w:b/>
        </w:rPr>
        <w:lastRenderedPageBreak/>
        <w:t>MINIMALI INFORMACIJA ANT MAŽŲ VIDINIŲ PAKUOČIŲ</w:t>
      </w:r>
    </w:p>
    <w:p w14:paraId="5C5FCAA0" w14:textId="77777777" w:rsidR="00361C03" w:rsidRDefault="00361C03" w:rsidP="00361C03">
      <w:pPr>
        <w:pStyle w:val="Pagrindinistekstas"/>
        <w:pBdr>
          <w:top w:val="single" w:sz="4" w:space="1" w:color="auto"/>
          <w:left w:val="single" w:sz="4" w:space="1" w:color="auto"/>
          <w:bottom w:val="single" w:sz="4" w:space="1" w:color="auto"/>
          <w:right w:val="single" w:sz="4" w:space="1" w:color="auto"/>
        </w:pBdr>
        <w:spacing w:after="0"/>
        <w:rPr>
          <w:b/>
        </w:rPr>
      </w:pPr>
    </w:p>
    <w:p w14:paraId="61ED3510" w14:textId="77777777" w:rsidR="00361C03" w:rsidRDefault="00361C03" w:rsidP="00361C03">
      <w:pPr>
        <w:pStyle w:val="Pagrindinistekstas"/>
        <w:pBdr>
          <w:top w:val="single" w:sz="4" w:space="1" w:color="auto"/>
          <w:left w:val="single" w:sz="4" w:space="1" w:color="auto"/>
          <w:bottom w:val="single" w:sz="4" w:space="1" w:color="auto"/>
          <w:right w:val="single" w:sz="4" w:space="1" w:color="auto"/>
        </w:pBdr>
        <w:spacing w:after="0"/>
        <w:rPr>
          <w:b/>
        </w:rPr>
      </w:pPr>
      <w:r>
        <w:rPr>
          <w:b/>
        </w:rPr>
        <w:t>BUTELIUKAS</w:t>
      </w:r>
    </w:p>
    <w:p w14:paraId="641997F4" w14:textId="77777777" w:rsidR="00361C03" w:rsidRPr="00F778AF" w:rsidRDefault="00361C03" w:rsidP="00361C03">
      <w:pPr>
        <w:pStyle w:val="Pagrindinistekstas"/>
        <w:spacing w:after="0"/>
        <w:rPr>
          <w:szCs w:val="22"/>
        </w:rPr>
      </w:pPr>
    </w:p>
    <w:p w14:paraId="44E7501F" w14:textId="77777777" w:rsidR="00361C03" w:rsidRPr="00F778AF" w:rsidRDefault="00361C03" w:rsidP="00361C03">
      <w:pPr>
        <w:pStyle w:val="Pagrindinistekstas"/>
        <w:spacing w:after="0"/>
        <w:rPr>
          <w:szCs w:val="22"/>
        </w:rPr>
      </w:pPr>
    </w:p>
    <w:p w14:paraId="78F97EFD" w14:textId="77777777" w:rsidR="00361C03" w:rsidRPr="00F778AF" w:rsidRDefault="00361C03" w:rsidP="00361C03">
      <w:pPr>
        <w:pStyle w:val="Antrat3"/>
        <w:pBdr>
          <w:top w:val="single" w:sz="4" w:space="1" w:color="auto"/>
          <w:left w:val="single" w:sz="4" w:space="1" w:color="auto"/>
          <w:bottom w:val="single" w:sz="4" w:space="1" w:color="auto"/>
          <w:right w:val="single" w:sz="4" w:space="1" w:color="auto"/>
        </w:pBdr>
      </w:pPr>
      <w:r w:rsidRPr="00F778AF">
        <w:t>1.</w:t>
      </w:r>
      <w:r w:rsidRPr="00F778AF">
        <w:tab/>
        <w:t>VAISTINIO PREPARATO PAVADINIMAS IR VARTOJIMO BŪDAS</w:t>
      </w:r>
    </w:p>
    <w:p w14:paraId="1689A5ED" w14:textId="77777777" w:rsidR="00361C03" w:rsidRPr="00F778AF" w:rsidRDefault="00361C03" w:rsidP="00361C03">
      <w:pPr>
        <w:pStyle w:val="Pagrindinistekstas"/>
        <w:spacing w:after="0"/>
        <w:rPr>
          <w:szCs w:val="22"/>
        </w:rPr>
      </w:pPr>
    </w:p>
    <w:p w14:paraId="39AF2BDF" w14:textId="77777777" w:rsidR="00361C03" w:rsidRPr="00F778AF" w:rsidRDefault="00361C03" w:rsidP="00361C03">
      <w:pPr>
        <w:pStyle w:val="Pagrindinistekstas"/>
        <w:spacing w:after="0"/>
        <w:rPr>
          <w:szCs w:val="22"/>
        </w:rPr>
      </w:pPr>
      <w:r w:rsidRPr="00F778AF">
        <w:rPr>
          <w:szCs w:val="22"/>
        </w:rPr>
        <w:t>Imdur 60 mg pailginto atpalaidavimo tabletės</w:t>
      </w:r>
    </w:p>
    <w:p w14:paraId="1032DB63" w14:textId="2CC8F9D6" w:rsidR="00361C03" w:rsidRPr="00F778AF" w:rsidRDefault="006B4733" w:rsidP="00361C03">
      <w:pPr>
        <w:pStyle w:val="Pagrindinistekstas"/>
        <w:spacing w:after="0"/>
        <w:rPr>
          <w:szCs w:val="22"/>
        </w:rPr>
      </w:pPr>
      <w:r>
        <w:rPr>
          <w:szCs w:val="22"/>
        </w:rPr>
        <w:t>i</w:t>
      </w:r>
      <w:r w:rsidR="00361C03" w:rsidRPr="00F778AF">
        <w:rPr>
          <w:szCs w:val="22"/>
        </w:rPr>
        <w:t>sosorbidi mononitras</w:t>
      </w:r>
    </w:p>
    <w:p w14:paraId="0A17227C" w14:textId="77777777" w:rsidR="00361C03" w:rsidRPr="00F778AF" w:rsidRDefault="00361C03" w:rsidP="00361C03">
      <w:pPr>
        <w:pStyle w:val="Pagrindinistekstas"/>
        <w:spacing w:after="0"/>
        <w:rPr>
          <w:szCs w:val="22"/>
        </w:rPr>
      </w:pPr>
      <w:r w:rsidRPr="00F778AF">
        <w:rPr>
          <w:szCs w:val="22"/>
        </w:rPr>
        <w:t>Vartoti per burną</w:t>
      </w:r>
    </w:p>
    <w:p w14:paraId="3492A765" w14:textId="77777777" w:rsidR="00361C03" w:rsidRPr="00F778AF" w:rsidRDefault="00361C03" w:rsidP="00361C03">
      <w:pPr>
        <w:pStyle w:val="Pagrindinistekstas"/>
        <w:spacing w:after="0"/>
        <w:rPr>
          <w:szCs w:val="22"/>
        </w:rPr>
      </w:pPr>
    </w:p>
    <w:p w14:paraId="792C97F1" w14:textId="77777777" w:rsidR="00361C03" w:rsidRPr="00F778AF" w:rsidRDefault="00361C03" w:rsidP="00361C03">
      <w:pPr>
        <w:pStyle w:val="Pagrindinistekstas"/>
        <w:spacing w:after="0"/>
        <w:rPr>
          <w:szCs w:val="22"/>
        </w:rPr>
      </w:pPr>
    </w:p>
    <w:p w14:paraId="3ECDF8FA" w14:textId="77777777" w:rsidR="00361C03" w:rsidRPr="00F778AF" w:rsidRDefault="00361C03" w:rsidP="00361C03">
      <w:pPr>
        <w:pStyle w:val="Antrat3"/>
        <w:pBdr>
          <w:top w:val="single" w:sz="4" w:space="1" w:color="auto"/>
          <w:left w:val="single" w:sz="4" w:space="1" w:color="auto"/>
          <w:bottom w:val="single" w:sz="4" w:space="1" w:color="auto"/>
          <w:right w:val="single" w:sz="4" w:space="1" w:color="auto"/>
        </w:pBdr>
      </w:pPr>
      <w:r w:rsidRPr="00F778AF">
        <w:t>2.</w:t>
      </w:r>
      <w:r w:rsidRPr="00F778AF">
        <w:tab/>
        <w:t>VARTOJIMO METODAS</w:t>
      </w:r>
    </w:p>
    <w:p w14:paraId="7ED5758B" w14:textId="77777777" w:rsidR="00361C03" w:rsidRPr="00F778AF" w:rsidRDefault="00361C03" w:rsidP="00361C03">
      <w:pPr>
        <w:pStyle w:val="Pagrindinistekstas"/>
        <w:spacing w:after="0"/>
        <w:rPr>
          <w:szCs w:val="22"/>
        </w:rPr>
      </w:pPr>
    </w:p>
    <w:p w14:paraId="740EA3E8" w14:textId="77777777" w:rsidR="00361C03" w:rsidRPr="00F778AF" w:rsidRDefault="00361C03" w:rsidP="00361C03">
      <w:pPr>
        <w:pStyle w:val="Pagrindinistekstas"/>
        <w:spacing w:after="0"/>
        <w:rPr>
          <w:szCs w:val="22"/>
        </w:rPr>
      </w:pPr>
    </w:p>
    <w:p w14:paraId="70B2F184" w14:textId="77777777" w:rsidR="00361C03" w:rsidRPr="00F778AF" w:rsidRDefault="00361C03" w:rsidP="00361C03">
      <w:pPr>
        <w:pStyle w:val="Pagrindinistekstas"/>
        <w:spacing w:after="0"/>
        <w:rPr>
          <w:szCs w:val="22"/>
        </w:rPr>
      </w:pPr>
    </w:p>
    <w:p w14:paraId="1BE84712" w14:textId="77777777" w:rsidR="00361C03" w:rsidRPr="00F778AF" w:rsidRDefault="00361C03" w:rsidP="00361C03">
      <w:pPr>
        <w:pStyle w:val="Antrat3"/>
        <w:pBdr>
          <w:top w:val="single" w:sz="4" w:space="1" w:color="auto"/>
          <w:left w:val="single" w:sz="4" w:space="1" w:color="auto"/>
          <w:bottom w:val="single" w:sz="4" w:space="1" w:color="auto"/>
          <w:right w:val="single" w:sz="4" w:space="1" w:color="auto"/>
        </w:pBdr>
      </w:pPr>
      <w:r w:rsidRPr="00F778AF">
        <w:t>3.</w:t>
      </w:r>
      <w:r w:rsidRPr="00F778AF">
        <w:tab/>
        <w:t>TINKAMUMO LAIKAS</w:t>
      </w:r>
    </w:p>
    <w:p w14:paraId="38FB4998" w14:textId="77777777" w:rsidR="00361C03" w:rsidRPr="00F778AF" w:rsidRDefault="00361C03" w:rsidP="00361C03">
      <w:pPr>
        <w:pStyle w:val="Pagrindinistekstas"/>
        <w:spacing w:after="0"/>
        <w:rPr>
          <w:szCs w:val="22"/>
        </w:rPr>
      </w:pPr>
    </w:p>
    <w:p w14:paraId="1B430DB5" w14:textId="77777777" w:rsidR="00361C03" w:rsidRPr="00F778AF" w:rsidRDefault="00361C03" w:rsidP="00361C03">
      <w:pPr>
        <w:pStyle w:val="Pagrindinistekstas"/>
        <w:spacing w:after="0"/>
        <w:rPr>
          <w:szCs w:val="22"/>
        </w:rPr>
      </w:pPr>
      <w:r w:rsidRPr="00F778AF">
        <w:rPr>
          <w:szCs w:val="22"/>
          <w:highlight w:val="lightGray"/>
        </w:rPr>
        <w:t>EXP</w:t>
      </w:r>
      <w:r w:rsidRPr="00F778AF">
        <w:rPr>
          <w:szCs w:val="22"/>
        </w:rPr>
        <w:t xml:space="preserve"> {MMMM/mm}</w:t>
      </w:r>
    </w:p>
    <w:p w14:paraId="7671A926" w14:textId="77777777" w:rsidR="00361C03" w:rsidRPr="00F778AF" w:rsidRDefault="00361C03" w:rsidP="00361C03">
      <w:pPr>
        <w:pStyle w:val="Pagrindinistekstas"/>
        <w:spacing w:after="0"/>
        <w:rPr>
          <w:szCs w:val="22"/>
        </w:rPr>
      </w:pPr>
    </w:p>
    <w:p w14:paraId="01731331" w14:textId="77777777" w:rsidR="00361C03" w:rsidRPr="00F778AF" w:rsidRDefault="00361C03" w:rsidP="00361C03">
      <w:pPr>
        <w:pStyle w:val="Pagrindinistekstas"/>
        <w:spacing w:after="0"/>
        <w:rPr>
          <w:szCs w:val="22"/>
        </w:rPr>
      </w:pPr>
    </w:p>
    <w:p w14:paraId="36B3DFFF" w14:textId="77777777" w:rsidR="00361C03" w:rsidRPr="00F778AF" w:rsidRDefault="00361C03" w:rsidP="00361C03">
      <w:pPr>
        <w:pStyle w:val="Antrat3"/>
        <w:pBdr>
          <w:top w:val="single" w:sz="4" w:space="1" w:color="auto"/>
          <w:left w:val="single" w:sz="4" w:space="1" w:color="auto"/>
          <w:bottom w:val="single" w:sz="4" w:space="1" w:color="auto"/>
          <w:right w:val="single" w:sz="4" w:space="1" w:color="auto"/>
        </w:pBdr>
      </w:pPr>
      <w:r w:rsidRPr="00F778AF">
        <w:t>4.</w:t>
      </w:r>
      <w:r w:rsidRPr="00F778AF">
        <w:tab/>
        <w:t>SERIJOS NUMERIS</w:t>
      </w:r>
    </w:p>
    <w:p w14:paraId="2DA4FF06" w14:textId="77777777" w:rsidR="00361C03" w:rsidRPr="00F778AF" w:rsidRDefault="00361C03" w:rsidP="00361C03">
      <w:pPr>
        <w:pStyle w:val="Pagrindinistekstas"/>
        <w:spacing w:after="0"/>
        <w:rPr>
          <w:szCs w:val="22"/>
        </w:rPr>
      </w:pPr>
    </w:p>
    <w:p w14:paraId="2DD84FC3" w14:textId="77777777" w:rsidR="00361C03" w:rsidRPr="00F778AF" w:rsidRDefault="00361C03" w:rsidP="00361C03">
      <w:pPr>
        <w:pStyle w:val="Pagrindinistekstas"/>
        <w:spacing w:after="0"/>
        <w:rPr>
          <w:szCs w:val="22"/>
        </w:rPr>
      </w:pPr>
      <w:r w:rsidRPr="00F778AF">
        <w:rPr>
          <w:szCs w:val="22"/>
          <w:highlight w:val="lightGray"/>
        </w:rPr>
        <w:t>Lot</w:t>
      </w:r>
    </w:p>
    <w:p w14:paraId="5E78C9B9" w14:textId="77777777" w:rsidR="00361C03" w:rsidRPr="00F778AF" w:rsidRDefault="00361C03" w:rsidP="00361C03">
      <w:pPr>
        <w:pStyle w:val="Pagrindinistekstas"/>
        <w:spacing w:after="0"/>
        <w:rPr>
          <w:szCs w:val="22"/>
        </w:rPr>
      </w:pPr>
    </w:p>
    <w:p w14:paraId="5ADFAEE6" w14:textId="77777777" w:rsidR="00361C03" w:rsidRPr="00F778AF" w:rsidRDefault="00361C03" w:rsidP="00361C03">
      <w:pPr>
        <w:pStyle w:val="Pagrindinistekstas"/>
        <w:spacing w:after="0"/>
        <w:rPr>
          <w:szCs w:val="22"/>
        </w:rPr>
      </w:pPr>
    </w:p>
    <w:p w14:paraId="52458E96" w14:textId="77777777" w:rsidR="00361C03" w:rsidRPr="00F778AF" w:rsidRDefault="00361C03" w:rsidP="00361C03">
      <w:pPr>
        <w:pStyle w:val="Antrat3"/>
        <w:pBdr>
          <w:top w:val="single" w:sz="4" w:space="1" w:color="auto"/>
          <w:left w:val="single" w:sz="4" w:space="1" w:color="auto"/>
          <w:bottom w:val="single" w:sz="4" w:space="1" w:color="auto"/>
          <w:right w:val="single" w:sz="4" w:space="1" w:color="auto"/>
        </w:pBdr>
      </w:pPr>
      <w:r w:rsidRPr="00F778AF">
        <w:t>5.</w:t>
      </w:r>
      <w:r w:rsidRPr="00F778AF">
        <w:tab/>
        <w:t>KIEKIS (MASĖ, TŪRIS ARBA VIENETAI)</w:t>
      </w:r>
    </w:p>
    <w:p w14:paraId="517BF2F2" w14:textId="77777777" w:rsidR="00361C03" w:rsidRPr="00F778AF" w:rsidRDefault="00361C03" w:rsidP="00361C03">
      <w:pPr>
        <w:pStyle w:val="Pagrindinistekstas"/>
        <w:spacing w:after="0"/>
        <w:rPr>
          <w:szCs w:val="22"/>
        </w:rPr>
      </w:pPr>
    </w:p>
    <w:p w14:paraId="1B2421AE" w14:textId="77777777" w:rsidR="00361C03" w:rsidRPr="00F778AF" w:rsidRDefault="00361C03" w:rsidP="00361C03">
      <w:pPr>
        <w:pStyle w:val="Pagrindinistekstas"/>
        <w:spacing w:after="0"/>
        <w:rPr>
          <w:szCs w:val="22"/>
        </w:rPr>
      </w:pPr>
      <w:r w:rsidRPr="00F778AF">
        <w:rPr>
          <w:szCs w:val="22"/>
        </w:rPr>
        <w:t>30 pailginto atpalaidavimo tablečių</w:t>
      </w:r>
    </w:p>
    <w:p w14:paraId="542CDC0A" w14:textId="77777777" w:rsidR="00361C03" w:rsidRPr="00F778AF" w:rsidRDefault="00361C03" w:rsidP="00361C03">
      <w:pPr>
        <w:pStyle w:val="Pagrindinistekstas"/>
        <w:spacing w:after="0"/>
        <w:rPr>
          <w:szCs w:val="22"/>
        </w:rPr>
      </w:pPr>
    </w:p>
    <w:p w14:paraId="58023E94" w14:textId="77777777" w:rsidR="00361C03" w:rsidRPr="00F778AF" w:rsidRDefault="00361C03" w:rsidP="00361C03">
      <w:pPr>
        <w:pStyle w:val="Pagrindinistekstas"/>
        <w:spacing w:after="0"/>
        <w:rPr>
          <w:szCs w:val="22"/>
        </w:rPr>
      </w:pPr>
    </w:p>
    <w:p w14:paraId="69279086" w14:textId="77777777" w:rsidR="00361C03" w:rsidRPr="00F778AF" w:rsidRDefault="00361C03" w:rsidP="00361C03">
      <w:pPr>
        <w:pStyle w:val="PI-1labEMEASMCA"/>
        <w:rPr>
          <w:highlight w:val="lightGray"/>
        </w:rPr>
      </w:pPr>
      <w:r w:rsidRPr="00F778AF">
        <w:t>6.</w:t>
      </w:r>
      <w:r w:rsidRPr="00F778AF">
        <w:tab/>
        <w:t>KITA</w:t>
      </w:r>
    </w:p>
    <w:p w14:paraId="2DE05FF0" w14:textId="77777777" w:rsidR="00361C03" w:rsidRPr="00F778AF" w:rsidRDefault="00361C03" w:rsidP="00361C03">
      <w:pPr>
        <w:pStyle w:val="Pagrindinistekstas"/>
        <w:spacing w:after="0"/>
        <w:rPr>
          <w:szCs w:val="22"/>
        </w:rPr>
      </w:pPr>
    </w:p>
    <w:p w14:paraId="13CD4C50" w14:textId="77777777" w:rsidR="00361C03" w:rsidRPr="00F778AF" w:rsidRDefault="00361C03" w:rsidP="00361C03">
      <w:pPr>
        <w:pStyle w:val="Pagrindinistekstas"/>
        <w:spacing w:after="0"/>
        <w:rPr>
          <w:szCs w:val="22"/>
        </w:rPr>
      </w:pPr>
    </w:p>
    <w:p w14:paraId="45F54F89" w14:textId="77777777" w:rsidR="00361C03" w:rsidRPr="00F778AF" w:rsidRDefault="00361C03" w:rsidP="00361C03">
      <w:pPr>
        <w:pStyle w:val="Pagrindinistekstas"/>
        <w:spacing w:after="0"/>
        <w:rPr>
          <w:szCs w:val="22"/>
        </w:rPr>
      </w:pPr>
    </w:p>
    <w:p w14:paraId="6EF916A1" w14:textId="77777777" w:rsidR="00361C03" w:rsidRPr="00F778AF" w:rsidRDefault="00361C03" w:rsidP="00361C03">
      <w:pPr>
        <w:pStyle w:val="Pagrindinistekstas"/>
        <w:spacing w:after="0"/>
        <w:rPr>
          <w:szCs w:val="22"/>
        </w:rPr>
      </w:pPr>
    </w:p>
    <w:p w14:paraId="64E612DA" w14:textId="77777777" w:rsidR="00361C03" w:rsidRPr="00F778AF" w:rsidRDefault="00361C03" w:rsidP="00361C03">
      <w:pPr>
        <w:pStyle w:val="Pagrindinistekstas"/>
        <w:spacing w:after="0"/>
        <w:rPr>
          <w:szCs w:val="22"/>
        </w:rPr>
      </w:pPr>
    </w:p>
    <w:p w14:paraId="696E127B" w14:textId="77777777" w:rsidR="00361C03" w:rsidRPr="00F778AF" w:rsidRDefault="00361C03" w:rsidP="00361C03">
      <w:pPr>
        <w:pStyle w:val="Pagrindinistekstas"/>
        <w:spacing w:after="0"/>
        <w:rPr>
          <w:szCs w:val="22"/>
        </w:rPr>
      </w:pPr>
    </w:p>
    <w:p w14:paraId="3EC7D7FE" w14:textId="77777777" w:rsidR="00361C03" w:rsidRPr="00F778AF" w:rsidRDefault="00361C03" w:rsidP="00361C03">
      <w:pPr>
        <w:pStyle w:val="Pagrindinistekstas"/>
        <w:spacing w:after="0"/>
        <w:rPr>
          <w:szCs w:val="22"/>
        </w:rPr>
      </w:pPr>
    </w:p>
    <w:p w14:paraId="13B606EA" w14:textId="77777777" w:rsidR="00361C03" w:rsidRPr="00F778AF" w:rsidRDefault="00361C03" w:rsidP="00361C03">
      <w:pPr>
        <w:pStyle w:val="Pagrindinistekstas"/>
        <w:spacing w:after="0"/>
        <w:rPr>
          <w:szCs w:val="22"/>
        </w:rPr>
      </w:pPr>
    </w:p>
    <w:p w14:paraId="4933F81A" w14:textId="77777777" w:rsidR="00361C03" w:rsidRPr="00F778AF" w:rsidRDefault="00361C03" w:rsidP="00361C03">
      <w:pPr>
        <w:pStyle w:val="Pagrindinistekstas"/>
        <w:spacing w:after="0"/>
        <w:rPr>
          <w:szCs w:val="22"/>
        </w:rPr>
      </w:pPr>
      <w:r w:rsidRPr="00F778AF">
        <w:rPr>
          <w:szCs w:val="22"/>
        </w:rPr>
        <w:br w:type="page"/>
      </w:r>
    </w:p>
    <w:p w14:paraId="69C1E704" w14:textId="77777777" w:rsidR="00361C03" w:rsidRPr="00F778AF" w:rsidRDefault="00361C03" w:rsidP="00361C03">
      <w:pPr>
        <w:pStyle w:val="Pagrindinistekstas"/>
        <w:spacing w:after="0"/>
        <w:rPr>
          <w:szCs w:val="22"/>
        </w:rPr>
      </w:pPr>
    </w:p>
    <w:p w14:paraId="4EC88208" w14:textId="77777777" w:rsidR="00361C03" w:rsidRPr="00F778AF" w:rsidRDefault="00361C03" w:rsidP="00361C03">
      <w:pPr>
        <w:pStyle w:val="Pagrindinistekstas"/>
        <w:spacing w:after="0"/>
        <w:rPr>
          <w:szCs w:val="22"/>
        </w:rPr>
      </w:pPr>
    </w:p>
    <w:p w14:paraId="7D31573A" w14:textId="77777777" w:rsidR="00361C03" w:rsidRPr="00F778AF" w:rsidRDefault="00361C03" w:rsidP="00361C03">
      <w:pPr>
        <w:pStyle w:val="Pagrindinistekstas"/>
        <w:spacing w:after="0"/>
        <w:rPr>
          <w:szCs w:val="22"/>
        </w:rPr>
      </w:pPr>
    </w:p>
    <w:p w14:paraId="68EC429B" w14:textId="77777777" w:rsidR="00361C03" w:rsidRPr="00F778AF" w:rsidRDefault="00361C03" w:rsidP="00361C03">
      <w:pPr>
        <w:pStyle w:val="Pagrindinistekstas"/>
        <w:spacing w:after="0"/>
        <w:rPr>
          <w:szCs w:val="22"/>
        </w:rPr>
      </w:pPr>
    </w:p>
    <w:p w14:paraId="4AC41BEF" w14:textId="77777777" w:rsidR="00361C03" w:rsidRPr="00F778AF" w:rsidRDefault="00361C03" w:rsidP="00361C03">
      <w:pPr>
        <w:pStyle w:val="Pagrindinistekstas"/>
        <w:spacing w:after="0"/>
        <w:rPr>
          <w:szCs w:val="22"/>
        </w:rPr>
      </w:pPr>
    </w:p>
    <w:p w14:paraId="607081AE" w14:textId="77777777" w:rsidR="00361C03" w:rsidRPr="00F778AF" w:rsidRDefault="00361C03" w:rsidP="00361C03">
      <w:pPr>
        <w:pStyle w:val="Pagrindinistekstas"/>
        <w:spacing w:after="0"/>
        <w:rPr>
          <w:szCs w:val="22"/>
        </w:rPr>
      </w:pPr>
    </w:p>
    <w:p w14:paraId="572BD297" w14:textId="77777777" w:rsidR="00361C03" w:rsidRPr="00F778AF" w:rsidRDefault="00361C03" w:rsidP="00361C03">
      <w:pPr>
        <w:pStyle w:val="Pagrindinistekstas"/>
        <w:spacing w:after="0"/>
        <w:rPr>
          <w:szCs w:val="22"/>
        </w:rPr>
      </w:pPr>
    </w:p>
    <w:p w14:paraId="473AD7A7" w14:textId="77777777" w:rsidR="00361C03" w:rsidRPr="00F778AF" w:rsidRDefault="00361C03" w:rsidP="00361C03">
      <w:pPr>
        <w:pStyle w:val="Pagrindinistekstas"/>
        <w:spacing w:after="0"/>
        <w:rPr>
          <w:szCs w:val="22"/>
        </w:rPr>
      </w:pPr>
    </w:p>
    <w:p w14:paraId="376FF19E" w14:textId="77777777" w:rsidR="00361C03" w:rsidRPr="00F778AF" w:rsidRDefault="00361C03" w:rsidP="00361C03">
      <w:pPr>
        <w:pStyle w:val="Pagrindinistekstas"/>
        <w:spacing w:after="0"/>
        <w:rPr>
          <w:szCs w:val="22"/>
        </w:rPr>
      </w:pPr>
    </w:p>
    <w:p w14:paraId="5C950CF8" w14:textId="77777777" w:rsidR="00361C03" w:rsidRPr="00F778AF" w:rsidRDefault="00361C03" w:rsidP="00361C03">
      <w:pPr>
        <w:pStyle w:val="Pagrindinistekstas"/>
        <w:spacing w:after="0"/>
        <w:rPr>
          <w:szCs w:val="22"/>
        </w:rPr>
      </w:pPr>
    </w:p>
    <w:p w14:paraId="5D1F6660" w14:textId="77777777" w:rsidR="00361C03" w:rsidRPr="00F778AF" w:rsidRDefault="00361C03" w:rsidP="00361C03">
      <w:pPr>
        <w:pStyle w:val="Pagrindinistekstas"/>
        <w:spacing w:after="0"/>
        <w:rPr>
          <w:szCs w:val="22"/>
        </w:rPr>
      </w:pPr>
    </w:p>
    <w:p w14:paraId="18A75A60" w14:textId="77777777" w:rsidR="00361C03" w:rsidRPr="00F778AF" w:rsidRDefault="00361C03" w:rsidP="00361C03">
      <w:pPr>
        <w:pStyle w:val="Pagrindinistekstas"/>
        <w:spacing w:after="0"/>
        <w:rPr>
          <w:szCs w:val="22"/>
        </w:rPr>
      </w:pPr>
    </w:p>
    <w:p w14:paraId="6742E51F" w14:textId="77777777" w:rsidR="00361C03" w:rsidRPr="00F778AF" w:rsidRDefault="00361C03" w:rsidP="00361C03">
      <w:pPr>
        <w:pStyle w:val="Pagrindinistekstas"/>
        <w:spacing w:after="0"/>
        <w:rPr>
          <w:szCs w:val="22"/>
        </w:rPr>
      </w:pPr>
    </w:p>
    <w:p w14:paraId="0C5CC4B6" w14:textId="77777777" w:rsidR="00361C03" w:rsidRPr="00F778AF" w:rsidRDefault="00361C03" w:rsidP="00361C03">
      <w:pPr>
        <w:pStyle w:val="Pagrindinistekstas"/>
        <w:spacing w:after="0"/>
        <w:rPr>
          <w:szCs w:val="22"/>
        </w:rPr>
      </w:pPr>
    </w:p>
    <w:p w14:paraId="5DF3238D" w14:textId="77777777" w:rsidR="00361C03" w:rsidRPr="00F778AF" w:rsidRDefault="00361C03" w:rsidP="00361C03">
      <w:pPr>
        <w:pStyle w:val="Pagrindinistekstas"/>
        <w:spacing w:after="0"/>
        <w:rPr>
          <w:szCs w:val="22"/>
        </w:rPr>
      </w:pPr>
    </w:p>
    <w:p w14:paraId="53A7C338" w14:textId="77777777" w:rsidR="00361C03" w:rsidRPr="00F778AF" w:rsidRDefault="00361C03" w:rsidP="00361C03">
      <w:pPr>
        <w:pStyle w:val="Pagrindinistekstas"/>
        <w:spacing w:after="0"/>
        <w:rPr>
          <w:szCs w:val="22"/>
        </w:rPr>
      </w:pPr>
    </w:p>
    <w:p w14:paraId="65F923DE" w14:textId="77777777" w:rsidR="00361C03" w:rsidRPr="00F778AF" w:rsidRDefault="00361C03" w:rsidP="00361C03">
      <w:pPr>
        <w:pStyle w:val="Pagrindinistekstas"/>
        <w:spacing w:after="0"/>
        <w:rPr>
          <w:szCs w:val="22"/>
        </w:rPr>
      </w:pPr>
    </w:p>
    <w:p w14:paraId="21E1E466" w14:textId="77777777" w:rsidR="00361C03" w:rsidRPr="00F778AF" w:rsidRDefault="00361C03" w:rsidP="00361C03">
      <w:pPr>
        <w:pStyle w:val="Pagrindinistekstas"/>
        <w:spacing w:after="0"/>
        <w:rPr>
          <w:szCs w:val="22"/>
        </w:rPr>
      </w:pPr>
    </w:p>
    <w:p w14:paraId="7203F458" w14:textId="77777777" w:rsidR="00361C03" w:rsidRPr="00F778AF" w:rsidRDefault="00361C03" w:rsidP="00361C03">
      <w:pPr>
        <w:pStyle w:val="Pagrindinistekstas"/>
        <w:spacing w:after="0"/>
        <w:rPr>
          <w:szCs w:val="22"/>
        </w:rPr>
      </w:pPr>
    </w:p>
    <w:p w14:paraId="1CC1C543" w14:textId="77777777" w:rsidR="00361C03" w:rsidRPr="00F778AF" w:rsidRDefault="00361C03" w:rsidP="00361C03">
      <w:pPr>
        <w:pStyle w:val="Pagrindinistekstas"/>
        <w:spacing w:after="0"/>
        <w:rPr>
          <w:szCs w:val="22"/>
        </w:rPr>
      </w:pPr>
    </w:p>
    <w:p w14:paraId="50B96764" w14:textId="77777777" w:rsidR="00361C03" w:rsidRPr="00F778AF" w:rsidRDefault="00361C03" w:rsidP="00361C03">
      <w:pPr>
        <w:pStyle w:val="Pagrindinistekstas"/>
        <w:spacing w:after="0"/>
        <w:rPr>
          <w:szCs w:val="22"/>
        </w:rPr>
      </w:pPr>
    </w:p>
    <w:p w14:paraId="73C04F2D" w14:textId="77777777" w:rsidR="00361C03" w:rsidRPr="00F778AF" w:rsidRDefault="00361C03" w:rsidP="00361C03">
      <w:pPr>
        <w:pStyle w:val="Pagrindinistekstas"/>
        <w:spacing w:after="0"/>
        <w:rPr>
          <w:szCs w:val="22"/>
        </w:rPr>
      </w:pPr>
    </w:p>
    <w:p w14:paraId="33AA681C" w14:textId="77777777" w:rsidR="00361C03" w:rsidRPr="00F778AF" w:rsidRDefault="00361C03" w:rsidP="00361C03">
      <w:pPr>
        <w:pStyle w:val="Pavadinimas"/>
        <w:rPr>
          <w:szCs w:val="22"/>
        </w:rPr>
      </w:pPr>
      <w:r w:rsidRPr="00F778AF">
        <w:rPr>
          <w:szCs w:val="22"/>
        </w:rPr>
        <w:t>B. PAKUOTĖS LAPELIS</w:t>
      </w:r>
    </w:p>
    <w:p w14:paraId="2B68D044" w14:textId="77777777" w:rsidR="00361C03" w:rsidRPr="00F778AF" w:rsidRDefault="00361C03" w:rsidP="00361C03">
      <w:pPr>
        <w:jc w:val="center"/>
        <w:rPr>
          <w:iCs/>
          <w:caps/>
          <w:sz w:val="22"/>
          <w:szCs w:val="22"/>
        </w:rPr>
      </w:pPr>
      <w:r w:rsidRPr="00F778AF">
        <w:rPr>
          <w:sz w:val="22"/>
          <w:szCs w:val="22"/>
        </w:rPr>
        <w:br w:type="page"/>
      </w:r>
      <w:r w:rsidRPr="00F778AF">
        <w:rPr>
          <w:b w:val="0"/>
          <w:bCs w:val="0"/>
          <w:i/>
          <w:snapToGrid w:val="0"/>
          <w:sz w:val="22"/>
          <w:szCs w:val="22"/>
        </w:rPr>
        <w:lastRenderedPageBreak/>
        <w:t xml:space="preserve"> </w:t>
      </w:r>
      <w:r w:rsidRPr="00F778AF">
        <w:rPr>
          <w:bCs w:val="0"/>
          <w:snapToGrid w:val="0"/>
          <w:sz w:val="22"/>
          <w:szCs w:val="22"/>
        </w:rPr>
        <w:t>Pakuotės lapelis:</w:t>
      </w:r>
      <w:r w:rsidRPr="00F778AF">
        <w:rPr>
          <w:iCs/>
          <w:snapToGrid w:val="0"/>
          <w:sz w:val="22"/>
          <w:szCs w:val="22"/>
        </w:rPr>
        <w:t xml:space="preserve"> </w:t>
      </w:r>
      <w:r w:rsidRPr="00F778AF">
        <w:rPr>
          <w:bCs w:val="0"/>
          <w:snapToGrid w:val="0"/>
          <w:sz w:val="22"/>
          <w:szCs w:val="22"/>
        </w:rPr>
        <w:t>informacija vartotojui</w:t>
      </w:r>
    </w:p>
    <w:p w14:paraId="6F0A8F3A" w14:textId="77777777" w:rsidR="00361C03" w:rsidRPr="00F778AF" w:rsidRDefault="00361C03" w:rsidP="00361C03">
      <w:pPr>
        <w:jc w:val="center"/>
        <w:rPr>
          <w:b w:val="0"/>
          <w:bCs w:val="0"/>
          <w:iCs/>
          <w:caps/>
          <w:sz w:val="22"/>
          <w:szCs w:val="22"/>
        </w:rPr>
      </w:pPr>
    </w:p>
    <w:p w14:paraId="03258BB3" w14:textId="77777777" w:rsidR="00361C03" w:rsidRPr="00F778AF" w:rsidRDefault="00361C03" w:rsidP="00361C03">
      <w:pPr>
        <w:pStyle w:val="Pagrindinistekstas"/>
        <w:spacing w:after="0"/>
        <w:jc w:val="center"/>
        <w:rPr>
          <w:b/>
          <w:szCs w:val="22"/>
        </w:rPr>
      </w:pPr>
      <w:r w:rsidRPr="00F778AF">
        <w:rPr>
          <w:b/>
          <w:szCs w:val="22"/>
        </w:rPr>
        <w:t>Imdur 60 mg pailginto atpalaidavimo tabletės</w:t>
      </w:r>
    </w:p>
    <w:p w14:paraId="526D0D98" w14:textId="35255F3C" w:rsidR="00361C03" w:rsidRPr="00F778AF" w:rsidRDefault="006B4733" w:rsidP="00361C03">
      <w:pPr>
        <w:pStyle w:val="Pagrindinistekstas"/>
        <w:spacing w:after="0"/>
        <w:jc w:val="center"/>
        <w:rPr>
          <w:szCs w:val="22"/>
        </w:rPr>
      </w:pPr>
      <w:r>
        <w:rPr>
          <w:szCs w:val="22"/>
        </w:rPr>
        <w:t>i</w:t>
      </w:r>
      <w:r w:rsidR="00361C03" w:rsidRPr="00F778AF">
        <w:rPr>
          <w:szCs w:val="22"/>
        </w:rPr>
        <w:t>zosorbido mononitratas</w:t>
      </w:r>
    </w:p>
    <w:p w14:paraId="3CAF6992" w14:textId="77777777" w:rsidR="00361C03" w:rsidRPr="00F778AF" w:rsidRDefault="00361C03" w:rsidP="00361C03">
      <w:pPr>
        <w:pStyle w:val="Pagrindinistekstas"/>
        <w:spacing w:after="0"/>
        <w:rPr>
          <w:szCs w:val="22"/>
        </w:rPr>
      </w:pPr>
    </w:p>
    <w:p w14:paraId="3071DF5B" w14:textId="77777777" w:rsidR="00361C03" w:rsidRPr="00F778AF" w:rsidRDefault="00361C03" w:rsidP="00361C03">
      <w:pPr>
        <w:ind w:left="567" w:hanging="283"/>
        <w:rPr>
          <w:b w:val="0"/>
          <w:bCs w:val="0"/>
          <w:sz w:val="22"/>
          <w:szCs w:val="22"/>
        </w:rPr>
      </w:pPr>
      <w:r w:rsidRPr="00F778AF">
        <w:rPr>
          <w:bCs w:val="0"/>
          <w:noProof/>
          <w:snapToGrid w:val="0"/>
          <w:sz w:val="22"/>
          <w:szCs w:val="22"/>
        </w:rPr>
        <w:t xml:space="preserve"> Atidžiai perskaitykite visą šį lapelį, prieš pradėdami vartoti vaistą, nes jame pateikiama Jums svarbi informacija.</w:t>
      </w:r>
      <w:r w:rsidRPr="00F778AF">
        <w:rPr>
          <w:b w:val="0"/>
          <w:bCs w:val="0"/>
          <w:sz w:val="22"/>
          <w:szCs w:val="22"/>
        </w:rPr>
        <w:t>-</w:t>
      </w:r>
      <w:r w:rsidRPr="00F778AF">
        <w:rPr>
          <w:b w:val="0"/>
          <w:bCs w:val="0"/>
          <w:sz w:val="22"/>
          <w:szCs w:val="22"/>
        </w:rPr>
        <w:tab/>
        <w:t>Neišmeskite šio lapelio, nes vėl gali prireikti jį perskaityti.</w:t>
      </w:r>
    </w:p>
    <w:p w14:paraId="1B926D51" w14:textId="77777777" w:rsidR="00361C03" w:rsidRPr="00F778AF" w:rsidRDefault="00361C03" w:rsidP="00361C03">
      <w:pPr>
        <w:ind w:left="567" w:hanging="283"/>
        <w:rPr>
          <w:b w:val="0"/>
          <w:bCs w:val="0"/>
          <w:sz w:val="22"/>
          <w:szCs w:val="22"/>
        </w:rPr>
      </w:pPr>
      <w:r w:rsidRPr="00F778AF">
        <w:rPr>
          <w:b w:val="0"/>
          <w:bCs w:val="0"/>
          <w:sz w:val="22"/>
          <w:szCs w:val="22"/>
        </w:rPr>
        <w:t>-</w:t>
      </w:r>
      <w:r w:rsidRPr="00F778AF">
        <w:rPr>
          <w:b w:val="0"/>
          <w:bCs w:val="0"/>
          <w:sz w:val="22"/>
          <w:szCs w:val="22"/>
        </w:rPr>
        <w:tab/>
        <w:t>Jeigu kiltų daugiau klausimų, kreipkitės į gydytoją arba vaistininką.</w:t>
      </w:r>
    </w:p>
    <w:p w14:paraId="5B788C4C" w14:textId="77777777" w:rsidR="00361C03" w:rsidRPr="00F778AF" w:rsidRDefault="00361C03" w:rsidP="00361C03">
      <w:pPr>
        <w:ind w:left="567" w:hanging="283"/>
        <w:rPr>
          <w:b w:val="0"/>
          <w:bCs w:val="0"/>
          <w:sz w:val="22"/>
          <w:szCs w:val="22"/>
        </w:rPr>
      </w:pPr>
      <w:r w:rsidRPr="00F778AF">
        <w:rPr>
          <w:b w:val="0"/>
          <w:bCs w:val="0"/>
          <w:sz w:val="22"/>
          <w:szCs w:val="22"/>
        </w:rPr>
        <w:t>-</w:t>
      </w:r>
      <w:r w:rsidRPr="00F778AF">
        <w:rPr>
          <w:b w:val="0"/>
          <w:bCs w:val="0"/>
          <w:sz w:val="22"/>
          <w:szCs w:val="22"/>
        </w:rPr>
        <w:tab/>
        <w:t>Šis vaistas skirtas tik Jums, todėl kitiems žmonėms jo duoti negalima. Vaistas gali jiems pakenkti (net tiems, kurių ligos simptomai yra tokie patys kaip Jūsų).</w:t>
      </w:r>
    </w:p>
    <w:p w14:paraId="3AAB3193" w14:textId="77777777" w:rsidR="00361C03" w:rsidRPr="00F778AF" w:rsidRDefault="00361C03" w:rsidP="00361C03">
      <w:pPr>
        <w:ind w:left="567" w:hanging="283"/>
        <w:rPr>
          <w:b w:val="0"/>
          <w:bCs w:val="0"/>
          <w:sz w:val="22"/>
          <w:szCs w:val="22"/>
        </w:rPr>
      </w:pPr>
      <w:r w:rsidRPr="00F778AF">
        <w:rPr>
          <w:b w:val="0"/>
          <w:bCs w:val="0"/>
          <w:sz w:val="22"/>
          <w:szCs w:val="22"/>
        </w:rPr>
        <w:t>-</w:t>
      </w:r>
      <w:r w:rsidRPr="00F778AF">
        <w:rPr>
          <w:b w:val="0"/>
          <w:bCs w:val="0"/>
          <w:sz w:val="22"/>
          <w:szCs w:val="22"/>
        </w:rPr>
        <w:tab/>
        <w:t xml:space="preserve">Jeigu pasireiškė šalutinis  poveikis </w:t>
      </w:r>
      <w:r w:rsidRPr="00F778AF">
        <w:rPr>
          <w:b w:val="0"/>
          <w:bCs w:val="0"/>
          <w:noProof/>
          <w:snapToGrid w:val="0"/>
          <w:sz w:val="22"/>
          <w:szCs w:val="22"/>
        </w:rPr>
        <w:t>(net jeigu jis šiame lapelyje nenurodytas), kreipkitės į gydytoją arba vaistininką. Žr. 4 skyrių.</w:t>
      </w:r>
    </w:p>
    <w:p w14:paraId="5499B8CE" w14:textId="77777777" w:rsidR="00361C03" w:rsidRPr="00F778AF" w:rsidRDefault="00361C03" w:rsidP="00361C03">
      <w:pPr>
        <w:pStyle w:val="Pagrindinistekstas"/>
        <w:spacing w:after="0"/>
        <w:rPr>
          <w:szCs w:val="22"/>
        </w:rPr>
      </w:pPr>
    </w:p>
    <w:p w14:paraId="28539FF6" w14:textId="77777777" w:rsidR="00361C03" w:rsidRPr="00F778AF" w:rsidRDefault="00361C03" w:rsidP="00361C03">
      <w:pPr>
        <w:pStyle w:val="Pagrindinistekstas"/>
        <w:spacing w:after="0"/>
        <w:rPr>
          <w:szCs w:val="22"/>
        </w:rPr>
      </w:pPr>
    </w:p>
    <w:p w14:paraId="2B2C7423" w14:textId="77777777" w:rsidR="00361C03" w:rsidRPr="00F778AF" w:rsidRDefault="00361C03" w:rsidP="00361C03">
      <w:pPr>
        <w:rPr>
          <w:sz w:val="22"/>
          <w:szCs w:val="22"/>
          <w:lang w:eastAsia="x-none"/>
        </w:rPr>
      </w:pPr>
      <w:r w:rsidRPr="00F778AF">
        <w:rPr>
          <w:snapToGrid w:val="0"/>
          <w:sz w:val="22"/>
          <w:szCs w:val="22"/>
          <w:lang w:eastAsia="x-none"/>
        </w:rPr>
        <w:t>Apie ką rašoma šiame lapelyje?</w:t>
      </w:r>
    </w:p>
    <w:p w14:paraId="63703F66" w14:textId="77777777" w:rsidR="00361C03" w:rsidRPr="00F778AF" w:rsidRDefault="00361C03" w:rsidP="00361C03">
      <w:pPr>
        <w:rPr>
          <w:sz w:val="22"/>
          <w:szCs w:val="22"/>
          <w:lang w:eastAsia="x-none"/>
        </w:rPr>
      </w:pPr>
    </w:p>
    <w:p w14:paraId="643D2057" w14:textId="77777777" w:rsidR="00361C03" w:rsidRPr="00F778AF" w:rsidRDefault="00361C03" w:rsidP="00361C03">
      <w:pPr>
        <w:pStyle w:val="Pagrindinistekstas"/>
        <w:spacing w:after="0"/>
        <w:rPr>
          <w:szCs w:val="22"/>
        </w:rPr>
      </w:pPr>
      <w:r w:rsidRPr="00F778AF">
        <w:rPr>
          <w:szCs w:val="22"/>
        </w:rPr>
        <w:t>1.</w:t>
      </w:r>
      <w:r w:rsidRPr="00F778AF">
        <w:rPr>
          <w:szCs w:val="22"/>
        </w:rPr>
        <w:tab/>
        <w:t>Kas yra Imdur ir kam jis vartojamas</w:t>
      </w:r>
    </w:p>
    <w:p w14:paraId="180EA637" w14:textId="77777777" w:rsidR="00361C03" w:rsidRPr="00F778AF" w:rsidRDefault="00361C03" w:rsidP="00361C03">
      <w:pPr>
        <w:pStyle w:val="Pagrindinistekstas"/>
        <w:spacing w:after="0"/>
        <w:rPr>
          <w:szCs w:val="22"/>
        </w:rPr>
      </w:pPr>
      <w:r w:rsidRPr="00F778AF">
        <w:rPr>
          <w:szCs w:val="22"/>
        </w:rPr>
        <w:t>2.</w:t>
      </w:r>
      <w:r w:rsidRPr="00F778AF">
        <w:rPr>
          <w:szCs w:val="22"/>
        </w:rPr>
        <w:tab/>
        <w:t xml:space="preserve">Kas žinotina prieš vartojant Imdur </w:t>
      </w:r>
    </w:p>
    <w:p w14:paraId="050B4215" w14:textId="77777777" w:rsidR="00361C03" w:rsidRPr="00F778AF" w:rsidRDefault="00361C03" w:rsidP="00361C03">
      <w:pPr>
        <w:pStyle w:val="Pagrindinistekstas"/>
        <w:spacing w:after="0"/>
        <w:rPr>
          <w:szCs w:val="22"/>
        </w:rPr>
      </w:pPr>
      <w:r w:rsidRPr="00F778AF">
        <w:rPr>
          <w:szCs w:val="22"/>
        </w:rPr>
        <w:t>3.</w:t>
      </w:r>
      <w:r w:rsidRPr="00F778AF">
        <w:rPr>
          <w:szCs w:val="22"/>
        </w:rPr>
        <w:tab/>
        <w:t xml:space="preserve">Kaip vartoti Imdur </w:t>
      </w:r>
    </w:p>
    <w:p w14:paraId="1BF2D8A7" w14:textId="77777777" w:rsidR="00361C03" w:rsidRPr="00F778AF" w:rsidRDefault="00361C03" w:rsidP="00361C03">
      <w:pPr>
        <w:pStyle w:val="Pagrindinistekstas"/>
        <w:spacing w:after="0"/>
        <w:rPr>
          <w:szCs w:val="22"/>
        </w:rPr>
      </w:pPr>
      <w:r w:rsidRPr="00F778AF">
        <w:rPr>
          <w:szCs w:val="22"/>
        </w:rPr>
        <w:t>4.</w:t>
      </w:r>
      <w:r w:rsidRPr="00F778AF">
        <w:rPr>
          <w:szCs w:val="22"/>
        </w:rPr>
        <w:tab/>
        <w:t>Galimas šalutinis poveikis</w:t>
      </w:r>
    </w:p>
    <w:p w14:paraId="4E6E3AE9" w14:textId="77777777" w:rsidR="00361C03" w:rsidRPr="00F778AF" w:rsidRDefault="00361C03" w:rsidP="00361C03">
      <w:pPr>
        <w:pStyle w:val="Pagrindinistekstas"/>
        <w:spacing w:after="0"/>
        <w:rPr>
          <w:szCs w:val="22"/>
        </w:rPr>
      </w:pPr>
      <w:r w:rsidRPr="00F778AF">
        <w:rPr>
          <w:szCs w:val="22"/>
        </w:rPr>
        <w:t>5.</w:t>
      </w:r>
      <w:r w:rsidRPr="00F778AF">
        <w:rPr>
          <w:szCs w:val="22"/>
        </w:rPr>
        <w:tab/>
        <w:t>Kaip laikyti Imdur</w:t>
      </w:r>
    </w:p>
    <w:p w14:paraId="75D6D7FB" w14:textId="77777777" w:rsidR="00361C03" w:rsidRPr="00F778AF" w:rsidRDefault="00361C03" w:rsidP="00361C03">
      <w:pPr>
        <w:pStyle w:val="Pagrindinistekstas"/>
        <w:spacing w:after="0"/>
        <w:rPr>
          <w:szCs w:val="22"/>
        </w:rPr>
      </w:pPr>
      <w:r w:rsidRPr="00F778AF">
        <w:rPr>
          <w:szCs w:val="22"/>
        </w:rPr>
        <w:t>6.</w:t>
      </w:r>
      <w:r w:rsidRPr="00F778AF">
        <w:rPr>
          <w:szCs w:val="22"/>
        </w:rPr>
        <w:tab/>
        <w:t>Pakuotės turinys ir kita informacija</w:t>
      </w:r>
    </w:p>
    <w:p w14:paraId="4E28A222" w14:textId="77777777" w:rsidR="00361C03" w:rsidRPr="00F778AF" w:rsidRDefault="00361C03" w:rsidP="00361C03">
      <w:pPr>
        <w:pStyle w:val="Pagrindinistekstas"/>
        <w:spacing w:after="0"/>
        <w:rPr>
          <w:szCs w:val="22"/>
        </w:rPr>
      </w:pPr>
    </w:p>
    <w:p w14:paraId="07E0C633" w14:textId="77777777" w:rsidR="00361C03" w:rsidRPr="00F778AF" w:rsidRDefault="00361C03" w:rsidP="00361C03">
      <w:pPr>
        <w:pStyle w:val="Pagrindinistekstas"/>
        <w:spacing w:after="0"/>
        <w:rPr>
          <w:szCs w:val="22"/>
        </w:rPr>
      </w:pPr>
    </w:p>
    <w:p w14:paraId="55204FD1" w14:textId="77777777" w:rsidR="00361C03" w:rsidRPr="00F778AF" w:rsidRDefault="00361C03" w:rsidP="00361C03">
      <w:pPr>
        <w:pStyle w:val="Antrat2"/>
      </w:pPr>
      <w:r w:rsidRPr="00F778AF">
        <w:t>1.</w:t>
      </w:r>
      <w:r w:rsidRPr="00F778AF">
        <w:tab/>
        <w:t>Kas yra Imdur ir kam jis vartojamas</w:t>
      </w:r>
    </w:p>
    <w:p w14:paraId="53A2F518" w14:textId="77777777" w:rsidR="00361C03" w:rsidRPr="00F778AF" w:rsidRDefault="00361C03" w:rsidP="00361C03">
      <w:pPr>
        <w:pStyle w:val="Pagrindinistekstas"/>
        <w:spacing w:after="0"/>
        <w:rPr>
          <w:szCs w:val="22"/>
        </w:rPr>
      </w:pPr>
    </w:p>
    <w:p w14:paraId="2DA17056" w14:textId="77777777" w:rsidR="00361C03" w:rsidRPr="00F778AF" w:rsidRDefault="00361C03" w:rsidP="00361C03">
      <w:pPr>
        <w:pStyle w:val="Pagrindinistekstas"/>
        <w:spacing w:after="0"/>
        <w:rPr>
          <w:szCs w:val="22"/>
        </w:rPr>
      </w:pPr>
      <w:r w:rsidRPr="00F778AF">
        <w:rPr>
          <w:szCs w:val="22"/>
        </w:rPr>
        <w:t>Imdur priklauso vaistų, vadinamų nitratais, grupei. Jis atpalaiduoja arterijų ir venų lygiuosius raumenis bei didina jų spindį, todėl gerina kraujo tėkmę ir lengvina širdies darbą.</w:t>
      </w:r>
    </w:p>
    <w:p w14:paraId="255F6C2F" w14:textId="77777777" w:rsidR="00361C03" w:rsidRPr="00F778AF" w:rsidRDefault="00361C03" w:rsidP="00361C03">
      <w:pPr>
        <w:pStyle w:val="Pagrindinistekstas"/>
        <w:spacing w:after="0"/>
        <w:rPr>
          <w:szCs w:val="22"/>
        </w:rPr>
      </w:pPr>
    </w:p>
    <w:p w14:paraId="58C611DA" w14:textId="77777777" w:rsidR="00361C03" w:rsidRPr="00F778AF" w:rsidRDefault="00361C03" w:rsidP="00361C03">
      <w:pPr>
        <w:pStyle w:val="Pagrindinistekstas"/>
        <w:spacing w:after="0"/>
        <w:rPr>
          <w:szCs w:val="22"/>
        </w:rPr>
      </w:pPr>
      <w:r w:rsidRPr="00F778AF">
        <w:rPr>
          <w:szCs w:val="22"/>
        </w:rPr>
        <w:t>Pailginto veikimo tabletės – tai tabletės, iš kurių vaistas patenka į organizmą kontroliuojamu greičiu (tai užtikrina visą dieną tolygų vaisto poveikį). Imdur tabletės plastikinė matrica visai netirpsta virškinimo sultyse, tačiau dažniausiai suyra žarnose, atpalaiduodama veikliąją medžiagą.</w:t>
      </w:r>
    </w:p>
    <w:p w14:paraId="41A7BCAD" w14:textId="77777777" w:rsidR="00361C03" w:rsidRPr="00F778AF" w:rsidRDefault="00361C03" w:rsidP="00361C03">
      <w:pPr>
        <w:pStyle w:val="Pagrindinistekstas"/>
        <w:spacing w:after="0"/>
        <w:rPr>
          <w:szCs w:val="22"/>
        </w:rPr>
      </w:pPr>
    </w:p>
    <w:p w14:paraId="5AFE0293" w14:textId="77777777" w:rsidR="00361C03" w:rsidRPr="00F778AF" w:rsidRDefault="00361C03" w:rsidP="00361C03">
      <w:pPr>
        <w:pStyle w:val="Pagrindinistekstas"/>
        <w:spacing w:after="0"/>
        <w:rPr>
          <w:szCs w:val="22"/>
        </w:rPr>
      </w:pPr>
      <w:r w:rsidRPr="00F778AF">
        <w:rPr>
          <w:szCs w:val="22"/>
        </w:rPr>
        <w:t>Imdur tabletės registruotos širdies ir krūtinės skausmo, kurį sukelia fizinis krūvis arba stresas (krūtinės anginos), profilaktikai.</w:t>
      </w:r>
    </w:p>
    <w:p w14:paraId="5DB5B76A" w14:textId="77777777" w:rsidR="00361C03" w:rsidRPr="00F778AF" w:rsidRDefault="00361C03" w:rsidP="00361C03">
      <w:pPr>
        <w:pStyle w:val="Pagrindinistekstas"/>
        <w:spacing w:after="0"/>
        <w:rPr>
          <w:szCs w:val="22"/>
        </w:rPr>
      </w:pPr>
    </w:p>
    <w:p w14:paraId="1F4A3A92" w14:textId="77777777" w:rsidR="00361C03" w:rsidRPr="00F778AF" w:rsidRDefault="00361C03" w:rsidP="00361C03">
      <w:pPr>
        <w:pStyle w:val="Pagrindinistekstas"/>
        <w:spacing w:after="0"/>
        <w:rPr>
          <w:szCs w:val="22"/>
        </w:rPr>
      </w:pPr>
      <w:r w:rsidRPr="00F778AF">
        <w:rPr>
          <w:szCs w:val="22"/>
        </w:rPr>
        <w:t>Visada laikykitės gydytojo patarimų. Jei norėtumėte sužinoti daugiau, kreipkitės į gydytoją arba vaistininką.</w:t>
      </w:r>
    </w:p>
    <w:p w14:paraId="7DB5BD70" w14:textId="77777777" w:rsidR="00361C03" w:rsidRPr="00F778AF" w:rsidRDefault="00361C03" w:rsidP="00361C03">
      <w:pPr>
        <w:pStyle w:val="Pagrindinistekstas"/>
        <w:spacing w:after="0"/>
        <w:rPr>
          <w:szCs w:val="22"/>
        </w:rPr>
      </w:pPr>
    </w:p>
    <w:p w14:paraId="4031800D" w14:textId="77777777" w:rsidR="00361C03" w:rsidRPr="00F778AF" w:rsidRDefault="00361C03" w:rsidP="00361C03">
      <w:pPr>
        <w:pStyle w:val="Pagrindinistekstas"/>
        <w:spacing w:after="0"/>
        <w:rPr>
          <w:szCs w:val="22"/>
        </w:rPr>
      </w:pPr>
    </w:p>
    <w:p w14:paraId="460A510F" w14:textId="77777777" w:rsidR="00361C03" w:rsidRPr="00F778AF" w:rsidRDefault="00361C03" w:rsidP="00361C03">
      <w:pPr>
        <w:pStyle w:val="Antrat2"/>
      </w:pPr>
      <w:r w:rsidRPr="00F778AF">
        <w:t>2.</w:t>
      </w:r>
      <w:r w:rsidRPr="00F778AF">
        <w:tab/>
        <w:t xml:space="preserve">Kas žinotina prieš vartojant Imdur </w:t>
      </w:r>
    </w:p>
    <w:p w14:paraId="14D47A3A" w14:textId="77777777" w:rsidR="00361C03" w:rsidRPr="00F778AF" w:rsidRDefault="00361C03" w:rsidP="00361C03">
      <w:pPr>
        <w:pStyle w:val="Pagrindinistekstas"/>
        <w:spacing w:after="0"/>
        <w:rPr>
          <w:szCs w:val="22"/>
        </w:rPr>
      </w:pPr>
    </w:p>
    <w:p w14:paraId="3661CB61" w14:textId="75C34820" w:rsidR="00361C03" w:rsidRPr="00F778AF" w:rsidRDefault="00361C03" w:rsidP="00361C03">
      <w:pPr>
        <w:pStyle w:val="Antrat3"/>
      </w:pPr>
      <w:r w:rsidRPr="00F778AF">
        <w:t xml:space="preserve">Imdur vartoti </w:t>
      </w:r>
      <w:r w:rsidR="006B4733">
        <w:t>draudžiama</w:t>
      </w:r>
      <w:r w:rsidRPr="00F778AF">
        <w:t>:</w:t>
      </w:r>
    </w:p>
    <w:p w14:paraId="60C40694" w14:textId="77777777" w:rsidR="00361C03" w:rsidRPr="00F778AF" w:rsidRDefault="00361C03" w:rsidP="00361C03">
      <w:pPr>
        <w:pStyle w:val="Pagrindinistekstas"/>
        <w:numPr>
          <w:ilvl w:val="0"/>
          <w:numId w:val="1"/>
        </w:numPr>
        <w:spacing w:after="0"/>
        <w:rPr>
          <w:szCs w:val="22"/>
        </w:rPr>
      </w:pPr>
      <w:r w:rsidRPr="00F778AF">
        <w:rPr>
          <w:szCs w:val="22"/>
        </w:rPr>
        <w:t xml:space="preserve">jeigu yra alergija (padidėjęs jautrumas) izosorbido mononitratui arba bet kuriai pagalbinei šio vaisto medžiagai </w:t>
      </w:r>
      <w:r w:rsidRPr="00F778AF">
        <w:rPr>
          <w:noProof/>
          <w:snapToGrid w:val="0"/>
          <w:szCs w:val="22"/>
        </w:rPr>
        <w:t>(jos išvardytos 6 skyriuje)</w:t>
      </w:r>
      <w:r>
        <w:rPr>
          <w:szCs w:val="22"/>
        </w:rPr>
        <w:t>.</w:t>
      </w:r>
    </w:p>
    <w:p w14:paraId="5B3D3A66" w14:textId="77777777" w:rsidR="00361C03" w:rsidRPr="00F778AF" w:rsidRDefault="00361C03" w:rsidP="00361C03">
      <w:pPr>
        <w:pStyle w:val="Pagrindinistekstas"/>
        <w:numPr>
          <w:ilvl w:val="0"/>
          <w:numId w:val="1"/>
        </w:numPr>
        <w:spacing w:after="0"/>
        <w:rPr>
          <w:szCs w:val="22"/>
        </w:rPr>
      </w:pPr>
      <w:r w:rsidRPr="00F778AF">
        <w:rPr>
          <w:szCs w:val="22"/>
        </w:rPr>
        <w:t>jeigu sumažėjęs kraujospūdis bei sergant kai kuriomis širdies ligomis.</w:t>
      </w:r>
    </w:p>
    <w:p w14:paraId="56F644B4" w14:textId="77777777" w:rsidR="00361C03" w:rsidRPr="00F778AF" w:rsidRDefault="00361C03" w:rsidP="00361C03">
      <w:pPr>
        <w:pStyle w:val="Pagrindinistekstas"/>
        <w:spacing w:after="0"/>
        <w:rPr>
          <w:szCs w:val="22"/>
        </w:rPr>
      </w:pPr>
    </w:p>
    <w:p w14:paraId="40B68B93" w14:textId="77777777" w:rsidR="00361C03" w:rsidRPr="00F778AF" w:rsidRDefault="00361C03" w:rsidP="00361C03">
      <w:pPr>
        <w:pStyle w:val="Pagrindinistekstas"/>
        <w:spacing w:after="0"/>
        <w:rPr>
          <w:szCs w:val="22"/>
        </w:rPr>
      </w:pPr>
      <w:r w:rsidRPr="00F778AF">
        <w:rPr>
          <w:szCs w:val="22"/>
        </w:rPr>
        <w:t>Kartu su Imdur  negalima vartoti fosfodiesterazės-5 inhibitorių, pvz., sildenafilio (Viagra), tadalafilio (Cialis) ir vardenafilio (Levitra).</w:t>
      </w:r>
    </w:p>
    <w:p w14:paraId="36156C9B" w14:textId="77777777" w:rsidR="00361C03" w:rsidRPr="00F778AF" w:rsidRDefault="00361C03" w:rsidP="00361C03">
      <w:pPr>
        <w:pStyle w:val="Pagrindinistekstas"/>
        <w:spacing w:after="0"/>
        <w:rPr>
          <w:szCs w:val="22"/>
        </w:rPr>
      </w:pPr>
    </w:p>
    <w:p w14:paraId="6EF446DB" w14:textId="77777777" w:rsidR="00361C03" w:rsidRPr="00F778AF" w:rsidRDefault="00361C03" w:rsidP="00361C03">
      <w:pPr>
        <w:pStyle w:val="Pagrindinistekstas"/>
        <w:spacing w:after="0"/>
        <w:rPr>
          <w:szCs w:val="22"/>
        </w:rPr>
      </w:pPr>
      <w:r w:rsidRPr="00F778AF">
        <w:rPr>
          <w:szCs w:val="22"/>
        </w:rPr>
        <w:t>Krūtinės anginos priepuoliams nutraukti Imdur netinka (reikia vartoti nitrogliceriną pagal gydytojo nurodymą).</w:t>
      </w:r>
    </w:p>
    <w:p w14:paraId="2C4F2384" w14:textId="77777777" w:rsidR="00361C03" w:rsidRPr="00F778AF" w:rsidRDefault="00361C03" w:rsidP="00361C03">
      <w:pPr>
        <w:pStyle w:val="Pagrindinistekstas"/>
        <w:spacing w:after="0"/>
        <w:rPr>
          <w:szCs w:val="22"/>
        </w:rPr>
      </w:pPr>
    </w:p>
    <w:p w14:paraId="73123E6A" w14:textId="77777777" w:rsidR="00361C03" w:rsidRPr="00F778AF" w:rsidRDefault="00361C03" w:rsidP="00361C03">
      <w:pPr>
        <w:pStyle w:val="Pagrindinistekstas"/>
        <w:spacing w:after="0"/>
        <w:rPr>
          <w:szCs w:val="22"/>
        </w:rPr>
      </w:pPr>
      <w:r w:rsidRPr="00F778AF">
        <w:rPr>
          <w:szCs w:val="22"/>
        </w:rPr>
        <w:t>Imdur negalima duoti vaikams.</w:t>
      </w:r>
    </w:p>
    <w:p w14:paraId="1DF162F1" w14:textId="77777777" w:rsidR="00361C03" w:rsidRPr="00F778AF" w:rsidRDefault="00361C03" w:rsidP="00361C03">
      <w:pPr>
        <w:pStyle w:val="Pagrindinistekstas"/>
        <w:spacing w:after="0"/>
        <w:rPr>
          <w:szCs w:val="22"/>
        </w:rPr>
      </w:pPr>
    </w:p>
    <w:p w14:paraId="506D89E5" w14:textId="77777777" w:rsidR="00361C03" w:rsidRPr="00E16CC3" w:rsidRDefault="00361C03" w:rsidP="00361C03">
      <w:pPr>
        <w:pStyle w:val="Pagrindinistekstas"/>
        <w:spacing w:after="0"/>
        <w:rPr>
          <w:b/>
          <w:bCs/>
          <w:szCs w:val="22"/>
        </w:rPr>
      </w:pPr>
      <w:r w:rsidRPr="00F778AF">
        <w:rPr>
          <w:snapToGrid w:val="0"/>
          <w:szCs w:val="22"/>
          <w:lang w:eastAsia="x-none"/>
        </w:rPr>
        <w:t xml:space="preserve"> </w:t>
      </w:r>
      <w:r w:rsidRPr="00E16CC3">
        <w:rPr>
          <w:b/>
          <w:bCs/>
          <w:szCs w:val="22"/>
        </w:rPr>
        <w:t>Įspėjimai ir atsargumo priemonės</w:t>
      </w:r>
    </w:p>
    <w:p w14:paraId="155007EF" w14:textId="77777777" w:rsidR="00361C03" w:rsidRPr="00F778AF" w:rsidRDefault="00361C03" w:rsidP="00361C03">
      <w:pPr>
        <w:pStyle w:val="Pagrindinistekstas"/>
        <w:spacing w:after="0"/>
        <w:rPr>
          <w:szCs w:val="22"/>
        </w:rPr>
      </w:pPr>
      <w:r w:rsidRPr="00F778AF">
        <w:rPr>
          <w:szCs w:val="22"/>
        </w:rPr>
        <w:lastRenderedPageBreak/>
        <w:t>Kai kuriais atvejais Imdur reikia vartoti ypač atsargiai, todėl visada pasakykite gydytojui apie kitus sveikatos sutrikimus (ypač širdies ligas, sumažėjusį kraujospūdį).</w:t>
      </w:r>
    </w:p>
    <w:p w14:paraId="3A4D2B53" w14:textId="77777777" w:rsidR="00361C03" w:rsidRPr="00F778AF" w:rsidRDefault="00361C03" w:rsidP="00361C03">
      <w:pPr>
        <w:pStyle w:val="Antrat3"/>
      </w:pPr>
    </w:p>
    <w:p w14:paraId="3D83DE47" w14:textId="77777777" w:rsidR="00361C03" w:rsidRPr="00F778AF" w:rsidRDefault="00361C03" w:rsidP="00361C03">
      <w:pPr>
        <w:pStyle w:val="Antrat3"/>
      </w:pPr>
      <w:r w:rsidRPr="00F778AF">
        <w:t>Kiti vaistai ir Imdur</w:t>
      </w:r>
    </w:p>
    <w:p w14:paraId="06F31C71" w14:textId="77777777" w:rsidR="00361C03" w:rsidRPr="00F778AF" w:rsidRDefault="00361C03" w:rsidP="00361C03">
      <w:pPr>
        <w:pStyle w:val="Pagrindinistekstas"/>
        <w:spacing w:after="0"/>
        <w:rPr>
          <w:szCs w:val="22"/>
        </w:rPr>
      </w:pPr>
      <w:r w:rsidRPr="00F778AF">
        <w:rPr>
          <w:szCs w:val="22"/>
        </w:rPr>
        <w:t>Kartu su Imdur negalima vartoti fosfodiesterazės-5 inhibitorių, pvz., sildenafilio (Viagra), tadalafilio (Cialis) ir vardenafilio (Levitra), kadangi gali pasireikšti sunkus šalutinis poveikis.</w:t>
      </w:r>
    </w:p>
    <w:p w14:paraId="3796DBF1" w14:textId="77777777" w:rsidR="00361C03" w:rsidRPr="00F778AF" w:rsidRDefault="00361C03" w:rsidP="00361C03">
      <w:pPr>
        <w:pStyle w:val="Pagrindinistekstas"/>
        <w:spacing w:after="0"/>
        <w:rPr>
          <w:szCs w:val="22"/>
        </w:rPr>
      </w:pPr>
    </w:p>
    <w:p w14:paraId="31806B91" w14:textId="77777777" w:rsidR="00361C03" w:rsidRPr="00F778AF" w:rsidRDefault="00361C03" w:rsidP="00361C03">
      <w:pPr>
        <w:pStyle w:val="Pagrindinistekstas"/>
        <w:spacing w:after="0"/>
        <w:rPr>
          <w:szCs w:val="22"/>
        </w:rPr>
      </w:pPr>
      <w:r>
        <w:rPr>
          <w:szCs w:val="22"/>
        </w:rPr>
        <w:t>Pasakykite</w:t>
      </w:r>
      <w:r w:rsidRPr="00F778AF">
        <w:rPr>
          <w:szCs w:val="22"/>
        </w:rPr>
        <w:t xml:space="preserve"> gydytojui apie visus kitus vaistus, kuriuos vartojate arba neseniai vartojote (įskaitant pirktus be recepto).</w:t>
      </w:r>
    </w:p>
    <w:p w14:paraId="26AB6A4D" w14:textId="77777777" w:rsidR="00361C03" w:rsidRPr="00F778AF" w:rsidRDefault="00361C03" w:rsidP="00361C03">
      <w:pPr>
        <w:pStyle w:val="Pagrindinistekstas"/>
        <w:spacing w:after="0"/>
        <w:rPr>
          <w:szCs w:val="22"/>
        </w:rPr>
      </w:pPr>
    </w:p>
    <w:p w14:paraId="1919D089" w14:textId="77777777" w:rsidR="00361C03" w:rsidRPr="00F778AF" w:rsidRDefault="00361C03" w:rsidP="00361C03">
      <w:pPr>
        <w:pStyle w:val="Antrat3"/>
      </w:pPr>
      <w:r w:rsidRPr="00F778AF">
        <w:t>Nėštumas ir žindymo laikotarpis</w:t>
      </w:r>
    </w:p>
    <w:p w14:paraId="0E61D2F7" w14:textId="77777777" w:rsidR="00361C03" w:rsidRPr="00F778AF" w:rsidRDefault="00361C03" w:rsidP="00361C03">
      <w:pPr>
        <w:rPr>
          <w:sz w:val="22"/>
          <w:szCs w:val="22"/>
        </w:rPr>
      </w:pPr>
    </w:p>
    <w:p w14:paraId="59E7143D" w14:textId="77777777" w:rsidR="00361C03" w:rsidRPr="00F778AF" w:rsidRDefault="00361C03" w:rsidP="00361C03">
      <w:pPr>
        <w:pStyle w:val="Antrat3"/>
      </w:pPr>
      <w:r w:rsidRPr="00F778AF">
        <w:t>Nėštumas</w:t>
      </w:r>
    </w:p>
    <w:p w14:paraId="11003F15" w14:textId="77777777" w:rsidR="00361C03" w:rsidRPr="00F778AF" w:rsidRDefault="00361C03" w:rsidP="00361C03">
      <w:pPr>
        <w:pStyle w:val="Pagrindinistekstas"/>
        <w:spacing w:after="0"/>
        <w:rPr>
          <w:szCs w:val="22"/>
        </w:rPr>
      </w:pPr>
      <w:r w:rsidRPr="00F778AF">
        <w:rPr>
          <w:szCs w:val="22"/>
        </w:rPr>
        <w:t>Jei moteris yra nėščia arba mėgina pastoti, apie tai ji turi pasakyti gydytojui, prieš pradėdama vartoti Imdur.</w:t>
      </w:r>
    </w:p>
    <w:p w14:paraId="5180B0B7" w14:textId="77777777" w:rsidR="00361C03" w:rsidRPr="00F778AF" w:rsidRDefault="00361C03" w:rsidP="00361C03">
      <w:pPr>
        <w:pStyle w:val="Pagrindinistekstas"/>
        <w:spacing w:after="0"/>
        <w:rPr>
          <w:szCs w:val="22"/>
        </w:rPr>
      </w:pPr>
    </w:p>
    <w:p w14:paraId="51083D23" w14:textId="77777777" w:rsidR="00361C03" w:rsidRPr="00F778AF" w:rsidRDefault="00361C03" w:rsidP="00361C03">
      <w:pPr>
        <w:pStyle w:val="Pagrindinistekstas"/>
        <w:spacing w:after="0"/>
        <w:rPr>
          <w:szCs w:val="22"/>
        </w:rPr>
      </w:pPr>
      <w:r w:rsidRPr="00F778AF">
        <w:rPr>
          <w:szCs w:val="22"/>
        </w:rPr>
        <w:t>Nėščioms moterims negalima vartoti Imdur, išskyrus atvejį, kai nurodo gydytojas. Jei Imdur vartojanti moteris pastojo, apie tai ji turi kuo greičiau pasakyti gydytojui.</w:t>
      </w:r>
    </w:p>
    <w:p w14:paraId="441E4DB1" w14:textId="77777777" w:rsidR="00361C03" w:rsidRPr="00F778AF" w:rsidRDefault="00361C03" w:rsidP="00361C03">
      <w:pPr>
        <w:pStyle w:val="Pagrindinistekstas"/>
        <w:spacing w:after="0"/>
        <w:rPr>
          <w:szCs w:val="22"/>
        </w:rPr>
      </w:pPr>
    </w:p>
    <w:p w14:paraId="5997614E" w14:textId="77777777" w:rsidR="00361C03" w:rsidRPr="00F778AF" w:rsidRDefault="00361C03" w:rsidP="00361C03">
      <w:pPr>
        <w:pStyle w:val="Antrat3"/>
      </w:pPr>
      <w:r w:rsidRPr="00F778AF">
        <w:t>Žindymo laikotarpis</w:t>
      </w:r>
    </w:p>
    <w:p w14:paraId="1F7CDDA8" w14:textId="77777777" w:rsidR="00361C03" w:rsidRPr="00F778AF" w:rsidRDefault="00361C03" w:rsidP="00361C03">
      <w:pPr>
        <w:pStyle w:val="Pagrindinistekstas"/>
        <w:spacing w:after="0"/>
        <w:rPr>
          <w:szCs w:val="22"/>
        </w:rPr>
      </w:pPr>
      <w:r w:rsidRPr="00F778AF">
        <w:rPr>
          <w:szCs w:val="22"/>
        </w:rPr>
        <w:t>Jei moteris žindo kūdikį, apie tai ji turi pasakyti gydytojui, prieš pradėdama vartoti Imdur. Žindančioms moterims Imdur vartoti negalima, išskyrus atvejį, kai nurodo gydytojas.</w:t>
      </w:r>
    </w:p>
    <w:p w14:paraId="1450343A" w14:textId="77777777" w:rsidR="00361C03" w:rsidRPr="00F778AF" w:rsidRDefault="00361C03" w:rsidP="00361C03">
      <w:pPr>
        <w:pStyle w:val="Pagrindinistekstas"/>
        <w:spacing w:after="0"/>
        <w:rPr>
          <w:szCs w:val="22"/>
        </w:rPr>
      </w:pPr>
    </w:p>
    <w:p w14:paraId="63F03F67" w14:textId="77777777" w:rsidR="00361C03" w:rsidRPr="00F778AF" w:rsidRDefault="00361C03" w:rsidP="00361C03">
      <w:pPr>
        <w:pStyle w:val="Antrat3"/>
      </w:pPr>
      <w:r w:rsidRPr="00F778AF">
        <w:t>Vairavimas ir mechanizmų valdymas</w:t>
      </w:r>
    </w:p>
    <w:p w14:paraId="12BD4450" w14:textId="77777777" w:rsidR="00361C03" w:rsidRPr="00F778AF" w:rsidRDefault="00361C03" w:rsidP="00361C03">
      <w:pPr>
        <w:pStyle w:val="Pagrindinistekstas"/>
        <w:spacing w:after="0"/>
        <w:rPr>
          <w:szCs w:val="22"/>
        </w:rPr>
      </w:pPr>
      <w:r w:rsidRPr="00F778AF">
        <w:rPr>
          <w:szCs w:val="22"/>
        </w:rPr>
        <w:t>Pradėjus vartoti Imdur, gali svaigti galva, todėl prieš pradedant vairuoti ar dirbti su technika reikia pajusti, kaip veikia šis vaistas.</w:t>
      </w:r>
    </w:p>
    <w:p w14:paraId="4B91CD99" w14:textId="77777777" w:rsidR="00361C03" w:rsidRPr="00F778AF" w:rsidRDefault="00361C03" w:rsidP="00361C03">
      <w:pPr>
        <w:pStyle w:val="Pagrindinistekstas"/>
        <w:spacing w:after="0"/>
        <w:rPr>
          <w:szCs w:val="22"/>
        </w:rPr>
      </w:pPr>
    </w:p>
    <w:p w14:paraId="338939FB" w14:textId="77777777" w:rsidR="00361C03" w:rsidRPr="00F778AF" w:rsidRDefault="00361C03" w:rsidP="00361C03">
      <w:pPr>
        <w:pStyle w:val="Antrat3"/>
      </w:pPr>
      <w:r w:rsidRPr="00F778AF">
        <w:t>Imdur sudėtyje yra natrio</w:t>
      </w:r>
    </w:p>
    <w:p w14:paraId="32822308" w14:textId="77777777" w:rsidR="00361C03" w:rsidRPr="00F778AF" w:rsidRDefault="00361C03" w:rsidP="00361C03">
      <w:pPr>
        <w:pStyle w:val="Pagrindinistekstas"/>
        <w:spacing w:after="0"/>
        <w:rPr>
          <w:szCs w:val="22"/>
        </w:rPr>
      </w:pPr>
      <w:r w:rsidRPr="00F778AF">
        <w:rPr>
          <w:szCs w:val="22"/>
        </w:rPr>
        <w:t>Kiekvienoje Imdur pailginto atpalaidavimo tabletėje yra mažiau kaip 1 mmol (23 mg) natrio, t.y. jis beveik neturi reikšmės.</w:t>
      </w:r>
    </w:p>
    <w:p w14:paraId="4586C35F" w14:textId="77777777" w:rsidR="00361C03" w:rsidRPr="00F778AF" w:rsidRDefault="00361C03" w:rsidP="00361C03">
      <w:pPr>
        <w:pStyle w:val="Pagrindinistekstas"/>
        <w:spacing w:after="0"/>
        <w:rPr>
          <w:szCs w:val="22"/>
        </w:rPr>
      </w:pPr>
    </w:p>
    <w:p w14:paraId="5E01E8B4" w14:textId="77777777" w:rsidR="00361C03" w:rsidRPr="00F778AF" w:rsidRDefault="00361C03" w:rsidP="00361C03">
      <w:pPr>
        <w:pStyle w:val="Pagrindinistekstas"/>
        <w:spacing w:after="0"/>
        <w:rPr>
          <w:szCs w:val="22"/>
        </w:rPr>
      </w:pPr>
    </w:p>
    <w:p w14:paraId="0A492F64" w14:textId="77777777" w:rsidR="00361C03" w:rsidRPr="00F778AF" w:rsidRDefault="00361C03" w:rsidP="00361C03">
      <w:pPr>
        <w:pStyle w:val="Antrat2"/>
      </w:pPr>
      <w:r w:rsidRPr="00F778AF">
        <w:t>3.</w:t>
      </w:r>
      <w:r w:rsidRPr="00F778AF">
        <w:tab/>
        <w:t xml:space="preserve">Kaip vartoti Imdur </w:t>
      </w:r>
    </w:p>
    <w:p w14:paraId="34ABB551" w14:textId="77777777" w:rsidR="00361C03" w:rsidRPr="00F778AF" w:rsidRDefault="00361C03" w:rsidP="00361C03">
      <w:pPr>
        <w:pStyle w:val="Pagrindinistekstas"/>
        <w:spacing w:after="0"/>
        <w:rPr>
          <w:szCs w:val="22"/>
        </w:rPr>
      </w:pPr>
    </w:p>
    <w:p w14:paraId="3A57C1C9" w14:textId="77777777" w:rsidR="00361C03" w:rsidRPr="00F778AF" w:rsidRDefault="00361C03" w:rsidP="00361C03">
      <w:pPr>
        <w:pStyle w:val="Pagrindinistekstas"/>
        <w:spacing w:after="0"/>
        <w:rPr>
          <w:szCs w:val="22"/>
        </w:rPr>
      </w:pPr>
      <w:r w:rsidRPr="00F778AF">
        <w:rPr>
          <w:szCs w:val="22"/>
        </w:rPr>
        <w:t>Imdur visada vartokite tiksliai pagal gydytojo nurodymą. Jei dėl ko nors abejojate, klauskite gydytojo arba vaistininko. Imdur galima gerti valgant arba nevalgius.</w:t>
      </w:r>
    </w:p>
    <w:p w14:paraId="53B2224C" w14:textId="77777777" w:rsidR="00361C03" w:rsidRPr="00F778AF" w:rsidRDefault="00361C03" w:rsidP="00361C03">
      <w:pPr>
        <w:pStyle w:val="Pagrindinistekstas"/>
        <w:spacing w:after="0"/>
        <w:rPr>
          <w:szCs w:val="22"/>
        </w:rPr>
      </w:pPr>
    </w:p>
    <w:p w14:paraId="73DA951F" w14:textId="77777777" w:rsidR="00361C03" w:rsidRPr="00F778AF" w:rsidRDefault="00361C03" w:rsidP="00361C03">
      <w:pPr>
        <w:pStyle w:val="Pagrindinistekstas"/>
        <w:spacing w:after="0"/>
        <w:rPr>
          <w:szCs w:val="22"/>
        </w:rPr>
      </w:pPr>
      <w:r w:rsidRPr="00F778AF">
        <w:rPr>
          <w:szCs w:val="22"/>
        </w:rPr>
        <w:t>60 mg tabletė turi vagelę, todėl ją galima perlaužti. Imdur tabletės ar jos pusės negalima kramtyti arba smulkinti, ją visada reikia nuryti užgeriant puse stiklinės skysčio.</w:t>
      </w:r>
    </w:p>
    <w:p w14:paraId="2397CC76" w14:textId="77777777" w:rsidR="00361C03" w:rsidRPr="00F778AF" w:rsidRDefault="00361C03" w:rsidP="00361C03">
      <w:pPr>
        <w:pStyle w:val="Pagrindinistekstas"/>
        <w:spacing w:after="0"/>
        <w:rPr>
          <w:szCs w:val="22"/>
        </w:rPr>
      </w:pPr>
    </w:p>
    <w:p w14:paraId="118B8AA2" w14:textId="77777777" w:rsidR="00361C03" w:rsidRPr="00F778AF" w:rsidRDefault="00361C03" w:rsidP="00361C03">
      <w:pPr>
        <w:pStyle w:val="Pagrindinistekstas"/>
        <w:spacing w:after="0"/>
        <w:rPr>
          <w:szCs w:val="22"/>
        </w:rPr>
      </w:pPr>
      <w:r w:rsidRPr="00F778AF">
        <w:rPr>
          <w:szCs w:val="22"/>
        </w:rPr>
        <w:t>Paprastai geriama 60 mg 1 kartą per parą (rytą). Prireikus gydytojas gali padidinti dozę iki 120 mg 1 kartą per parą (rytą).</w:t>
      </w:r>
      <w:r w:rsidRPr="00F778AF">
        <w:rPr>
          <w:szCs w:val="22"/>
        </w:rPr>
        <w:br/>
      </w:r>
    </w:p>
    <w:p w14:paraId="3152326F" w14:textId="77777777" w:rsidR="00361C03" w:rsidRPr="00F778AF" w:rsidRDefault="00361C03" w:rsidP="00361C03">
      <w:pPr>
        <w:pStyle w:val="Pagrindinistekstas"/>
        <w:spacing w:after="0"/>
        <w:rPr>
          <w:szCs w:val="22"/>
        </w:rPr>
      </w:pPr>
      <w:r w:rsidRPr="00F778AF">
        <w:rPr>
          <w:szCs w:val="22"/>
        </w:rPr>
        <w:t>Kad sumažėtų galvos skausmo tikimybė, pirmąsias 2-4 dienas gydytojas gali patarti vartoti mažesnę dozę – 30 mg.</w:t>
      </w:r>
    </w:p>
    <w:p w14:paraId="39658E09" w14:textId="77777777" w:rsidR="00361C03" w:rsidRPr="00F778AF" w:rsidRDefault="00361C03" w:rsidP="00361C03">
      <w:pPr>
        <w:pStyle w:val="Pagrindinistekstas"/>
        <w:spacing w:after="0"/>
        <w:rPr>
          <w:szCs w:val="22"/>
        </w:rPr>
      </w:pPr>
    </w:p>
    <w:p w14:paraId="0806D494" w14:textId="77777777" w:rsidR="00361C03" w:rsidRPr="00F778AF" w:rsidRDefault="00361C03" w:rsidP="00361C03">
      <w:pPr>
        <w:pStyle w:val="Pagrindinistekstas"/>
        <w:spacing w:after="0"/>
        <w:rPr>
          <w:szCs w:val="22"/>
        </w:rPr>
      </w:pPr>
      <w:r w:rsidRPr="00F778AF">
        <w:rPr>
          <w:szCs w:val="22"/>
        </w:rPr>
        <w:t>Tabletės matrica yra netirpi, tačiau suyra atsipalaiduojant veikliajai medžiagai. Retkarčiais matrica gali patekti į išmatas nesuirusi virškinimo trakte, tačiau veiklioji medžiaga vis tiek jau būna atpalaiduota.</w:t>
      </w:r>
    </w:p>
    <w:p w14:paraId="0915D50F" w14:textId="77777777" w:rsidR="00361C03" w:rsidRPr="00F778AF" w:rsidRDefault="00361C03" w:rsidP="00361C03">
      <w:pPr>
        <w:pStyle w:val="Pagrindinistekstas"/>
        <w:spacing w:after="0"/>
        <w:rPr>
          <w:szCs w:val="22"/>
        </w:rPr>
      </w:pPr>
    </w:p>
    <w:p w14:paraId="259B6922" w14:textId="77777777" w:rsidR="00361C03" w:rsidRPr="00F778AF" w:rsidRDefault="00361C03" w:rsidP="00361C03">
      <w:pPr>
        <w:pStyle w:val="Pagrindinistekstas"/>
        <w:spacing w:after="0"/>
        <w:rPr>
          <w:szCs w:val="22"/>
        </w:rPr>
      </w:pPr>
      <w:r w:rsidRPr="00F778AF">
        <w:rPr>
          <w:szCs w:val="22"/>
        </w:rPr>
        <w:t>Senyviems pacientams Imdur dozės koreguoti nereikia, išskyrus atvejį, kai sumažėjęs kraujo</w:t>
      </w:r>
      <w:r w:rsidRPr="00F778AF">
        <w:rPr>
          <w:szCs w:val="22"/>
        </w:rPr>
        <w:softHyphen/>
        <w:t>spū</w:t>
      </w:r>
      <w:r w:rsidRPr="00F778AF">
        <w:rPr>
          <w:szCs w:val="22"/>
        </w:rPr>
        <w:softHyphen/>
        <w:t>dis.</w:t>
      </w:r>
    </w:p>
    <w:p w14:paraId="561CF82B" w14:textId="77777777" w:rsidR="00361C03" w:rsidRPr="00F778AF" w:rsidRDefault="00361C03" w:rsidP="00361C03">
      <w:pPr>
        <w:pStyle w:val="Pagrindinistekstas"/>
        <w:spacing w:after="0"/>
        <w:rPr>
          <w:szCs w:val="22"/>
        </w:rPr>
      </w:pPr>
    </w:p>
    <w:p w14:paraId="30697A04" w14:textId="77777777" w:rsidR="00361C03" w:rsidRPr="00F778AF" w:rsidRDefault="00361C03" w:rsidP="00361C03">
      <w:pPr>
        <w:pStyle w:val="Pagrindinistekstas"/>
        <w:spacing w:after="0"/>
        <w:rPr>
          <w:szCs w:val="22"/>
        </w:rPr>
      </w:pPr>
      <w:r w:rsidRPr="00F778AF">
        <w:rPr>
          <w:szCs w:val="22"/>
        </w:rPr>
        <w:t>Jeigu manote, kad Imdur veikia per stipriai arba per silpnai, kreipkitės į gydytoją arba vaistininką.</w:t>
      </w:r>
    </w:p>
    <w:p w14:paraId="597AB09C" w14:textId="77777777" w:rsidR="00361C03" w:rsidRPr="00F778AF" w:rsidRDefault="00361C03" w:rsidP="00361C03">
      <w:pPr>
        <w:pStyle w:val="Pagrindinistekstas"/>
        <w:spacing w:after="0"/>
        <w:rPr>
          <w:szCs w:val="22"/>
        </w:rPr>
      </w:pPr>
    </w:p>
    <w:p w14:paraId="52D6439C" w14:textId="77777777" w:rsidR="00361C03" w:rsidRPr="00F778AF" w:rsidRDefault="00361C03" w:rsidP="00361C03">
      <w:pPr>
        <w:pStyle w:val="Antrat3"/>
      </w:pPr>
      <w:r w:rsidRPr="00F778AF">
        <w:t>Ką daryti pavartojus per didelę Imdur dozę?</w:t>
      </w:r>
    </w:p>
    <w:p w14:paraId="00ECA9F1" w14:textId="77777777" w:rsidR="00361C03" w:rsidRPr="00F778AF" w:rsidRDefault="00361C03" w:rsidP="00361C03">
      <w:pPr>
        <w:pStyle w:val="Pagrindinistekstas"/>
        <w:spacing w:after="0"/>
        <w:rPr>
          <w:szCs w:val="22"/>
        </w:rPr>
      </w:pPr>
      <w:r w:rsidRPr="00F778AF">
        <w:rPr>
          <w:szCs w:val="22"/>
        </w:rPr>
        <w:t>Išgėrę per didelę Imdur dozę, nedelsdami kreipkitės į gydytoją arba vaistininką.</w:t>
      </w:r>
    </w:p>
    <w:p w14:paraId="1240361B" w14:textId="77777777" w:rsidR="00361C03" w:rsidRPr="00F778AF" w:rsidRDefault="00361C03" w:rsidP="00361C03">
      <w:pPr>
        <w:pStyle w:val="Pagrindinistekstas"/>
        <w:spacing w:after="0"/>
        <w:rPr>
          <w:szCs w:val="22"/>
        </w:rPr>
      </w:pPr>
    </w:p>
    <w:p w14:paraId="44685C16" w14:textId="77777777" w:rsidR="00361C03" w:rsidRPr="00F778AF" w:rsidRDefault="00361C03" w:rsidP="00361C03">
      <w:pPr>
        <w:pStyle w:val="Pagrindinistekstas"/>
        <w:spacing w:after="0"/>
        <w:rPr>
          <w:szCs w:val="22"/>
        </w:rPr>
      </w:pPr>
      <w:r w:rsidRPr="00F778AF">
        <w:rPr>
          <w:szCs w:val="22"/>
        </w:rPr>
        <w:lastRenderedPageBreak/>
        <w:t>Perdozavimo simptomai yra pulsuojantis galvos skausmas, sujaudinimas, paraudimas priplūdus kraujo, šaltas prakaitas, galvos svaigimas, pykinimas, vėmimas, galvos sukimasis, sąmonės netekimas, dažni širdies susitraukimai. Dėl to šį vaistą labai svarbu vartoti gydytojo nurodytomis dozėmis. Pasireiškus kuriam nors iš nurodytų simptomų, būtina nedelsiant kviesti gydytoją.</w:t>
      </w:r>
    </w:p>
    <w:p w14:paraId="72A198C2" w14:textId="77777777" w:rsidR="00361C03" w:rsidRPr="00F778AF" w:rsidRDefault="00361C03" w:rsidP="00361C03">
      <w:pPr>
        <w:pStyle w:val="Pagrindinistekstas"/>
        <w:spacing w:after="0"/>
        <w:rPr>
          <w:szCs w:val="22"/>
        </w:rPr>
      </w:pPr>
    </w:p>
    <w:p w14:paraId="3C6E4E0D" w14:textId="77777777" w:rsidR="00361C03" w:rsidRPr="00F778AF" w:rsidRDefault="00361C03" w:rsidP="00361C03">
      <w:pPr>
        <w:pStyle w:val="Antrat3"/>
      </w:pPr>
      <w:r w:rsidRPr="00F778AF">
        <w:t xml:space="preserve">Pamiršus pavartoti Imdur </w:t>
      </w:r>
    </w:p>
    <w:p w14:paraId="6EB52110" w14:textId="77777777" w:rsidR="00361C03" w:rsidRPr="00F778AF" w:rsidRDefault="00361C03" w:rsidP="00361C03">
      <w:pPr>
        <w:pStyle w:val="Pagrindinistekstas"/>
        <w:spacing w:after="0"/>
        <w:rPr>
          <w:szCs w:val="22"/>
        </w:rPr>
      </w:pPr>
      <w:r w:rsidRPr="00F778AF">
        <w:rPr>
          <w:szCs w:val="22"/>
        </w:rPr>
        <w:t>Praleidus dozę, vėliau vietoj jos dvigubos dozės vartoti negalima. Jei po to, kai reikėjo gerti Imdur, praėjo mažiau kaip 4 val., išgerkite užmirštą tabletę, o toliau vaistą vartokite įprasta tvarka. Jei praėjo daugiau kaip 4 val., tai palaukite, kol ateis laikas kitai dozei gerti.</w:t>
      </w:r>
    </w:p>
    <w:p w14:paraId="35C24292" w14:textId="77777777" w:rsidR="00361C03" w:rsidRPr="00F778AF" w:rsidRDefault="00361C03" w:rsidP="00361C03">
      <w:pPr>
        <w:pStyle w:val="Pagrindinistekstas"/>
        <w:spacing w:after="0"/>
        <w:rPr>
          <w:szCs w:val="22"/>
        </w:rPr>
      </w:pPr>
    </w:p>
    <w:p w14:paraId="7880BA45" w14:textId="77777777" w:rsidR="00361C03" w:rsidRPr="00F778AF" w:rsidRDefault="00361C03" w:rsidP="00361C03">
      <w:pPr>
        <w:pStyle w:val="Pagrindinistekstas"/>
        <w:spacing w:after="0"/>
        <w:rPr>
          <w:szCs w:val="22"/>
        </w:rPr>
      </w:pPr>
    </w:p>
    <w:p w14:paraId="7D76E418" w14:textId="77777777" w:rsidR="00361C03" w:rsidRPr="00F778AF" w:rsidRDefault="00361C03" w:rsidP="00361C03">
      <w:pPr>
        <w:pStyle w:val="Antrat2"/>
      </w:pPr>
      <w:r w:rsidRPr="00F778AF">
        <w:t>4.</w:t>
      </w:r>
      <w:r w:rsidRPr="00F778AF">
        <w:tab/>
        <w:t>Galimas šalutinis poveikis</w:t>
      </w:r>
    </w:p>
    <w:p w14:paraId="551976D0" w14:textId="77777777" w:rsidR="00361C03" w:rsidRPr="00F778AF" w:rsidRDefault="00361C03" w:rsidP="00361C03">
      <w:pPr>
        <w:pStyle w:val="Pagrindinistekstas"/>
        <w:spacing w:after="0"/>
        <w:rPr>
          <w:szCs w:val="22"/>
        </w:rPr>
      </w:pPr>
    </w:p>
    <w:p w14:paraId="4CEFDA69" w14:textId="77777777" w:rsidR="00361C03" w:rsidRPr="00F778AF" w:rsidRDefault="00361C03" w:rsidP="00361C03">
      <w:pPr>
        <w:pStyle w:val="Pagrindinistekstas"/>
        <w:spacing w:after="0"/>
        <w:rPr>
          <w:szCs w:val="22"/>
        </w:rPr>
      </w:pPr>
      <w:r w:rsidRPr="00F778AF">
        <w:rPr>
          <w:noProof/>
          <w:szCs w:val="22"/>
        </w:rPr>
        <w:t>Šis vaistas, kaip ir visi kiti, gali sukelti šalutinį poveikį, nors jis pasireiškia ne visiems žmonėms.</w:t>
      </w:r>
      <w:r w:rsidRPr="00F778AF" w:rsidDel="006949D9">
        <w:rPr>
          <w:szCs w:val="22"/>
        </w:rPr>
        <w:t xml:space="preserve"> </w:t>
      </w:r>
    </w:p>
    <w:p w14:paraId="289AC79C" w14:textId="77777777" w:rsidR="00361C03" w:rsidRPr="00F778AF" w:rsidRDefault="00361C03" w:rsidP="00361C03">
      <w:pPr>
        <w:pStyle w:val="Pagrindinistekstas"/>
        <w:spacing w:after="0"/>
        <w:rPr>
          <w:szCs w:val="22"/>
        </w:rPr>
      </w:pPr>
      <w:r w:rsidRPr="00F778AF">
        <w:rPr>
          <w:szCs w:val="22"/>
        </w:rPr>
        <w:t>Šį vaistą vartojant toliau, jis dažniau</w:t>
      </w:r>
      <w:r w:rsidRPr="00F778AF">
        <w:rPr>
          <w:szCs w:val="22"/>
        </w:rPr>
        <w:softHyphen/>
        <w:t>siai praeina. Pradėjus vartoti Imdur, gali skaudėti galvą. Kartais sumažėja kraujospūdis, todėl svaigsta galva, pykina, padažnėja širdies susitraukimai. Aprašyta retų atvejų, kai pacientas nualpo, pradėjo vemti, viduriuoti, išbėrė ir niežėjo odą. Pavieniams pacientams skaudėjo raumenis.</w:t>
      </w:r>
    </w:p>
    <w:p w14:paraId="54E880DD" w14:textId="77777777" w:rsidR="00361C03" w:rsidRPr="00F778AF" w:rsidRDefault="00361C03" w:rsidP="00361C03">
      <w:pPr>
        <w:pStyle w:val="Pagrindinistekstas"/>
        <w:spacing w:after="0"/>
        <w:rPr>
          <w:szCs w:val="22"/>
        </w:rPr>
      </w:pPr>
    </w:p>
    <w:p w14:paraId="76A48C47" w14:textId="77777777" w:rsidR="00361C03" w:rsidRPr="00F778AF" w:rsidRDefault="00361C03" w:rsidP="00361C03">
      <w:pPr>
        <w:tabs>
          <w:tab w:val="left" w:pos="567"/>
        </w:tabs>
        <w:rPr>
          <w:bCs w:val="0"/>
          <w:snapToGrid w:val="0"/>
          <w:sz w:val="22"/>
          <w:szCs w:val="22"/>
        </w:rPr>
      </w:pPr>
      <w:r w:rsidRPr="00F778AF">
        <w:rPr>
          <w:bCs w:val="0"/>
          <w:noProof/>
          <w:snapToGrid w:val="0"/>
          <w:sz w:val="22"/>
          <w:szCs w:val="22"/>
        </w:rPr>
        <w:t>Pranešimas apie šalutinį poveikį</w:t>
      </w:r>
    </w:p>
    <w:p w14:paraId="21A67283" w14:textId="2C8C240E" w:rsidR="00361C03" w:rsidRPr="006B4733" w:rsidRDefault="00361C03" w:rsidP="00361C03">
      <w:pPr>
        <w:tabs>
          <w:tab w:val="left" w:pos="567"/>
        </w:tabs>
        <w:spacing w:line="260" w:lineRule="exact"/>
        <w:ind w:right="-449"/>
        <w:rPr>
          <w:b w:val="0"/>
          <w:bCs w:val="0"/>
          <w:noProof/>
          <w:snapToGrid w:val="0"/>
          <w:sz w:val="22"/>
          <w:szCs w:val="22"/>
        </w:rPr>
      </w:pPr>
      <w:r w:rsidRPr="00F778AF">
        <w:rPr>
          <w:b w:val="0"/>
          <w:bCs w:val="0"/>
          <w:noProof/>
          <w:snapToGrid w:val="0"/>
          <w:sz w:val="22"/>
          <w:szCs w:val="22"/>
        </w:rPr>
        <w:t>Jeigu pasireiškė šalutinis poveikis, įskaitant šiame lapelyje nenurodytą, pasakykite gydytojui arba vaistininkui</w:t>
      </w:r>
      <w:r w:rsidRPr="00F778AF">
        <w:rPr>
          <w:b w:val="0"/>
          <w:bCs w:val="0"/>
          <w:snapToGrid w:val="0"/>
          <w:sz w:val="22"/>
          <w:szCs w:val="22"/>
        </w:rPr>
        <w:t>.</w:t>
      </w:r>
      <w:r w:rsidRPr="00F778AF">
        <w:rPr>
          <w:b w:val="0"/>
          <w:bCs w:val="0"/>
          <w:noProof/>
          <w:snapToGrid w:val="0"/>
          <w:sz w:val="22"/>
          <w:szCs w:val="22"/>
        </w:rPr>
        <w:t xml:space="preserve"> </w:t>
      </w:r>
      <w:r w:rsidR="006B4733" w:rsidRPr="005F2C94">
        <w:rPr>
          <w:b w:val="0"/>
          <w:bCs w:val="0"/>
          <w:sz w:val="22"/>
          <w:szCs w:val="22"/>
          <w:lang w:eastAsia="lt-LT"/>
        </w:rPr>
        <w:t xml:space="preserve">Pranešimą apie šalutinį poveikį galite užpildyti ir pateikti Valstybinės vaistų kontrolės tarnybos prie Lietuvos Respublikos sveikatos apsaugos ministerijos tinklalapyje </w:t>
      </w:r>
      <w:r w:rsidR="006B4733" w:rsidRPr="005F2C94">
        <w:rPr>
          <w:b w:val="0"/>
          <w:bCs w:val="0"/>
          <w:color w:val="0000EE"/>
          <w:sz w:val="22"/>
          <w:szCs w:val="22"/>
          <w:u w:val="single"/>
          <w:lang w:eastAsia="lt-LT"/>
        </w:rPr>
        <w:t>https://vvkt.lrv.lt/lt/</w:t>
      </w:r>
      <w:r w:rsidR="006B4733" w:rsidRPr="005F2C94">
        <w:rPr>
          <w:b w:val="0"/>
          <w:bCs w:val="0"/>
          <w:sz w:val="22"/>
          <w:szCs w:val="22"/>
          <w:lang w:eastAsia="lt-LT"/>
        </w:rPr>
        <w:t xml:space="preserve"> nurodytais būdais arba paskambinti nemokamu telefonu 8 800 73 568. Pranešdami apie šalutinį poveikį galite mums padėti gauti daugiau informacijos apie šio vaisto saugumą</w:t>
      </w:r>
      <w:r w:rsidR="006B4733">
        <w:rPr>
          <w:b w:val="0"/>
          <w:bCs w:val="0"/>
          <w:sz w:val="22"/>
          <w:szCs w:val="22"/>
          <w:lang w:eastAsia="lt-LT"/>
        </w:rPr>
        <w:t>.</w:t>
      </w:r>
    </w:p>
    <w:p w14:paraId="0983C2AA" w14:textId="77777777" w:rsidR="00361C03" w:rsidRPr="00F778AF" w:rsidRDefault="00361C03" w:rsidP="00361C03">
      <w:pPr>
        <w:pStyle w:val="Pagrindinistekstas"/>
        <w:spacing w:after="0"/>
        <w:rPr>
          <w:szCs w:val="22"/>
        </w:rPr>
      </w:pPr>
    </w:p>
    <w:p w14:paraId="1ECFBAA4" w14:textId="77777777" w:rsidR="00361C03" w:rsidRPr="00F778AF" w:rsidRDefault="00361C03" w:rsidP="00361C03">
      <w:pPr>
        <w:pStyle w:val="Pagrindinistekstas"/>
        <w:spacing w:after="0"/>
        <w:rPr>
          <w:szCs w:val="22"/>
        </w:rPr>
      </w:pPr>
    </w:p>
    <w:p w14:paraId="2237F8FA" w14:textId="77777777" w:rsidR="00361C03" w:rsidRPr="00F778AF" w:rsidRDefault="00361C03" w:rsidP="00361C03">
      <w:pPr>
        <w:pStyle w:val="Antrat2"/>
      </w:pPr>
      <w:r w:rsidRPr="00F778AF">
        <w:t>5.</w:t>
      </w:r>
      <w:r w:rsidRPr="00F778AF">
        <w:tab/>
        <w:t xml:space="preserve">Kaip laikyti Imdur </w:t>
      </w:r>
    </w:p>
    <w:p w14:paraId="585748AA" w14:textId="77777777" w:rsidR="00361C03" w:rsidRPr="00F778AF" w:rsidRDefault="00361C03" w:rsidP="00361C03">
      <w:pPr>
        <w:pStyle w:val="Pagrindinistekstas"/>
        <w:spacing w:after="0"/>
        <w:rPr>
          <w:szCs w:val="22"/>
        </w:rPr>
      </w:pPr>
    </w:p>
    <w:p w14:paraId="278B844A" w14:textId="77777777" w:rsidR="00361C03" w:rsidRPr="00F778AF" w:rsidRDefault="00361C03" w:rsidP="00361C03">
      <w:pPr>
        <w:pStyle w:val="Pagrindinistekstas"/>
        <w:spacing w:after="0"/>
        <w:rPr>
          <w:szCs w:val="22"/>
        </w:rPr>
      </w:pPr>
      <w:r w:rsidRPr="00F778AF">
        <w:rPr>
          <w:szCs w:val="22"/>
        </w:rPr>
        <w:t>Šį vaistą laikykite  vaikams nepastebimoje ir nepasiekiamoje vietoje.</w:t>
      </w:r>
    </w:p>
    <w:p w14:paraId="2E5EDF41" w14:textId="77777777" w:rsidR="00361C03" w:rsidRPr="00F778AF" w:rsidRDefault="00361C03" w:rsidP="00361C03">
      <w:pPr>
        <w:pStyle w:val="Pagrindinistekstas"/>
        <w:spacing w:after="0"/>
        <w:rPr>
          <w:szCs w:val="22"/>
        </w:rPr>
      </w:pPr>
    </w:p>
    <w:p w14:paraId="08A78853" w14:textId="77777777" w:rsidR="00361C03" w:rsidRPr="00F778AF" w:rsidRDefault="00361C03" w:rsidP="00361C03">
      <w:pPr>
        <w:pStyle w:val="Pagrindinistekstas"/>
        <w:spacing w:after="0"/>
        <w:rPr>
          <w:szCs w:val="22"/>
        </w:rPr>
      </w:pPr>
      <w:r w:rsidRPr="00F778AF">
        <w:rPr>
          <w:szCs w:val="22"/>
        </w:rPr>
        <w:t>Šiam vaistui specialių laikymo sąlygų nereikia.</w:t>
      </w:r>
    </w:p>
    <w:p w14:paraId="1E25851D" w14:textId="77777777" w:rsidR="00361C03" w:rsidRPr="00F778AF" w:rsidRDefault="00361C03" w:rsidP="00361C03">
      <w:pPr>
        <w:pStyle w:val="Pagrindinistekstas"/>
        <w:spacing w:after="0"/>
        <w:rPr>
          <w:szCs w:val="22"/>
        </w:rPr>
      </w:pPr>
      <w:r w:rsidRPr="00F778AF">
        <w:rPr>
          <w:szCs w:val="22"/>
        </w:rPr>
        <w:t>Ant dėžutės  po „</w:t>
      </w:r>
      <w:r>
        <w:rPr>
          <w:szCs w:val="22"/>
        </w:rPr>
        <w:t>EXP</w:t>
      </w:r>
      <w:r w:rsidRPr="00F778AF">
        <w:rPr>
          <w:szCs w:val="22"/>
        </w:rPr>
        <w:t>“ ir buteliuko nurodytam tinkamumo laikui pasibaigus, šio vaisto vartoti negalima. Vaistas tinka vartoti iki paskutinės nurodyto mėnesio dienos.</w:t>
      </w:r>
    </w:p>
    <w:p w14:paraId="20705C6A" w14:textId="77777777" w:rsidR="00361C03" w:rsidRPr="00F778AF" w:rsidRDefault="00361C03" w:rsidP="00361C03">
      <w:pPr>
        <w:pStyle w:val="Pagrindinistekstas"/>
        <w:spacing w:after="0"/>
        <w:rPr>
          <w:szCs w:val="22"/>
        </w:rPr>
      </w:pPr>
    </w:p>
    <w:p w14:paraId="11960ECD" w14:textId="77777777" w:rsidR="00361C03" w:rsidRPr="00F778AF" w:rsidRDefault="00361C03" w:rsidP="00361C03">
      <w:pPr>
        <w:pStyle w:val="Pagrindinistekstas"/>
        <w:spacing w:after="0"/>
        <w:rPr>
          <w:szCs w:val="22"/>
        </w:rPr>
      </w:pPr>
      <w:r w:rsidRPr="00F778AF">
        <w:rPr>
          <w:noProof/>
          <w:snapToGrid w:val="0"/>
          <w:szCs w:val="22"/>
        </w:rPr>
        <w:t>Vaistų negalima išmesti į kanalizaciją arba su buitinėmis atliekomis.</w:t>
      </w:r>
      <w:r w:rsidRPr="00F778AF">
        <w:rPr>
          <w:snapToGrid w:val="0"/>
          <w:szCs w:val="22"/>
        </w:rPr>
        <w:t xml:space="preserve"> </w:t>
      </w:r>
      <w:r w:rsidRPr="00F778AF">
        <w:rPr>
          <w:noProof/>
          <w:snapToGrid w:val="0"/>
          <w:szCs w:val="22"/>
        </w:rPr>
        <w:t>Kaip išmesti nereikalingus vaistus, klauskite vaistininko.</w:t>
      </w:r>
      <w:r w:rsidRPr="00F778AF">
        <w:rPr>
          <w:snapToGrid w:val="0"/>
          <w:szCs w:val="22"/>
        </w:rPr>
        <w:t xml:space="preserve"> </w:t>
      </w:r>
      <w:r w:rsidRPr="00F778AF">
        <w:rPr>
          <w:noProof/>
          <w:snapToGrid w:val="0"/>
          <w:szCs w:val="22"/>
        </w:rPr>
        <w:t>Šios priemonės padės apsaugoti aplinką.</w:t>
      </w:r>
      <w:r w:rsidRPr="00F778AF" w:rsidDel="006949D9">
        <w:rPr>
          <w:szCs w:val="22"/>
        </w:rPr>
        <w:t xml:space="preserve"> </w:t>
      </w:r>
    </w:p>
    <w:p w14:paraId="44C27C1B" w14:textId="77777777" w:rsidR="00361C03" w:rsidRPr="00F778AF" w:rsidRDefault="00361C03" w:rsidP="00361C03">
      <w:pPr>
        <w:pStyle w:val="Pagrindinistekstas"/>
        <w:spacing w:after="0"/>
        <w:rPr>
          <w:szCs w:val="22"/>
        </w:rPr>
      </w:pPr>
    </w:p>
    <w:p w14:paraId="741FE309" w14:textId="77777777" w:rsidR="00361C03" w:rsidRPr="00F778AF" w:rsidRDefault="00361C03" w:rsidP="00361C03">
      <w:pPr>
        <w:pStyle w:val="Antrat2"/>
      </w:pPr>
      <w:r w:rsidRPr="00F778AF">
        <w:t>6.</w:t>
      </w:r>
      <w:r w:rsidRPr="00F778AF">
        <w:tab/>
        <w:t>Pakuotės turinys ir kita informacija</w:t>
      </w:r>
    </w:p>
    <w:p w14:paraId="0655B833" w14:textId="77777777" w:rsidR="00361C03" w:rsidRPr="00F778AF" w:rsidRDefault="00361C03" w:rsidP="00361C03">
      <w:pPr>
        <w:rPr>
          <w:sz w:val="22"/>
          <w:szCs w:val="22"/>
        </w:rPr>
      </w:pPr>
    </w:p>
    <w:p w14:paraId="21882D9C" w14:textId="77777777" w:rsidR="00361C03" w:rsidRPr="00F778AF" w:rsidRDefault="00361C03" w:rsidP="00361C03">
      <w:pPr>
        <w:pStyle w:val="Pagrindinistekstas"/>
        <w:spacing w:after="0"/>
        <w:rPr>
          <w:b/>
          <w:bCs/>
          <w:szCs w:val="22"/>
        </w:rPr>
      </w:pPr>
      <w:r w:rsidRPr="00F778AF">
        <w:rPr>
          <w:b/>
          <w:bCs/>
          <w:szCs w:val="22"/>
        </w:rPr>
        <w:t>Imdur sudėtis</w:t>
      </w:r>
    </w:p>
    <w:p w14:paraId="004A6C2E" w14:textId="77777777" w:rsidR="00361C03" w:rsidRPr="00F778AF" w:rsidRDefault="00361C03" w:rsidP="00361C03">
      <w:pPr>
        <w:pStyle w:val="Pagrindinistekstas"/>
        <w:spacing w:after="0"/>
        <w:ind w:left="567" w:hanging="283"/>
        <w:rPr>
          <w:szCs w:val="22"/>
        </w:rPr>
      </w:pPr>
      <w:r w:rsidRPr="00F778AF">
        <w:rPr>
          <w:szCs w:val="22"/>
        </w:rPr>
        <w:t>-</w:t>
      </w:r>
      <w:r w:rsidRPr="00F778AF">
        <w:rPr>
          <w:szCs w:val="22"/>
        </w:rPr>
        <w:tab/>
        <w:t>Veiklioji medžiaga yra izosorbido mononitratas. Kiekvienoje pailginto atpalaidavimo tabletėje yra 60 mg izosorbido mononitrato.</w:t>
      </w:r>
    </w:p>
    <w:p w14:paraId="4224BE28" w14:textId="77777777" w:rsidR="00361C03" w:rsidRPr="00F778AF" w:rsidRDefault="00361C03" w:rsidP="00361C03">
      <w:pPr>
        <w:pStyle w:val="Pagrindinistekstas"/>
        <w:spacing w:after="0"/>
        <w:ind w:left="567" w:hanging="283"/>
        <w:rPr>
          <w:szCs w:val="22"/>
        </w:rPr>
      </w:pPr>
      <w:r w:rsidRPr="00F778AF">
        <w:rPr>
          <w:szCs w:val="22"/>
        </w:rPr>
        <w:t>-</w:t>
      </w:r>
      <w:r w:rsidRPr="00F778AF">
        <w:rPr>
          <w:szCs w:val="22"/>
        </w:rPr>
        <w:tab/>
        <w:t>Pagalbinės medžiagos yra aliuminio-natrio silikatas, sintetinis parafinas, hidroksipropilceliuliozė, magnio stearatas, koloidinis bevandenis silicio dioksidas, hipromeliozė, makrogolis ir dažikliai geltonasis geležies oksidas (E172) ir titano dioksidas (E171).</w:t>
      </w:r>
    </w:p>
    <w:p w14:paraId="169FED23" w14:textId="77777777" w:rsidR="00361C03" w:rsidRPr="00F778AF" w:rsidRDefault="00361C03" w:rsidP="00361C03">
      <w:pPr>
        <w:pStyle w:val="Pagrindinistekstas"/>
        <w:spacing w:after="0"/>
        <w:rPr>
          <w:szCs w:val="22"/>
        </w:rPr>
      </w:pPr>
    </w:p>
    <w:p w14:paraId="10590919" w14:textId="77777777" w:rsidR="00361C03" w:rsidRPr="00F778AF" w:rsidRDefault="00361C03" w:rsidP="00361C03">
      <w:pPr>
        <w:pStyle w:val="Pagrindinistekstas"/>
        <w:spacing w:after="0"/>
        <w:rPr>
          <w:b/>
          <w:bCs/>
          <w:szCs w:val="22"/>
        </w:rPr>
      </w:pPr>
      <w:r w:rsidRPr="00F778AF">
        <w:rPr>
          <w:b/>
          <w:bCs/>
          <w:szCs w:val="22"/>
        </w:rPr>
        <w:t>Imdur išvaizda ir kiekis pakuotėje</w:t>
      </w:r>
    </w:p>
    <w:p w14:paraId="42BEAC18" w14:textId="77777777" w:rsidR="00361C03" w:rsidRPr="00F778AF" w:rsidRDefault="00361C03" w:rsidP="00361C03">
      <w:pPr>
        <w:pStyle w:val="BTEMEASMCA"/>
        <w:rPr>
          <w:noProof w:val="0"/>
        </w:rPr>
      </w:pPr>
      <w:r w:rsidRPr="00F778AF">
        <w:t xml:space="preserve">Imdur 60 mg pailginto atpalaidavimo tabletės yra geltonos, ovalios, abipus išgaubtos, su vagele, vienoje pusėje įrėžta A/ID. </w:t>
      </w:r>
      <w:r w:rsidRPr="00F778AF">
        <w:rPr>
          <w:noProof w:val="0"/>
        </w:rPr>
        <w:t>Vagelė skirta tik tabletei perlaužti, kad būtų lengviau nuryti, bet ne jai padalyti į lygias dozes.</w:t>
      </w:r>
    </w:p>
    <w:p w14:paraId="27DCEE69" w14:textId="77777777" w:rsidR="00361C03" w:rsidRPr="00F778AF" w:rsidRDefault="00361C03" w:rsidP="00361C03">
      <w:pPr>
        <w:pStyle w:val="Pagrindinistekstas"/>
        <w:spacing w:after="0"/>
        <w:rPr>
          <w:szCs w:val="22"/>
        </w:rPr>
      </w:pPr>
    </w:p>
    <w:p w14:paraId="61B2F5E1" w14:textId="77777777" w:rsidR="00361C03" w:rsidRPr="00F778AF" w:rsidRDefault="00361C03" w:rsidP="00361C03">
      <w:pPr>
        <w:pStyle w:val="Pagrindinistekstas"/>
        <w:spacing w:after="0"/>
        <w:rPr>
          <w:szCs w:val="22"/>
        </w:rPr>
      </w:pPr>
      <w:r w:rsidRPr="00F778AF">
        <w:rPr>
          <w:szCs w:val="22"/>
        </w:rPr>
        <w:t>Tiekiamos DTPE buteliuke, kuriame yra 30 pailginto atpalaidavimo tablečių, supakuotame į kartono dėžutę.</w:t>
      </w:r>
    </w:p>
    <w:p w14:paraId="298F9A5F" w14:textId="77777777" w:rsidR="00361C03" w:rsidRPr="00F778AF" w:rsidRDefault="00361C03" w:rsidP="00361C03">
      <w:pPr>
        <w:pStyle w:val="Pagrindinistekstas"/>
        <w:spacing w:after="0"/>
        <w:rPr>
          <w:szCs w:val="22"/>
        </w:rPr>
      </w:pPr>
    </w:p>
    <w:p w14:paraId="0521FBFE" w14:textId="77777777" w:rsidR="00361C03" w:rsidRDefault="00361C03" w:rsidP="00361C03">
      <w:pPr>
        <w:pStyle w:val="Pagrindinistekstas"/>
        <w:spacing w:after="0"/>
        <w:rPr>
          <w:b/>
          <w:bCs/>
          <w:szCs w:val="22"/>
        </w:rPr>
      </w:pPr>
      <w:r w:rsidRPr="00F778AF">
        <w:rPr>
          <w:b/>
          <w:bCs/>
          <w:szCs w:val="22"/>
        </w:rPr>
        <w:t xml:space="preserve">Registruotojas </w:t>
      </w:r>
    </w:p>
    <w:p w14:paraId="03CCEBB6" w14:textId="77777777" w:rsidR="00361C03" w:rsidRDefault="00361C03" w:rsidP="00361C03">
      <w:pPr>
        <w:pStyle w:val="Pagrindinistekstas"/>
        <w:spacing w:after="0"/>
        <w:rPr>
          <w:szCs w:val="22"/>
        </w:rPr>
      </w:pPr>
      <w:r w:rsidRPr="00515E15">
        <w:rPr>
          <w:szCs w:val="22"/>
        </w:rPr>
        <w:lastRenderedPageBreak/>
        <w:t xml:space="preserve">TopRidge Pharma (Ireland) Limited </w:t>
      </w:r>
    </w:p>
    <w:p w14:paraId="677B4D94" w14:textId="77777777" w:rsidR="00361C03" w:rsidRDefault="00361C03" w:rsidP="00361C03">
      <w:pPr>
        <w:pStyle w:val="Pagrindinistekstas"/>
        <w:spacing w:after="0"/>
        <w:rPr>
          <w:szCs w:val="22"/>
        </w:rPr>
      </w:pPr>
      <w:r w:rsidRPr="00515E15">
        <w:rPr>
          <w:szCs w:val="22"/>
        </w:rPr>
        <w:t>6-9 Trinity Street</w:t>
      </w:r>
      <w:r>
        <w:rPr>
          <w:szCs w:val="22"/>
        </w:rPr>
        <w:t xml:space="preserve">, </w:t>
      </w:r>
      <w:r w:rsidRPr="00515E15">
        <w:rPr>
          <w:szCs w:val="22"/>
        </w:rPr>
        <w:t xml:space="preserve">Dublinas 2 </w:t>
      </w:r>
    </w:p>
    <w:p w14:paraId="005C03E8" w14:textId="77777777" w:rsidR="00361C03" w:rsidRPr="00515E15" w:rsidRDefault="00361C03" w:rsidP="00361C03">
      <w:pPr>
        <w:pStyle w:val="Pagrindinistekstas"/>
        <w:spacing w:after="0"/>
        <w:rPr>
          <w:szCs w:val="22"/>
        </w:rPr>
      </w:pPr>
      <w:r w:rsidRPr="00515E15">
        <w:rPr>
          <w:szCs w:val="22"/>
        </w:rPr>
        <w:t>Airija</w:t>
      </w:r>
    </w:p>
    <w:p w14:paraId="650E864A" w14:textId="77777777" w:rsidR="00361C03" w:rsidRDefault="00361C03" w:rsidP="00361C03">
      <w:pPr>
        <w:pStyle w:val="Pagrindinistekstas"/>
        <w:spacing w:after="0"/>
        <w:rPr>
          <w:b/>
          <w:bCs/>
          <w:szCs w:val="22"/>
        </w:rPr>
      </w:pPr>
    </w:p>
    <w:p w14:paraId="7942A8C3" w14:textId="17500907" w:rsidR="00361C03" w:rsidRPr="00F778AF" w:rsidRDefault="00361C03" w:rsidP="00361C03">
      <w:pPr>
        <w:pStyle w:val="Pagrindinistekstas"/>
        <w:spacing w:after="0"/>
        <w:rPr>
          <w:b/>
          <w:bCs/>
          <w:szCs w:val="22"/>
        </w:rPr>
      </w:pPr>
      <w:r>
        <w:rPr>
          <w:b/>
          <w:bCs/>
          <w:szCs w:val="22"/>
        </w:rPr>
        <w:t>G</w:t>
      </w:r>
      <w:r w:rsidRPr="00F778AF">
        <w:rPr>
          <w:b/>
          <w:bCs/>
          <w:szCs w:val="22"/>
        </w:rPr>
        <w:t>amintoja</w:t>
      </w:r>
      <w:r w:rsidR="006B4733">
        <w:rPr>
          <w:b/>
          <w:bCs/>
          <w:szCs w:val="22"/>
        </w:rPr>
        <w:t>i</w:t>
      </w:r>
    </w:p>
    <w:p w14:paraId="0D512DF0" w14:textId="77777777" w:rsidR="00361C03" w:rsidRPr="00347490" w:rsidRDefault="00361C03" w:rsidP="00361C03">
      <w:pPr>
        <w:rPr>
          <w:b w:val="0"/>
          <w:bCs w:val="0"/>
          <w:sz w:val="22"/>
          <w:szCs w:val="22"/>
        </w:rPr>
      </w:pPr>
      <w:r w:rsidRPr="00347490">
        <w:rPr>
          <w:b w:val="0"/>
          <w:bCs w:val="0"/>
          <w:sz w:val="22"/>
          <w:szCs w:val="22"/>
        </w:rPr>
        <w:t>Laboratorios Alcalá Farma, S.L.</w:t>
      </w:r>
    </w:p>
    <w:p w14:paraId="7E5C15A4" w14:textId="77777777" w:rsidR="00361C03" w:rsidRPr="00347490" w:rsidRDefault="00361C03" w:rsidP="00361C03">
      <w:pPr>
        <w:rPr>
          <w:b w:val="0"/>
          <w:bCs w:val="0"/>
          <w:sz w:val="22"/>
          <w:szCs w:val="22"/>
        </w:rPr>
      </w:pPr>
      <w:r w:rsidRPr="00347490">
        <w:rPr>
          <w:b w:val="0"/>
          <w:bCs w:val="0"/>
          <w:sz w:val="22"/>
          <w:szCs w:val="22"/>
        </w:rPr>
        <w:t xml:space="preserve">Avenida de Madrid, 82, </w:t>
      </w:r>
    </w:p>
    <w:p w14:paraId="2DB74365" w14:textId="77777777" w:rsidR="00361C03" w:rsidRPr="00347490" w:rsidRDefault="00361C03" w:rsidP="00361C03">
      <w:pPr>
        <w:rPr>
          <w:b w:val="0"/>
          <w:bCs w:val="0"/>
          <w:sz w:val="22"/>
          <w:szCs w:val="22"/>
        </w:rPr>
      </w:pPr>
      <w:r w:rsidRPr="00347490">
        <w:rPr>
          <w:b w:val="0"/>
          <w:bCs w:val="0"/>
          <w:sz w:val="22"/>
          <w:szCs w:val="22"/>
        </w:rPr>
        <w:t>Alcalá de Henares, Madridas, 28802, Ispanija</w:t>
      </w:r>
    </w:p>
    <w:p w14:paraId="6AA13542" w14:textId="77777777" w:rsidR="00361C03" w:rsidRDefault="00361C03" w:rsidP="00361C03">
      <w:pPr>
        <w:pStyle w:val="Pagrindinistekstas"/>
        <w:spacing w:after="0"/>
        <w:rPr>
          <w:szCs w:val="22"/>
        </w:rPr>
      </w:pPr>
    </w:p>
    <w:p w14:paraId="682E3610" w14:textId="250A63B4" w:rsidR="006B4733" w:rsidRDefault="006B4733" w:rsidP="00361C03">
      <w:pPr>
        <w:pStyle w:val="Pagrindinistekstas"/>
        <w:spacing w:after="0"/>
        <w:rPr>
          <w:szCs w:val="22"/>
        </w:rPr>
      </w:pPr>
      <w:r>
        <w:rPr>
          <w:szCs w:val="22"/>
        </w:rPr>
        <w:t xml:space="preserve">arba </w:t>
      </w:r>
    </w:p>
    <w:p w14:paraId="6AD4282D" w14:textId="77777777" w:rsidR="006B4733" w:rsidRPr="00F778AF" w:rsidRDefault="006B4733" w:rsidP="00361C03">
      <w:pPr>
        <w:pStyle w:val="Pagrindinistekstas"/>
        <w:spacing w:after="0"/>
        <w:rPr>
          <w:szCs w:val="22"/>
        </w:rPr>
      </w:pPr>
    </w:p>
    <w:p w14:paraId="758236DF" w14:textId="77777777" w:rsidR="006B4733" w:rsidRPr="00F91490" w:rsidRDefault="006B4733" w:rsidP="006B4733">
      <w:pPr>
        <w:rPr>
          <w:bCs w:val="0"/>
          <w:sz w:val="22"/>
          <w:szCs w:val="22"/>
        </w:rPr>
      </w:pPr>
      <w:r w:rsidRPr="00F91490">
        <w:rPr>
          <w:b w:val="0"/>
          <w:bCs w:val="0"/>
          <w:sz w:val="22"/>
          <w:szCs w:val="22"/>
        </w:rPr>
        <w:t>ADOH B.V.</w:t>
      </w:r>
    </w:p>
    <w:p w14:paraId="1F8007DE" w14:textId="77777777" w:rsidR="006B4733" w:rsidRPr="00F91490" w:rsidRDefault="006B4733" w:rsidP="006B4733">
      <w:pPr>
        <w:rPr>
          <w:bCs w:val="0"/>
          <w:sz w:val="22"/>
          <w:szCs w:val="22"/>
        </w:rPr>
      </w:pPr>
      <w:r w:rsidRPr="00F91490">
        <w:rPr>
          <w:b w:val="0"/>
          <w:bCs w:val="0"/>
          <w:sz w:val="22"/>
          <w:szCs w:val="22"/>
        </w:rPr>
        <w:t>Godfried Bomansstraat 31,</w:t>
      </w:r>
    </w:p>
    <w:p w14:paraId="0DBA970F" w14:textId="77777777" w:rsidR="006B4733" w:rsidRPr="00F91490" w:rsidRDefault="006B4733" w:rsidP="006B4733">
      <w:pPr>
        <w:rPr>
          <w:bCs w:val="0"/>
          <w:sz w:val="22"/>
          <w:szCs w:val="22"/>
        </w:rPr>
      </w:pPr>
      <w:r w:rsidRPr="00F91490">
        <w:rPr>
          <w:b w:val="0"/>
          <w:bCs w:val="0"/>
          <w:sz w:val="22"/>
          <w:szCs w:val="22"/>
        </w:rPr>
        <w:t>6543JA Nijmegen,</w:t>
      </w:r>
    </w:p>
    <w:p w14:paraId="4A41D1E5" w14:textId="77777777" w:rsidR="006B4733" w:rsidRPr="00F91490" w:rsidRDefault="006B4733" w:rsidP="006B4733">
      <w:pPr>
        <w:rPr>
          <w:b w:val="0"/>
          <w:bCs w:val="0"/>
          <w:sz w:val="22"/>
          <w:szCs w:val="22"/>
        </w:rPr>
      </w:pPr>
      <w:r w:rsidRPr="00F91490">
        <w:rPr>
          <w:b w:val="0"/>
          <w:bCs w:val="0"/>
          <w:sz w:val="22"/>
          <w:szCs w:val="22"/>
        </w:rPr>
        <w:t>Olandija</w:t>
      </w:r>
    </w:p>
    <w:p w14:paraId="45850E53" w14:textId="77777777" w:rsidR="00361C03" w:rsidRPr="00F778AF" w:rsidRDefault="00361C03" w:rsidP="00361C03">
      <w:pPr>
        <w:pStyle w:val="Pagrindinistekstas"/>
        <w:spacing w:after="0"/>
        <w:rPr>
          <w:bCs/>
          <w:szCs w:val="22"/>
        </w:rPr>
      </w:pPr>
    </w:p>
    <w:p w14:paraId="1C836ED4" w14:textId="74771726" w:rsidR="00361C03" w:rsidRPr="00F778AF" w:rsidRDefault="00361C03" w:rsidP="00361C03">
      <w:pPr>
        <w:pStyle w:val="Pagrindinistekstas"/>
        <w:spacing w:after="0"/>
        <w:rPr>
          <w:b/>
          <w:szCs w:val="22"/>
        </w:rPr>
      </w:pPr>
      <w:r w:rsidRPr="00F778AF">
        <w:rPr>
          <w:b/>
          <w:szCs w:val="22"/>
        </w:rPr>
        <w:t xml:space="preserve">Šis pakuotės lapelis paskutinį kartą peržiūrėtas </w:t>
      </w:r>
      <w:r w:rsidR="00AD08F8">
        <w:rPr>
          <w:b/>
          <w:szCs w:val="22"/>
        </w:rPr>
        <w:t>2025-01-14.</w:t>
      </w:r>
    </w:p>
    <w:p w14:paraId="15D157A8" w14:textId="77777777" w:rsidR="00361C03" w:rsidRPr="00F778AF" w:rsidRDefault="00361C03" w:rsidP="00361C03">
      <w:pPr>
        <w:numPr>
          <w:ilvl w:val="12"/>
          <w:numId w:val="0"/>
        </w:numPr>
        <w:tabs>
          <w:tab w:val="left" w:pos="567"/>
        </w:tabs>
        <w:ind w:right="-2"/>
        <w:rPr>
          <w:b w:val="0"/>
          <w:bCs w:val="0"/>
          <w:i/>
          <w:snapToGrid w:val="0"/>
          <w:sz w:val="22"/>
          <w:szCs w:val="22"/>
        </w:rPr>
      </w:pPr>
    </w:p>
    <w:p w14:paraId="1B1C93C9" w14:textId="17C00332" w:rsidR="00361C03" w:rsidRPr="00F778AF" w:rsidRDefault="00361C03" w:rsidP="00361C03">
      <w:pPr>
        <w:numPr>
          <w:ilvl w:val="12"/>
          <w:numId w:val="0"/>
        </w:numPr>
        <w:tabs>
          <w:tab w:val="left" w:pos="567"/>
        </w:tabs>
        <w:ind w:right="-2"/>
        <w:rPr>
          <w:b w:val="0"/>
          <w:bCs w:val="0"/>
          <w:snapToGrid w:val="0"/>
          <w:sz w:val="22"/>
          <w:szCs w:val="22"/>
        </w:rPr>
      </w:pPr>
      <w:r w:rsidRPr="00F778AF">
        <w:rPr>
          <w:b w:val="0"/>
          <w:bCs w:val="0"/>
          <w:snapToGrid w:val="0"/>
          <w:sz w:val="22"/>
          <w:szCs w:val="22"/>
        </w:rPr>
        <w:t>Išsami informacija apie šį vaistą pateikiama Valstybinės vaistų kontrolės tarnybos prie Lietuvos Respublikos sveikatos apsaugos ministerijos tinklalapyje</w:t>
      </w:r>
      <w:r w:rsidRPr="00F778AF">
        <w:rPr>
          <w:b w:val="0"/>
          <w:bCs w:val="0"/>
          <w:i/>
          <w:snapToGrid w:val="0"/>
          <w:sz w:val="22"/>
          <w:szCs w:val="22"/>
        </w:rPr>
        <w:t xml:space="preserve"> </w:t>
      </w:r>
      <w:hyperlink r:id="rId8" w:history="1">
        <w:r w:rsidR="00DE695A" w:rsidRPr="0038376F">
          <w:rPr>
            <w:rStyle w:val="Hipersaitas"/>
            <w:rFonts w:eastAsia="SimSun"/>
            <w:b w:val="0"/>
            <w:bCs w:val="0"/>
            <w:snapToGrid w:val="0"/>
            <w:sz w:val="22"/>
            <w:szCs w:val="22"/>
          </w:rPr>
          <w:t>https://vvkt.lrv.lt/</w:t>
        </w:r>
      </w:hyperlink>
      <w:r w:rsidR="00DE695A">
        <w:rPr>
          <w:rFonts w:eastAsia="SimSun"/>
          <w:b w:val="0"/>
          <w:bCs w:val="0"/>
          <w:snapToGrid w:val="0"/>
          <w:color w:val="0000FF"/>
          <w:sz w:val="22"/>
          <w:szCs w:val="22"/>
          <w:u w:val="single"/>
        </w:rPr>
        <w:t>lt/</w:t>
      </w:r>
      <w:r w:rsidRPr="00F778AF">
        <w:rPr>
          <w:b w:val="0"/>
          <w:bCs w:val="0"/>
          <w:snapToGrid w:val="0"/>
          <w:sz w:val="22"/>
          <w:szCs w:val="22"/>
        </w:rPr>
        <w:t>.</w:t>
      </w:r>
    </w:p>
    <w:p w14:paraId="325E51FF" w14:textId="77777777" w:rsidR="00361C03" w:rsidRPr="00F778AF" w:rsidRDefault="00361C03" w:rsidP="00361C03">
      <w:pPr>
        <w:pStyle w:val="Pavadinimas"/>
        <w:jc w:val="left"/>
        <w:rPr>
          <w:b w:val="0"/>
          <w:bCs/>
          <w:szCs w:val="22"/>
        </w:rPr>
      </w:pPr>
      <w:bookmarkStart w:id="4" w:name="_GoBack"/>
      <w:bookmarkEnd w:id="4"/>
    </w:p>
    <w:p w14:paraId="677C8484" w14:textId="77777777" w:rsidR="00361C03" w:rsidRPr="00F778AF" w:rsidRDefault="00361C03" w:rsidP="00361C03">
      <w:pPr>
        <w:pStyle w:val="Pagrindinistekstas"/>
        <w:spacing w:after="0"/>
        <w:jc w:val="center"/>
        <w:rPr>
          <w:szCs w:val="22"/>
        </w:rPr>
      </w:pPr>
    </w:p>
    <w:p w14:paraId="2EF4B6D6" w14:textId="77777777" w:rsidR="0018708C" w:rsidRPr="00F778AF" w:rsidRDefault="0018708C" w:rsidP="0018708C">
      <w:pPr>
        <w:pStyle w:val="Pagrindinistekstas"/>
        <w:spacing w:after="0"/>
        <w:jc w:val="center"/>
        <w:rPr>
          <w:szCs w:val="22"/>
        </w:rPr>
      </w:pPr>
    </w:p>
    <w:p w14:paraId="7D170562" w14:textId="77777777" w:rsidR="0018708C" w:rsidRPr="00F778AF" w:rsidRDefault="0018708C" w:rsidP="0018708C">
      <w:pPr>
        <w:rPr>
          <w:sz w:val="22"/>
          <w:szCs w:val="22"/>
        </w:rPr>
      </w:pPr>
    </w:p>
    <w:p w14:paraId="7736720A" w14:textId="77777777" w:rsidR="0018708C" w:rsidRPr="00F778AF" w:rsidRDefault="0018708C" w:rsidP="0018708C">
      <w:pPr>
        <w:rPr>
          <w:sz w:val="22"/>
          <w:szCs w:val="22"/>
        </w:rPr>
      </w:pPr>
    </w:p>
    <w:p w14:paraId="7EC1EA22" w14:textId="77777777" w:rsidR="0018708C" w:rsidRDefault="0018708C" w:rsidP="0018708C"/>
    <w:p w14:paraId="704007F8" w14:textId="77777777" w:rsidR="006E274F" w:rsidRDefault="006E274F"/>
    <w:sectPr w:rsidR="006E274F" w:rsidSect="001D0484">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54989" w14:textId="77777777" w:rsidR="00AE34F4" w:rsidRDefault="00AE34F4">
      <w:r>
        <w:separator/>
      </w:r>
    </w:p>
  </w:endnote>
  <w:endnote w:type="continuationSeparator" w:id="0">
    <w:p w14:paraId="5309481A" w14:textId="77777777" w:rsidR="00AE34F4" w:rsidRDefault="00AE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D71D4" w14:textId="77777777" w:rsidR="00A2612D" w:rsidRDefault="007711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5834B2AC" w14:textId="77777777" w:rsidR="00A2612D" w:rsidRDefault="00A261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CEE0" w14:textId="0D1F50C6" w:rsidR="00A2612D" w:rsidRDefault="007711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3FAE">
      <w:rPr>
        <w:rStyle w:val="Puslapionumeris"/>
        <w:noProof/>
      </w:rPr>
      <w:t>18</w:t>
    </w:r>
    <w:r>
      <w:rPr>
        <w:rStyle w:val="Puslapionumeris"/>
      </w:rPr>
      <w:fldChar w:fldCharType="end"/>
    </w:r>
  </w:p>
  <w:p w14:paraId="4B193154" w14:textId="77777777" w:rsidR="00A2612D" w:rsidRDefault="00A261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A3C60" w14:textId="77777777" w:rsidR="00AE34F4" w:rsidRDefault="00AE34F4">
      <w:r>
        <w:separator/>
      </w:r>
    </w:p>
  </w:footnote>
  <w:footnote w:type="continuationSeparator" w:id="0">
    <w:p w14:paraId="00665E15" w14:textId="77777777" w:rsidR="00AE34F4" w:rsidRDefault="00AE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5450C"/>
    <w:multiLevelType w:val="singleLevel"/>
    <w:tmpl w:val="B14AEF66"/>
    <w:lvl w:ilvl="0">
      <w:start w:val="1"/>
      <w:numFmt w:val="bullet"/>
      <w:lvlText w:val="-"/>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F9"/>
    <w:rsid w:val="0018708C"/>
    <w:rsid w:val="002B073F"/>
    <w:rsid w:val="00361C03"/>
    <w:rsid w:val="003B5450"/>
    <w:rsid w:val="003D3FAE"/>
    <w:rsid w:val="004763FB"/>
    <w:rsid w:val="005142F3"/>
    <w:rsid w:val="005F2C94"/>
    <w:rsid w:val="006B4733"/>
    <w:rsid w:val="006E274F"/>
    <w:rsid w:val="007332C4"/>
    <w:rsid w:val="00771132"/>
    <w:rsid w:val="00771CA3"/>
    <w:rsid w:val="008446F7"/>
    <w:rsid w:val="00A2612D"/>
    <w:rsid w:val="00AA48D8"/>
    <w:rsid w:val="00AD08F8"/>
    <w:rsid w:val="00AE34F4"/>
    <w:rsid w:val="00B25ED9"/>
    <w:rsid w:val="00DE695A"/>
    <w:rsid w:val="00EF6FFE"/>
    <w:rsid w:val="00F87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5360"/>
  <w15:chartTrackingRefBased/>
  <w15:docId w15:val="{316D9EDE-7569-4120-B806-DA8ECDF0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708C"/>
    <w:pPr>
      <w:spacing w:after="0" w:line="240" w:lineRule="auto"/>
    </w:pPr>
    <w:rPr>
      <w:rFonts w:ascii="Times New Roman" w:eastAsia="Times New Roman" w:hAnsi="Times New Roman" w:cs="Times New Roman"/>
      <w:b/>
      <w:bCs/>
      <w:sz w:val="32"/>
      <w:szCs w:val="20"/>
    </w:rPr>
  </w:style>
  <w:style w:type="paragraph" w:styleId="Antrat1">
    <w:name w:val="heading 1"/>
    <w:basedOn w:val="prastasis"/>
    <w:next w:val="prastasis"/>
    <w:link w:val="Antrat1Diagrama"/>
    <w:uiPriority w:val="9"/>
    <w:qFormat/>
    <w:rsid w:val="0018708C"/>
    <w:pPr>
      <w:keepNext/>
      <w:keepLines/>
      <w:spacing w:before="240"/>
      <w:outlineLvl w:val="0"/>
    </w:pPr>
    <w:rPr>
      <w:rFonts w:asciiTheme="majorHAnsi" w:eastAsiaTheme="majorEastAsia" w:hAnsiTheme="majorHAnsi" w:cstheme="majorBidi"/>
      <w:color w:val="2E74B5" w:themeColor="accent1" w:themeShade="BF"/>
      <w:szCs w:val="32"/>
    </w:rPr>
  </w:style>
  <w:style w:type="paragraph" w:styleId="Antrat2">
    <w:name w:val="heading 2"/>
    <w:basedOn w:val="prastasis"/>
    <w:next w:val="prastasis"/>
    <w:link w:val="Antrat2Diagrama"/>
    <w:autoRedefine/>
    <w:qFormat/>
    <w:rsid w:val="0018708C"/>
    <w:pPr>
      <w:keepNext/>
      <w:ind w:left="567" w:hanging="567"/>
      <w:outlineLvl w:val="1"/>
    </w:pPr>
    <w:rPr>
      <w:sz w:val="22"/>
    </w:rPr>
  </w:style>
  <w:style w:type="paragraph" w:styleId="Antrat3">
    <w:name w:val="heading 3"/>
    <w:basedOn w:val="prastasis"/>
    <w:next w:val="prastasis"/>
    <w:link w:val="Antrat3Diagrama"/>
    <w:autoRedefine/>
    <w:qFormat/>
    <w:rsid w:val="0018708C"/>
    <w:pPr>
      <w:keepNext/>
      <w:ind w:left="567" w:hanging="567"/>
      <w:outlineLvl w:val="2"/>
    </w:pPr>
    <w:rPr>
      <w:bCs w:val="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8708C"/>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rsid w:val="0018708C"/>
    <w:rPr>
      <w:rFonts w:ascii="Times New Roman" w:eastAsia="Times New Roman" w:hAnsi="Times New Roman" w:cs="Times New Roman"/>
      <w:b/>
      <w:szCs w:val="20"/>
    </w:rPr>
  </w:style>
  <w:style w:type="paragraph" w:styleId="Pagrindinistekstas">
    <w:name w:val="Body Text"/>
    <w:basedOn w:val="prastasis"/>
    <w:link w:val="PagrindinistekstasDiagrama"/>
    <w:semiHidden/>
    <w:rsid w:val="0018708C"/>
    <w:pPr>
      <w:spacing w:after="120"/>
    </w:pPr>
    <w:rPr>
      <w:b w:val="0"/>
      <w:bCs w:val="0"/>
      <w:sz w:val="22"/>
    </w:rPr>
  </w:style>
  <w:style w:type="character" w:customStyle="1" w:styleId="PagrindinistekstasDiagrama">
    <w:name w:val="Pagrindinis tekstas Diagrama"/>
    <w:basedOn w:val="Numatytasispastraiposriftas"/>
    <w:link w:val="Pagrindinistekstas"/>
    <w:semiHidden/>
    <w:rsid w:val="0018708C"/>
    <w:rPr>
      <w:rFonts w:ascii="Times New Roman" w:eastAsia="Times New Roman" w:hAnsi="Times New Roman" w:cs="Times New Roman"/>
      <w:szCs w:val="20"/>
    </w:rPr>
  </w:style>
  <w:style w:type="paragraph" w:styleId="Pavadinimas">
    <w:name w:val="Title"/>
    <w:basedOn w:val="prastasis"/>
    <w:link w:val="PavadinimasDiagrama"/>
    <w:autoRedefine/>
    <w:qFormat/>
    <w:rsid w:val="0018708C"/>
    <w:pPr>
      <w:jc w:val="center"/>
      <w:outlineLvl w:val="0"/>
    </w:pPr>
    <w:rPr>
      <w:bCs w:val="0"/>
      <w:kern w:val="28"/>
      <w:sz w:val="22"/>
    </w:rPr>
  </w:style>
  <w:style w:type="character" w:customStyle="1" w:styleId="PavadinimasDiagrama">
    <w:name w:val="Pavadinimas Diagrama"/>
    <w:basedOn w:val="Numatytasispastraiposriftas"/>
    <w:link w:val="Pavadinimas"/>
    <w:rsid w:val="0018708C"/>
    <w:rPr>
      <w:rFonts w:ascii="Times New Roman" w:eastAsia="Times New Roman" w:hAnsi="Times New Roman" w:cs="Times New Roman"/>
      <w:b/>
      <w:kern w:val="28"/>
      <w:szCs w:val="20"/>
    </w:rPr>
  </w:style>
  <w:style w:type="paragraph" w:customStyle="1" w:styleId="BTEMEASMCA">
    <w:name w:val="BT EMEA_SMCA"/>
    <w:basedOn w:val="prastasis"/>
    <w:link w:val="BTEMEASMCAChar"/>
    <w:autoRedefine/>
    <w:rsid w:val="0018708C"/>
    <w:rPr>
      <w:b w:val="0"/>
      <w:bCs w:val="0"/>
      <w:noProof/>
      <w:sz w:val="22"/>
      <w:szCs w:val="22"/>
    </w:rPr>
  </w:style>
  <w:style w:type="paragraph" w:customStyle="1" w:styleId="TTEMEASMCA">
    <w:name w:val="TT EMEA_SMCA"/>
    <w:basedOn w:val="Antrat1"/>
    <w:autoRedefine/>
    <w:rsid w:val="0018708C"/>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prastasis"/>
    <w:autoRedefine/>
    <w:rsid w:val="0018708C"/>
    <w:pPr>
      <w:tabs>
        <w:tab w:val="left" w:pos="1701"/>
      </w:tabs>
      <w:ind w:left="1701" w:hanging="567"/>
    </w:pPr>
    <w:rPr>
      <w:rFonts w:cs="Tahoma"/>
      <w:bCs w:val="0"/>
      <w:sz w:val="22"/>
      <w:szCs w:val="22"/>
      <w:lang w:val="en-GB"/>
    </w:rPr>
  </w:style>
  <w:style w:type="paragraph" w:customStyle="1" w:styleId="PI-1EMEASMCA">
    <w:name w:val="PI-1 EMEA_SMCA"/>
    <w:basedOn w:val="Antrat2"/>
    <w:autoRedefine/>
    <w:rsid w:val="0018708C"/>
    <w:pPr>
      <w:tabs>
        <w:tab w:val="left" w:pos="567"/>
      </w:tabs>
    </w:pPr>
    <w:rPr>
      <w:szCs w:val="22"/>
    </w:rPr>
  </w:style>
  <w:style w:type="paragraph" w:customStyle="1" w:styleId="BTuEMEASMCA">
    <w:name w:val="BT(u) EMEA_SMCA"/>
    <w:basedOn w:val="BTEMEASMCA"/>
    <w:autoRedefine/>
    <w:rsid w:val="0018708C"/>
    <w:rPr>
      <w:u w:val="single"/>
    </w:rPr>
  </w:style>
  <w:style w:type="character" w:styleId="Puslapionumeris">
    <w:name w:val="page number"/>
    <w:semiHidden/>
    <w:rsid w:val="0018708C"/>
    <w:rPr>
      <w:rFonts w:cs="Times New Roman"/>
    </w:rPr>
  </w:style>
  <w:style w:type="paragraph" w:styleId="Porat">
    <w:name w:val="footer"/>
    <w:basedOn w:val="prastasis"/>
    <w:link w:val="PoratDiagrama"/>
    <w:semiHidden/>
    <w:rsid w:val="0018708C"/>
    <w:pPr>
      <w:tabs>
        <w:tab w:val="center" w:pos="4153"/>
        <w:tab w:val="right" w:pos="8306"/>
      </w:tabs>
    </w:pPr>
    <w:rPr>
      <w:b w:val="0"/>
      <w:bCs w:val="0"/>
      <w:sz w:val="22"/>
    </w:rPr>
  </w:style>
  <w:style w:type="character" w:customStyle="1" w:styleId="PoratDiagrama">
    <w:name w:val="Poraštė Diagrama"/>
    <w:basedOn w:val="Numatytasispastraiposriftas"/>
    <w:link w:val="Porat"/>
    <w:semiHidden/>
    <w:rsid w:val="0018708C"/>
    <w:rPr>
      <w:rFonts w:ascii="Times New Roman" w:eastAsia="Times New Roman" w:hAnsi="Times New Roman" w:cs="Times New Roman"/>
      <w:szCs w:val="20"/>
    </w:rPr>
  </w:style>
  <w:style w:type="character" w:customStyle="1" w:styleId="BTEMEASMCAChar">
    <w:name w:val="BT EMEA_SMCA Char"/>
    <w:link w:val="BTEMEASMCA"/>
    <w:locked/>
    <w:rsid w:val="0018708C"/>
    <w:rPr>
      <w:rFonts w:ascii="Times New Roman" w:eastAsia="Times New Roman" w:hAnsi="Times New Roman" w:cs="Times New Roman"/>
      <w:noProof/>
    </w:rPr>
  </w:style>
  <w:style w:type="character" w:styleId="Hipersaitas">
    <w:name w:val="Hyperlink"/>
    <w:rsid w:val="0018708C"/>
    <w:rPr>
      <w:rFonts w:cs="Times New Roman"/>
      <w:color w:val="0000FF"/>
      <w:u w:val="single"/>
    </w:rPr>
  </w:style>
  <w:style w:type="character" w:customStyle="1" w:styleId="longtext1">
    <w:name w:val="long_text1"/>
    <w:rsid w:val="0018708C"/>
    <w:rPr>
      <w:sz w:val="20"/>
    </w:rPr>
  </w:style>
  <w:style w:type="paragraph" w:customStyle="1" w:styleId="PI-1labEMEASMCA">
    <w:name w:val="PI-1_lab EMEA_SMCA"/>
    <w:basedOn w:val="prastasis"/>
    <w:link w:val="PI-1labEMEASMCAChar"/>
    <w:autoRedefine/>
    <w:rsid w:val="0018708C"/>
    <w:pPr>
      <w:pBdr>
        <w:top w:val="single" w:sz="4" w:space="1" w:color="auto"/>
        <w:left w:val="single" w:sz="4" w:space="4" w:color="auto"/>
        <w:bottom w:val="single" w:sz="4" w:space="1" w:color="auto"/>
        <w:right w:val="single" w:sz="4" w:space="4" w:color="auto"/>
      </w:pBdr>
      <w:tabs>
        <w:tab w:val="left" w:pos="540"/>
      </w:tabs>
    </w:pPr>
    <w:rPr>
      <w:bCs w:val="0"/>
      <w:noProof/>
      <w:sz w:val="22"/>
      <w:szCs w:val="22"/>
    </w:rPr>
  </w:style>
  <w:style w:type="character" w:customStyle="1" w:styleId="PI-1labEMEASMCAChar">
    <w:name w:val="PI-1_lab EMEA_SMCA Char"/>
    <w:link w:val="PI-1labEMEASMCA"/>
    <w:locked/>
    <w:rsid w:val="0018708C"/>
    <w:rPr>
      <w:rFonts w:ascii="Times New Roman" w:eastAsia="Times New Roman" w:hAnsi="Times New Roman" w:cs="Times New Roman"/>
      <w:b/>
      <w:noProof/>
    </w:rPr>
  </w:style>
  <w:style w:type="character" w:customStyle="1" w:styleId="Antrat1Diagrama">
    <w:name w:val="Antraštė 1 Diagrama"/>
    <w:basedOn w:val="Numatytasispastraiposriftas"/>
    <w:link w:val="Antrat1"/>
    <w:uiPriority w:val="9"/>
    <w:rsid w:val="0018708C"/>
    <w:rPr>
      <w:rFonts w:asciiTheme="majorHAnsi" w:eastAsiaTheme="majorEastAsia" w:hAnsiTheme="majorHAnsi" w:cstheme="majorBidi"/>
      <w:b/>
      <w:bCs/>
      <w:color w:val="2E74B5" w:themeColor="accent1" w:themeShade="BF"/>
      <w:sz w:val="32"/>
      <w:szCs w:val="32"/>
    </w:rPr>
  </w:style>
  <w:style w:type="paragraph" w:styleId="Pataisymai">
    <w:name w:val="Revision"/>
    <w:hidden/>
    <w:uiPriority w:val="99"/>
    <w:semiHidden/>
    <w:rsid w:val="006B4733"/>
    <w:pPr>
      <w:spacing w:after="0" w:line="240" w:lineRule="auto"/>
    </w:pPr>
    <w:rPr>
      <w:rFonts w:ascii="Times New Roman" w:eastAsia="Times New Roman" w:hAnsi="Times New Roman" w:cs="Times New Roman"/>
      <w:b/>
      <w:bCs/>
      <w:sz w:val="32"/>
      <w:szCs w:val="20"/>
    </w:rPr>
  </w:style>
  <w:style w:type="character" w:customStyle="1" w:styleId="UnresolvedMention">
    <w:name w:val="Unresolved Mention"/>
    <w:basedOn w:val="Numatytasispastraiposriftas"/>
    <w:uiPriority w:val="99"/>
    <w:semiHidden/>
    <w:unhideWhenUsed/>
    <w:rsid w:val="006B4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14175</Words>
  <Characters>8081</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2025-01-23T08:43:00Z</dcterms:created>
  <dcterms:modified xsi:type="dcterms:W3CDTF">2025-01-23T08:43:00Z</dcterms:modified>
</cp:coreProperties>
</file>