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1D6" w:rsidRPr="00F778AF" w:rsidRDefault="00AC11D6" w:rsidP="00AC11D6">
      <w:pPr>
        <w:jc w:val="center"/>
        <w:rPr>
          <w:iCs/>
          <w:caps/>
          <w:sz w:val="22"/>
          <w:szCs w:val="22"/>
        </w:rPr>
      </w:pPr>
      <w:r w:rsidRPr="00F778AF">
        <w:rPr>
          <w:bCs w:val="0"/>
          <w:snapToGrid w:val="0"/>
          <w:sz w:val="22"/>
          <w:szCs w:val="22"/>
        </w:rPr>
        <w:t>Pakuotės lapelis:</w:t>
      </w:r>
      <w:r w:rsidRPr="00F778AF">
        <w:rPr>
          <w:iCs/>
          <w:snapToGrid w:val="0"/>
          <w:sz w:val="22"/>
          <w:szCs w:val="22"/>
        </w:rPr>
        <w:t xml:space="preserve"> </w:t>
      </w:r>
      <w:r w:rsidRPr="00F778AF">
        <w:rPr>
          <w:bCs w:val="0"/>
          <w:snapToGrid w:val="0"/>
          <w:sz w:val="22"/>
          <w:szCs w:val="22"/>
        </w:rPr>
        <w:t>informacija vartotojui</w:t>
      </w:r>
    </w:p>
    <w:p w:rsidR="00AC11D6" w:rsidRPr="00F778AF" w:rsidRDefault="00AC11D6" w:rsidP="00AC11D6">
      <w:pPr>
        <w:jc w:val="center"/>
        <w:rPr>
          <w:b w:val="0"/>
          <w:bCs w:val="0"/>
          <w:iCs/>
          <w:caps/>
          <w:sz w:val="22"/>
          <w:szCs w:val="22"/>
        </w:rPr>
      </w:pPr>
    </w:p>
    <w:p w:rsidR="00AC11D6" w:rsidRPr="00F778AF" w:rsidRDefault="00AC11D6" w:rsidP="00AC11D6">
      <w:pPr>
        <w:pStyle w:val="Pagrindinistekstas"/>
        <w:spacing w:after="0"/>
        <w:jc w:val="center"/>
        <w:rPr>
          <w:b/>
          <w:szCs w:val="22"/>
        </w:rPr>
      </w:pPr>
      <w:proofErr w:type="spellStart"/>
      <w:r w:rsidRPr="00F778AF">
        <w:rPr>
          <w:b/>
          <w:szCs w:val="22"/>
        </w:rPr>
        <w:t>Imdur</w:t>
      </w:r>
      <w:proofErr w:type="spellEnd"/>
      <w:r w:rsidRPr="00F778AF">
        <w:rPr>
          <w:b/>
          <w:szCs w:val="22"/>
        </w:rPr>
        <w:t xml:space="preserve"> 60 mg pailginto atpalaidavimo tabletės</w:t>
      </w:r>
    </w:p>
    <w:p w:rsidR="00AC11D6" w:rsidRPr="00F778AF" w:rsidRDefault="00AC11D6" w:rsidP="00AC11D6">
      <w:pPr>
        <w:pStyle w:val="Pagrindinistekstas"/>
        <w:spacing w:after="0"/>
        <w:jc w:val="center"/>
        <w:rPr>
          <w:szCs w:val="22"/>
        </w:rPr>
      </w:pPr>
      <w:proofErr w:type="spellStart"/>
      <w:r>
        <w:rPr>
          <w:szCs w:val="22"/>
        </w:rPr>
        <w:t>i</w:t>
      </w:r>
      <w:r w:rsidRPr="00F778AF">
        <w:rPr>
          <w:szCs w:val="22"/>
        </w:rPr>
        <w:t>zosorbido</w:t>
      </w:r>
      <w:proofErr w:type="spellEnd"/>
      <w:r w:rsidRPr="00F778AF">
        <w:rPr>
          <w:szCs w:val="22"/>
        </w:rPr>
        <w:t xml:space="preserve"> </w:t>
      </w:r>
      <w:proofErr w:type="spellStart"/>
      <w:r w:rsidRPr="00F778AF">
        <w:rPr>
          <w:szCs w:val="22"/>
        </w:rPr>
        <w:t>mononitratas</w:t>
      </w:r>
      <w:proofErr w:type="spellEnd"/>
    </w:p>
    <w:p w:rsidR="00AC11D6" w:rsidRPr="00F778AF" w:rsidRDefault="00AC11D6" w:rsidP="00AC11D6">
      <w:pPr>
        <w:pStyle w:val="Pagrindinistekstas"/>
        <w:spacing w:after="0"/>
        <w:rPr>
          <w:szCs w:val="22"/>
        </w:rPr>
      </w:pPr>
    </w:p>
    <w:p w:rsidR="00AC11D6" w:rsidRPr="00F778AF" w:rsidRDefault="00AC11D6" w:rsidP="00AC11D6">
      <w:pPr>
        <w:ind w:left="567" w:hanging="283"/>
        <w:rPr>
          <w:b w:val="0"/>
          <w:bCs w:val="0"/>
          <w:sz w:val="22"/>
          <w:szCs w:val="22"/>
        </w:rPr>
      </w:pPr>
      <w:r w:rsidRPr="00F778AF">
        <w:rPr>
          <w:bCs w:val="0"/>
          <w:noProof/>
          <w:snapToGrid w:val="0"/>
          <w:sz w:val="22"/>
          <w:szCs w:val="22"/>
        </w:rPr>
        <w:t xml:space="preserve"> Atidžiai perskaitykite visą šį lapelį, prieš pradėdami vartoti vaistą, nes jame pateikiama Jums svarbi informacija.</w:t>
      </w:r>
      <w:r w:rsidRPr="00F778AF">
        <w:rPr>
          <w:b w:val="0"/>
          <w:bCs w:val="0"/>
          <w:sz w:val="22"/>
          <w:szCs w:val="22"/>
        </w:rPr>
        <w:t>-</w:t>
      </w:r>
      <w:r w:rsidRPr="00F778AF">
        <w:rPr>
          <w:b w:val="0"/>
          <w:bCs w:val="0"/>
          <w:sz w:val="22"/>
          <w:szCs w:val="22"/>
        </w:rPr>
        <w:tab/>
        <w:t>Neišmeskite šio lapelio, nes vėl gali prireikti jį perskaityti.</w:t>
      </w:r>
    </w:p>
    <w:p w:rsidR="00AC11D6" w:rsidRPr="00F778AF" w:rsidRDefault="00AC11D6" w:rsidP="00AC11D6">
      <w:pPr>
        <w:ind w:left="567" w:hanging="283"/>
        <w:rPr>
          <w:b w:val="0"/>
          <w:bCs w:val="0"/>
          <w:sz w:val="22"/>
          <w:szCs w:val="22"/>
        </w:rPr>
      </w:pPr>
      <w:r w:rsidRPr="00F778AF">
        <w:rPr>
          <w:b w:val="0"/>
          <w:bCs w:val="0"/>
          <w:sz w:val="22"/>
          <w:szCs w:val="22"/>
        </w:rPr>
        <w:t>-</w:t>
      </w:r>
      <w:r w:rsidRPr="00F778AF">
        <w:rPr>
          <w:b w:val="0"/>
          <w:bCs w:val="0"/>
          <w:sz w:val="22"/>
          <w:szCs w:val="22"/>
        </w:rPr>
        <w:tab/>
        <w:t>Jeigu kiltų daugiau klausimų, kreipkitės į gydytoją arba vaistininką.</w:t>
      </w:r>
    </w:p>
    <w:p w:rsidR="00AC11D6" w:rsidRPr="00F778AF" w:rsidRDefault="00AC11D6" w:rsidP="00AC11D6">
      <w:pPr>
        <w:ind w:left="567" w:hanging="283"/>
        <w:rPr>
          <w:b w:val="0"/>
          <w:bCs w:val="0"/>
          <w:sz w:val="22"/>
          <w:szCs w:val="22"/>
        </w:rPr>
      </w:pPr>
      <w:r w:rsidRPr="00F778AF">
        <w:rPr>
          <w:b w:val="0"/>
          <w:bCs w:val="0"/>
          <w:sz w:val="22"/>
          <w:szCs w:val="22"/>
        </w:rPr>
        <w:t>-</w:t>
      </w:r>
      <w:r w:rsidRPr="00F778AF">
        <w:rPr>
          <w:b w:val="0"/>
          <w:bCs w:val="0"/>
          <w:sz w:val="22"/>
          <w:szCs w:val="22"/>
        </w:rPr>
        <w:tab/>
        <w:t>Šis vaistas skirtas tik Jums, todėl kitiems žmonėms jo duoti negalima. Vaistas gali jiems pakenkti (net tiems, kurių ligos simptomai yra tokie patys kaip Jūsų).</w:t>
      </w:r>
    </w:p>
    <w:p w:rsidR="00AC11D6" w:rsidRPr="00F778AF" w:rsidRDefault="00AC11D6" w:rsidP="00AC11D6">
      <w:pPr>
        <w:ind w:left="567" w:hanging="283"/>
        <w:rPr>
          <w:b w:val="0"/>
          <w:bCs w:val="0"/>
          <w:sz w:val="22"/>
          <w:szCs w:val="22"/>
        </w:rPr>
      </w:pPr>
      <w:r w:rsidRPr="00F778AF">
        <w:rPr>
          <w:b w:val="0"/>
          <w:bCs w:val="0"/>
          <w:sz w:val="22"/>
          <w:szCs w:val="22"/>
        </w:rPr>
        <w:t>-</w:t>
      </w:r>
      <w:r w:rsidRPr="00F778AF">
        <w:rPr>
          <w:b w:val="0"/>
          <w:bCs w:val="0"/>
          <w:sz w:val="22"/>
          <w:szCs w:val="22"/>
        </w:rPr>
        <w:tab/>
        <w:t xml:space="preserve">Jeigu pasireiškė šalutinis  poveikis </w:t>
      </w:r>
      <w:r w:rsidRPr="00F778AF">
        <w:rPr>
          <w:b w:val="0"/>
          <w:bCs w:val="0"/>
          <w:noProof/>
          <w:snapToGrid w:val="0"/>
          <w:sz w:val="22"/>
          <w:szCs w:val="22"/>
        </w:rPr>
        <w:t>(net jeigu jis šiame lapelyje nenurodytas), kreipkitės į gydytoją arba vaistininką. Žr. 4 skyrių.</w:t>
      </w:r>
    </w:p>
    <w:p w:rsidR="00AC11D6" w:rsidRPr="00F778AF" w:rsidRDefault="00AC11D6" w:rsidP="00AC11D6">
      <w:pPr>
        <w:pStyle w:val="Pagrindinistekstas"/>
        <w:spacing w:after="0"/>
        <w:rPr>
          <w:szCs w:val="22"/>
        </w:rPr>
      </w:pPr>
    </w:p>
    <w:p w:rsidR="00AC11D6" w:rsidRPr="00F778AF" w:rsidRDefault="00AC11D6" w:rsidP="00AC11D6">
      <w:pPr>
        <w:pStyle w:val="Pagrindinistekstas"/>
        <w:spacing w:after="0"/>
        <w:rPr>
          <w:szCs w:val="22"/>
        </w:rPr>
      </w:pPr>
    </w:p>
    <w:p w:rsidR="00AC11D6" w:rsidRPr="00F778AF" w:rsidRDefault="00AC11D6" w:rsidP="00AC11D6">
      <w:pPr>
        <w:rPr>
          <w:sz w:val="22"/>
          <w:szCs w:val="22"/>
          <w:lang w:eastAsia="x-none"/>
        </w:rPr>
      </w:pPr>
      <w:r w:rsidRPr="00F778AF">
        <w:rPr>
          <w:snapToGrid w:val="0"/>
          <w:sz w:val="22"/>
          <w:szCs w:val="22"/>
          <w:lang w:eastAsia="x-none"/>
        </w:rPr>
        <w:t>Apie ką rašoma šiame lapelyje?</w:t>
      </w:r>
    </w:p>
    <w:p w:rsidR="00AC11D6" w:rsidRPr="00F778AF" w:rsidRDefault="00AC11D6" w:rsidP="00AC11D6">
      <w:pPr>
        <w:rPr>
          <w:sz w:val="22"/>
          <w:szCs w:val="22"/>
          <w:lang w:eastAsia="x-none"/>
        </w:rPr>
      </w:pPr>
    </w:p>
    <w:p w:rsidR="00AC11D6" w:rsidRPr="00F778AF" w:rsidRDefault="00AC11D6" w:rsidP="00AC11D6">
      <w:pPr>
        <w:pStyle w:val="Pagrindinistekstas"/>
        <w:spacing w:after="0"/>
        <w:rPr>
          <w:szCs w:val="22"/>
        </w:rPr>
      </w:pPr>
      <w:r w:rsidRPr="00F778AF">
        <w:rPr>
          <w:szCs w:val="22"/>
        </w:rPr>
        <w:t>1.</w:t>
      </w:r>
      <w:r w:rsidRPr="00F778AF">
        <w:rPr>
          <w:szCs w:val="22"/>
        </w:rPr>
        <w:tab/>
        <w:t xml:space="preserve">Kas yra </w:t>
      </w:r>
      <w:proofErr w:type="spellStart"/>
      <w:r w:rsidRPr="00F778AF">
        <w:rPr>
          <w:szCs w:val="22"/>
        </w:rPr>
        <w:t>Imdur</w:t>
      </w:r>
      <w:proofErr w:type="spellEnd"/>
      <w:r w:rsidRPr="00F778AF">
        <w:rPr>
          <w:szCs w:val="22"/>
        </w:rPr>
        <w:t xml:space="preserve"> ir kam jis vartojamas</w:t>
      </w:r>
    </w:p>
    <w:p w:rsidR="00AC11D6" w:rsidRPr="00F778AF" w:rsidRDefault="00AC11D6" w:rsidP="00AC11D6">
      <w:pPr>
        <w:pStyle w:val="Pagrindinistekstas"/>
        <w:spacing w:after="0"/>
        <w:rPr>
          <w:szCs w:val="22"/>
        </w:rPr>
      </w:pPr>
      <w:r w:rsidRPr="00F778AF">
        <w:rPr>
          <w:szCs w:val="22"/>
        </w:rPr>
        <w:t>2.</w:t>
      </w:r>
      <w:r w:rsidRPr="00F778AF">
        <w:rPr>
          <w:szCs w:val="22"/>
        </w:rPr>
        <w:tab/>
        <w:t xml:space="preserve">Kas žinotina prieš vartojant </w:t>
      </w:r>
      <w:proofErr w:type="spellStart"/>
      <w:r w:rsidRPr="00F778AF">
        <w:rPr>
          <w:szCs w:val="22"/>
        </w:rPr>
        <w:t>Imdur</w:t>
      </w:r>
      <w:proofErr w:type="spellEnd"/>
      <w:r w:rsidRPr="00F778AF">
        <w:rPr>
          <w:szCs w:val="22"/>
        </w:rPr>
        <w:t xml:space="preserve"> </w:t>
      </w:r>
    </w:p>
    <w:p w:rsidR="00AC11D6" w:rsidRPr="00F778AF" w:rsidRDefault="00AC11D6" w:rsidP="00AC11D6">
      <w:pPr>
        <w:pStyle w:val="Pagrindinistekstas"/>
        <w:spacing w:after="0"/>
        <w:rPr>
          <w:szCs w:val="22"/>
        </w:rPr>
      </w:pPr>
      <w:r w:rsidRPr="00F778AF">
        <w:rPr>
          <w:szCs w:val="22"/>
        </w:rPr>
        <w:t>3.</w:t>
      </w:r>
      <w:r w:rsidRPr="00F778AF">
        <w:rPr>
          <w:szCs w:val="22"/>
        </w:rPr>
        <w:tab/>
        <w:t xml:space="preserve">Kaip vartoti </w:t>
      </w:r>
      <w:proofErr w:type="spellStart"/>
      <w:r w:rsidRPr="00F778AF">
        <w:rPr>
          <w:szCs w:val="22"/>
        </w:rPr>
        <w:t>Imdur</w:t>
      </w:r>
      <w:proofErr w:type="spellEnd"/>
      <w:r w:rsidRPr="00F778AF">
        <w:rPr>
          <w:szCs w:val="22"/>
        </w:rPr>
        <w:t xml:space="preserve"> </w:t>
      </w:r>
    </w:p>
    <w:p w:rsidR="00AC11D6" w:rsidRPr="00F778AF" w:rsidRDefault="00AC11D6" w:rsidP="00AC11D6">
      <w:pPr>
        <w:pStyle w:val="Pagrindinistekstas"/>
        <w:spacing w:after="0"/>
        <w:rPr>
          <w:szCs w:val="22"/>
        </w:rPr>
      </w:pPr>
      <w:r w:rsidRPr="00F778AF">
        <w:rPr>
          <w:szCs w:val="22"/>
        </w:rPr>
        <w:t>4.</w:t>
      </w:r>
      <w:r w:rsidRPr="00F778AF">
        <w:rPr>
          <w:szCs w:val="22"/>
        </w:rPr>
        <w:tab/>
        <w:t>Galimas šalutinis poveikis</w:t>
      </w:r>
    </w:p>
    <w:p w:rsidR="00AC11D6" w:rsidRPr="00F778AF" w:rsidRDefault="00AC11D6" w:rsidP="00AC11D6">
      <w:pPr>
        <w:pStyle w:val="Pagrindinistekstas"/>
        <w:spacing w:after="0"/>
        <w:rPr>
          <w:szCs w:val="22"/>
        </w:rPr>
      </w:pPr>
      <w:r w:rsidRPr="00F778AF">
        <w:rPr>
          <w:szCs w:val="22"/>
        </w:rPr>
        <w:t>5.</w:t>
      </w:r>
      <w:r w:rsidRPr="00F778AF">
        <w:rPr>
          <w:szCs w:val="22"/>
        </w:rPr>
        <w:tab/>
        <w:t xml:space="preserve">Kaip laikyti </w:t>
      </w:r>
      <w:proofErr w:type="spellStart"/>
      <w:r w:rsidRPr="00F778AF">
        <w:rPr>
          <w:szCs w:val="22"/>
        </w:rPr>
        <w:t>Imdur</w:t>
      </w:r>
      <w:proofErr w:type="spellEnd"/>
    </w:p>
    <w:p w:rsidR="00AC11D6" w:rsidRPr="00F778AF" w:rsidRDefault="00AC11D6" w:rsidP="00AC11D6">
      <w:pPr>
        <w:pStyle w:val="Pagrindinistekstas"/>
        <w:spacing w:after="0"/>
        <w:rPr>
          <w:szCs w:val="22"/>
        </w:rPr>
      </w:pPr>
      <w:r w:rsidRPr="00F778AF">
        <w:rPr>
          <w:szCs w:val="22"/>
        </w:rPr>
        <w:t>6.</w:t>
      </w:r>
      <w:r w:rsidRPr="00F778AF">
        <w:rPr>
          <w:szCs w:val="22"/>
        </w:rPr>
        <w:tab/>
        <w:t>Pakuotės turinys ir kita informacija</w:t>
      </w:r>
    </w:p>
    <w:p w:rsidR="00AC11D6" w:rsidRPr="00F778AF" w:rsidRDefault="00AC11D6" w:rsidP="00AC11D6">
      <w:pPr>
        <w:pStyle w:val="Pagrindinistekstas"/>
        <w:spacing w:after="0"/>
        <w:rPr>
          <w:szCs w:val="22"/>
        </w:rPr>
      </w:pPr>
    </w:p>
    <w:p w:rsidR="00AC11D6" w:rsidRPr="00F778AF" w:rsidRDefault="00AC11D6" w:rsidP="00AC11D6">
      <w:pPr>
        <w:pStyle w:val="Pagrindinistekstas"/>
        <w:spacing w:after="0"/>
        <w:rPr>
          <w:szCs w:val="22"/>
        </w:rPr>
      </w:pPr>
    </w:p>
    <w:p w:rsidR="00AC11D6" w:rsidRPr="00F778AF" w:rsidRDefault="00AC11D6" w:rsidP="00AC11D6">
      <w:pPr>
        <w:pStyle w:val="Antrat2"/>
      </w:pPr>
      <w:r w:rsidRPr="00F778AF">
        <w:t>1.</w:t>
      </w:r>
      <w:r w:rsidRPr="00F778AF">
        <w:tab/>
        <w:t xml:space="preserve">Kas yra </w:t>
      </w:r>
      <w:proofErr w:type="spellStart"/>
      <w:r w:rsidRPr="00F778AF">
        <w:t>Imdur</w:t>
      </w:r>
      <w:proofErr w:type="spellEnd"/>
      <w:r w:rsidRPr="00F778AF">
        <w:t xml:space="preserve"> ir kam jis vartojamas</w:t>
      </w:r>
    </w:p>
    <w:p w:rsidR="00AC11D6" w:rsidRPr="00F778AF" w:rsidRDefault="00AC11D6" w:rsidP="00AC11D6">
      <w:pPr>
        <w:pStyle w:val="Pagrindinistekstas"/>
        <w:spacing w:after="0"/>
        <w:rPr>
          <w:szCs w:val="22"/>
        </w:rPr>
      </w:pPr>
    </w:p>
    <w:p w:rsidR="00AC11D6" w:rsidRPr="00F778AF" w:rsidRDefault="00AC11D6" w:rsidP="00AC11D6">
      <w:pPr>
        <w:pStyle w:val="Pagrindinistekstas"/>
        <w:spacing w:after="0"/>
        <w:rPr>
          <w:szCs w:val="22"/>
        </w:rPr>
      </w:pPr>
      <w:proofErr w:type="spellStart"/>
      <w:r w:rsidRPr="00F778AF">
        <w:rPr>
          <w:szCs w:val="22"/>
        </w:rPr>
        <w:t>Imdur</w:t>
      </w:r>
      <w:proofErr w:type="spellEnd"/>
      <w:r w:rsidRPr="00F778AF">
        <w:rPr>
          <w:szCs w:val="22"/>
        </w:rPr>
        <w:t xml:space="preserve"> priklauso vaistų, vadinamų nitratais, grupei. Jis atpalaiduoja arterijų ir venų lygiuosius raumenis bei didina jų spindį, todėl gerina kraujo tėkmę ir lengvina širdies darbą.</w:t>
      </w:r>
    </w:p>
    <w:p w:rsidR="00AC11D6" w:rsidRPr="00F778AF" w:rsidRDefault="00AC11D6" w:rsidP="00AC11D6">
      <w:pPr>
        <w:pStyle w:val="Pagrindinistekstas"/>
        <w:spacing w:after="0"/>
        <w:rPr>
          <w:szCs w:val="22"/>
        </w:rPr>
      </w:pPr>
    </w:p>
    <w:p w:rsidR="00AC11D6" w:rsidRPr="00F778AF" w:rsidRDefault="00AC11D6" w:rsidP="00AC11D6">
      <w:pPr>
        <w:pStyle w:val="Pagrindinistekstas"/>
        <w:spacing w:after="0"/>
        <w:rPr>
          <w:szCs w:val="22"/>
        </w:rPr>
      </w:pPr>
      <w:r w:rsidRPr="00F778AF">
        <w:rPr>
          <w:szCs w:val="22"/>
        </w:rPr>
        <w:t xml:space="preserve">Pailginto veikimo tabletės – tai tabletės, iš kurių vaistas patenka į organizmą kontroliuojamu greičiu (tai užtikrina visą dieną tolygų vaisto poveikį). </w:t>
      </w:r>
      <w:proofErr w:type="spellStart"/>
      <w:r w:rsidRPr="00F778AF">
        <w:rPr>
          <w:szCs w:val="22"/>
        </w:rPr>
        <w:t>Imdur</w:t>
      </w:r>
      <w:proofErr w:type="spellEnd"/>
      <w:r w:rsidRPr="00F778AF">
        <w:rPr>
          <w:szCs w:val="22"/>
        </w:rPr>
        <w:t xml:space="preserve"> tabletės plastikinė matrica visai netirpsta virškinimo </w:t>
      </w:r>
      <w:proofErr w:type="spellStart"/>
      <w:r w:rsidRPr="00F778AF">
        <w:rPr>
          <w:szCs w:val="22"/>
        </w:rPr>
        <w:t>sultyse</w:t>
      </w:r>
      <w:proofErr w:type="spellEnd"/>
      <w:r w:rsidRPr="00F778AF">
        <w:rPr>
          <w:szCs w:val="22"/>
        </w:rPr>
        <w:t>, tačiau dažniausiai suyra žarnose, atpalaiduodama veikliąją medžiagą.</w:t>
      </w:r>
    </w:p>
    <w:p w:rsidR="00AC11D6" w:rsidRPr="00F778AF" w:rsidRDefault="00AC11D6" w:rsidP="00AC11D6">
      <w:pPr>
        <w:pStyle w:val="Pagrindinistekstas"/>
        <w:spacing w:after="0"/>
        <w:rPr>
          <w:szCs w:val="22"/>
        </w:rPr>
      </w:pPr>
    </w:p>
    <w:p w:rsidR="00AC11D6" w:rsidRPr="00F778AF" w:rsidRDefault="00AC11D6" w:rsidP="00AC11D6">
      <w:pPr>
        <w:pStyle w:val="Pagrindinistekstas"/>
        <w:spacing w:after="0"/>
        <w:rPr>
          <w:szCs w:val="22"/>
        </w:rPr>
      </w:pPr>
      <w:proofErr w:type="spellStart"/>
      <w:r w:rsidRPr="00F778AF">
        <w:rPr>
          <w:szCs w:val="22"/>
        </w:rPr>
        <w:t>Imdur</w:t>
      </w:r>
      <w:proofErr w:type="spellEnd"/>
      <w:r w:rsidRPr="00F778AF">
        <w:rPr>
          <w:szCs w:val="22"/>
        </w:rPr>
        <w:t xml:space="preserve"> tabletės registruotos širdies ir krūtinės skausmo, kurį sukelia fizinis krūvis arba stresas (krūtinės anginos), profilaktikai.</w:t>
      </w:r>
    </w:p>
    <w:p w:rsidR="00AC11D6" w:rsidRPr="00F778AF" w:rsidRDefault="00AC11D6" w:rsidP="00AC11D6">
      <w:pPr>
        <w:pStyle w:val="Pagrindinistekstas"/>
        <w:spacing w:after="0"/>
        <w:rPr>
          <w:szCs w:val="22"/>
        </w:rPr>
      </w:pPr>
    </w:p>
    <w:p w:rsidR="00AC11D6" w:rsidRPr="00F778AF" w:rsidRDefault="00AC11D6" w:rsidP="00AC11D6">
      <w:pPr>
        <w:pStyle w:val="Pagrindinistekstas"/>
        <w:spacing w:after="0"/>
        <w:rPr>
          <w:szCs w:val="22"/>
        </w:rPr>
      </w:pPr>
      <w:r w:rsidRPr="00F778AF">
        <w:rPr>
          <w:szCs w:val="22"/>
        </w:rPr>
        <w:t>Visada laikykitės gydytojo patarimų. Jei norėtumėte sužinoti daugiau, kreipkitės į gydytoją arba vaistininką.</w:t>
      </w:r>
    </w:p>
    <w:p w:rsidR="00AC11D6" w:rsidRPr="00F778AF" w:rsidRDefault="00AC11D6" w:rsidP="00AC11D6">
      <w:pPr>
        <w:pStyle w:val="Pagrindinistekstas"/>
        <w:spacing w:after="0"/>
        <w:rPr>
          <w:szCs w:val="22"/>
        </w:rPr>
      </w:pPr>
    </w:p>
    <w:p w:rsidR="00AC11D6" w:rsidRPr="00F778AF" w:rsidRDefault="00AC11D6" w:rsidP="00AC11D6">
      <w:pPr>
        <w:pStyle w:val="Pagrindinistekstas"/>
        <w:spacing w:after="0"/>
        <w:rPr>
          <w:szCs w:val="22"/>
        </w:rPr>
      </w:pPr>
    </w:p>
    <w:p w:rsidR="00AC11D6" w:rsidRPr="00F778AF" w:rsidRDefault="00AC11D6" w:rsidP="00AC11D6">
      <w:pPr>
        <w:pStyle w:val="Antrat2"/>
      </w:pPr>
      <w:r w:rsidRPr="00F778AF">
        <w:t>2.</w:t>
      </w:r>
      <w:r w:rsidRPr="00F778AF">
        <w:tab/>
        <w:t xml:space="preserve">Kas žinotina prieš vartojant </w:t>
      </w:r>
      <w:proofErr w:type="spellStart"/>
      <w:r w:rsidRPr="00F778AF">
        <w:t>Imdur</w:t>
      </w:r>
      <w:proofErr w:type="spellEnd"/>
      <w:r w:rsidRPr="00F778AF">
        <w:t xml:space="preserve"> </w:t>
      </w:r>
    </w:p>
    <w:p w:rsidR="00AC11D6" w:rsidRPr="00F778AF" w:rsidRDefault="00AC11D6" w:rsidP="00AC11D6">
      <w:pPr>
        <w:pStyle w:val="Pagrindinistekstas"/>
        <w:spacing w:after="0"/>
        <w:rPr>
          <w:szCs w:val="22"/>
        </w:rPr>
      </w:pPr>
    </w:p>
    <w:p w:rsidR="00AC11D6" w:rsidRPr="00F778AF" w:rsidRDefault="00AC11D6" w:rsidP="00AC11D6">
      <w:pPr>
        <w:pStyle w:val="Antrat3"/>
      </w:pPr>
      <w:proofErr w:type="spellStart"/>
      <w:r w:rsidRPr="00F778AF">
        <w:t>Imdur</w:t>
      </w:r>
      <w:proofErr w:type="spellEnd"/>
      <w:r w:rsidRPr="00F778AF">
        <w:t xml:space="preserve"> vartoti </w:t>
      </w:r>
      <w:r>
        <w:t>draudžiama</w:t>
      </w:r>
      <w:r w:rsidRPr="00F778AF">
        <w:t>:</w:t>
      </w:r>
    </w:p>
    <w:p w:rsidR="00AC11D6" w:rsidRPr="00F778AF" w:rsidRDefault="00AC11D6" w:rsidP="00AC11D6">
      <w:pPr>
        <w:pStyle w:val="Pagrindinistekstas"/>
        <w:numPr>
          <w:ilvl w:val="0"/>
          <w:numId w:val="1"/>
        </w:numPr>
        <w:spacing w:after="0"/>
        <w:rPr>
          <w:szCs w:val="22"/>
        </w:rPr>
      </w:pPr>
      <w:r w:rsidRPr="00F778AF">
        <w:rPr>
          <w:szCs w:val="22"/>
        </w:rPr>
        <w:t xml:space="preserve">jeigu yra alergija (padidėjęs jautrumas) </w:t>
      </w:r>
      <w:proofErr w:type="spellStart"/>
      <w:r w:rsidRPr="00F778AF">
        <w:rPr>
          <w:szCs w:val="22"/>
        </w:rPr>
        <w:t>izosorbido</w:t>
      </w:r>
      <w:proofErr w:type="spellEnd"/>
      <w:r w:rsidRPr="00F778AF">
        <w:rPr>
          <w:szCs w:val="22"/>
        </w:rPr>
        <w:t xml:space="preserve"> </w:t>
      </w:r>
      <w:proofErr w:type="spellStart"/>
      <w:r w:rsidRPr="00F778AF">
        <w:rPr>
          <w:szCs w:val="22"/>
        </w:rPr>
        <w:t>mononitratui</w:t>
      </w:r>
      <w:proofErr w:type="spellEnd"/>
      <w:r w:rsidRPr="00F778AF">
        <w:rPr>
          <w:szCs w:val="22"/>
        </w:rPr>
        <w:t xml:space="preserve"> arba bet kuriai pagalbinei šio vaisto medžiagai </w:t>
      </w:r>
      <w:r w:rsidRPr="00F778AF">
        <w:rPr>
          <w:noProof/>
          <w:snapToGrid w:val="0"/>
          <w:szCs w:val="22"/>
        </w:rPr>
        <w:t>(jos išvardytos 6 skyriuje)</w:t>
      </w:r>
      <w:r>
        <w:rPr>
          <w:szCs w:val="22"/>
        </w:rPr>
        <w:t>.</w:t>
      </w:r>
    </w:p>
    <w:p w:rsidR="00AC11D6" w:rsidRPr="00F778AF" w:rsidRDefault="00AC11D6" w:rsidP="00AC11D6">
      <w:pPr>
        <w:pStyle w:val="Pagrindinistekstas"/>
        <w:numPr>
          <w:ilvl w:val="0"/>
          <w:numId w:val="1"/>
        </w:numPr>
        <w:spacing w:after="0"/>
        <w:rPr>
          <w:szCs w:val="22"/>
        </w:rPr>
      </w:pPr>
      <w:r w:rsidRPr="00F778AF">
        <w:rPr>
          <w:szCs w:val="22"/>
        </w:rPr>
        <w:t>jeigu sumažėjęs kraujospūdis bei sergant kai kuriomis širdies ligomis.</w:t>
      </w:r>
    </w:p>
    <w:p w:rsidR="00AC11D6" w:rsidRPr="00F778AF" w:rsidRDefault="00AC11D6" w:rsidP="00AC11D6">
      <w:pPr>
        <w:pStyle w:val="Pagrindinistekstas"/>
        <w:spacing w:after="0"/>
        <w:rPr>
          <w:szCs w:val="22"/>
        </w:rPr>
      </w:pPr>
    </w:p>
    <w:p w:rsidR="00AC11D6" w:rsidRPr="00F778AF" w:rsidRDefault="00AC11D6" w:rsidP="00AC11D6">
      <w:pPr>
        <w:pStyle w:val="Pagrindinistekstas"/>
        <w:spacing w:after="0"/>
        <w:rPr>
          <w:szCs w:val="22"/>
        </w:rPr>
      </w:pPr>
      <w:r w:rsidRPr="00F778AF">
        <w:rPr>
          <w:szCs w:val="22"/>
        </w:rPr>
        <w:t xml:space="preserve">Kartu su </w:t>
      </w:r>
      <w:proofErr w:type="spellStart"/>
      <w:r w:rsidRPr="00F778AF">
        <w:rPr>
          <w:szCs w:val="22"/>
        </w:rPr>
        <w:t>Imdur</w:t>
      </w:r>
      <w:proofErr w:type="spellEnd"/>
      <w:r w:rsidRPr="00F778AF">
        <w:rPr>
          <w:szCs w:val="22"/>
        </w:rPr>
        <w:t xml:space="preserve">  negalima vartoti fosfodiesterazės-5 inhibitorių, pvz., </w:t>
      </w:r>
      <w:proofErr w:type="spellStart"/>
      <w:r w:rsidRPr="00F778AF">
        <w:rPr>
          <w:szCs w:val="22"/>
        </w:rPr>
        <w:t>sildenafilio</w:t>
      </w:r>
      <w:proofErr w:type="spellEnd"/>
      <w:r w:rsidRPr="00F778AF">
        <w:rPr>
          <w:szCs w:val="22"/>
        </w:rPr>
        <w:t xml:space="preserve"> (</w:t>
      </w:r>
      <w:proofErr w:type="spellStart"/>
      <w:r w:rsidRPr="00F778AF">
        <w:rPr>
          <w:szCs w:val="22"/>
        </w:rPr>
        <w:t>Viagra</w:t>
      </w:r>
      <w:proofErr w:type="spellEnd"/>
      <w:r w:rsidRPr="00F778AF">
        <w:rPr>
          <w:szCs w:val="22"/>
        </w:rPr>
        <w:t xml:space="preserve">), </w:t>
      </w:r>
      <w:proofErr w:type="spellStart"/>
      <w:r w:rsidRPr="00F778AF">
        <w:rPr>
          <w:szCs w:val="22"/>
        </w:rPr>
        <w:t>tadalafilio</w:t>
      </w:r>
      <w:proofErr w:type="spellEnd"/>
      <w:r w:rsidRPr="00F778AF">
        <w:rPr>
          <w:szCs w:val="22"/>
        </w:rPr>
        <w:t xml:space="preserve"> (</w:t>
      </w:r>
      <w:proofErr w:type="spellStart"/>
      <w:r w:rsidRPr="00F778AF">
        <w:rPr>
          <w:szCs w:val="22"/>
        </w:rPr>
        <w:t>Cialis</w:t>
      </w:r>
      <w:proofErr w:type="spellEnd"/>
      <w:r w:rsidRPr="00F778AF">
        <w:rPr>
          <w:szCs w:val="22"/>
        </w:rPr>
        <w:t xml:space="preserve">) ir </w:t>
      </w:r>
      <w:proofErr w:type="spellStart"/>
      <w:r w:rsidRPr="00F778AF">
        <w:rPr>
          <w:szCs w:val="22"/>
        </w:rPr>
        <w:t>vardenafilio</w:t>
      </w:r>
      <w:proofErr w:type="spellEnd"/>
      <w:r w:rsidRPr="00F778AF">
        <w:rPr>
          <w:szCs w:val="22"/>
        </w:rPr>
        <w:t xml:space="preserve"> (</w:t>
      </w:r>
      <w:proofErr w:type="spellStart"/>
      <w:r w:rsidRPr="00F778AF">
        <w:rPr>
          <w:szCs w:val="22"/>
        </w:rPr>
        <w:t>Levitra</w:t>
      </w:r>
      <w:proofErr w:type="spellEnd"/>
      <w:r w:rsidRPr="00F778AF">
        <w:rPr>
          <w:szCs w:val="22"/>
        </w:rPr>
        <w:t>).</w:t>
      </w:r>
    </w:p>
    <w:p w:rsidR="00AC11D6" w:rsidRPr="00F778AF" w:rsidRDefault="00AC11D6" w:rsidP="00AC11D6">
      <w:pPr>
        <w:pStyle w:val="Pagrindinistekstas"/>
        <w:spacing w:after="0"/>
        <w:rPr>
          <w:szCs w:val="22"/>
        </w:rPr>
      </w:pPr>
    </w:p>
    <w:p w:rsidR="00AC11D6" w:rsidRPr="00F778AF" w:rsidRDefault="00AC11D6" w:rsidP="00AC11D6">
      <w:pPr>
        <w:pStyle w:val="Pagrindinistekstas"/>
        <w:spacing w:after="0"/>
        <w:rPr>
          <w:szCs w:val="22"/>
        </w:rPr>
      </w:pPr>
      <w:r w:rsidRPr="00F778AF">
        <w:rPr>
          <w:szCs w:val="22"/>
        </w:rPr>
        <w:t xml:space="preserve">Krūtinės anginos priepuoliams nutraukti </w:t>
      </w:r>
      <w:proofErr w:type="spellStart"/>
      <w:r w:rsidRPr="00F778AF">
        <w:rPr>
          <w:szCs w:val="22"/>
        </w:rPr>
        <w:t>Imdur</w:t>
      </w:r>
      <w:proofErr w:type="spellEnd"/>
      <w:r w:rsidRPr="00F778AF">
        <w:rPr>
          <w:szCs w:val="22"/>
        </w:rPr>
        <w:t xml:space="preserve"> netinka (reikia vartoti nitrogliceriną pagal gydytojo nurodymą).</w:t>
      </w:r>
    </w:p>
    <w:p w:rsidR="00AC11D6" w:rsidRPr="00F778AF" w:rsidRDefault="00AC11D6" w:rsidP="00AC11D6">
      <w:pPr>
        <w:pStyle w:val="Pagrindinistekstas"/>
        <w:spacing w:after="0"/>
        <w:rPr>
          <w:szCs w:val="22"/>
        </w:rPr>
      </w:pPr>
    </w:p>
    <w:p w:rsidR="00AC11D6" w:rsidRPr="00F778AF" w:rsidRDefault="00AC11D6" w:rsidP="00AC11D6">
      <w:pPr>
        <w:pStyle w:val="Pagrindinistekstas"/>
        <w:spacing w:after="0"/>
        <w:rPr>
          <w:szCs w:val="22"/>
        </w:rPr>
      </w:pPr>
      <w:proofErr w:type="spellStart"/>
      <w:r w:rsidRPr="00F778AF">
        <w:rPr>
          <w:szCs w:val="22"/>
        </w:rPr>
        <w:lastRenderedPageBreak/>
        <w:t>Imdur</w:t>
      </w:r>
      <w:proofErr w:type="spellEnd"/>
      <w:r w:rsidRPr="00F778AF">
        <w:rPr>
          <w:szCs w:val="22"/>
        </w:rPr>
        <w:t xml:space="preserve"> negalima duoti vaikams.</w:t>
      </w:r>
    </w:p>
    <w:p w:rsidR="00AC11D6" w:rsidRPr="00F778AF" w:rsidRDefault="00AC11D6" w:rsidP="00AC11D6">
      <w:pPr>
        <w:pStyle w:val="Pagrindinistekstas"/>
        <w:spacing w:after="0"/>
        <w:rPr>
          <w:szCs w:val="22"/>
        </w:rPr>
      </w:pPr>
    </w:p>
    <w:p w:rsidR="00AC11D6" w:rsidRPr="00E16CC3" w:rsidRDefault="00AC11D6" w:rsidP="00AC11D6">
      <w:pPr>
        <w:pStyle w:val="Pagrindinistekstas"/>
        <w:spacing w:after="0"/>
        <w:rPr>
          <w:b/>
          <w:bCs/>
          <w:szCs w:val="22"/>
        </w:rPr>
      </w:pPr>
      <w:r w:rsidRPr="00F778AF">
        <w:rPr>
          <w:snapToGrid w:val="0"/>
          <w:szCs w:val="22"/>
          <w:lang w:eastAsia="x-none"/>
        </w:rPr>
        <w:t xml:space="preserve"> </w:t>
      </w:r>
      <w:r w:rsidRPr="00E16CC3">
        <w:rPr>
          <w:b/>
          <w:bCs/>
          <w:szCs w:val="22"/>
        </w:rPr>
        <w:t>Įspėjimai ir atsargumo priemonės</w:t>
      </w:r>
    </w:p>
    <w:p w:rsidR="00AC11D6" w:rsidRPr="00F778AF" w:rsidRDefault="00AC11D6" w:rsidP="00AC11D6">
      <w:pPr>
        <w:pStyle w:val="Pagrindinistekstas"/>
        <w:spacing w:after="0"/>
        <w:rPr>
          <w:szCs w:val="22"/>
        </w:rPr>
      </w:pPr>
      <w:r w:rsidRPr="00F778AF">
        <w:rPr>
          <w:szCs w:val="22"/>
        </w:rPr>
        <w:t xml:space="preserve">Kai kuriais atvejais </w:t>
      </w:r>
      <w:proofErr w:type="spellStart"/>
      <w:r w:rsidRPr="00F778AF">
        <w:rPr>
          <w:szCs w:val="22"/>
        </w:rPr>
        <w:t>Imdur</w:t>
      </w:r>
      <w:proofErr w:type="spellEnd"/>
      <w:r w:rsidRPr="00F778AF">
        <w:rPr>
          <w:szCs w:val="22"/>
        </w:rPr>
        <w:t xml:space="preserve"> reikia vartoti ypač atsargiai, todėl visada pasakykite gydytojui apie kitus sveikatos sutrikimus (ypač širdies ligas, sumažėjusį kraujospūdį).</w:t>
      </w:r>
    </w:p>
    <w:p w:rsidR="00AC11D6" w:rsidRPr="00F778AF" w:rsidRDefault="00AC11D6" w:rsidP="00AC11D6">
      <w:pPr>
        <w:pStyle w:val="Antrat3"/>
      </w:pPr>
    </w:p>
    <w:p w:rsidR="00AC11D6" w:rsidRPr="00F778AF" w:rsidRDefault="00AC11D6" w:rsidP="00AC11D6">
      <w:pPr>
        <w:pStyle w:val="Antrat3"/>
      </w:pPr>
      <w:r w:rsidRPr="00F778AF">
        <w:t xml:space="preserve">Kiti vaistai ir </w:t>
      </w:r>
      <w:proofErr w:type="spellStart"/>
      <w:r w:rsidRPr="00F778AF">
        <w:t>Imdur</w:t>
      </w:r>
      <w:proofErr w:type="spellEnd"/>
    </w:p>
    <w:p w:rsidR="00AC11D6" w:rsidRPr="00F778AF" w:rsidRDefault="00AC11D6" w:rsidP="00AC11D6">
      <w:pPr>
        <w:pStyle w:val="Pagrindinistekstas"/>
        <w:spacing w:after="0"/>
        <w:rPr>
          <w:szCs w:val="22"/>
        </w:rPr>
      </w:pPr>
      <w:r w:rsidRPr="00F778AF">
        <w:rPr>
          <w:szCs w:val="22"/>
        </w:rPr>
        <w:t xml:space="preserve">Kartu su </w:t>
      </w:r>
      <w:proofErr w:type="spellStart"/>
      <w:r w:rsidRPr="00F778AF">
        <w:rPr>
          <w:szCs w:val="22"/>
        </w:rPr>
        <w:t>Imdur</w:t>
      </w:r>
      <w:proofErr w:type="spellEnd"/>
      <w:r w:rsidRPr="00F778AF">
        <w:rPr>
          <w:szCs w:val="22"/>
        </w:rPr>
        <w:t xml:space="preserve"> negalima vartoti fosfodiesterazės-5 inhibitorių, pvz., </w:t>
      </w:r>
      <w:proofErr w:type="spellStart"/>
      <w:r w:rsidRPr="00F778AF">
        <w:rPr>
          <w:szCs w:val="22"/>
        </w:rPr>
        <w:t>sildenafilio</w:t>
      </w:r>
      <w:proofErr w:type="spellEnd"/>
      <w:r w:rsidRPr="00F778AF">
        <w:rPr>
          <w:szCs w:val="22"/>
        </w:rPr>
        <w:t xml:space="preserve"> (</w:t>
      </w:r>
      <w:proofErr w:type="spellStart"/>
      <w:r w:rsidRPr="00F778AF">
        <w:rPr>
          <w:szCs w:val="22"/>
        </w:rPr>
        <w:t>Viagra</w:t>
      </w:r>
      <w:proofErr w:type="spellEnd"/>
      <w:r w:rsidRPr="00F778AF">
        <w:rPr>
          <w:szCs w:val="22"/>
        </w:rPr>
        <w:t xml:space="preserve">), </w:t>
      </w:r>
      <w:proofErr w:type="spellStart"/>
      <w:r w:rsidRPr="00F778AF">
        <w:rPr>
          <w:szCs w:val="22"/>
        </w:rPr>
        <w:t>tadalafilio</w:t>
      </w:r>
      <w:proofErr w:type="spellEnd"/>
      <w:r w:rsidRPr="00F778AF">
        <w:rPr>
          <w:szCs w:val="22"/>
        </w:rPr>
        <w:t xml:space="preserve"> (</w:t>
      </w:r>
      <w:proofErr w:type="spellStart"/>
      <w:r w:rsidRPr="00F778AF">
        <w:rPr>
          <w:szCs w:val="22"/>
        </w:rPr>
        <w:t>Cialis</w:t>
      </w:r>
      <w:proofErr w:type="spellEnd"/>
      <w:r w:rsidRPr="00F778AF">
        <w:rPr>
          <w:szCs w:val="22"/>
        </w:rPr>
        <w:t xml:space="preserve">) ir </w:t>
      </w:r>
      <w:proofErr w:type="spellStart"/>
      <w:r w:rsidRPr="00F778AF">
        <w:rPr>
          <w:szCs w:val="22"/>
        </w:rPr>
        <w:t>vardenafilio</w:t>
      </w:r>
      <w:proofErr w:type="spellEnd"/>
      <w:r w:rsidRPr="00F778AF">
        <w:rPr>
          <w:szCs w:val="22"/>
        </w:rPr>
        <w:t xml:space="preserve"> (</w:t>
      </w:r>
      <w:proofErr w:type="spellStart"/>
      <w:r w:rsidRPr="00F778AF">
        <w:rPr>
          <w:szCs w:val="22"/>
        </w:rPr>
        <w:t>Levitra</w:t>
      </w:r>
      <w:proofErr w:type="spellEnd"/>
      <w:r w:rsidRPr="00F778AF">
        <w:rPr>
          <w:szCs w:val="22"/>
        </w:rPr>
        <w:t>), kadangi gali pasireikšti sunkus šalutinis poveikis.</w:t>
      </w:r>
    </w:p>
    <w:p w:rsidR="00AC11D6" w:rsidRPr="00F778AF" w:rsidRDefault="00AC11D6" w:rsidP="00AC11D6">
      <w:pPr>
        <w:pStyle w:val="Pagrindinistekstas"/>
        <w:spacing w:after="0"/>
        <w:rPr>
          <w:szCs w:val="22"/>
        </w:rPr>
      </w:pPr>
    </w:p>
    <w:p w:rsidR="00AC11D6" w:rsidRPr="00F778AF" w:rsidRDefault="00AC11D6" w:rsidP="00AC11D6">
      <w:pPr>
        <w:pStyle w:val="Pagrindinistekstas"/>
        <w:spacing w:after="0"/>
        <w:rPr>
          <w:szCs w:val="22"/>
        </w:rPr>
      </w:pPr>
      <w:r>
        <w:rPr>
          <w:szCs w:val="22"/>
        </w:rPr>
        <w:t>Pasakykite</w:t>
      </w:r>
      <w:r w:rsidRPr="00F778AF">
        <w:rPr>
          <w:szCs w:val="22"/>
        </w:rPr>
        <w:t xml:space="preserve"> gydytojui apie visus kitus vaistus, kuriuos vartojate arba neseniai vartojote (įskaitant pirktus be recepto).</w:t>
      </w:r>
    </w:p>
    <w:p w:rsidR="00AC11D6" w:rsidRPr="00F778AF" w:rsidRDefault="00AC11D6" w:rsidP="00AC11D6">
      <w:pPr>
        <w:pStyle w:val="Pagrindinistekstas"/>
        <w:spacing w:after="0"/>
        <w:rPr>
          <w:szCs w:val="22"/>
        </w:rPr>
      </w:pPr>
    </w:p>
    <w:p w:rsidR="00AC11D6" w:rsidRPr="00F778AF" w:rsidRDefault="00AC11D6" w:rsidP="00AC11D6">
      <w:pPr>
        <w:pStyle w:val="Antrat3"/>
      </w:pPr>
      <w:r w:rsidRPr="00F778AF">
        <w:t>Nėštumas ir žindymo laikotarpis</w:t>
      </w:r>
    </w:p>
    <w:p w:rsidR="00AC11D6" w:rsidRPr="00F778AF" w:rsidRDefault="00AC11D6" w:rsidP="00AC11D6">
      <w:pPr>
        <w:rPr>
          <w:sz w:val="22"/>
          <w:szCs w:val="22"/>
        </w:rPr>
      </w:pPr>
    </w:p>
    <w:p w:rsidR="00AC11D6" w:rsidRPr="00F778AF" w:rsidRDefault="00AC11D6" w:rsidP="00AC11D6">
      <w:pPr>
        <w:pStyle w:val="Antrat3"/>
      </w:pPr>
      <w:r w:rsidRPr="00F778AF">
        <w:t>Nėštumas</w:t>
      </w:r>
    </w:p>
    <w:p w:rsidR="00AC11D6" w:rsidRPr="00F778AF" w:rsidRDefault="00AC11D6" w:rsidP="00AC11D6">
      <w:pPr>
        <w:pStyle w:val="Pagrindinistekstas"/>
        <w:spacing w:after="0"/>
        <w:rPr>
          <w:szCs w:val="22"/>
        </w:rPr>
      </w:pPr>
      <w:r w:rsidRPr="00F778AF">
        <w:rPr>
          <w:szCs w:val="22"/>
        </w:rPr>
        <w:t xml:space="preserve">Jei moteris yra nėščia arba mėgina pastoti, apie tai ji turi pasakyti gydytojui, prieš pradėdama vartoti </w:t>
      </w:r>
      <w:proofErr w:type="spellStart"/>
      <w:r w:rsidRPr="00F778AF">
        <w:rPr>
          <w:szCs w:val="22"/>
        </w:rPr>
        <w:t>Imdur</w:t>
      </w:r>
      <w:proofErr w:type="spellEnd"/>
      <w:r w:rsidRPr="00F778AF">
        <w:rPr>
          <w:szCs w:val="22"/>
        </w:rPr>
        <w:t>.</w:t>
      </w:r>
    </w:p>
    <w:p w:rsidR="00AC11D6" w:rsidRPr="00F778AF" w:rsidRDefault="00AC11D6" w:rsidP="00AC11D6">
      <w:pPr>
        <w:pStyle w:val="Pagrindinistekstas"/>
        <w:spacing w:after="0"/>
        <w:rPr>
          <w:szCs w:val="22"/>
        </w:rPr>
      </w:pPr>
    </w:p>
    <w:p w:rsidR="00AC11D6" w:rsidRPr="00F778AF" w:rsidRDefault="00AC11D6" w:rsidP="00AC11D6">
      <w:pPr>
        <w:pStyle w:val="Pagrindinistekstas"/>
        <w:spacing w:after="0"/>
        <w:rPr>
          <w:szCs w:val="22"/>
        </w:rPr>
      </w:pPr>
      <w:r w:rsidRPr="00F778AF">
        <w:rPr>
          <w:szCs w:val="22"/>
        </w:rPr>
        <w:t xml:space="preserve">Nėščioms moterims negalima vartoti </w:t>
      </w:r>
      <w:proofErr w:type="spellStart"/>
      <w:r w:rsidRPr="00F778AF">
        <w:rPr>
          <w:szCs w:val="22"/>
        </w:rPr>
        <w:t>Imdur</w:t>
      </w:r>
      <w:proofErr w:type="spellEnd"/>
      <w:r w:rsidRPr="00F778AF">
        <w:rPr>
          <w:szCs w:val="22"/>
        </w:rPr>
        <w:t xml:space="preserve">, išskyrus atvejį, kai nurodo gydytojas. Jei </w:t>
      </w:r>
      <w:proofErr w:type="spellStart"/>
      <w:r w:rsidRPr="00F778AF">
        <w:rPr>
          <w:szCs w:val="22"/>
        </w:rPr>
        <w:t>Imdur</w:t>
      </w:r>
      <w:proofErr w:type="spellEnd"/>
      <w:r w:rsidRPr="00F778AF">
        <w:rPr>
          <w:szCs w:val="22"/>
        </w:rPr>
        <w:t xml:space="preserve"> vartojanti moteris pastojo, apie tai ji turi kuo greičiau pasakyti gydytojui.</w:t>
      </w:r>
    </w:p>
    <w:p w:rsidR="00AC11D6" w:rsidRPr="00F778AF" w:rsidRDefault="00AC11D6" w:rsidP="00AC11D6">
      <w:pPr>
        <w:pStyle w:val="Pagrindinistekstas"/>
        <w:spacing w:after="0"/>
        <w:rPr>
          <w:szCs w:val="22"/>
        </w:rPr>
      </w:pPr>
    </w:p>
    <w:p w:rsidR="00AC11D6" w:rsidRPr="00F778AF" w:rsidRDefault="00AC11D6" w:rsidP="00AC11D6">
      <w:pPr>
        <w:pStyle w:val="Antrat3"/>
      </w:pPr>
      <w:r w:rsidRPr="00F778AF">
        <w:t>Žindymo laikotarpis</w:t>
      </w:r>
    </w:p>
    <w:p w:rsidR="00AC11D6" w:rsidRPr="00F778AF" w:rsidRDefault="00AC11D6" w:rsidP="00AC11D6">
      <w:pPr>
        <w:pStyle w:val="Pagrindinistekstas"/>
        <w:spacing w:after="0"/>
        <w:rPr>
          <w:szCs w:val="22"/>
        </w:rPr>
      </w:pPr>
      <w:r w:rsidRPr="00F778AF">
        <w:rPr>
          <w:szCs w:val="22"/>
        </w:rPr>
        <w:t xml:space="preserve">Jei moteris žindo kūdikį, apie tai ji turi pasakyti gydytojui, prieš pradėdama vartoti </w:t>
      </w:r>
      <w:proofErr w:type="spellStart"/>
      <w:r w:rsidRPr="00F778AF">
        <w:rPr>
          <w:szCs w:val="22"/>
        </w:rPr>
        <w:t>Imdur</w:t>
      </w:r>
      <w:proofErr w:type="spellEnd"/>
      <w:r w:rsidRPr="00F778AF">
        <w:rPr>
          <w:szCs w:val="22"/>
        </w:rPr>
        <w:t xml:space="preserve">. Žindančioms moterims </w:t>
      </w:r>
      <w:proofErr w:type="spellStart"/>
      <w:r w:rsidRPr="00F778AF">
        <w:rPr>
          <w:szCs w:val="22"/>
        </w:rPr>
        <w:t>Imdur</w:t>
      </w:r>
      <w:proofErr w:type="spellEnd"/>
      <w:r w:rsidRPr="00F778AF">
        <w:rPr>
          <w:szCs w:val="22"/>
        </w:rPr>
        <w:t xml:space="preserve"> vartoti negalima, išskyrus atvejį, kai nurodo gydytojas.</w:t>
      </w:r>
    </w:p>
    <w:p w:rsidR="00AC11D6" w:rsidRPr="00F778AF" w:rsidRDefault="00AC11D6" w:rsidP="00AC11D6">
      <w:pPr>
        <w:pStyle w:val="Pagrindinistekstas"/>
        <w:spacing w:after="0"/>
        <w:rPr>
          <w:szCs w:val="22"/>
        </w:rPr>
      </w:pPr>
    </w:p>
    <w:p w:rsidR="00AC11D6" w:rsidRPr="00F778AF" w:rsidRDefault="00AC11D6" w:rsidP="00AC11D6">
      <w:pPr>
        <w:pStyle w:val="Antrat3"/>
      </w:pPr>
      <w:r w:rsidRPr="00F778AF">
        <w:t>Vairavimas ir mechanizmų valdymas</w:t>
      </w:r>
    </w:p>
    <w:p w:rsidR="00AC11D6" w:rsidRPr="00F778AF" w:rsidRDefault="00AC11D6" w:rsidP="00AC11D6">
      <w:pPr>
        <w:pStyle w:val="Pagrindinistekstas"/>
        <w:spacing w:after="0"/>
        <w:rPr>
          <w:szCs w:val="22"/>
        </w:rPr>
      </w:pPr>
      <w:r w:rsidRPr="00F778AF">
        <w:rPr>
          <w:szCs w:val="22"/>
        </w:rPr>
        <w:t xml:space="preserve">Pradėjus vartoti </w:t>
      </w:r>
      <w:proofErr w:type="spellStart"/>
      <w:r w:rsidRPr="00F778AF">
        <w:rPr>
          <w:szCs w:val="22"/>
        </w:rPr>
        <w:t>Imdur</w:t>
      </w:r>
      <w:proofErr w:type="spellEnd"/>
      <w:r w:rsidRPr="00F778AF">
        <w:rPr>
          <w:szCs w:val="22"/>
        </w:rPr>
        <w:t>, gali svaigti galva, todėl prieš pradedant vairuoti ar dirbti su technika reikia pajusti, kaip veikia šis vaistas.</w:t>
      </w:r>
    </w:p>
    <w:p w:rsidR="00AC11D6" w:rsidRPr="00F778AF" w:rsidRDefault="00AC11D6" w:rsidP="00AC11D6">
      <w:pPr>
        <w:pStyle w:val="Pagrindinistekstas"/>
        <w:spacing w:after="0"/>
        <w:rPr>
          <w:szCs w:val="22"/>
        </w:rPr>
      </w:pPr>
    </w:p>
    <w:p w:rsidR="00AC11D6" w:rsidRPr="00F778AF" w:rsidRDefault="00AC11D6" w:rsidP="00AC11D6">
      <w:pPr>
        <w:pStyle w:val="Antrat3"/>
      </w:pPr>
      <w:proofErr w:type="spellStart"/>
      <w:r w:rsidRPr="00F778AF">
        <w:t>Imdur</w:t>
      </w:r>
      <w:proofErr w:type="spellEnd"/>
      <w:r w:rsidRPr="00F778AF">
        <w:t xml:space="preserve"> sudėtyje yra natrio</w:t>
      </w:r>
    </w:p>
    <w:p w:rsidR="00AC11D6" w:rsidRPr="00F778AF" w:rsidRDefault="00AC11D6" w:rsidP="00AC11D6">
      <w:pPr>
        <w:pStyle w:val="Pagrindinistekstas"/>
        <w:spacing w:after="0"/>
        <w:rPr>
          <w:szCs w:val="22"/>
        </w:rPr>
      </w:pPr>
      <w:r w:rsidRPr="00F778AF">
        <w:rPr>
          <w:szCs w:val="22"/>
        </w:rPr>
        <w:t xml:space="preserve">Kiekvienoje </w:t>
      </w:r>
      <w:proofErr w:type="spellStart"/>
      <w:r w:rsidRPr="00F778AF">
        <w:rPr>
          <w:szCs w:val="22"/>
        </w:rPr>
        <w:t>Imdur</w:t>
      </w:r>
      <w:proofErr w:type="spellEnd"/>
      <w:r w:rsidRPr="00F778AF">
        <w:rPr>
          <w:szCs w:val="22"/>
        </w:rPr>
        <w:t xml:space="preserve"> pailginto atpalaidavimo tabletėje yra mažiau kaip 1 </w:t>
      </w:r>
      <w:proofErr w:type="spellStart"/>
      <w:r w:rsidRPr="00F778AF">
        <w:rPr>
          <w:szCs w:val="22"/>
        </w:rPr>
        <w:t>mmol</w:t>
      </w:r>
      <w:proofErr w:type="spellEnd"/>
      <w:r w:rsidRPr="00F778AF">
        <w:rPr>
          <w:szCs w:val="22"/>
        </w:rPr>
        <w:t xml:space="preserve"> (23 mg) natrio, </w:t>
      </w:r>
      <w:proofErr w:type="spellStart"/>
      <w:r w:rsidRPr="00F778AF">
        <w:rPr>
          <w:szCs w:val="22"/>
        </w:rPr>
        <w:t>t.y</w:t>
      </w:r>
      <w:proofErr w:type="spellEnd"/>
      <w:r w:rsidRPr="00F778AF">
        <w:rPr>
          <w:szCs w:val="22"/>
        </w:rPr>
        <w:t>. jis beveik neturi reikšmės.</w:t>
      </w:r>
    </w:p>
    <w:p w:rsidR="00AC11D6" w:rsidRPr="00F778AF" w:rsidRDefault="00AC11D6" w:rsidP="00AC11D6">
      <w:pPr>
        <w:pStyle w:val="Pagrindinistekstas"/>
        <w:spacing w:after="0"/>
        <w:rPr>
          <w:szCs w:val="22"/>
        </w:rPr>
      </w:pPr>
    </w:p>
    <w:p w:rsidR="00AC11D6" w:rsidRPr="00F778AF" w:rsidRDefault="00AC11D6" w:rsidP="00AC11D6">
      <w:pPr>
        <w:pStyle w:val="Pagrindinistekstas"/>
        <w:spacing w:after="0"/>
        <w:rPr>
          <w:szCs w:val="22"/>
        </w:rPr>
      </w:pPr>
    </w:p>
    <w:p w:rsidR="00AC11D6" w:rsidRPr="00F778AF" w:rsidRDefault="00AC11D6" w:rsidP="00AC11D6">
      <w:pPr>
        <w:pStyle w:val="Antrat2"/>
      </w:pPr>
      <w:r w:rsidRPr="00F778AF">
        <w:t>3.</w:t>
      </w:r>
      <w:r w:rsidRPr="00F778AF">
        <w:tab/>
        <w:t xml:space="preserve">Kaip vartoti </w:t>
      </w:r>
      <w:proofErr w:type="spellStart"/>
      <w:r w:rsidRPr="00F778AF">
        <w:t>Imdur</w:t>
      </w:r>
      <w:proofErr w:type="spellEnd"/>
      <w:r w:rsidRPr="00F778AF">
        <w:t xml:space="preserve"> </w:t>
      </w:r>
    </w:p>
    <w:p w:rsidR="00AC11D6" w:rsidRPr="00F778AF" w:rsidRDefault="00AC11D6" w:rsidP="00AC11D6">
      <w:pPr>
        <w:pStyle w:val="Pagrindinistekstas"/>
        <w:spacing w:after="0"/>
        <w:rPr>
          <w:szCs w:val="22"/>
        </w:rPr>
      </w:pPr>
    </w:p>
    <w:p w:rsidR="00AC11D6" w:rsidRPr="00F778AF" w:rsidRDefault="00AC11D6" w:rsidP="00AC11D6">
      <w:pPr>
        <w:pStyle w:val="Pagrindinistekstas"/>
        <w:spacing w:after="0"/>
        <w:rPr>
          <w:szCs w:val="22"/>
        </w:rPr>
      </w:pPr>
      <w:proofErr w:type="spellStart"/>
      <w:r w:rsidRPr="00F778AF">
        <w:rPr>
          <w:szCs w:val="22"/>
        </w:rPr>
        <w:t>Imdur</w:t>
      </w:r>
      <w:proofErr w:type="spellEnd"/>
      <w:r w:rsidRPr="00F778AF">
        <w:rPr>
          <w:szCs w:val="22"/>
        </w:rPr>
        <w:t xml:space="preserve"> visada vartokite tiksliai pagal gydytojo nurodymą. Jei dėl ko nors abejojate, klauskite gydytojo arba vaistininko. </w:t>
      </w:r>
      <w:proofErr w:type="spellStart"/>
      <w:r w:rsidRPr="00F778AF">
        <w:rPr>
          <w:szCs w:val="22"/>
        </w:rPr>
        <w:t>Imdur</w:t>
      </w:r>
      <w:proofErr w:type="spellEnd"/>
      <w:r w:rsidRPr="00F778AF">
        <w:rPr>
          <w:szCs w:val="22"/>
        </w:rPr>
        <w:t xml:space="preserve"> galima gerti valgant arba nevalgius.</w:t>
      </w:r>
    </w:p>
    <w:p w:rsidR="00AC11D6" w:rsidRPr="00F778AF" w:rsidRDefault="00AC11D6" w:rsidP="00AC11D6">
      <w:pPr>
        <w:pStyle w:val="Pagrindinistekstas"/>
        <w:spacing w:after="0"/>
        <w:rPr>
          <w:szCs w:val="22"/>
        </w:rPr>
      </w:pPr>
    </w:p>
    <w:p w:rsidR="00AC11D6" w:rsidRPr="00F778AF" w:rsidRDefault="00AC11D6" w:rsidP="00AC11D6">
      <w:pPr>
        <w:pStyle w:val="Pagrindinistekstas"/>
        <w:spacing w:after="0"/>
        <w:rPr>
          <w:szCs w:val="22"/>
        </w:rPr>
      </w:pPr>
      <w:r w:rsidRPr="00F778AF">
        <w:rPr>
          <w:szCs w:val="22"/>
        </w:rPr>
        <w:t xml:space="preserve">60 mg tabletė turi vagelę, todėl ją galima perlaužti. </w:t>
      </w:r>
      <w:proofErr w:type="spellStart"/>
      <w:r w:rsidRPr="00F778AF">
        <w:rPr>
          <w:szCs w:val="22"/>
        </w:rPr>
        <w:t>Imdur</w:t>
      </w:r>
      <w:proofErr w:type="spellEnd"/>
      <w:r w:rsidRPr="00F778AF">
        <w:rPr>
          <w:szCs w:val="22"/>
        </w:rPr>
        <w:t xml:space="preserve"> tabletės ar jos pusės negalima kramtyti arba smulkinti, ją visada reikia nuryti užgeriant puse stiklinės skysčio.</w:t>
      </w:r>
    </w:p>
    <w:p w:rsidR="00AC11D6" w:rsidRPr="00F778AF" w:rsidRDefault="00AC11D6" w:rsidP="00AC11D6">
      <w:pPr>
        <w:pStyle w:val="Pagrindinistekstas"/>
        <w:spacing w:after="0"/>
        <w:rPr>
          <w:szCs w:val="22"/>
        </w:rPr>
      </w:pPr>
    </w:p>
    <w:p w:rsidR="00AC11D6" w:rsidRPr="00F778AF" w:rsidRDefault="00AC11D6" w:rsidP="00AC11D6">
      <w:pPr>
        <w:pStyle w:val="Pagrindinistekstas"/>
        <w:spacing w:after="0"/>
        <w:rPr>
          <w:szCs w:val="22"/>
        </w:rPr>
      </w:pPr>
      <w:r w:rsidRPr="00F778AF">
        <w:rPr>
          <w:szCs w:val="22"/>
        </w:rPr>
        <w:t>Paprastai geriama 60 mg 1 kartą per parą (rytą). Prireikus gydytojas gali padidinti dozę iki 120 mg 1 kartą per parą (rytą).</w:t>
      </w:r>
      <w:r w:rsidRPr="00F778AF">
        <w:rPr>
          <w:szCs w:val="22"/>
        </w:rPr>
        <w:br/>
      </w:r>
    </w:p>
    <w:p w:rsidR="00AC11D6" w:rsidRPr="00F778AF" w:rsidRDefault="00AC11D6" w:rsidP="00AC11D6">
      <w:pPr>
        <w:pStyle w:val="Pagrindinistekstas"/>
        <w:spacing w:after="0"/>
        <w:rPr>
          <w:szCs w:val="22"/>
        </w:rPr>
      </w:pPr>
      <w:r w:rsidRPr="00F778AF">
        <w:rPr>
          <w:szCs w:val="22"/>
        </w:rPr>
        <w:t>Kad sumažėtų galvos skausmo tikimybė, pirmąsias 2-4 dienas gydytojas gali patarti vartoti mažesnę dozę – 30 mg.</w:t>
      </w:r>
    </w:p>
    <w:p w:rsidR="00AC11D6" w:rsidRPr="00F778AF" w:rsidRDefault="00AC11D6" w:rsidP="00AC11D6">
      <w:pPr>
        <w:pStyle w:val="Pagrindinistekstas"/>
        <w:spacing w:after="0"/>
        <w:rPr>
          <w:szCs w:val="22"/>
        </w:rPr>
      </w:pPr>
    </w:p>
    <w:p w:rsidR="00AC11D6" w:rsidRPr="00F778AF" w:rsidRDefault="00AC11D6" w:rsidP="00AC11D6">
      <w:pPr>
        <w:pStyle w:val="Pagrindinistekstas"/>
        <w:spacing w:after="0"/>
        <w:rPr>
          <w:szCs w:val="22"/>
        </w:rPr>
      </w:pPr>
      <w:r w:rsidRPr="00F778AF">
        <w:rPr>
          <w:szCs w:val="22"/>
        </w:rPr>
        <w:t>Tabletės matrica yra netirpi, tačiau suyra atsipalaiduojant veikliajai medžiagai. Retkarčiais matrica gali patekti į išmatas nesuirusi virškinimo trakte, tačiau veiklioji medžiaga vis tiek jau būna atpalaiduota.</w:t>
      </w:r>
    </w:p>
    <w:p w:rsidR="00AC11D6" w:rsidRPr="00F778AF" w:rsidRDefault="00AC11D6" w:rsidP="00AC11D6">
      <w:pPr>
        <w:pStyle w:val="Pagrindinistekstas"/>
        <w:spacing w:after="0"/>
        <w:rPr>
          <w:szCs w:val="22"/>
        </w:rPr>
      </w:pPr>
    </w:p>
    <w:p w:rsidR="00AC11D6" w:rsidRPr="00F778AF" w:rsidRDefault="00AC11D6" w:rsidP="00AC11D6">
      <w:pPr>
        <w:pStyle w:val="Pagrindinistekstas"/>
        <w:spacing w:after="0"/>
        <w:rPr>
          <w:szCs w:val="22"/>
        </w:rPr>
      </w:pPr>
      <w:r w:rsidRPr="00F778AF">
        <w:rPr>
          <w:szCs w:val="22"/>
        </w:rPr>
        <w:t xml:space="preserve">Senyviems pacientams </w:t>
      </w:r>
      <w:proofErr w:type="spellStart"/>
      <w:r w:rsidRPr="00F778AF">
        <w:rPr>
          <w:szCs w:val="22"/>
        </w:rPr>
        <w:t>Imdur</w:t>
      </w:r>
      <w:proofErr w:type="spellEnd"/>
      <w:r w:rsidRPr="00F778AF">
        <w:rPr>
          <w:szCs w:val="22"/>
        </w:rPr>
        <w:t xml:space="preserve"> dozės koreguoti nereikia, išskyrus atvejį, kai sumažėjęs kraujo</w:t>
      </w:r>
      <w:r w:rsidRPr="00F778AF">
        <w:rPr>
          <w:szCs w:val="22"/>
        </w:rPr>
        <w:softHyphen/>
        <w:t>spū</w:t>
      </w:r>
      <w:r w:rsidRPr="00F778AF">
        <w:rPr>
          <w:szCs w:val="22"/>
        </w:rPr>
        <w:softHyphen/>
        <w:t>dis.</w:t>
      </w:r>
    </w:p>
    <w:p w:rsidR="00AC11D6" w:rsidRPr="00F778AF" w:rsidRDefault="00AC11D6" w:rsidP="00AC11D6">
      <w:pPr>
        <w:pStyle w:val="Pagrindinistekstas"/>
        <w:spacing w:after="0"/>
        <w:rPr>
          <w:szCs w:val="22"/>
        </w:rPr>
      </w:pPr>
    </w:p>
    <w:p w:rsidR="00AC11D6" w:rsidRPr="00F778AF" w:rsidRDefault="00AC11D6" w:rsidP="00AC11D6">
      <w:pPr>
        <w:pStyle w:val="Pagrindinistekstas"/>
        <w:spacing w:after="0"/>
        <w:rPr>
          <w:szCs w:val="22"/>
        </w:rPr>
      </w:pPr>
      <w:r w:rsidRPr="00F778AF">
        <w:rPr>
          <w:szCs w:val="22"/>
        </w:rPr>
        <w:t xml:space="preserve">Jeigu manote, kad </w:t>
      </w:r>
      <w:proofErr w:type="spellStart"/>
      <w:r w:rsidRPr="00F778AF">
        <w:rPr>
          <w:szCs w:val="22"/>
        </w:rPr>
        <w:t>Imdur</w:t>
      </w:r>
      <w:proofErr w:type="spellEnd"/>
      <w:r w:rsidRPr="00F778AF">
        <w:rPr>
          <w:szCs w:val="22"/>
        </w:rPr>
        <w:t xml:space="preserve"> veikia per stipriai arba per silpnai, kreipkitės į gydytoją arba vaistininką.</w:t>
      </w:r>
    </w:p>
    <w:p w:rsidR="00AC11D6" w:rsidRPr="00F778AF" w:rsidRDefault="00AC11D6" w:rsidP="00AC11D6">
      <w:pPr>
        <w:pStyle w:val="Pagrindinistekstas"/>
        <w:spacing w:after="0"/>
        <w:rPr>
          <w:szCs w:val="22"/>
        </w:rPr>
      </w:pPr>
    </w:p>
    <w:p w:rsidR="00AC11D6" w:rsidRPr="00F778AF" w:rsidRDefault="00AC11D6" w:rsidP="00AC11D6">
      <w:pPr>
        <w:pStyle w:val="Antrat3"/>
      </w:pPr>
      <w:r w:rsidRPr="00F778AF">
        <w:t xml:space="preserve">Ką daryti pavartojus per didelę </w:t>
      </w:r>
      <w:proofErr w:type="spellStart"/>
      <w:r w:rsidRPr="00F778AF">
        <w:t>Imdur</w:t>
      </w:r>
      <w:proofErr w:type="spellEnd"/>
      <w:r w:rsidRPr="00F778AF">
        <w:t xml:space="preserve"> dozę?</w:t>
      </w:r>
    </w:p>
    <w:p w:rsidR="00AC11D6" w:rsidRPr="00F778AF" w:rsidRDefault="00AC11D6" w:rsidP="00AC11D6">
      <w:pPr>
        <w:pStyle w:val="Pagrindinistekstas"/>
        <w:spacing w:after="0"/>
        <w:rPr>
          <w:szCs w:val="22"/>
        </w:rPr>
      </w:pPr>
      <w:r w:rsidRPr="00F778AF">
        <w:rPr>
          <w:szCs w:val="22"/>
        </w:rPr>
        <w:t xml:space="preserve">Išgėrę per didelę </w:t>
      </w:r>
      <w:proofErr w:type="spellStart"/>
      <w:r w:rsidRPr="00F778AF">
        <w:rPr>
          <w:szCs w:val="22"/>
        </w:rPr>
        <w:t>Imdur</w:t>
      </w:r>
      <w:proofErr w:type="spellEnd"/>
      <w:r w:rsidRPr="00F778AF">
        <w:rPr>
          <w:szCs w:val="22"/>
        </w:rPr>
        <w:t xml:space="preserve"> dozę, nedelsdami kreipkitės į gydytoją arba vaistininką.</w:t>
      </w:r>
    </w:p>
    <w:p w:rsidR="00AC11D6" w:rsidRPr="00F778AF" w:rsidRDefault="00AC11D6" w:rsidP="00AC11D6">
      <w:pPr>
        <w:pStyle w:val="Pagrindinistekstas"/>
        <w:spacing w:after="0"/>
        <w:rPr>
          <w:szCs w:val="22"/>
        </w:rPr>
      </w:pPr>
    </w:p>
    <w:p w:rsidR="00AC11D6" w:rsidRPr="00F778AF" w:rsidRDefault="00AC11D6" w:rsidP="00AC11D6">
      <w:pPr>
        <w:pStyle w:val="Pagrindinistekstas"/>
        <w:spacing w:after="0"/>
        <w:rPr>
          <w:szCs w:val="22"/>
        </w:rPr>
      </w:pPr>
      <w:r w:rsidRPr="00F778AF">
        <w:rPr>
          <w:szCs w:val="22"/>
        </w:rPr>
        <w:t>Perdozavimo simptomai yra pulsuojantis galvos skausmas, sujaudinimas, paraudimas priplūdus kraujo, šaltas prakaitas, galvos svaigimas, pykinimas, vėmimas, galvos sukimasis, sąmonės netekimas, dažni širdies susitraukimai. Dėl to šį vaistą labai svarbu vartoti gydytojo nurodytomis dozėmis. Pasireiškus kuriam nors iš nurodytų simptomų, būtina nedelsiant kviesti gydytoją.</w:t>
      </w:r>
    </w:p>
    <w:p w:rsidR="00AC11D6" w:rsidRPr="00F778AF" w:rsidRDefault="00AC11D6" w:rsidP="00AC11D6">
      <w:pPr>
        <w:pStyle w:val="Pagrindinistekstas"/>
        <w:spacing w:after="0"/>
        <w:rPr>
          <w:szCs w:val="22"/>
        </w:rPr>
      </w:pPr>
    </w:p>
    <w:p w:rsidR="00AC11D6" w:rsidRPr="00F778AF" w:rsidRDefault="00AC11D6" w:rsidP="00AC11D6">
      <w:pPr>
        <w:pStyle w:val="Antrat3"/>
      </w:pPr>
      <w:r w:rsidRPr="00F778AF">
        <w:t xml:space="preserve">Pamiršus pavartoti </w:t>
      </w:r>
      <w:proofErr w:type="spellStart"/>
      <w:r w:rsidRPr="00F778AF">
        <w:t>Imdur</w:t>
      </w:r>
      <w:proofErr w:type="spellEnd"/>
      <w:r w:rsidRPr="00F778AF">
        <w:t xml:space="preserve"> </w:t>
      </w:r>
    </w:p>
    <w:p w:rsidR="00AC11D6" w:rsidRPr="00F778AF" w:rsidRDefault="00AC11D6" w:rsidP="00AC11D6">
      <w:pPr>
        <w:pStyle w:val="Pagrindinistekstas"/>
        <w:spacing w:after="0"/>
        <w:rPr>
          <w:szCs w:val="22"/>
        </w:rPr>
      </w:pPr>
      <w:r w:rsidRPr="00F778AF">
        <w:rPr>
          <w:szCs w:val="22"/>
        </w:rPr>
        <w:t xml:space="preserve">Praleidus dozę, vėliau vietoj jos dvigubos dozės vartoti negalima. Jei po to, kai reikėjo gerti </w:t>
      </w:r>
      <w:proofErr w:type="spellStart"/>
      <w:r w:rsidRPr="00F778AF">
        <w:rPr>
          <w:szCs w:val="22"/>
        </w:rPr>
        <w:t>Imdur</w:t>
      </w:r>
      <w:proofErr w:type="spellEnd"/>
      <w:r w:rsidRPr="00F778AF">
        <w:rPr>
          <w:szCs w:val="22"/>
        </w:rPr>
        <w:t>, praėjo mažiau kaip 4 val., išgerkite užmirštą tabletę, o toliau vaistą vartokite įprasta tvarka. Jei praėjo daugiau kaip 4 val., tai palaukite, kol ateis laikas kitai dozei gerti.</w:t>
      </w:r>
    </w:p>
    <w:p w:rsidR="00AC11D6" w:rsidRPr="00F778AF" w:rsidRDefault="00AC11D6" w:rsidP="00AC11D6">
      <w:pPr>
        <w:pStyle w:val="Pagrindinistekstas"/>
        <w:spacing w:after="0"/>
        <w:rPr>
          <w:szCs w:val="22"/>
        </w:rPr>
      </w:pPr>
    </w:p>
    <w:p w:rsidR="00AC11D6" w:rsidRPr="00F778AF" w:rsidRDefault="00AC11D6" w:rsidP="00AC11D6">
      <w:pPr>
        <w:pStyle w:val="Pagrindinistekstas"/>
        <w:spacing w:after="0"/>
        <w:rPr>
          <w:szCs w:val="22"/>
        </w:rPr>
      </w:pPr>
    </w:p>
    <w:p w:rsidR="00AC11D6" w:rsidRPr="00F778AF" w:rsidRDefault="00AC11D6" w:rsidP="00AC11D6">
      <w:pPr>
        <w:pStyle w:val="Antrat2"/>
      </w:pPr>
      <w:r w:rsidRPr="00F778AF">
        <w:t>4.</w:t>
      </w:r>
      <w:r w:rsidRPr="00F778AF">
        <w:tab/>
        <w:t>Galimas šalutinis poveikis</w:t>
      </w:r>
    </w:p>
    <w:p w:rsidR="00AC11D6" w:rsidRPr="00F778AF" w:rsidRDefault="00AC11D6" w:rsidP="00AC11D6">
      <w:pPr>
        <w:pStyle w:val="Pagrindinistekstas"/>
        <w:spacing w:after="0"/>
        <w:rPr>
          <w:szCs w:val="22"/>
        </w:rPr>
      </w:pPr>
    </w:p>
    <w:p w:rsidR="00AC11D6" w:rsidRPr="00F778AF" w:rsidRDefault="00AC11D6" w:rsidP="00AC11D6">
      <w:pPr>
        <w:pStyle w:val="Pagrindinistekstas"/>
        <w:spacing w:after="0"/>
        <w:rPr>
          <w:szCs w:val="22"/>
        </w:rPr>
      </w:pPr>
      <w:r w:rsidRPr="00F778AF">
        <w:rPr>
          <w:noProof/>
          <w:szCs w:val="22"/>
        </w:rPr>
        <w:t>Šis vaistas, kaip ir visi kiti, gali sukelti šalutinį poveikį, nors jis pasireiškia ne visiems žmonėms.</w:t>
      </w:r>
      <w:r w:rsidRPr="00F778AF" w:rsidDel="006949D9">
        <w:rPr>
          <w:szCs w:val="22"/>
        </w:rPr>
        <w:t xml:space="preserve"> </w:t>
      </w:r>
    </w:p>
    <w:p w:rsidR="00AC11D6" w:rsidRPr="00F778AF" w:rsidRDefault="00AC11D6" w:rsidP="00AC11D6">
      <w:pPr>
        <w:pStyle w:val="Pagrindinistekstas"/>
        <w:spacing w:after="0"/>
        <w:rPr>
          <w:szCs w:val="22"/>
        </w:rPr>
      </w:pPr>
      <w:r w:rsidRPr="00F778AF">
        <w:rPr>
          <w:szCs w:val="22"/>
        </w:rPr>
        <w:t>Šį vaistą vartojant toliau, jis dažniau</w:t>
      </w:r>
      <w:r w:rsidRPr="00F778AF">
        <w:rPr>
          <w:szCs w:val="22"/>
        </w:rPr>
        <w:softHyphen/>
        <w:t xml:space="preserve">siai praeina. Pradėjus vartoti </w:t>
      </w:r>
      <w:proofErr w:type="spellStart"/>
      <w:r w:rsidRPr="00F778AF">
        <w:rPr>
          <w:szCs w:val="22"/>
        </w:rPr>
        <w:t>Imdur</w:t>
      </w:r>
      <w:proofErr w:type="spellEnd"/>
      <w:r w:rsidRPr="00F778AF">
        <w:rPr>
          <w:szCs w:val="22"/>
        </w:rPr>
        <w:t>, gali skaudėti galvą. Kartais sumažėja kraujospūdis, todėl svaigsta galva, pykina, padažnėja širdies susitraukimai. Aprašyta retų atvejų, kai pacientas nualpo, pradėjo vemti, viduriuoti, išbėrė ir niežėjo odą. Pavieniams pacientams skaudėjo raumenis.</w:t>
      </w:r>
    </w:p>
    <w:p w:rsidR="00AC11D6" w:rsidRPr="00F778AF" w:rsidRDefault="00AC11D6" w:rsidP="00AC11D6">
      <w:pPr>
        <w:pStyle w:val="Pagrindinistekstas"/>
        <w:spacing w:after="0"/>
        <w:rPr>
          <w:szCs w:val="22"/>
        </w:rPr>
      </w:pPr>
    </w:p>
    <w:p w:rsidR="00AC11D6" w:rsidRPr="00F778AF" w:rsidRDefault="00AC11D6" w:rsidP="00AC11D6">
      <w:pPr>
        <w:tabs>
          <w:tab w:val="left" w:pos="567"/>
        </w:tabs>
        <w:rPr>
          <w:bCs w:val="0"/>
          <w:snapToGrid w:val="0"/>
          <w:sz w:val="22"/>
          <w:szCs w:val="22"/>
        </w:rPr>
      </w:pPr>
      <w:r w:rsidRPr="00F778AF">
        <w:rPr>
          <w:bCs w:val="0"/>
          <w:noProof/>
          <w:snapToGrid w:val="0"/>
          <w:sz w:val="22"/>
          <w:szCs w:val="22"/>
        </w:rPr>
        <w:t>Pranešimas apie šalutinį poveikį</w:t>
      </w:r>
    </w:p>
    <w:p w:rsidR="00AC11D6" w:rsidRPr="006B4733" w:rsidRDefault="00AC11D6" w:rsidP="00AC11D6">
      <w:pPr>
        <w:tabs>
          <w:tab w:val="left" w:pos="567"/>
        </w:tabs>
        <w:spacing w:line="260" w:lineRule="exact"/>
        <w:ind w:right="-449"/>
        <w:rPr>
          <w:b w:val="0"/>
          <w:bCs w:val="0"/>
          <w:noProof/>
          <w:snapToGrid w:val="0"/>
          <w:sz w:val="22"/>
          <w:szCs w:val="22"/>
        </w:rPr>
      </w:pPr>
      <w:r w:rsidRPr="00F778AF">
        <w:rPr>
          <w:b w:val="0"/>
          <w:bCs w:val="0"/>
          <w:noProof/>
          <w:snapToGrid w:val="0"/>
          <w:sz w:val="22"/>
          <w:szCs w:val="22"/>
        </w:rPr>
        <w:t>Jeigu pasireiškė šalutinis poveikis, įskaitant šiame lapelyje nenurodytą, pasakykite gydytojui arba vaistininkui</w:t>
      </w:r>
      <w:r w:rsidRPr="00F778AF">
        <w:rPr>
          <w:b w:val="0"/>
          <w:bCs w:val="0"/>
          <w:snapToGrid w:val="0"/>
          <w:sz w:val="22"/>
          <w:szCs w:val="22"/>
        </w:rPr>
        <w:t>.</w:t>
      </w:r>
      <w:r w:rsidRPr="00F778AF">
        <w:rPr>
          <w:b w:val="0"/>
          <w:bCs w:val="0"/>
          <w:noProof/>
          <w:snapToGrid w:val="0"/>
          <w:sz w:val="22"/>
          <w:szCs w:val="22"/>
        </w:rPr>
        <w:t xml:space="preserve"> </w:t>
      </w:r>
      <w:r w:rsidRPr="005F2C94">
        <w:rPr>
          <w:b w:val="0"/>
          <w:bCs w:val="0"/>
          <w:sz w:val="22"/>
          <w:szCs w:val="22"/>
          <w:lang w:eastAsia="lt-LT"/>
        </w:rPr>
        <w:t xml:space="preserve">Pranešimą apie šalutinį poveikį galite užpildyti ir pateikti Valstybinės vaistų kontrolės tarnybos prie Lietuvos Respublikos sveikatos apsaugos ministerijos tinklalapyje </w:t>
      </w:r>
      <w:r w:rsidRPr="005F2C94">
        <w:rPr>
          <w:b w:val="0"/>
          <w:bCs w:val="0"/>
          <w:color w:val="0000EE"/>
          <w:sz w:val="22"/>
          <w:szCs w:val="22"/>
          <w:u w:val="single"/>
          <w:lang w:eastAsia="lt-LT"/>
        </w:rPr>
        <w:t>https://vvkt.lrv.lt/lt/</w:t>
      </w:r>
      <w:r w:rsidRPr="005F2C94">
        <w:rPr>
          <w:b w:val="0"/>
          <w:bCs w:val="0"/>
          <w:sz w:val="22"/>
          <w:szCs w:val="22"/>
          <w:lang w:eastAsia="lt-LT"/>
        </w:rPr>
        <w:t xml:space="preserve"> nurodytais būdais arba paskambinti nemokamu telefonu 8 800 73 568. Pranešdami apie šalutinį poveikį galite mums padėti gauti daugiau informacijos apie šio vaisto saugumą</w:t>
      </w:r>
      <w:r>
        <w:rPr>
          <w:b w:val="0"/>
          <w:bCs w:val="0"/>
          <w:sz w:val="22"/>
          <w:szCs w:val="22"/>
          <w:lang w:eastAsia="lt-LT"/>
        </w:rPr>
        <w:t>.</w:t>
      </w:r>
    </w:p>
    <w:p w:rsidR="00AC11D6" w:rsidRPr="00F778AF" w:rsidRDefault="00AC11D6" w:rsidP="00AC11D6">
      <w:pPr>
        <w:pStyle w:val="Pagrindinistekstas"/>
        <w:spacing w:after="0"/>
        <w:rPr>
          <w:szCs w:val="22"/>
        </w:rPr>
      </w:pPr>
    </w:p>
    <w:p w:rsidR="00AC11D6" w:rsidRPr="00F778AF" w:rsidRDefault="00AC11D6" w:rsidP="00AC11D6">
      <w:pPr>
        <w:pStyle w:val="Pagrindinistekstas"/>
        <w:spacing w:after="0"/>
        <w:rPr>
          <w:szCs w:val="22"/>
        </w:rPr>
      </w:pPr>
    </w:p>
    <w:p w:rsidR="00AC11D6" w:rsidRPr="00F778AF" w:rsidRDefault="00AC11D6" w:rsidP="00AC11D6">
      <w:pPr>
        <w:pStyle w:val="Antrat2"/>
      </w:pPr>
      <w:r w:rsidRPr="00F778AF">
        <w:t>5.</w:t>
      </w:r>
      <w:r w:rsidRPr="00F778AF">
        <w:tab/>
        <w:t xml:space="preserve">Kaip laikyti </w:t>
      </w:r>
      <w:proofErr w:type="spellStart"/>
      <w:r w:rsidRPr="00F778AF">
        <w:t>Imdur</w:t>
      </w:r>
      <w:proofErr w:type="spellEnd"/>
      <w:r w:rsidRPr="00F778AF">
        <w:t xml:space="preserve"> </w:t>
      </w:r>
    </w:p>
    <w:p w:rsidR="00AC11D6" w:rsidRPr="00F778AF" w:rsidRDefault="00AC11D6" w:rsidP="00AC11D6">
      <w:pPr>
        <w:pStyle w:val="Pagrindinistekstas"/>
        <w:spacing w:after="0"/>
        <w:rPr>
          <w:szCs w:val="22"/>
        </w:rPr>
      </w:pPr>
    </w:p>
    <w:p w:rsidR="00AC11D6" w:rsidRPr="00F778AF" w:rsidRDefault="00AC11D6" w:rsidP="00AC11D6">
      <w:pPr>
        <w:pStyle w:val="Pagrindinistekstas"/>
        <w:spacing w:after="0"/>
        <w:rPr>
          <w:szCs w:val="22"/>
        </w:rPr>
      </w:pPr>
      <w:r w:rsidRPr="00F778AF">
        <w:rPr>
          <w:szCs w:val="22"/>
        </w:rPr>
        <w:t>Šį vaistą laikykite  vaikams nepastebimoje ir nepasiekiamoje vietoje.</w:t>
      </w:r>
    </w:p>
    <w:p w:rsidR="00AC11D6" w:rsidRPr="00F778AF" w:rsidRDefault="00AC11D6" w:rsidP="00AC11D6">
      <w:pPr>
        <w:pStyle w:val="Pagrindinistekstas"/>
        <w:spacing w:after="0"/>
        <w:rPr>
          <w:szCs w:val="22"/>
        </w:rPr>
      </w:pPr>
    </w:p>
    <w:p w:rsidR="00AC11D6" w:rsidRPr="00F778AF" w:rsidRDefault="00AC11D6" w:rsidP="00AC11D6">
      <w:pPr>
        <w:pStyle w:val="Pagrindinistekstas"/>
        <w:spacing w:after="0"/>
        <w:rPr>
          <w:szCs w:val="22"/>
        </w:rPr>
      </w:pPr>
      <w:r w:rsidRPr="00F778AF">
        <w:rPr>
          <w:szCs w:val="22"/>
        </w:rPr>
        <w:t>Šiam vaistui specialių laikymo sąlygų nereikia.</w:t>
      </w:r>
    </w:p>
    <w:p w:rsidR="00AC11D6" w:rsidRPr="00F778AF" w:rsidRDefault="00AC11D6" w:rsidP="00AC11D6">
      <w:pPr>
        <w:pStyle w:val="Pagrindinistekstas"/>
        <w:spacing w:after="0"/>
        <w:rPr>
          <w:szCs w:val="22"/>
        </w:rPr>
      </w:pPr>
      <w:r w:rsidRPr="00F778AF">
        <w:rPr>
          <w:szCs w:val="22"/>
        </w:rPr>
        <w:t>Ant dėžutės  po „</w:t>
      </w:r>
      <w:r>
        <w:rPr>
          <w:szCs w:val="22"/>
        </w:rPr>
        <w:t>EXP</w:t>
      </w:r>
      <w:r w:rsidRPr="00F778AF">
        <w:rPr>
          <w:szCs w:val="22"/>
        </w:rPr>
        <w:t>“ ir buteliuko nurodytam tinkamumo laikui pasibaigus, šio vaisto vartoti negalima. Vaistas tinka vartoti iki paskutinės nurodyto mėnesio dienos.</w:t>
      </w:r>
    </w:p>
    <w:p w:rsidR="00AC11D6" w:rsidRPr="00F778AF" w:rsidRDefault="00AC11D6" w:rsidP="00AC11D6">
      <w:pPr>
        <w:pStyle w:val="Pagrindinistekstas"/>
        <w:spacing w:after="0"/>
        <w:rPr>
          <w:szCs w:val="22"/>
        </w:rPr>
      </w:pPr>
    </w:p>
    <w:p w:rsidR="00AC11D6" w:rsidRPr="00F778AF" w:rsidRDefault="00AC11D6" w:rsidP="00AC11D6">
      <w:pPr>
        <w:pStyle w:val="Pagrindinistekstas"/>
        <w:spacing w:after="0"/>
        <w:rPr>
          <w:szCs w:val="22"/>
        </w:rPr>
      </w:pPr>
      <w:r w:rsidRPr="00F778AF">
        <w:rPr>
          <w:noProof/>
          <w:snapToGrid w:val="0"/>
          <w:szCs w:val="22"/>
        </w:rPr>
        <w:t>Vaistų negalima išmesti į kanalizaciją arba su buitinėmis atliekomis.</w:t>
      </w:r>
      <w:r w:rsidRPr="00F778AF">
        <w:rPr>
          <w:snapToGrid w:val="0"/>
          <w:szCs w:val="22"/>
        </w:rPr>
        <w:t xml:space="preserve"> </w:t>
      </w:r>
      <w:r w:rsidRPr="00F778AF">
        <w:rPr>
          <w:noProof/>
          <w:snapToGrid w:val="0"/>
          <w:szCs w:val="22"/>
        </w:rPr>
        <w:t>Kaip išmesti nereikalingus vaistus, klauskite vaistininko.</w:t>
      </w:r>
      <w:r w:rsidRPr="00F778AF">
        <w:rPr>
          <w:snapToGrid w:val="0"/>
          <w:szCs w:val="22"/>
        </w:rPr>
        <w:t xml:space="preserve"> </w:t>
      </w:r>
      <w:r w:rsidRPr="00F778AF">
        <w:rPr>
          <w:noProof/>
          <w:snapToGrid w:val="0"/>
          <w:szCs w:val="22"/>
        </w:rPr>
        <w:t>Šios priemonės padės apsaugoti aplinką.</w:t>
      </w:r>
      <w:r w:rsidRPr="00F778AF" w:rsidDel="006949D9">
        <w:rPr>
          <w:szCs w:val="22"/>
        </w:rPr>
        <w:t xml:space="preserve"> </w:t>
      </w:r>
    </w:p>
    <w:p w:rsidR="00AC11D6" w:rsidRPr="00F778AF" w:rsidRDefault="00AC11D6" w:rsidP="00AC11D6">
      <w:pPr>
        <w:pStyle w:val="Pagrindinistekstas"/>
        <w:spacing w:after="0"/>
        <w:rPr>
          <w:szCs w:val="22"/>
        </w:rPr>
      </w:pPr>
    </w:p>
    <w:p w:rsidR="00AC11D6" w:rsidRPr="00F778AF" w:rsidRDefault="00AC11D6" w:rsidP="00AC11D6">
      <w:pPr>
        <w:pStyle w:val="Antrat2"/>
      </w:pPr>
      <w:r w:rsidRPr="00F778AF">
        <w:t>6.</w:t>
      </w:r>
      <w:r w:rsidRPr="00F778AF">
        <w:tab/>
        <w:t>Pakuotės turinys ir kita informacija</w:t>
      </w:r>
    </w:p>
    <w:p w:rsidR="00AC11D6" w:rsidRPr="00F778AF" w:rsidRDefault="00AC11D6" w:rsidP="00AC11D6">
      <w:pPr>
        <w:rPr>
          <w:sz w:val="22"/>
          <w:szCs w:val="22"/>
        </w:rPr>
      </w:pPr>
    </w:p>
    <w:p w:rsidR="00AC11D6" w:rsidRPr="00F778AF" w:rsidRDefault="00AC11D6" w:rsidP="00AC11D6">
      <w:pPr>
        <w:pStyle w:val="Pagrindinistekstas"/>
        <w:spacing w:after="0"/>
        <w:rPr>
          <w:b/>
          <w:bCs/>
          <w:szCs w:val="22"/>
        </w:rPr>
      </w:pPr>
      <w:proofErr w:type="spellStart"/>
      <w:r w:rsidRPr="00F778AF">
        <w:rPr>
          <w:b/>
          <w:bCs/>
          <w:szCs w:val="22"/>
        </w:rPr>
        <w:t>Imdur</w:t>
      </w:r>
      <w:proofErr w:type="spellEnd"/>
      <w:r w:rsidRPr="00F778AF">
        <w:rPr>
          <w:b/>
          <w:bCs/>
          <w:szCs w:val="22"/>
        </w:rPr>
        <w:t xml:space="preserve"> sudėtis</w:t>
      </w:r>
    </w:p>
    <w:p w:rsidR="00AC11D6" w:rsidRPr="00F778AF" w:rsidRDefault="00AC11D6" w:rsidP="00AC11D6">
      <w:pPr>
        <w:pStyle w:val="Pagrindinistekstas"/>
        <w:spacing w:after="0"/>
        <w:ind w:left="567" w:hanging="283"/>
        <w:rPr>
          <w:szCs w:val="22"/>
        </w:rPr>
      </w:pPr>
      <w:r w:rsidRPr="00F778AF">
        <w:rPr>
          <w:szCs w:val="22"/>
        </w:rPr>
        <w:t>-</w:t>
      </w:r>
      <w:r w:rsidRPr="00F778AF">
        <w:rPr>
          <w:szCs w:val="22"/>
        </w:rPr>
        <w:tab/>
        <w:t xml:space="preserve">Veiklioji medžiaga yra </w:t>
      </w:r>
      <w:proofErr w:type="spellStart"/>
      <w:r w:rsidRPr="00F778AF">
        <w:rPr>
          <w:szCs w:val="22"/>
        </w:rPr>
        <w:t>izosorbido</w:t>
      </w:r>
      <w:proofErr w:type="spellEnd"/>
      <w:r w:rsidRPr="00F778AF">
        <w:rPr>
          <w:szCs w:val="22"/>
        </w:rPr>
        <w:t xml:space="preserve"> </w:t>
      </w:r>
      <w:proofErr w:type="spellStart"/>
      <w:r w:rsidRPr="00F778AF">
        <w:rPr>
          <w:szCs w:val="22"/>
        </w:rPr>
        <w:t>mononitratas</w:t>
      </w:r>
      <w:proofErr w:type="spellEnd"/>
      <w:r w:rsidRPr="00F778AF">
        <w:rPr>
          <w:szCs w:val="22"/>
        </w:rPr>
        <w:t xml:space="preserve">. Kiekvienoje pailginto atpalaidavimo tabletėje yra 60 mg </w:t>
      </w:r>
      <w:proofErr w:type="spellStart"/>
      <w:r w:rsidRPr="00F778AF">
        <w:rPr>
          <w:szCs w:val="22"/>
        </w:rPr>
        <w:t>izosorbido</w:t>
      </w:r>
      <w:proofErr w:type="spellEnd"/>
      <w:r w:rsidRPr="00F778AF">
        <w:rPr>
          <w:szCs w:val="22"/>
        </w:rPr>
        <w:t xml:space="preserve"> </w:t>
      </w:r>
      <w:proofErr w:type="spellStart"/>
      <w:r w:rsidRPr="00F778AF">
        <w:rPr>
          <w:szCs w:val="22"/>
        </w:rPr>
        <w:t>mononitrato</w:t>
      </w:r>
      <w:proofErr w:type="spellEnd"/>
      <w:r w:rsidRPr="00F778AF">
        <w:rPr>
          <w:szCs w:val="22"/>
        </w:rPr>
        <w:t>.</w:t>
      </w:r>
    </w:p>
    <w:p w:rsidR="00AC11D6" w:rsidRPr="00F778AF" w:rsidRDefault="00AC11D6" w:rsidP="00AC11D6">
      <w:pPr>
        <w:pStyle w:val="Pagrindinistekstas"/>
        <w:spacing w:after="0"/>
        <w:ind w:left="567" w:hanging="283"/>
        <w:rPr>
          <w:szCs w:val="22"/>
        </w:rPr>
      </w:pPr>
      <w:r w:rsidRPr="00F778AF">
        <w:rPr>
          <w:szCs w:val="22"/>
        </w:rPr>
        <w:t>-</w:t>
      </w:r>
      <w:r w:rsidRPr="00F778AF">
        <w:rPr>
          <w:szCs w:val="22"/>
        </w:rPr>
        <w:tab/>
        <w:t xml:space="preserve">Pagalbinės medžiagos yra aliuminio-natrio silikatas, sintetinis parafinas, </w:t>
      </w:r>
      <w:proofErr w:type="spellStart"/>
      <w:r w:rsidRPr="00F778AF">
        <w:rPr>
          <w:szCs w:val="22"/>
        </w:rPr>
        <w:t>hidroksipropilceliuliozė</w:t>
      </w:r>
      <w:proofErr w:type="spellEnd"/>
      <w:r w:rsidRPr="00F778AF">
        <w:rPr>
          <w:szCs w:val="22"/>
        </w:rPr>
        <w:t xml:space="preserve">, magnio </w:t>
      </w:r>
      <w:proofErr w:type="spellStart"/>
      <w:r w:rsidRPr="00F778AF">
        <w:rPr>
          <w:szCs w:val="22"/>
        </w:rPr>
        <w:t>stearatas</w:t>
      </w:r>
      <w:proofErr w:type="spellEnd"/>
      <w:r w:rsidRPr="00F778AF">
        <w:rPr>
          <w:szCs w:val="22"/>
        </w:rPr>
        <w:t xml:space="preserve">, koloidinis bevandenis silicio dioksidas, </w:t>
      </w:r>
      <w:proofErr w:type="spellStart"/>
      <w:r w:rsidRPr="00F778AF">
        <w:rPr>
          <w:szCs w:val="22"/>
        </w:rPr>
        <w:t>hipromeliozė</w:t>
      </w:r>
      <w:proofErr w:type="spellEnd"/>
      <w:r w:rsidRPr="00F778AF">
        <w:rPr>
          <w:szCs w:val="22"/>
        </w:rPr>
        <w:t xml:space="preserve">, </w:t>
      </w:r>
      <w:proofErr w:type="spellStart"/>
      <w:r w:rsidRPr="00F778AF">
        <w:rPr>
          <w:szCs w:val="22"/>
        </w:rPr>
        <w:t>makrogolis</w:t>
      </w:r>
      <w:proofErr w:type="spellEnd"/>
      <w:r w:rsidRPr="00F778AF">
        <w:rPr>
          <w:szCs w:val="22"/>
        </w:rPr>
        <w:t xml:space="preserve"> ir dažikliai geltonasis geležies oksidas (E172) ir titano dioksidas (E171).</w:t>
      </w:r>
    </w:p>
    <w:p w:rsidR="00AC11D6" w:rsidRPr="00F778AF" w:rsidRDefault="00AC11D6" w:rsidP="00AC11D6">
      <w:pPr>
        <w:pStyle w:val="Pagrindinistekstas"/>
        <w:spacing w:after="0"/>
        <w:rPr>
          <w:szCs w:val="22"/>
        </w:rPr>
      </w:pPr>
    </w:p>
    <w:p w:rsidR="00AC11D6" w:rsidRPr="00F778AF" w:rsidRDefault="00AC11D6" w:rsidP="00AC11D6">
      <w:pPr>
        <w:pStyle w:val="Pagrindinistekstas"/>
        <w:spacing w:after="0"/>
        <w:rPr>
          <w:b/>
          <w:bCs/>
          <w:szCs w:val="22"/>
        </w:rPr>
      </w:pPr>
      <w:proofErr w:type="spellStart"/>
      <w:r w:rsidRPr="00F778AF">
        <w:rPr>
          <w:b/>
          <w:bCs/>
          <w:szCs w:val="22"/>
        </w:rPr>
        <w:t>Imdur</w:t>
      </w:r>
      <w:proofErr w:type="spellEnd"/>
      <w:r w:rsidRPr="00F778AF">
        <w:rPr>
          <w:b/>
          <w:bCs/>
          <w:szCs w:val="22"/>
        </w:rPr>
        <w:t xml:space="preserve"> išvaizda ir kiekis pakuotėje</w:t>
      </w:r>
    </w:p>
    <w:p w:rsidR="00AC11D6" w:rsidRPr="00F778AF" w:rsidRDefault="00AC11D6" w:rsidP="00AC11D6">
      <w:pPr>
        <w:pStyle w:val="BTEMEASMCA"/>
        <w:rPr>
          <w:noProof w:val="0"/>
        </w:rPr>
      </w:pPr>
      <w:r w:rsidRPr="00F778AF">
        <w:t xml:space="preserve">Imdur 60 mg pailginto atpalaidavimo tabletės yra geltonos, ovalios, abipus išgaubtos, su vagele, vienoje pusėje įrėžta A/ID. </w:t>
      </w:r>
      <w:r w:rsidRPr="00F778AF">
        <w:rPr>
          <w:noProof w:val="0"/>
        </w:rPr>
        <w:t>Vagelė skirta tik tabletei perlaužti, kad būtų lengviau nuryti, bet ne jai padalyti į lygias dozes.</w:t>
      </w:r>
    </w:p>
    <w:p w:rsidR="00AC11D6" w:rsidRPr="00F778AF" w:rsidRDefault="00AC11D6" w:rsidP="00AC11D6">
      <w:pPr>
        <w:pStyle w:val="Pagrindinistekstas"/>
        <w:spacing w:after="0"/>
        <w:rPr>
          <w:szCs w:val="22"/>
        </w:rPr>
      </w:pPr>
    </w:p>
    <w:p w:rsidR="00AC11D6" w:rsidRPr="00F778AF" w:rsidRDefault="00AC11D6" w:rsidP="00AC11D6">
      <w:pPr>
        <w:pStyle w:val="Pagrindinistekstas"/>
        <w:spacing w:after="0"/>
        <w:rPr>
          <w:szCs w:val="22"/>
        </w:rPr>
      </w:pPr>
      <w:r w:rsidRPr="00F778AF">
        <w:rPr>
          <w:szCs w:val="22"/>
        </w:rPr>
        <w:t>Tiekiamos DTPE buteliuke, kuriame yra 30 pailginto atpalaidavimo tablečių, supakuotame į kartono dėžutę.</w:t>
      </w:r>
    </w:p>
    <w:p w:rsidR="00AC11D6" w:rsidRPr="00F778AF" w:rsidRDefault="00AC11D6" w:rsidP="00AC11D6">
      <w:pPr>
        <w:pStyle w:val="Pagrindinistekstas"/>
        <w:spacing w:after="0"/>
        <w:rPr>
          <w:szCs w:val="22"/>
        </w:rPr>
      </w:pPr>
    </w:p>
    <w:p w:rsidR="00AC11D6" w:rsidRDefault="00AC11D6" w:rsidP="00AC11D6">
      <w:pPr>
        <w:pStyle w:val="Pagrindinistekstas"/>
        <w:spacing w:after="0"/>
        <w:rPr>
          <w:b/>
          <w:bCs/>
          <w:szCs w:val="22"/>
        </w:rPr>
      </w:pPr>
      <w:r w:rsidRPr="00F778AF">
        <w:rPr>
          <w:b/>
          <w:bCs/>
          <w:szCs w:val="22"/>
        </w:rPr>
        <w:t xml:space="preserve">Registruotojas </w:t>
      </w:r>
    </w:p>
    <w:p w:rsidR="00AC11D6" w:rsidRDefault="00AC11D6" w:rsidP="00AC11D6">
      <w:pPr>
        <w:pStyle w:val="Pagrindinistekstas"/>
        <w:spacing w:after="0"/>
        <w:rPr>
          <w:szCs w:val="22"/>
        </w:rPr>
      </w:pPr>
      <w:proofErr w:type="spellStart"/>
      <w:r w:rsidRPr="00515E15">
        <w:rPr>
          <w:szCs w:val="22"/>
        </w:rPr>
        <w:t>TopRidge</w:t>
      </w:r>
      <w:proofErr w:type="spellEnd"/>
      <w:r w:rsidRPr="00515E15">
        <w:rPr>
          <w:szCs w:val="22"/>
        </w:rPr>
        <w:t xml:space="preserve"> </w:t>
      </w:r>
      <w:proofErr w:type="spellStart"/>
      <w:r w:rsidRPr="00515E15">
        <w:rPr>
          <w:szCs w:val="22"/>
        </w:rPr>
        <w:t>Pharma</w:t>
      </w:r>
      <w:proofErr w:type="spellEnd"/>
      <w:r w:rsidRPr="00515E15">
        <w:rPr>
          <w:szCs w:val="22"/>
        </w:rPr>
        <w:t xml:space="preserve"> (</w:t>
      </w:r>
      <w:proofErr w:type="spellStart"/>
      <w:r w:rsidRPr="00515E15">
        <w:rPr>
          <w:szCs w:val="22"/>
        </w:rPr>
        <w:t>Ireland</w:t>
      </w:r>
      <w:proofErr w:type="spellEnd"/>
      <w:r w:rsidRPr="00515E15">
        <w:rPr>
          <w:szCs w:val="22"/>
        </w:rPr>
        <w:t xml:space="preserve">) </w:t>
      </w:r>
      <w:proofErr w:type="spellStart"/>
      <w:r w:rsidRPr="00515E15">
        <w:rPr>
          <w:szCs w:val="22"/>
        </w:rPr>
        <w:t>Limited</w:t>
      </w:r>
      <w:proofErr w:type="spellEnd"/>
      <w:r w:rsidRPr="00515E15">
        <w:rPr>
          <w:szCs w:val="22"/>
        </w:rPr>
        <w:t xml:space="preserve"> </w:t>
      </w:r>
    </w:p>
    <w:p w:rsidR="00AC11D6" w:rsidRDefault="00AC11D6" w:rsidP="00AC11D6">
      <w:pPr>
        <w:pStyle w:val="Pagrindinistekstas"/>
        <w:spacing w:after="0"/>
        <w:rPr>
          <w:szCs w:val="22"/>
        </w:rPr>
      </w:pPr>
      <w:r w:rsidRPr="00515E15">
        <w:rPr>
          <w:szCs w:val="22"/>
        </w:rPr>
        <w:t xml:space="preserve">6-9 </w:t>
      </w:r>
      <w:proofErr w:type="spellStart"/>
      <w:r w:rsidRPr="00515E15">
        <w:rPr>
          <w:szCs w:val="22"/>
        </w:rPr>
        <w:t>Trinity</w:t>
      </w:r>
      <w:proofErr w:type="spellEnd"/>
      <w:r w:rsidRPr="00515E15">
        <w:rPr>
          <w:szCs w:val="22"/>
        </w:rPr>
        <w:t xml:space="preserve"> </w:t>
      </w:r>
      <w:proofErr w:type="spellStart"/>
      <w:r w:rsidRPr="00515E15">
        <w:rPr>
          <w:szCs w:val="22"/>
        </w:rPr>
        <w:t>Street</w:t>
      </w:r>
      <w:proofErr w:type="spellEnd"/>
      <w:r>
        <w:rPr>
          <w:szCs w:val="22"/>
        </w:rPr>
        <w:t xml:space="preserve">, </w:t>
      </w:r>
      <w:r w:rsidRPr="00515E15">
        <w:rPr>
          <w:szCs w:val="22"/>
        </w:rPr>
        <w:t xml:space="preserve">Dublinas 2 </w:t>
      </w:r>
    </w:p>
    <w:p w:rsidR="00AC11D6" w:rsidRPr="00515E15" w:rsidRDefault="00AC11D6" w:rsidP="00AC11D6">
      <w:pPr>
        <w:pStyle w:val="Pagrindinistekstas"/>
        <w:spacing w:after="0"/>
        <w:rPr>
          <w:szCs w:val="22"/>
        </w:rPr>
      </w:pPr>
      <w:r w:rsidRPr="00515E15">
        <w:rPr>
          <w:szCs w:val="22"/>
        </w:rPr>
        <w:t>Airija</w:t>
      </w:r>
    </w:p>
    <w:p w:rsidR="00AC11D6" w:rsidRDefault="00AC11D6" w:rsidP="00AC11D6">
      <w:pPr>
        <w:pStyle w:val="Pagrindinistekstas"/>
        <w:spacing w:after="0"/>
        <w:rPr>
          <w:b/>
          <w:bCs/>
          <w:szCs w:val="22"/>
        </w:rPr>
      </w:pPr>
    </w:p>
    <w:p w:rsidR="00AC11D6" w:rsidRPr="00F778AF" w:rsidRDefault="00AC11D6" w:rsidP="00AC11D6">
      <w:pPr>
        <w:pStyle w:val="Pagrindinistekstas"/>
        <w:spacing w:after="0"/>
        <w:rPr>
          <w:b/>
          <w:bCs/>
          <w:szCs w:val="22"/>
        </w:rPr>
      </w:pPr>
      <w:r>
        <w:rPr>
          <w:b/>
          <w:bCs/>
          <w:szCs w:val="22"/>
        </w:rPr>
        <w:t>G</w:t>
      </w:r>
      <w:r w:rsidRPr="00F778AF">
        <w:rPr>
          <w:b/>
          <w:bCs/>
          <w:szCs w:val="22"/>
        </w:rPr>
        <w:t>amintoja</w:t>
      </w:r>
      <w:r>
        <w:rPr>
          <w:b/>
          <w:bCs/>
          <w:szCs w:val="22"/>
        </w:rPr>
        <w:t>i</w:t>
      </w:r>
    </w:p>
    <w:p w:rsidR="00AC11D6" w:rsidRPr="00347490" w:rsidRDefault="00AC11D6" w:rsidP="00AC11D6">
      <w:pPr>
        <w:rPr>
          <w:b w:val="0"/>
          <w:bCs w:val="0"/>
          <w:sz w:val="22"/>
          <w:szCs w:val="22"/>
        </w:rPr>
      </w:pPr>
      <w:proofErr w:type="spellStart"/>
      <w:r w:rsidRPr="00347490">
        <w:rPr>
          <w:b w:val="0"/>
          <w:bCs w:val="0"/>
          <w:sz w:val="22"/>
          <w:szCs w:val="22"/>
        </w:rPr>
        <w:t>Laboratorios</w:t>
      </w:r>
      <w:proofErr w:type="spellEnd"/>
      <w:r w:rsidRPr="00347490">
        <w:rPr>
          <w:b w:val="0"/>
          <w:bCs w:val="0"/>
          <w:sz w:val="22"/>
          <w:szCs w:val="22"/>
        </w:rPr>
        <w:t xml:space="preserve"> </w:t>
      </w:r>
      <w:proofErr w:type="spellStart"/>
      <w:r w:rsidRPr="00347490">
        <w:rPr>
          <w:b w:val="0"/>
          <w:bCs w:val="0"/>
          <w:sz w:val="22"/>
          <w:szCs w:val="22"/>
        </w:rPr>
        <w:t>Alcalá</w:t>
      </w:r>
      <w:proofErr w:type="spellEnd"/>
      <w:r w:rsidRPr="00347490">
        <w:rPr>
          <w:b w:val="0"/>
          <w:bCs w:val="0"/>
          <w:sz w:val="22"/>
          <w:szCs w:val="22"/>
        </w:rPr>
        <w:t xml:space="preserve"> </w:t>
      </w:r>
      <w:proofErr w:type="spellStart"/>
      <w:r w:rsidRPr="00347490">
        <w:rPr>
          <w:b w:val="0"/>
          <w:bCs w:val="0"/>
          <w:sz w:val="22"/>
          <w:szCs w:val="22"/>
        </w:rPr>
        <w:t>Farma</w:t>
      </w:r>
      <w:proofErr w:type="spellEnd"/>
      <w:r w:rsidRPr="00347490">
        <w:rPr>
          <w:b w:val="0"/>
          <w:bCs w:val="0"/>
          <w:sz w:val="22"/>
          <w:szCs w:val="22"/>
        </w:rPr>
        <w:t>, S.L.</w:t>
      </w:r>
    </w:p>
    <w:p w:rsidR="00AC11D6" w:rsidRPr="00347490" w:rsidRDefault="00AC11D6" w:rsidP="00AC11D6">
      <w:pPr>
        <w:rPr>
          <w:b w:val="0"/>
          <w:bCs w:val="0"/>
          <w:sz w:val="22"/>
          <w:szCs w:val="22"/>
        </w:rPr>
      </w:pPr>
      <w:proofErr w:type="spellStart"/>
      <w:r w:rsidRPr="00347490">
        <w:rPr>
          <w:b w:val="0"/>
          <w:bCs w:val="0"/>
          <w:sz w:val="22"/>
          <w:szCs w:val="22"/>
        </w:rPr>
        <w:t>Avenida</w:t>
      </w:r>
      <w:proofErr w:type="spellEnd"/>
      <w:r w:rsidRPr="00347490">
        <w:rPr>
          <w:b w:val="0"/>
          <w:bCs w:val="0"/>
          <w:sz w:val="22"/>
          <w:szCs w:val="22"/>
        </w:rPr>
        <w:t xml:space="preserve"> de </w:t>
      </w:r>
      <w:proofErr w:type="spellStart"/>
      <w:r w:rsidRPr="00347490">
        <w:rPr>
          <w:b w:val="0"/>
          <w:bCs w:val="0"/>
          <w:sz w:val="22"/>
          <w:szCs w:val="22"/>
        </w:rPr>
        <w:t>Madrid</w:t>
      </w:r>
      <w:proofErr w:type="spellEnd"/>
      <w:r w:rsidRPr="00347490">
        <w:rPr>
          <w:b w:val="0"/>
          <w:bCs w:val="0"/>
          <w:sz w:val="22"/>
          <w:szCs w:val="22"/>
        </w:rPr>
        <w:t xml:space="preserve">, 82, </w:t>
      </w:r>
    </w:p>
    <w:p w:rsidR="00AC11D6" w:rsidRPr="00347490" w:rsidRDefault="00AC11D6" w:rsidP="00AC11D6">
      <w:pPr>
        <w:rPr>
          <w:b w:val="0"/>
          <w:bCs w:val="0"/>
          <w:sz w:val="22"/>
          <w:szCs w:val="22"/>
        </w:rPr>
      </w:pPr>
      <w:proofErr w:type="spellStart"/>
      <w:r w:rsidRPr="00347490">
        <w:rPr>
          <w:b w:val="0"/>
          <w:bCs w:val="0"/>
          <w:sz w:val="22"/>
          <w:szCs w:val="22"/>
        </w:rPr>
        <w:t>Alcalá</w:t>
      </w:r>
      <w:proofErr w:type="spellEnd"/>
      <w:r w:rsidRPr="00347490">
        <w:rPr>
          <w:b w:val="0"/>
          <w:bCs w:val="0"/>
          <w:sz w:val="22"/>
          <w:szCs w:val="22"/>
        </w:rPr>
        <w:t xml:space="preserve"> de </w:t>
      </w:r>
      <w:proofErr w:type="spellStart"/>
      <w:r w:rsidRPr="00347490">
        <w:rPr>
          <w:b w:val="0"/>
          <w:bCs w:val="0"/>
          <w:sz w:val="22"/>
          <w:szCs w:val="22"/>
        </w:rPr>
        <w:t>Henares</w:t>
      </w:r>
      <w:proofErr w:type="spellEnd"/>
      <w:r w:rsidRPr="00347490">
        <w:rPr>
          <w:b w:val="0"/>
          <w:bCs w:val="0"/>
          <w:sz w:val="22"/>
          <w:szCs w:val="22"/>
        </w:rPr>
        <w:t>, Madridas, 28802, Ispanija</w:t>
      </w:r>
    </w:p>
    <w:p w:rsidR="00AC11D6" w:rsidRDefault="00AC11D6" w:rsidP="00AC11D6">
      <w:pPr>
        <w:pStyle w:val="Pagrindinistekstas"/>
        <w:spacing w:after="0"/>
        <w:rPr>
          <w:szCs w:val="22"/>
        </w:rPr>
      </w:pPr>
    </w:p>
    <w:p w:rsidR="00AC11D6" w:rsidRDefault="00AC11D6" w:rsidP="00AC11D6">
      <w:pPr>
        <w:pStyle w:val="Pagrindinistekstas"/>
        <w:spacing w:after="0"/>
        <w:rPr>
          <w:szCs w:val="22"/>
        </w:rPr>
      </w:pPr>
      <w:r>
        <w:rPr>
          <w:szCs w:val="22"/>
        </w:rPr>
        <w:t xml:space="preserve">arba </w:t>
      </w:r>
    </w:p>
    <w:p w:rsidR="00AC11D6" w:rsidRPr="00F778AF" w:rsidRDefault="00AC11D6" w:rsidP="00AC11D6">
      <w:pPr>
        <w:pStyle w:val="Pagrindinistekstas"/>
        <w:spacing w:after="0"/>
        <w:rPr>
          <w:szCs w:val="22"/>
        </w:rPr>
      </w:pPr>
    </w:p>
    <w:p w:rsidR="00AC11D6" w:rsidRPr="00F91490" w:rsidRDefault="00AC11D6" w:rsidP="00AC11D6">
      <w:pPr>
        <w:rPr>
          <w:bCs w:val="0"/>
          <w:sz w:val="22"/>
          <w:szCs w:val="22"/>
        </w:rPr>
      </w:pPr>
      <w:r w:rsidRPr="00F91490">
        <w:rPr>
          <w:b w:val="0"/>
          <w:bCs w:val="0"/>
          <w:sz w:val="22"/>
          <w:szCs w:val="22"/>
        </w:rPr>
        <w:t>ADOH B.V.</w:t>
      </w:r>
    </w:p>
    <w:p w:rsidR="00AC11D6" w:rsidRPr="00F91490" w:rsidRDefault="00AC11D6" w:rsidP="00AC11D6">
      <w:pPr>
        <w:rPr>
          <w:bCs w:val="0"/>
          <w:sz w:val="22"/>
          <w:szCs w:val="22"/>
        </w:rPr>
      </w:pPr>
      <w:proofErr w:type="spellStart"/>
      <w:r w:rsidRPr="00F91490">
        <w:rPr>
          <w:b w:val="0"/>
          <w:bCs w:val="0"/>
          <w:sz w:val="22"/>
          <w:szCs w:val="22"/>
        </w:rPr>
        <w:t>Godfried</w:t>
      </w:r>
      <w:proofErr w:type="spellEnd"/>
      <w:r w:rsidRPr="00F91490">
        <w:rPr>
          <w:b w:val="0"/>
          <w:bCs w:val="0"/>
          <w:sz w:val="22"/>
          <w:szCs w:val="22"/>
        </w:rPr>
        <w:t xml:space="preserve"> </w:t>
      </w:r>
      <w:proofErr w:type="spellStart"/>
      <w:r w:rsidRPr="00F91490">
        <w:rPr>
          <w:b w:val="0"/>
          <w:bCs w:val="0"/>
          <w:sz w:val="22"/>
          <w:szCs w:val="22"/>
        </w:rPr>
        <w:t>Bomansstraat</w:t>
      </w:r>
      <w:proofErr w:type="spellEnd"/>
      <w:r w:rsidRPr="00F91490">
        <w:rPr>
          <w:b w:val="0"/>
          <w:bCs w:val="0"/>
          <w:sz w:val="22"/>
          <w:szCs w:val="22"/>
        </w:rPr>
        <w:t xml:space="preserve"> 31,</w:t>
      </w:r>
    </w:p>
    <w:p w:rsidR="00AC11D6" w:rsidRPr="00F91490" w:rsidRDefault="00AC11D6" w:rsidP="00AC11D6">
      <w:pPr>
        <w:rPr>
          <w:bCs w:val="0"/>
          <w:sz w:val="22"/>
          <w:szCs w:val="22"/>
        </w:rPr>
      </w:pPr>
      <w:r w:rsidRPr="00F91490">
        <w:rPr>
          <w:b w:val="0"/>
          <w:bCs w:val="0"/>
          <w:sz w:val="22"/>
          <w:szCs w:val="22"/>
        </w:rPr>
        <w:t xml:space="preserve">6543JA </w:t>
      </w:r>
      <w:proofErr w:type="spellStart"/>
      <w:r w:rsidRPr="00F91490">
        <w:rPr>
          <w:b w:val="0"/>
          <w:bCs w:val="0"/>
          <w:sz w:val="22"/>
          <w:szCs w:val="22"/>
        </w:rPr>
        <w:t>Nijmegen</w:t>
      </w:r>
      <w:proofErr w:type="spellEnd"/>
      <w:r w:rsidRPr="00F91490">
        <w:rPr>
          <w:b w:val="0"/>
          <w:bCs w:val="0"/>
          <w:sz w:val="22"/>
          <w:szCs w:val="22"/>
        </w:rPr>
        <w:t>,</w:t>
      </w:r>
    </w:p>
    <w:p w:rsidR="00AC11D6" w:rsidRPr="00F91490" w:rsidRDefault="00AC11D6" w:rsidP="00AC11D6">
      <w:pPr>
        <w:rPr>
          <w:b w:val="0"/>
          <w:bCs w:val="0"/>
          <w:sz w:val="22"/>
          <w:szCs w:val="22"/>
        </w:rPr>
      </w:pPr>
      <w:r w:rsidRPr="00F91490">
        <w:rPr>
          <w:b w:val="0"/>
          <w:bCs w:val="0"/>
          <w:sz w:val="22"/>
          <w:szCs w:val="22"/>
        </w:rPr>
        <w:t>Olandija</w:t>
      </w:r>
    </w:p>
    <w:p w:rsidR="00AC11D6" w:rsidRPr="00F778AF" w:rsidRDefault="00AC11D6" w:rsidP="00AC11D6">
      <w:pPr>
        <w:pStyle w:val="Pagrindinistekstas"/>
        <w:spacing w:after="0"/>
        <w:rPr>
          <w:bCs/>
          <w:szCs w:val="22"/>
        </w:rPr>
      </w:pPr>
    </w:p>
    <w:p w:rsidR="00AC11D6" w:rsidRPr="00F778AF" w:rsidRDefault="00AC11D6" w:rsidP="00AC11D6">
      <w:pPr>
        <w:pStyle w:val="Pagrindinistekstas"/>
        <w:spacing w:after="0"/>
        <w:rPr>
          <w:b/>
          <w:szCs w:val="22"/>
        </w:rPr>
      </w:pPr>
      <w:r w:rsidRPr="00F778AF">
        <w:rPr>
          <w:b/>
          <w:szCs w:val="22"/>
        </w:rPr>
        <w:t xml:space="preserve">Šis pakuotės lapelis paskutinį kartą peržiūrėtas </w:t>
      </w:r>
      <w:r>
        <w:rPr>
          <w:b/>
          <w:szCs w:val="22"/>
        </w:rPr>
        <w:t>2025-01-14.</w:t>
      </w:r>
    </w:p>
    <w:p w:rsidR="00AC11D6" w:rsidRPr="00F778AF" w:rsidRDefault="00AC11D6" w:rsidP="00AC11D6">
      <w:pPr>
        <w:numPr>
          <w:ilvl w:val="12"/>
          <w:numId w:val="0"/>
        </w:numPr>
        <w:tabs>
          <w:tab w:val="left" w:pos="567"/>
        </w:tabs>
        <w:ind w:right="-2"/>
        <w:rPr>
          <w:b w:val="0"/>
          <w:bCs w:val="0"/>
          <w:i/>
          <w:snapToGrid w:val="0"/>
          <w:sz w:val="22"/>
          <w:szCs w:val="22"/>
        </w:rPr>
      </w:pPr>
    </w:p>
    <w:p w:rsidR="00AC11D6" w:rsidRPr="00F778AF" w:rsidRDefault="00AC11D6" w:rsidP="00AC11D6">
      <w:pPr>
        <w:numPr>
          <w:ilvl w:val="12"/>
          <w:numId w:val="0"/>
        </w:numPr>
        <w:tabs>
          <w:tab w:val="left" w:pos="567"/>
        </w:tabs>
        <w:ind w:right="-2"/>
        <w:rPr>
          <w:b w:val="0"/>
          <w:bCs w:val="0"/>
          <w:snapToGrid w:val="0"/>
          <w:sz w:val="22"/>
          <w:szCs w:val="22"/>
        </w:rPr>
      </w:pPr>
      <w:r w:rsidRPr="00F778AF">
        <w:rPr>
          <w:b w:val="0"/>
          <w:bCs w:val="0"/>
          <w:snapToGrid w:val="0"/>
          <w:sz w:val="22"/>
          <w:szCs w:val="22"/>
        </w:rPr>
        <w:t>Išsami informacija apie šį vaistą pateikiama Valstybinės vaistų kontrolės tarnybos prie Lietuvos Respublikos sveikatos apsaugos ministerijos tinklalapyje</w:t>
      </w:r>
      <w:r w:rsidRPr="00F778AF">
        <w:rPr>
          <w:b w:val="0"/>
          <w:bCs w:val="0"/>
          <w:i/>
          <w:snapToGrid w:val="0"/>
          <w:sz w:val="22"/>
          <w:szCs w:val="22"/>
        </w:rPr>
        <w:t xml:space="preserve"> </w:t>
      </w:r>
      <w:hyperlink r:id="rId5" w:history="1">
        <w:r w:rsidRPr="0038376F">
          <w:rPr>
            <w:rStyle w:val="Hipersaitas"/>
            <w:rFonts w:eastAsia="SimSun"/>
            <w:b w:val="0"/>
            <w:bCs w:val="0"/>
            <w:snapToGrid w:val="0"/>
            <w:sz w:val="22"/>
            <w:szCs w:val="22"/>
          </w:rPr>
          <w:t>https://vvkt.lrv.lt/</w:t>
        </w:r>
      </w:hyperlink>
      <w:r>
        <w:rPr>
          <w:rFonts w:eastAsia="SimSun"/>
          <w:b w:val="0"/>
          <w:bCs w:val="0"/>
          <w:snapToGrid w:val="0"/>
          <w:color w:val="0000FF"/>
          <w:sz w:val="22"/>
          <w:szCs w:val="22"/>
          <w:u w:val="single"/>
        </w:rPr>
        <w:t>lt/</w:t>
      </w:r>
      <w:r w:rsidRPr="00F778AF">
        <w:rPr>
          <w:b w:val="0"/>
          <w:bCs w:val="0"/>
          <w:snapToGrid w:val="0"/>
          <w:sz w:val="22"/>
          <w:szCs w:val="22"/>
        </w:rPr>
        <w:t>.</w:t>
      </w:r>
    </w:p>
    <w:p w:rsidR="00AC11D6" w:rsidRPr="00F778AF" w:rsidRDefault="00AC11D6" w:rsidP="00AC11D6">
      <w:pPr>
        <w:pStyle w:val="Pavadinimas"/>
        <w:jc w:val="left"/>
        <w:rPr>
          <w:b w:val="0"/>
          <w:bCs/>
          <w:szCs w:val="22"/>
        </w:rPr>
      </w:pPr>
    </w:p>
    <w:p w:rsidR="00AC11D6" w:rsidRPr="00F778AF" w:rsidRDefault="00AC11D6" w:rsidP="00AC11D6">
      <w:pPr>
        <w:pStyle w:val="Pagrindinistekstas"/>
        <w:spacing w:after="0"/>
        <w:jc w:val="center"/>
        <w:rPr>
          <w:szCs w:val="22"/>
        </w:rPr>
      </w:pPr>
    </w:p>
    <w:p w:rsidR="00AC11D6" w:rsidRPr="00F778AF" w:rsidRDefault="00AC11D6" w:rsidP="00AC11D6">
      <w:pPr>
        <w:pStyle w:val="Pagrindinistekstas"/>
        <w:spacing w:after="0"/>
        <w:jc w:val="center"/>
        <w:rPr>
          <w:szCs w:val="22"/>
        </w:rPr>
      </w:pPr>
    </w:p>
    <w:p w:rsidR="00AC11D6" w:rsidRPr="00F778AF" w:rsidRDefault="00AC11D6" w:rsidP="00AC11D6">
      <w:pPr>
        <w:rPr>
          <w:sz w:val="22"/>
          <w:szCs w:val="22"/>
        </w:rPr>
      </w:pPr>
      <w:bookmarkStart w:id="0" w:name="_GoBack"/>
      <w:bookmarkEnd w:id="0"/>
    </w:p>
    <w:p w:rsidR="00AC11D6" w:rsidRPr="00F778AF" w:rsidRDefault="00AC11D6" w:rsidP="00AC11D6">
      <w:pPr>
        <w:rPr>
          <w:sz w:val="22"/>
          <w:szCs w:val="22"/>
        </w:rPr>
      </w:pPr>
    </w:p>
    <w:p w:rsidR="00AC11D6" w:rsidRDefault="00AC11D6" w:rsidP="00AC11D6"/>
    <w:p w:rsidR="00BA6577" w:rsidRDefault="00BA6577"/>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5450C"/>
    <w:multiLevelType w:val="singleLevel"/>
    <w:tmpl w:val="B14AEF66"/>
    <w:lvl w:ilvl="0">
      <w:start w:val="1"/>
      <w:numFmt w:val="bullet"/>
      <w:lvlText w:val="-"/>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1D6"/>
    <w:rsid w:val="00072F85"/>
    <w:rsid w:val="000A5E72"/>
    <w:rsid w:val="000A7B60"/>
    <w:rsid w:val="00181364"/>
    <w:rsid w:val="002945D9"/>
    <w:rsid w:val="00305C48"/>
    <w:rsid w:val="003362C6"/>
    <w:rsid w:val="00497D4D"/>
    <w:rsid w:val="00742EBF"/>
    <w:rsid w:val="00AC11D6"/>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11F3BD-7C1E-403F-AC48-9C9B35E87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C11D6"/>
    <w:pPr>
      <w:spacing w:after="0" w:line="240" w:lineRule="auto"/>
    </w:pPr>
    <w:rPr>
      <w:rFonts w:ascii="Times New Roman" w:eastAsia="Times New Roman" w:hAnsi="Times New Roman" w:cs="Times New Roman"/>
      <w:b/>
      <w:bCs/>
      <w:sz w:val="32"/>
      <w:szCs w:val="20"/>
    </w:rPr>
  </w:style>
  <w:style w:type="paragraph" w:styleId="Antrat2">
    <w:name w:val="heading 2"/>
    <w:basedOn w:val="prastasis"/>
    <w:next w:val="prastasis"/>
    <w:link w:val="Antrat2Diagrama"/>
    <w:autoRedefine/>
    <w:qFormat/>
    <w:rsid w:val="00AC11D6"/>
    <w:pPr>
      <w:keepNext/>
      <w:ind w:left="567" w:hanging="567"/>
      <w:outlineLvl w:val="1"/>
    </w:pPr>
    <w:rPr>
      <w:sz w:val="22"/>
    </w:rPr>
  </w:style>
  <w:style w:type="paragraph" w:styleId="Antrat3">
    <w:name w:val="heading 3"/>
    <w:basedOn w:val="prastasis"/>
    <w:next w:val="prastasis"/>
    <w:link w:val="Antrat3Diagrama"/>
    <w:autoRedefine/>
    <w:qFormat/>
    <w:rsid w:val="00AC11D6"/>
    <w:pPr>
      <w:keepNext/>
      <w:ind w:left="567" w:hanging="567"/>
      <w:outlineLvl w:val="2"/>
    </w:pPr>
    <w:rPr>
      <w:bCs w:val="0"/>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AC11D6"/>
    <w:rPr>
      <w:rFonts w:ascii="Times New Roman" w:eastAsia="Times New Roman" w:hAnsi="Times New Roman" w:cs="Times New Roman"/>
      <w:b/>
      <w:bCs/>
      <w:szCs w:val="20"/>
    </w:rPr>
  </w:style>
  <w:style w:type="character" w:customStyle="1" w:styleId="Antrat3Diagrama">
    <w:name w:val="Antraštė 3 Diagrama"/>
    <w:basedOn w:val="Numatytasispastraiposriftas"/>
    <w:link w:val="Antrat3"/>
    <w:rsid w:val="00AC11D6"/>
    <w:rPr>
      <w:rFonts w:ascii="Times New Roman" w:eastAsia="Times New Roman" w:hAnsi="Times New Roman" w:cs="Times New Roman"/>
      <w:b/>
      <w:szCs w:val="20"/>
    </w:rPr>
  </w:style>
  <w:style w:type="paragraph" w:styleId="Pagrindinistekstas">
    <w:name w:val="Body Text"/>
    <w:basedOn w:val="prastasis"/>
    <w:link w:val="PagrindinistekstasDiagrama"/>
    <w:semiHidden/>
    <w:rsid w:val="00AC11D6"/>
    <w:pPr>
      <w:spacing w:after="120"/>
    </w:pPr>
    <w:rPr>
      <w:b w:val="0"/>
      <w:bCs w:val="0"/>
      <w:sz w:val="22"/>
    </w:rPr>
  </w:style>
  <w:style w:type="character" w:customStyle="1" w:styleId="PagrindinistekstasDiagrama">
    <w:name w:val="Pagrindinis tekstas Diagrama"/>
    <w:basedOn w:val="Numatytasispastraiposriftas"/>
    <w:link w:val="Pagrindinistekstas"/>
    <w:semiHidden/>
    <w:rsid w:val="00AC11D6"/>
    <w:rPr>
      <w:rFonts w:ascii="Times New Roman" w:eastAsia="Times New Roman" w:hAnsi="Times New Roman" w:cs="Times New Roman"/>
      <w:szCs w:val="20"/>
    </w:rPr>
  </w:style>
  <w:style w:type="paragraph" w:styleId="Pavadinimas">
    <w:name w:val="Title"/>
    <w:basedOn w:val="prastasis"/>
    <w:link w:val="PavadinimasDiagrama"/>
    <w:autoRedefine/>
    <w:qFormat/>
    <w:rsid w:val="00AC11D6"/>
    <w:pPr>
      <w:jc w:val="center"/>
      <w:outlineLvl w:val="0"/>
    </w:pPr>
    <w:rPr>
      <w:bCs w:val="0"/>
      <w:kern w:val="28"/>
      <w:sz w:val="22"/>
    </w:rPr>
  </w:style>
  <w:style w:type="character" w:customStyle="1" w:styleId="PavadinimasDiagrama">
    <w:name w:val="Pavadinimas Diagrama"/>
    <w:basedOn w:val="Numatytasispastraiposriftas"/>
    <w:link w:val="Pavadinimas"/>
    <w:rsid w:val="00AC11D6"/>
    <w:rPr>
      <w:rFonts w:ascii="Times New Roman" w:eastAsia="Times New Roman" w:hAnsi="Times New Roman" w:cs="Times New Roman"/>
      <w:b/>
      <w:kern w:val="28"/>
      <w:szCs w:val="20"/>
    </w:rPr>
  </w:style>
  <w:style w:type="paragraph" w:customStyle="1" w:styleId="BTEMEASMCA">
    <w:name w:val="BT EMEA_SMCA"/>
    <w:basedOn w:val="prastasis"/>
    <w:link w:val="BTEMEASMCAChar"/>
    <w:autoRedefine/>
    <w:rsid w:val="00AC11D6"/>
    <w:rPr>
      <w:b w:val="0"/>
      <w:bCs w:val="0"/>
      <w:noProof/>
      <w:sz w:val="22"/>
      <w:szCs w:val="22"/>
    </w:rPr>
  </w:style>
  <w:style w:type="character" w:customStyle="1" w:styleId="BTEMEASMCAChar">
    <w:name w:val="BT EMEA_SMCA Char"/>
    <w:link w:val="BTEMEASMCA"/>
    <w:locked/>
    <w:rsid w:val="00AC11D6"/>
    <w:rPr>
      <w:rFonts w:ascii="Times New Roman" w:eastAsia="Times New Roman" w:hAnsi="Times New Roman" w:cs="Times New Roman"/>
      <w:noProof/>
    </w:rPr>
  </w:style>
  <w:style w:type="character" w:styleId="Hipersaitas">
    <w:name w:val="Hyperlink"/>
    <w:rsid w:val="00AC11D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5271</Words>
  <Characters>3006</Characters>
  <Application>Microsoft Office Word</Application>
  <DocSecurity>0</DocSecurity>
  <Lines>25</Lines>
  <Paragraphs>16</Paragraphs>
  <ScaleCrop>false</ScaleCrop>
  <HeadingPairs>
    <vt:vector size="4" baseType="variant">
      <vt:variant>
        <vt:lpstr>Pavadinimas</vt:lpstr>
      </vt:variant>
      <vt:variant>
        <vt:i4>1</vt:i4>
      </vt:variant>
      <vt:variant>
        <vt:lpstr>Antraštės</vt:lpstr>
      </vt:variant>
      <vt:variant>
        <vt:i4>17</vt:i4>
      </vt:variant>
    </vt:vector>
  </HeadingPairs>
  <TitlesOfParts>
    <vt:vector size="18" baseType="lpstr">
      <vt:lpstr/>
      <vt:lpstr>    1.	Kas yra Imdur ir kam jis vartojamas</vt:lpstr>
      <vt:lpstr>    2.	Kas žinotina prieš vartojant Imdur </vt:lpstr>
      <vt:lpstr>        Imdur vartoti draudžiama:</vt:lpstr>
      <vt:lpstr>        </vt:lpstr>
      <vt:lpstr>        Kiti vaistai ir Imdur</vt:lpstr>
      <vt:lpstr>        Nėštumas ir žindymo laikotarpis</vt:lpstr>
      <vt:lpstr>        Nėštumas</vt:lpstr>
      <vt:lpstr>        Žindymo laikotarpis</vt:lpstr>
      <vt:lpstr>        Vairavimas ir mechanizmų valdymas</vt:lpstr>
      <vt:lpstr>        Imdur sudėtyje yra natrio</vt:lpstr>
      <vt:lpstr>    3.	Kaip vartoti Imdur </vt:lpstr>
      <vt:lpstr>        Ką daryti pavartojus per didelę Imdur dozę?</vt:lpstr>
      <vt:lpstr>        Pamiršus pavartoti Imdur </vt:lpstr>
      <vt:lpstr>    4.	Galimas šalutinis poveikis</vt:lpstr>
      <vt:lpstr>    5.	Kaip laikyti Imdur </vt:lpstr>
      <vt:lpstr>    6.	Pakuotės turinys ir kita informacija</vt: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2025-01-23T08:48:00Z</dcterms:created>
  <dcterms:modified xsi:type="dcterms:W3CDTF">2025-01-23T08:50:00Z</dcterms:modified>
</cp:coreProperties>
</file>