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52A438" w14:textId="77777777" w:rsidR="00C91987" w:rsidRPr="001C693E" w:rsidRDefault="00C91987" w:rsidP="00C91987">
      <w:pPr>
        <w:pStyle w:val="Pagrindinistekstas"/>
        <w:spacing w:after="0"/>
        <w:rPr>
          <w:szCs w:val="22"/>
        </w:rPr>
      </w:pPr>
      <w:bookmarkStart w:id="0" w:name="_GoBack"/>
      <w:bookmarkEnd w:id="0"/>
    </w:p>
    <w:p w14:paraId="1A72C5F9" w14:textId="77777777" w:rsidR="00C91987" w:rsidRPr="001C693E" w:rsidRDefault="00C91987" w:rsidP="00C91987">
      <w:pPr>
        <w:pStyle w:val="Pagrindinistekstas"/>
        <w:spacing w:after="0"/>
        <w:rPr>
          <w:szCs w:val="22"/>
        </w:rPr>
      </w:pPr>
    </w:p>
    <w:p w14:paraId="40219BD4" w14:textId="77777777" w:rsidR="00C91987" w:rsidRPr="001C693E" w:rsidRDefault="00C91987" w:rsidP="00C91987">
      <w:pPr>
        <w:pStyle w:val="Pagrindinistekstas"/>
        <w:spacing w:after="0"/>
        <w:rPr>
          <w:szCs w:val="22"/>
        </w:rPr>
      </w:pPr>
    </w:p>
    <w:p w14:paraId="6463DA99" w14:textId="77777777" w:rsidR="00C91987" w:rsidRPr="001C693E" w:rsidRDefault="00C91987" w:rsidP="00C91987">
      <w:pPr>
        <w:pStyle w:val="Pagrindinistekstas"/>
        <w:spacing w:after="0"/>
        <w:rPr>
          <w:szCs w:val="22"/>
        </w:rPr>
      </w:pPr>
    </w:p>
    <w:p w14:paraId="65C5FD77" w14:textId="77777777" w:rsidR="00C91987" w:rsidRPr="001C693E" w:rsidRDefault="00C91987" w:rsidP="00C91987">
      <w:pPr>
        <w:pStyle w:val="Pagrindinistekstas"/>
        <w:spacing w:after="0"/>
        <w:rPr>
          <w:szCs w:val="22"/>
        </w:rPr>
      </w:pPr>
    </w:p>
    <w:p w14:paraId="7799AEEB" w14:textId="77777777" w:rsidR="00C91987" w:rsidRPr="001C693E" w:rsidRDefault="00C91987" w:rsidP="00C91987">
      <w:pPr>
        <w:pStyle w:val="Pagrindinistekstas"/>
        <w:spacing w:after="0"/>
        <w:rPr>
          <w:szCs w:val="22"/>
        </w:rPr>
      </w:pPr>
    </w:p>
    <w:p w14:paraId="5DD874C4" w14:textId="77777777" w:rsidR="00C91987" w:rsidRPr="001C693E" w:rsidRDefault="00C91987" w:rsidP="00C91987">
      <w:pPr>
        <w:pStyle w:val="Pagrindinistekstas"/>
        <w:spacing w:after="0"/>
        <w:rPr>
          <w:szCs w:val="22"/>
        </w:rPr>
      </w:pPr>
    </w:p>
    <w:p w14:paraId="540465BC" w14:textId="77777777" w:rsidR="00C91987" w:rsidRPr="001C693E" w:rsidRDefault="00C91987" w:rsidP="00C91987">
      <w:pPr>
        <w:pStyle w:val="Pagrindinistekstas"/>
        <w:spacing w:after="0"/>
        <w:rPr>
          <w:szCs w:val="22"/>
        </w:rPr>
      </w:pPr>
    </w:p>
    <w:p w14:paraId="47BFB1AA" w14:textId="77777777" w:rsidR="00C91987" w:rsidRPr="001C693E" w:rsidRDefault="00C91987" w:rsidP="00C91987">
      <w:pPr>
        <w:pStyle w:val="Pagrindinistekstas"/>
        <w:spacing w:after="0"/>
        <w:rPr>
          <w:szCs w:val="22"/>
        </w:rPr>
      </w:pPr>
    </w:p>
    <w:p w14:paraId="200FB4D4" w14:textId="77777777" w:rsidR="00C91987" w:rsidRPr="001C693E" w:rsidRDefault="00C91987" w:rsidP="00C91987">
      <w:pPr>
        <w:pStyle w:val="Pagrindinistekstas"/>
        <w:spacing w:after="0"/>
        <w:rPr>
          <w:szCs w:val="22"/>
        </w:rPr>
      </w:pPr>
    </w:p>
    <w:p w14:paraId="1598FC57" w14:textId="77777777" w:rsidR="00C91987" w:rsidRPr="001C693E" w:rsidRDefault="00C91987" w:rsidP="00C91987">
      <w:pPr>
        <w:pStyle w:val="Pagrindinistekstas"/>
        <w:spacing w:after="0"/>
        <w:rPr>
          <w:szCs w:val="22"/>
        </w:rPr>
      </w:pPr>
    </w:p>
    <w:p w14:paraId="2915487C" w14:textId="77777777" w:rsidR="00C91987" w:rsidRPr="001C693E" w:rsidRDefault="00C91987" w:rsidP="00C91987">
      <w:pPr>
        <w:pStyle w:val="Pagrindinistekstas"/>
        <w:spacing w:after="0"/>
        <w:rPr>
          <w:szCs w:val="22"/>
        </w:rPr>
      </w:pPr>
    </w:p>
    <w:p w14:paraId="308A7D56" w14:textId="77777777" w:rsidR="00C91987" w:rsidRPr="001C693E" w:rsidRDefault="00C91987" w:rsidP="00C91987">
      <w:pPr>
        <w:pStyle w:val="Pagrindinistekstas"/>
        <w:spacing w:after="0"/>
        <w:rPr>
          <w:szCs w:val="22"/>
        </w:rPr>
      </w:pPr>
    </w:p>
    <w:p w14:paraId="4BF7203D" w14:textId="77777777" w:rsidR="00C91987" w:rsidRPr="001C693E" w:rsidRDefault="00C91987" w:rsidP="00C91987">
      <w:pPr>
        <w:pStyle w:val="Pagrindinistekstas"/>
        <w:spacing w:after="0"/>
        <w:rPr>
          <w:szCs w:val="22"/>
        </w:rPr>
      </w:pPr>
    </w:p>
    <w:p w14:paraId="629C8F63" w14:textId="77777777" w:rsidR="00C91987" w:rsidRPr="001C693E" w:rsidRDefault="00C91987" w:rsidP="00C91987">
      <w:pPr>
        <w:pStyle w:val="Pagrindinistekstas"/>
        <w:spacing w:after="0"/>
        <w:rPr>
          <w:szCs w:val="22"/>
        </w:rPr>
      </w:pPr>
    </w:p>
    <w:p w14:paraId="2B35B0E4" w14:textId="77777777" w:rsidR="00C91987" w:rsidRPr="001C693E" w:rsidRDefault="00C91987" w:rsidP="00C91987">
      <w:pPr>
        <w:pStyle w:val="Pagrindinistekstas"/>
        <w:spacing w:after="0"/>
        <w:rPr>
          <w:szCs w:val="22"/>
        </w:rPr>
      </w:pPr>
    </w:p>
    <w:p w14:paraId="45CFF232" w14:textId="77777777" w:rsidR="00C91987" w:rsidRPr="001C693E" w:rsidRDefault="00C91987" w:rsidP="00C91987">
      <w:pPr>
        <w:pStyle w:val="Pagrindinistekstas"/>
        <w:spacing w:after="0"/>
        <w:rPr>
          <w:szCs w:val="22"/>
        </w:rPr>
      </w:pPr>
    </w:p>
    <w:p w14:paraId="558B3A0F" w14:textId="77777777" w:rsidR="00C91987" w:rsidRPr="001C693E" w:rsidRDefault="00C91987" w:rsidP="00C91987">
      <w:pPr>
        <w:pStyle w:val="Pagrindinistekstas"/>
        <w:spacing w:after="0"/>
        <w:rPr>
          <w:szCs w:val="22"/>
        </w:rPr>
      </w:pPr>
    </w:p>
    <w:p w14:paraId="593F3FBE" w14:textId="77777777" w:rsidR="00C91987" w:rsidRPr="001C693E" w:rsidRDefault="00C91987" w:rsidP="00C91987">
      <w:pPr>
        <w:pStyle w:val="Pagrindinistekstas"/>
        <w:spacing w:after="0"/>
        <w:rPr>
          <w:szCs w:val="22"/>
        </w:rPr>
      </w:pPr>
    </w:p>
    <w:p w14:paraId="6A7D443F" w14:textId="77777777" w:rsidR="00C91987" w:rsidRPr="001C693E" w:rsidRDefault="00C91987" w:rsidP="00C91987">
      <w:pPr>
        <w:pStyle w:val="Pagrindinistekstas"/>
        <w:spacing w:after="0"/>
        <w:rPr>
          <w:szCs w:val="22"/>
        </w:rPr>
      </w:pPr>
    </w:p>
    <w:p w14:paraId="62B01820" w14:textId="77777777" w:rsidR="00C91987" w:rsidRPr="001C693E" w:rsidRDefault="00C91987" w:rsidP="00C91987">
      <w:pPr>
        <w:pStyle w:val="Pagrindinistekstas"/>
        <w:spacing w:after="0"/>
        <w:rPr>
          <w:szCs w:val="22"/>
        </w:rPr>
      </w:pPr>
    </w:p>
    <w:p w14:paraId="189A6B67" w14:textId="77777777" w:rsidR="00C91987" w:rsidRPr="001C693E" w:rsidRDefault="00C91987" w:rsidP="00C91987">
      <w:pPr>
        <w:pStyle w:val="Pagrindinistekstas"/>
        <w:spacing w:after="0"/>
        <w:rPr>
          <w:szCs w:val="22"/>
        </w:rPr>
      </w:pPr>
    </w:p>
    <w:p w14:paraId="771717D8" w14:textId="77777777" w:rsidR="00C91987" w:rsidRPr="001C693E" w:rsidRDefault="00C91987" w:rsidP="00C91987">
      <w:pPr>
        <w:pStyle w:val="Pagrindinistekstas"/>
        <w:spacing w:after="0"/>
        <w:rPr>
          <w:szCs w:val="22"/>
        </w:rPr>
      </w:pPr>
    </w:p>
    <w:p w14:paraId="4BFAB9F8" w14:textId="77777777" w:rsidR="00C91987" w:rsidRPr="001C693E" w:rsidRDefault="00C91987" w:rsidP="00C91987">
      <w:pPr>
        <w:pStyle w:val="Pavadinimas"/>
        <w:rPr>
          <w:szCs w:val="22"/>
        </w:rPr>
      </w:pPr>
      <w:r w:rsidRPr="001C693E">
        <w:rPr>
          <w:szCs w:val="22"/>
        </w:rPr>
        <w:t>I PRIEDAS</w:t>
      </w:r>
    </w:p>
    <w:p w14:paraId="6CBD4CB6" w14:textId="77777777" w:rsidR="00C91987" w:rsidRPr="001C693E" w:rsidRDefault="00C91987" w:rsidP="00C91987">
      <w:pPr>
        <w:pStyle w:val="Pagrindinistekstas"/>
        <w:spacing w:after="0"/>
        <w:rPr>
          <w:szCs w:val="22"/>
        </w:rPr>
      </w:pPr>
    </w:p>
    <w:p w14:paraId="3534D85B" w14:textId="77777777" w:rsidR="00C91987" w:rsidRPr="001C693E" w:rsidRDefault="00C91987" w:rsidP="00C91987">
      <w:pPr>
        <w:pStyle w:val="Pavadinimas"/>
        <w:rPr>
          <w:szCs w:val="22"/>
        </w:rPr>
      </w:pPr>
      <w:r w:rsidRPr="001C693E">
        <w:rPr>
          <w:szCs w:val="22"/>
        </w:rPr>
        <w:t>PREPARATO CHARAKTERISTIKŲ SANTRAUKA</w:t>
      </w:r>
    </w:p>
    <w:p w14:paraId="475CE6D0" w14:textId="77777777" w:rsidR="00C91987" w:rsidRPr="001C693E" w:rsidRDefault="00C91987" w:rsidP="00C91987">
      <w:pPr>
        <w:pStyle w:val="Pagrindinistekstas"/>
        <w:spacing w:after="0"/>
        <w:rPr>
          <w:szCs w:val="22"/>
        </w:rPr>
      </w:pPr>
    </w:p>
    <w:p w14:paraId="520F858A" w14:textId="77777777" w:rsidR="00C91987" w:rsidRPr="001C693E" w:rsidRDefault="00C91987" w:rsidP="00C91987">
      <w:pPr>
        <w:pStyle w:val="Antrat2"/>
        <w:rPr>
          <w:szCs w:val="22"/>
        </w:rPr>
      </w:pPr>
      <w:r w:rsidRPr="001C693E">
        <w:rPr>
          <w:szCs w:val="22"/>
        </w:rPr>
        <w:br w:type="page"/>
      </w:r>
      <w:r w:rsidRPr="001C693E">
        <w:rPr>
          <w:szCs w:val="22"/>
        </w:rPr>
        <w:lastRenderedPageBreak/>
        <w:t>1.</w:t>
      </w:r>
      <w:r w:rsidRPr="001C693E">
        <w:rPr>
          <w:szCs w:val="22"/>
        </w:rPr>
        <w:tab/>
        <w:t>VAISTINIO PREPARATO PAVADINIMAS</w:t>
      </w:r>
    </w:p>
    <w:p w14:paraId="3882E004" w14:textId="77777777" w:rsidR="00C91987" w:rsidRPr="001C693E" w:rsidRDefault="00C91987" w:rsidP="00C91987">
      <w:pPr>
        <w:pStyle w:val="Pagrindinistekstas"/>
        <w:spacing w:after="0"/>
        <w:rPr>
          <w:szCs w:val="22"/>
        </w:rPr>
      </w:pPr>
    </w:p>
    <w:p w14:paraId="0FD8CDFA" w14:textId="77777777" w:rsidR="00C91987" w:rsidRPr="001C693E" w:rsidRDefault="00C91987" w:rsidP="00C91987">
      <w:pPr>
        <w:pStyle w:val="Pagrindinistekstas"/>
        <w:spacing w:after="0"/>
        <w:rPr>
          <w:bCs/>
          <w:szCs w:val="22"/>
        </w:rPr>
      </w:pPr>
      <w:r w:rsidRPr="001C693E">
        <w:rPr>
          <w:bCs/>
          <w:caps/>
          <w:szCs w:val="22"/>
        </w:rPr>
        <w:t>N</w:t>
      </w:r>
      <w:r w:rsidRPr="001C693E">
        <w:rPr>
          <w:bCs/>
          <w:szCs w:val="22"/>
        </w:rPr>
        <w:t>imbex</w:t>
      </w:r>
      <w:r w:rsidRPr="001C693E">
        <w:rPr>
          <w:bCs/>
          <w:caps/>
          <w:szCs w:val="22"/>
        </w:rPr>
        <w:t xml:space="preserve"> </w:t>
      </w:r>
      <w:r w:rsidRPr="001C693E">
        <w:rPr>
          <w:bCs/>
          <w:szCs w:val="22"/>
        </w:rPr>
        <w:t>2mg/ml injekcinis</w:t>
      </w:r>
      <w:r w:rsidR="00D72BAF" w:rsidRPr="001C693E">
        <w:rPr>
          <w:bCs/>
          <w:szCs w:val="22"/>
        </w:rPr>
        <w:t xml:space="preserve"> ar </w:t>
      </w:r>
      <w:r w:rsidRPr="001C693E">
        <w:rPr>
          <w:bCs/>
          <w:szCs w:val="22"/>
        </w:rPr>
        <w:t>infuzinis tirpalas</w:t>
      </w:r>
    </w:p>
    <w:p w14:paraId="0B629F1B" w14:textId="77777777" w:rsidR="00C91987" w:rsidRPr="001C693E" w:rsidRDefault="00C91987" w:rsidP="00C91987">
      <w:pPr>
        <w:pStyle w:val="Pagrindinistekstas"/>
        <w:spacing w:after="0"/>
        <w:rPr>
          <w:szCs w:val="22"/>
        </w:rPr>
      </w:pPr>
    </w:p>
    <w:p w14:paraId="617E7386" w14:textId="77777777" w:rsidR="00C91987" w:rsidRPr="001C693E" w:rsidRDefault="00C91987" w:rsidP="00C91987">
      <w:pPr>
        <w:pStyle w:val="Pagrindinistekstas"/>
        <w:spacing w:after="0"/>
        <w:rPr>
          <w:szCs w:val="22"/>
        </w:rPr>
      </w:pPr>
    </w:p>
    <w:p w14:paraId="4B22B5AB" w14:textId="77777777" w:rsidR="00C91987" w:rsidRPr="001C693E" w:rsidRDefault="00C91987" w:rsidP="00C91987">
      <w:pPr>
        <w:pStyle w:val="Antrat2"/>
        <w:rPr>
          <w:szCs w:val="22"/>
        </w:rPr>
      </w:pPr>
      <w:r w:rsidRPr="001C693E">
        <w:rPr>
          <w:szCs w:val="22"/>
        </w:rPr>
        <w:t>2.</w:t>
      </w:r>
      <w:r w:rsidRPr="001C693E">
        <w:rPr>
          <w:szCs w:val="22"/>
        </w:rPr>
        <w:tab/>
        <w:t>KOKYBINĖ IR KIEKYBINĖ SUDĖTIS</w:t>
      </w:r>
    </w:p>
    <w:p w14:paraId="0DA040BC" w14:textId="77777777" w:rsidR="00C91987" w:rsidRPr="001C693E" w:rsidRDefault="00C91987" w:rsidP="00C91987">
      <w:pPr>
        <w:pStyle w:val="Pagrindinistekstas"/>
        <w:spacing w:after="0"/>
        <w:rPr>
          <w:szCs w:val="22"/>
        </w:rPr>
      </w:pPr>
    </w:p>
    <w:p w14:paraId="57E01714" w14:textId="77777777" w:rsidR="00C91987" w:rsidRPr="001C693E" w:rsidRDefault="00C91987" w:rsidP="00C91987">
      <w:pPr>
        <w:pStyle w:val="Pagrindinistekstas"/>
        <w:spacing w:after="0"/>
        <w:rPr>
          <w:szCs w:val="22"/>
        </w:rPr>
      </w:pPr>
      <w:r w:rsidRPr="001C693E">
        <w:rPr>
          <w:szCs w:val="22"/>
        </w:rPr>
        <w:t>1 ml tirpalo yra 2 mg cisatrakurio, atitinkančio 2,68 mg cisatrakurio besilato.</w:t>
      </w:r>
    </w:p>
    <w:p w14:paraId="4AE24F9A" w14:textId="77777777" w:rsidR="00C91987" w:rsidRPr="001C693E" w:rsidRDefault="00C91987" w:rsidP="00C91987">
      <w:pPr>
        <w:pStyle w:val="Pagrindinistekstas"/>
        <w:spacing w:after="0"/>
        <w:rPr>
          <w:szCs w:val="22"/>
        </w:rPr>
      </w:pPr>
    </w:p>
    <w:p w14:paraId="6714B204" w14:textId="77777777" w:rsidR="00C91987" w:rsidRPr="001C693E" w:rsidRDefault="00C91987" w:rsidP="00C91987">
      <w:pPr>
        <w:rPr>
          <w:szCs w:val="22"/>
        </w:rPr>
      </w:pPr>
      <w:r w:rsidRPr="001C693E">
        <w:rPr>
          <w:szCs w:val="22"/>
        </w:rPr>
        <w:t>Vienoje 2,5 ml ampulėje yra 5 mg cisatrakurio.</w:t>
      </w:r>
    </w:p>
    <w:p w14:paraId="1FFE32F3" w14:textId="77777777" w:rsidR="00C91987" w:rsidRPr="001C693E" w:rsidRDefault="00C91987" w:rsidP="00C91987">
      <w:pPr>
        <w:pStyle w:val="Pagrindinistekstas"/>
        <w:spacing w:after="0"/>
        <w:rPr>
          <w:szCs w:val="22"/>
        </w:rPr>
      </w:pPr>
      <w:r w:rsidRPr="001C693E">
        <w:rPr>
          <w:szCs w:val="22"/>
        </w:rPr>
        <w:t>Vienoje 5 ml ampulėje yra 10 mg cisatrakurio.</w:t>
      </w:r>
    </w:p>
    <w:p w14:paraId="75F5528A" w14:textId="77777777" w:rsidR="00C91987" w:rsidRPr="001C693E" w:rsidRDefault="00C91987" w:rsidP="00C91987">
      <w:pPr>
        <w:pStyle w:val="Pagrindinistekstas"/>
        <w:spacing w:after="0"/>
        <w:rPr>
          <w:szCs w:val="22"/>
        </w:rPr>
      </w:pPr>
    </w:p>
    <w:p w14:paraId="5F6C7629" w14:textId="77777777" w:rsidR="00C91987" w:rsidRPr="001C693E" w:rsidRDefault="00C91987" w:rsidP="00C91987">
      <w:pPr>
        <w:pStyle w:val="Pagrindinistekstas"/>
        <w:spacing w:after="0"/>
        <w:rPr>
          <w:szCs w:val="22"/>
        </w:rPr>
      </w:pPr>
      <w:r w:rsidRPr="001C693E">
        <w:rPr>
          <w:szCs w:val="22"/>
        </w:rPr>
        <w:t>Visos pagalbinės medžiagos išvardytos 6.1 skyriuje.</w:t>
      </w:r>
    </w:p>
    <w:p w14:paraId="5EFDF0D0" w14:textId="77777777" w:rsidR="00C91987" w:rsidRPr="001C693E" w:rsidRDefault="00C91987" w:rsidP="00C91987">
      <w:pPr>
        <w:pStyle w:val="Pagrindinistekstas"/>
        <w:spacing w:after="0"/>
        <w:rPr>
          <w:szCs w:val="22"/>
        </w:rPr>
      </w:pPr>
    </w:p>
    <w:p w14:paraId="4F0C474F" w14:textId="77777777" w:rsidR="00C91987" w:rsidRPr="001C693E" w:rsidRDefault="00C91987" w:rsidP="00C91987">
      <w:pPr>
        <w:pStyle w:val="Pagrindinistekstas"/>
        <w:spacing w:after="0"/>
        <w:rPr>
          <w:szCs w:val="22"/>
        </w:rPr>
      </w:pPr>
    </w:p>
    <w:p w14:paraId="2518832F" w14:textId="77777777" w:rsidR="00C91987" w:rsidRPr="001C693E" w:rsidRDefault="00C91987" w:rsidP="00C91987">
      <w:pPr>
        <w:pStyle w:val="Antrat2"/>
        <w:rPr>
          <w:szCs w:val="22"/>
        </w:rPr>
      </w:pPr>
      <w:r w:rsidRPr="001C693E">
        <w:rPr>
          <w:szCs w:val="22"/>
        </w:rPr>
        <w:t>3.</w:t>
      </w:r>
      <w:r w:rsidRPr="001C693E">
        <w:rPr>
          <w:szCs w:val="22"/>
        </w:rPr>
        <w:tab/>
        <w:t>FARMACINĖ FORMA</w:t>
      </w:r>
    </w:p>
    <w:p w14:paraId="386D619D" w14:textId="77777777" w:rsidR="00C91987" w:rsidRPr="001C693E" w:rsidRDefault="00C91987" w:rsidP="00C91987">
      <w:pPr>
        <w:pStyle w:val="Pagrindinistekstas"/>
        <w:spacing w:after="0"/>
        <w:rPr>
          <w:szCs w:val="22"/>
        </w:rPr>
      </w:pPr>
    </w:p>
    <w:p w14:paraId="57469F12" w14:textId="77777777" w:rsidR="00C91987" w:rsidRPr="001C693E" w:rsidRDefault="00C91987" w:rsidP="00C91987">
      <w:pPr>
        <w:pStyle w:val="Pagrindinistekstas"/>
        <w:spacing w:after="0"/>
        <w:rPr>
          <w:szCs w:val="22"/>
        </w:rPr>
      </w:pPr>
      <w:r w:rsidRPr="001C693E">
        <w:rPr>
          <w:szCs w:val="22"/>
        </w:rPr>
        <w:t>Injekcinis</w:t>
      </w:r>
      <w:r w:rsidR="00D72BAF" w:rsidRPr="001C693E">
        <w:rPr>
          <w:szCs w:val="22"/>
        </w:rPr>
        <w:t xml:space="preserve"> ar </w:t>
      </w:r>
      <w:r w:rsidRPr="001C693E">
        <w:rPr>
          <w:szCs w:val="22"/>
        </w:rPr>
        <w:t>infuzinis tirpalas.</w:t>
      </w:r>
    </w:p>
    <w:p w14:paraId="4B5169FA" w14:textId="77777777" w:rsidR="00C91987" w:rsidRPr="001C693E" w:rsidRDefault="00C91987" w:rsidP="00C91987">
      <w:pPr>
        <w:pStyle w:val="Pagrindinistekstas"/>
        <w:spacing w:after="0"/>
        <w:rPr>
          <w:szCs w:val="22"/>
        </w:rPr>
      </w:pPr>
      <w:r w:rsidRPr="001C693E">
        <w:rPr>
          <w:szCs w:val="22"/>
        </w:rPr>
        <w:t>Tirpalas yra bespalvis arba balkšvas arba žalsvai gelsvas, be matomų dalelių.</w:t>
      </w:r>
    </w:p>
    <w:p w14:paraId="0D5B8001" w14:textId="77777777" w:rsidR="00C91987" w:rsidRPr="001C693E" w:rsidRDefault="00C91987" w:rsidP="00C91987">
      <w:pPr>
        <w:pStyle w:val="Pagrindinistekstas"/>
        <w:spacing w:after="0"/>
        <w:rPr>
          <w:szCs w:val="22"/>
        </w:rPr>
      </w:pPr>
    </w:p>
    <w:p w14:paraId="0A4A5439" w14:textId="77777777" w:rsidR="00C91987" w:rsidRPr="001C693E" w:rsidRDefault="00C91987" w:rsidP="00C91987">
      <w:pPr>
        <w:pStyle w:val="Pagrindinistekstas"/>
        <w:spacing w:after="0"/>
        <w:rPr>
          <w:szCs w:val="22"/>
        </w:rPr>
      </w:pPr>
    </w:p>
    <w:p w14:paraId="608DC87A" w14:textId="77777777" w:rsidR="00C91987" w:rsidRPr="001C693E" w:rsidRDefault="00C91987" w:rsidP="00C91987">
      <w:pPr>
        <w:pStyle w:val="Antrat2"/>
        <w:rPr>
          <w:szCs w:val="22"/>
        </w:rPr>
      </w:pPr>
      <w:r w:rsidRPr="001C693E">
        <w:rPr>
          <w:caps/>
          <w:szCs w:val="22"/>
        </w:rPr>
        <w:t>4.</w:t>
      </w:r>
      <w:r w:rsidRPr="001C693E">
        <w:rPr>
          <w:caps/>
          <w:szCs w:val="22"/>
        </w:rPr>
        <w:tab/>
      </w:r>
      <w:r w:rsidRPr="001C693E">
        <w:rPr>
          <w:szCs w:val="22"/>
        </w:rPr>
        <w:t>KLINIKINĖ INFORMACIJA</w:t>
      </w:r>
    </w:p>
    <w:p w14:paraId="3A50CBE2" w14:textId="77777777" w:rsidR="00C91987" w:rsidRPr="001C693E" w:rsidRDefault="00C91987" w:rsidP="00C91987">
      <w:pPr>
        <w:pStyle w:val="Pagrindinistekstas"/>
        <w:spacing w:after="0"/>
        <w:ind w:left="550" w:hanging="550"/>
        <w:rPr>
          <w:szCs w:val="22"/>
        </w:rPr>
      </w:pPr>
    </w:p>
    <w:p w14:paraId="48AA7597" w14:textId="77777777" w:rsidR="00C91987" w:rsidRPr="001C693E" w:rsidRDefault="00C91987" w:rsidP="00C91987">
      <w:pPr>
        <w:ind w:left="550" w:hanging="550"/>
        <w:rPr>
          <w:b/>
          <w:bCs/>
          <w:szCs w:val="22"/>
        </w:rPr>
      </w:pPr>
      <w:r w:rsidRPr="001C693E">
        <w:rPr>
          <w:b/>
          <w:bCs/>
          <w:szCs w:val="22"/>
        </w:rPr>
        <w:t>4.1</w:t>
      </w:r>
      <w:r w:rsidRPr="001C693E">
        <w:rPr>
          <w:b/>
          <w:bCs/>
          <w:szCs w:val="22"/>
        </w:rPr>
        <w:tab/>
        <w:t>Terapinės indikacijos</w:t>
      </w:r>
    </w:p>
    <w:p w14:paraId="4E6E0F8D" w14:textId="77777777" w:rsidR="00C91987" w:rsidRPr="001C693E" w:rsidRDefault="00C91987" w:rsidP="00C91987">
      <w:pPr>
        <w:pStyle w:val="Pagrindinistekstas"/>
        <w:spacing w:after="0"/>
        <w:rPr>
          <w:szCs w:val="22"/>
        </w:rPr>
      </w:pPr>
    </w:p>
    <w:p w14:paraId="6F576B10" w14:textId="77777777" w:rsidR="00C91987" w:rsidRPr="001C693E" w:rsidRDefault="00C91987" w:rsidP="00C91987">
      <w:pPr>
        <w:rPr>
          <w:szCs w:val="22"/>
        </w:rPr>
      </w:pPr>
      <w:r w:rsidRPr="001C693E">
        <w:rPr>
          <w:szCs w:val="22"/>
        </w:rPr>
        <w:t>Skeleto raumenų atpalaidavimas bendrosios anestezijos metu arba sedacijos metu intensyviosios terapijos skyriuje, trachėjos intubacijai ir mechaninei plaučių ventiliacijai palengvinti.</w:t>
      </w:r>
    </w:p>
    <w:p w14:paraId="07B332A9" w14:textId="77777777" w:rsidR="00C91987" w:rsidRPr="001C693E" w:rsidRDefault="00C91987" w:rsidP="00C91987">
      <w:pPr>
        <w:rPr>
          <w:b/>
          <w:bCs/>
          <w:szCs w:val="22"/>
        </w:rPr>
      </w:pPr>
    </w:p>
    <w:p w14:paraId="00AB3BF7" w14:textId="77777777" w:rsidR="00C91987" w:rsidRPr="001C693E" w:rsidRDefault="00C91987" w:rsidP="00C91987">
      <w:pPr>
        <w:ind w:left="550" w:hanging="550"/>
        <w:rPr>
          <w:b/>
          <w:bCs/>
          <w:szCs w:val="22"/>
        </w:rPr>
      </w:pPr>
      <w:r w:rsidRPr="001C693E">
        <w:rPr>
          <w:b/>
          <w:bCs/>
          <w:szCs w:val="22"/>
        </w:rPr>
        <w:t>4.2</w:t>
      </w:r>
      <w:r w:rsidRPr="001C693E">
        <w:rPr>
          <w:b/>
          <w:bCs/>
          <w:szCs w:val="22"/>
        </w:rPr>
        <w:tab/>
        <w:t>Dozavimas ir vartojimo metodas</w:t>
      </w:r>
    </w:p>
    <w:p w14:paraId="4428198B" w14:textId="77777777" w:rsidR="00C91987" w:rsidRPr="001C693E" w:rsidRDefault="00C91987" w:rsidP="00C91987">
      <w:pPr>
        <w:pStyle w:val="Pagrindinistekstas"/>
        <w:spacing w:after="0"/>
        <w:rPr>
          <w:szCs w:val="22"/>
        </w:rPr>
      </w:pPr>
    </w:p>
    <w:p w14:paraId="5168C6C8" w14:textId="77777777" w:rsidR="00C91987" w:rsidRPr="001C693E" w:rsidRDefault="00C91987" w:rsidP="00C91987">
      <w:pPr>
        <w:rPr>
          <w:szCs w:val="22"/>
        </w:rPr>
      </w:pPr>
      <w:r w:rsidRPr="001C693E">
        <w:rPr>
          <w:szCs w:val="22"/>
        </w:rPr>
        <w:t xml:space="preserve">Būtina įsidėmėti, kad </w:t>
      </w:r>
      <w:r w:rsidRPr="001C693E">
        <w:rPr>
          <w:caps/>
          <w:szCs w:val="22"/>
        </w:rPr>
        <w:t>N</w:t>
      </w:r>
      <w:r w:rsidRPr="001C693E">
        <w:rPr>
          <w:szCs w:val="22"/>
        </w:rPr>
        <w:t>imbex negalima maišyti tame pačiame švirkšte ar švirkšti ta pačia adata su propofolio emulsija ar šarminiais tirpalais, pvz., natrio tiopentonu (žr. 6.2 skyrių).</w:t>
      </w:r>
    </w:p>
    <w:p w14:paraId="3B9ED16E" w14:textId="77777777" w:rsidR="00C91987" w:rsidRPr="001C693E" w:rsidRDefault="00C91987" w:rsidP="00C91987">
      <w:pPr>
        <w:pStyle w:val="listssp"/>
        <w:rPr>
          <w:sz w:val="22"/>
          <w:szCs w:val="22"/>
          <w:lang w:val="lt-LT"/>
        </w:rPr>
      </w:pPr>
    </w:p>
    <w:p w14:paraId="56D53C94" w14:textId="77777777" w:rsidR="00C91987" w:rsidRPr="001C693E" w:rsidRDefault="00C91987" w:rsidP="00C91987">
      <w:pPr>
        <w:pStyle w:val="Pagrindinistekstas"/>
        <w:spacing w:after="0"/>
        <w:rPr>
          <w:szCs w:val="22"/>
        </w:rPr>
      </w:pPr>
      <w:r w:rsidRPr="001C693E">
        <w:rPr>
          <w:caps/>
          <w:szCs w:val="22"/>
        </w:rPr>
        <w:t>N</w:t>
      </w:r>
      <w:r w:rsidRPr="001C693E">
        <w:rPr>
          <w:szCs w:val="22"/>
        </w:rPr>
        <w:t>imbex sudėtyje nėra antimikrobinių konservantų, todėl jo skiriama tik vienam pacientui.</w:t>
      </w:r>
    </w:p>
    <w:p w14:paraId="4D81EEE1" w14:textId="77777777" w:rsidR="00C91987" w:rsidRPr="001C693E" w:rsidRDefault="00C91987" w:rsidP="00C91987">
      <w:pPr>
        <w:pStyle w:val="Pagrindinistekstas"/>
        <w:spacing w:after="0"/>
        <w:rPr>
          <w:szCs w:val="22"/>
        </w:rPr>
      </w:pPr>
    </w:p>
    <w:p w14:paraId="0CB603E9" w14:textId="77777777" w:rsidR="00C91987" w:rsidRPr="001C693E" w:rsidRDefault="00C91987" w:rsidP="00C91987">
      <w:pPr>
        <w:rPr>
          <w:szCs w:val="22"/>
        </w:rPr>
      </w:pPr>
      <w:r w:rsidRPr="001C693E">
        <w:rPr>
          <w:szCs w:val="22"/>
        </w:rPr>
        <w:t xml:space="preserve">Vartojant </w:t>
      </w:r>
      <w:r w:rsidRPr="001C693E">
        <w:rPr>
          <w:caps/>
          <w:szCs w:val="22"/>
        </w:rPr>
        <w:t>N</w:t>
      </w:r>
      <w:r w:rsidRPr="001C693E">
        <w:rPr>
          <w:szCs w:val="22"/>
        </w:rPr>
        <w:t>imbex, kaip ir kitus miorelaksantus, rekomenduojama stebėti paciento nervų-raumenų funkciją individualiai dozei nustatyti.</w:t>
      </w:r>
    </w:p>
    <w:p w14:paraId="3DC0B0C6" w14:textId="77777777" w:rsidR="00C91987" w:rsidRPr="001C693E" w:rsidRDefault="00C91987" w:rsidP="00C91987">
      <w:pPr>
        <w:rPr>
          <w:szCs w:val="22"/>
        </w:rPr>
      </w:pPr>
    </w:p>
    <w:p w14:paraId="244A7F70" w14:textId="77777777" w:rsidR="00C91987" w:rsidRPr="001C693E" w:rsidRDefault="00C91987" w:rsidP="00C91987">
      <w:pPr>
        <w:rPr>
          <w:bCs/>
          <w:i/>
          <w:iCs/>
          <w:szCs w:val="22"/>
        </w:rPr>
      </w:pPr>
      <w:r w:rsidRPr="001C693E">
        <w:rPr>
          <w:bCs/>
          <w:i/>
          <w:iCs/>
          <w:szCs w:val="22"/>
        </w:rPr>
        <w:t xml:space="preserve">Injekcija į veną </w:t>
      </w:r>
    </w:p>
    <w:p w14:paraId="5907A78E" w14:textId="77777777" w:rsidR="00C91987" w:rsidRPr="001C693E" w:rsidRDefault="00C91987" w:rsidP="00C91987">
      <w:pPr>
        <w:rPr>
          <w:szCs w:val="22"/>
        </w:rPr>
      </w:pPr>
    </w:p>
    <w:p w14:paraId="15B3D173" w14:textId="77777777" w:rsidR="00C91987" w:rsidRPr="001C693E" w:rsidRDefault="00C91987" w:rsidP="00C91987">
      <w:pPr>
        <w:pStyle w:val="Antrat5"/>
        <w:rPr>
          <w:szCs w:val="22"/>
          <w:u w:val="single"/>
        </w:rPr>
      </w:pPr>
      <w:r w:rsidRPr="001C693E">
        <w:rPr>
          <w:szCs w:val="22"/>
          <w:u w:val="single"/>
        </w:rPr>
        <w:t>Dozavimas suaugusiems žmonėms</w:t>
      </w:r>
    </w:p>
    <w:p w14:paraId="2E76DA9B" w14:textId="77777777" w:rsidR="00C91987" w:rsidRPr="001C693E" w:rsidRDefault="00C91987" w:rsidP="00C91987">
      <w:pPr>
        <w:rPr>
          <w:i/>
          <w:iCs/>
          <w:szCs w:val="22"/>
        </w:rPr>
      </w:pPr>
    </w:p>
    <w:p w14:paraId="20AD3E22" w14:textId="77777777" w:rsidR="00C91987" w:rsidRPr="001C693E" w:rsidRDefault="00C91987" w:rsidP="00C91987">
      <w:pPr>
        <w:rPr>
          <w:szCs w:val="22"/>
        </w:rPr>
      </w:pPr>
      <w:r w:rsidRPr="001C693E">
        <w:rPr>
          <w:bCs/>
          <w:i/>
          <w:iCs/>
          <w:szCs w:val="22"/>
        </w:rPr>
        <w:t xml:space="preserve">Trachėjinė intubacija. </w:t>
      </w:r>
      <w:r w:rsidRPr="001C693E">
        <w:rPr>
          <w:szCs w:val="22"/>
        </w:rPr>
        <w:t xml:space="preserve">Rekomenduojama intubacinė </w:t>
      </w:r>
      <w:r w:rsidRPr="001C693E">
        <w:rPr>
          <w:caps/>
          <w:szCs w:val="22"/>
        </w:rPr>
        <w:t>N</w:t>
      </w:r>
      <w:r w:rsidRPr="001C693E">
        <w:rPr>
          <w:szCs w:val="22"/>
        </w:rPr>
        <w:t xml:space="preserve">imbex dozė suaugusiesiems yra 0,15 mg/kg kūno svorio. Ši dozė sudaro geras ar net puikias sąlygas trachėjinei intubacijai praėjus 120 s po </w:t>
      </w:r>
      <w:r w:rsidRPr="001C693E">
        <w:rPr>
          <w:caps/>
          <w:szCs w:val="22"/>
        </w:rPr>
        <w:t>N</w:t>
      </w:r>
      <w:r w:rsidRPr="001C693E">
        <w:rPr>
          <w:szCs w:val="22"/>
        </w:rPr>
        <w:t>imbex vartojimo ir po įvadinės anestezijos propofoliu.</w:t>
      </w:r>
    </w:p>
    <w:p w14:paraId="31355F51" w14:textId="77777777" w:rsidR="00C91987" w:rsidRPr="001C693E" w:rsidRDefault="00C91987" w:rsidP="00C91987">
      <w:pPr>
        <w:rPr>
          <w:szCs w:val="22"/>
        </w:rPr>
      </w:pPr>
      <w:r w:rsidRPr="001C693E">
        <w:rPr>
          <w:szCs w:val="22"/>
        </w:rPr>
        <w:t>Didesnė dozė sutrumpins laiką iki nervo-raumens blokados pradžios.</w:t>
      </w:r>
    </w:p>
    <w:p w14:paraId="67966C68" w14:textId="77777777" w:rsidR="00C91987" w:rsidRPr="001C693E" w:rsidRDefault="00C91987" w:rsidP="00C91987">
      <w:pPr>
        <w:rPr>
          <w:szCs w:val="22"/>
        </w:rPr>
      </w:pPr>
    </w:p>
    <w:p w14:paraId="10C9C4A6" w14:textId="77777777" w:rsidR="00C91987" w:rsidRPr="001C693E" w:rsidRDefault="00C91987" w:rsidP="00C91987">
      <w:pPr>
        <w:rPr>
          <w:szCs w:val="22"/>
        </w:rPr>
      </w:pPr>
      <w:r w:rsidRPr="001C693E">
        <w:rPr>
          <w:szCs w:val="22"/>
        </w:rPr>
        <w:t xml:space="preserve">1 lentelėje nurodyti vidutiniai farmakodinamikos rodikliai, kai sveikiems suaugusiesiems opioidų (tiopentono/fentanilio/midazolamo) ar propofolio anestezijos metu buvo skiriama 0,1-0,4 mg/kg kūno svorio </w:t>
      </w:r>
      <w:r w:rsidRPr="001C693E">
        <w:rPr>
          <w:caps/>
          <w:szCs w:val="22"/>
        </w:rPr>
        <w:t>N</w:t>
      </w:r>
      <w:r w:rsidRPr="001C693E">
        <w:rPr>
          <w:szCs w:val="22"/>
        </w:rPr>
        <w:t>imbex dozė.</w:t>
      </w:r>
    </w:p>
    <w:p w14:paraId="2789D93E" w14:textId="77777777" w:rsidR="00C91987" w:rsidRPr="001C693E" w:rsidRDefault="00C91987" w:rsidP="00C91987">
      <w:pPr>
        <w:rPr>
          <w:szCs w:val="22"/>
        </w:rPr>
      </w:pPr>
    </w:p>
    <w:p w14:paraId="6E5FD731" w14:textId="77777777" w:rsidR="00C91987" w:rsidRPr="001C693E" w:rsidRDefault="00C91987" w:rsidP="00C91987">
      <w:pPr>
        <w:rPr>
          <w:szCs w:val="22"/>
        </w:rPr>
      </w:pPr>
      <w:r w:rsidRPr="001C693E">
        <w:rPr>
          <w:szCs w:val="22"/>
        </w:rPr>
        <w:t>1 lentelė. Vidutiniai farmakodinamikos rodikliai pavartojus skirtingas cisatrakurio dozes</w:t>
      </w:r>
    </w:p>
    <w:p w14:paraId="6DCF716D" w14:textId="77777777" w:rsidR="00C91987" w:rsidRPr="001C693E" w:rsidRDefault="00C91987" w:rsidP="00C91987">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57"/>
        <w:gridCol w:w="1857"/>
        <w:gridCol w:w="1857"/>
        <w:gridCol w:w="1858"/>
        <w:gridCol w:w="1858"/>
      </w:tblGrid>
      <w:tr w:rsidR="00C91987" w:rsidRPr="001C693E" w14:paraId="595460EF" w14:textId="77777777" w:rsidTr="008E5401">
        <w:tc>
          <w:tcPr>
            <w:tcW w:w="1857" w:type="dxa"/>
          </w:tcPr>
          <w:p w14:paraId="4A3F61E7" w14:textId="77777777" w:rsidR="00C91987" w:rsidRPr="001C693E" w:rsidRDefault="00C91987" w:rsidP="008E5401">
            <w:pPr>
              <w:jc w:val="center"/>
              <w:rPr>
                <w:szCs w:val="22"/>
              </w:rPr>
            </w:pPr>
            <w:r w:rsidRPr="001C693E">
              <w:rPr>
                <w:szCs w:val="22"/>
              </w:rPr>
              <w:lastRenderedPageBreak/>
              <w:t xml:space="preserve">Pradinė </w:t>
            </w:r>
            <w:r w:rsidRPr="001C693E">
              <w:rPr>
                <w:caps/>
                <w:szCs w:val="22"/>
              </w:rPr>
              <w:t>N</w:t>
            </w:r>
            <w:r w:rsidRPr="001C693E">
              <w:rPr>
                <w:szCs w:val="22"/>
              </w:rPr>
              <w:t>imbex dozė mg/kg (kūno svorio)</w:t>
            </w:r>
          </w:p>
        </w:tc>
        <w:tc>
          <w:tcPr>
            <w:tcW w:w="1857" w:type="dxa"/>
          </w:tcPr>
          <w:p w14:paraId="7C9BA5C5" w14:textId="77777777" w:rsidR="00C91987" w:rsidRPr="001C693E" w:rsidRDefault="00C91987" w:rsidP="008E5401">
            <w:pPr>
              <w:jc w:val="center"/>
              <w:rPr>
                <w:szCs w:val="22"/>
              </w:rPr>
            </w:pPr>
            <w:r w:rsidRPr="001C693E">
              <w:rPr>
                <w:szCs w:val="22"/>
              </w:rPr>
              <w:t>Bazinis anestetikas</w:t>
            </w:r>
          </w:p>
        </w:tc>
        <w:tc>
          <w:tcPr>
            <w:tcW w:w="1857" w:type="dxa"/>
          </w:tcPr>
          <w:p w14:paraId="7A336203" w14:textId="77777777" w:rsidR="00C91987" w:rsidRPr="001C693E" w:rsidRDefault="00C91987" w:rsidP="008E5401">
            <w:pPr>
              <w:jc w:val="center"/>
              <w:rPr>
                <w:szCs w:val="22"/>
              </w:rPr>
            </w:pPr>
            <w:r w:rsidRPr="001C693E">
              <w:rPr>
                <w:szCs w:val="22"/>
              </w:rPr>
              <w:t>Laikas iki 90% T1* slopinimo (minutės)</w:t>
            </w:r>
          </w:p>
        </w:tc>
        <w:tc>
          <w:tcPr>
            <w:tcW w:w="1858" w:type="dxa"/>
          </w:tcPr>
          <w:p w14:paraId="2043F937" w14:textId="77777777" w:rsidR="00C91987" w:rsidRPr="001C693E" w:rsidRDefault="00C91987" w:rsidP="008E5401">
            <w:pPr>
              <w:jc w:val="center"/>
              <w:rPr>
                <w:szCs w:val="22"/>
              </w:rPr>
            </w:pPr>
            <w:r w:rsidRPr="001C693E">
              <w:rPr>
                <w:szCs w:val="22"/>
              </w:rPr>
              <w:t>Laikas iki didžiausio T1* slopinimo (minutės)</w:t>
            </w:r>
          </w:p>
        </w:tc>
        <w:tc>
          <w:tcPr>
            <w:tcW w:w="1858" w:type="dxa"/>
          </w:tcPr>
          <w:p w14:paraId="6ABC6AA6" w14:textId="77777777" w:rsidR="00C91987" w:rsidRPr="001C693E" w:rsidRDefault="00C91987" w:rsidP="008E5401">
            <w:pPr>
              <w:jc w:val="center"/>
              <w:rPr>
                <w:szCs w:val="22"/>
              </w:rPr>
            </w:pPr>
            <w:r w:rsidRPr="001C693E">
              <w:rPr>
                <w:szCs w:val="22"/>
              </w:rPr>
              <w:t>Laikas iki 25% spontaninio T1* atsigavimo (minutės)</w:t>
            </w:r>
          </w:p>
        </w:tc>
      </w:tr>
      <w:tr w:rsidR="00C91987" w:rsidRPr="001C693E" w14:paraId="21F083B3" w14:textId="77777777" w:rsidTr="008E5401">
        <w:tc>
          <w:tcPr>
            <w:tcW w:w="1857" w:type="dxa"/>
          </w:tcPr>
          <w:p w14:paraId="1517899E" w14:textId="77777777" w:rsidR="00C91987" w:rsidRPr="001C693E" w:rsidRDefault="00C91987" w:rsidP="008E5401">
            <w:pPr>
              <w:jc w:val="center"/>
              <w:rPr>
                <w:szCs w:val="22"/>
              </w:rPr>
            </w:pPr>
            <w:r w:rsidRPr="001C693E">
              <w:rPr>
                <w:szCs w:val="22"/>
              </w:rPr>
              <w:t>0,1</w:t>
            </w:r>
          </w:p>
        </w:tc>
        <w:tc>
          <w:tcPr>
            <w:tcW w:w="1857" w:type="dxa"/>
          </w:tcPr>
          <w:p w14:paraId="43072F3E" w14:textId="77777777" w:rsidR="00C91987" w:rsidRPr="001C693E" w:rsidRDefault="00C91987" w:rsidP="008E5401">
            <w:pPr>
              <w:jc w:val="center"/>
              <w:rPr>
                <w:szCs w:val="22"/>
              </w:rPr>
            </w:pPr>
            <w:r w:rsidRPr="001C693E">
              <w:rPr>
                <w:szCs w:val="22"/>
              </w:rPr>
              <w:t>Opioidas</w:t>
            </w:r>
          </w:p>
        </w:tc>
        <w:tc>
          <w:tcPr>
            <w:tcW w:w="1857" w:type="dxa"/>
          </w:tcPr>
          <w:p w14:paraId="05AC23E3" w14:textId="77777777" w:rsidR="00C91987" w:rsidRPr="001C693E" w:rsidRDefault="00C91987" w:rsidP="008E5401">
            <w:pPr>
              <w:jc w:val="center"/>
              <w:rPr>
                <w:szCs w:val="22"/>
              </w:rPr>
            </w:pPr>
            <w:r w:rsidRPr="001C693E">
              <w:rPr>
                <w:szCs w:val="22"/>
              </w:rPr>
              <w:t>3,4</w:t>
            </w:r>
          </w:p>
        </w:tc>
        <w:tc>
          <w:tcPr>
            <w:tcW w:w="1858" w:type="dxa"/>
          </w:tcPr>
          <w:p w14:paraId="37E95E15" w14:textId="77777777" w:rsidR="00C91987" w:rsidRPr="001C693E" w:rsidRDefault="00C91987" w:rsidP="008E5401">
            <w:pPr>
              <w:jc w:val="center"/>
              <w:rPr>
                <w:szCs w:val="22"/>
              </w:rPr>
            </w:pPr>
            <w:r w:rsidRPr="001C693E">
              <w:rPr>
                <w:szCs w:val="22"/>
              </w:rPr>
              <w:t>4,8</w:t>
            </w:r>
          </w:p>
        </w:tc>
        <w:tc>
          <w:tcPr>
            <w:tcW w:w="1858" w:type="dxa"/>
          </w:tcPr>
          <w:p w14:paraId="0ECB2253" w14:textId="77777777" w:rsidR="00C91987" w:rsidRPr="001C693E" w:rsidRDefault="00C91987" w:rsidP="008E5401">
            <w:pPr>
              <w:jc w:val="center"/>
              <w:rPr>
                <w:szCs w:val="22"/>
              </w:rPr>
            </w:pPr>
            <w:r w:rsidRPr="001C693E">
              <w:rPr>
                <w:szCs w:val="22"/>
              </w:rPr>
              <w:t>45</w:t>
            </w:r>
          </w:p>
        </w:tc>
      </w:tr>
      <w:tr w:rsidR="00C91987" w:rsidRPr="001C693E" w14:paraId="6497E97A" w14:textId="77777777" w:rsidTr="008E5401">
        <w:tc>
          <w:tcPr>
            <w:tcW w:w="1857" w:type="dxa"/>
          </w:tcPr>
          <w:p w14:paraId="22F930B0" w14:textId="77777777" w:rsidR="00C91987" w:rsidRPr="001C693E" w:rsidRDefault="00C91987" w:rsidP="008E5401">
            <w:pPr>
              <w:jc w:val="center"/>
              <w:rPr>
                <w:szCs w:val="22"/>
              </w:rPr>
            </w:pPr>
            <w:r w:rsidRPr="001C693E">
              <w:rPr>
                <w:szCs w:val="22"/>
              </w:rPr>
              <w:t>0,15</w:t>
            </w:r>
          </w:p>
        </w:tc>
        <w:tc>
          <w:tcPr>
            <w:tcW w:w="1857" w:type="dxa"/>
          </w:tcPr>
          <w:p w14:paraId="4CCD8E6D" w14:textId="77777777" w:rsidR="00C91987" w:rsidRPr="001C693E" w:rsidRDefault="00C91987" w:rsidP="008E5401">
            <w:pPr>
              <w:jc w:val="center"/>
              <w:rPr>
                <w:szCs w:val="22"/>
              </w:rPr>
            </w:pPr>
            <w:r w:rsidRPr="001C693E">
              <w:rPr>
                <w:szCs w:val="22"/>
              </w:rPr>
              <w:t>Propofolis</w:t>
            </w:r>
          </w:p>
        </w:tc>
        <w:tc>
          <w:tcPr>
            <w:tcW w:w="1857" w:type="dxa"/>
          </w:tcPr>
          <w:p w14:paraId="04DDD82C" w14:textId="77777777" w:rsidR="00C91987" w:rsidRPr="001C693E" w:rsidRDefault="00C91987" w:rsidP="008E5401">
            <w:pPr>
              <w:jc w:val="center"/>
              <w:rPr>
                <w:szCs w:val="22"/>
              </w:rPr>
            </w:pPr>
            <w:r w:rsidRPr="001C693E">
              <w:rPr>
                <w:szCs w:val="22"/>
              </w:rPr>
              <w:t>2,6</w:t>
            </w:r>
          </w:p>
        </w:tc>
        <w:tc>
          <w:tcPr>
            <w:tcW w:w="1858" w:type="dxa"/>
          </w:tcPr>
          <w:p w14:paraId="4DBACB07" w14:textId="77777777" w:rsidR="00C91987" w:rsidRPr="001C693E" w:rsidRDefault="00C91987" w:rsidP="008E5401">
            <w:pPr>
              <w:jc w:val="center"/>
              <w:rPr>
                <w:szCs w:val="22"/>
              </w:rPr>
            </w:pPr>
            <w:r w:rsidRPr="001C693E">
              <w:rPr>
                <w:szCs w:val="22"/>
              </w:rPr>
              <w:t>3,5</w:t>
            </w:r>
          </w:p>
        </w:tc>
        <w:tc>
          <w:tcPr>
            <w:tcW w:w="1858" w:type="dxa"/>
          </w:tcPr>
          <w:p w14:paraId="120BAA7B" w14:textId="77777777" w:rsidR="00C91987" w:rsidRPr="001C693E" w:rsidRDefault="00C91987" w:rsidP="008E5401">
            <w:pPr>
              <w:jc w:val="center"/>
              <w:rPr>
                <w:szCs w:val="22"/>
              </w:rPr>
            </w:pPr>
            <w:r w:rsidRPr="001C693E">
              <w:rPr>
                <w:szCs w:val="22"/>
              </w:rPr>
              <w:t>55</w:t>
            </w:r>
          </w:p>
        </w:tc>
      </w:tr>
      <w:tr w:rsidR="00C91987" w:rsidRPr="001C693E" w14:paraId="4017EB37" w14:textId="77777777" w:rsidTr="008E5401">
        <w:tc>
          <w:tcPr>
            <w:tcW w:w="1857" w:type="dxa"/>
          </w:tcPr>
          <w:p w14:paraId="32E4E163" w14:textId="77777777" w:rsidR="00C91987" w:rsidRPr="001C693E" w:rsidRDefault="00C91987" w:rsidP="008E5401">
            <w:pPr>
              <w:jc w:val="center"/>
              <w:rPr>
                <w:szCs w:val="22"/>
              </w:rPr>
            </w:pPr>
            <w:r w:rsidRPr="001C693E">
              <w:rPr>
                <w:szCs w:val="22"/>
              </w:rPr>
              <w:t>0,2</w:t>
            </w:r>
          </w:p>
        </w:tc>
        <w:tc>
          <w:tcPr>
            <w:tcW w:w="1857" w:type="dxa"/>
          </w:tcPr>
          <w:p w14:paraId="11A7544E" w14:textId="77777777" w:rsidR="00C91987" w:rsidRPr="001C693E" w:rsidRDefault="00C91987" w:rsidP="008E5401">
            <w:pPr>
              <w:jc w:val="center"/>
              <w:rPr>
                <w:szCs w:val="22"/>
              </w:rPr>
            </w:pPr>
            <w:r w:rsidRPr="001C693E">
              <w:rPr>
                <w:szCs w:val="22"/>
              </w:rPr>
              <w:t>Opioidas</w:t>
            </w:r>
          </w:p>
        </w:tc>
        <w:tc>
          <w:tcPr>
            <w:tcW w:w="1857" w:type="dxa"/>
          </w:tcPr>
          <w:p w14:paraId="5B59F6CC" w14:textId="77777777" w:rsidR="00C91987" w:rsidRPr="001C693E" w:rsidRDefault="00C91987" w:rsidP="008E5401">
            <w:pPr>
              <w:jc w:val="center"/>
              <w:rPr>
                <w:szCs w:val="22"/>
              </w:rPr>
            </w:pPr>
            <w:r w:rsidRPr="001C693E">
              <w:rPr>
                <w:szCs w:val="22"/>
              </w:rPr>
              <w:t>2,4</w:t>
            </w:r>
          </w:p>
        </w:tc>
        <w:tc>
          <w:tcPr>
            <w:tcW w:w="1858" w:type="dxa"/>
          </w:tcPr>
          <w:p w14:paraId="255DCE5F" w14:textId="77777777" w:rsidR="00C91987" w:rsidRPr="001C693E" w:rsidRDefault="00C91987" w:rsidP="008E5401">
            <w:pPr>
              <w:jc w:val="center"/>
              <w:rPr>
                <w:szCs w:val="22"/>
              </w:rPr>
            </w:pPr>
            <w:r w:rsidRPr="001C693E">
              <w:rPr>
                <w:szCs w:val="22"/>
              </w:rPr>
              <w:t>2,9</w:t>
            </w:r>
          </w:p>
        </w:tc>
        <w:tc>
          <w:tcPr>
            <w:tcW w:w="1858" w:type="dxa"/>
          </w:tcPr>
          <w:p w14:paraId="1AC2D952" w14:textId="77777777" w:rsidR="00C91987" w:rsidRPr="001C693E" w:rsidRDefault="00C91987" w:rsidP="008E5401">
            <w:pPr>
              <w:jc w:val="center"/>
              <w:rPr>
                <w:szCs w:val="22"/>
              </w:rPr>
            </w:pPr>
            <w:r w:rsidRPr="001C693E">
              <w:rPr>
                <w:szCs w:val="22"/>
              </w:rPr>
              <w:t>65</w:t>
            </w:r>
          </w:p>
        </w:tc>
      </w:tr>
      <w:tr w:rsidR="00C91987" w:rsidRPr="001C693E" w14:paraId="56EE248B" w14:textId="77777777" w:rsidTr="008E5401">
        <w:tc>
          <w:tcPr>
            <w:tcW w:w="1857" w:type="dxa"/>
          </w:tcPr>
          <w:p w14:paraId="70A7814F" w14:textId="77777777" w:rsidR="00C91987" w:rsidRPr="001C693E" w:rsidRDefault="00C91987" w:rsidP="008E5401">
            <w:pPr>
              <w:jc w:val="center"/>
              <w:rPr>
                <w:szCs w:val="22"/>
              </w:rPr>
            </w:pPr>
            <w:r w:rsidRPr="001C693E">
              <w:rPr>
                <w:szCs w:val="22"/>
              </w:rPr>
              <w:t>0,4</w:t>
            </w:r>
          </w:p>
        </w:tc>
        <w:tc>
          <w:tcPr>
            <w:tcW w:w="1857" w:type="dxa"/>
          </w:tcPr>
          <w:p w14:paraId="651895DA" w14:textId="77777777" w:rsidR="00C91987" w:rsidRPr="001C693E" w:rsidRDefault="00C91987" w:rsidP="008E5401">
            <w:pPr>
              <w:jc w:val="center"/>
              <w:rPr>
                <w:szCs w:val="22"/>
              </w:rPr>
            </w:pPr>
            <w:r w:rsidRPr="001C693E">
              <w:rPr>
                <w:szCs w:val="22"/>
              </w:rPr>
              <w:t>Opioidas</w:t>
            </w:r>
          </w:p>
        </w:tc>
        <w:tc>
          <w:tcPr>
            <w:tcW w:w="1857" w:type="dxa"/>
          </w:tcPr>
          <w:p w14:paraId="7B39CA99" w14:textId="77777777" w:rsidR="00C91987" w:rsidRPr="001C693E" w:rsidRDefault="00C91987" w:rsidP="008E5401">
            <w:pPr>
              <w:jc w:val="center"/>
              <w:rPr>
                <w:szCs w:val="22"/>
              </w:rPr>
            </w:pPr>
            <w:r w:rsidRPr="001C693E">
              <w:rPr>
                <w:szCs w:val="22"/>
              </w:rPr>
              <w:t>1,5</w:t>
            </w:r>
          </w:p>
        </w:tc>
        <w:tc>
          <w:tcPr>
            <w:tcW w:w="1858" w:type="dxa"/>
          </w:tcPr>
          <w:p w14:paraId="731E39D4" w14:textId="77777777" w:rsidR="00C91987" w:rsidRPr="001C693E" w:rsidRDefault="00C91987" w:rsidP="008E5401">
            <w:pPr>
              <w:jc w:val="center"/>
              <w:rPr>
                <w:szCs w:val="22"/>
              </w:rPr>
            </w:pPr>
            <w:r w:rsidRPr="001C693E">
              <w:rPr>
                <w:szCs w:val="22"/>
              </w:rPr>
              <w:t>1,9</w:t>
            </w:r>
          </w:p>
        </w:tc>
        <w:tc>
          <w:tcPr>
            <w:tcW w:w="1858" w:type="dxa"/>
          </w:tcPr>
          <w:p w14:paraId="699D69BB" w14:textId="77777777" w:rsidR="00C91987" w:rsidRPr="001C693E" w:rsidRDefault="00C91987" w:rsidP="008E5401">
            <w:pPr>
              <w:jc w:val="center"/>
              <w:rPr>
                <w:szCs w:val="22"/>
              </w:rPr>
            </w:pPr>
            <w:r w:rsidRPr="001C693E">
              <w:rPr>
                <w:szCs w:val="22"/>
              </w:rPr>
              <w:t>91</w:t>
            </w:r>
          </w:p>
        </w:tc>
      </w:tr>
    </w:tbl>
    <w:p w14:paraId="08FCBAC5" w14:textId="77777777" w:rsidR="00C91987" w:rsidRPr="001C693E" w:rsidRDefault="00C91987" w:rsidP="00C91987">
      <w:pPr>
        <w:rPr>
          <w:szCs w:val="22"/>
        </w:rPr>
      </w:pPr>
      <w:r w:rsidRPr="001C693E">
        <w:rPr>
          <w:szCs w:val="22"/>
        </w:rPr>
        <w:t xml:space="preserve">*T1 – rankos nykščio pritraukiamojo raumens vieno trūktelėjimo atsakas bei pirmasis iš </w:t>
      </w:r>
      <w:r w:rsidRPr="001C693E">
        <w:rPr>
          <w:i/>
          <w:szCs w:val="22"/>
        </w:rPr>
        <w:t>Train-of-four</w:t>
      </w:r>
      <w:r w:rsidRPr="001C693E">
        <w:rPr>
          <w:szCs w:val="22"/>
        </w:rPr>
        <w:t xml:space="preserve"> atsako komponentas po stipriausios elektrinės alkūninio nervo stimuliacijos.</w:t>
      </w:r>
    </w:p>
    <w:p w14:paraId="6295DBF9" w14:textId="77777777" w:rsidR="00C91987" w:rsidRPr="001C693E" w:rsidRDefault="00C91987" w:rsidP="00C91987">
      <w:pPr>
        <w:pStyle w:val="listssp"/>
        <w:rPr>
          <w:sz w:val="22"/>
          <w:szCs w:val="22"/>
          <w:lang w:val="lt-LT"/>
        </w:rPr>
      </w:pPr>
    </w:p>
    <w:p w14:paraId="2A24D971" w14:textId="77777777" w:rsidR="00C91987" w:rsidRPr="001C693E" w:rsidRDefault="00C91987" w:rsidP="00C91987">
      <w:pPr>
        <w:pStyle w:val="listssp"/>
        <w:rPr>
          <w:sz w:val="22"/>
          <w:szCs w:val="22"/>
          <w:lang w:val="lt-LT"/>
        </w:rPr>
      </w:pPr>
      <w:r w:rsidRPr="001C693E">
        <w:rPr>
          <w:sz w:val="22"/>
          <w:szCs w:val="22"/>
          <w:lang w:val="lt-LT"/>
        </w:rPr>
        <w:t xml:space="preserve">Enflurano ar izoflurano anestezija gali 15% pailginti kliniškai efektyvią pradinės </w:t>
      </w:r>
      <w:r w:rsidRPr="001C693E">
        <w:rPr>
          <w:caps/>
          <w:sz w:val="22"/>
          <w:szCs w:val="22"/>
          <w:lang w:val="lt-LT"/>
        </w:rPr>
        <w:t>N</w:t>
      </w:r>
      <w:r w:rsidRPr="001C693E">
        <w:rPr>
          <w:sz w:val="22"/>
          <w:szCs w:val="22"/>
          <w:lang w:val="lt-LT"/>
        </w:rPr>
        <w:t>imbex dozės trukmę.</w:t>
      </w:r>
    </w:p>
    <w:p w14:paraId="62B692CC" w14:textId="77777777" w:rsidR="00C91987" w:rsidRPr="001C693E" w:rsidRDefault="00C91987" w:rsidP="00C91987">
      <w:pPr>
        <w:pStyle w:val="listssp"/>
        <w:rPr>
          <w:sz w:val="22"/>
          <w:szCs w:val="22"/>
          <w:lang w:val="lt-LT"/>
        </w:rPr>
      </w:pPr>
    </w:p>
    <w:p w14:paraId="112A98A5" w14:textId="77777777" w:rsidR="00C91987" w:rsidRPr="001C693E" w:rsidRDefault="00C91987" w:rsidP="00C91987">
      <w:pPr>
        <w:pStyle w:val="listssp"/>
        <w:rPr>
          <w:sz w:val="22"/>
          <w:szCs w:val="22"/>
          <w:lang w:val="lt-LT"/>
        </w:rPr>
      </w:pPr>
      <w:r w:rsidRPr="001C693E">
        <w:rPr>
          <w:bCs/>
          <w:i/>
          <w:iCs/>
          <w:sz w:val="22"/>
          <w:szCs w:val="22"/>
          <w:lang w:val="lt-LT"/>
        </w:rPr>
        <w:t xml:space="preserve">Palaikymas. </w:t>
      </w:r>
      <w:r w:rsidRPr="001C693E">
        <w:rPr>
          <w:sz w:val="22"/>
          <w:szCs w:val="22"/>
          <w:lang w:val="lt-LT"/>
        </w:rPr>
        <w:t xml:space="preserve"> Nervo-raumens blokadą galima pratęsti palaikomosiomis </w:t>
      </w:r>
      <w:r w:rsidRPr="001C693E">
        <w:rPr>
          <w:caps/>
          <w:sz w:val="22"/>
          <w:szCs w:val="22"/>
          <w:lang w:val="lt-LT"/>
        </w:rPr>
        <w:t>N</w:t>
      </w:r>
      <w:r w:rsidRPr="001C693E">
        <w:rPr>
          <w:sz w:val="22"/>
          <w:szCs w:val="22"/>
          <w:lang w:val="lt-LT"/>
        </w:rPr>
        <w:t>imbex dozėmis. 0,03 mg/kg kūno svorio dozė dar maždaug 20 min pratęsia kliniškai efektyvią nervo-raumens blokadą opioidų ar propofolio anestezijos metu.</w:t>
      </w:r>
    </w:p>
    <w:p w14:paraId="2A2EA113" w14:textId="77777777" w:rsidR="00C91987" w:rsidRPr="001C693E" w:rsidRDefault="00C91987" w:rsidP="00C91987">
      <w:pPr>
        <w:pStyle w:val="listssp"/>
        <w:rPr>
          <w:sz w:val="22"/>
          <w:szCs w:val="22"/>
          <w:lang w:val="lt-LT"/>
        </w:rPr>
      </w:pPr>
    </w:p>
    <w:p w14:paraId="59E6130B" w14:textId="77777777" w:rsidR="00C91987" w:rsidRPr="001C693E" w:rsidRDefault="00C91987" w:rsidP="00C91987">
      <w:pPr>
        <w:pStyle w:val="listssp"/>
        <w:rPr>
          <w:sz w:val="22"/>
          <w:szCs w:val="22"/>
          <w:lang w:val="lt-LT"/>
        </w:rPr>
      </w:pPr>
      <w:bookmarkStart w:id="1" w:name="OLE_LINK2"/>
      <w:r w:rsidRPr="001C693E">
        <w:rPr>
          <w:sz w:val="22"/>
          <w:szCs w:val="22"/>
          <w:lang w:val="lt-LT"/>
        </w:rPr>
        <w:t>Sekančios palaikomosios dozės kumuliacinio poveikio neturi.</w:t>
      </w:r>
      <w:bookmarkEnd w:id="1"/>
      <w:r w:rsidRPr="001C693E">
        <w:rPr>
          <w:sz w:val="22"/>
          <w:szCs w:val="22"/>
          <w:lang w:val="lt-LT"/>
        </w:rPr>
        <w:t xml:space="preserve"> </w:t>
      </w:r>
    </w:p>
    <w:p w14:paraId="6A756F3A" w14:textId="77777777" w:rsidR="00C91987" w:rsidRPr="001C693E" w:rsidRDefault="00C91987" w:rsidP="00C91987">
      <w:pPr>
        <w:pStyle w:val="listssp"/>
        <w:rPr>
          <w:sz w:val="22"/>
          <w:szCs w:val="22"/>
          <w:lang w:val="lt-LT"/>
        </w:rPr>
      </w:pPr>
    </w:p>
    <w:p w14:paraId="3638E2EE" w14:textId="77777777" w:rsidR="00C91987" w:rsidRPr="001C693E" w:rsidRDefault="00C91987" w:rsidP="00C91987">
      <w:pPr>
        <w:pStyle w:val="listssp"/>
        <w:rPr>
          <w:sz w:val="22"/>
          <w:szCs w:val="22"/>
          <w:lang w:val="lt-LT"/>
        </w:rPr>
      </w:pPr>
      <w:r w:rsidRPr="001C693E">
        <w:rPr>
          <w:bCs/>
          <w:i/>
          <w:iCs/>
          <w:sz w:val="22"/>
          <w:szCs w:val="22"/>
          <w:lang w:val="lt-LT"/>
        </w:rPr>
        <w:t xml:space="preserve">Spontaninis atsigavimas. </w:t>
      </w:r>
      <w:r w:rsidRPr="001C693E">
        <w:rPr>
          <w:sz w:val="22"/>
          <w:szCs w:val="22"/>
          <w:lang w:val="lt-LT"/>
        </w:rPr>
        <w:t xml:space="preserve">Kai pradedama spontaniškai atsigauti po nervo-raumens blokados, atsigavimo greitis nepriklauso nuo </w:t>
      </w:r>
      <w:r w:rsidRPr="001C693E">
        <w:rPr>
          <w:caps/>
          <w:sz w:val="22"/>
          <w:szCs w:val="22"/>
          <w:lang w:val="lt-LT"/>
        </w:rPr>
        <w:t>N</w:t>
      </w:r>
      <w:r w:rsidRPr="001C693E">
        <w:rPr>
          <w:sz w:val="22"/>
          <w:szCs w:val="22"/>
          <w:lang w:val="lt-LT"/>
        </w:rPr>
        <w:t>imbex dozės. Opioidinės ar propofolio anestezijos metu nuo 25% iki 75% ir nuo 5% iki 95% atsigavimo laiko mediana yra atitinkamai maždaug 13 min. ir 30 min.</w:t>
      </w:r>
    </w:p>
    <w:p w14:paraId="3F669CA7" w14:textId="77777777" w:rsidR="00C91987" w:rsidRPr="001C693E" w:rsidRDefault="00C91987" w:rsidP="00C91987">
      <w:pPr>
        <w:pStyle w:val="listssp"/>
        <w:rPr>
          <w:sz w:val="22"/>
          <w:szCs w:val="22"/>
          <w:lang w:val="lt-LT"/>
        </w:rPr>
      </w:pPr>
    </w:p>
    <w:p w14:paraId="5E94847D" w14:textId="77777777" w:rsidR="00C91987" w:rsidRPr="001C693E" w:rsidRDefault="00C91987" w:rsidP="00C91987">
      <w:pPr>
        <w:pStyle w:val="listssp"/>
        <w:rPr>
          <w:sz w:val="22"/>
          <w:szCs w:val="22"/>
          <w:lang w:val="lt-LT"/>
        </w:rPr>
      </w:pPr>
      <w:r w:rsidRPr="001C693E">
        <w:rPr>
          <w:bCs/>
          <w:i/>
          <w:iCs/>
          <w:sz w:val="22"/>
          <w:szCs w:val="22"/>
          <w:lang w:val="lt-LT"/>
        </w:rPr>
        <w:t>Grįžtamumas</w:t>
      </w:r>
      <w:r w:rsidRPr="001C693E">
        <w:rPr>
          <w:sz w:val="22"/>
          <w:szCs w:val="22"/>
          <w:lang w:val="lt-LT"/>
        </w:rPr>
        <w:t xml:space="preserve">. Nervo-raumens blokada, sukelta </w:t>
      </w:r>
      <w:r w:rsidRPr="001C693E">
        <w:rPr>
          <w:caps/>
          <w:sz w:val="22"/>
          <w:szCs w:val="22"/>
          <w:lang w:val="lt-LT"/>
        </w:rPr>
        <w:t>N</w:t>
      </w:r>
      <w:r w:rsidRPr="001C693E">
        <w:rPr>
          <w:sz w:val="22"/>
          <w:szCs w:val="22"/>
          <w:lang w:val="lt-LT"/>
        </w:rPr>
        <w:t>imbex, iš karto išnyksta pavartojus standartines anticholinesterazinių medžiagų dozes. Vidutinis nuo 25% iki 75% atsigavimo ir iki visiško klinikinio atsigavimo (T</w:t>
      </w:r>
      <w:r w:rsidRPr="001C693E">
        <w:rPr>
          <w:sz w:val="22"/>
          <w:szCs w:val="22"/>
          <w:vertAlign w:val="subscript"/>
          <w:lang w:val="lt-LT"/>
        </w:rPr>
        <w:t>4</w:t>
      </w:r>
      <w:r w:rsidRPr="001C693E">
        <w:rPr>
          <w:sz w:val="22"/>
          <w:szCs w:val="22"/>
          <w:lang w:val="lt-LT"/>
        </w:rPr>
        <w:t>:T</w:t>
      </w:r>
      <w:r w:rsidRPr="001C693E">
        <w:rPr>
          <w:sz w:val="22"/>
          <w:szCs w:val="22"/>
          <w:vertAlign w:val="subscript"/>
          <w:lang w:val="lt-LT"/>
        </w:rPr>
        <w:t>1</w:t>
      </w:r>
      <w:r w:rsidRPr="001C693E">
        <w:rPr>
          <w:sz w:val="22"/>
          <w:szCs w:val="22"/>
          <w:lang w:val="lt-LT"/>
        </w:rPr>
        <w:t xml:space="preserve"> santykis </w:t>
      </w:r>
      <w:r w:rsidRPr="001C693E">
        <w:rPr>
          <w:sz w:val="22"/>
          <w:szCs w:val="22"/>
          <w:lang w:val="lt-LT"/>
        </w:rPr>
        <w:sym w:font="Symbol" w:char="F0B3"/>
      </w:r>
      <w:r w:rsidRPr="001C693E">
        <w:rPr>
          <w:sz w:val="22"/>
          <w:szCs w:val="22"/>
          <w:lang w:val="lt-LT"/>
        </w:rPr>
        <w:t xml:space="preserve"> 0,7) (santykis, atspindinitis atsistatymą po blokados) laikas yra atitinkamai maždaug 4 min. ir 9 min. po antagonisto pavartojimo, kai vidutinis T</w:t>
      </w:r>
      <w:r w:rsidRPr="001C693E">
        <w:rPr>
          <w:sz w:val="22"/>
          <w:szCs w:val="22"/>
          <w:vertAlign w:val="subscript"/>
          <w:lang w:val="lt-LT"/>
        </w:rPr>
        <w:t xml:space="preserve">1 </w:t>
      </w:r>
      <w:r w:rsidRPr="001C693E">
        <w:rPr>
          <w:sz w:val="22"/>
          <w:szCs w:val="22"/>
          <w:lang w:val="lt-LT"/>
        </w:rPr>
        <w:t>atsigavimas yra 10%.</w:t>
      </w:r>
    </w:p>
    <w:p w14:paraId="02AB96BE" w14:textId="77777777" w:rsidR="00C91987" w:rsidRPr="001C693E" w:rsidRDefault="00C91987" w:rsidP="00C91987">
      <w:pPr>
        <w:pStyle w:val="listssp"/>
        <w:rPr>
          <w:sz w:val="22"/>
          <w:szCs w:val="22"/>
          <w:lang w:val="lt-LT"/>
        </w:rPr>
      </w:pPr>
    </w:p>
    <w:p w14:paraId="0BC296A6" w14:textId="77777777" w:rsidR="00C91987" w:rsidRPr="001C693E" w:rsidRDefault="00C91987" w:rsidP="00C91987">
      <w:pPr>
        <w:pStyle w:val="listssp"/>
        <w:rPr>
          <w:bCs/>
          <w:i/>
          <w:iCs/>
          <w:sz w:val="22"/>
          <w:szCs w:val="22"/>
          <w:u w:val="single"/>
          <w:lang w:val="lt-LT"/>
        </w:rPr>
      </w:pPr>
      <w:r w:rsidRPr="001C693E">
        <w:rPr>
          <w:bCs/>
          <w:i/>
          <w:iCs/>
          <w:sz w:val="22"/>
          <w:szCs w:val="22"/>
          <w:lang w:val="lt-LT"/>
        </w:rPr>
        <w:t>Vaikų populiacija</w:t>
      </w:r>
    </w:p>
    <w:p w14:paraId="431A0472" w14:textId="77777777" w:rsidR="00C91987" w:rsidRPr="001C693E" w:rsidRDefault="00C91987" w:rsidP="00C91987">
      <w:pPr>
        <w:rPr>
          <w:szCs w:val="22"/>
        </w:rPr>
      </w:pPr>
    </w:p>
    <w:p w14:paraId="58296557" w14:textId="77777777" w:rsidR="00C91987" w:rsidRPr="001C693E" w:rsidRDefault="00C91987" w:rsidP="00C91987">
      <w:pPr>
        <w:rPr>
          <w:szCs w:val="22"/>
        </w:rPr>
      </w:pPr>
      <w:r w:rsidRPr="001C693E">
        <w:rPr>
          <w:bCs/>
          <w:i/>
          <w:iCs/>
          <w:szCs w:val="22"/>
        </w:rPr>
        <w:t>Trachėjinė intubacija (vaikams nuo 1 mėn. iki 12 metų).</w:t>
      </w:r>
      <w:r w:rsidRPr="001C693E">
        <w:rPr>
          <w:szCs w:val="22"/>
        </w:rPr>
        <w:t xml:space="preserve"> Kaip ir suaugusiems žmonėms, rekomenduojama </w:t>
      </w:r>
      <w:r w:rsidRPr="001C693E">
        <w:rPr>
          <w:caps/>
          <w:szCs w:val="22"/>
        </w:rPr>
        <w:t>N</w:t>
      </w:r>
      <w:r w:rsidRPr="001C693E">
        <w:rPr>
          <w:szCs w:val="22"/>
        </w:rPr>
        <w:t xml:space="preserve">imbex dozė yra 0,15 mg/kg kūno svorio, kuri sušvirkščiama per 5-10 s. Ši dozė sudaro geras ar net puikias sąlygas trachėjinei intubacijai praėjus 120 s po </w:t>
      </w:r>
      <w:r w:rsidRPr="001C693E">
        <w:rPr>
          <w:caps/>
          <w:szCs w:val="22"/>
        </w:rPr>
        <w:t>N</w:t>
      </w:r>
      <w:r w:rsidRPr="001C693E">
        <w:rPr>
          <w:szCs w:val="22"/>
        </w:rPr>
        <w:t>imbex vartojimo ir po įvadinės anestezijos propofoliu. Šios dozės farmakodinamikos rodikliai nurodyti žemiau esančiose 2, 3 ir 4  lentelėse.</w:t>
      </w:r>
    </w:p>
    <w:p w14:paraId="4721A6A7" w14:textId="77777777" w:rsidR="00C91987" w:rsidRPr="001C693E" w:rsidRDefault="00C91987" w:rsidP="00C91987">
      <w:pPr>
        <w:rPr>
          <w:szCs w:val="22"/>
        </w:rPr>
      </w:pPr>
    </w:p>
    <w:p w14:paraId="71032BA8" w14:textId="77777777" w:rsidR="00C91987" w:rsidRPr="001C693E" w:rsidRDefault="00C91987" w:rsidP="00C91987">
      <w:pPr>
        <w:rPr>
          <w:szCs w:val="22"/>
        </w:rPr>
      </w:pPr>
      <w:r w:rsidRPr="001C693E">
        <w:rPr>
          <w:caps/>
          <w:szCs w:val="22"/>
        </w:rPr>
        <w:t>N</w:t>
      </w:r>
      <w:r w:rsidRPr="001C693E">
        <w:rPr>
          <w:szCs w:val="22"/>
        </w:rPr>
        <w:t>imbex nebuvo tirtas intubuojant vaikus, atitinkančius ASA III-IV klasę. Mažai duomenų yra apie šio vaisto vartojimą jaunesniems kaip 2 metų vaikams, kuriems atliekama ilgalaikė didelės apimties chirurginė operacija.</w:t>
      </w:r>
    </w:p>
    <w:p w14:paraId="21AEC7D1" w14:textId="77777777" w:rsidR="00C91987" w:rsidRPr="001C693E" w:rsidRDefault="00C91987" w:rsidP="00C91987">
      <w:pPr>
        <w:rPr>
          <w:szCs w:val="22"/>
        </w:rPr>
      </w:pPr>
    </w:p>
    <w:p w14:paraId="49345319" w14:textId="77777777" w:rsidR="00C91987" w:rsidRPr="001C693E" w:rsidRDefault="00C91987" w:rsidP="00C91987">
      <w:pPr>
        <w:rPr>
          <w:szCs w:val="22"/>
        </w:rPr>
      </w:pPr>
      <w:r w:rsidRPr="001C693E">
        <w:rPr>
          <w:szCs w:val="22"/>
        </w:rPr>
        <w:t xml:space="preserve">Vaikams nuo 1 mėn. iki 12 metų </w:t>
      </w:r>
      <w:r w:rsidRPr="001C693E">
        <w:rPr>
          <w:caps/>
          <w:szCs w:val="22"/>
        </w:rPr>
        <w:t>N</w:t>
      </w:r>
      <w:r w:rsidRPr="001C693E">
        <w:rPr>
          <w:szCs w:val="22"/>
        </w:rPr>
        <w:t>imbex kliniškai efektyvi trukmė yra trumpesnė ir spontaninis atsigavimas greitesnis negu suaugusiųjų esant panašioms anestezijos sąlygoms. Stebėti nedideli 1-11 mėnesių ir 1-12 metų vaikų farmakodinamikos skirtumai. Jie apibendrinti žemiau esančiose 2 ir 3 lentelėse.</w:t>
      </w:r>
    </w:p>
    <w:p w14:paraId="7764CC6E" w14:textId="77777777" w:rsidR="00C91987" w:rsidRPr="001C693E" w:rsidRDefault="00C91987" w:rsidP="00C91987">
      <w:pPr>
        <w:rPr>
          <w:szCs w:val="22"/>
        </w:rPr>
      </w:pPr>
    </w:p>
    <w:p w14:paraId="71039CCE" w14:textId="77777777" w:rsidR="00C91987" w:rsidRPr="001C693E" w:rsidRDefault="00C91987" w:rsidP="00C91987">
      <w:pPr>
        <w:pStyle w:val="Antrat9"/>
        <w:rPr>
          <w:bCs w:val="0"/>
          <w:i w:val="0"/>
          <w:szCs w:val="22"/>
        </w:rPr>
      </w:pPr>
      <w:r w:rsidRPr="001C693E">
        <w:rPr>
          <w:bCs w:val="0"/>
          <w:i w:val="0"/>
          <w:szCs w:val="22"/>
        </w:rPr>
        <w:t>2 lentelė. Vaikams nuo 1-11 mėnesių</w:t>
      </w:r>
    </w:p>
    <w:p w14:paraId="32A38CFD" w14:textId="77777777" w:rsidR="00C91987" w:rsidRPr="001C693E" w:rsidRDefault="00C91987" w:rsidP="00C91987">
      <w:pPr>
        <w:pStyle w:val="Porat"/>
        <w:tabs>
          <w:tab w:val="clear" w:pos="4153"/>
          <w:tab w:val="clear" w:pos="8306"/>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57"/>
        <w:gridCol w:w="1857"/>
        <w:gridCol w:w="1857"/>
        <w:gridCol w:w="1858"/>
        <w:gridCol w:w="1858"/>
      </w:tblGrid>
      <w:tr w:rsidR="00C91987" w:rsidRPr="001C693E" w14:paraId="69C0CCE7" w14:textId="77777777" w:rsidTr="008E5401">
        <w:tc>
          <w:tcPr>
            <w:tcW w:w="1857" w:type="dxa"/>
          </w:tcPr>
          <w:p w14:paraId="47648D04" w14:textId="77777777" w:rsidR="00C91987" w:rsidRPr="001C693E" w:rsidRDefault="00C91987" w:rsidP="008E5401">
            <w:pPr>
              <w:jc w:val="center"/>
              <w:rPr>
                <w:szCs w:val="22"/>
              </w:rPr>
            </w:pPr>
            <w:r w:rsidRPr="001C693E">
              <w:rPr>
                <w:szCs w:val="22"/>
              </w:rPr>
              <w:t xml:space="preserve">Pradinė </w:t>
            </w:r>
            <w:r w:rsidRPr="001C693E">
              <w:rPr>
                <w:caps/>
                <w:szCs w:val="22"/>
              </w:rPr>
              <w:t>N</w:t>
            </w:r>
            <w:r w:rsidRPr="001C693E">
              <w:rPr>
                <w:szCs w:val="22"/>
              </w:rPr>
              <w:t>imbex dozė mg/kg (kūno svorio)</w:t>
            </w:r>
          </w:p>
        </w:tc>
        <w:tc>
          <w:tcPr>
            <w:tcW w:w="1857" w:type="dxa"/>
          </w:tcPr>
          <w:p w14:paraId="7782BAC0" w14:textId="77777777" w:rsidR="00C91987" w:rsidRPr="001C693E" w:rsidRDefault="00C91987" w:rsidP="008E5401">
            <w:pPr>
              <w:jc w:val="center"/>
              <w:rPr>
                <w:szCs w:val="22"/>
              </w:rPr>
            </w:pPr>
            <w:r w:rsidRPr="001C693E">
              <w:rPr>
                <w:szCs w:val="22"/>
              </w:rPr>
              <w:t>Bazinis anestetikas</w:t>
            </w:r>
          </w:p>
        </w:tc>
        <w:tc>
          <w:tcPr>
            <w:tcW w:w="1857" w:type="dxa"/>
          </w:tcPr>
          <w:p w14:paraId="6D4351F5" w14:textId="77777777" w:rsidR="00C91987" w:rsidRPr="001C693E" w:rsidRDefault="00C91987" w:rsidP="008E5401">
            <w:pPr>
              <w:jc w:val="center"/>
              <w:rPr>
                <w:szCs w:val="22"/>
              </w:rPr>
            </w:pPr>
            <w:r w:rsidRPr="001C693E">
              <w:rPr>
                <w:szCs w:val="22"/>
              </w:rPr>
              <w:t>Laikas iki 90%  slopinimo (minutės)</w:t>
            </w:r>
          </w:p>
        </w:tc>
        <w:tc>
          <w:tcPr>
            <w:tcW w:w="1858" w:type="dxa"/>
          </w:tcPr>
          <w:p w14:paraId="4AAC07BC" w14:textId="77777777" w:rsidR="00C91987" w:rsidRPr="001C693E" w:rsidRDefault="00C91987" w:rsidP="008E5401">
            <w:pPr>
              <w:jc w:val="center"/>
              <w:rPr>
                <w:szCs w:val="22"/>
              </w:rPr>
            </w:pPr>
            <w:r w:rsidRPr="001C693E">
              <w:rPr>
                <w:szCs w:val="22"/>
              </w:rPr>
              <w:t>Laikas iki didžiausio slopinimo (minutės)</w:t>
            </w:r>
          </w:p>
        </w:tc>
        <w:tc>
          <w:tcPr>
            <w:tcW w:w="1858" w:type="dxa"/>
          </w:tcPr>
          <w:p w14:paraId="44B18825" w14:textId="77777777" w:rsidR="00C91987" w:rsidRPr="001C693E" w:rsidRDefault="00C91987" w:rsidP="008E5401">
            <w:pPr>
              <w:jc w:val="center"/>
              <w:rPr>
                <w:szCs w:val="22"/>
              </w:rPr>
            </w:pPr>
            <w:r w:rsidRPr="001C693E">
              <w:rPr>
                <w:szCs w:val="22"/>
              </w:rPr>
              <w:t>Laikas iki 25% spontaninio T</w:t>
            </w:r>
            <w:r w:rsidRPr="001C693E">
              <w:rPr>
                <w:szCs w:val="22"/>
                <w:vertAlign w:val="subscript"/>
              </w:rPr>
              <w:t>1</w:t>
            </w:r>
            <w:r w:rsidRPr="001C693E">
              <w:rPr>
                <w:szCs w:val="22"/>
              </w:rPr>
              <w:t xml:space="preserve"> atsigavimo  (minutės)</w:t>
            </w:r>
          </w:p>
        </w:tc>
      </w:tr>
      <w:tr w:rsidR="00C91987" w:rsidRPr="001C693E" w14:paraId="4571D394" w14:textId="77777777" w:rsidTr="008E5401">
        <w:tc>
          <w:tcPr>
            <w:tcW w:w="1857" w:type="dxa"/>
          </w:tcPr>
          <w:p w14:paraId="2481B57A" w14:textId="77777777" w:rsidR="00C91987" w:rsidRPr="001C693E" w:rsidRDefault="00C91987" w:rsidP="008E5401">
            <w:pPr>
              <w:jc w:val="center"/>
              <w:rPr>
                <w:szCs w:val="22"/>
              </w:rPr>
            </w:pPr>
            <w:r w:rsidRPr="001C693E">
              <w:rPr>
                <w:szCs w:val="22"/>
              </w:rPr>
              <w:t>0,15</w:t>
            </w:r>
          </w:p>
        </w:tc>
        <w:tc>
          <w:tcPr>
            <w:tcW w:w="1857" w:type="dxa"/>
          </w:tcPr>
          <w:p w14:paraId="1F1BD0F4" w14:textId="77777777" w:rsidR="00C91987" w:rsidRPr="001C693E" w:rsidRDefault="00C91987" w:rsidP="008E5401">
            <w:pPr>
              <w:jc w:val="center"/>
              <w:rPr>
                <w:szCs w:val="22"/>
              </w:rPr>
            </w:pPr>
            <w:r w:rsidRPr="001C693E">
              <w:rPr>
                <w:szCs w:val="22"/>
              </w:rPr>
              <w:t>Halotanas</w:t>
            </w:r>
          </w:p>
        </w:tc>
        <w:tc>
          <w:tcPr>
            <w:tcW w:w="1857" w:type="dxa"/>
          </w:tcPr>
          <w:p w14:paraId="092BECFF" w14:textId="77777777" w:rsidR="00C91987" w:rsidRPr="001C693E" w:rsidRDefault="00C91987" w:rsidP="008E5401">
            <w:pPr>
              <w:jc w:val="center"/>
              <w:rPr>
                <w:szCs w:val="22"/>
              </w:rPr>
            </w:pPr>
            <w:r w:rsidRPr="001C693E">
              <w:rPr>
                <w:szCs w:val="22"/>
              </w:rPr>
              <w:t>1,4</w:t>
            </w:r>
          </w:p>
        </w:tc>
        <w:tc>
          <w:tcPr>
            <w:tcW w:w="1858" w:type="dxa"/>
          </w:tcPr>
          <w:p w14:paraId="752FA9A2" w14:textId="77777777" w:rsidR="00C91987" w:rsidRPr="001C693E" w:rsidRDefault="00C91987" w:rsidP="008E5401">
            <w:pPr>
              <w:jc w:val="center"/>
              <w:rPr>
                <w:szCs w:val="22"/>
              </w:rPr>
            </w:pPr>
            <w:r w:rsidRPr="001C693E">
              <w:rPr>
                <w:szCs w:val="22"/>
              </w:rPr>
              <w:t>2,0</w:t>
            </w:r>
          </w:p>
        </w:tc>
        <w:tc>
          <w:tcPr>
            <w:tcW w:w="1858" w:type="dxa"/>
          </w:tcPr>
          <w:p w14:paraId="408B9221" w14:textId="77777777" w:rsidR="00C91987" w:rsidRPr="001C693E" w:rsidRDefault="00C91987" w:rsidP="008E5401">
            <w:pPr>
              <w:jc w:val="center"/>
              <w:rPr>
                <w:szCs w:val="22"/>
              </w:rPr>
            </w:pPr>
            <w:r w:rsidRPr="001C693E">
              <w:rPr>
                <w:szCs w:val="22"/>
              </w:rPr>
              <w:t>52</w:t>
            </w:r>
          </w:p>
        </w:tc>
      </w:tr>
      <w:tr w:rsidR="00C91987" w:rsidRPr="001C693E" w14:paraId="0C658530" w14:textId="77777777" w:rsidTr="008E5401">
        <w:tc>
          <w:tcPr>
            <w:tcW w:w="1857" w:type="dxa"/>
          </w:tcPr>
          <w:p w14:paraId="3ACEBB91" w14:textId="77777777" w:rsidR="00C91987" w:rsidRPr="001C693E" w:rsidRDefault="00C91987" w:rsidP="008E5401">
            <w:pPr>
              <w:jc w:val="center"/>
              <w:rPr>
                <w:szCs w:val="22"/>
              </w:rPr>
            </w:pPr>
            <w:r w:rsidRPr="001C693E">
              <w:rPr>
                <w:szCs w:val="22"/>
              </w:rPr>
              <w:t>0,15</w:t>
            </w:r>
          </w:p>
        </w:tc>
        <w:tc>
          <w:tcPr>
            <w:tcW w:w="1857" w:type="dxa"/>
          </w:tcPr>
          <w:p w14:paraId="27FE8B9C" w14:textId="77777777" w:rsidR="00C91987" w:rsidRPr="001C693E" w:rsidRDefault="00C91987" w:rsidP="008E5401">
            <w:pPr>
              <w:jc w:val="center"/>
              <w:rPr>
                <w:szCs w:val="22"/>
              </w:rPr>
            </w:pPr>
            <w:r w:rsidRPr="001C693E">
              <w:rPr>
                <w:szCs w:val="22"/>
              </w:rPr>
              <w:t>Opioidas</w:t>
            </w:r>
          </w:p>
        </w:tc>
        <w:tc>
          <w:tcPr>
            <w:tcW w:w="1857" w:type="dxa"/>
          </w:tcPr>
          <w:p w14:paraId="6B3EA2A8" w14:textId="77777777" w:rsidR="00C91987" w:rsidRPr="001C693E" w:rsidRDefault="00C91987" w:rsidP="008E5401">
            <w:pPr>
              <w:jc w:val="center"/>
              <w:rPr>
                <w:szCs w:val="22"/>
              </w:rPr>
            </w:pPr>
            <w:r w:rsidRPr="001C693E">
              <w:rPr>
                <w:szCs w:val="22"/>
              </w:rPr>
              <w:t>1,4</w:t>
            </w:r>
          </w:p>
        </w:tc>
        <w:tc>
          <w:tcPr>
            <w:tcW w:w="1858" w:type="dxa"/>
          </w:tcPr>
          <w:p w14:paraId="5CF2EFB4" w14:textId="77777777" w:rsidR="00C91987" w:rsidRPr="001C693E" w:rsidRDefault="00C91987" w:rsidP="008E5401">
            <w:pPr>
              <w:jc w:val="center"/>
              <w:rPr>
                <w:szCs w:val="22"/>
              </w:rPr>
            </w:pPr>
            <w:r w:rsidRPr="001C693E">
              <w:rPr>
                <w:szCs w:val="22"/>
              </w:rPr>
              <w:t>1,9</w:t>
            </w:r>
          </w:p>
        </w:tc>
        <w:tc>
          <w:tcPr>
            <w:tcW w:w="1858" w:type="dxa"/>
          </w:tcPr>
          <w:p w14:paraId="6EE2C326" w14:textId="77777777" w:rsidR="00C91987" w:rsidRPr="001C693E" w:rsidRDefault="00C91987" w:rsidP="008E5401">
            <w:pPr>
              <w:jc w:val="center"/>
              <w:rPr>
                <w:szCs w:val="22"/>
              </w:rPr>
            </w:pPr>
            <w:r w:rsidRPr="001C693E">
              <w:rPr>
                <w:szCs w:val="22"/>
              </w:rPr>
              <w:t>47</w:t>
            </w:r>
          </w:p>
        </w:tc>
      </w:tr>
    </w:tbl>
    <w:p w14:paraId="2DB349FF" w14:textId="77777777" w:rsidR="00C91987" w:rsidRPr="001C693E" w:rsidRDefault="00C91987" w:rsidP="00C91987">
      <w:pPr>
        <w:pStyle w:val="listssp"/>
        <w:rPr>
          <w:sz w:val="22"/>
          <w:szCs w:val="22"/>
          <w:lang w:val="lt-LT"/>
        </w:rPr>
      </w:pPr>
    </w:p>
    <w:p w14:paraId="522A8105" w14:textId="77777777" w:rsidR="00C91987" w:rsidRPr="001C693E" w:rsidRDefault="00C91987" w:rsidP="00C91987">
      <w:pPr>
        <w:pStyle w:val="Antrat9"/>
        <w:rPr>
          <w:bCs w:val="0"/>
          <w:i w:val="0"/>
          <w:szCs w:val="22"/>
          <w:u w:val="none"/>
        </w:rPr>
      </w:pPr>
      <w:r w:rsidRPr="001C693E">
        <w:rPr>
          <w:bCs w:val="0"/>
          <w:i w:val="0"/>
          <w:szCs w:val="22"/>
          <w:u w:val="none"/>
        </w:rPr>
        <w:lastRenderedPageBreak/>
        <w:t>3 lentelė. Vaikams nuo 1-12 metų</w:t>
      </w:r>
    </w:p>
    <w:p w14:paraId="43A47E4C" w14:textId="77777777" w:rsidR="00C91987" w:rsidRPr="001C693E" w:rsidRDefault="00C91987" w:rsidP="00C91987">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57"/>
        <w:gridCol w:w="1857"/>
        <w:gridCol w:w="1857"/>
        <w:gridCol w:w="1858"/>
        <w:gridCol w:w="1858"/>
      </w:tblGrid>
      <w:tr w:rsidR="00C91987" w:rsidRPr="001C693E" w14:paraId="76D7AE67" w14:textId="77777777" w:rsidTr="008E5401">
        <w:tc>
          <w:tcPr>
            <w:tcW w:w="1857" w:type="dxa"/>
          </w:tcPr>
          <w:p w14:paraId="188E0F84" w14:textId="77777777" w:rsidR="00C91987" w:rsidRPr="001C693E" w:rsidRDefault="00C91987" w:rsidP="008E5401">
            <w:pPr>
              <w:jc w:val="center"/>
              <w:rPr>
                <w:szCs w:val="22"/>
              </w:rPr>
            </w:pPr>
            <w:r w:rsidRPr="001C693E">
              <w:rPr>
                <w:szCs w:val="22"/>
              </w:rPr>
              <w:t xml:space="preserve">Pradinė </w:t>
            </w:r>
            <w:r w:rsidRPr="001C693E">
              <w:rPr>
                <w:caps/>
                <w:szCs w:val="22"/>
              </w:rPr>
              <w:t>N</w:t>
            </w:r>
            <w:r w:rsidRPr="001C693E">
              <w:rPr>
                <w:szCs w:val="22"/>
              </w:rPr>
              <w:t>imbex dozė mg/kg (kūno svorio)</w:t>
            </w:r>
          </w:p>
        </w:tc>
        <w:tc>
          <w:tcPr>
            <w:tcW w:w="1857" w:type="dxa"/>
          </w:tcPr>
          <w:p w14:paraId="1CF5EFA1" w14:textId="77777777" w:rsidR="00C91987" w:rsidRPr="001C693E" w:rsidRDefault="00C91987" w:rsidP="008E5401">
            <w:pPr>
              <w:jc w:val="center"/>
              <w:rPr>
                <w:szCs w:val="22"/>
              </w:rPr>
            </w:pPr>
            <w:r w:rsidRPr="001C693E">
              <w:rPr>
                <w:szCs w:val="22"/>
              </w:rPr>
              <w:t>Bazinis anestetikas</w:t>
            </w:r>
          </w:p>
        </w:tc>
        <w:tc>
          <w:tcPr>
            <w:tcW w:w="1857" w:type="dxa"/>
          </w:tcPr>
          <w:p w14:paraId="21F6C191" w14:textId="77777777" w:rsidR="00C91987" w:rsidRPr="001C693E" w:rsidRDefault="00C91987" w:rsidP="008E5401">
            <w:pPr>
              <w:jc w:val="center"/>
              <w:rPr>
                <w:szCs w:val="22"/>
              </w:rPr>
            </w:pPr>
            <w:r w:rsidRPr="001C693E">
              <w:rPr>
                <w:szCs w:val="22"/>
              </w:rPr>
              <w:t>Laikas iki 90%  slopinimo (minutės)</w:t>
            </w:r>
          </w:p>
        </w:tc>
        <w:tc>
          <w:tcPr>
            <w:tcW w:w="1858" w:type="dxa"/>
          </w:tcPr>
          <w:p w14:paraId="126C957F" w14:textId="77777777" w:rsidR="00C91987" w:rsidRPr="001C693E" w:rsidRDefault="00C91987" w:rsidP="008E5401">
            <w:pPr>
              <w:jc w:val="center"/>
              <w:rPr>
                <w:szCs w:val="22"/>
              </w:rPr>
            </w:pPr>
            <w:r w:rsidRPr="001C693E">
              <w:rPr>
                <w:szCs w:val="22"/>
              </w:rPr>
              <w:t>Laikas iki didžiausio slopinimo (minutės)</w:t>
            </w:r>
          </w:p>
        </w:tc>
        <w:tc>
          <w:tcPr>
            <w:tcW w:w="1858" w:type="dxa"/>
          </w:tcPr>
          <w:p w14:paraId="6AAFD6FE" w14:textId="77777777" w:rsidR="00C91987" w:rsidRPr="001C693E" w:rsidRDefault="00C91987" w:rsidP="008E5401">
            <w:pPr>
              <w:jc w:val="center"/>
              <w:rPr>
                <w:szCs w:val="22"/>
              </w:rPr>
            </w:pPr>
            <w:r w:rsidRPr="001C693E">
              <w:rPr>
                <w:szCs w:val="22"/>
              </w:rPr>
              <w:t>Laikas iki 25% spontaninio T</w:t>
            </w:r>
            <w:r w:rsidRPr="001C693E">
              <w:rPr>
                <w:szCs w:val="22"/>
                <w:vertAlign w:val="subscript"/>
              </w:rPr>
              <w:t>1</w:t>
            </w:r>
            <w:r w:rsidRPr="001C693E">
              <w:rPr>
                <w:szCs w:val="22"/>
              </w:rPr>
              <w:t xml:space="preserve"> atsigavimo  (minutės)</w:t>
            </w:r>
          </w:p>
        </w:tc>
      </w:tr>
      <w:tr w:rsidR="00C91987" w:rsidRPr="001C693E" w14:paraId="629BBECA" w14:textId="77777777" w:rsidTr="008E5401">
        <w:tc>
          <w:tcPr>
            <w:tcW w:w="1857" w:type="dxa"/>
          </w:tcPr>
          <w:p w14:paraId="4B4AA758" w14:textId="77777777" w:rsidR="00C91987" w:rsidRPr="001C693E" w:rsidRDefault="00C91987" w:rsidP="008E5401">
            <w:pPr>
              <w:jc w:val="center"/>
              <w:rPr>
                <w:szCs w:val="22"/>
              </w:rPr>
            </w:pPr>
            <w:r w:rsidRPr="001C693E">
              <w:rPr>
                <w:szCs w:val="22"/>
              </w:rPr>
              <w:t>0,15</w:t>
            </w:r>
          </w:p>
        </w:tc>
        <w:tc>
          <w:tcPr>
            <w:tcW w:w="1857" w:type="dxa"/>
          </w:tcPr>
          <w:p w14:paraId="0A02B39D" w14:textId="77777777" w:rsidR="00C91987" w:rsidRPr="001C693E" w:rsidRDefault="00C91987" w:rsidP="008E5401">
            <w:pPr>
              <w:jc w:val="center"/>
              <w:rPr>
                <w:szCs w:val="22"/>
              </w:rPr>
            </w:pPr>
            <w:r w:rsidRPr="001C693E">
              <w:rPr>
                <w:szCs w:val="22"/>
              </w:rPr>
              <w:t>Halotanas</w:t>
            </w:r>
          </w:p>
        </w:tc>
        <w:tc>
          <w:tcPr>
            <w:tcW w:w="1857" w:type="dxa"/>
          </w:tcPr>
          <w:p w14:paraId="24B13CF1" w14:textId="77777777" w:rsidR="00C91987" w:rsidRPr="001C693E" w:rsidRDefault="00C91987" w:rsidP="008E5401">
            <w:pPr>
              <w:jc w:val="center"/>
              <w:rPr>
                <w:szCs w:val="22"/>
              </w:rPr>
            </w:pPr>
            <w:r w:rsidRPr="001C693E">
              <w:rPr>
                <w:szCs w:val="22"/>
              </w:rPr>
              <w:t>2,3</w:t>
            </w:r>
          </w:p>
        </w:tc>
        <w:tc>
          <w:tcPr>
            <w:tcW w:w="1858" w:type="dxa"/>
          </w:tcPr>
          <w:p w14:paraId="3E7BB827" w14:textId="77777777" w:rsidR="00C91987" w:rsidRPr="001C693E" w:rsidRDefault="00C91987" w:rsidP="008E5401">
            <w:pPr>
              <w:jc w:val="center"/>
              <w:rPr>
                <w:szCs w:val="22"/>
              </w:rPr>
            </w:pPr>
            <w:r w:rsidRPr="001C693E">
              <w:rPr>
                <w:szCs w:val="22"/>
              </w:rPr>
              <w:t>3,0</w:t>
            </w:r>
          </w:p>
        </w:tc>
        <w:tc>
          <w:tcPr>
            <w:tcW w:w="1858" w:type="dxa"/>
          </w:tcPr>
          <w:p w14:paraId="2B547867" w14:textId="77777777" w:rsidR="00C91987" w:rsidRPr="001C693E" w:rsidRDefault="00C91987" w:rsidP="008E5401">
            <w:pPr>
              <w:jc w:val="center"/>
              <w:rPr>
                <w:szCs w:val="22"/>
              </w:rPr>
            </w:pPr>
            <w:r w:rsidRPr="001C693E">
              <w:rPr>
                <w:szCs w:val="22"/>
              </w:rPr>
              <w:t>43</w:t>
            </w:r>
          </w:p>
        </w:tc>
      </w:tr>
      <w:tr w:rsidR="00C91987" w:rsidRPr="001C693E" w14:paraId="6A1260A3" w14:textId="77777777" w:rsidTr="008E5401">
        <w:tc>
          <w:tcPr>
            <w:tcW w:w="1857" w:type="dxa"/>
          </w:tcPr>
          <w:p w14:paraId="0BF32E24" w14:textId="77777777" w:rsidR="00C91987" w:rsidRPr="001C693E" w:rsidRDefault="00C91987" w:rsidP="008E5401">
            <w:pPr>
              <w:jc w:val="center"/>
              <w:rPr>
                <w:szCs w:val="22"/>
              </w:rPr>
            </w:pPr>
            <w:r w:rsidRPr="001C693E">
              <w:rPr>
                <w:szCs w:val="22"/>
              </w:rPr>
              <w:t>0,15</w:t>
            </w:r>
          </w:p>
        </w:tc>
        <w:tc>
          <w:tcPr>
            <w:tcW w:w="1857" w:type="dxa"/>
          </w:tcPr>
          <w:p w14:paraId="0B3DDDFE" w14:textId="77777777" w:rsidR="00C91987" w:rsidRPr="001C693E" w:rsidRDefault="00C91987" w:rsidP="008E5401">
            <w:pPr>
              <w:jc w:val="center"/>
              <w:rPr>
                <w:szCs w:val="22"/>
              </w:rPr>
            </w:pPr>
            <w:r w:rsidRPr="001C693E">
              <w:rPr>
                <w:szCs w:val="22"/>
              </w:rPr>
              <w:t>Opioidas</w:t>
            </w:r>
          </w:p>
        </w:tc>
        <w:tc>
          <w:tcPr>
            <w:tcW w:w="1857" w:type="dxa"/>
          </w:tcPr>
          <w:p w14:paraId="5F7A149D" w14:textId="77777777" w:rsidR="00C91987" w:rsidRPr="001C693E" w:rsidRDefault="00C91987" w:rsidP="008E5401">
            <w:pPr>
              <w:jc w:val="center"/>
              <w:rPr>
                <w:szCs w:val="22"/>
              </w:rPr>
            </w:pPr>
            <w:r w:rsidRPr="001C693E">
              <w:rPr>
                <w:szCs w:val="22"/>
              </w:rPr>
              <w:t>2,6</w:t>
            </w:r>
          </w:p>
        </w:tc>
        <w:tc>
          <w:tcPr>
            <w:tcW w:w="1858" w:type="dxa"/>
          </w:tcPr>
          <w:p w14:paraId="6975C5D7" w14:textId="77777777" w:rsidR="00C91987" w:rsidRPr="001C693E" w:rsidRDefault="00C91987" w:rsidP="008E5401">
            <w:pPr>
              <w:jc w:val="center"/>
              <w:rPr>
                <w:szCs w:val="22"/>
              </w:rPr>
            </w:pPr>
            <w:r w:rsidRPr="001C693E">
              <w:rPr>
                <w:szCs w:val="22"/>
              </w:rPr>
              <w:t>3,6</w:t>
            </w:r>
          </w:p>
        </w:tc>
        <w:tc>
          <w:tcPr>
            <w:tcW w:w="1858" w:type="dxa"/>
          </w:tcPr>
          <w:p w14:paraId="6633BE24" w14:textId="77777777" w:rsidR="00C91987" w:rsidRPr="001C693E" w:rsidRDefault="00C91987" w:rsidP="008E5401">
            <w:pPr>
              <w:jc w:val="center"/>
              <w:rPr>
                <w:szCs w:val="22"/>
              </w:rPr>
            </w:pPr>
            <w:r w:rsidRPr="001C693E">
              <w:rPr>
                <w:szCs w:val="22"/>
              </w:rPr>
              <w:t>38</w:t>
            </w:r>
          </w:p>
        </w:tc>
      </w:tr>
    </w:tbl>
    <w:p w14:paraId="5E124D31" w14:textId="77777777" w:rsidR="00C91987" w:rsidRPr="001C693E" w:rsidRDefault="00C91987" w:rsidP="00C91987">
      <w:pPr>
        <w:pStyle w:val="listssp"/>
        <w:rPr>
          <w:sz w:val="22"/>
          <w:szCs w:val="22"/>
          <w:lang w:val="lt-LT"/>
        </w:rPr>
      </w:pPr>
    </w:p>
    <w:p w14:paraId="7F2833ED" w14:textId="77777777" w:rsidR="00C91987" w:rsidRPr="001C693E" w:rsidRDefault="00C91987" w:rsidP="00C91987">
      <w:pPr>
        <w:pStyle w:val="listssp"/>
        <w:rPr>
          <w:sz w:val="22"/>
          <w:szCs w:val="22"/>
          <w:lang w:val="lt-LT"/>
        </w:rPr>
      </w:pPr>
      <w:r w:rsidRPr="001C693E">
        <w:rPr>
          <w:bCs/>
          <w:i/>
          <w:iCs/>
          <w:sz w:val="22"/>
          <w:szCs w:val="22"/>
          <w:lang w:val="lt-LT"/>
        </w:rPr>
        <w:t xml:space="preserve">Kada </w:t>
      </w:r>
      <w:r w:rsidRPr="001C693E">
        <w:rPr>
          <w:i/>
          <w:caps/>
          <w:sz w:val="22"/>
          <w:szCs w:val="22"/>
          <w:lang w:val="lt-LT"/>
        </w:rPr>
        <w:t>N</w:t>
      </w:r>
      <w:r w:rsidRPr="001C693E">
        <w:rPr>
          <w:i/>
          <w:sz w:val="22"/>
          <w:szCs w:val="22"/>
          <w:lang w:val="lt-LT"/>
        </w:rPr>
        <w:t>imbex</w:t>
      </w:r>
      <w:r w:rsidRPr="001C693E">
        <w:rPr>
          <w:bCs/>
          <w:i/>
          <w:iCs/>
          <w:sz w:val="22"/>
          <w:szCs w:val="22"/>
          <w:lang w:val="lt-LT"/>
        </w:rPr>
        <w:t xml:space="preserve"> nebūtinas intubacijai</w:t>
      </w:r>
      <w:r w:rsidRPr="001C693E">
        <w:rPr>
          <w:sz w:val="22"/>
          <w:szCs w:val="22"/>
          <w:lang w:val="lt-LT"/>
        </w:rPr>
        <w:t>. Galima vartoti mažesnę kaip 0,15 mg/kg dozę. 2-12 metų vaikų 0,08-0,1 mg/kg dozių farmakodinamikos rodikliai nurodyti 4 lentelėje.</w:t>
      </w:r>
    </w:p>
    <w:p w14:paraId="445D1737" w14:textId="77777777" w:rsidR="00C91987" w:rsidRPr="001C693E" w:rsidRDefault="00C91987" w:rsidP="00C91987">
      <w:pPr>
        <w:pStyle w:val="listssp"/>
        <w:rPr>
          <w:sz w:val="22"/>
          <w:szCs w:val="22"/>
          <w:lang w:val="lt-LT"/>
        </w:rPr>
      </w:pPr>
    </w:p>
    <w:p w14:paraId="4250663B" w14:textId="77777777" w:rsidR="00C91987" w:rsidRPr="001C693E" w:rsidRDefault="00C91987" w:rsidP="00C91987">
      <w:pPr>
        <w:pStyle w:val="listssp"/>
        <w:rPr>
          <w:sz w:val="22"/>
          <w:szCs w:val="22"/>
          <w:lang w:val="lt-LT"/>
        </w:rPr>
      </w:pPr>
      <w:r w:rsidRPr="001C693E">
        <w:rPr>
          <w:sz w:val="22"/>
          <w:szCs w:val="22"/>
          <w:lang w:val="lt-LT"/>
        </w:rPr>
        <w:t>4 lentelė. Vaikams nuo 2-12 metų</w:t>
      </w:r>
    </w:p>
    <w:p w14:paraId="216EC9B1" w14:textId="77777777" w:rsidR="00C91987" w:rsidRPr="001C693E" w:rsidRDefault="00C91987" w:rsidP="00C91987">
      <w:pPr>
        <w:pStyle w:val="listssp"/>
        <w:rPr>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57"/>
        <w:gridCol w:w="1857"/>
        <w:gridCol w:w="1857"/>
        <w:gridCol w:w="1858"/>
        <w:gridCol w:w="1858"/>
      </w:tblGrid>
      <w:tr w:rsidR="00C91987" w:rsidRPr="001C693E" w14:paraId="66AEEB8D" w14:textId="77777777" w:rsidTr="008E5401">
        <w:tc>
          <w:tcPr>
            <w:tcW w:w="1857" w:type="dxa"/>
          </w:tcPr>
          <w:p w14:paraId="323C4020" w14:textId="77777777" w:rsidR="00C91987" w:rsidRPr="001C693E" w:rsidRDefault="00C91987" w:rsidP="008E5401">
            <w:pPr>
              <w:jc w:val="center"/>
              <w:rPr>
                <w:szCs w:val="22"/>
              </w:rPr>
            </w:pPr>
            <w:r w:rsidRPr="001C693E">
              <w:rPr>
                <w:szCs w:val="22"/>
              </w:rPr>
              <w:t xml:space="preserve">Pradinė </w:t>
            </w:r>
            <w:r w:rsidRPr="001C693E">
              <w:rPr>
                <w:caps/>
                <w:szCs w:val="22"/>
              </w:rPr>
              <w:t>N</w:t>
            </w:r>
            <w:r w:rsidRPr="001C693E">
              <w:rPr>
                <w:szCs w:val="22"/>
              </w:rPr>
              <w:t>imbex dozė mg/kg (kūno svorio)</w:t>
            </w:r>
          </w:p>
        </w:tc>
        <w:tc>
          <w:tcPr>
            <w:tcW w:w="1857" w:type="dxa"/>
          </w:tcPr>
          <w:p w14:paraId="4C74E7A3" w14:textId="77777777" w:rsidR="00C91987" w:rsidRPr="001C693E" w:rsidRDefault="00C91987" w:rsidP="008E5401">
            <w:pPr>
              <w:jc w:val="center"/>
              <w:rPr>
                <w:szCs w:val="22"/>
              </w:rPr>
            </w:pPr>
            <w:r w:rsidRPr="001C693E">
              <w:rPr>
                <w:szCs w:val="22"/>
              </w:rPr>
              <w:t>Bazinis anestetikas</w:t>
            </w:r>
          </w:p>
        </w:tc>
        <w:tc>
          <w:tcPr>
            <w:tcW w:w="1857" w:type="dxa"/>
          </w:tcPr>
          <w:p w14:paraId="3BE73427" w14:textId="77777777" w:rsidR="00C91987" w:rsidRPr="001C693E" w:rsidRDefault="00C91987" w:rsidP="008E5401">
            <w:pPr>
              <w:jc w:val="center"/>
              <w:rPr>
                <w:szCs w:val="22"/>
              </w:rPr>
            </w:pPr>
            <w:r w:rsidRPr="001C693E">
              <w:rPr>
                <w:szCs w:val="22"/>
              </w:rPr>
              <w:t>Laikas iki 90%  slopinimo (minutės)</w:t>
            </w:r>
          </w:p>
        </w:tc>
        <w:tc>
          <w:tcPr>
            <w:tcW w:w="1858" w:type="dxa"/>
          </w:tcPr>
          <w:p w14:paraId="2FC89123" w14:textId="77777777" w:rsidR="00C91987" w:rsidRPr="001C693E" w:rsidRDefault="00C91987" w:rsidP="008E5401">
            <w:pPr>
              <w:jc w:val="center"/>
              <w:rPr>
                <w:szCs w:val="22"/>
              </w:rPr>
            </w:pPr>
            <w:r w:rsidRPr="001C693E">
              <w:rPr>
                <w:szCs w:val="22"/>
              </w:rPr>
              <w:t>Laikas iki didžiausio slopinimo (minutės)</w:t>
            </w:r>
          </w:p>
        </w:tc>
        <w:tc>
          <w:tcPr>
            <w:tcW w:w="1858" w:type="dxa"/>
          </w:tcPr>
          <w:p w14:paraId="3C74C4CE" w14:textId="77777777" w:rsidR="00C91987" w:rsidRPr="001C693E" w:rsidRDefault="00C91987" w:rsidP="008E5401">
            <w:pPr>
              <w:jc w:val="center"/>
              <w:rPr>
                <w:szCs w:val="22"/>
              </w:rPr>
            </w:pPr>
            <w:r w:rsidRPr="001C693E">
              <w:rPr>
                <w:szCs w:val="22"/>
              </w:rPr>
              <w:t>Laikas iki 25% spontaninio T</w:t>
            </w:r>
            <w:r w:rsidRPr="001C693E">
              <w:rPr>
                <w:szCs w:val="22"/>
                <w:vertAlign w:val="subscript"/>
              </w:rPr>
              <w:t>1</w:t>
            </w:r>
            <w:r w:rsidRPr="001C693E">
              <w:rPr>
                <w:szCs w:val="22"/>
              </w:rPr>
              <w:t xml:space="preserve"> atsigavimo  (minutės)</w:t>
            </w:r>
          </w:p>
        </w:tc>
      </w:tr>
      <w:tr w:rsidR="00C91987" w:rsidRPr="001C693E" w14:paraId="6EDE72D2" w14:textId="77777777" w:rsidTr="008E5401">
        <w:tc>
          <w:tcPr>
            <w:tcW w:w="1857" w:type="dxa"/>
          </w:tcPr>
          <w:p w14:paraId="5F8F5C75" w14:textId="77777777" w:rsidR="00C91987" w:rsidRPr="001C693E" w:rsidRDefault="00C91987" w:rsidP="008E5401">
            <w:pPr>
              <w:jc w:val="center"/>
              <w:rPr>
                <w:szCs w:val="22"/>
              </w:rPr>
            </w:pPr>
            <w:r w:rsidRPr="001C693E">
              <w:rPr>
                <w:szCs w:val="22"/>
              </w:rPr>
              <w:t>0,08</w:t>
            </w:r>
          </w:p>
        </w:tc>
        <w:tc>
          <w:tcPr>
            <w:tcW w:w="1857" w:type="dxa"/>
          </w:tcPr>
          <w:p w14:paraId="19DAE559" w14:textId="77777777" w:rsidR="00C91987" w:rsidRPr="001C693E" w:rsidRDefault="00C91987" w:rsidP="008E5401">
            <w:pPr>
              <w:jc w:val="center"/>
              <w:rPr>
                <w:szCs w:val="22"/>
              </w:rPr>
            </w:pPr>
            <w:r w:rsidRPr="001C693E">
              <w:rPr>
                <w:szCs w:val="22"/>
              </w:rPr>
              <w:t>Halotanas</w:t>
            </w:r>
          </w:p>
        </w:tc>
        <w:tc>
          <w:tcPr>
            <w:tcW w:w="1857" w:type="dxa"/>
          </w:tcPr>
          <w:p w14:paraId="7D9D4FEF" w14:textId="77777777" w:rsidR="00C91987" w:rsidRPr="001C693E" w:rsidRDefault="00C91987" w:rsidP="008E5401">
            <w:pPr>
              <w:jc w:val="center"/>
              <w:rPr>
                <w:szCs w:val="22"/>
              </w:rPr>
            </w:pPr>
            <w:r w:rsidRPr="001C693E">
              <w:rPr>
                <w:szCs w:val="22"/>
              </w:rPr>
              <w:t>1,7</w:t>
            </w:r>
          </w:p>
        </w:tc>
        <w:tc>
          <w:tcPr>
            <w:tcW w:w="1858" w:type="dxa"/>
          </w:tcPr>
          <w:p w14:paraId="17108467" w14:textId="77777777" w:rsidR="00C91987" w:rsidRPr="001C693E" w:rsidRDefault="00C91987" w:rsidP="008E5401">
            <w:pPr>
              <w:jc w:val="center"/>
              <w:rPr>
                <w:szCs w:val="22"/>
              </w:rPr>
            </w:pPr>
            <w:r w:rsidRPr="001C693E">
              <w:rPr>
                <w:szCs w:val="22"/>
              </w:rPr>
              <w:t>2,5</w:t>
            </w:r>
          </w:p>
        </w:tc>
        <w:tc>
          <w:tcPr>
            <w:tcW w:w="1858" w:type="dxa"/>
          </w:tcPr>
          <w:p w14:paraId="6FB43191" w14:textId="77777777" w:rsidR="00C91987" w:rsidRPr="001C693E" w:rsidRDefault="00C91987" w:rsidP="008E5401">
            <w:pPr>
              <w:jc w:val="center"/>
              <w:rPr>
                <w:szCs w:val="22"/>
              </w:rPr>
            </w:pPr>
            <w:r w:rsidRPr="001C693E">
              <w:rPr>
                <w:szCs w:val="22"/>
              </w:rPr>
              <w:t>31</w:t>
            </w:r>
          </w:p>
        </w:tc>
      </w:tr>
      <w:tr w:rsidR="00C91987" w:rsidRPr="001C693E" w14:paraId="2F808F00" w14:textId="77777777" w:rsidTr="008E5401">
        <w:tc>
          <w:tcPr>
            <w:tcW w:w="1857" w:type="dxa"/>
          </w:tcPr>
          <w:p w14:paraId="66E7D8E6" w14:textId="77777777" w:rsidR="00C91987" w:rsidRPr="001C693E" w:rsidRDefault="00C91987" w:rsidP="008E5401">
            <w:pPr>
              <w:jc w:val="center"/>
              <w:rPr>
                <w:szCs w:val="22"/>
              </w:rPr>
            </w:pPr>
            <w:r w:rsidRPr="001C693E">
              <w:rPr>
                <w:szCs w:val="22"/>
              </w:rPr>
              <w:t>0,1</w:t>
            </w:r>
          </w:p>
        </w:tc>
        <w:tc>
          <w:tcPr>
            <w:tcW w:w="1857" w:type="dxa"/>
          </w:tcPr>
          <w:p w14:paraId="6778DE12" w14:textId="77777777" w:rsidR="00C91987" w:rsidRPr="001C693E" w:rsidRDefault="00C91987" w:rsidP="008E5401">
            <w:pPr>
              <w:jc w:val="center"/>
              <w:rPr>
                <w:szCs w:val="22"/>
              </w:rPr>
            </w:pPr>
            <w:r w:rsidRPr="001C693E">
              <w:rPr>
                <w:szCs w:val="22"/>
              </w:rPr>
              <w:t>Opioidas</w:t>
            </w:r>
          </w:p>
        </w:tc>
        <w:tc>
          <w:tcPr>
            <w:tcW w:w="1857" w:type="dxa"/>
          </w:tcPr>
          <w:p w14:paraId="22EC55AC" w14:textId="77777777" w:rsidR="00C91987" w:rsidRPr="001C693E" w:rsidRDefault="00C91987" w:rsidP="008E5401">
            <w:pPr>
              <w:jc w:val="center"/>
              <w:rPr>
                <w:szCs w:val="22"/>
              </w:rPr>
            </w:pPr>
            <w:r w:rsidRPr="001C693E">
              <w:rPr>
                <w:szCs w:val="22"/>
              </w:rPr>
              <w:t>1,7</w:t>
            </w:r>
          </w:p>
        </w:tc>
        <w:tc>
          <w:tcPr>
            <w:tcW w:w="1858" w:type="dxa"/>
          </w:tcPr>
          <w:p w14:paraId="5F9F67FF" w14:textId="77777777" w:rsidR="00C91987" w:rsidRPr="001C693E" w:rsidRDefault="00C91987" w:rsidP="008E5401">
            <w:pPr>
              <w:jc w:val="center"/>
              <w:rPr>
                <w:szCs w:val="22"/>
              </w:rPr>
            </w:pPr>
            <w:r w:rsidRPr="001C693E">
              <w:rPr>
                <w:szCs w:val="22"/>
              </w:rPr>
              <w:t>2,8</w:t>
            </w:r>
          </w:p>
        </w:tc>
        <w:tc>
          <w:tcPr>
            <w:tcW w:w="1858" w:type="dxa"/>
          </w:tcPr>
          <w:p w14:paraId="01658A8A" w14:textId="77777777" w:rsidR="00C91987" w:rsidRPr="001C693E" w:rsidRDefault="00C91987" w:rsidP="008E5401">
            <w:pPr>
              <w:jc w:val="center"/>
              <w:rPr>
                <w:szCs w:val="22"/>
              </w:rPr>
            </w:pPr>
            <w:r w:rsidRPr="001C693E">
              <w:rPr>
                <w:szCs w:val="22"/>
              </w:rPr>
              <w:t>28</w:t>
            </w:r>
          </w:p>
        </w:tc>
      </w:tr>
    </w:tbl>
    <w:p w14:paraId="71FAB5AF" w14:textId="77777777" w:rsidR="00C91987" w:rsidRPr="001C693E" w:rsidRDefault="00C91987" w:rsidP="00C91987">
      <w:pPr>
        <w:pStyle w:val="listssp"/>
        <w:rPr>
          <w:sz w:val="22"/>
          <w:szCs w:val="22"/>
          <w:lang w:val="lt-LT"/>
        </w:rPr>
      </w:pPr>
    </w:p>
    <w:p w14:paraId="3A18F93E" w14:textId="77777777" w:rsidR="00C91987" w:rsidRPr="001C693E" w:rsidRDefault="00C91987" w:rsidP="00C91987">
      <w:pPr>
        <w:pStyle w:val="listssp"/>
        <w:rPr>
          <w:sz w:val="22"/>
          <w:szCs w:val="22"/>
          <w:lang w:val="lt-LT"/>
        </w:rPr>
      </w:pPr>
      <w:r w:rsidRPr="001C693E">
        <w:rPr>
          <w:sz w:val="22"/>
          <w:szCs w:val="22"/>
          <w:lang w:val="lt-LT"/>
        </w:rPr>
        <w:t xml:space="preserve">Vaikams </w:t>
      </w:r>
      <w:r w:rsidRPr="001C693E">
        <w:rPr>
          <w:caps/>
          <w:sz w:val="22"/>
          <w:szCs w:val="22"/>
          <w:lang w:val="lt-LT"/>
        </w:rPr>
        <w:t>N</w:t>
      </w:r>
      <w:r w:rsidRPr="001C693E">
        <w:rPr>
          <w:sz w:val="22"/>
          <w:szCs w:val="22"/>
          <w:lang w:val="lt-LT"/>
        </w:rPr>
        <w:t>imbex vartojimas po suksametonijaus netirtas (žr. 4.5 skyrių).</w:t>
      </w:r>
    </w:p>
    <w:p w14:paraId="6B1E88BA" w14:textId="77777777" w:rsidR="00C91987" w:rsidRPr="001C693E" w:rsidRDefault="00C91987" w:rsidP="00C91987">
      <w:pPr>
        <w:pStyle w:val="listssp"/>
        <w:rPr>
          <w:sz w:val="22"/>
          <w:szCs w:val="22"/>
          <w:lang w:val="lt-LT"/>
        </w:rPr>
      </w:pPr>
    </w:p>
    <w:p w14:paraId="0D70332C" w14:textId="77777777" w:rsidR="00C91987" w:rsidRPr="001C693E" w:rsidRDefault="00C91987" w:rsidP="00C91987">
      <w:pPr>
        <w:pStyle w:val="listssp"/>
        <w:rPr>
          <w:sz w:val="22"/>
          <w:szCs w:val="22"/>
          <w:lang w:val="lt-LT"/>
        </w:rPr>
      </w:pPr>
      <w:r w:rsidRPr="001C693E">
        <w:rPr>
          <w:sz w:val="22"/>
          <w:szCs w:val="22"/>
          <w:lang w:val="lt-LT"/>
        </w:rPr>
        <w:t xml:space="preserve">Manoma, kad halotanas gali iki 20% pailginti kliniškai efektyvią </w:t>
      </w:r>
      <w:r w:rsidRPr="001C693E">
        <w:rPr>
          <w:caps/>
          <w:sz w:val="22"/>
          <w:szCs w:val="22"/>
          <w:lang w:val="lt-LT"/>
        </w:rPr>
        <w:t>N</w:t>
      </w:r>
      <w:r w:rsidRPr="001C693E">
        <w:rPr>
          <w:sz w:val="22"/>
          <w:szCs w:val="22"/>
          <w:lang w:val="lt-LT"/>
        </w:rPr>
        <w:t xml:space="preserve">imbex dozės trukmę. Nėra duomenų apie </w:t>
      </w:r>
      <w:r w:rsidRPr="001C693E">
        <w:rPr>
          <w:caps/>
          <w:sz w:val="22"/>
          <w:szCs w:val="22"/>
          <w:lang w:val="lt-LT"/>
        </w:rPr>
        <w:t>N</w:t>
      </w:r>
      <w:r w:rsidRPr="001C693E">
        <w:rPr>
          <w:sz w:val="22"/>
          <w:szCs w:val="22"/>
          <w:lang w:val="lt-LT"/>
        </w:rPr>
        <w:t xml:space="preserve">imbex vartojimą vaikams kito halogeninto fluorokarboninio anestetiko anestezijos metu, tačiau, manoma, kad šie anestetikai taip pat gali pailginti kliniškai efektyvią </w:t>
      </w:r>
      <w:r w:rsidRPr="001C693E">
        <w:rPr>
          <w:caps/>
          <w:sz w:val="22"/>
          <w:szCs w:val="22"/>
          <w:lang w:val="lt-LT"/>
        </w:rPr>
        <w:t>N</w:t>
      </w:r>
      <w:r w:rsidRPr="001C693E">
        <w:rPr>
          <w:sz w:val="22"/>
          <w:szCs w:val="22"/>
          <w:lang w:val="lt-LT"/>
        </w:rPr>
        <w:t xml:space="preserve">imbex dozės trukmę. </w:t>
      </w:r>
    </w:p>
    <w:p w14:paraId="2467CC2B" w14:textId="77777777" w:rsidR="00C91987" w:rsidRPr="001C693E" w:rsidRDefault="00C91987" w:rsidP="00C91987">
      <w:pPr>
        <w:pStyle w:val="listssp"/>
        <w:rPr>
          <w:sz w:val="22"/>
          <w:szCs w:val="22"/>
          <w:lang w:val="lt-LT"/>
        </w:rPr>
      </w:pPr>
    </w:p>
    <w:p w14:paraId="3D105567" w14:textId="77777777" w:rsidR="00C91987" w:rsidRPr="001C693E" w:rsidRDefault="00C91987" w:rsidP="00C91987">
      <w:pPr>
        <w:pStyle w:val="listssp"/>
        <w:rPr>
          <w:sz w:val="22"/>
          <w:szCs w:val="22"/>
          <w:lang w:val="lt-LT"/>
        </w:rPr>
      </w:pPr>
      <w:r w:rsidRPr="001C693E">
        <w:rPr>
          <w:bCs/>
          <w:i/>
          <w:iCs/>
          <w:sz w:val="22"/>
          <w:szCs w:val="22"/>
          <w:lang w:val="lt-LT"/>
        </w:rPr>
        <w:t>Palaikymas (2-12 metų vaikams).</w:t>
      </w:r>
      <w:r w:rsidRPr="001C693E">
        <w:rPr>
          <w:sz w:val="22"/>
          <w:szCs w:val="22"/>
          <w:lang w:val="lt-LT"/>
        </w:rPr>
        <w:t xml:space="preserve">  Nervo-raumens blokadą galima pratęsti skiriant palaikomąsias </w:t>
      </w:r>
      <w:r w:rsidRPr="001C693E">
        <w:rPr>
          <w:caps/>
          <w:sz w:val="22"/>
          <w:szCs w:val="22"/>
          <w:lang w:val="lt-LT"/>
        </w:rPr>
        <w:t>N</w:t>
      </w:r>
      <w:r w:rsidRPr="001C693E">
        <w:rPr>
          <w:sz w:val="22"/>
          <w:szCs w:val="22"/>
          <w:lang w:val="lt-LT"/>
        </w:rPr>
        <w:t xml:space="preserve">imbex dozes. Vaikams nuo 2 metų iki 12 metų 0,02 mg/kg kūno svorio dozė dar maždaug 9 min. pratęsia kliniškai efektyvią nervo-raumens blokadą halotano anestezijos metu. Sekančios palaikomosios dozės kumuliacinio poveikio neturi. </w:t>
      </w:r>
    </w:p>
    <w:p w14:paraId="36A92AB5" w14:textId="77777777" w:rsidR="00C91987" w:rsidRPr="001C693E" w:rsidRDefault="00C91987" w:rsidP="00C91987">
      <w:pPr>
        <w:pStyle w:val="listssp"/>
        <w:rPr>
          <w:sz w:val="22"/>
          <w:szCs w:val="22"/>
          <w:lang w:val="lt-LT"/>
        </w:rPr>
      </w:pPr>
    </w:p>
    <w:p w14:paraId="12D836E0" w14:textId="77777777" w:rsidR="00C91987" w:rsidRPr="001C693E" w:rsidRDefault="00C91987" w:rsidP="00C91987">
      <w:pPr>
        <w:pStyle w:val="listssp"/>
        <w:rPr>
          <w:sz w:val="22"/>
          <w:szCs w:val="22"/>
          <w:lang w:val="lt-LT"/>
        </w:rPr>
      </w:pPr>
      <w:r w:rsidRPr="001C693E">
        <w:rPr>
          <w:sz w:val="22"/>
          <w:szCs w:val="22"/>
          <w:lang w:val="lt-LT"/>
        </w:rPr>
        <w:t>Nepakanka duomenų specifinėms palaikomojo dozavimo rekomendacijoms pateikti vaikams iki 2 metų. Tačiau labai riboti vaikų iki 2 metų klinikinių tyrimų duomenys leidžia manyti, kad 0,03 mg/kg dozė gali pailginti kliniškai reikšmingą nervo-raumens blokadą iki 25 min. opioidų anestezijos metu.</w:t>
      </w:r>
    </w:p>
    <w:p w14:paraId="0BBDF00B" w14:textId="77777777" w:rsidR="00C91987" w:rsidRPr="001C693E" w:rsidRDefault="00C91987" w:rsidP="00C91987">
      <w:pPr>
        <w:pStyle w:val="listssp"/>
        <w:rPr>
          <w:sz w:val="22"/>
          <w:szCs w:val="22"/>
          <w:lang w:val="lt-LT"/>
        </w:rPr>
      </w:pPr>
    </w:p>
    <w:p w14:paraId="10AE801C" w14:textId="77777777" w:rsidR="00C91987" w:rsidRPr="001C693E" w:rsidRDefault="00C91987" w:rsidP="00C91987">
      <w:pPr>
        <w:pStyle w:val="listssp"/>
        <w:rPr>
          <w:sz w:val="22"/>
          <w:szCs w:val="22"/>
          <w:lang w:val="lt-LT"/>
        </w:rPr>
      </w:pPr>
      <w:r w:rsidRPr="001C693E">
        <w:rPr>
          <w:bCs/>
          <w:i/>
          <w:iCs/>
          <w:sz w:val="22"/>
          <w:szCs w:val="22"/>
          <w:lang w:val="lt-LT"/>
        </w:rPr>
        <w:t>Spontaninis atsigavimas</w:t>
      </w:r>
      <w:r w:rsidRPr="001C693E">
        <w:rPr>
          <w:sz w:val="22"/>
          <w:szCs w:val="22"/>
          <w:lang w:val="lt-LT"/>
        </w:rPr>
        <w:t xml:space="preserve">. Kai pradedama spontaniškai atsigauti po nervo-raumens blokados, atsigavimo greitis nepriklauso nuo </w:t>
      </w:r>
      <w:r w:rsidRPr="001C693E">
        <w:rPr>
          <w:caps/>
          <w:sz w:val="22"/>
          <w:szCs w:val="22"/>
          <w:lang w:val="lt-LT"/>
        </w:rPr>
        <w:t>N</w:t>
      </w:r>
      <w:r w:rsidRPr="001C693E">
        <w:rPr>
          <w:sz w:val="22"/>
          <w:szCs w:val="22"/>
          <w:lang w:val="lt-LT"/>
        </w:rPr>
        <w:t>imbex dozės. Taikant opioidų ar halotano anesteziją, nuo 25% iki 75% ir nuo 5% iki 95% atsigavimo laiko mediana yra atitinkamai maždaug 11 min. ir 28 min.</w:t>
      </w:r>
    </w:p>
    <w:p w14:paraId="117568CC" w14:textId="77777777" w:rsidR="00C91987" w:rsidRPr="001C693E" w:rsidRDefault="00C91987" w:rsidP="00C91987">
      <w:pPr>
        <w:pStyle w:val="listssp"/>
        <w:rPr>
          <w:sz w:val="22"/>
          <w:szCs w:val="22"/>
          <w:lang w:val="lt-LT"/>
        </w:rPr>
      </w:pPr>
    </w:p>
    <w:p w14:paraId="60421D8B" w14:textId="77777777" w:rsidR="00C91987" w:rsidRPr="001C693E" w:rsidRDefault="00C91987" w:rsidP="00C91987">
      <w:pPr>
        <w:pStyle w:val="listssp"/>
        <w:rPr>
          <w:sz w:val="22"/>
          <w:szCs w:val="22"/>
          <w:lang w:val="lt-LT"/>
        </w:rPr>
      </w:pPr>
      <w:r w:rsidRPr="001C693E">
        <w:rPr>
          <w:bCs/>
          <w:i/>
          <w:iCs/>
          <w:sz w:val="22"/>
          <w:szCs w:val="22"/>
          <w:lang w:val="lt-LT"/>
        </w:rPr>
        <w:t xml:space="preserve">Grįžtamumas. </w:t>
      </w:r>
      <w:r w:rsidRPr="001C693E">
        <w:rPr>
          <w:sz w:val="22"/>
          <w:szCs w:val="22"/>
          <w:lang w:val="lt-LT"/>
        </w:rPr>
        <w:t xml:space="preserve">Nervo-raumens blokada, sukelta </w:t>
      </w:r>
      <w:r w:rsidRPr="001C693E">
        <w:rPr>
          <w:caps/>
          <w:sz w:val="22"/>
          <w:szCs w:val="22"/>
          <w:lang w:val="lt-LT"/>
        </w:rPr>
        <w:t>N</w:t>
      </w:r>
      <w:r w:rsidRPr="001C693E">
        <w:rPr>
          <w:sz w:val="22"/>
          <w:szCs w:val="22"/>
          <w:lang w:val="lt-LT"/>
        </w:rPr>
        <w:t>imbex, iš karto išnyksta pavartojus standartines anticholinesterazinių medžiagų dozes. Vidutinis nuo 25% iki 75% atsigavimo ir iki visiško klinikinio atsigavimo (T</w:t>
      </w:r>
      <w:r w:rsidRPr="001C693E">
        <w:rPr>
          <w:sz w:val="22"/>
          <w:szCs w:val="22"/>
          <w:vertAlign w:val="subscript"/>
          <w:lang w:val="lt-LT"/>
        </w:rPr>
        <w:t>4</w:t>
      </w:r>
      <w:r w:rsidRPr="001C693E">
        <w:rPr>
          <w:sz w:val="22"/>
          <w:szCs w:val="22"/>
          <w:lang w:val="lt-LT"/>
        </w:rPr>
        <w:t>:T</w:t>
      </w:r>
      <w:r w:rsidRPr="001C693E">
        <w:rPr>
          <w:sz w:val="22"/>
          <w:szCs w:val="22"/>
          <w:vertAlign w:val="subscript"/>
          <w:lang w:val="lt-LT"/>
        </w:rPr>
        <w:t>1</w:t>
      </w:r>
      <w:r w:rsidRPr="001C693E">
        <w:rPr>
          <w:sz w:val="22"/>
          <w:szCs w:val="22"/>
          <w:lang w:val="lt-LT"/>
        </w:rPr>
        <w:t xml:space="preserve"> santykis </w:t>
      </w:r>
      <w:r w:rsidRPr="001C693E">
        <w:rPr>
          <w:sz w:val="22"/>
          <w:szCs w:val="22"/>
          <w:lang w:val="lt-LT"/>
        </w:rPr>
        <w:sym w:font="Symbol" w:char="F0B3"/>
      </w:r>
      <w:r w:rsidRPr="001C693E">
        <w:rPr>
          <w:sz w:val="22"/>
          <w:szCs w:val="22"/>
          <w:lang w:val="lt-LT"/>
        </w:rPr>
        <w:t xml:space="preserve"> 0,7) laikas yra atitinkamai maždaug 2 min. ir 5 min., pavartojus antagonisto, kai vidutinis T</w:t>
      </w:r>
      <w:r w:rsidRPr="001C693E">
        <w:rPr>
          <w:sz w:val="22"/>
          <w:szCs w:val="22"/>
          <w:vertAlign w:val="subscript"/>
          <w:lang w:val="lt-LT"/>
        </w:rPr>
        <w:t>1</w:t>
      </w:r>
      <w:r w:rsidRPr="001C693E">
        <w:rPr>
          <w:sz w:val="22"/>
          <w:szCs w:val="22"/>
          <w:lang w:val="lt-LT"/>
        </w:rPr>
        <w:t xml:space="preserve"> atsigavimas yra 13%.</w:t>
      </w:r>
    </w:p>
    <w:p w14:paraId="6374499E" w14:textId="77777777" w:rsidR="00C91987" w:rsidRPr="001C693E" w:rsidRDefault="00C91987" w:rsidP="00C91987">
      <w:pPr>
        <w:pStyle w:val="listssp"/>
        <w:rPr>
          <w:sz w:val="22"/>
          <w:szCs w:val="22"/>
          <w:lang w:val="lt-LT"/>
        </w:rPr>
      </w:pPr>
    </w:p>
    <w:p w14:paraId="7F39105B" w14:textId="77777777" w:rsidR="00C91987" w:rsidRPr="001C693E" w:rsidRDefault="00C91987" w:rsidP="00C91987">
      <w:pPr>
        <w:pStyle w:val="Antrat6"/>
        <w:rPr>
          <w:szCs w:val="22"/>
        </w:rPr>
      </w:pPr>
      <w:r w:rsidRPr="001C693E">
        <w:rPr>
          <w:szCs w:val="22"/>
        </w:rPr>
        <w:t>Infuzija į veną</w:t>
      </w:r>
    </w:p>
    <w:p w14:paraId="4B356AB8" w14:textId="77777777" w:rsidR="00C91987" w:rsidRPr="001C693E" w:rsidRDefault="00C91987" w:rsidP="00C91987">
      <w:pPr>
        <w:rPr>
          <w:b/>
          <w:szCs w:val="22"/>
        </w:rPr>
      </w:pPr>
    </w:p>
    <w:p w14:paraId="5B4BF1D4" w14:textId="77777777" w:rsidR="00C91987" w:rsidRPr="001C693E" w:rsidRDefault="00C91987" w:rsidP="00C91987">
      <w:pPr>
        <w:pStyle w:val="Antrat5"/>
        <w:rPr>
          <w:bCs/>
          <w:szCs w:val="22"/>
        </w:rPr>
      </w:pPr>
      <w:r w:rsidRPr="001C693E">
        <w:rPr>
          <w:bCs/>
          <w:szCs w:val="22"/>
        </w:rPr>
        <w:t>Dozavimas suaugusiems žmonėms ir 2-12 metų vaikams</w:t>
      </w:r>
    </w:p>
    <w:p w14:paraId="0B893BD1" w14:textId="77777777" w:rsidR="00C91987" w:rsidRPr="001C693E" w:rsidRDefault="00C91987" w:rsidP="00C91987">
      <w:pPr>
        <w:rPr>
          <w:szCs w:val="22"/>
        </w:rPr>
      </w:pPr>
    </w:p>
    <w:p w14:paraId="2AC886B0" w14:textId="77777777" w:rsidR="00C91987" w:rsidRPr="001C693E" w:rsidRDefault="00C91987" w:rsidP="00C91987">
      <w:pPr>
        <w:rPr>
          <w:szCs w:val="22"/>
        </w:rPr>
      </w:pPr>
      <w:r w:rsidRPr="001C693E">
        <w:rPr>
          <w:szCs w:val="22"/>
        </w:rPr>
        <w:t xml:space="preserve">Ilgalaikę nervo-raumens blokadą galima sukelti </w:t>
      </w:r>
      <w:r w:rsidRPr="001C693E">
        <w:rPr>
          <w:caps/>
          <w:szCs w:val="22"/>
        </w:rPr>
        <w:t>N</w:t>
      </w:r>
      <w:r w:rsidRPr="001C693E">
        <w:rPr>
          <w:szCs w:val="22"/>
        </w:rPr>
        <w:t xml:space="preserve">imbex infuzija. Rekomenduojamas 3 </w:t>
      </w:r>
      <w:r w:rsidRPr="001C693E">
        <w:rPr>
          <w:szCs w:val="22"/>
        </w:rPr>
        <w:sym w:font="Symbol" w:char="F06D"/>
      </w:r>
      <w:r w:rsidRPr="001C693E">
        <w:rPr>
          <w:szCs w:val="22"/>
        </w:rPr>
        <w:t>g/kg/min (0,18 mg/kg/h) pradinis infuzijos greitis, kad būtų grąžintas 89-99% T</w:t>
      </w:r>
      <w:r w:rsidRPr="001C693E">
        <w:rPr>
          <w:szCs w:val="22"/>
          <w:vertAlign w:val="subscript"/>
        </w:rPr>
        <w:t>1</w:t>
      </w:r>
      <w:r w:rsidRPr="001C693E">
        <w:rPr>
          <w:szCs w:val="22"/>
        </w:rPr>
        <w:t xml:space="preserve"> slopinimas po spontaninio atsigavimo. Po pradinės nervo-raumens  blokados stabilizacijos periodo blokadai palaikyti paprastai turėtų užtekti 1-2 </w:t>
      </w:r>
      <w:r w:rsidRPr="001C693E">
        <w:rPr>
          <w:szCs w:val="22"/>
        </w:rPr>
        <w:sym w:font="Symbol" w:char="F06D"/>
      </w:r>
      <w:r w:rsidRPr="001C693E">
        <w:rPr>
          <w:szCs w:val="22"/>
        </w:rPr>
        <w:t xml:space="preserve">g/kg/min (0,06-0,12 mg/kg/h) greičio infuzijos. </w:t>
      </w:r>
    </w:p>
    <w:p w14:paraId="69E3C588" w14:textId="77777777" w:rsidR="00C91987" w:rsidRPr="001C693E" w:rsidRDefault="00C91987" w:rsidP="00C91987">
      <w:pPr>
        <w:rPr>
          <w:szCs w:val="22"/>
        </w:rPr>
      </w:pPr>
    </w:p>
    <w:p w14:paraId="621DEA11" w14:textId="77777777" w:rsidR="00C91987" w:rsidRPr="001C693E" w:rsidRDefault="00C91987" w:rsidP="00C91987">
      <w:pPr>
        <w:rPr>
          <w:szCs w:val="22"/>
        </w:rPr>
      </w:pPr>
      <w:r w:rsidRPr="001C693E">
        <w:rPr>
          <w:caps/>
          <w:szCs w:val="22"/>
        </w:rPr>
        <w:t>N</w:t>
      </w:r>
      <w:r w:rsidRPr="001C693E">
        <w:rPr>
          <w:szCs w:val="22"/>
        </w:rPr>
        <w:t>imbex, vartojamo izoflurano ar enflurano anestezijos metu, infuzijos greitį kartais tenka sumažinti 40% (žr. 4.5 skyrių).</w:t>
      </w:r>
    </w:p>
    <w:p w14:paraId="30A96B17" w14:textId="77777777" w:rsidR="00C91987" w:rsidRPr="001C693E" w:rsidRDefault="00C91987" w:rsidP="00C91987">
      <w:pPr>
        <w:rPr>
          <w:szCs w:val="22"/>
        </w:rPr>
      </w:pPr>
    </w:p>
    <w:p w14:paraId="6E7E0DD2" w14:textId="77777777" w:rsidR="00C91987" w:rsidRPr="001C693E" w:rsidRDefault="00C91987" w:rsidP="00C91987">
      <w:pPr>
        <w:rPr>
          <w:szCs w:val="22"/>
        </w:rPr>
      </w:pPr>
      <w:r w:rsidRPr="001C693E">
        <w:rPr>
          <w:szCs w:val="22"/>
        </w:rPr>
        <w:t xml:space="preserve">Infuzijos greitis priklausys nuo cisatrakurio koncentracijos infuziniame tirpale, siekiamo nervo-raumens blokados laipsnio ir paciento kūno svorio. Lentelėje nurodytos neskiesto </w:t>
      </w:r>
      <w:r w:rsidRPr="001C693E">
        <w:rPr>
          <w:caps/>
          <w:szCs w:val="22"/>
        </w:rPr>
        <w:t>N</w:t>
      </w:r>
      <w:r w:rsidRPr="001C693E">
        <w:rPr>
          <w:szCs w:val="22"/>
        </w:rPr>
        <w:t>imbex infuzijos rekomendacijos.</w:t>
      </w:r>
    </w:p>
    <w:p w14:paraId="74E52187" w14:textId="77777777" w:rsidR="00C91987" w:rsidRPr="001C693E" w:rsidRDefault="00C91987" w:rsidP="00C91987">
      <w:pPr>
        <w:rPr>
          <w:szCs w:val="22"/>
        </w:rPr>
      </w:pPr>
    </w:p>
    <w:p w14:paraId="15443C25" w14:textId="77777777" w:rsidR="00C91987" w:rsidRPr="001C693E" w:rsidRDefault="00C91987" w:rsidP="00C91987">
      <w:pPr>
        <w:pStyle w:val="Antrat7"/>
        <w:rPr>
          <w:b w:val="0"/>
          <w:bCs w:val="0"/>
          <w:sz w:val="22"/>
          <w:szCs w:val="22"/>
        </w:rPr>
      </w:pPr>
      <w:r w:rsidRPr="001C693E">
        <w:rPr>
          <w:b w:val="0"/>
          <w:bCs w:val="0"/>
          <w:sz w:val="22"/>
          <w:szCs w:val="22"/>
        </w:rPr>
        <w:t xml:space="preserve">Lentelė Nr.5 </w:t>
      </w:r>
      <w:r w:rsidRPr="001C693E">
        <w:rPr>
          <w:b w:val="0"/>
          <w:caps/>
          <w:sz w:val="22"/>
          <w:szCs w:val="22"/>
        </w:rPr>
        <w:t>N</w:t>
      </w:r>
      <w:r w:rsidRPr="001C693E">
        <w:rPr>
          <w:b w:val="0"/>
          <w:sz w:val="22"/>
          <w:szCs w:val="22"/>
        </w:rPr>
        <w:t>imbex</w:t>
      </w:r>
      <w:r w:rsidRPr="001C693E">
        <w:rPr>
          <w:b w:val="0"/>
          <w:bCs w:val="0"/>
          <w:sz w:val="22"/>
          <w:szCs w:val="22"/>
        </w:rPr>
        <w:t xml:space="preserve"> injekcijų 2 mg/ml infuzijos greitis</w:t>
      </w:r>
    </w:p>
    <w:p w14:paraId="75C413E8" w14:textId="77777777" w:rsidR="00C91987" w:rsidRPr="001C693E" w:rsidRDefault="00C91987" w:rsidP="00C91987">
      <w:pPr>
        <w:rPr>
          <w:szCs w:val="22"/>
        </w:rPr>
      </w:pPr>
    </w:p>
    <w:tbl>
      <w:tblPr>
        <w:tblW w:w="0" w:type="auto"/>
        <w:tblLayout w:type="fixed"/>
        <w:tblCellMar>
          <w:left w:w="107" w:type="dxa"/>
          <w:right w:w="107" w:type="dxa"/>
        </w:tblCellMar>
        <w:tblLook w:val="0000" w:firstRow="0" w:lastRow="0" w:firstColumn="0" w:lastColumn="0" w:noHBand="0" w:noVBand="0"/>
      </w:tblPr>
      <w:tblGrid>
        <w:gridCol w:w="1701"/>
        <w:gridCol w:w="1276"/>
        <w:gridCol w:w="1276"/>
        <w:gridCol w:w="1276"/>
        <w:gridCol w:w="1241"/>
        <w:gridCol w:w="1736"/>
      </w:tblGrid>
      <w:tr w:rsidR="00C91987" w:rsidRPr="001C693E" w14:paraId="789A6D8E" w14:textId="77777777" w:rsidTr="008E5401">
        <w:tc>
          <w:tcPr>
            <w:tcW w:w="1701" w:type="dxa"/>
            <w:tcBorders>
              <w:top w:val="single" w:sz="6" w:space="0" w:color="auto"/>
              <w:left w:val="single" w:sz="6" w:space="0" w:color="auto"/>
              <w:right w:val="single" w:sz="6" w:space="0" w:color="auto"/>
            </w:tcBorders>
          </w:tcPr>
          <w:p w14:paraId="7E3C9B85" w14:textId="77777777" w:rsidR="00C91987" w:rsidRPr="001C693E" w:rsidRDefault="00C91987" w:rsidP="008E5401">
            <w:pPr>
              <w:tabs>
                <w:tab w:val="right" w:pos="9072"/>
              </w:tabs>
              <w:spacing w:before="120"/>
              <w:jc w:val="center"/>
              <w:rPr>
                <w:bCs/>
                <w:i/>
                <w:iCs/>
                <w:szCs w:val="22"/>
              </w:rPr>
            </w:pPr>
            <w:r w:rsidRPr="001C693E">
              <w:rPr>
                <w:bCs/>
                <w:i/>
                <w:iCs/>
                <w:szCs w:val="22"/>
              </w:rPr>
              <w:t>Paciento kūno svoris</w:t>
            </w:r>
          </w:p>
        </w:tc>
        <w:tc>
          <w:tcPr>
            <w:tcW w:w="5069" w:type="dxa"/>
            <w:gridSpan w:val="4"/>
            <w:tcBorders>
              <w:top w:val="single" w:sz="6" w:space="0" w:color="auto"/>
              <w:left w:val="single" w:sz="6" w:space="0" w:color="auto"/>
              <w:bottom w:val="single" w:sz="6" w:space="0" w:color="auto"/>
              <w:right w:val="single" w:sz="6" w:space="0" w:color="auto"/>
            </w:tcBorders>
          </w:tcPr>
          <w:p w14:paraId="76274169" w14:textId="77777777" w:rsidR="00C91987" w:rsidRPr="001C693E" w:rsidRDefault="00C91987" w:rsidP="008E5401">
            <w:pPr>
              <w:tabs>
                <w:tab w:val="right" w:pos="9072"/>
              </w:tabs>
              <w:spacing w:before="120"/>
              <w:jc w:val="center"/>
              <w:rPr>
                <w:bCs/>
                <w:i/>
                <w:iCs/>
                <w:szCs w:val="22"/>
              </w:rPr>
            </w:pPr>
            <w:r w:rsidRPr="001C693E">
              <w:rPr>
                <w:bCs/>
                <w:i/>
                <w:iCs/>
                <w:szCs w:val="22"/>
              </w:rPr>
              <w:t>Dozė (µg/kg/min)</w:t>
            </w:r>
          </w:p>
        </w:tc>
        <w:tc>
          <w:tcPr>
            <w:tcW w:w="1736" w:type="dxa"/>
            <w:tcBorders>
              <w:top w:val="single" w:sz="6" w:space="0" w:color="auto"/>
              <w:left w:val="single" w:sz="6" w:space="0" w:color="auto"/>
              <w:right w:val="single" w:sz="6" w:space="0" w:color="auto"/>
            </w:tcBorders>
          </w:tcPr>
          <w:p w14:paraId="5B056256" w14:textId="77777777" w:rsidR="00C91987" w:rsidRPr="001C693E" w:rsidRDefault="00C91987" w:rsidP="008E5401">
            <w:pPr>
              <w:pStyle w:val="Antrat8"/>
              <w:rPr>
                <w:szCs w:val="22"/>
              </w:rPr>
            </w:pPr>
            <w:r w:rsidRPr="001C693E">
              <w:rPr>
                <w:szCs w:val="22"/>
              </w:rPr>
              <w:t>Infuzijos greitis</w:t>
            </w:r>
          </w:p>
        </w:tc>
      </w:tr>
      <w:tr w:rsidR="00C91987" w:rsidRPr="001C693E" w14:paraId="4E23F7DF" w14:textId="77777777" w:rsidTr="008E5401">
        <w:tc>
          <w:tcPr>
            <w:tcW w:w="1701" w:type="dxa"/>
            <w:tcBorders>
              <w:left w:val="single" w:sz="6" w:space="0" w:color="auto"/>
              <w:bottom w:val="single" w:sz="6" w:space="0" w:color="auto"/>
              <w:right w:val="single" w:sz="6" w:space="0" w:color="auto"/>
            </w:tcBorders>
          </w:tcPr>
          <w:p w14:paraId="5769EB80" w14:textId="77777777" w:rsidR="00C91987" w:rsidRPr="001C693E" w:rsidRDefault="00C91987" w:rsidP="008E5401">
            <w:pPr>
              <w:tabs>
                <w:tab w:val="right" w:pos="9072"/>
              </w:tabs>
              <w:spacing w:after="120"/>
              <w:jc w:val="center"/>
              <w:rPr>
                <w:bCs/>
                <w:i/>
                <w:iCs/>
                <w:szCs w:val="22"/>
              </w:rPr>
            </w:pPr>
            <w:r w:rsidRPr="001C693E">
              <w:rPr>
                <w:bCs/>
                <w:i/>
                <w:iCs/>
                <w:szCs w:val="22"/>
              </w:rPr>
              <w:t>(kg)</w:t>
            </w:r>
          </w:p>
        </w:tc>
        <w:tc>
          <w:tcPr>
            <w:tcW w:w="1276" w:type="dxa"/>
            <w:tcBorders>
              <w:top w:val="single" w:sz="6" w:space="0" w:color="auto"/>
              <w:left w:val="single" w:sz="6" w:space="0" w:color="auto"/>
              <w:right w:val="single" w:sz="6" w:space="0" w:color="auto"/>
            </w:tcBorders>
          </w:tcPr>
          <w:p w14:paraId="157C84B7" w14:textId="77777777" w:rsidR="00C91987" w:rsidRPr="001C693E" w:rsidRDefault="00C91987" w:rsidP="008E5401">
            <w:pPr>
              <w:tabs>
                <w:tab w:val="right" w:pos="9072"/>
              </w:tabs>
              <w:spacing w:before="120" w:after="120"/>
              <w:jc w:val="center"/>
              <w:rPr>
                <w:bCs/>
                <w:i/>
                <w:iCs/>
                <w:szCs w:val="22"/>
              </w:rPr>
            </w:pPr>
            <w:r w:rsidRPr="001C693E">
              <w:rPr>
                <w:bCs/>
                <w:i/>
                <w:iCs/>
                <w:szCs w:val="22"/>
              </w:rPr>
              <w:t>1,0</w:t>
            </w:r>
          </w:p>
        </w:tc>
        <w:tc>
          <w:tcPr>
            <w:tcW w:w="1276" w:type="dxa"/>
            <w:tcBorders>
              <w:top w:val="single" w:sz="6" w:space="0" w:color="auto"/>
              <w:left w:val="single" w:sz="6" w:space="0" w:color="auto"/>
              <w:right w:val="single" w:sz="6" w:space="0" w:color="auto"/>
            </w:tcBorders>
          </w:tcPr>
          <w:p w14:paraId="64FC1394" w14:textId="77777777" w:rsidR="00C91987" w:rsidRPr="001C693E" w:rsidRDefault="00C91987" w:rsidP="008E5401">
            <w:pPr>
              <w:tabs>
                <w:tab w:val="right" w:pos="9072"/>
              </w:tabs>
              <w:spacing w:before="120" w:after="120"/>
              <w:jc w:val="center"/>
              <w:rPr>
                <w:bCs/>
                <w:i/>
                <w:iCs/>
                <w:szCs w:val="22"/>
              </w:rPr>
            </w:pPr>
            <w:r w:rsidRPr="001C693E">
              <w:rPr>
                <w:bCs/>
                <w:i/>
                <w:iCs/>
                <w:szCs w:val="22"/>
              </w:rPr>
              <w:t>1,5</w:t>
            </w:r>
          </w:p>
        </w:tc>
        <w:tc>
          <w:tcPr>
            <w:tcW w:w="1276" w:type="dxa"/>
            <w:tcBorders>
              <w:top w:val="single" w:sz="6" w:space="0" w:color="auto"/>
              <w:left w:val="single" w:sz="6" w:space="0" w:color="auto"/>
              <w:right w:val="single" w:sz="6" w:space="0" w:color="auto"/>
            </w:tcBorders>
          </w:tcPr>
          <w:p w14:paraId="35881053" w14:textId="77777777" w:rsidR="00C91987" w:rsidRPr="001C693E" w:rsidRDefault="00C91987" w:rsidP="008E5401">
            <w:pPr>
              <w:tabs>
                <w:tab w:val="right" w:pos="9072"/>
              </w:tabs>
              <w:spacing w:before="120" w:after="120"/>
              <w:jc w:val="center"/>
              <w:rPr>
                <w:bCs/>
                <w:i/>
                <w:iCs/>
                <w:szCs w:val="22"/>
              </w:rPr>
            </w:pPr>
            <w:r w:rsidRPr="001C693E">
              <w:rPr>
                <w:bCs/>
                <w:i/>
                <w:iCs/>
                <w:szCs w:val="22"/>
              </w:rPr>
              <w:t>2,0</w:t>
            </w:r>
          </w:p>
        </w:tc>
        <w:tc>
          <w:tcPr>
            <w:tcW w:w="1241" w:type="dxa"/>
            <w:tcBorders>
              <w:top w:val="single" w:sz="6" w:space="0" w:color="auto"/>
              <w:left w:val="single" w:sz="6" w:space="0" w:color="auto"/>
              <w:right w:val="single" w:sz="6" w:space="0" w:color="auto"/>
            </w:tcBorders>
          </w:tcPr>
          <w:p w14:paraId="3FE707C9" w14:textId="77777777" w:rsidR="00C91987" w:rsidRPr="001C693E" w:rsidRDefault="00C91987" w:rsidP="008E5401">
            <w:pPr>
              <w:tabs>
                <w:tab w:val="right" w:pos="9072"/>
              </w:tabs>
              <w:spacing w:before="120" w:after="120"/>
              <w:jc w:val="center"/>
              <w:rPr>
                <w:bCs/>
                <w:i/>
                <w:iCs/>
                <w:szCs w:val="22"/>
              </w:rPr>
            </w:pPr>
            <w:r w:rsidRPr="001C693E">
              <w:rPr>
                <w:bCs/>
                <w:i/>
                <w:iCs/>
                <w:szCs w:val="22"/>
              </w:rPr>
              <w:t>3,0</w:t>
            </w:r>
          </w:p>
        </w:tc>
        <w:tc>
          <w:tcPr>
            <w:tcW w:w="1736" w:type="dxa"/>
            <w:tcBorders>
              <w:left w:val="single" w:sz="6" w:space="0" w:color="auto"/>
              <w:bottom w:val="single" w:sz="6" w:space="0" w:color="auto"/>
              <w:right w:val="single" w:sz="6" w:space="0" w:color="auto"/>
            </w:tcBorders>
          </w:tcPr>
          <w:p w14:paraId="1D227660" w14:textId="77777777" w:rsidR="00C91987" w:rsidRPr="001C693E" w:rsidRDefault="00C91987" w:rsidP="008E5401">
            <w:pPr>
              <w:tabs>
                <w:tab w:val="right" w:pos="9072"/>
              </w:tabs>
              <w:spacing w:before="120" w:after="120"/>
              <w:jc w:val="center"/>
              <w:rPr>
                <w:b/>
                <w:szCs w:val="22"/>
              </w:rPr>
            </w:pPr>
          </w:p>
        </w:tc>
      </w:tr>
      <w:tr w:rsidR="00C91987" w:rsidRPr="001C693E" w14:paraId="3A2BBE2D" w14:textId="77777777" w:rsidTr="008E5401">
        <w:tc>
          <w:tcPr>
            <w:tcW w:w="1701" w:type="dxa"/>
            <w:tcBorders>
              <w:left w:val="single" w:sz="6" w:space="0" w:color="auto"/>
              <w:right w:val="single" w:sz="6" w:space="0" w:color="auto"/>
            </w:tcBorders>
          </w:tcPr>
          <w:p w14:paraId="54E90C4A" w14:textId="77777777" w:rsidR="00C91987" w:rsidRPr="001C693E" w:rsidRDefault="00C91987" w:rsidP="008E5401">
            <w:pPr>
              <w:tabs>
                <w:tab w:val="right" w:pos="9072"/>
              </w:tabs>
              <w:spacing w:before="120" w:after="120"/>
              <w:jc w:val="center"/>
              <w:rPr>
                <w:szCs w:val="22"/>
              </w:rPr>
            </w:pPr>
            <w:r w:rsidRPr="001C693E">
              <w:rPr>
                <w:szCs w:val="22"/>
              </w:rPr>
              <w:t>20</w:t>
            </w:r>
          </w:p>
        </w:tc>
        <w:tc>
          <w:tcPr>
            <w:tcW w:w="1276" w:type="dxa"/>
            <w:tcBorders>
              <w:top w:val="single" w:sz="6" w:space="0" w:color="auto"/>
              <w:left w:val="single" w:sz="6" w:space="0" w:color="auto"/>
              <w:right w:val="single" w:sz="6" w:space="0" w:color="auto"/>
            </w:tcBorders>
          </w:tcPr>
          <w:p w14:paraId="0B894A67" w14:textId="77777777" w:rsidR="00C91987" w:rsidRPr="001C693E" w:rsidRDefault="00C91987" w:rsidP="008E5401">
            <w:pPr>
              <w:tabs>
                <w:tab w:val="right" w:pos="9072"/>
              </w:tabs>
              <w:spacing w:before="120" w:after="120"/>
              <w:jc w:val="center"/>
              <w:rPr>
                <w:szCs w:val="22"/>
              </w:rPr>
            </w:pPr>
            <w:r w:rsidRPr="001C693E">
              <w:rPr>
                <w:szCs w:val="22"/>
              </w:rPr>
              <w:t>0,6</w:t>
            </w:r>
          </w:p>
        </w:tc>
        <w:tc>
          <w:tcPr>
            <w:tcW w:w="1276" w:type="dxa"/>
            <w:tcBorders>
              <w:top w:val="single" w:sz="6" w:space="0" w:color="auto"/>
              <w:left w:val="nil"/>
              <w:right w:val="single" w:sz="6" w:space="0" w:color="auto"/>
            </w:tcBorders>
          </w:tcPr>
          <w:p w14:paraId="2CF80AE4" w14:textId="77777777" w:rsidR="00C91987" w:rsidRPr="001C693E" w:rsidRDefault="00C91987" w:rsidP="008E5401">
            <w:pPr>
              <w:tabs>
                <w:tab w:val="right" w:pos="9072"/>
              </w:tabs>
              <w:spacing w:before="120" w:after="120"/>
              <w:jc w:val="center"/>
              <w:rPr>
                <w:szCs w:val="22"/>
              </w:rPr>
            </w:pPr>
            <w:r w:rsidRPr="001C693E">
              <w:rPr>
                <w:szCs w:val="22"/>
              </w:rPr>
              <w:t>0,9</w:t>
            </w:r>
          </w:p>
        </w:tc>
        <w:tc>
          <w:tcPr>
            <w:tcW w:w="1276" w:type="dxa"/>
            <w:tcBorders>
              <w:top w:val="single" w:sz="6" w:space="0" w:color="auto"/>
              <w:left w:val="nil"/>
              <w:right w:val="single" w:sz="6" w:space="0" w:color="auto"/>
            </w:tcBorders>
          </w:tcPr>
          <w:p w14:paraId="42C68C84" w14:textId="77777777" w:rsidR="00C91987" w:rsidRPr="001C693E" w:rsidRDefault="00C91987" w:rsidP="008E5401">
            <w:pPr>
              <w:tabs>
                <w:tab w:val="right" w:pos="9072"/>
              </w:tabs>
              <w:spacing w:before="120" w:after="120"/>
              <w:jc w:val="center"/>
              <w:rPr>
                <w:szCs w:val="22"/>
              </w:rPr>
            </w:pPr>
            <w:r w:rsidRPr="001C693E">
              <w:rPr>
                <w:szCs w:val="22"/>
              </w:rPr>
              <w:t>1,2</w:t>
            </w:r>
          </w:p>
        </w:tc>
        <w:tc>
          <w:tcPr>
            <w:tcW w:w="1241" w:type="dxa"/>
            <w:tcBorders>
              <w:top w:val="single" w:sz="6" w:space="0" w:color="auto"/>
              <w:left w:val="nil"/>
              <w:right w:val="single" w:sz="6" w:space="0" w:color="auto"/>
            </w:tcBorders>
          </w:tcPr>
          <w:p w14:paraId="56098CED" w14:textId="77777777" w:rsidR="00C91987" w:rsidRPr="001C693E" w:rsidRDefault="00C91987" w:rsidP="008E5401">
            <w:pPr>
              <w:tabs>
                <w:tab w:val="right" w:pos="9072"/>
              </w:tabs>
              <w:spacing w:before="120" w:after="120"/>
              <w:jc w:val="center"/>
              <w:rPr>
                <w:szCs w:val="22"/>
              </w:rPr>
            </w:pPr>
            <w:r w:rsidRPr="001C693E">
              <w:rPr>
                <w:szCs w:val="22"/>
              </w:rPr>
              <w:t>1,8</w:t>
            </w:r>
          </w:p>
        </w:tc>
        <w:tc>
          <w:tcPr>
            <w:tcW w:w="1736" w:type="dxa"/>
            <w:tcBorders>
              <w:left w:val="nil"/>
              <w:right w:val="single" w:sz="6" w:space="0" w:color="auto"/>
            </w:tcBorders>
          </w:tcPr>
          <w:p w14:paraId="47704C4B" w14:textId="77777777" w:rsidR="00C91987" w:rsidRPr="001C693E" w:rsidRDefault="00C91987" w:rsidP="008E5401">
            <w:pPr>
              <w:tabs>
                <w:tab w:val="right" w:pos="9072"/>
              </w:tabs>
              <w:spacing w:before="120" w:after="120"/>
              <w:jc w:val="center"/>
              <w:rPr>
                <w:szCs w:val="22"/>
              </w:rPr>
            </w:pPr>
            <w:r w:rsidRPr="001C693E">
              <w:rPr>
                <w:szCs w:val="22"/>
              </w:rPr>
              <w:t>ml/h</w:t>
            </w:r>
          </w:p>
        </w:tc>
      </w:tr>
      <w:tr w:rsidR="00C91987" w:rsidRPr="001C693E" w14:paraId="11D9A0E8" w14:textId="77777777" w:rsidTr="008E5401">
        <w:tc>
          <w:tcPr>
            <w:tcW w:w="1701" w:type="dxa"/>
            <w:tcBorders>
              <w:left w:val="single" w:sz="6" w:space="0" w:color="auto"/>
              <w:right w:val="single" w:sz="6" w:space="0" w:color="auto"/>
            </w:tcBorders>
          </w:tcPr>
          <w:p w14:paraId="3B2B9186" w14:textId="77777777" w:rsidR="00C91987" w:rsidRPr="001C693E" w:rsidRDefault="00C91987" w:rsidP="008E5401">
            <w:pPr>
              <w:tabs>
                <w:tab w:val="right" w:pos="9072"/>
              </w:tabs>
              <w:spacing w:before="120" w:after="120"/>
              <w:jc w:val="center"/>
              <w:rPr>
                <w:szCs w:val="22"/>
              </w:rPr>
            </w:pPr>
            <w:r w:rsidRPr="001C693E">
              <w:rPr>
                <w:szCs w:val="22"/>
              </w:rPr>
              <w:t>70</w:t>
            </w:r>
          </w:p>
        </w:tc>
        <w:tc>
          <w:tcPr>
            <w:tcW w:w="1276" w:type="dxa"/>
            <w:tcBorders>
              <w:left w:val="single" w:sz="6" w:space="0" w:color="auto"/>
              <w:right w:val="single" w:sz="6" w:space="0" w:color="auto"/>
            </w:tcBorders>
          </w:tcPr>
          <w:p w14:paraId="117A9EF8" w14:textId="77777777" w:rsidR="00C91987" w:rsidRPr="001C693E" w:rsidRDefault="00C91987" w:rsidP="008E5401">
            <w:pPr>
              <w:tabs>
                <w:tab w:val="right" w:pos="9072"/>
              </w:tabs>
              <w:spacing w:before="120" w:after="120"/>
              <w:jc w:val="center"/>
              <w:rPr>
                <w:szCs w:val="22"/>
              </w:rPr>
            </w:pPr>
            <w:r w:rsidRPr="001C693E">
              <w:rPr>
                <w:szCs w:val="22"/>
              </w:rPr>
              <w:t>2,1</w:t>
            </w:r>
          </w:p>
        </w:tc>
        <w:tc>
          <w:tcPr>
            <w:tcW w:w="1276" w:type="dxa"/>
            <w:tcBorders>
              <w:left w:val="nil"/>
              <w:right w:val="single" w:sz="6" w:space="0" w:color="auto"/>
            </w:tcBorders>
          </w:tcPr>
          <w:p w14:paraId="2831490B" w14:textId="77777777" w:rsidR="00C91987" w:rsidRPr="001C693E" w:rsidRDefault="00C91987" w:rsidP="008E5401">
            <w:pPr>
              <w:tabs>
                <w:tab w:val="right" w:pos="9072"/>
              </w:tabs>
              <w:spacing w:before="120" w:after="120"/>
              <w:jc w:val="center"/>
              <w:rPr>
                <w:szCs w:val="22"/>
              </w:rPr>
            </w:pPr>
            <w:r w:rsidRPr="001C693E">
              <w:rPr>
                <w:szCs w:val="22"/>
              </w:rPr>
              <w:t>3,2</w:t>
            </w:r>
          </w:p>
        </w:tc>
        <w:tc>
          <w:tcPr>
            <w:tcW w:w="1276" w:type="dxa"/>
            <w:tcBorders>
              <w:left w:val="nil"/>
              <w:right w:val="single" w:sz="6" w:space="0" w:color="auto"/>
            </w:tcBorders>
          </w:tcPr>
          <w:p w14:paraId="05CBE046" w14:textId="77777777" w:rsidR="00C91987" w:rsidRPr="001C693E" w:rsidRDefault="00C91987" w:rsidP="008E5401">
            <w:pPr>
              <w:tabs>
                <w:tab w:val="right" w:pos="9072"/>
              </w:tabs>
              <w:spacing w:before="120" w:after="120"/>
              <w:jc w:val="center"/>
              <w:rPr>
                <w:szCs w:val="22"/>
              </w:rPr>
            </w:pPr>
            <w:r w:rsidRPr="001C693E">
              <w:rPr>
                <w:szCs w:val="22"/>
              </w:rPr>
              <w:t>4,2</w:t>
            </w:r>
          </w:p>
        </w:tc>
        <w:tc>
          <w:tcPr>
            <w:tcW w:w="1241" w:type="dxa"/>
            <w:tcBorders>
              <w:left w:val="nil"/>
              <w:right w:val="single" w:sz="6" w:space="0" w:color="auto"/>
            </w:tcBorders>
          </w:tcPr>
          <w:p w14:paraId="79679686" w14:textId="77777777" w:rsidR="00C91987" w:rsidRPr="001C693E" w:rsidRDefault="00C91987" w:rsidP="008E5401">
            <w:pPr>
              <w:tabs>
                <w:tab w:val="right" w:pos="9072"/>
              </w:tabs>
              <w:spacing w:before="120" w:after="120"/>
              <w:jc w:val="center"/>
              <w:rPr>
                <w:szCs w:val="22"/>
              </w:rPr>
            </w:pPr>
            <w:r w:rsidRPr="001C693E">
              <w:rPr>
                <w:szCs w:val="22"/>
              </w:rPr>
              <w:t>6,3</w:t>
            </w:r>
          </w:p>
        </w:tc>
        <w:tc>
          <w:tcPr>
            <w:tcW w:w="1736" w:type="dxa"/>
            <w:tcBorders>
              <w:left w:val="nil"/>
              <w:right w:val="single" w:sz="6" w:space="0" w:color="auto"/>
            </w:tcBorders>
          </w:tcPr>
          <w:p w14:paraId="16067C42" w14:textId="77777777" w:rsidR="00C91987" w:rsidRPr="001C693E" w:rsidRDefault="00C91987" w:rsidP="008E5401">
            <w:pPr>
              <w:tabs>
                <w:tab w:val="right" w:pos="9072"/>
              </w:tabs>
              <w:spacing w:before="120" w:after="120"/>
              <w:jc w:val="center"/>
              <w:rPr>
                <w:szCs w:val="22"/>
              </w:rPr>
            </w:pPr>
            <w:r w:rsidRPr="001C693E">
              <w:rPr>
                <w:szCs w:val="22"/>
              </w:rPr>
              <w:t>ml/h</w:t>
            </w:r>
          </w:p>
        </w:tc>
      </w:tr>
      <w:tr w:rsidR="00C91987" w:rsidRPr="001C693E" w14:paraId="3E6FB44C" w14:textId="77777777" w:rsidTr="008E5401">
        <w:tc>
          <w:tcPr>
            <w:tcW w:w="1701" w:type="dxa"/>
            <w:tcBorders>
              <w:left w:val="single" w:sz="6" w:space="0" w:color="auto"/>
              <w:bottom w:val="single" w:sz="6" w:space="0" w:color="auto"/>
              <w:right w:val="single" w:sz="6" w:space="0" w:color="auto"/>
            </w:tcBorders>
          </w:tcPr>
          <w:p w14:paraId="64FEAF35" w14:textId="77777777" w:rsidR="00C91987" w:rsidRPr="001C693E" w:rsidRDefault="00C91987" w:rsidP="008E5401">
            <w:pPr>
              <w:tabs>
                <w:tab w:val="right" w:pos="9072"/>
              </w:tabs>
              <w:spacing w:before="120" w:after="120"/>
              <w:jc w:val="center"/>
              <w:rPr>
                <w:szCs w:val="22"/>
              </w:rPr>
            </w:pPr>
            <w:r w:rsidRPr="001C693E">
              <w:rPr>
                <w:szCs w:val="22"/>
              </w:rPr>
              <w:t>100</w:t>
            </w:r>
          </w:p>
        </w:tc>
        <w:tc>
          <w:tcPr>
            <w:tcW w:w="1276" w:type="dxa"/>
            <w:tcBorders>
              <w:left w:val="single" w:sz="6" w:space="0" w:color="auto"/>
              <w:bottom w:val="single" w:sz="6" w:space="0" w:color="auto"/>
              <w:right w:val="single" w:sz="6" w:space="0" w:color="auto"/>
            </w:tcBorders>
          </w:tcPr>
          <w:p w14:paraId="199476AC" w14:textId="77777777" w:rsidR="00C91987" w:rsidRPr="001C693E" w:rsidRDefault="00C91987" w:rsidP="008E5401">
            <w:pPr>
              <w:tabs>
                <w:tab w:val="right" w:pos="9072"/>
              </w:tabs>
              <w:spacing w:before="120" w:after="120"/>
              <w:jc w:val="center"/>
              <w:rPr>
                <w:szCs w:val="22"/>
              </w:rPr>
            </w:pPr>
            <w:r w:rsidRPr="001C693E">
              <w:rPr>
                <w:szCs w:val="22"/>
              </w:rPr>
              <w:t>3,0</w:t>
            </w:r>
          </w:p>
        </w:tc>
        <w:tc>
          <w:tcPr>
            <w:tcW w:w="1276" w:type="dxa"/>
            <w:tcBorders>
              <w:left w:val="nil"/>
              <w:bottom w:val="single" w:sz="6" w:space="0" w:color="auto"/>
              <w:right w:val="single" w:sz="6" w:space="0" w:color="auto"/>
            </w:tcBorders>
          </w:tcPr>
          <w:p w14:paraId="6F9965F8" w14:textId="77777777" w:rsidR="00C91987" w:rsidRPr="001C693E" w:rsidRDefault="00C91987" w:rsidP="008E5401">
            <w:pPr>
              <w:tabs>
                <w:tab w:val="right" w:pos="9072"/>
              </w:tabs>
              <w:spacing w:before="120" w:after="120"/>
              <w:jc w:val="center"/>
              <w:rPr>
                <w:szCs w:val="22"/>
              </w:rPr>
            </w:pPr>
            <w:r w:rsidRPr="001C693E">
              <w:rPr>
                <w:szCs w:val="22"/>
              </w:rPr>
              <w:t>4,5</w:t>
            </w:r>
          </w:p>
        </w:tc>
        <w:tc>
          <w:tcPr>
            <w:tcW w:w="1276" w:type="dxa"/>
            <w:tcBorders>
              <w:left w:val="nil"/>
              <w:bottom w:val="single" w:sz="6" w:space="0" w:color="auto"/>
              <w:right w:val="single" w:sz="6" w:space="0" w:color="auto"/>
            </w:tcBorders>
          </w:tcPr>
          <w:p w14:paraId="6AE9D1DA" w14:textId="77777777" w:rsidR="00C91987" w:rsidRPr="001C693E" w:rsidRDefault="00C91987" w:rsidP="008E5401">
            <w:pPr>
              <w:tabs>
                <w:tab w:val="right" w:pos="9072"/>
              </w:tabs>
              <w:spacing w:before="120" w:after="120"/>
              <w:jc w:val="center"/>
              <w:rPr>
                <w:szCs w:val="22"/>
              </w:rPr>
            </w:pPr>
            <w:r w:rsidRPr="001C693E">
              <w:rPr>
                <w:szCs w:val="22"/>
              </w:rPr>
              <w:t>6,0</w:t>
            </w:r>
          </w:p>
        </w:tc>
        <w:tc>
          <w:tcPr>
            <w:tcW w:w="1241" w:type="dxa"/>
            <w:tcBorders>
              <w:left w:val="nil"/>
              <w:bottom w:val="single" w:sz="6" w:space="0" w:color="auto"/>
              <w:right w:val="single" w:sz="6" w:space="0" w:color="auto"/>
            </w:tcBorders>
          </w:tcPr>
          <w:p w14:paraId="272494A7" w14:textId="77777777" w:rsidR="00C91987" w:rsidRPr="001C693E" w:rsidRDefault="00C91987" w:rsidP="008E5401">
            <w:pPr>
              <w:tabs>
                <w:tab w:val="right" w:pos="9072"/>
              </w:tabs>
              <w:spacing w:before="120" w:after="120"/>
              <w:jc w:val="center"/>
              <w:rPr>
                <w:szCs w:val="22"/>
              </w:rPr>
            </w:pPr>
            <w:r w:rsidRPr="001C693E">
              <w:rPr>
                <w:szCs w:val="22"/>
              </w:rPr>
              <w:t>9,0</w:t>
            </w:r>
          </w:p>
        </w:tc>
        <w:tc>
          <w:tcPr>
            <w:tcW w:w="1736" w:type="dxa"/>
            <w:tcBorders>
              <w:left w:val="nil"/>
              <w:bottom w:val="single" w:sz="6" w:space="0" w:color="auto"/>
              <w:right w:val="single" w:sz="6" w:space="0" w:color="auto"/>
            </w:tcBorders>
          </w:tcPr>
          <w:p w14:paraId="41679945" w14:textId="77777777" w:rsidR="00C91987" w:rsidRPr="001C693E" w:rsidRDefault="00C91987" w:rsidP="008E5401">
            <w:pPr>
              <w:tabs>
                <w:tab w:val="right" w:pos="9072"/>
              </w:tabs>
              <w:spacing w:before="120" w:after="120"/>
              <w:jc w:val="center"/>
              <w:rPr>
                <w:szCs w:val="22"/>
              </w:rPr>
            </w:pPr>
            <w:r w:rsidRPr="001C693E">
              <w:rPr>
                <w:szCs w:val="22"/>
              </w:rPr>
              <w:t>ml/h</w:t>
            </w:r>
          </w:p>
        </w:tc>
      </w:tr>
    </w:tbl>
    <w:p w14:paraId="5E64A558" w14:textId="77777777" w:rsidR="00C91987" w:rsidRPr="001C693E" w:rsidRDefault="00C91987" w:rsidP="00C91987">
      <w:pPr>
        <w:rPr>
          <w:szCs w:val="22"/>
        </w:rPr>
      </w:pPr>
    </w:p>
    <w:p w14:paraId="562803B9" w14:textId="77777777" w:rsidR="00C91987" w:rsidRPr="001C693E" w:rsidRDefault="00C91987" w:rsidP="00C91987">
      <w:pPr>
        <w:rPr>
          <w:szCs w:val="22"/>
        </w:rPr>
      </w:pPr>
      <w:r w:rsidRPr="001C693E">
        <w:rPr>
          <w:szCs w:val="22"/>
        </w:rPr>
        <w:t xml:space="preserve">Pastovus nepertraukiamos </w:t>
      </w:r>
      <w:r w:rsidRPr="001C693E">
        <w:rPr>
          <w:caps/>
          <w:szCs w:val="22"/>
        </w:rPr>
        <w:t>N</w:t>
      </w:r>
      <w:r w:rsidRPr="001C693E">
        <w:rPr>
          <w:szCs w:val="22"/>
        </w:rPr>
        <w:t>imbex infuzijos greitis nesusijęs su progresyviai didėjančia ar mažėjančia nervo-raumens blokada.</w:t>
      </w:r>
    </w:p>
    <w:p w14:paraId="5823B97B" w14:textId="77777777" w:rsidR="00C91987" w:rsidRPr="001C693E" w:rsidRDefault="00C91987" w:rsidP="00C91987">
      <w:pPr>
        <w:rPr>
          <w:szCs w:val="22"/>
        </w:rPr>
      </w:pPr>
    </w:p>
    <w:p w14:paraId="6D8F8563" w14:textId="77777777" w:rsidR="00C91987" w:rsidRPr="001C693E" w:rsidRDefault="00C91987" w:rsidP="00C91987">
      <w:pPr>
        <w:rPr>
          <w:szCs w:val="22"/>
        </w:rPr>
      </w:pPr>
      <w:r w:rsidRPr="001C693E">
        <w:rPr>
          <w:szCs w:val="22"/>
        </w:rPr>
        <w:t xml:space="preserve">Baigus </w:t>
      </w:r>
      <w:r w:rsidRPr="001C693E">
        <w:rPr>
          <w:caps/>
          <w:szCs w:val="22"/>
        </w:rPr>
        <w:t>N</w:t>
      </w:r>
      <w:r w:rsidRPr="001C693E">
        <w:rPr>
          <w:szCs w:val="22"/>
        </w:rPr>
        <w:t>imbex infuziją, spontaninio atsigavimo po nervo-raumens blokados greitis yra panašus į greitį po vienkartinės injekcijos.</w:t>
      </w:r>
    </w:p>
    <w:p w14:paraId="35FD21C6" w14:textId="77777777" w:rsidR="00C91987" w:rsidRPr="001C693E" w:rsidRDefault="00C91987" w:rsidP="00C91987">
      <w:pPr>
        <w:rPr>
          <w:szCs w:val="22"/>
        </w:rPr>
      </w:pPr>
    </w:p>
    <w:p w14:paraId="4B0577AE" w14:textId="77777777" w:rsidR="00C91987" w:rsidRPr="001C693E" w:rsidRDefault="00C91987" w:rsidP="00C91987">
      <w:pPr>
        <w:rPr>
          <w:bCs/>
          <w:i/>
          <w:iCs/>
          <w:szCs w:val="22"/>
          <w:u w:val="single"/>
        </w:rPr>
      </w:pPr>
      <w:r w:rsidRPr="001C693E">
        <w:rPr>
          <w:bCs/>
          <w:i/>
          <w:iCs/>
          <w:szCs w:val="22"/>
          <w:u w:val="single"/>
        </w:rPr>
        <w:t>Dozavimas naujagimiams (jaunesniems kaip 1 mėnesio)</w:t>
      </w:r>
    </w:p>
    <w:p w14:paraId="2BCD2461" w14:textId="77777777" w:rsidR="00C91987" w:rsidRPr="001C693E" w:rsidRDefault="00C91987" w:rsidP="00C91987">
      <w:pPr>
        <w:rPr>
          <w:szCs w:val="22"/>
        </w:rPr>
      </w:pPr>
    </w:p>
    <w:p w14:paraId="77F972BA" w14:textId="77777777" w:rsidR="00C91987" w:rsidRPr="001C693E" w:rsidRDefault="00C91987" w:rsidP="00C91987">
      <w:pPr>
        <w:rPr>
          <w:szCs w:val="22"/>
        </w:rPr>
      </w:pPr>
      <w:r w:rsidRPr="001C693E">
        <w:rPr>
          <w:caps/>
          <w:szCs w:val="22"/>
        </w:rPr>
        <w:t>N</w:t>
      </w:r>
      <w:r w:rsidRPr="001C693E">
        <w:rPr>
          <w:szCs w:val="22"/>
        </w:rPr>
        <w:t>imbex nerekomenduojama skirti naujagimiams, nes jiems jis netirtas.</w:t>
      </w:r>
    </w:p>
    <w:p w14:paraId="37B35370" w14:textId="77777777" w:rsidR="00C91987" w:rsidRPr="001C693E" w:rsidRDefault="00C91987" w:rsidP="00C91987">
      <w:pPr>
        <w:pStyle w:val="Porat"/>
        <w:tabs>
          <w:tab w:val="clear" w:pos="4153"/>
          <w:tab w:val="clear" w:pos="8306"/>
        </w:tabs>
        <w:rPr>
          <w:szCs w:val="22"/>
        </w:rPr>
      </w:pPr>
    </w:p>
    <w:p w14:paraId="7594D1EA" w14:textId="77777777" w:rsidR="00C91987" w:rsidRPr="001C693E" w:rsidRDefault="00C91987" w:rsidP="00C91987">
      <w:pPr>
        <w:pStyle w:val="Antrat6"/>
        <w:rPr>
          <w:i/>
          <w:iCs/>
          <w:szCs w:val="22"/>
        </w:rPr>
      </w:pPr>
      <w:r w:rsidRPr="001C693E">
        <w:rPr>
          <w:i/>
          <w:iCs/>
          <w:szCs w:val="22"/>
        </w:rPr>
        <w:t>Dozavimas senyviems pacientams</w:t>
      </w:r>
    </w:p>
    <w:p w14:paraId="6946033A" w14:textId="77777777" w:rsidR="00C91987" w:rsidRPr="001C693E" w:rsidRDefault="00C91987" w:rsidP="00C91987">
      <w:pPr>
        <w:rPr>
          <w:bCs/>
          <w:i/>
          <w:iCs/>
          <w:szCs w:val="22"/>
        </w:rPr>
      </w:pPr>
    </w:p>
    <w:p w14:paraId="3DF6C6C6" w14:textId="77777777" w:rsidR="00C91987" w:rsidRPr="001C693E" w:rsidRDefault="00C91987" w:rsidP="00C91987">
      <w:pPr>
        <w:rPr>
          <w:szCs w:val="22"/>
        </w:rPr>
      </w:pPr>
      <w:r w:rsidRPr="001C693E">
        <w:rPr>
          <w:szCs w:val="22"/>
        </w:rPr>
        <w:t xml:space="preserve">Senyviems pacientams dozės keisti nereikia. Šių pacientų </w:t>
      </w:r>
      <w:r w:rsidRPr="001C693E">
        <w:rPr>
          <w:caps/>
          <w:szCs w:val="22"/>
        </w:rPr>
        <w:t>N</w:t>
      </w:r>
      <w:r w:rsidRPr="001C693E">
        <w:rPr>
          <w:szCs w:val="22"/>
        </w:rPr>
        <w:t>imbex farmakodinamika yra panaši į jaunų suaugusiųjų farmakodinamiką, tačiau, kaip ir vartojant kitus miorelaksantus, poveikio pradžia gali būti lėtesnė.</w:t>
      </w:r>
    </w:p>
    <w:p w14:paraId="3F3479B0" w14:textId="77777777" w:rsidR="00C91987" w:rsidRPr="001C693E" w:rsidRDefault="00C91987" w:rsidP="00C91987">
      <w:pPr>
        <w:rPr>
          <w:szCs w:val="22"/>
        </w:rPr>
      </w:pPr>
    </w:p>
    <w:p w14:paraId="5B2D3405" w14:textId="77777777" w:rsidR="00C91987" w:rsidRPr="001C693E" w:rsidRDefault="00C91987" w:rsidP="00C91987">
      <w:pPr>
        <w:pStyle w:val="Antrat5"/>
        <w:rPr>
          <w:bCs/>
          <w:szCs w:val="22"/>
          <w:u w:val="single"/>
        </w:rPr>
      </w:pPr>
      <w:r w:rsidRPr="001C693E">
        <w:rPr>
          <w:bCs/>
          <w:szCs w:val="22"/>
          <w:u w:val="single"/>
        </w:rPr>
        <w:t>Dozavimas pacientams, kuriems yra inkstų nepakankamumas</w:t>
      </w:r>
    </w:p>
    <w:p w14:paraId="703190E9" w14:textId="77777777" w:rsidR="00C91987" w:rsidRPr="001C693E" w:rsidRDefault="00C91987" w:rsidP="00C91987">
      <w:pPr>
        <w:rPr>
          <w:bCs/>
          <w:i/>
          <w:iCs/>
          <w:szCs w:val="22"/>
        </w:rPr>
      </w:pPr>
    </w:p>
    <w:p w14:paraId="38912678" w14:textId="77777777" w:rsidR="00C91987" w:rsidRPr="001C693E" w:rsidRDefault="00C91987" w:rsidP="00C91987">
      <w:pPr>
        <w:rPr>
          <w:szCs w:val="22"/>
        </w:rPr>
      </w:pPr>
      <w:r w:rsidRPr="001C693E">
        <w:rPr>
          <w:szCs w:val="22"/>
        </w:rPr>
        <w:t xml:space="preserve">Pacientams, kuriems yra inkstų nepakankamumas, dozės koreguoti nereikia. Šių pacientų </w:t>
      </w:r>
      <w:r w:rsidRPr="001C693E">
        <w:rPr>
          <w:caps/>
          <w:szCs w:val="22"/>
        </w:rPr>
        <w:t>N</w:t>
      </w:r>
      <w:r w:rsidRPr="001C693E">
        <w:rPr>
          <w:szCs w:val="22"/>
        </w:rPr>
        <w:t>imbex farmakodinamika yra panaši į pacientų, kurių inkstų funkcija normali, farmakodinamiką, tačiau poveikio pradžia gali būti šiek tiek lėtesnė.</w:t>
      </w:r>
    </w:p>
    <w:p w14:paraId="337D8BC2" w14:textId="77777777" w:rsidR="00C91987" w:rsidRPr="001C693E" w:rsidRDefault="00C91987" w:rsidP="00C91987">
      <w:pPr>
        <w:rPr>
          <w:szCs w:val="22"/>
        </w:rPr>
      </w:pPr>
    </w:p>
    <w:p w14:paraId="726753DC" w14:textId="77777777" w:rsidR="00C91987" w:rsidRPr="001C693E" w:rsidRDefault="00C91987" w:rsidP="00C91987">
      <w:pPr>
        <w:pStyle w:val="Antrat5"/>
        <w:rPr>
          <w:bCs/>
          <w:szCs w:val="22"/>
          <w:u w:val="single"/>
        </w:rPr>
      </w:pPr>
      <w:r w:rsidRPr="001C693E">
        <w:rPr>
          <w:bCs/>
          <w:szCs w:val="22"/>
          <w:u w:val="single"/>
        </w:rPr>
        <w:t>Dozavimas pacientams, kuriems yra kepenų nepakankamumas</w:t>
      </w:r>
    </w:p>
    <w:p w14:paraId="01091C95" w14:textId="77777777" w:rsidR="00C91987" w:rsidRPr="001C693E" w:rsidRDefault="00C91987" w:rsidP="00C91987">
      <w:pPr>
        <w:rPr>
          <w:szCs w:val="22"/>
        </w:rPr>
      </w:pPr>
    </w:p>
    <w:p w14:paraId="559A24C5" w14:textId="77777777" w:rsidR="00C91987" w:rsidRPr="001C693E" w:rsidRDefault="00C91987" w:rsidP="00C91987">
      <w:pPr>
        <w:rPr>
          <w:szCs w:val="22"/>
        </w:rPr>
      </w:pPr>
      <w:r w:rsidRPr="001C693E">
        <w:rPr>
          <w:szCs w:val="22"/>
        </w:rPr>
        <w:t xml:space="preserve">Pacientams, kuriems yra terminalinis kepenų nepakankamumas, dozės koreguoti nereikia. Šių pacientų </w:t>
      </w:r>
      <w:r w:rsidRPr="001C693E">
        <w:rPr>
          <w:caps/>
          <w:szCs w:val="22"/>
        </w:rPr>
        <w:t>N</w:t>
      </w:r>
      <w:r w:rsidRPr="001C693E">
        <w:rPr>
          <w:szCs w:val="22"/>
        </w:rPr>
        <w:t>imbex farmakodinamika yra panaši į pacientų, kurių kepenų funkcija normali, farmakodinamiką, tačiau poveikio pradžia gali būti šiek tiek greitesnė.</w:t>
      </w:r>
    </w:p>
    <w:p w14:paraId="15816C97" w14:textId="77777777" w:rsidR="00C91987" w:rsidRPr="001C693E" w:rsidRDefault="00C91987" w:rsidP="00C91987">
      <w:pPr>
        <w:rPr>
          <w:szCs w:val="22"/>
        </w:rPr>
      </w:pPr>
    </w:p>
    <w:p w14:paraId="212FA5B0" w14:textId="77777777" w:rsidR="00C91987" w:rsidRPr="001C693E" w:rsidRDefault="00C91987" w:rsidP="00C91987">
      <w:pPr>
        <w:pStyle w:val="Antrat5"/>
        <w:rPr>
          <w:bCs/>
          <w:szCs w:val="22"/>
          <w:u w:val="single"/>
        </w:rPr>
      </w:pPr>
      <w:r w:rsidRPr="001C693E">
        <w:rPr>
          <w:bCs/>
          <w:szCs w:val="22"/>
          <w:u w:val="single"/>
        </w:rPr>
        <w:t>Dozavimas pacientams, sergantiems širdies ir kraujagyslių liga</w:t>
      </w:r>
    </w:p>
    <w:p w14:paraId="3BF419B2" w14:textId="77777777" w:rsidR="00C91987" w:rsidRPr="001C693E" w:rsidRDefault="00C91987" w:rsidP="00C91987">
      <w:pPr>
        <w:rPr>
          <w:szCs w:val="22"/>
        </w:rPr>
      </w:pPr>
    </w:p>
    <w:p w14:paraId="1E8A8374" w14:textId="77777777" w:rsidR="00C91987" w:rsidRPr="001C693E" w:rsidRDefault="00C91987" w:rsidP="00C91987">
      <w:pPr>
        <w:rPr>
          <w:szCs w:val="22"/>
        </w:rPr>
      </w:pPr>
      <w:r w:rsidRPr="001C693E">
        <w:rPr>
          <w:szCs w:val="22"/>
        </w:rPr>
        <w:t xml:space="preserve">Bet kurios tirtos </w:t>
      </w:r>
      <w:r w:rsidRPr="001C693E">
        <w:rPr>
          <w:caps/>
          <w:szCs w:val="22"/>
        </w:rPr>
        <w:t>N</w:t>
      </w:r>
      <w:r w:rsidRPr="001C693E">
        <w:rPr>
          <w:szCs w:val="22"/>
        </w:rPr>
        <w:t>imbex dozės (</w:t>
      </w:r>
      <w:r w:rsidRPr="001C693E">
        <w:rPr>
          <w:szCs w:val="22"/>
        </w:rPr>
        <w:sym w:font="Symbol" w:char="F0A3"/>
      </w:r>
      <w:r w:rsidRPr="001C693E">
        <w:rPr>
          <w:szCs w:val="22"/>
        </w:rPr>
        <w:t xml:space="preserve"> 0,4 mg/kg, 8 kartus didesnės už ED</w:t>
      </w:r>
      <w:r w:rsidRPr="001C693E">
        <w:rPr>
          <w:szCs w:val="22"/>
          <w:vertAlign w:val="subscript"/>
        </w:rPr>
        <w:t>95</w:t>
      </w:r>
      <w:r w:rsidRPr="001C693E">
        <w:rPr>
          <w:szCs w:val="22"/>
        </w:rPr>
        <w:t xml:space="preserve">) greita (per 5-10 s) injekcija į veną suaugusiems pacientams, sergantiems sunkia širdies ir kraujagyslių liga (NYHA I-III klasės), </w:t>
      </w:r>
      <w:r w:rsidRPr="001C693E">
        <w:rPr>
          <w:szCs w:val="22"/>
        </w:rPr>
        <w:lastRenderedPageBreak/>
        <w:t>kuriems buvo atliekama vainikinių arterijų jungties operacija, nebuvo susijusi su kliniškai reikšmingu poveikiu širdies ir kraujagyslių sistemai. Tačiau yra mažai duomenų apie didesnės kaip 0,3 mg/kg dozės vartojimą šiems pacientams.</w:t>
      </w:r>
    </w:p>
    <w:p w14:paraId="42E1BF0D" w14:textId="77777777" w:rsidR="00C91987" w:rsidRPr="001C693E" w:rsidRDefault="00C91987" w:rsidP="00C91987">
      <w:pPr>
        <w:rPr>
          <w:szCs w:val="22"/>
        </w:rPr>
      </w:pPr>
    </w:p>
    <w:p w14:paraId="696B1B41" w14:textId="77777777" w:rsidR="00C91987" w:rsidRPr="001C693E" w:rsidRDefault="00C91987" w:rsidP="00C91987">
      <w:pPr>
        <w:rPr>
          <w:szCs w:val="22"/>
        </w:rPr>
      </w:pPr>
      <w:r w:rsidRPr="001C693E">
        <w:rPr>
          <w:caps/>
          <w:szCs w:val="22"/>
        </w:rPr>
        <w:t>N</w:t>
      </w:r>
      <w:r w:rsidRPr="001C693E">
        <w:rPr>
          <w:szCs w:val="22"/>
        </w:rPr>
        <w:t>imbex netirtas vaikams, kuriems buvo atliekama širdies operacija.</w:t>
      </w:r>
    </w:p>
    <w:p w14:paraId="4D017C08" w14:textId="77777777" w:rsidR="00C91987" w:rsidRPr="001C693E" w:rsidRDefault="00C91987" w:rsidP="00C91987">
      <w:pPr>
        <w:rPr>
          <w:szCs w:val="22"/>
        </w:rPr>
      </w:pPr>
    </w:p>
    <w:p w14:paraId="4D001C91" w14:textId="77777777" w:rsidR="00C91987" w:rsidRPr="001C693E" w:rsidRDefault="00C91987" w:rsidP="00C91987">
      <w:pPr>
        <w:pStyle w:val="Antrat5"/>
        <w:rPr>
          <w:bCs/>
          <w:szCs w:val="22"/>
          <w:u w:val="single"/>
        </w:rPr>
      </w:pPr>
      <w:r w:rsidRPr="001C693E">
        <w:rPr>
          <w:bCs/>
          <w:szCs w:val="22"/>
          <w:u w:val="single"/>
        </w:rPr>
        <w:t>Dozavimas intensyviosios terapijos skyriaus (ITS) pacientams</w:t>
      </w:r>
    </w:p>
    <w:p w14:paraId="1854C277" w14:textId="77777777" w:rsidR="00C91987" w:rsidRPr="001C693E" w:rsidRDefault="00C91987" w:rsidP="00C91987">
      <w:pPr>
        <w:rPr>
          <w:szCs w:val="22"/>
        </w:rPr>
      </w:pPr>
    </w:p>
    <w:p w14:paraId="06B51644" w14:textId="77777777" w:rsidR="00C91987" w:rsidRPr="001C693E" w:rsidRDefault="00C91987" w:rsidP="00C91987">
      <w:pPr>
        <w:rPr>
          <w:szCs w:val="22"/>
        </w:rPr>
      </w:pPr>
      <w:r w:rsidRPr="001C693E">
        <w:rPr>
          <w:szCs w:val="22"/>
        </w:rPr>
        <w:t xml:space="preserve">Suaugusiems ITS pacientams </w:t>
      </w:r>
      <w:r w:rsidRPr="001C693E">
        <w:rPr>
          <w:caps/>
          <w:szCs w:val="22"/>
        </w:rPr>
        <w:t>N</w:t>
      </w:r>
      <w:r w:rsidRPr="001C693E">
        <w:rPr>
          <w:szCs w:val="22"/>
        </w:rPr>
        <w:t>imbex galima vartoti greita injekcija  ir (ar) infuzija.</w:t>
      </w:r>
    </w:p>
    <w:p w14:paraId="6C23E9AB" w14:textId="77777777" w:rsidR="00C91987" w:rsidRPr="001C693E" w:rsidRDefault="00C91987" w:rsidP="00C91987">
      <w:pPr>
        <w:rPr>
          <w:szCs w:val="22"/>
        </w:rPr>
      </w:pPr>
    </w:p>
    <w:p w14:paraId="38C84373" w14:textId="77777777" w:rsidR="00C91987" w:rsidRPr="001C693E" w:rsidRDefault="00C91987" w:rsidP="00C91987">
      <w:pPr>
        <w:rPr>
          <w:szCs w:val="22"/>
        </w:rPr>
      </w:pPr>
      <w:r w:rsidRPr="001C693E">
        <w:rPr>
          <w:szCs w:val="22"/>
        </w:rPr>
        <w:t xml:space="preserve">Šiems pacientams rekomenduojamas pradinis </w:t>
      </w:r>
      <w:r w:rsidRPr="001C693E">
        <w:rPr>
          <w:caps/>
          <w:szCs w:val="22"/>
        </w:rPr>
        <w:t>N</w:t>
      </w:r>
      <w:r w:rsidRPr="001C693E">
        <w:rPr>
          <w:szCs w:val="22"/>
        </w:rPr>
        <w:t xml:space="preserve">imbex infuzijos greitis yra 3 </w:t>
      </w:r>
      <w:r w:rsidRPr="001C693E">
        <w:rPr>
          <w:szCs w:val="22"/>
        </w:rPr>
        <w:sym w:font="Symbol" w:char="F06D"/>
      </w:r>
      <w:r w:rsidRPr="001C693E">
        <w:rPr>
          <w:szCs w:val="22"/>
        </w:rPr>
        <w:t xml:space="preserve">g/kg/min (0,18 mg/kg/h). Įvairiems pacientams gali reikėti skirtingos dozės, kuri ilgainiui gali didėti ar mažėti. Klinikinių tyrimų metu vidutinis infuzijos greitis buvo 3 </w:t>
      </w:r>
      <w:r w:rsidRPr="001C693E">
        <w:rPr>
          <w:szCs w:val="22"/>
        </w:rPr>
        <w:sym w:font="Symbol" w:char="F06D"/>
      </w:r>
      <w:r w:rsidRPr="001C693E">
        <w:rPr>
          <w:szCs w:val="22"/>
        </w:rPr>
        <w:t xml:space="preserve">g/kg/min [ribos – 0,5-10,2 </w:t>
      </w:r>
      <w:r w:rsidRPr="001C693E">
        <w:rPr>
          <w:szCs w:val="22"/>
        </w:rPr>
        <w:sym w:font="Symbol" w:char="F06D"/>
      </w:r>
      <w:r w:rsidRPr="001C693E">
        <w:rPr>
          <w:szCs w:val="22"/>
        </w:rPr>
        <w:t xml:space="preserve">g/kg/min (0,03-0,6 mg/kg/h)]. </w:t>
      </w:r>
    </w:p>
    <w:p w14:paraId="75D07634" w14:textId="77777777" w:rsidR="00C91987" w:rsidRPr="001C693E" w:rsidRDefault="00C91987" w:rsidP="00C91987">
      <w:pPr>
        <w:rPr>
          <w:szCs w:val="22"/>
        </w:rPr>
      </w:pPr>
    </w:p>
    <w:p w14:paraId="5953AA84" w14:textId="77777777" w:rsidR="00C91987" w:rsidRPr="001C693E" w:rsidRDefault="00C91987" w:rsidP="00C91987">
      <w:pPr>
        <w:rPr>
          <w:szCs w:val="22"/>
        </w:rPr>
      </w:pPr>
      <w:r w:rsidRPr="001C693E">
        <w:rPr>
          <w:szCs w:val="22"/>
        </w:rPr>
        <w:t xml:space="preserve">Vidurinis ITS pacientų laikas iki visiško spontaninio atsigavimo po ilgalaikės (iki 6 dienų) </w:t>
      </w:r>
      <w:r w:rsidRPr="001C693E">
        <w:rPr>
          <w:caps/>
          <w:szCs w:val="22"/>
        </w:rPr>
        <w:t>N</w:t>
      </w:r>
      <w:r w:rsidRPr="001C693E">
        <w:rPr>
          <w:szCs w:val="22"/>
        </w:rPr>
        <w:t>imbex infuzijos buvo maždaug 50 min.</w:t>
      </w:r>
    </w:p>
    <w:p w14:paraId="79C16D14" w14:textId="77777777" w:rsidR="00C91987" w:rsidRPr="001C693E" w:rsidRDefault="00C91987" w:rsidP="00C91987">
      <w:pPr>
        <w:rPr>
          <w:szCs w:val="22"/>
        </w:rPr>
      </w:pPr>
    </w:p>
    <w:p w14:paraId="0C82A463" w14:textId="77777777" w:rsidR="00C91987" w:rsidRPr="001C693E" w:rsidRDefault="00C91987" w:rsidP="00C91987">
      <w:pPr>
        <w:rPr>
          <w:szCs w:val="22"/>
        </w:rPr>
      </w:pPr>
    </w:p>
    <w:p w14:paraId="0AE910DB" w14:textId="77777777" w:rsidR="00C91987" w:rsidRPr="001C693E" w:rsidRDefault="00C91987" w:rsidP="00C91987">
      <w:pPr>
        <w:pStyle w:val="listssp"/>
        <w:rPr>
          <w:sz w:val="22"/>
          <w:szCs w:val="22"/>
          <w:lang w:val="lt-LT"/>
        </w:rPr>
      </w:pPr>
      <w:r w:rsidRPr="001C693E">
        <w:rPr>
          <w:sz w:val="22"/>
          <w:szCs w:val="22"/>
          <w:lang w:val="lt-LT"/>
        </w:rPr>
        <w:t xml:space="preserve">ITS pacientų atsigavimo pobūdis po </w:t>
      </w:r>
      <w:r w:rsidRPr="001C693E">
        <w:rPr>
          <w:caps/>
          <w:sz w:val="22"/>
          <w:szCs w:val="22"/>
          <w:lang w:val="lt-LT"/>
        </w:rPr>
        <w:t>N</w:t>
      </w:r>
      <w:r w:rsidRPr="001C693E">
        <w:rPr>
          <w:sz w:val="22"/>
          <w:szCs w:val="22"/>
          <w:lang w:val="lt-LT"/>
        </w:rPr>
        <w:t>imbex infuzijos nepriklauso nuo infuzijos trukmės.</w:t>
      </w:r>
    </w:p>
    <w:p w14:paraId="2A385F73" w14:textId="77777777" w:rsidR="00C91987" w:rsidRPr="001C693E" w:rsidRDefault="00C91987" w:rsidP="00C91987">
      <w:pPr>
        <w:pStyle w:val="Pagrindinistekstas"/>
        <w:spacing w:after="0"/>
        <w:rPr>
          <w:szCs w:val="22"/>
        </w:rPr>
      </w:pPr>
    </w:p>
    <w:p w14:paraId="4FB299F7" w14:textId="77777777" w:rsidR="00C91987" w:rsidRPr="001C693E" w:rsidRDefault="00C91987" w:rsidP="00C91987">
      <w:pPr>
        <w:ind w:left="550" w:hanging="550"/>
        <w:rPr>
          <w:b/>
          <w:bCs/>
          <w:szCs w:val="22"/>
        </w:rPr>
      </w:pPr>
      <w:r w:rsidRPr="001C693E">
        <w:rPr>
          <w:b/>
          <w:bCs/>
          <w:szCs w:val="22"/>
        </w:rPr>
        <w:t>4.3</w:t>
      </w:r>
      <w:r w:rsidRPr="001C693E">
        <w:rPr>
          <w:b/>
          <w:bCs/>
          <w:szCs w:val="22"/>
        </w:rPr>
        <w:tab/>
        <w:t>Kontraindikacijos</w:t>
      </w:r>
    </w:p>
    <w:p w14:paraId="11C974BF" w14:textId="77777777" w:rsidR="00C91987" w:rsidRPr="001C693E" w:rsidRDefault="00C91987" w:rsidP="00C91987">
      <w:pPr>
        <w:pStyle w:val="Pagrindinistekstas"/>
        <w:spacing w:after="0"/>
        <w:rPr>
          <w:szCs w:val="22"/>
        </w:rPr>
      </w:pPr>
    </w:p>
    <w:p w14:paraId="789078F5" w14:textId="77777777" w:rsidR="00C91987" w:rsidRPr="001C693E" w:rsidRDefault="00C91987" w:rsidP="00C91987">
      <w:pPr>
        <w:pStyle w:val="listssp"/>
        <w:rPr>
          <w:sz w:val="22"/>
          <w:szCs w:val="22"/>
          <w:lang w:val="lt-LT"/>
        </w:rPr>
      </w:pPr>
      <w:r w:rsidRPr="001C693E">
        <w:rPr>
          <w:sz w:val="22"/>
          <w:szCs w:val="22"/>
          <w:lang w:val="lt-LT"/>
        </w:rPr>
        <w:t>Padidėjęs jautrumas cisatrakuriui, atrakuriui ar benzensulfono rūgščiai ar bet kuriai pagalbinei medžiagai (žr. 6.1 skyrių).</w:t>
      </w:r>
    </w:p>
    <w:p w14:paraId="597D4A56" w14:textId="77777777" w:rsidR="00C91987" w:rsidRPr="001C693E" w:rsidRDefault="00C91987" w:rsidP="00C91987">
      <w:pPr>
        <w:pStyle w:val="Pagrindinistekstas"/>
        <w:spacing w:after="0"/>
        <w:rPr>
          <w:szCs w:val="22"/>
        </w:rPr>
      </w:pPr>
    </w:p>
    <w:p w14:paraId="36999E7C" w14:textId="77777777" w:rsidR="00C91987" w:rsidRPr="001C693E" w:rsidRDefault="00C91987" w:rsidP="00C91987">
      <w:pPr>
        <w:ind w:left="550" w:hanging="550"/>
        <w:rPr>
          <w:b/>
          <w:bCs/>
          <w:szCs w:val="22"/>
        </w:rPr>
      </w:pPr>
      <w:r w:rsidRPr="001C693E">
        <w:rPr>
          <w:b/>
          <w:bCs/>
          <w:szCs w:val="22"/>
        </w:rPr>
        <w:t>4.4</w:t>
      </w:r>
      <w:r w:rsidRPr="001C693E">
        <w:rPr>
          <w:b/>
          <w:bCs/>
          <w:szCs w:val="22"/>
        </w:rPr>
        <w:tab/>
        <w:t>Specialūs įspėjimai ir atsargumo priemonės</w:t>
      </w:r>
    </w:p>
    <w:p w14:paraId="3E61BB56" w14:textId="77777777" w:rsidR="00C91987" w:rsidRPr="001C693E" w:rsidRDefault="00C91987" w:rsidP="00C91987">
      <w:pPr>
        <w:pStyle w:val="Pagrindinistekstas"/>
        <w:spacing w:after="0"/>
        <w:rPr>
          <w:szCs w:val="22"/>
        </w:rPr>
      </w:pPr>
    </w:p>
    <w:p w14:paraId="465CA63D" w14:textId="77777777" w:rsidR="00C91987" w:rsidRPr="001C693E" w:rsidRDefault="00C91987" w:rsidP="00C91987">
      <w:pPr>
        <w:rPr>
          <w:szCs w:val="22"/>
        </w:rPr>
      </w:pPr>
      <w:r w:rsidRPr="001C693E">
        <w:rPr>
          <w:szCs w:val="22"/>
        </w:rPr>
        <w:t xml:space="preserve">Cisatrakuris paralyžiuoja kvėpavimo bei kitus skeleto raumenis, tačiau neveikia sąmonės bei skausmo slenksčio. </w:t>
      </w:r>
      <w:r w:rsidRPr="001C693E">
        <w:rPr>
          <w:caps/>
          <w:szCs w:val="22"/>
        </w:rPr>
        <w:t>N</w:t>
      </w:r>
      <w:r w:rsidRPr="001C693E">
        <w:rPr>
          <w:szCs w:val="22"/>
        </w:rPr>
        <w:t>imbex gali skirti tik anesteziologas ar kitas gydytojas, išmanantis miorelaksantų veikimą bei vartojimą. Būtina turėti priemones trachėjos intubacijai, plaučių ventiliacijai ir adekvačiai arterinio kraujo oksigenacijai užtikrinti.</w:t>
      </w:r>
    </w:p>
    <w:p w14:paraId="6B623D63" w14:textId="77777777" w:rsidR="00C91987" w:rsidRPr="001C693E" w:rsidRDefault="00C91987" w:rsidP="00C91987">
      <w:pPr>
        <w:rPr>
          <w:szCs w:val="22"/>
        </w:rPr>
      </w:pPr>
    </w:p>
    <w:p w14:paraId="32D9E6E4" w14:textId="77777777" w:rsidR="00C91987" w:rsidRPr="001C693E" w:rsidRDefault="00C91987" w:rsidP="00C91987">
      <w:pPr>
        <w:rPr>
          <w:szCs w:val="22"/>
        </w:rPr>
      </w:pPr>
      <w:r w:rsidRPr="001C693E">
        <w:rPr>
          <w:szCs w:val="22"/>
        </w:rPr>
        <w:t xml:space="preserve">Būtina laikytis atsargumo priemonių, kai </w:t>
      </w:r>
      <w:r w:rsidRPr="001C693E">
        <w:rPr>
          <w:caps/>
          <w:szCs w:val="22"/>
        </w:rPr>
        <w:t>N</w:t>
      </w:r>
      <w:r w:rsidRPr="001C693E">
        <w:rPr>
          <w:szCs w:val="22"/>
        </w:rPr>
        <w:t>imbex skiriama pacientams, alergiškiems kitiems miorelaksantams, nes pasitaikė kryžminio padidėjusio jautrumo (daugiau kaip 50 %) atvejų (žr. 4.3. skyrių).</w:t>
      </w:r>
    </w:p>
    <w:p w14:paraId="6C7B9044" w14:textId="77777777" w:rsidR="00C91987" w:rsidRPr="001C693E" w:rsidRDefault="00C91987" w:rsidP="00C91987">
      <w:pPr>
        <w:rPr>
          <w:szCs w:val="22"/>
        </w:rPr>
      </w:pPr>
    </w:p>
    <w:p w14:paraId="5B5A7FEE" w14:textId="77777777" w:rsidR="00C91987" w:rsidRPr="001C693E" w:rsidRDefault="00C91987" w:rsidP="00C91987">
      <w:pPr>
        <w:rPr>
          <w:szCs w:val="22"/>
        </w:rPr>
      </w:pPr>
      <w:r w:rsidRPr="001C693E">
        <w:rPr>
          <w:szCs w:val="22"/>
        </w:rPr>
        <w:t xml:space="preserve">Cisatrakuriui nebūdingas ryškesnis vagolizinis ar ganglioblokuojantis poveikis. Dėl to </w:t>
      </w:r>
      <w:r w:rsidRPr="001C693E">
        <w:rPr>
          <w:caps/>
          <w:szCs w:val="22"/>
        </w:rPr>
        <w:t>N</w:t>
      </w:r>
      <w:r w:rsidRPr="001C693E">
        <w:rPr>
          <w:szCs w:val="22"/>
        </w:rPr>
        <w:t>imbex kliniškai reikšmingai neveikia širdies susitraukimo dažnio bei neturi įtakos daugelio anestetikų ar klajoklio nervo stimuliacijos chirurginės operacijos metu sukeliamai bradikardijai.</w:t>
      </w:r>
    </w:p>
    <w:p w14:paraId="39EAB7C9" w14:textId="77777777" w:rsidR="00C91987" w:rsidRPr="001C693E" w:rsidRDefault="00C91987" w:rsidP="00C91987">
      <w:pPr>
        <w:rPr>
          <w:szCs w:val="22"/>
        </w:rPr>
      </w:pPr>
    </w:p>
    <w:p w14:paraId="7C996A30" w14:textId="77777777" w:rsidR="00C91987" w:rsidRPr="001C693E" w:rsidRDefault="00C91987" w:rsidP="00C91987">
      <w:pPr>
        <w:rPr>
          <w:szCs w:val="22"/>
        </w:rPr>
      </w:pPr>
      <w:r w:rsidRPr="001C693E">
        <w:rPr>
          <w:szCs w:val="22"/>
        </w:rPr>
        <w:t xml:space="preserve">Pacientų, sergančių sunkiąja miastenija ar kitomis nervų ir raumenų ligomis, būna ryškiai padidėjęs jautrumas nedepoliarizuojantiems miorelaksantams. Šiems pacientams rekomenduojama ne didesnė kaip 0,02 mg/kg pradinė </w:t>
      </w:r>
      <w:r w:rsidRPr="001C693E">
        <w:rPr>
          <w:caps/>
          <w:szCs w:val="22"/>
        </w:rPr>
        <w:t>N</w:t>
      </w:r>
      <w:r w:rsidRPr="001C693E">
        <w:rPr>
          <w:szCs w:val="22"/>
        </w:rPr>
        <w:t>imbex dozė.</w:t>
      </w:r>
    </w:p>
    <w:p w14:paraId="248BC147" w14:textId="77777777" w:rsidR="00C91987" w:rsidRPr="001C693E" w:rsidRDefault="00C91987" w:rsidP="00C91987">
      <w:pPr>
        <w:rPr>
          <w:szCs w:val="22"/>
        </w:rPr>
      </w:pPr>
    </w:p>
    <w:p w14:paraId="208294CA" w14:textId="77777777" w:rsidR="00C91987" w:rsidRPr="001C693E" w:rsidRDefault="00C91987" w:rsidP="00C91987">
      <w:pPr>
        <w:rPr>
          <w:szCs w:val="22"/>
        </w:rPr>
      </w:pPr>
      <w:r w:rsidRPr="001C693E">
        <w:rPr>
          <w:szCs w:val="22"/>
        </w:rPr>
        <w:t>Dėl sunkaus šarmų bei rūgščių ir (ar) elektrolitų pusiausvyros sutrikimo gali padidėti ar sumažėti pacientų jautrumas miorelaksantams.</w:t>
      </w:r>
    </w:p>
    <w:p w14:paraId="4C92D49C" w14:textId="77777777" w:rsidR="00C91987" w:rsidRPr="001C693E" w:rsidRDefault="00C91987" w:rsidP="00C91987">
      <w:pPr>
        <w:rPr>
          <w:szCs w:val="22"/>
        </w:rPr>
      </w:pPr>
    </w:p>
    <w:p w14:paraId="37F34C99" w14:textId="77777777" w:rsidR="00C91987" w:rsidRPr="001C693E" w:rsidRDefault="00C91987" w:rsidP="00C91987">
      <w:pPr>
        <w:rPr>
          <w:szCs w:val="22"/>
        </w:rPr>
      </w:pPr>
      <w:r w:rsidRPr="001C693E">
        <w:rPr>
          <w:szCs w:val="22"/>
        </w:rPr>
        <w:t xml:space="preserve">Nėra duomenų apie </w:t>
      </w:r>
      <w:r w:rsidRPr="001C693E">
        <w:rPr>
          <w:caps/>
          <w:szCs w:val="22"/>
        </w:rPr>
        <w:t>N</w:t>
      </w:r>
      <w:r w:rsidRPr="001C693E">
        <w:rPr>
          <w:szCs w:val="22"/>
        </w:rPr>
        <w:t>imbex vartojimą jaunesniems kaip 1 mėnesio naujagimiams, nes šio vaisto poveikis jiems netirtas.</w:t>
      </w:r>
    </w:p>
    <w:p w14:paraId="0BCE60F4" w14:textId="77777777" w:rsidR="00C91987" w:rsidRPr="001C693E" w:rsidRDefault="00C91987" w:rsidP="00C91987">
      <w:pPr>
        <w:rPr>
          <w:szCs w:val="22"/>
        </w:rPr>
      </w:pPr>
    </w:p>
    <w:p w14:paraId="076A1C2E" w14:textId="77777777" w:rsidR="00C91987" w:rsidRPr="001C693E" w:rsidRDefault="00C91987" w:rsidP="00C91987">
      <w:pPr>
        <w:rPr>
          <w:szCs w:val="22"/>
        </w:rPr>
      </w:pPr>
      <w:r w:rsidRPr="001C693E">
        <w:rPr>
          <w:szCs w:val="22"/>
        </w:rPr>
        <w:t xml:space="preserve">Cisatrakuris nebuvo tirtas pacientams, kuriems buvo piktybinė hipertermija. Tyrimai su piktybinei hipertermijai jautriomis kiaulėmis parodė, kad cisatrakuris nesukelia šio sindromo. </w:t>
      </w:r>
    </w:p>
    <w:p w14:paraId="0CC7B248" w14:textId="77777777" w:rsidR="00C91987" w:rsidRPr="001C693E" w:rsidRDefault="00C91987" w:rsidP="00C91987">
      <w:pPr>
        <w:rPr>
          <w:szCs w:val="22"/>
        </w:rPr>
      </w:pPr>
    </w:p>
    <w:p w14:paraId="640F3604" w14:textId="77777777" w:rsidR="00C91987" w:rsidRPr="001C693E" w:rsidRDefault="00C91987" w:rsidP="00C91987">
      <w:pPr>
        <w:rPr>
          <w:szCs w:val="22"/>
        </w:rPr>
      </w:pPr>
      <w:r w:rsidRPr="001C693E">
        <w:rPr>
          <w:szCs w:val="22"/>
        </w:rPr>
        <w:lastRenderedPageBreak/>
        <w:t>Netirtas cisatrakurio poveikis pacientams, kuriems chirurginė operacija buvo atliekama sukėlus hipotermiją (25-28</w:t>
      </w:r>
      <w:r w:rsidRPr="001C693E">
        <w:rPr>
          <w:szCs w:val="22"/>
        </w:rPr>
        <w:sym w:font="Symbol" w:char="F0B0"/>
      </w:r>
      <w:r w:rsidRPr="001C693E">
        <w:rPr>
          <w:szCs w:val="22"/>
        </w:rPr>
        <w:t xml:space="preserve">C). Tikėtina, kad, kaip ir vartojant kitus miorelaksantus, infuzijos greitis, kurio reikia palaikyti adekvačią chirurgijai miorelaksaciją, tokiomis sąlygomis gali būti ryškiai mažesnis. </w:t>
      </w:r>
    </w:p>
    <w:p w14:paraId="36982AB2" w14:textId="77777777" w:rsidR="00C91987" w:rsidRPr="001C693E" w:rsidRDefault="00C91987" w:rsidP="00C91987">
      <w:pPr>
        <w:rPr>
          <w:szCs w:val="22"/>
        </w:rPr>
      </w:pPr>
    </w:p>
    <w:p w14:paraId="06AAB015" w14:textId="77777777" w:rsidR="00C91987" w:rsidRPr="001C693E" w:rsidRDefault="00C91987" w:rsidP="00C91987">
      <w:pPr>
        <w:rPr>
          <w:szCs w:val="22"/>
        </w:rPr>
      </w:pPr>
      <w:r w:rsidRPr="001C693E">
        <w:rPr>
          <w:szCs w:val="22"/>
        </w:rPr>
        <w:t xml:space="preserve">Cisatrakuris netirtas nudegusiems pacientams. Tačiau, skiriant jiems </w:t>
      </w:r>
      <w:r w:rsidRPr="001C693E">
        <w:rPr>
          <w:caps/>
          <w:szCs w:val="22"/>
        </w:rPr>
        <w:t>N</w:t>
      </w:r>
      <w:r w:rsidRPr="001C693E">
        <w:rPr>
          <w:szCs w:val="22"/>
        </w:rPr>
        <w:t>imbex, kaip ir kitus nedepoliarizuojančius miorelaksantus, reikia prisiminti, kad gali prireikti didesnės dozės ir ji gali veikti trumpiau.</w:t>
      </w:r>
    </w:p>
    <w:p w14:paraId="5D31B8B2" w14:textId="77777777" w:rsidR="00C91987" w:rsidRPr="001C693E" w:rsidRDefault="00C91987" w:rsidP="00C91987">
      <w:pPr>
        <w:rPr>
          <w:szCs w:val="22"/>
        </w:rPr>
      </w:pPr>
    </w:p>
    <w:p w14:paraId="57875ECD" w14:textId="77777777" w:rsidR="00C91987" w:rsidRPr="001C693E" w:rsidRDefault="00C91987" w:rsidP="00C91987">
      <w:pPr>
        <w:rPr>
          <w:szCs w:val="22"/>
        </w:rPr>
      </w:pPr>
      <w:r w:rsidRPr="001C693E">
        <w:rPr>
          <w:caps/>
          <w:szCs w:val="22"/>
        </w:rPr>
        <w:t>N</w:t>
      </w:r>
      <w:r w:rsidRPr="001C693E">
        <w:rPr>
          <w:szCs w:val="22"/>
        </w:rPr>
        <w:t xml:space="preserve">imbex tirpalas yra hipotoninis, jo negalima švirkšti į infuzinę kraujo transfuzijos sistemą. </w:t>
      </w:r>
    </w:p>
    <w:p w14:paraId="7F4CCC04" w14:textId="77777777" w:rsidR="00C91987" w:rsidRPr="001C693E" w:rsidRDefault="00C91987" w:rsidP="00C91987">
      <w:pPr>
        <w:rPr>
          <w:szCs w:val="22"/>
        </w:rPr>
      </w:pPr>
    </w:p>
    <w:p w14:paraId="403BA4B9" w14:textId="77777777" w:rsidR="00C91987" w:rsidRPr="001C693E" w:rsidRDefault="00C91987" w:rsidP="00C91987">
      <w:pPr>
        <w:pStyle w:val="Antrat7"/>
        <w:rPr>
          <w:b w:val="0"/>
          <w:bCs w:val="0"/>
          <w:i/>
          <w:iCs/>
          <w:sz w:val="22"/>
          <w:szCs w:val="22"/>
          <w:u w:val="single"/>
        </w:rPr>
      </w:pPr>
      <w:r w:rsidRPr="001C693E">
        <w:rPr>
          <w:b w:val="0"/>
          <w:bCs w:val="0"/>
          <w:i/>
          <w:iCs/>
          <w:sz w:val="22"/>
          <w:szCs w:val="22"/>
          <w:u w:val="single"/>
        </w:rPr>
        <w:t>Intensyviosios terapijos skyriaus (ITS) pacientai</w:t>
      </w:r>
    </w:p>
    <w:p w14:paraId="4B2B1D01" w14:textId="77777777" w:rsidR="00C91987" w:rsidRPr="001C693E" w:rsidRDefault="00C91987" w:rsidP="00C91987">
      <w:pPr>
        <w:rPr>
          <w:szCs w:val="22"/>
        </w:rPr>
      </w:pPr>
    </w:p>
    <w:p w14:paraId="50049A5C" w14:textId="77777777" w:rsidR="00C91987" w:rsidRPr="001C693E" w:rsidRDefault="00C91987" w:rsidP="00C91987">
      <w:pPr>
        <w:rPr>
          <w:szCs w:val="22"/>
        </w:rPr>
      </w:pPr>
      <w:r w:rsidRPr="001C693E">
        <w:rPr>
          <w:szCs w:val="22"/>
        </w:rPr>
        <w:t>Kai laboratoriniams gyvūnams skiriamos didelės dozės, laudanozinas, cisatrakurio ir atrakurio metabolitas, buvo siejamas su laikina hipotenzija, o kai kurioms gyvūnų rūšims jis dirgino smegenis. Jautriausioms gyvūnų rūšims šių reiškinių atsirado, kai laudanozino koncentracija plazmoje buvo panaši į nustatomą kai kuriems ITS pacientams po ilgalaikės atrakurio infuzijos.</w:t>
      </w:r>
    </w:p>
    <w:p w14:paraId="5BA2A3F2" w14:textId="77777777" w:rsidR="00C91987" w:rsidRPr="001C693E" w:rsidRDefault="00C91987" w:rsidP="00C91987">
      <w:pPr>
        <w:rPr>
          <w:szCs w:val="22"/>
        </w:rPr>
      </w:pPr>
    </w:p>
    <w:p w14:paraId="097863AB" w14:textId="77777777" w:rsidR="00C91987" w:rsidRPr="001C693E" w:rsidRDefault="00C91987" w:rsidP="00C91987">
      <w:pPr>
        <w:rPr>
          <w:szCs w:val="22"/>
        </w:rPr>
      </w:pPr>
      <w:r w:rsidRPr="001C693E">
        <w:rPr>
          <w:szCs w:val="22"/>
        </w:rPr>
        <w:t>Dėl mažesnio cisatrakurio infuzijos greičio poreikio, plazmos laudanozino koncentracija sudaro maždaug trečdalį koncentracijos, kuri būna po atrakurio infuzijos.</w:t>
      </w:r>
    </w:p>
    <w:p w14:paraId="6A94480C" w14:textId="77777777" w:rsidR="00C91987" w:rsidRPr="001C693E" w:rsidRDefault="00C91987" w:rsidP="00C91987">
      <w:pPr>
        <w:rPr>
          <w:szCs w:val="22"/>
        </w:rPr>
      </w:pPr>
    </w:p>
    <w:p w14:paraId="559CE5A6" w14:textId="77777777" w:rsidR="00C91987" w:rsidRPr="001C693E" w:rsidRDefault="00C91987" w:rsidP="00C91987">
      <w:pPr>
        <w:pStyle w:val="Pagrindinistekstas"/>
        <w:spacing w:after="0"/>
        <w:rPr>
          <w:szCs w:val="22"/>
        </w:rPr>
      </w:pPr>
      <w:r w:rsidRPr="001C693E">
        <w:rPr>
          <w:szCs w:val="22"/>
        </w:rPr>
        <w:t>Gauta pavienių pranešimų apie traukulius ITS pacientams, kurie gavo atrakurio ir kitų vaistų. Paprastai šiems pacientams būna vienas ar daugiau traukulius predisponuojančių veiksnių (pvz., galvos trauma, hipoksinė encefalopatija, smegenų edema, virusinis encefalitas, uremija). Priežastinis ryšis su laudanozinu nenustatytas.</w:t>
      </w:r>
    </w:p>
    <w:p w14:paraId="7F2303B7" w14:textId="77777777" w:rsidR="00C91987" w:rsidRPr="001C693E" w:rsidRDefault="00C91987" w:rsidP="00C91987">
      <w:pPr>
        <w:pStyle w:val="Pagrindinistekstas"/>
        <w:spacing w:after="0"/>
        <w:rPr>
          <w:szCs w:val="22"/>
        </w:rPr>
      </w:pPr>
    </w:p>
    <w:p w14:paraId="7D5291B1" w14:textId="77777777" w:rsidR="00C91987" w:rsidRPr="001C693E" w:rsidRDefault="00C91987" w:rsidP="00C91987">
      <w:pPr>
        <w:ind w:left="550" w:hanging="550"/>
        <w:rPr>
          <w:b/>
          <w:bCs/>
          <w:szCs w:val="22"/>
        </w:rPr>
      </w:pPr>
      <w:r w:rsidRPr="001C693E">
        <w:rPr>
          <w:b/>
          <w:bCs/>
          <w:szCs w:val="22"/>
        </w:rPr>
        <w:t>4.5</w:t>
      </w:r>
      <w:r w:rsidRPr="001C693E">
        <w:rPr>
          <w:b/>
          <w:bCs/>
          <w:szCs w:val="22"/>
        </w:rPr>
        <w:tab/>
        <w:t>Sąveika su kitais vaistiniais preparatais ir kitokia sąveika</w:t>
      </w:r>
    </w:p>
    <w:p w14:paraId="63AC2A36" w14:textId="77777777" w:rsidR="00C91987" w:rsidRPr="001C693E" w:rsidRDefault="00C91987" w:rsidP="00C91987">
      <w:pPr>
        <w:pStyle w:val="Pagrindinistekstas"/>
        <w:spacing w:after="0"/>
        <w:rPr>
          <w:szCs w:val="22"/>
        </w:rPr>
      </w:pPr>
    </w:p>
    <w:p w14:paraId="5EDC3DA5" w14:textId="77777777" w:rsidR="00C91987" w:rsidRPr="001C693E" w:rsidRDefault="00C91987" w:rsidP="00C91987">
      <w:pPr>
        <w:rPr>
          <w:szCs w:val="22"/>
        </w:rPr>
      </w:pPr>
      <w:r w:rsidRPr="001C693E">
        <w:rPr>
          <w:szCs w:val="22"/>
        </w:rPr>
        <w:t>Nustatyta, kad daugelis vaistų gali turėti įtakos nedepoliarizuojančių miorelaksantų poveikio stiprumui ir (ar) trukmei.</w:t>
      </w:r>
    </w:p>
    <w:p w14:paraId="4235CF96" w14:textId="77777777" w:rsidR="00C91987" w:rsidRPr="001C693E" w:rsidRDefault="00C91987" w:rsidP="00C91987">
      <w:pPr>
        <w:rPr>
          <w:szCs w:val="22"/>
        </w:rPr>
      </w:pPr>
    </w:p>
    <w:p w14:paraId="256995DF" w14:textId="77777777" w:rsidR="00C91987" w:rsidRPr="001C693E" w:rsidRDefault="00C91987" w:rsidP="00C91987">
      <w:pPr>
        <w:rPr>
          <w:szCs w:val="22"/>
        </w:rPr>
      </w:pPr>
      <w:r w:rsidRPr="001C693E">
        <w:rPr>
          <w:szCs w:val="22"/>
        </w:rPr>
        <w:t>Cisatrakurio poveikį stiprina:</w:t>
      </w:r>
    </w:p>
    <w:p w14:paraId="5EA74076" w14:textId="77777777" w:rsidR="00C91987" w:rsidRPr="001C693E" w:rsidRDefault="00C91987" w:rsidP="00C91987">
      <w:pPr>
        <w:rPr>
          <w:szCs w:val="22"/>
        </w:rPr>
      </w:pPr>
      <w:r w:rsidRPr="001C693E">
        <w:rPr>
          <w:szCs w:val="22"/>
        </w:rPr>
        <w:t>anestetikai, pvz., enfluranas, izofluranas, halotanas (žr. 4.2 skyrių) ir ketaminas, kiti nedepoliarizuojantys miorelaksantai ar kiti vaistai, pvz., antibiotikai (iš jų aminoglikozidai, polimiksinai, spektinomicinas, tetraciklinai, linkomicinas ir klindamicinas), antiaritminiai vaistai (iš jų propranololis, kalcio kanalų blokatoriai, lidokainas, prokainamidas ir chinidinas), diuretikai (iš jų furozemidas ir, galbūt, tiazidai, manitolis ir acetazolamidas), magnio ir ličio druskos bei ganglioblokatoriai (trimetafanas, heksametonis).</w:t>
      </w:r>
    </w:p>
    <w:p w14:paraId="5160CE66" w14:textId="77777777" w:rsidR="00C91987" w:rsidRPr="001C693E" w:rsidRDefault="00C91987" w:rsidP="00C91987">
      <w:pPr>
        <w:rPr>
          <w:szCs w:val="22"/>
        </w:rPr>
      </w:pPr>
    </w:p>
    <w:p w14:paraId="09DB0F9A" w14:textId="77777777" w:rsidR="00C91987" w:rsidRPr="001C693E" w:rsidRDefault="00C91987" w:rsidP="00C91987">
      <w:pPr>
        <w:pStyle w:val="Pagrindinistekstas"/>
        <w:spacing w:after="0"/>
        <w:rPr>
          <w:szCs w:val="22"/>
        </w:rPr>
      </w:pPr>
      <w:r w:rsidRPr="001C693E">
        <w:rPr>
          <w:szCs w:val="22"/>
        </w:rPr>
        <w:t xml:space="preserve">Retkarčiais kai kurie vaistiniai preparatai gali pasunkinti latentinę generalizuotą miasteniją ar sukelti miasteninį sindromą; gali padidinti jautrumą nedepoliarizuojantiems miorelaksantams. Tai įvairūs antibiotikai, </w:t>
      </w:r>
      <w:r w:rsidRPr="001C693E">
        <w:rPr>
          <w:szCs w:val="22"/>
        </w:rPr>
        <w:sym w:font="Symbol" w:char="F062"/>
      </w:r>
      <w:r w:rsidRPr="001C693E">
        <w:rPr>
          <w:szCs w:val="22"/>
        </w:rPr>
        <w:t xml:space="preserve"> adrenoblokatoriai (propranololis, oksprenololis), antiaritminiai vaistiniai preparatai (prokainamidas, chinidinas), antireumatiniai vaistiniai preparatai (chlorokvinas, D-penicilaminas), trimetafanas, chlorpromazinas, steroidai, fenitoinas ir litis.</w:t>
      </w:r>
    </w:p>
    <w:p w14:paraId="33F233AE" w14:textId="77777777" w:rsidR="00C91987" w:rsidRPr="001C693E" w:rsidRDefault="00C91987" w:rsidP="00C91987">
      <w:pPr>
        <w:rPr>
          <w:szCs w:val="22"/>
        </w:rPr>
      </w:pPr>
    </w:p>
    <w:p w14:paraId="6DB55E8B" w14:textId="77777777" w:rsidR="00C91987" w:rsidRPr="001C693E" w:rsidRDefault="00C91987" w:rsidP="00C91987">
      <w:pPr>
        <w:rPr>
          <w:szCs w:val="22"/>
        </w:rPr>
      </w:pPr>
      <w:r w:rsidRPr="001C693E">
        <w:rPr>
          <w:szCs w:val="22"/>
        </w:rPr>
        <w:t>Suksametonis, vartojamas nedepoliarizuojančių miorelaksantų poveikiui pailginti, gali sukelti ilgalaikę ir kompleksinę blokadą, kurią gali būti sunku pašalinti anticholinesterazinėmis medžiagomis.</w:t>
      </w:r>
    </w:p>
    <w:p w14:paraId="61F8ED82" w14:textId="77777777" w:rsidR="00C91987" w:rsidRPr="001C693E" w:rsidRDefault="00C91987" w:rsidP="00C91987">
      <w:pPr>
        <w:rPr>
          <w:szCs w:val="22"/>
        </w:rPr>
      </w:pPr>
    </w:p>
    <w:p w14:paraId="25BC8D8A" w14:textId="77777777" w:rsidR="00C91987" w:rsidRPr="001C693E" w:rsidRDefault="00C91987" w:rsidP="00C91987">
      <w:pPr>
        <w:rPr>
          <w:szCs w:val="22"/>
        </w:rPr>
      </w:pPr>
      <w:r w:rsidRPr="001C693E">
        <w:rPr>
          <w:szCs w:val="22"/>
          <w:u w:val="single"/>
        </w:rPr>
        <w:t>Cisatrakurio poveikį silpnina</w:t>
      </w:r>
    </w:p>
    <w:p w14:paraId="4D8E9D88" w14:textId="77777777" w:rsidR="00C91987" w:rsidRPr="001C693E" w:rsidRDefault="00C91987" w:rsidP="00C91987">
      <w:pPr>
        <w:rPr>
          <w:szCs w:val="22"/>
        </w:rPr>
      </w:pPr>
      <w:r w:rsidRPr="001C693E">
        <w:rPr>
          <w:szCs w:val="22"/>
        </w:rPr>
        <w:t xml:space="preserve">Susilpnėjęs cisatrakurio poveikis stebimas po ilgalaikio fenitoino ar karbamazepino vartojimo. </w:t>
      </w:r>
    </w:p>
    <w:p w14:paraId="733E3F4C" w14:textId="77777777" w:rsidR="00C91987" w:rsidRPr="001C693E" w:rsidRDefault="00C91987" w:rsidP="00C91987">
      <w:pPr>
        <w:pStyle w:val="Pagrindinistekstas"/>
        <w:spacing w:after="0"/>
        <w:rPr>
          <w:szCs w:val="22"/>
        </w:rPr>
      </w:pPr>
      <w:r w:rsidRPr="001C693E">
        <w:rPr>
          <w:szCs w:val="22"/>
        </w:rPr>
        <w:t>Vartojant cholinesterazės inhibitorius, kuriais paprastai gydoma Alzheimerio liga, pvz., donepezilą, gali sutrumpėti ir susilpnėti cisatrakurio sukelta nervų ir raumenų jungties blokada.</w:t>
      </w:r>
    </w:p>
    <w:p w14:paraId="360F3F18" w14:textId="77777777" w:rsidR="00C91987" w:rsidRPr="001C693E" w:rsidRDefault="00C91987" w:rsidP="00C91987">
      <w:pPr>
        <w:pStyle w:val="Pagrindinistekstas"/>
        <w:spacing w:after="0"/>
        <w:rPr>
          <w:szCs w:val="22"/>
        </w:rPr>
      </w:pPr>
    </w:p>
    <w:p w14:paraId="01F4588F" w14:textId="77777777" w:rsidR="00C91987" w:rsidRPr="001C693E" w:rsidRDefault="00C91987" w:rsidP="00C91987">
      <w:pPr>
        <w:pStyle w:val="Pagrindinistekstas"/>
        <w:spacing w:after="0"/>
        <w:rPr>
          <w:szCs w:val="22"/>
        </w:rPr>
      </w:pPr>
      <w:r w:rsidRPr="001C693E">
        <w:rPr>
          <w:szCs w:val="22"/>
          <w:u w:val="single"/>
        </w:rPr>
        <w:t>Neturi įtakos cisatrakurio poveikiui</w:t>
      </w:r>
    </w:p>
    <w:p w14:paraId="15F61B73" w14:textId="77777777" w:rsidR="00C91987" w:rsidRPr="001C693E" w:rsidRDefault="00C91987" w:rsidP="00C91987">
      <w:pPr>
        <w:rPr>
          <w:szCs w:val="22"/>
        </w:rPr>
      </w:pPr>
      <w:r w:rsidRPr="001C693E">
        <w:rPr>
          <w:szCs w:val="22"/>
        </w:rPr>
        <w:lastRenderedPageBreak/>
        <w:t xml:space="preserve">Prieš tai vartotas suksametonijus neveikia nervo-raumens blokados trukmės po </w:t>
      </w:r>
      <w:r w:rsidRPr="001C693E">
        <w:rPr>
          <w:caps/>
          <w:szCs w:val="22"/>
        </w:rPr>
        <w:t>N</w:t>
      </w:r>
      <w:r w:rsidRPr="001C693E">
        <w:rPr>
          <w:szCs w:val="22"/>
        </w:rPr>
        <w:t>imbex injekcijos , bei infuzijos greičio koreguoti nereikia.</w:t>
      </w:r>
    </w:p>
    <w:p w14:paraId="1D87D8C8" w14:textId="77777777" w:rsidR="00C91987" w:rsidRPr="001C693E" w:rsidRDefault="00C91987" w:rsidP="00C91987">
      <w:pPr>
        <w:pStyle w:val="Pagrindinistekstas"/>
        <w:spacing w:after="0"/>
        <w:rPr>
          <w:szCs w:val="22"/>
        </w:rPr>
      </w:pPr>
    </w:p>
    <w:p w14:paraId="7F943E81" w14:textId="77777777" w:rsidR="00C91987" w:rsidRPr="001C693E" w:rsidRDefault="00C91987" w:rsidP="00C91987">
      <w:pPr>
        <w:keepNext/>
        <w:ind w:left="550" w:hanging="550"/>
        <w:rPr>
          <w:b/>
          <w:bCs/>
          <w:szCs w:val="22"/>
        </w:rPr>
      </w:pPr>
      <w:r w:rsidRPr="001C693E">
        <w:rPr>
          <w:b/>
          <w:bCs/>
          <w:szCs w:val="22"/>
        </w:rPr>
        <w:t>4.6</w:t>
      </w:r>
      <w:r w:rsidRPr="001C693E">
        <w:rPr>
          <w:b/>
          <w:bCs/>
          <w:szCs w:val="22"/>
        </w:rPr>
        <w:tab/>
        <w:t>Vaisingumas, nėštumo ir žindymo laikotarpis</w:t>
      </w:r>
    </w:p>
    <w:p w14:paraId="752ED07F" w14:textId="77777777" w:rsidR="00C91987" w:rsidRPr="001C693E" w:rsidRDefault="00C91987" w:rsidP="00C91987">
      <w:pPr>
        <w:pStyle w:val="Pagrindinistekstas"/>
        <w:keepNext/>
        <w:spacing w:after="0"/>
        <w:rPr>
          <w:szCs w:val="22"/>
        </w:rPr>
      </w:pPr>
    </w:p>
    <w:p w14:paraId="20019F3C" w14:textId="77777777" w:rsidR="00C91987" w:rsidRPr="00581FD8" w:rsidRDefault="00C91987" w:rsidP="00C91987">
      <w:pPr>
        <w:pStyle w:val="Pagrindinistekstas"/>
        <w:spacing w:after="0"/>
        <w:rPr>
          <w:szCs w:val="22"/>
          <w:u w:val="single"/>
        </w:rPr>
      </w:pPr>
      <w:r w:rsidRPr="00581FD8">
        <w:rPr>
          <w:szCs w:val="22"/>
          <w:u w:val="single"/>
        </w:rPr>
        <w:t>Nėštumas</w:t>
      </w:r>
    </w:p>
    <w:p w14:paraId="79468773" w14:textId="77777777" w:rsidR="00C91987" w:rsidRPr="001C693E" w:rsidRDefault="00C91987" w:rsidP="00C91987">
      <w:pPr>
        <w:pStyle w:val="Pagrindinistekstas"/>
        <w:spacing w:after="0"/>
        <w:rPr>
          <w:szCs w:val="22"/>
        </w:rPr>
      </w:pPr>
      <w:r w:rsidRPr="001C693E">
        <w:rPr>
          <w:szCs w:val="22"/>
        </w:rPr>
        <w:t>Nėra pakankamai duomenų apie nėščiųjų Nimbex vartojimą. Tyrimų su gyvūnais nėra pakankamai, kad būtų nustatytas poveikis nėštumui, embriono ir (arba) vaisiaus vystymuisi, gimdymui ir pogimdyminiam vystymuisi (žr. 5.3 skyrių). Galima rizika žmonėms nežinoma.</w:t>
      </w:r>
    </w:p>
    <w:p w14:paraId="21C751FF" w14:textId="77777777" w:rsidR="00C91987" w:rsidRPr="001C693E" w:rsidRDefault="00C91987" w:rsidP="00C91987">
      <w:pPr>
        <w:pStyle w:val="Pagrindinistekstas"/>
        <w:spacing w:after="0"/>
        <w:rPr>
          <w:szCs w:val="22"/>
        </w:rPr>
      </w:pPr>
    </w:p>
    <w:p w14:paraId="76A169FE" w14:textId="77777777" w:rsidR="00C91987" w:rsidRPr="001C693E" w:rsidRDefault="00C91987" w:rsidP="00C91987">
      <w:pPr>
        <w:pStyle w:val="Pagrindinistekstas"/>
        <w:spacing w:after="0"/>
        <w:rPr>
          <w:szCs w:val="22"/>
        </w:rPr>
      </w:pPr>
      <w:r w:rsidRPr="001C693E">
        <w:rPr>
          <w:szCs w:val="22"/>
        </w:rPr>
        <w:t>Nimbex neskiriama nėščiosioms.</w:t>
      </w:r>
    </w:p>
    <w:p w14:paraId="296C249E" w14:textId="77777777" w:rsidR="00C91987" w:rsidRPr="001C693E" w:rsidRDefault="00C91987" w:rsidP="00C91987">
      <w:pPr>
        <w:rPr>
          <w:szCs w:val="22"/>
        </w:rPr>
      </w:pPr>
    </w:p>
    <w:p w14:paraId="34C5983E" w14:textId="77777777" w:rsidR="00C91987" w:rsidRPr="00581FD8" w:rsidRDefault="00C91987" w:rsidP="00C91987">
      <w:pPr>
        <w:rPr>
          <w:szCs w:val="22"/>
          <w:u w:val="single"/>
        </w:rPr>
      </w:pPr>
      <w:r w:rsidRPr="00581FD8">
        <w:rPr>
          <w:szCs w:val="22"/>
          <w:u w:val="single"/>
        </w:rPr>
        <w:t>Žindymas</w:t>
      </w:r>
    </w:p>
    <w:p w14:paraId="1B6E4A02" w14:textId="7B7FFD4E" w:rsidR="00C91987" w:rsidRDefault="00C91987" w:rsidP="00C91987">
      <w:pPr>
        <w:pStyle w:val="Pagrindinistekstas"/>
        <w:spacing w:after="0"/>
        <w:rPr>
          <w:szCs w:val="22"/>
        </w:rPr>
      </w:pPr>
      <w:r w:rsidRPr="001C693E">
        <w:rPr>
          <w:szCs w:val="22"/>
        </w:rPr>
        <w:t>Nežinoma, ar cisatrakurio ar jo metabolitų patenka į motinos pieną.</w:t>
      </w:r>
    </w:p>
    <w:p w14:paraId="78259052" w14:textId="541E84B6" w:rsidR="00AA583F" w:rsidRDefault="00AA583F" w:rsidP="00C91987">
      <w:pPr>
        <w:pStyle w:val="Pagrindinistekstas"/>
        <w:spacing w:after="0"/>
        <w:rPr>
          <w:szCs w:val="22"/>
        </w:rPr>
      </w:pPr>
    </w:p>
    <w:p w14:paraId="31D61BC0" w14:textId="35D69490" w:rsidR="00AA583F" w:rsidRPr="001C693E" w:rsidRDefault="00AA583F" w:rsidP="003667FE">
      <w:pPr>
        <w:pStyle w:val="Pagrindinistekstas"/>
        <w:rPr>
          <w:szCs w:val="22"/>
        </w:rPr>
      </w:pPr>
      <w:r w:rsidRPr="003C7660">
        <w:rPr>
          <w:szCs w:val="22"/>
        </w:rPr>
        <w:t>Negalima atmesti žindomam kūdikiui keliamo pavojaus. Visgi, dėl trumpo pusinės eliminacijos laiko, poveikio žindomam kūdikiui nėra tikimasi, jei motina pradeda žindyti po to, kai veikliosios medžiagos poveikis baigiasi. Dėl atsargumo, žindymas turėtų būti nutrauktas gydymo metu ir rekomenduojama susilaikyti nuo kito žindymo penkis cisatrakurio pusinės eliminacijos periodus, t.y. maždaug 3 valandas po paskutinės cisatrakurio dozės ar infuzijos pabaigos.</w:t>
      </w:r>
    </w:p>
    <w:p w14:paraId="7119ED24" w14:textId="77777777" w:rsidR="00C91987" w:rsidRPr="001C693E" w:rsidRDefault="00C91987" w:rsidP="00C91987">
      <w:pPr>
        <w:pStyle w:val="Pagrindinistekstas"/>
        <w:spacing w:after="0"/>
        <w:rPr>
          <w:szCs w:val="22"/>
        </w:rPr>
      </w:pPr>
    </w:p>
    <w:p w14:paraId="0AAB63AF" w14:textId="77777777" w:rsidR="00C91987" w:rsidRPr="00581FD8" w:rsidRDefault="00C91987" w:rsidP="00C91987">
      <w:pPr>
        <w:pStyle w:val="Pagrindinistekstas"/>
        <w:spacing w:after="0"/>
        <w:rPr>
          <w:szCs w:val="22"/>
          <w:u w:val="single"/>
        </w:rPr>
      </w:pPr>
      <w:r w:rsidRPr="00581FD8">
        <w:rPr>
          <w:szCs w:val="22"/>
          <w:u w:val="single"/>
        </w:rPr>
        <w:t>Vaisingumas</w:t>
      </w:r>
    </w:p>
    <w:p w14:paraId="6C1BEFBD" w14:textId="77777777" w:rsidR="00C91987" w:rsidRPr="001C693E" w:rsidRDefault="00C91987" w:rsidP="00C91987">
      <w:pPr>
        <w:pStyle w:val="Pagrindinistekstas"/>
        <w:spacing w:after="0"/>
        <w:rPr>
          <w:szCs w:val="22"/>
        </w:rPr>
      </w:pPr>
      <w:r w:rsidRPr="001C693E">
        <w:rPr>
          <w:szCs w:val="22"/>
        </w:rPr>
        <w:t>Vaisingumo tyrimų neatlikta.</w:t>
      </w:r>
    </w:p>
    <w:p w14:paraId="06C90439" w14:textId="77777777" w:rsidR="00C91987" w:rsidRPr="001C693E" w:rsidRDefault="00C91987" w:rsidP="00C91987">
      <w:pPr>
        <w:pStyle w:val="Pagrindinistekstas"/>
        <w:spacing w:after="0"/>
        <w:rPr>
          <w:szCs w:val="22"/>
        </w:rPr>
      </w:pPr>
    </w:p>
    <w:p w14:paraId="68B3BB2C" w14:textId="77777777" w:rsidR="00C91987" w:rsidRPr="001C693E" w:rsidRDefault="00C91987" w:rsidP="00C91987">
      <w:pPr>
        <w:ind w:left="550" w:hanging="550"/>
        <w:rPr>
          <w:b/>
          <w:bCs/>
          <w:szCs w:val="22"/>
        </w:rPr>
      </w:pPr>
      <w:r w:rsidRPr="001C693E">
        <w:rPr>
          <w:b/>
          <w:bCs/>
          <w:szCs w:val="22"/>
        </w:rPr>
        <w:t>4.7</w:t>
      </w:r>
      <w:r w:rsidRPr="001C693E">
        <w:rPr>
          <w:b/>
          <w:bCs/>
          <w:szCs w:val="22"/>
        </w:rPr>
        <w:tab/>
        <w:t>Poveikis gebėjimui vairuoti ir valdyti mechanizmus</w:t>
      </w:r>
    </w:p>
    <w:p w14:paraId="5220773A" w14:textId="77777777" w:rsidR="00C91987" w:rsidRPr="001C693E" w:rsidRDefault="00C91987" w:rsidP="00C91987">
      <w:pPr>
        <w:pStyle w:val="Pagrindinistekstas"/>
        <w:spacing w:after="0"/>
        <w:rPr>
          <w:szCs w:val="22"/>
        </w:rPr>
      </w:pPr>
    </w:p>
    <w:p w14:paraId="428AC9A8" w14:textId="77777777" w:rsidR="00C91987" w:rsidRPr="001C693E" w:rsidRDefault="00C91987" w:rsidP="00C91987">
      <w:pPr>
        <w:pStyle w:val="Pagrindinistekstas"/>
        <w:spacing w:after="0"/>
        <w:rPr>
          <w:szCs w:val="22"/>
        </w:rPr>
      </w:pPr>
      <w:r w:rsidRPr="001C693E">
        <w:rPr>
          <w:szCs w:val="22"/>
        </w:rPr>
        <w:t>Ši atsargumo priemonė nėra svarbi Nimbex vartojimui. Cisatrakuris visada skiriamas kartu su anestetiku, todėl reikia laikytis įprastinių atsargumo priemonių, susijusių su darbo atlikimu po bendrosios anestezijos.</w:t>
      </w:r>
    </w:p>
    <w:p w14:paraId="616706D9" w14:textId="77777777" w:rsidR="00C91987" w:rsidRPr="001C693E" w:rsidRDefault="00C91987" w:rsidP="00C91987">
      <w:pPr>
        <w:pStyle w:val="Pagrindinistekstas"/>
        <w:spacing w:after="0"/>
        <w:rPr>
          <w:szCs w:val="22"/>
        </w:rPr>
      </w:pPr>
    </w:p>
    <w:p w14:paraId="487EA459" w14:textId="77777777" w:rsidR="00C91987" w:rsidRPr="001C693E" w:rsidRDefault="00C91987" w:rsidP="00C91987">
      <w:pPr>
        <w:ind w:left="550" w:hanging="550"/>
        <w:rPr>
          <w:b/>
          <w:bCs/>
          <w:szCs w:val="22"/>
        </w:rPr>
      </w:pPr>
      <w:r w:rsidRPr="001C693E">
        <w:rPr>
          <w:b/>
          <w:bCs/>
          <w:szCs w:val="22"/>
        </w:rPr>
        <w:t>4.8</w:t>
      </w:r>
      <w:r w:rsidRPr="001C693E">
        <w:rPr>
          <w:b/>
          <w:bCs/>
          <w:szCs w:val="22"/>
        </w:rPr>
        <w:tab/>
        <w:t>Nepageidaujamas poveikis</w:t>
      </w:r>
    </w:p>
    <w:p w14:paraId="3D73CB4A" w14:textId="77777777" w:rsidR="00C91987" w:rsidRPr="001C693E" w:rsidRDefault="00C91987" w:rsidP="00C91987">
      <w:pPr>
        <w:pStyle w:val="Pagrindinistekstas"/>
        <w:spacing w:after="0"/>
        <w:rPr>
          <w:szCs w:val="22"/>
        </w:rPr>
      </w:pPr>
    </w:p>
    <w:p w14:paraId="1E4AB15F" w14:textId="77777777" w:rsidR="00C91987" w:rsidRPr="001C693E" w:rsidRDefault="00C91987" w:rsidP="00C91987">
      <w:pPr>
        <w:rPr>
          <w:szCs w:val="22"/>
        </w:rPr>
      </w:pPr>
      <w:r w:rsidRPr="001C693E">
        <w:rPr>
          <w:szCs w:val="22"/>
        </w:rPr>
        <w:t>Nepageidaujamo poveikio dažnis nustatytas remiantis bendrais vidinių klinikinių tyrimų duomenimis.</w:t>
      </w:r>
    </w:p>
    <w:p w14:paraId="32835B09" w14:textId="77777777" w:rsidR="00C91987" w:rsidRPr="001C693E" w:rsidRDefault="00C91987" w:rsidP="00C91987">
      <w:pPr>
        <w:rPr>
          <w:szCs w:val="22"/>
        </w:rPr>
      </w:pPr>
      <w:r w:rsidRPr="001C693E">
        <w:rPr>
          <w:szCs w:val="22"/>
        </w:rPr>
        <w:t>Nepageidaujamo poveikio dažnis apibūdinamas taip: labai dažnas (≥1/10), dažnas (nuo ≥1/100 iki &lt;1/10), nedažnas (nuo  ≥1/1000 iki &lt;1/100), retas (nuo ≥1/10 000 iki &lt;1/1000), labai retas (&lt;1/10 000) ir nežinomas (negali būti apskaičiuotas pagal turimus duomenis).</w:t>
      </w:r>
    </w:p>
    <w:p w14:paraId="744833B8" w14:textId="77777777" w:rsidR="00C91987" w:rsidRPr="001C693E" w:rsidRDefault="00C91987" w:rsidP="00C91987">
      <w:pPr>
        <w:rPr>
          <w:b/>
          <w:szCs w:val="22"/>
        </w:rPr>
      </w:pPr>
    </w:p>
    <w:p w14:paraId="10F516AD" w14:textId="77777777" w:rsidR="00C91987" w:rsidRPr="001C693E" w:rsidRDefault="00C91987" w:rsidP="00C91987">
      <w:pPr>
        <w:rPr>
          <w:szCs w:val="22"/>
          <w:u w:val="single"/>
        </w:rPr>
      </w:pPr>
      <w:r w:rsidRPr="001C693E">
        <w:rPr>
          <w:szCs w:val="22"/>
          <w:u w:val="single"/>
        </w:rPr>
        <w:t>Klinikinių tyrimų duomenys</w:t>
      </w:r>
    </w:p>
    <w:p w14:paraId="2573B601" w14:textId="77777777" w:rsidR="00C91987" w:rsidRPr="001C693E" w:rsidRDefault="00C91987" w:rsidP="00C91987">
      <w:pPr>
        <w:rPr>
          <w:szCs w:val="22"/>
        </w:rPr>
      </w:pPr>
    </w:p>
    <w:p w14:paraId="6319FEF5" w14:textId="77777777" w:rsidR="00C91987" w:rsidRPr="001C693E" w:rsidRDefault="00C91987" w:rsidP="00C91987">
      <w:pPr>
        <w:rPr>
          <w:i/>
          <w:szCs w:val="22"/>
        </w:rPr>
      </w:pPr>
      <w:r w:rsidRPr="001C693E">
        <w:rPr>
          <w:i/>
          <w:szCs w:val="22"/>
        </w:rPr>
        <w:t>Širdies sutrikimai</w:t>
      </w:r>
    </w:p>
    <w:p w14:paraId="7756D87D" w14:textId="77777777" w:rsidR="00C91987" w:rsidRPr="001C693E" w:rsidRDefault="00C91987" w:rsidP="00C91987">
      <w:pPr>
        <w:rPr>
          <w:szCs w:val="22"/>
        </w:rPr>
      </w:pPr>
      <w:r w:rsidRPr="001C693E">
        <w:rPr>
          <w:szCs w:val="22"/>
        </w:rPr>
        <w:t>Dažnas: bradikardija.</w:t>
      </w:r>
    </w:p>
    <w:p w14:paraId="59BC2B4B" w14:textId="77777777" w:rsidR="00C91987" w:rsidRPr="001C693E" w:rsidRDefault="00C91987" w:rsidP="00C91987">
      <w:pPr>
        <w:rPr>
          <w:b/>
          <w:szCs w:val="22"/>
        </w:rPr>
      </w:pPr>
    </w:p>
    <w:p w14:paraId="22D5CE10" w14:textId="77777777" w:rsidR="00C91987" w:rsidRPr="001C693E" w:rsidRDefault="00C91987" w:rsidP="00C91987">
      <w:pPr>
        <w:rPr>
          <w:i/>
          <w:szCs w:val="22"/>
        </w:rPr>
      </w:pPr>
      <w:r w:rsidRPr="001C693E">
        <w:rPr>
          <w:i/>
          <w:szCs w:val="22"/>
        </w:rPr>
        <w:t>Kraujagyslių sutrikimai</w:t>
      </w:r>
    </w:p>
    <w:p w14:paraId="7F4F1247" w14:textId="77777777" w:rsidR="00C91987" w:rsidRPr="001C693E" w:rsidRDefault="00C91987" w:rsidP="00C91987">
      <w:pPr>
        <w:rPr>
          <w:szCs w:val="22"/>
        </w:rPr>
      </w:pPr>
      <w:r w:rsidRPr="001C693E">
        <w:rPr>
          <w:szCs w:val="22"/>
        </w:rPr>
        <w:t>Dažnas: hipotenzija.</w:t>
      </w:r>
    </w:p>
    <w:p w14:paraId="177D1F2A" w14:textId="77777777" w:rsidR="00C91987" w:rsidRPr="001C693E" w:rsidRDefault="00C91987" w:rsidP="00C91987">
      <w:pPr>
        <w:rPr>
          <w:szCs w:val="22"/>
        </w:rPr>
      </w:pPr>
      <w:r w:rsidRPr="001C693E">
        <w:rPr>
          <w:szCs w:val="22"/>
        </w:rPr>
        <w:t>Nedažnas: odos paraudimas.</w:t>
      </w:r>
    </w:p>
    <w:p w14:paraId="36213AFE" w14:textId="77777777" w:rsidR="00C91987" w:rsidRPr="001C693E" w:rsidRDefault="00C91987" w:rsidP="00C91987">
      <w:pPr>
        <w:rPr>
          <w:b/>
          <w:szCs w:val="22"/>
        </w:rPr>
      </w:pPr>
    </w:p>
    <w:p w14:paraId="33E0E69C" w14:textId="77777777" w:rsidR="00C91987" w:rsidRPr="001C693E" w:rsidRDefault="00C91987" w:rsidP="00C91987">
      <w:pPr>
        <w:rPr>
          <w:i/>
          <w:szCs w:val="22"/>
        </w:rPr>
      </w:pPr>
      <w:r w:rsidRPr="001C693E">
        <w:rPr>
          <w:i/>
          <w:szCs w:val="22"/>
        </w:rPr>
        <w:t xml:space="preserve">Kvėpavimo sistemos, </w:t>
      </w:r>
      <w:r w:rsidRPr="001C693E">
        <w:rPr>
          <w:i/>
          <w:noProof/>
          <w:szCs w:val="22"/>
        </w:rPr>
        <w:t>krūtinės ląstos ir tarpuplaučio sutrikimai</w:t>
      </w:r>
    </w:p>
    <w:p w14:paraId="55FBBB53" w14:textId="77777777" w:rsidR="00C91987" w:rsidRPr="001C693E" w:rsidRDefault="00C91987" w:rsidP="00C91987">
      <w:pPr>
        <w:rPr>
          <w:szCs w:val="22"/>
        </w:rPr>
      </w:pPr>
      <w:r w:rsidRPr="001C693E">
        <w:rPr>
          <w:szCs w:val="22"/>
        </w:rPr>
        <w:t>Nedažnas: bronchų spazmas.</w:t>
      </w:r>
    </w:p>
    <w:p w14:paraId="354E3206" w14:textId="77777777" w:rsidR="00C91987" w:rsidRPr="001C693E" w:rsidRDefault="00C91987" w:rsidP="00C91987">
      <w:pPr>
        <w:rPr>
          <w:b/>
          <w:szCs w:val="22"/>
        </w:rPr>
      </w:pPr>
    </w:p>
    <w:p w14:paraId="13E1E5FA" w14:textId="77777777" w:rsidR="00C91987" w:rsidRPr="001C693E" w:rsidRDefault="00C91987" w:rsidP="00C91987">
      <w:pPr>
        <w:rPr>
          <w:i/>
          <w:szCs w:val="22"/>
        </w:rPr>
      </w:pPr>
      <w:r w:rsidRPr="001C693E">
        <w:rPr>
          <w:i/>
          <w:szCs w:val="22"/>
        </w:rPr>
        <w:t>Odos ir poodinio audinio sutrikimai</w:t>
      </w:r>
    </w:p>
    <w:p w14:paraId="5C405A78" w14:textId="77777777" w:rsidR="00C91987" w:rsidRPr="001C693E" w:rsidRDefault="00C91987" w:rsidP="00C91987">
      <w:pPr>
        <w:rPr>
          <w:szCs w:val="22"/>
          <w:u w:val="single"/>
        </w:rPr>
      </w:pPr>
      <w:r w:rsidRPr="001C693E">
        <w:rPr>
          <w:szCs w:val="22"/>
        </w:rPr>
        <w:t>Nedažnas: bėrimas.</w:t>
      </w:r>
    </w:p>
    <w:p w14:paraId="2BDBA5B5" w14:textId="77777777" w:rsidR="00C91987" w:rsidRPr="001C693E" w:rsidRDefault="00C91987" w:rsidP="00C91987">
      <w:pPr>
        <w:rPr>
          <w:b/>
          <w:szCs w:val="22"/>
        </w:rPr>
      </w:pPr>
    </w:p>
    <w:p w14:paraId="2470CAC0" w14:textId="77777777" w:rsidR="00C91987" w:rsidRPr="001C693E" w:rsidRDefault="00C91987" w:rsidP="00C91987">
      <w:pPr>
        <w:rPr>
          <w:szCs w:val="22"/>
          <w:u w:val="single"/>
        </w:rPr>
      </w:pPr>
      <w:r w:rsidRPr="001C693E">
        <w:rPr>
          <w:szCs w:val="22"/>
          <w:u w:val="single"/>
        </w:rPr>
        <w:t>Duomenys vaistą pateikus į rinką</w:t>
      </w:r>
    </w:p>
    <w:p w14:paraId="161EF1DB" w14:textId="77777777" w:rsidR="00C91987" w:rsidRPr="001C693E" w:rsidRDefault="00C91987" w:rsidP="00C91987">
      <w:pPr>
        <w:rPr>
          <w:b/>
          <w:i/>
          <w:szCs w:val="22"/>
        </w:rPr>
      </w:pPr>
    </w:p>
    <w:p w14:paraId="3C312AB0" w14:textId="77777777" w:rsidR="00C91987" w:rsidRPr="001C693E" w:rsidRDefault="00C91987" w:rsidP="00C91987">
      <w:pPr>
        <w:rPr>
          <w:i/>
          <w:szCs w:val="22"/>
        </w:rPr>
      </w:pPr>
      <w:r w:rsidRPr="001C693E">
        <w:rPr>
          <w:i/>
          <w:szCs w:val="22"/>
        </w:rPr>
        <w:lastRenderedPageBreak/>
        <w:t>Imuninės sistemos sutrikimai</w:t>
      </w:r>
    </w:p>
    <w:p w14:paraId="453F6A65" w14:textId="5A11942F" w:rsidR="00C91987" w:rsidRPr="001C693E" w:rsidRDefault="00C91987" w:rsidP="00C91987">
      <w:pPr>
        <w:rPr>
          <w:szCs w:val="22"/>
          <w:u w:val="single"/>
        </w:rPr>
      </w:pPr>
      <w:r w:rsidRPr="001C693E">
        <w:rPr>
          <w:szCs w:val="22"/>
        </w:rPr>
        <w:t>Labai retas: anafilaksinė reakcija</w:t>
      </w:r>
      <w:r w:rsidR="00AA583F">
        <w:rPr>
          <w:szCs w:val="22"/>
        </w:rPr>
        <w:t xml:space="preserve">, </w:t>
      </w:r>
      <w:r w:rsidR="00AA583F" w:rsidRPr="00AA583F">
        <w:rPr>
          <w:szCs w:val="22"/>
        </w:rPr>
        <w:t>anafilaksinis šokas</w:t>
      </w:r>
      <w:r w:rsidRPr="001C693E">
        <w:rPr>
          <w:szCs w:val="22"/>
        </w:rPr>
        <w:t>.</w:t>
      </w:r>
    </w:p>
    <w:p w14:paraId="2CE170F8" w14:textId="27A6AE10" w:rsidR="00C91987" w:rsidRPr="001C693E" w:rsidRDefault="00C91987" w:rsidP="00C91987">
      <w:pPr>
        <w:rPr>
          <w:szCs w:val="22"/>
        </w:rPr>
      </w:pPr>
      <w:r w:rsidRPr="001C693E">
        <w:rPr>
          <w:szCs w:val="22"/>
        </w:rPr>
        <w:t>Įvairaus sunkumo anafilaksinės reakcijos buvo pastebėtos pavartojus nervų ir raumenų jungtį blokuojančių preparatų</w:t>
      </w:r>
      <w:r w:rsidR="00AA583F" w:rsidRPr="003C7660">
        <w:rPr>
          <w:szCs w:val="22"/>
        </w:rPr>
        <w:t>, įskaitant anafilaksinį šoką</w:t>
      </w:r>
      <w:r w:rsidRPr="003C7660">
        <w:rPr>
          <w:szCs w:val="22"/>
        </w:rPr>
        <w:t>.</w:t>
      </w:r>
      <w:r w:rsidRPr="001C693E">
        <w:rPr>
          <w:szCs w:val="22"/>
        </w:rPr>
        <w:t xml:space="preserve"> Pranešta apie labai retai pasitaikiusias sunkias anafilaksines reakcijas, kurios pasireiškė pacientams, vartojusiems Nimbex kartu su vienu ar keliais anesteziniais preparatais.</w:t>
      </w:r>
    </w:p>
    <w:p w14:paraId="5FB7B07C" w14:textId="77777777" w:rsidR="00C91987" w:rsidRPr="001C693E" w:rsidRDefault="00C91987" w:rsidP="00C91987">
      <w:pPr>
        <w:rPr>
          <w:b/>
          <w:i/>
          <w:szCs w:val="22"/>
        </w:rPr>
      </w:pPr>
    </w:p>
    <w:p w14:paraId="24FA6F72" w14:textId="77777777" w:rsidR="00C91987" w:rsidRPr="001C693E" w:rsidRDefault="00C91987" w:rsidP="00C91987">
      <w:pPr>
        <w:rPr>
          <w:i/>
          <w:szCs w:val="22"/>
        </w:rPr>
      </w:pPr>
      <w:r w:rsidRPr="001C693E">
        <w:rPr>
          <w:i/>
          <w:noProof/>
          <w:szCs w:val="22"/>
        </w:rPr>
        <w:t>Skeleto, raumenų ir jungiamojo audinio sutrikimai</w:t>
      </w:r>
    </w:p>
    <w:p w14:paraId="36923F8E" w14:textId="77777777" w:rsidR="00C91987" w:rsidRPr="001C693E" w:rsidRDefault="00C91987" w:rsidP="00C91987">
      <w:pPr>
        <w:rPr>
          <w:szCs w:val="22"/>
        </w:rPr>
      </w:pPr>
      <w:r w:rsidRPr="001C693E">
        <w:rPr>
          <w:szCs w:val="22"/>
        </w:rPr>
        <w:t>Labai ret</w:t>
      </w:r>
      <w:r w:rsidR="00C51700" w:rsidRPr="001C693E">
        <w:rPr>
          <w:szCs w:val="22"/>
        </w:rPr>
        <w:t>as</w:t>
      </w:r>
      <w:r w:rsidRPr="001C693E">
        <w:rPr>
          <w:szCs w:val="22"/>
        </w:rPr>
        <w:t>: miopatija, raumenų silpnumas.</w:t>
      </w:r>
    </w:p>
    <w:p w14:paraId="239D0DF1" w14:textId="77777777" w:rsidR="00C91987" w:rsidRPr="001C693E" w:rsidRDefault="00C91987" w:rsidP="00C91987">
      <w:pPr>
        <w:rPr>
          <w:szCs w:val="22"/>
        </w:rPr>
      </w:pPr>
      <w:r w:rsidRPr="001C693E">
        <w:rPr>
          <w:szCs w:val="22"/>
        </w:rPr>
        <w:t>Gauta keletas pranešimų apie raumenų silpnumo ir (ar) miopatijos atvejus, pasireiškusius sunkiai sergantiems intensyvios terapijos skyriuje gydomiems pacientams, ilgai vartojusiems raumenų relaksantus. Dauguma pacientų kartu buvo gydomi kortikosteroidais. Šie atvejai vartojant Nimbex nebuvo dažni, ir priežastinis ryšys su juo nebuvo nustatytas.</w:t>
      </w:r>
    </w:p>
    <w:p w14:paraId="5B2CAAD8" w14:textId="77777777" w:rsidR="00C91987" w:rsidRPr="001C693E" w:rsidRDefault="00C91987" w:rsidP="00C91987">
      <w:pPr>
        <w:rPr>
          <w:b/>
          <w:bCs/>
          <w:szCs w:val="22"/>
        </w:rPr>
      </w:pPr>
    </w:p>
    <w:p w14:paraId="5BA30792" w14:textId="77777777" w:rsidR="00C91987" w:rsidRPr="001C693E" w:rsidRDefault="00C91987" w:rsidP="00C91987">
      <w:pPr>
        <w:autoSpaceDE w:val="0"/>
        <w:autoSpaceDN w:val="0"/>
        <w:adjustRightInd w:val="0"/>
        <w:jc w:val="both"/>
        <w:rPr>
          <w:szCs w:val="22"/>
          <w:u w:val="single"/>
        </w:rPr>
      </w:pPr>
      <w:r w:rsidRPr="001C693E">
        <w:rPr>
          <w:noProof/>
          <w:szCs w:val="22"/>
          <w:u w:val="single"/>
        </w:rPr>
        <w:t>Pranešimas apie įtariamas nepageidaujamas reakcijas</w:t>
      </w:r>
    </w:p>
    <w:p w14:paraId="1866437C" w14:textId="77777777" w:rsidR="00DD5740" w:rsidRPr="00837997" w:rsidRDefault="00DD5740" w:rsidP="00DD5740">
      <w:pPr>
        <w:autoSpaceDE w:val="0"/>
        <w:autoSpaceDN w:val="0"/>
        <w:adjustRightInd w:val="0"/>
        <w:jc w:val="both"/>
        <w:rPr>
          <w:noProof/>
          <w:szCs w:val="22"/>
        </w:rPr>
      </w:pPr>
      <w:r w:rsidRPr="00837997">
        <w:rPr>
          <w:noProof/>
          <w:szCs w:val="22"/>
        </w:rPr>
        <w:t>Svarbu pranešti apie įtariamas nepageidaujamas reakcijas, pastebėtas po vaistinio preparato registracijos, nes tai leidžia nuolat stebėti vaistinio preparato naudos ir rizikos santykį.</w:t>
      </w:r>
      <w:r w:rsidRPr="00837997">
        <w:rPr>
          <w:szCs w:val="22"/>
        </w:rPr>
        <w:t xml:space="preserve"> </w:t>
      </w:r>
      <w:r w:rsidRPr="00837997">
        <w:rPr>
          <w:noProof/>
          <w:szCs w:val="22"/>
        </w:rPr>
        <w:t>Sveikatos priežiūros specialistai turi pranešti apie bet kokias įtariamas nepageidaujamas reakcijas, užpildę interneto svetainėje http://</w:t>
      </w:r>
      <w:hyperlink r:id="rId8" w:history="1">
        <w:r w:rsidRPr="001C693E">
          <w:rPr>
            <w:rStyle w:val="Hipersaitas"/>
            <w:rFonts w:eastAsia="SimSun"/>
            <w:noProof/>
            <w:szCs w:val="22"/>
          </w:rPr>
          <w:t>www.vvkt.lt</w:t>
        </w:r>
      </w:hyperlink>
      <w:r w:rsidRPr="001C693E">
        <w:rPr>
          <w:noProof/>
          <w:szCs w:val="22"/>
        </w:rPr>
        <w:t xml:space="preserve">/ esančią formą, ir pateikti ją Valstybinei vaistų kontrolės tarnybai prie Lietuvos Respublikos sveikatos apsaugos ministerijos vienu iš šių būdų: raštu (adresu Žirmūnų g. 139A, LT 09120 Vilnius), faksu (nemokamu </w:t>
      </w:r>
      <w:r w:rsidRPr="00837997">
        <w:rPr>
          <w:noProof/>
          <w:szCs w:val="22"/>
        </w:rPr>
        <w:t xml:space="preserve">fakso numeriu (8 800) 20 131), elektroniniu paštu (adresu </w:t>
      </w:r>
      <w:hyperlink r:id="rId9" w:history="1">
        <w:r w:rsidRPr="001C693E">
          <w:rPr>
            <w:rStyle w:val="Hipersaitas"/>
            <w:rFonts w:eastAsia="SimSun"/>
            <w:noProof/>
            <w:szCs w:val="22"/>
          </w:rPr>
          <w:t>NepageidaujamaR@vvkt.lt</w:t>
        </w:r>
      </w:hyperlink>
      <w:r w:rsidRPr="001C693E">
        <w:rPr>
          <w:noProof/>
          <w:szCs w:val="22"/>
        </w:rPr>
        <w:t>), per interneto svetainę (</w:t>
      </w:r>
      <w:r w:rsidRPr="00837997">
        <w:rPr>
          <w:noProof/>
          <w:szCs w:val="22"/>
        </w:rPr>
        <w:t>adresu http://www.vvkt.lt).</w:t>
      </w:r>
    </w:p>
    <w:p w14:paraId="26379E8D" w14:textId="77777777" w:rsidR="00C91987" w:rsidRPr="001C693E" w:rsidRDefault="00C91987" w:rsidP="00C91987">
      <w:pPr>
        <w:rPr>
          <w:b/>
          <w:bCs/>
          <w:szCs w:val="22"/>
        </w:rPr>
      </w:pPr>
    </w:p>
    <w:p w14:paraId="3ECA4B08" w14:textId="77777777" w:rsidR="00C91987" w:rsidRPr="001C693E" w:rsidRDefault="00C91987" w:rsidP="00C91987">
      <w:pPr>
        <w:ind w:left="550" w:hanging="550"/>
        <w:rPr>
          <w:szCs w:val="22"/>
        </w:rPr>
      </w:pPr>
      <w:r w:rsidRPr="001C693E">
        <w:rPr>
          <w:b/>
          <w:bCs/>
          <w:szCs w:val="22"/>
        </w:rPr>
        <w:t>4.9</w:t>
      </w:r>
      <w:r w:rsidRPr="001C693E">
        <w:rPr>
          <w:b/>
          <w:bCs/>
          <w:szCs w:val="22"/>
        </w:rPr>
        <w:tab/>
        <w:t>Perdozavimas</w:t>
      </w:r>
    </w:p>
    <w:p w14:paraId="71AD5A81" w14:textId="77777777" w:rsidR="00C91987" w:rsidRPr="001C693E" w:rsidRDefault="00C91987" w:rsidP="00C91987">
      <w:pPr>
        <w:pStyle w:val="Pagrindinistekstas"/>
        <w:spacing w:after="0"/>
        <w:rPr>
          <w:szCs w:val="22"/>
        </w:rPr>
      </w:pPr>
    </w:p>
    <w:p w14:paraId="2275F695" w14:textId="77777777" w:rsidR="00C91987" w:rsidRPr="001C693E" w:rsidRDefault="00C91987" w:rsidP="00C91987">
      <w:pPr>
        <w:pStyle w:val="Pagrindinistekstas"/>
        <w:spacing w:after="0"/>
        <w:rPr>
          <w:bCs/>
          <w:i/>
          <w:iCs/>
          <w:szCs w:val="22"/>
        </w:rPr>
      </w:pPr>
      <w:r w:rsidRPr="001C693E">
        <w:rPr>
          <w:bCs/>
          <w:i/>
          <w:iCs/>
          <w:szCs w:val="22"/>
        </w:rPr>
        <w:t>Požymiai</w:t>
      </w:r>
    </w:p>
    <w:p w14:paraId="22818560" w14:textId="77777777" w:rsidR="00C91987" w:rsidRPr="001C693E" w:rsidRDefault="00C91987" w:rsidP="00C91987">
      <w:pPr>
        <w:pStyle w:val="Pagrindinistekstas"/>
        <w:spacing w:after="0"/>
        <w:rPr>
          <w:szCs w:val="22"/>
        </w:rPr>
      </w:pPr>
      <w:r w:rsidRPr="001C693E">
        <w:rPr>
          <w:szCs w:val="22"/>
        </w:rPr>
        <w:t xml:space="preserve">Manoma, kad pagrindiniai </w:t>
      </w:r>
      <w:r w:rsidRPr="001C693E">
        <w:rPr>
          <w:caps/>
          <w:szCs w:val="22"/>
        </w:rPr>
        <w:t>N</w:t>
      </w:r>
      <w:r w:rsidRPr="001C693E">
        <w:rPr>
          <w:szCs w:val="22"/>
        </w:rPr>
        <w:t>imbex perdozavimo požymiai būtų ilgalaikis raumenų paralyžius ir jo pasekmės.</w:t>
      </w:r>
    </w:p>
    <w:p w14:paraId="5DE68625" w14:textId="77777777" w:rsidR="00C91987" w:rsidRPr="001C693E" w:rsidRDefault="00C91987" w:rsidP="00C91987">
      <w:pPr>
        <w:pStyle w:val="Pagrindinistekstas"/>
        <w:spacing w:after="0"/>
        <w:rPr>
          <w:szCs w:val="22"/>
        </w:rPr>
      </w:pPr>
    </w:p>
    <w:p w14:paraId="6FB52436" w14:textId="77777777" w:rsidR="00C91987" w:rsidRPr="001C693E" w:rsidRDefault="00C91987" w:rsidP="00C91987">
      <w:pPr>
        <w:pStyle w:val="Antrat5"/>
        <w:rPr>
          <w:szCs w:val="22"/>
        </w:rPr>
      </w:pPr>
      <w:r w:rsidRPr="001C693E">
        <w:rPr>
          <w:szCs w:val="22"/>
        </w:rPr>
        <w:t>Gydymas</w:t>
      </w:r>
    </w:p>
    <w:p w14:paraId="133B259A" w14:textId="77777777" w:rsidR="00C91987" w:rsidRPr="001C693E" w:rsidRDefault="00C91987" w:rsidP="00C91987">
      <w:pPr>
        <w:rPr>
          <w:szCs w:val="22"/>
        </w:rPr>
      </w:pPr>
      <w:r w:rsidRPr="001C693E">
        <w:rPr>
          <w:szCs w:val="22"/>
        </w:rPr>
        <w:t xml:space="preserve">Svarbiausia priemonė – palaikyti plaučių ventiliaciją ir arterinę oksigenaciją tol, kol atsistatys adekvatus spontaninis kvėpavimas. Būtina visiška sedacija, nes </w:t>
      </w:r>
      <w:r w:rsidRPr="001C693E">
        <w:rPr>
          <w:caps/>
          <w:szCs w:val="22"/>
        </w:rPr>
        <w:t>N</w:t>
      </w:r>
      <w:r w:rsidRPr="001C693E">
        <w:rPr>
          <w:szCs w:val="22"/>
        </w:rPr>
        <w:t>imbex sąmonės neslopina. Atsigavimą galima pagreitinti skiriant anticholinesterazinių medžiagų, kai stebima spontaninio atsigavimo požymių.</w:t>
      </w:r>
    </w:p>
    <w:p w14:paraId="5F1E53B2" w14:textId="77777777" w:rsidR="00C91987" w:rsidRPr="001C693E" w:rsidRDefault="00C91987" w:rsidP="00C91987">
      <w:pPr>
        <w:pStyle w:val="Pagrindinistekstas"/>
        <w:spacing w:after="0"/>
        <w:rPr>
          <w:szCs w:val="22"/>
        </w:rPr>
      </w:pPr>
    </w:p>
    <w:p w14:paraId="297DA9D5" w14:textId="77777777" w:rsidR="00C91987" w:rsidRPr="001C693E" w:rsidRDefault="00C91987" w:rsidP="00C91987">
      <w:pPr>
        <w:pStyle w:val="Pagrindinistekstas"/>
        <w:spacing w:after="0"/>
        <w:rPr>
          <w:szCs w:val="22"/>
        </w:rPr>
      </w:pPr>
    </w:p>
    <w:p w14:paraId="54E925DF" w14:textId="77777777" w:rsidR="00C91987" w:rsidRPr="001C693E" w:rsidRDefault="00C91987" w:rsidP="00C91987">
      <w:pPr>
        <w:pStyle w:val="Antrat2"/>
        <w:rPr>
          <w:szCs w:val="22"/>
        </w:rPr>
      </w:pPr>
      <w:r w:rsidRPr="001C693E">
        <w:rPr>
          <w:szCs w:val="22"/>
        </w:rPr>
        <w:t>5.</w:t>
      </w:r>
      <w:r w:rsidRPr="001C693E">
        <w:rPr>
          <w:szCs w:val="22"/>
        </w:rPr>
        <w:tab/>
        <w:t xml:space="preserve">FARMAKOLOGINĖS </w:t>
      </w:r>
      <w:r w:rsidRPr="001C693E">
        <w:rPr>
          <w:caps/>
          <w:szCs w:val="22"/>
        </w:rPr>
        <w:t>savybės</w:t>
      </w:r>
    </w:p>
    <w:p w14:paraId="0F5EBF85" w14:textId="77777777" w:rsidR="00C91987" w:rsidRPr="001C693E" w:rsidRDefault="00C91987" w:rsidP="00C91987">
      <w:pPr>
        <w:pStyle w:val="Pagrindinistekstas"/>
        <w:spacing w:after="0"/>
        <w:rPr>
          <w:szCs w:val="22"/>
        </w:rPr>
      </w:pPr>
    </w:p>
    <w:p w14:paraId="40E60D2F" w14:textId="77777777" w:rsidR="00C91987" w:rsidRPr="001C693E" w:rsidRDefault="00C91987" w:rsidP="00C91987">
      <w:pPr>
        <w:ind w:left="550" w:hanging="550"/>
        <w:rPr>
          <w:b/>
          <w:bCs/>
          <w:szCs w:val="22"/>
        </w:rPr>
      </w:pPr>
      <w:r w:rsidRPr="001C693E">
        <w:rPr>
          <w:b/>
          <w:bCs/>
          <w:szCs w:val="22"/>
        </w:rPr>
        <w:t>5.1</w:t>
      </w:r>
      <w:r w:rsidRPr="001C693E">
        <w:rPr>
          <w:b/>
          <w:bCs/>
          <w:szCs w:val="22"/>
        </w:rPr>
        <w:tab/>
        <w:t>Farmakodinaminės savybės</w:t>
      </w:r>
    </w:p>
    <w:p w14:paraId="5494A2EF" w14:textId="77777777" w:rsidR="00C91987" w:rsidRPr="001C693E" w:rsidRDefault="00C91987" w:rsidP="00C91987">
      <w:pPr>
        <w:pStyle w:val="Pagrindinistekstas"/>
        <w:spacing w:after="0"/>
        <w:rPr>
          <w:szCs w:val="22"/>
        </w:rPr>
      </w:pPr>
    </w:p>
    <w:p w14:paraId="653B8303" w14:textId="77777777" w:rsidR="00C91987" w:rsidRPr="001C693E" w:rsidRDefault="00C91987" w:rsidP="00C91987">
      <w:pPr>
        <w:pStyle w:val="Pagrindinistekstas"/>
        <w:spacing w:after="0"/>
        <w:rPr>
          <w:szCs w:val="22"/>
        </w:rPr>
      </w:pPr>
      <w:r w:rsidRPr="001C693E">
        <w:rPr>
          <w:szCs w:val="22"/>
        </w:rPr>
        <w:t>Farmakoterapinė grupė – periferiniai miorelaksantai, ATC kodas – M03AC11.</w:t>
      </w:r>
    </w:p>
    <w:p w14:paraId="371E0247" w14:textId="77777777" w:rsidR="00C91987" w:rsidRPr="001C693E" w:rsidRDefault="00C91987" w:rsidP="00C91987">
      <w:pPr>
        <w:pStyle w:val="Pagrindinistekstas"/>
        <w:spacing w:after="0"/>
        <w:rPr>
          <w:szCs w:val="22"/>
        </w:rPr>
      </w:pPr>
    </w:p>
    <w:p w14:paraId="154A1EC2" w14:textId="77777777" w:rsidR="00C91987" w:rsidRPr="001C693E" w:rsidRDefault="00C91987" w:rsidP="00C91987">
      <w:pPr>
        <w:rPr>
          <w:szCs w:val="22"/>
        </w:rPr>
      </w:pPr>
      <w:r w:rsidRPr="001C693E">
        <w:rPr>
          <w:szCs w:val="22"/>
        </w:rPr>
        <w:t>Cisatrakuris yra vidutinės veikimo trukmės, nedepoliarizuojantis benzilizokvinolinio miorelaksantas.</w:t>
      </w:r>
    </w:p>
    <w:p w14:paraId="578ABE75" w14:textId="77777777" w:rsidR="00C91987" w:rsidRPr="001C693E" w:rsidRDefault="00C91987" w:rsidP="00C91987">
      <w:pPr>
        <w:pStyle w:val="Porat"/>
        <w:tabs>
          <w:tab w:val="clear" w:pos="4153"/>
          <w:tab w:val="clear" w:pos="8306"/>
        </w:tabs>
        <w:rPr>
          <w:szCs w:val="22"/>
        </w:rPr>
      </w:pPr>
    </w:p>
    <w:p w14:paraId="00B98160" w14:textId="77777777" w:rsidR="00C91987" w:rsidRPr="001C693E" w:rsidRDefault="00C91987" w:rsidP="00C91987">
      <w:pPr>
        <w:pStyle w:val="Pagrindinistekstas"/>
        <w:spacing w:after="0"/>
        <w:rPr>
          <w:szCs w:val="22"/>
        </w:rPr>
      </w:pPr>
      <w:r w:rsidRPr="001C693E">
        <w:rPr>
          <w:szCs w:val="22"/>
        </w:rPr>
        <w:t xml:space="preserve">Klinikiniai žmonių tyrimai parodė, kad </w:t>
      </w:r>
      <w:r w:rsidRPr="001C693E">
        <w:rPr>
          <w:caps/>
          <w:szCs w:val="22"/>
        </w:rPr>
        <w:t>N</w:t>
      </w:r>
      <w:r w:rsidRPr="001C693E">
        <w:rPr>
          <w:szCs w:val="22"/>
        </w:rPr>
        <w:t>imbex nesusijęs su nuo dozės priklausomu histamino išlaisvinimu, kai vartojamos dozės mažesnės kaip 8</w:t>
      </w:r>
      <w:r w:rsidRPr="001C693E">
        <w:rPr>
          <w:szCs w:val="22"/>
        </w:rPr>
        <w:sym w:font="Symbol" w:char="F0B4"/>
      </w:r>
      <w:r w:rsidRPr="001C693E">
        <w:rPr>
          <w:szCs w:val="22"/>
        </w:rPr>
        <w:t>ED</w:t>
      </w:r>
      <w:r w:rsidRPr="001C693E">
        <w:rPr>
          <w:szCs w:val="22"/>
          <w:vertAlign w:val="subscript"/>
        </w:rPr>
        <w:t>95</w:t>
      </w:r>
      <w:r w:rsidRPr="001C693E">
        <w:rPr>
          <w:szCs w:val="22"/>
        </w:rPr>
        <w:t>.</w:t>
      </w:r>
    </w:p>
    <w:p w14:paraId="67A4DE72" w14:textId="77777777" w:rsidR="00C91987" w:rsidRPr="001C693E" w:rsidRDefault="00C91987" w:rsidP="00C91987">
      <w:pPr>
        <w:pStyle w:val="Pagrindinistekstas"/>
        <w:spacing w:after="0"/>
        <w:rPr>
          <w:szCs w:val="22"/>
        </w:rPr>
      </w:pPr>
    </w:p>
    <w:p w14:paraId="3AF69973" w14:textId="77777777" w:rsidR="00C91987" w:rsidRPr="001C693E" w:rsidRDefault="00C91987" w:rsidP="00C91987">
      <w:pPr>
        <w:rPr>
          <w:szCs w:val="22"/>
        </w:rPr>
      </w:pPr>
      <w:r w:rsidRPr="001C693E">
        <w:rPr>
          <w:szCs w:val="22"/>
        </w:rPr>
        <w:t>Cisatrakuris jungiasi prie motorinių plokštelių cholino receptorių ir slopina acetilcholino poveikį, sukeldamas konkurencinę nervo-raumens perdavimo blokadą. Šį poveikį slopina anticholinesterazinės medžiagos, pvz., neostigminas ar edrofonijus.</w:t>
      </w:r>
    </w:p>
    <w:p w14:paraId="2169B482" w14:textId="77777777" w:rsidR="00C91987" w:rsidRPr="001C693E" w:rsidRDefault="00C91987" w:rsidP="00C91987">
      <w:pPr>
        <w:rPr>
          <w:szCs w:val="22"/>
        </w:rPr>
      </w:pPr>
    </w:p>
    <w:p w14:paraId="6F3EAFFF" w14:textId="77777777" w:rsidR="00C91987" w:rsidRPr="001C693E" w:rsidRDefault="00C91987" w:rsidP="00C91987">
      <w:pPr>
        <w:rPr>
          <w:szCs w:val="22"/>
        </w:rPr>
      </w:pPr>
      <w:r w:rsidRPr="001C693E">
        <w:rPr>
          <w:szCs w:val="22"/>
        </w:rPr>
        <w:t>Cisatrakurio ED</w:t>
      </w:r>
      <w:r w:rsidRPr="001C693E">
        <w:rPr>
          <w:szCs w:val="22"/>
          <w:vertAlign w:val="subscript"/>
        </w:rPr>
        <w:t>95</w:t>
      </w:r>
      <w:r w:rsidRPr="001C693E">
        <w:rPr>
          <w:szCs w:val="22"/>
        </w:rPr>
        <w:t xml:space="preserve"> (dozė, reikalinga </w:t>
      </w:r>
      <w:r w:rsidRPr="001C693E">
        <w:rPr>
          <w:i/>
          <w:szCs w:val="22"/>
        </w:rPr>
        <w:t>m. adductor pollicis</w:t>
      </w:r>
      <w:r w:rsidRPr="001C693E">
        <w:rPr>
          <w:szCs w:val="22"/>
        </w:rPr>
        <w:t xml:space="preserve"> trukčiojimo atsakui nuslopinti 95% po alkūnės nervo stimuliacijos) yra 0,05 mg/kg kūno svorio opioidų (tiopentalio/fentanilio/midazolamo) anestezijos metu.</w:t>
      </w:r>
    </w:p>
    <w:p w14:paraId="52F2C27F" w14:textId="77777777" w:rsidR="00C91987" w:rsidRPr="001C693E" w:rsidRDefault="00C91987" w:rsidP="00C91987">
      <w:pPr>
        <w:rPr>
          <w:szCs w:val="22"/>
        </w:rPr>
      </w:pPr>
    </w:p>
    <w:p w14:paraId="461C5B87" w14:textId="77777777" w:rsidR="00C91987" w:rsidRPr="001C693E" w:rsidRDefault="00C91987" w:rsidP="00C91987">
      <w:pPr>
        <w:rPr>
          <w:szCs w:val="22"/>
        </w:rPr>
      </w:pPr>
      <w:r w:rsidRPr="001C693E">
        <w:rPr>
          <w:szCs w:val="22"/>
        </w:rPr>
        <w:t>Cisatrakurio ED</w:t>
      </w:r>
      <w:r w:rsidRPr="001C693E">
        <w:rPr>
          <w:szCs w:val="22"/>
          <w:vertAlign w:val="subscript"/>
        </w:rPr>
        <w:t>95</w:t>
      </w:r>
      <w:r w:rsidRPr="001C693E">
        <w:rPr>
          <w:szCs w:val="22"/>
        </w:rPr>
        <w:t xml:space="preserve"> vaikams halotano anestezijos metu yra 0,04 mg/kg.</w:t>
      </w:r>
    </w:p>
    <w:p w14:paraId="48F01845" w14:textId="77777777" w:rsidR="00C91987" w:rsidRPr="001C693E" w:rsidRDefault="00C91987" w:rsidP="00C91987">
      <w:pPr>
        <w:rPr>
          <w:b/>
          <w:bCs/>
          <w:szCs w:val="22"/>
        </w:rPr>
      </w:pPr>
    </w:p>
    <w:p w14:paraId="3DDFDAD2" w14:textId="77777777" w:rsidR="00C91987" w:rsidRPr="001C693E" w:rsidRDefault="00C91987" w:rsidP="00C91987">
      <w:pPr>
        <w:ind w:left="550" w:hanging="550"/>
        <w:rPr>
          <w:szCs w:val="22"/>
        </w:rPr>
      </w:pPr>
      <w:r w:rsidRPr="001C693E">
        <w:rPr>
          <w:b/>
          <w:bCs/>
          <w:szCs w:val="22"/>
        </w:rPr>
        <w:t>5.2</w:t>
      </w:r>
      <w:r w:rsidRPr="001C693E">
        <w:rPr>
          <w:b/>
          <w:bCs/>
          <w:szCs w:val="22"/>
        </w:rPr>
        <w:tab/>
        <w:t>Farmakokinetinės savybės</w:t>
      </w:r>
    </w:p>
    <w:p w14:paraId="4FDA7644" w14:textId="77777777" w:rsidR="00C91987" w:rsidRPr="001C693E" w:rsidRDefault="00C91987" w:rsidP="00C91987">
      <w:pPr>
        <w:pStyle w:val="Pagrindinistekstas"/>
        <w:spacing w:after="0"/>
        <w:rPr>
          <w:szCs w:val="22"/>
        </w:rPr>
      </w:pPr>
    </w:p>
    <w:p w14:paraId="0AF7EF97" w14:textId="77777777" w:rsidR="00C91987" w:rsidRPr="001C693E" w:rsidRDefault="00C91987" w:rsidP="00C91987">
      <w:pPr>
        <w:rPr>
          <w:szCs w:val="22"/>
        </w:rPr>
      </w:pPr>
      <w:r w:rsidRPr="001C693E">
        <w:rPr>
          <w:szCs w:val="22"/>
        </w:rPr>
        <w:t xml:space="preserve">Kai organizme yra fiziologiniai pH ir temperatūra, cisatrakuris skyla pagal Hofmann eliminaciją (cheminį procesą), susidaro laudanozinas ir monoketvirtinio akrilato metabolitas. Šį monoketvirtinį akrilatą toliau hidrolizuoja nespecifinės plazmos esterazės, ir susidaro monoketvirtinio alkoholio metabolitas. Cisatrakurio eliminacija nuo organų labai nepriklauso, tačiau kepenys ir inkstai yra pagrindinės jo metabolitų klirenso vietos. </w:t>
      </w:r>
    </w:p>
    <w:p w14:paraId="64AF2202" w14:textId="77777777" w:rsidR="00C91987" w:rsidRPr="001C693E" w:rsidRDefault="00C91987" w:rsidP="00C91987">
      <w:pPr>
        <w:rPr>
          <w:szCs w:val="22"/>
        </w:rPr>
      </w:pPr>
    </w:p>
    <w:p w14:paraId="2DB8A2BC" w14:textId="77777777" w:rsidR="00C91987" w:rsidRPr="001C693E" w:rsidRDefault="00C91987" w:rsidP="00C91987">
      <w:pPr>
        <w:rPr>
          <w:szCs w:val="22"/>
        </w:rPr>
      </w:pPr>
      <w:r w:rsidRPr="001C693E">
        <w:rPr>
          <w:szCs w:val="22"/>
        </w:rPr>
        <w:t>Šiems metabolitams nebūdingas miorelaksuojantis poveikis.</w:t>
      </w:r>
    </w:p>
    <w:p w14:paraId="1F47D161" w14:textId="77777777" w:rsidR="00C91987" w:rsidRPr="001C693E" w:rsidRDefault="00C91987" w:rsidP="00C91987">
      <w:pPr>
        <w:rPr>
          <w:szCs w:val="22"/>
        </w:rPr>
      </w:pPr>
    </w:p>
    <w:p w14:paraId="213829DE" w14:textId="77777777" w:rsidR="00C91987" w:rsidRPr="001C693E" w:rsidRDefault="00C91987" w:rsidP="00C91987">
      <w:pPr>
        <w:pStyle w:val="Antrat5"/>
        <w:rPr>
          <w:bCs/>
          <w:szCs w:val="22"/>
          <w:u w:val="single"/>
        </w:rPr>
      </w:pPr>
      <w:r w:rsidRPr="001C693E">
        <w:rPr>
          <w:bCs/>
          <w:szCs w:val="22"/>
          <w:u w:val="single"/>
        </w:rPr>
        <w:t>Suaugusių žmonių farmakokinetika</w:t>
      </w:r>
    </w:p>
    <w:p w14:paraId="02AAE2E6" w14:textId="77777777" w:rsidR="00C91987" w:rsidRPr="001C693E" w:rsidRDefault="00C91987" w:rsidP="00C91987">
      <w:pPr>
        <w:rPr>
          <w:szCs w:val="22"/>
        </w:rPr>
      </w:pPr>
    </w:p>
    <w:p w14:paraId="70CF3C56" w14:textId="77777777" w:rsidR="00C91987" w:rsidRPr="001C693E" w:rsidRDefault="00C91987" w:rsidP="00C91987">
      <w:pPr>
        <w:rPr>
          <w:szCs w:val="22"/>
        </w:rPr>
      </w:pPr>
      <w:r w:rsidRPr="001C693E">
        <w:rPr>
          <w:szCs w:val="22"/>
        </w:rPr>
        <w:t xml:space="preserve">Cisatrakurio farmakokinetikos rodikliai nepriklauso nuo dozės, kai ji yra tirtose ribose (0,1-0,2 mg/kg, t.y. 2-4 </w:t>
      </w:r>
      <w:r w:rsidRPr="001C693E">
        <w:rPr>
          <w:szCs w:val="22"/>
        </w:rPr>
        <w:sym w:font="Symbol" w:char="F0B4"/>
      </w:r>
      <w:r w:rsidRPr="001C693E">
        <w:rPr>
          <w:szCs w:val="22"/>
        </w:rPr>
        <w:t xml:space="preserve"> ED</w:t>
      </w:r>
      <w:r w:rsidRPr="001C693E">
        <w:rPr>
          <w:szCs w:val="22"/>
          <w:vertAlign w:val="subscript"/>
        </w:rPr>
        <w:t>95</w:t>
      </w:r>
      <w:r w:rsidRPr="001C693E">
        <w:rPr>
          <w:szCs w:val="22"/>
        </w:rPr>
        <w:t>).</w:t>
      </w:r>
    </w:p>
    <w:p w14:paraId="594AA495" w14:textId="77777777" w:rsidR="00C91987" w:rsidRPr="001C693E" w:rsidRDefault="00C91987" w:rsidP="00C91987">
      <w:pPr>
        <w:rPr>
          <w:szCs w:val="22"/>
        </w:rPr>
      </w:pPr>
    </w:p>
    <w:p w14:paraId="1F98C3EB" w14:textId="77777777" w:rsidR="00C91987" w:rsidRPr="001C693E" w:rsidRDefault="00C91987" w:rsidP="00C91987">
      <w:pPr>
        <w:rPr>
          <w:szCs w:val="22"/>
        </w:rPr>
      </w:pPr>
      <w:r w:rsidRPr="001C693E">
        <w:rPr>
          <w:szCs w:val="22"/>
        </w:rPr>
        <w:t>Populiacijos farmakokinetikos modeliavimas patvirtina ir padidina šias ribas iki 0,4 mg/kg (8</w:t>
      </w:r>
      <w:r w:rsidRPr="001C693E">
        <w:rPr>
          <w:szCs w:val="22"/>
        </w:rPr>
        <w:sym w:font="Symbol" w:char="F0B4"/>
      </w:r>
      <w:r w:rsidRPr="001C693E">
        <w:rPr>
          <w:szCs w:val="22"/>
        </w:rPr>
        <w:t>ED</w:t>
      </w:r>
      <w:r w:rsidRPr="001C693E">
        <w:rPr>
          <w:szCs w:val="22"/>
          <w:vertAlign w:val="subscript"/>
        </w:rPr>
        <w:t>95</w:t>
      </w:r>
      <w:r w:rsidRPr="001C693E">
        <w:rPr>
          <w:szCs w:val="22"/>
        </w:rPr>
        <w:t xml:space="preserve">). 6 lentelėje nurodyti chirurginių pacientų (kuriems nebuvo kitos patologijos) 0,1-0,2 mg/kg </w:t>
      </w:r>
      <w:r w:rsidRPr="001C693E">
        <w:rPr>
          <w:caps/>
          <w:szCs w:val="22"/>
        </w:rPr>
        <w:t>N</w:t>
      </w:r>
      <w:r w:rsidRPr="001C693E">
        <w:rPr>
          <w:szCs w:val="22"/>
        </w:rPr>
        <w:t>imbex dozės farmakokinetikos rodikliai.</w:t>
      </w:r>
    </w:p>
    <w:p w14:paraId="42A0D567" w14:textId="77777777" w:rsidR="00C91987" w:rsidRPr="001C693E" w:rsidRDefault="00C91987" w:rsidP="00C91987">
      <w:pPr>
        <w:rPr>
          <w:szCs w:val="22"/>
        </w:rPr>
      </w:pPr>
    </w:p>
    <w:p w14:paraId="2F27B1C0" w14:textId="77777777" w:rsidR="00C91987" w:rsidRPr="001C693E" w:rsidRDefault="00C91987" w:rsidP="00C91987">
      <w:pPr>
        <w:rPr>
          <w:szCs w:val="22"/>
        </w:rPr>
      </w:pPr>
      <w:r w:rsidRPr="001C693E">
        <w:rPr>
          <w:szCs w:val="22"/>
        </w:rPr>
        <w:t xml:space="preserve">6 lentelė. Chirurginių pacientų (kuriems nebuvo kitos patologijos) 0,1-0,2 mg/kg </w:t>
      </w:r>
      <w:r w:rsidRPr="001C693E">
        <w:rPr>
          <w:caps/>
          <w:szCs w:val="22"/>
        </w:rPr>
        <w:t>N</w:t>
      </w:r>
      <w:r w:rsidRPr="001C693E">
        <w:rPr>
          <w:szCs w:val="22"/>
        </w:rPr>
        <w:t>imbex dozės farmakokinetikos rodikliai.</w:t>
      </w:r>
    </w:p>
    <w:p w14:paraId="20DAEAB8" w14:textId="77777777" w:rsidR="00C91987" w:rsidRPr="001C693E" w:rsidRDefault="00C91987" w:rsidP="00C91987">
      <w:pPr>
        <w:rPr>
          <w:szCs w:val="22"/>
        </w:rPr>
      </w:pPr>
    </w:p>
    <w:tbl>
      <w:tblPr>
        <w:tblW w:w="0" w:type="auto"/>
        <w:tblInd w:w="107" w:type="dxa"/>
        <w:tblLayout w:type="fixed"/>
        <w:tblCellMar>
          <w:left w:w="107" w:type="dxa"/>
          <w:right w:w="107" w:type="dxa"/>
        </w:tblCellMar>
        <w:tblLook w:val="0000" w:firstRow="0" w:lastRow="0" w:firstColumn="0" w:lastColumn="0" w:noHBand="0" w:noVBand="0"/>
      </w:tblPr>
      <w:tblGrid>
        <w:gridCol w:w="4050"/>
        <w:gridCol w:w="4050"/>
      </w:tblGrid>
      <w:tr w:rsidR="00C91987" w:rsidRPr="001C693E" w14:paraId="454AFD7B" w14:textId="77777777" w:rsidTr="008E5401">
        <w:tc>
          <w:tcPr>
            <w:tcW w:w="4050" w:type="dxa"/>
            <w:tcBorders>
              <w:top w:val="single" w:sz="6" w:space="0" w:color="auto"/>
              <w:left w:val="single" w:sz="6" w:space="0" w:color="auto"/>
              <w:right w:val="single" w:sz="6" w:space="0" w:color="auto"/>
            </w:tcBorders>
            <w:vAlign w:val="center"/>
          </w:tcPr>
          <w:p w14:paraId="096B51C4" w14:textId="77777777" w:rsidR="00C91987" w:rsidRPr="001C693E" w:rsidRDefault="00C91987" w:rsidP="008E5401">
            <w:pPr>
              <w:pStyle w:val="Antrat8"/>
              <w:tabs>
                <w:tab w:val="clear" w:pos="9072"/>
              </w:tabs>
              <w:spacing w:after="120"/>
              <w:rPr>
                <w:szCs w:val="22"/>
              </w:rPr>
            </w:pPr>
            <w:r w:rsidRPr="001C693E">
              <w:rPr>
                <w:szCs w:val="22"/>
              </w:rPr>
              <w:t>Rodiklis</w:t>
            </w:r>
          </w:p>
        </w:tc>
        <w:tc>
          <w:tcPr>
            <w:tcW w:w="4050" w:type="dxa"/>
            <w:tcBorders>
              <w:top w:val="single" w:sz="6" w:space="0" w:color="auto"/>
              <w:left w:val="nil"/>
              <w:right w:val="single" w:sz="6" w:space="0" w:color="auto"/>
            </w:tcBorders>
            <w:vAlign w:val="center"/>
          </w:tcPr>
          <w:p w14:paraId="752C732A" w14:textId="77777777" w:rsidR="00C91987" w:rsidRPr="001C693E" w:rsidRDefault="00C91987" w:rsidP="008E5401">
            <w:pPr>
              <w:pStyle w:val="Antrat8"/>
              <w:tabs>
                <w:tab w:val="clear" w:pos="9072"/>
              </w:tabs>
              <w:spacing w:before="0"/>
              <w:rPr>
                <w:bCs w:val="0"/>
                <w:szCs w:val="22"/>
              </w:rPr>
            </w:pPr>
            <w:r w:rsidRPr="001C693E">
              <w:rPr>
                <w:bCs w:val="0"/>
                <w:szCs w:val="22"/>
              </w:rPr>
              <w:t>Vidutinių rodiklių ribos</w:t>
            </w:r>
          </w:p>
        </w:tc>
      </w:tr>
      <w:tr w:rsidR="00C91987" w:rsidRPr="001C693E" w14:paraId="69217905" w14:textId="77777777" w:rsidTr="008E5401">
        <w:tc>
          <w:tcPr>
            <w:tcW w:w="4050" w:type="dxa"/>
            <w:tcBorders>
              <w:top w:val="single" w:sz="6" w:space="0" w:color="auto"/>
              <w:left w:val="single" w:sz="6" w:space="0" w:color="auto"/>
              <w:right w:val="single" w:sz="6" w:space="0" w:color="auto"/>
            </w:tcBorders>
          </w:tcPr>
          <w:p w14:paraId="68EB2ED3" w14:textId="77777777" w:rsidR="00C91987" w:rsidRPr="001C693E" w:rsidRDefault="00C91987" w:rsidP="008E5401">
            <w:pPr>
              <w:spacing w:before="120" w:after="120"/>
              <w:jc w:val="center"/>
              <w:rPr>
                <w:szCs w:val="22"/>
              </w:rPr>
            </w:pPr>
            <w:r w:rsidRPr="001C693E">
              <w:rPr>
                <w:szCs w:val="22"/>
              </w:rPr>
              <w:t>Klirensas</w:t>
            </w:r>
          </w:p>
        </w:tc>
        <w:tc>
          <w:tcPr>
            <w:tcW w:w="4050" w:type="dxa"/>
            <w:tcBorders>
              <w:top w:val="single" w:sz="6" w:space="0" w:color="auto"/>
              <w:left w:val="nil"/>
              <w:right w:val="single" w:sz="6" w:space="0" w:color="auto"/>
            </w:tcBorders>
          </w:tcPr>
          <w:p w14:paraId="21703802" w14:textId="77777777" w:rsidR="00C91987" w:rsidRPr="001C693E" w:rsidRDefault="00C91987" w:rsidP="008E5401">
            <w:pPr>
              <w:spacing w:before="120" w:after="120"/>
              <w:jc w:val="center"/>
              <w:rPr>
                <w:szCs w:val="22"/>
              </w:rPr>
            </w:pPr>
            <w:r w:rsidRPr="001C693E">
              <w:rPr>
                <w:szCs w:val="22"/>
              </w:rPr>
              <w:t>4,7-5,7 ml/min/kg</w:t>
            </w:r>
          </w:p>
        </w:tc>
      </w:tr>
      <w:tr w:rsidR="00C91987" w:rsidRPr="001C693E" w14:paraId="3829CD6E" w14:textId="77777777" w:rsidTr="008E5401">
        <w:tc>
          <w:tcPr>
            <w:tcW w:w="4050" w:type="dxa"/>
            <w:tcBorders>
              <w:left w:val="single" w:sz="6" w:space="0" w:color="auto"/>
              <w:right w:val="single" w:sz="6" w:space="0" w:color="auto"/>
            </w:tcBorders>
          </w:tcPr>
          <w:p w14:paraId="442C9BEB" w14:textId="77777777" w:rsidR="00C91987" w:rsidRPr="001C693E" w:rsidRDefault="00C91987" w:rsidP="008E5401">
            <w:pPr>
              <w:spacing w:before="120" w:after="120"/>
              <w:jc w:val="center"/>
              <w:rPr>
                <w:szCs w:val="22"/>
              </w:rPr>
            </w:pPr>
            <w:r w:rsidRPr="001C693E">
              <w:rPr>
                <w:szCs w:val="22"/>
              </w:rPr>
              <w:t>Pasiskirstymo tūris, kai pasiekiama pastovi koncentracija</w:t>
            </w:r>
          </w:p>
        </w:tc>
        <w:tc>
          <w:tcPr>
            <w:tcW w:w="4050" w:type="dxa"/>
            <w:tcBorders>
              <w:left w:val="nil"/>
              <w:right w:val="single" w:sz="6" w:space="0" w:color="auto"/>
            </w:tcBorders>
          </w:tcPr>
          <w:p w14:paraId="7E665DCF" w14:textId="77777777" w:rsidR="00C91987" w:rsidRPr="001C693E" w:rsidRDefault="00C91987" w:rsidP="008E5401">
            <w:pPr>
              <w:spacing w:before="120" w:after="120"/>
              <w:jc w:val="center"/>
              <w:rPr>
                <w:szCs w:val="22"/>
              </w:rPr>
            </w:pPr>
            <w:r w:rsidRPr="001C693E">
              <w:rPr>
                <w:szCs w:val="22"/>
              </w:rPr>
              <w:t>121-161 ml/kg</w:t>
            </w:r>
          </w:p>
        </w:tc>
      </w:tr>
      <w:tr w:rsidR="00C91987" w:rsidRPr="001C693E" w14:paraId="3CD07CC2" w14:textId="77777777" w:rsidTr="008E5401">
        <w:tc>
          <w:tcPr>
            <w:tcW w:w="4050" w:type="dxa"/>
            <w:tcBorders>
              <w:left w:val="single" w:sz="6" w:space="0" w:color="auto"/>
              <w:bottom w:val="single" w:sz="6" w:space="0" w:color="auto"/>
              <w:right w:val="single" w:sz="6" w:space="0" w:color="auto"/>
            </w:tcBorders>
          </w:tcPr>
          <w:p w14:paraId="36BAB8EC" w14:textId="77777777" w:rsidR="00C91987" w:rsidRPr="001C693E" w:rsidRDefault="00C91987" w:rsidP="008E5401">
            <w:pPr>
              <w:spacing w:before="120" w:after="120"/>
              <w:jc w:val="center"/>
              <w:rPr>
                <w:szCs w:val="22"/>
              </w:rPr>
            </w:pPr>
            <w:r w:rsidRPr="001C693E">
              <w:rPr>
                <w:szCs w:val="22"/>
              </w:rPr>
              <w:t>Eliminacijos pusperiodis</w:t>
            </w:r>
          </w:p>
        </w:tc>
        <w:tc>
          <w:tcPr>
            <w:tcW w:w="4050" w:type="dxa"/>
            <w:tcBorders>
              <w:left w:val="nil"/>
              <w:bottom w:val="single" w:sz="6" w:space="0" w:color="auto"/>
              <w:right w:val="single" w:sz="6" w:space="0" w:color="auto"/>
            </w:tcBorders>
          </w:tcPr>
          <w:p w14:paraId="345505E9" w14:textId="77777777" w:rsidR="00C91987" w:rsidRPr="001C693E" w:rsidRDefault="00C91987" w:rsidP="008E5401">
            <w:pPr>
              <w:spacing w:before="120" w:after="120"/>
              <w:jc w:val="center"/>
              <w:rPr>
                <w:szCs w:val="22"/>
              </w:rPr>
            </w:pPr>
            <w:r w:rsidRPr="001C693E">
              <w:rPr>
                <w:szCs w:val="22"/>
              </w:rPr>
              <w:t>22-29 min.</w:t>
            </w:r>
          </w:p>
        </w:tc>
      </w:tr>
    </w:tbl>
    <w:p w14:paraId="254EF266" w14:textId="77777777" w:rsidR="00C91987" w:rsidRPr="001C693E" w:rsidRDefault="00C91987" w:rsidP="00C91987">
      <w:pPr>
        <w:rPr>
          <w:szCs w:val="22"/>
        </w:rPr>
      </w:pPr>
    </w:p>
    <w:p w14:paraId="60B5F750" w14:textId="77777777" w:rsidR="00C91987" w:rsidRPr="001C693E" w:rsidRDefault="00C91987" w:rsidP="00C91987">
      <w:pPr>
        <w:pStyle w:val="Antrat5"/>
        <w:rPr>
          <w:bCs/>
          <w:szCs w:val="22"/>
          <w:u w:val="single"/>
        </w:rPr>
      </w:pPr>
      <w:r w:rsidRPr="001C693E">
        <w:rPr>
          <w:bCs/>
          <w:szCs w:val="22"/>
          <w:u w:val="single"/>
        </w:rPr>
        <w:t>Senyvų asmenų farmakokinetika</w:t>
      </w:r>
    </w:p>
    <w:p w14:paraId="3FDDA41C" w14:textId="77777777" w:rsidR="00C91987" w:rsidRPr="001C693E" w:rsidRDefault="00C91987" w:rsidP="00C91987">
      <w:pPr>
        <w:rPr>
          <w:szCs w:val="22"/>
        </w:rPr>
      </w:pPr>
    </w:p>
    <w:p w14:paraId="34ED9D2A" w14:textId="77777777" w:rsidR="00C91987" w:rsidRPr="001C693E" w:rsidRDefault="00C91987" w:rsidP="00C91987">
      <w:pPr>
        <w:rPr>
          <w:szCs w:val="22"/>
        </w:rPr>
      </w:pPr>
      <w:r w:rsidRPr="001C693E">
        <w:rPr>
          <w:szCs w:val="22"/>
        </w:rPr>
        <w:t xml:space="preserve">Senyvų asmenų cisatrakurio farmakokinetika kliniškai reikšmingai nesiskiria nuo jaunų suaugusiųjų. Atsigavimo pobūdis taip pat yra panašus. </w:t>
      </w:r>
    </w:p>
    <w:p w14:paraId="1AB329AE" w14:textId="77777777" w:rsidR="00C91987" w:rsidRPr="001C693E" w:rsidRDefault="00C91987" w:rsidP="00C91987">
      <w:pPr>
        <w:rPr>
          <w:b/>
          <w:szCs w:val="22"/>
        </w:rPr>
      </w:pPr>
    </w:p>
    <w:p w14:paraId="6652AE62" w14:textId="77777777" w:rsidR="00C91987" w:rsidRPr="001C693E" w:rsidRDefault="00C91987" w:rsidP="00C91987">
      <w:pPr>
        <w:pStyle w:val="Antrat5"/>
        <w:rPr>
          <w:bCs/>
          <w:szCs w:val="22"/>
          <w:u w:val="single"/>
        </w:rPr>
      </w:pPr>
      <w:r w:rsidRPr="001C693E">
        <w:rPr>
          <w:bCs/>
          <w:szCs w:val="22"/>
          <w:u w:val="single"/>
        </w:rPr>
        <w:t>Pacientų, kuriems yra inkstų ar kepenų nepakankamumas, farmakokinetika</w:t>
      </w:r>
    </w:p>
    <w:p w14:paraId="0CF8CBF5" w14:textId="77777777" w:rsidR="00C91987" w:rsidRPr="001C693E" w:rsidRDefault="00C91987" w:rsidP="00C91987">
      <w:pPr>
        <w:pStyle w:val="Porat"/>
        <w:tabs>
          <w:tab w:val="clear" w:pos="4153"/>
          <w:tab w:val="clear" w:pos="8306"/>
        </w:tabs>
        <w:rPr>
          <w:szCs w:val="22"/>
        </w:rPr>
      </w:pPr>
    </w:p>
    <w:p w14:paraId="3FB52E20" w14:textId="77777777" w:rsidR="00C91987" w:rsidRPr="001C693E" w:rsidRDefault="00C91987" w:rsidP="00C91987">
      <w:pPr>
        <w:rPr>
          <w:szCs w:val="22"/>
        </w:rPr>
      </w:pPr>
      <w:r w:rsidRPr="001C693E">
        <w:rPr>
          <w:szCs w:val="22"/>
        </w:rPr>
        <w:t xml:space="preserve">Pacientų, kuriems yra terminalinis inkstų ar kepenų nepakankamumas, cisatrakurio farmakokinetika kliniškai reikšmingai nesiskiria nuo sveikų suaugusiųjų. Atsigavimo pobūdis taip pat yra panašus. </w:t>
      </w:r>
    </w:p>
    <w:p w14:paraId="24B75D57" w14:textId="77777777" w:rsidR="00C91987" w:rsidRPr="001C693E" w:rsidRDefault="00C91987" w:rsidP="00C91987">
      <w:pPr>
        <w:rPr>
          <w:szCs w:val="22"/>
        </w:rPr>
      </w:pPr>
    </w:p>
    <w:p w14:paraId="298492AC" w14:textId="77777777" w:rsidR="00C91987" w:rsidRPr="001C693E" w:rsidRDefault="00C91987" w:rsidP="00C91987">
      <w:pPr>
        <w:pStyle w:val="Antrat9"/>
        <w:rPr>
          <w:szCs w:val="22"/>
        </w:rPr>
      </w:pPr>
      <w:r w:rsidRPr="001C693E">
        <w:rPr>
          <w:szCs w:val="22"/>
        </w:rPr>
        <w:t>Farmakokinetika infuzijos metu</w:t>
      </w:r>
    </w:p>
    <w:p w14:paraId="5DFB8F93" w14:textId="77777777" w:rsidR="00C91987" w:rsidRPr="001C693E" w:rsidRDefault="00C91987" w:rsidP="00C91987">
      <w:pPr>
        <w:rPr>
          <w:szCs w:val="22"/>
        </w:rPr>
      </w:pPr>
    </w:p>
    <w:p w14:paraId="16BFD1FF" w14:textId="77777777" w:rsidR="00C91987" w:rsidRPr="001C693E" w:rsidRDefault="00C91987" w:rsidP="00C91987">
      <w:pPr>
        <w:rPr>
          <w:szCs w:val="22"/>
        </w:rPr>
      </w:pPr>
      <w:r w:rsidRPr="001C693E">
        <w:rPr>
          <w:szCs w:val="22"/>
        </w:rPr>
        <w:t xml:space="preserve">Cisatrakurio farmakokinetika po </w:t>
      </w:r>
      <w:r w:rsidRPr="001C693E">
        <w:rPr>
          <w:caps/>
          <w:szCs w:val="22"/>
        </w:rPr>
        <w:t>N</w:t>
      </w:r>
      <w:r w:rsidRPr="001C693E">
        <w:rPr>
          <w:szCs w:val="22"/>
        </w:rPr>
        <w:t xml:space="preserve">imbex infuzijos yra panaši į farmakokinetiką po vienkartinės injekcijos. Atsigavimo pobūdis po </w:t>
      </w:r>
      <w:r w:rsidRPr="001C693E">
        <w:rPr>
          <w:caps/>
          <w:szCs w:val="22"/>
        </w:rPr>
        <w:t>N</w:t>
      </w:r>
      <w:r w:rsidRPr="001C693E">
        <w:rPr>
          <w:szCs w:val="22"/>
        </w:rPr>
        <w:t>imbex infuzijos nepriklauso nuo infuzijos trukmės ir yra panašus į atsigavimą po vienkartinės injekcijos.</w:t>
      </w:r>
    </w:p>
    <w:p w14:paraId="57E7E413" w14:textId="77777777" w:rsidR="00C91987" w:rsidRPr="001C693E" w:rsidRDefault="00C91987" w:rsidP="00C91987">
      <w:pPr>
        <w:rPr>
          <w:szCs w:val="22"/>
        </w:rPr>
      </w:pPr>
    </w:p>
    <w:p w14:paraId="76258ED5" w14:textId="77777777" w:rsidR="00C91987" w:rsidRPr="001C693E" w:rsidRDefault="00C91987" w:rsidP="00C91987">
      <w:pPr>
        <w:pStyle w:val="Antrat9"/>
        <w:rPr>
          <w:szCs w:val="22"/>
        </w:rPr>
      </w:pPr>
      <w:r w:rsidRPr="001C693E">
        <w:rPr>
          <w:szCs w:val="22"/>
        </w:rPr>
        <w:t>Intensyviosios terapijos skyriaus (ITS) pacientų farmakokinetika</w:t>
      </w:r>
    </w:p>
    <w:p w14:paraId="19E56ABB" w14:textId="77777777" w:rsidR="00C91987" w:rsidRPr="001C693E" w:rsidRDefault="00C91987" w:rsidP="00C91987">
      <w:pPr>
        <w:rPr>
          <w:szCs w:val="22"/>
        </w:rPr>
      </w:pPr>
    </w:p>
    <w:p w14:paraId="113C4A66" w14:textId="77777777" w:rsidR="00C91987" w:rsidRPr="001C693E" w:rsidRDefault="00C91987" w:rsidP="00C91987">
      <w:pPr>
        <w:rPr>
          <w:szCs w:val="22"/>
        </w:rPr>
      </w:pPr>
      <w:r w:rsidRPr="001C693E">
        <w:rPr>
          <w:szCs w:val="22"/>
        </w:rPr>
        <w:lastRenderedPageBreak/>
        <w:t xml:space="preserve">ITS pacientų, gaunančių ilgalaikes cisatrakurio infuzijas, šio vaisto farmakokinetika buvo panaši į operuojamų suaugusiųjų (jiems nebuvo kitos patologijos), kuriems vaisto buvo skiriama infuzijos ar vienkartinės injekcijos būdu, farmakokinetiką. ITS pacientų atsigavimo pobūdis po </w:t>
      </w:r>
      <w:r w:rsidRPr="001C693E">
        <w:rPr>
          <w:caps/>
          <w:szCs w:val="22"/>
        </w:rPr>
        <w:t>N</w:t>
      </w:r>
      <w:r w:rsidRPr="001C693E">
        <w:rPr>
          <w:szCs w:val="22"/>
        </w:rPr>
        <w:t>imbex infuzijos nepriklauso nuo infuzijos trukmės.</w:t>
      </w:r>
    </w:p>
    <w:p w14:paraId="50FEE2F3" w14:textId="77777777" w:rsidR="00C91987" w:rsidRPr="001C693E" w:rsidRDefault="00C91987" w:rsidP="00C91987">
      <w:pPr>
        <w:rPr>
          <w:szCs w:val="22"/>
        </w:rPr>
      </w:pPr>
    </w:p>
    <w:p w14:paraId="5D557172" w14:textId="77777777" w:rsidR="00C91987" w:rsidRPr="001C693E" w:rsidRDefault="00C91987" w:rsidP="00C91987">
      <w:pPr>
        <w:rPr>
          <w:szCs w:val="22"/>
        </w:rPr>
      </w:pPr>
      <w:r w:rsidRPr="001C693E">
        <w:rPr>
          <w:szCs w:val="22"/>
        </w:rPr>
        <w:t>Metabolitų koncentracija yra didesnė ITS pacientams, kurių sutrikusi inkstų ir (ar) kepenų funkcija (žr. 4.4 skyrių “</w:t>
      </w:r>
      <w:r w:rsidRPr="001C693E">
        <w:rPr>
          <w:bCs/>
          <w:szCs w:val="22"/>
        </w:rPr>
        <w:t>Specialūs įspėjimai ir atsargumo priemonės“</w:t>
      </w:r>
      <w:r w:rsidRPr="001C693E">
        <w:rPr>
          <w:szCs w:val="22"/>
        </w:rPr>
        <w:t>). Šie metabolitai nervo-raumens blokados neveikia.</w:t>
      </w:r>
    </w:p>
    <w:p w14:paraId="31EE1535" w14:textId="77777777" w:rsidR="00C91987" w:rsidRPr="001C693E" w:rsidRDefault="00C91987" w:rsidP="00C91987">
      <w:pPr>
        <w:pStyle w:val="Pagrindinistekstas"/>
        <w:spacing w:after="0"/>
        <w:rPr>
          <w:szCs w:val="22"/>
        </w:rPr>
      </w:pPr>
    </w:p>
    <w:p w14:paraId="15B05039" w14:textId="77777777" w:rsidR="00C91987" w:rsidRPr="001C693E" w:rsidRDefault="00C91987" w:rsidP="00C91987">
      <w:pPr>
        <w:ind w:left="550" w:hanging="550"/>
        <w:rPr>
          <w:b/>
          <w:bCs/>
          <w:szCs w:val="22"/>
        </w:rPr>
      </w:pPr>
      <w:r w:rsidRPr="001C693E">
        <w:rPr>
          <w:b/>
          <w:bCs/>
          <w:szCs w:val="22"/>
        </w:rPr>
        <w:t>5.3</w:t>
      </w:r>
      <w:r w:rsidRPr="001C693E">
        <w:rPr>
          <w:b/>
          <w:bCs/>
          <w:szCs w:val="22"/>
        </w:rPr>
        <w:tab/>
        <w:t>Ikiklinikinių saugumo tyrimų duomenys</w:t>
      </w:r>
    </w:p>
    <w:p w14:paraId="28025680" w14:textId="77777777" w:rsidR="00C91987" w:rsidRPr="001C693E" w:rsidRDefault="00C91987" w:rsidP="00C91987">
      <w:pPr>
        <w:pStyle w:val="Pagrindinistekstas"/>
        <w:spacing w:after="0"/>
        <w:rPr>
          <w:szCs w:val="22"/>
        </w:rPr>
      </w:pPr>
    </w:p>
    <w:p w14:paraId="7CBD4463" w14:textId="77777777" w:rsidR="00C91987" w:rsidRPr="001C693E" w:rsidRDefault="00C91987" w:rsidP="00C91987">
      <w:pPr>
        <w:pStyle w:val="Antrat9"/>
        <w:rPr>
          <w:szCs w:val="22"/>
        </w:rPr>
      </w:pPr>
      <w:r w:rsidRPr="001C693E">
        <w:rPr>
          <w:szCs w:val="22"/>
        </w:rPr>
        <w:t>Ūminis toksiškumas</w:t>
      </w:r>
    </w:p>
    <w:p w14:paraId="03F58CA5" w14:textId="77777777" w:rsidR="00C91987" w:rsidRPr="001C693E" w:rsidRDefault="00C91987" w:rsidP="00C91987">
      <w:pPr>
        <w:rPr>
          <w:szCs w:val="22"/>
        </w:rPr>
      </w:pPr>
    </w:p>
    <w:p w14:paraId="7E214106" w14:textId="77777777" w:rsidR="00C91987" w:rsidRPr="001C693E" w:rsidRDefault="00C91987" w:rsidP="00C91987">
      <w:pPr>
        <w:rPr>
          <w:szCs w:val="22"/>
        </w:rPr>
      </w:pPr>
      <w:r w:rsidRPr="001C693E">
        <w:rPr>
          <w:szCs w:val="22"/>
        </w:rPr>
        <w:t xml:space="preserve">Su cisatrakuriu neįmanoma atlikti reikšmingų ūminio toksiškumo tyrimų. </w:t>
      </w:r>
    </w:p>
    <w:p w14:paraId="5CC86E07" w14:textId="77777777" w:rsidR="00C91987" w:rsidRPr="001C693E" w:rsidRDefault="00C91987" w:rsidP="00C91987">
      <w:pPr>
        <w:rPr>
          <w:szCs w:val="22"/>
        </w:rPr>
      </w:pPr>
      <w:r w:rsidRPr="001C693E">
        <w:rPr>
          <w:szCs w:val="22"/>
        </w:rPr>
        <w:t>Toksiškumo požymiai nurodyti 4.9 skyriuje.</w:t>
      </w:r>
    </w:p>
    <w:p w14:paraId="1031DD49" w14:textId="77777777" w:rsidR="00C91987" w:rsidRPr="001C693E" w:rsidRDefault="00C91987" w:rsidP="00C91987">
      <w:pPr>
        <w:rPr>
          <w:szCs w:val="22"/>
        </w:rPr>
      </w:pPr>
    </w:p>
    <w:p w14:paraId="6402EBB8" w14:textId="77777777" w:rsidR="00C91987" w:rsidRPr="001C693E" w:rsidRDefault="00C91987" w:rsidP="00C91987">
      <w:pPr>
        <w:pStyle w:val="Antrat9"/>
        <w:rPr>
          <w:bCs w:val="0"/>
          <w:szCs w:val="22"/>
        </w:rPr>
      </w:pPr>
      <w:r w:rsidRPr="001C693E">
        <w:rPr>
          <w:bCs w:val="0"/>
          <w:szCs w:val="22"/>
        </w:rPr>
        <w:t>Poūmis toksiškumas</w:t>
      </w:r>
    </w:p>
    <w:p w14:paraId="5F19E681" w14:textId="77777777" w:rsidR="00C91987" w:rsidRPr="001C693E" w:rsidRDefault="00C91987" w:rsidP="00C91987">
      <w:pPr>
        <w:rPr>
          <w:szCs w:val="22"/>
        </w:rPr>
      </w:pPr>
    </w:p>
    <w:p w14:paraId="7FACDBF2" w14:textId="77777777" w:rsidR="00C91987" w:rsidRPr="001C693E" w:rsidRDefault="00C91987" w:rsidP="00C91987">
      <w:pPr>
        <w:rPr>
          <w:szCs w:val="22"/>
        </w:rPr>
      </w:pPr>
      <w:r w:rsidRPr="001C693E">
        <w:rPr>
          <w:szCs w:val="22"/>
        </w:rPr>
        <w:t>Šunų ir beždžionių tyrimai, kurių metu gyvūnams kartotinai tris savaites buvo duodama vaisto, neatskleidė specifinių toksinių medžiagos požymių.</w:t>
      </w:r>
    </w:p>
    <w:p w14:paraId="257EC123" w14:textId="77777777" w:rsidR="00C91987" w:rsidRPr="001C693E" w:rsidRDefault="00C91987" w:rsidP="00C91987">
      <w:pPr>
        <w:rPr>
          <w:szCs w:val="22"/>
        </w:rPr>
      </w:pPr>
    </w:p>
    <w:p w14:paraId="0AC416B0" w14:textId="77777777" w:rsidR="00C91987" w:rsidRPr="001C693E" w:rsidRDefault="00C91987" w:rsidP="00C91987">
      <w:pPr>
        <w:pStyle w:val="Antrat9"/>
        <w:rPr>
          <w:szCs w:val="22"/>
        </w:rPr>
      </w:pPr>
      <w:r w:rsidRPr="001C693E">
        <w:rPr>
          <w:szCs w:val="22"/>
        </w:rPr>
        <w:t>Mutageniškumas</w:t>
      </w:r>
    </w:p>
    <w:p w14:paraId="1FA70F8B" w14:textId="77777777" w:rsidR="00C91987" w:rsidRPr="001C693E" w:rsidRDefault="00C91987" w:rsidP="00C91987">
      <w:pPr>
        <w:rPr>
          <w:szCs w:val="22"/>
        </w:rPr>
      </w:pPr>
    </w:p>
    <w:p w14:paraId="670C0469" w14:textId="77777777" w:rsidR="00C91987" w:rsidRPr="001C693E" w:rsidRDefault="00C91987" w:rsidP="00C91987">
      <w:pPr>
        <w:rPr>
          <w:szCs w:val="22"/>
        </w:rPr>
      </w:pPr>
      <w:r w:rsidRPr="001C693E">
        <w:rPr>
          <w:szCs w:val="22"/>
        </w:rPr>
        <w:t xml:space="preserve">Cisatrakuris neveikė mutageniškai atliekant mikrobų mutageniškumo tyrimus </w:t>
      </w:r>
      <w:r w:rsidRPr="001C693E">
        <w:rPr>
          <w:i/>
          <w:szCs w:val="22"/>
        </w:rPr>
        <w:t>in vitro</w:t>
      </w:r>
      <w:r w:rsidRPr="001C693E">
        <w:rPr>
          <w:szCs w:val="22"/>
        </w:rPr>
        <w:t xml:space="preserve">, kai jo koncentracija buvo iki 5000 </w:t>
      </w:r>
      <w:r w:rsidRPr="001C693E">
        <w:rPr>
          <w:szCs w:val="22"/>
        </w:rPr>
        <w:sym w:font="Symbol" w:char="F06D"/>
      </w:r>
      <w:r w:rsidRPr="001C693E">
        <w:rPr>
          <w:szCs w:val="22"/>
        </w:rPr>
        <w:t>g lėkštelei.</w:t>
      </w:r>
    </w:p>
    <w:p w14:paraId="531223D5" w14:textId="77777777" w:rsidR="00C91987" w:rsidRPr="001C693E" w:rsidRDefault="00C91987" w:rsidP="00C91987">
      <w:pPr>
        <w:rPr>
          <w:szCs w:val="22"/>
        </w:rPr>
      </w:pPr>
    </w:p>
    <w:p w14:paraId="79F58D99" w14:textId="77777777" w:rsidR="00C91987" w:rsidRPr="001C693E" w:rsidRDefault="00C91987" w:rsidP="00C91987">
      <w:pPr>
        <w:rPr>
          <w:szCs w:val="22"/>
        </w:rPr>
      </w:pPr>
      <w:r w:rsidRPr="001C693E">
        <w:rPr>
          <w:szCs w:val="22"/>
        </w:rPr>
        <w:t xml:space="preserve">Atliekant citogeninį žiurkių tyrimą </w:t>
      </w:r>
      <w:r w:rsidRPr="001C693E">
        <w:rPr>
          <w:i/>
          <w:szCs w:val="22"/>
        </w:rPr>
        <w:t>in vivo</w:t>
      </w:r>
      <w:r w:rsidRPr="001C693E">
        <w:rPr>
          <w:szCs w:val="22"/>
        </w:rPr>
        <w:t>, nestebėta reikšmingų chromosomų pakitimų, kai dozė buvo iki 4 mg/kg.</w:t>
      </w:r>
    </w:p>
    <w:p w14:paraId="5C462403" w14:textId="77777777" w:rsidR="00C91987" w:rsidRPr="001C693E" w:rsidRDefault="00C91987" w:rsidP="00C91987">
      <w:pPr>
        <w:rPr>
          <w:szCs w:val="22"/>
        </w:rPr>
      </w:pPr>
    </w:p>
    <w:p w14:paraId="09E063A1" w14:textId="77777777" w:rsidR="00C91987" w:rsidRPr="001C693E" w:rsidRDefault="00C91987" w:rsidP="00C91987">
      <w:pPr>
        <w:rPr>
          <w:szCs w:val="22"/>
        </w:rPr>
      </w:pPr>
      <w:r w:rsidRPr="001C693E">
        <w:rPr>
          <w:szCs w:val="22"/>
        </w:rPr>
        <w:t xml:space="preserve">Cisatrakuris veikė mutageniškai atliekant </w:t>
      </w:r>
      <w:r w:rsidRPr="001C693E">
        <w:rPr>
          <w:i/>
          <w:szCs w:val="22"/>
        </w:rPr>
        <w:t>in vitro</w:t>
      </w:r>
      <w:r w:rsidRPr="001C693E">
        <w:rPr>
          <w:szCs w:val="22"/>
        </w:rPr>
        <w:t xml:space="preserve"> pelių limfomos ląstelių mutageniškumo testą, kai koncentracija buvo 40 </w:t>
      </w:r>
      <w:r w:rsidRPr="001C693E">
        <w:rPr>
          <w:szCs w:val="22"/>
        </w:rPr>
        <w:sym w:font="Symbol" w:char="F06D"/>
      </w:r>
      <w:r w:rsidRPr="001C693E">
        <w:rPr>
          <w:szCs w:val="22"/>
        </w:rPr>
        <w:t>g/ml ar didesnė.</w:t>
      </w:r>
    </w:p>
    <w:p w14:paraId="005AD77B" w14:textId="77777777" w:rsidR="00C91987" w:rsidRPr="001C693E" w:rsidRDefault="00C91987" w:rsidP="00C91987">
      <w:pPr>
        <w:rPr>
          <w:szCs w:val="22"/>
        </w:rPr>
      </w:pPr>
    </w:p>
    <w:p w14:paraId="380941CE" w14:textId="77777777" w:rsidR="00C91987" w:rsidRPr="001C693E" w:rsidRDefault="00C91987" w:rsidP="00C91987">
      <w:pPr>
        <w:rPr>
          <w:szCs w:val="22"/>
        </w:rPr>
      </w:pPr>
      <w:r w:rsidRPr="001C693E">
        <w:rPr>
          <w:szCs w:val="22"/>
        </w:rPr>
        <w:t>Vienintelio teigiamo nedažnai ir (ar) trumpai vartojamo vaisto mutageninio tyrimo klinikinė reikšmė abejotina.</w:t>
      </w:r>
    </w:p>
    <w:p w14:paraId="562E578C" w14:textId="77777777" w:rsidR="00C91987" w:rsidRPr="001C693E" w:rsidRDefault="00C91987" w:rsidP="00C91987">
      <w:pPr>
        <w:pStyle w:val="Antrat9"/>
        <w:rPr>
          <w:bCs w:val="0"/>
          <w:i w:val="0"/>
          <w:iCs w:val="0"/>
          <w:szCs w:val="22"/>
          <w:u w:val="none"/>
        </w:rPr>
      </w:pPr>
    </w:p>
    <w:p w14:paraId="4AE18AAC" w14:textId="77777777" w:rsidR="00C91987" w:rsidRPr="001C693E" w:rsidRDefault="00C91987" w:rsidP="00C91987">
      <w:pPr>
        <w:pStyle w:val="Antrat9"/>
        <w:rPr>
          <w:szCs w:val="22"/>
        </w:rPr>
      </w:pPr>
      <w:r w:rsidRPr="001C693E">
        <w:rPr>
          <w:szCs w:val="22"/>
        </w:rPr>
        <w:t>Poveikis reprodukcijai</w:t>
      </w:r>
    </w:p>
    <w:p w14:paraId="4991C924" w14:textId="77777777" w:rsidR="00C91987" w:rsidRPr="001C693E" w:rsidRDefault="00C91987" w:rsidP="00C91987">
      <w:pPr>
        <w:pStyle w:val="Antrat9"/>
        <w:rPr>
          <w:i w:val="0"/>
          <w:szCs w:val="22"/>
          <w:u w:val="none"/>
        </w:rPr>
      </w:pPr>
    </w:p>
    <w:p w14:paraId="78DE500D" w14:textId="77777777" w:rsidR="00C91987" w:rsidRPr="001C693E" w:rsidRDefault="00C91987" w:rsidP="00C91987">
      <w:pPr>
        <w:pStyle w:val="Antrat9"/>
        <w:rPr>
          <w:i w:val="0"/>
          <w:szCs w:val="22"/>
          <w:u w:val="none"/>
        </w:rPr>
      </w:pPr>
      <w:r w:rsidRPr="001C693E">
        <w:rPr>
          <w:i w:val="0"/>
          <w:szCs w:val="22"/>
          <w:u w:val="none"/>
        </w:rPr>
        <w:t xml:space="preserve">Tyrimai su gyvūnais toksinio poveikio reprodukcijai neparodė. </w:t>
      </w:r>
    </w:p>
    <w:p w14:paraId="03B20B19" w14:textId="77777777" w:rsidR="00C91987" w:rsidRPr="001C693E" w:rsidRDefault="00C91987" w:rsidP="00C91987">
      <w:pPr>
        <w:pStyle w:val="Antrat9"/>
        <w:rPr>
          <w:szCs w:val="22"/>
        </w:rPr>
      </w:pPr>
    </w:p>
    <w:p w14:paraId="606061AC" w14:textId="77777777" w:rsidR="00C91987" w:rsidRPr="001C693E" w:rsidRDefault="00C91987" w:rsidP="00C91987">
      <w:pPr>
        <w:pStyle w:val="Antrat9"/>
        <w:rPr>
          <w:szCs w:val="22"/>
        </w:rPr>
      </w:pPr>
      <w:r w:rsidRPr="001C693E">
        <w:rPr>
          <w:szCs w:val="22"/>
        </w:rPr>
        <w:t>Kancerogeniškumas</w:t>
      </w:r>
    </w:p>
    <w:p w14:paraId="6C8FE809" w14:textId="77777777" w:rsidR="00C91987" w:rsidRPr="001C693E" w:rsidRDefault="00C91987" w:rsidP="00C91987">
      <w:pPr>
        <w:rPr>
          <w:szCs w:val="22"/>
        </w:rPr>
      </w:pPr>
    </w:p>
    <w:p w14:paraId="67C59854" w14:textId="77777777" w:rsidR="00C91987" w:rsidRPr="001C693E" w:rsidRDefault="00C91987" w:rsidP="00C91987">
      <w:pPr>
        <w:rPr>
          <w:szCs w:val="22"/>
        </w:rPr>
      </w:pPr>
      <w:r w:rsidRPr="001C693E">
        <w:rPr>
          <w:szCs w:val="22"/>
        </w:rPr>
        <w:t>Kancerogeniškumo tyrimų neatlikta.</w:t>
      </w:r>
    </w:p>
    <w:p w14:paraId="2271C07C" w14:textId="77777777" w:rsidR="00C91987" w:rsidRPr="001C693E" w:rsidRDefault="00C91987" w:rsidP="00C91987">
      <w:pPr>
        <w:rPr>
          <w:szCs w:val="22"/>
        </w:rPr>
      </w:pPr>
    </w:p>
    <w:p w14:paraId="00F21317" w14:textId="77777777" w:rsidR="00C91987" w:rsidRPr="001C693E" w:rsidRDefault="00C91987" w:rsidP="00C91987">
      <w:pPr>
        <w:pStyle w:val="Antrat9"/>
        <w:rPr>
          <w:szCs w:val="22"/>
        </w:rPr>
      </w:pPr>
      <w:r w:rsidRPr="001C693E">
        <w:rPr>
          <w:szCs w:val="22"/>
        </w:rPr>
        <w:t>Vietinis toleravimas</w:t>
      </w:r>
    </w:p>
    <w:p w14:paraId="61D31C1D" w14:textId="77777777" w:rsidR="00C91987" w:rsidRPr="001C693E" w:rsidRDefault="00C91987" w:rsidP="00C91987">
      <w:pPr>
        <w:rPr>
          <w:szCs w:val="22"/>
        </w:rPr>
      </w:pPr>
    </w:p>
    <w:p w14:paraId="7AEA7EAB" w14:textId="77777777" w:rsidR="00C91987" w:rsidRPr="001C693E" w:rsidRDefault="00C91987" w:rsidP="00C91987">
      <w:pPr>
        <w:pStyle w:val="Pagrindinistekstas"/>
        <w:spacing w:after="0"/>
        <w:rPr>
          <w:szCs w:val="22"/>
        </w:rPr>
      </w:pPr>
      <w:r w:rsidRPr="001C693E">
        <w:rPr>
          <w:szCs w:val="22"/>
        </w:rPr>
        <w:t xml:space="preserve">Intraarteriniai triušių tyrimų rezultatai rodo, kad </w:t>
      </w:r>
      <w:r w:rsidRPr="001C693E">
        <w:rPr>
          <w:caps/>
          <w:szCs w:val="22"/>
        </w:rPr>
        <w:t>N</w:t>
      </w:r>
      <w:r w:rsidRPr="001C693E">
        <w:rPr>
          <w:szCs w:val="22"/>
        </w:rPr>
        <w:t>imbex injekcijos yra gerai toleruojamos, nestebėta su šio vaisto vartojimu susijusių pokyčių.</w:t>
      </w:r>
    </w:p>
    <w:p w14:paraId="110A4E46" w14:textId="77777777" w:rsidR="00C91987" w:rsidRPr="001C693E" w:rsidRDefault="00C91987" w:rsidP="00C91987">
      <w:pPr>
        <w:pStyle w:val="Pagrindinistekstas"/>
        <w:spacing w:after="0"/>
        <w:rPr>
          <w:szCs w:val="22"/>
        </w:rPr>
      </w:pPr>
    </w:p>
    <w:p w14:paraId="5369997D" w14:textId="77777777" w:rsidR="00C91987" w:rsidRPr="001C693E" w:rsidRDefault="00C91987" w:rsidP="00C91987">
      <w:pPr>
        <w:pStyle w:val="Pagrindinistekstas"/>
        <w:spacing w:after="0"/>
        <w:rPr>
          <w:szCs w:val="22"/>
        </w:rPr>
      </w:pPr>
    </w:p>
    <w:p w14:paraId="153223E2" w14:textId="77777777" w:rsidR="00C91987" w:rsidRPr="001C693E" w:rsidRDefault="00C91987" w:rsidP="00C91987">
      <w:pPr>
        <w:pStyle w:val="Antrat2"/>
        <w:rPr>
          <w:szCs w:val="22"/>
        </w:rPr>
      </w:pPr>
      <w:r w:rsidRPr="001C693E">
        <w:rPr>
          <w:szCs w:val="22"/>
        </w:rPr>
        <w:t>6.</w:t>
      </w:r>
      <w:r w:rsidRPr="001C693E">
        <w:rPr>
          <w:szCs w:val="22"/>
        </w:rPr>
        <w:tab/>
        <w:t>FARMACINĖ INFORMACIJA</w:t>
      </w:r>
    </w:p>
    <w:p w14:paraId="3F9755EA" w14:textId="77777777" w:rsidR="00C91987" w:rsidRPr="001C693E" w:rsidRDefault="00C91987" w:rsidP="00C91987">
      <w:pPr>
        <w:pStyle w:val="Pagrindinistekstas"/>
        <w:spacing w:after="0"/>
        <w:rPr>
          <w:b/>
          <w:szCs w:val="22"/>
        </w:rPr>
      </w:pPr>
    </w:p>
    <w:p w14:paraId="2BC7D06B" w14:textId="77777777" w:rsidR="00C91987" w:rsidRPr="001C693E" w:rsidRDefault="00C91987" w:rsidP="00C91987">
      <w:pPr>
        <w:ind w:left="550" w:hanging="550"/>
        <w:rPr>
          <w:b/>
          <w:bCs/>
          <w:szCs w:val="22"/>
        </w:rPr>
      </w:pPr>
      <w:r w:rsidRPr="001C693E">
        <w:rPr>
          <w:b/>
          <w:bCs/>
          <w:szCs w:val="22"/>
        </w:rPr>
        <w:t>6.1</w:t>
      </w:r>
      <w:r w:rsidRPr="001C693E">
        <w:rPr>
          <w:b/>
          <w:bCs/>
          <w:szCs w:val="22"/>
        </w:rPr>
        <w:tab/>
        <w:t>Pagalbinių medžiagų sąrašas</w:t>
      </w:r>
    </w:p>
    <w:p w14:paraId="2B936D9E" w14:textId="77777777" w:rsidR="00C91987" w:rsidRPr="001C693E" w:rsidRDefault="00C91987" w:rsidP="00C91987">
      <w:pPr>
        <w:pStyle w:val="Pagrindinistekstas"/>
        <w:spacing w:after="0"/>
        <w:rPr>
          <w:szCs w:val="22"/>
        </w:rPr>
      </w:pPr>
    </w:p>
    <w:p w14:paraId="51E10A95" w14:textId="77777777" w:rsidR="00C91987" w:rsidRPr="001C693E" w:rsidRDefault="00C91987" w:rsidP="00C91987">
      <w:pPr>
        <w:pStyle w:val="Pagrindinistekstas"/>
        <w:spacing w:after="0"/>
        <w:rPr>
          <w:szCs w:val="22"/>
        </w:rPr>
      </w:pPr>
      <w:r w:rsidRPr="001C693E">
        <w:rPr>
          <w:szCs w:val="22"/>
        </w:rPr>
        <w:t xml:space="preserve">Benzensulfonrūgštis </w:t>
      </w:r>
    </w:p>
    <w:p w14:paraId="415FDB35" w14:textId="77777777" w:rsidR="00C91987" w:rsidRPr="001C693E" w:rsidRDefault="00C91987" w:rsidP="00C91987">
      <w:pPr>
        <w:pStyle w:val="Pagrindinistekstas"/>
        <w:spacing w:after="0"/>
        <w:rPr>
          <w:szCs w:val="22"/>
        </w:rPr>
      </w:pPr>
      <w:r w:rsidRPr="001C693E">
        <w:rPr>
          <w:szCs w:val="22"/>
        </w:rPr>
        <w:lastRenderedPageBreak/>
        <w:t>Injekcinis vanduo</w:t>
      </w:r>
    </w:p>
    <w:p w14:paraId="15695B5F" w14:textId="77777777" w:rsidR="00C91987" w:rsidRPr="001C693E" w:rsidRDefault="00C91987" w:rsidP="00C91987">
      <w:pPr>
        <w:pStyle w:val="Pagrindinistekstas"/>
        <w:spacing w:after="0"/>
        <w:rPr>
          <w:szCs w:val="22"/>
        </w:rPr>
      </w:pPr>
    </w:p>
    <w:p w14:paraId="05E2FA32" w14:textId="77777777" w:rsidR="00C91987" w:rsidRPr="001C693E" w:rsidRDefault="00C91987" w:rsidP="00C91987">
      <w:pPr>
        <w:ind w:left="550" w:hanging="550"/>
        <w:rPr>
          <w:b/>
          <w:bCs/>
          <w:szCs w:val="22"/>
        </w:rPr>
      </w:pPr>
      <w:r w:rsidRPr="001C693E">
        <w:rPr>
          <w:b/>
          <w:bCs/>
          <w:szCs w:val="22"/>
        </w:rPr>
        <w:t>6.2</w:t>
      </w:r>
      <w:r w:rsidRPr="001C693E">
        <w:rPr>
          <w:b/>
          <w:bCs/>
          <w:szCs w:val="22"/>
        </w:rPr>
        <w:tab/>
        <w:t>Nesuderinamumas</w:t>
      </w:r>
    </w:p>
    <w:p w14:paraId="6FA509DB" w14:textId="77777777" w:rsidR="00C91987" w:rsidRPr="001C693E" w:rsidRDefault="00C91987" w:rsidP="00C91987">
      <w:pPr>
        <w:pStyle w:val="Pagrindinistekstas"/>
        <w:spacing w:after="0"/>
        <w:rPr>
          <w:szCs w:val="22"/>
        </w:rPr>
      </w:pPr>
    </w:p>
    <w:p w14:paraId="29781185" w14:textId="77777777" w:rsidR="00C91987" w:rsidRPr="001C693E" w:rsidRDefault="00C91987" w:rsidP="00C91987">
      <w:pPr>
        <w:rPr>
          <w:szCs w:val="22"/>
        </w:rPr>
      </w:pPr>
      <w:r w:rsidRPr="001C693E">
        <w:rPr>
          <w:szCs w:val="22"/>
        </w:rPr>
        <w:t xml:space="preserve">Nustatyta, kad cisatrakuris greičiau suyra Ringerio laktato bei 5% dekstrozės ir Ringerio laktato injekciniuose tirpaluose negu infuziniuose tirpaluose, išvardytuose 6.6. skyriuje. </w:t>
      </w:r>
    </w:p>
    <w:p w14:paraId="7E44D1A3" w14:textId="77777777" w:rsidR="00C91987" w:rsidRPr="001C693E" w:rsidRDefault="00C91987" w:rsidP="00C91987">
      <w:pPr>
        <w:rPr>
          <w:szCs w:val="22"/>
        </w:rPr>
      </w:pPr>
    </w:p>
    <w:p w14:paraId="312B4E81" w14:textId="77777777" w:rsidR="00C91987" w:rsidRPr="001C693E" w:rsidRDefault="00C91987" w:rsidP="00C91987">
      <w:pPr>
        <w:rPr>
          <w:szCs w:val="22"/>
        </w:rPr>
      </w:pPr>
      <w:r w:rsidRPr="001C693E">
        <w:rPr>
          <w:szCs w:val="22"/>
        </w:rPr>
        <w:t xml:space="preserve">Todėl nerekomenduojama </w:t>
      </w:r>
      <w:r w:rsidRPr="001C693E">
        <w:rPr>
          <w:caps/>
          <w:szCs w:val="22"/>
        </w:rPr>
        <w:t>N</w:t>
      </w:r>
      <w:r w:rsidRPr="001C693E">
        <w:rPr>
          <w:szCs w:val="22"/>
        </w:rPr>
        <w:t>imbex tirpalą skiesti Ringerio laktato bei 5% dekstrozės ir Ringerio laktato injekciniais tirpalais.</w:t>
      </w:r>
    </w:p>
    <w:p w14:paraId="656F811B" w14:textId="77777777" w:rsidR="00C91987" w:rsidRPr="001C693E" w:rsidRDefault="00C91987" w:rsidP="00C91987">
      <w:pPr>
        <w:rPr>
          <w:szCs w:val="22"/>
        </w:rPr>
      </w:pPr>
    </w:p>
    <w:p w14:paraId="01B8C546" w14:textId="77777777" w:rsidR="00C91987" w:rsidRPr="001C693E" w:rsidRDefault="00C91987" w:rsidP="00C91987">
      <w:pPr>
        <w:pStyle w:val="Pagrindinistekstas"/>
        <w:spacing w:after="0"/>
        <w:rPr>
          <w:szCs w:val="22"/>
        </w:rPr>
      </w:pPr>
      <w:r w:rsidRPr="001C693E">
        <w:rPr>
          <w:caps/>
          <w:szCs w:val="22"/>
        </w:rPr>
        <w:t>N</w:t>
      </w:r>
      <w:r w:rsidRPr="001C693E">
        <w:rPr>
          <w:szCs w:val="22"/>
        </w:rPr>
        <w:t>imbex yra stabilus tik rūgščiuose tirpaluose, todėl jo negalima maišyti tame pačiame švirkšte ar švirkšti per tą pačią adatą su šarminiais tirpalais, pvz., tiopentono. Jis nesuderinamas su injekciniais ketorolako trometamolio ar propofolio tirpalais.</w:t>
      </w:r>
    </w:p>
    <w:p w14:paraId="2874C774" w14:textId="77777777" w:rsidR="00C91987" w:rsidRPr="001C693E" w:rsidRDefault="00C91987" w:rsidP="00C91987">
      <w:pPr>
        <w:pStyle w:val="Pagrindinistekstas"/>
        <w:spacing w:after="0"/>
        <w:rPr>
          <w:szCs w:val="22"/>
        </w:rPr>
      </w:pPr>
    </w:p>
    <w:p w14:paraId="23146963" w14:textId="77777777" w:rsidR="00C91987" w:rsidRPr="001C693E" w:rsidRDefault="00C91987" w:rsidP="00C91987">
      <w:pPr>
        <w:pStyle w:val="Antrat3"/>
        <w:pBdr>
          <w:top w:val="none" w:sz="0" w:space="0" w:color="auto"/>
          <w:left w:val="none" w:sz="0" w:space="0" w:color="auto"/>
          <w:bottom w:val="none" w:sz="0" w:space="0" w:color="auto"/>
          <w:right w:val="none" w:sz="0" w:space="0" w:color="auto"/>
        </w:pBdr>
        <w:rPr>
          <w:szCs w:val="22"/>
        </w:rPr>
      </w:pPr>
      <w:r w:rsidRPr="001C693E">
        <w:rPr>
          <w:szCs w:val="22"/>
        </w:rPr>
        <w:t>6.3</w:t>
      </w:r>
      <w:r w:rsidRPr="001C693E">
        <w:rPr>
          <w:szCs w:val="22"/>
        </w:rPr>
        <w:tab/>
        <w:t>Tinkamumo laikas</w:t>
      </w:r>
    </w:p>
    <w:p w14:paraId="611BC6F1" w14:textId="77777777" w:rsidR="00C91987" w:rsidRPr="001C693E" w:rsidRDefault="00C91987" w:rsidP="00C91987">
      <w:pPr>
        <w:pStyle w:val="Pagrindinistekstas"/>
        <w:spacing w:after="0"/>
        <w:rPr>
          <w:szCs w:val="22"/>
        </w:rPr>
      </w:pPr>
    </w:p>
    <w:p w14:paraId="01ABEC70" w14:textId="77777777" w:rsidR="00C91987" w:rsidRPr="001C693E" w:rsidRDefault="00C91987" w:rsidP="00C91987">
      <w:pPr>
        <w:rPr>
          <w:szCs w:val="22"/>
        </w:rPr>
      </w:pPr>
      <w:r w:rsidRPr="001C693E">
        <w:rPr>
          <w:szCs w:val="22"/>
        </w:rPr>
        <w:t>2 metai.</w:t>
      </w:r>
    </w:p>
    <w:p w14:paraId="3B9A32D8" w14:textId="77777777" w:rsidR="00C91987" w:rsidRPr="001C693E" w:rsidRDefault="00C91987" w:rsidP="00C91987">
      <w:pPr>
        <w:rPr>
          <w:szCs w:val="22"/>
        </w:rPr>
      </w:pPr>
      <w:r w:rsidRPr="001C693E">
        <w:rPr>
          <w:szCs w:val="22"/>
        </w:rPr>
        <w:t>Praskiestas tirpalas:</w:t>
      </w:r>
    </w:p>
    <w:p w14:paraId="259D5E1E" w14:textId="77777777" w:rsidR="00C91987" w:rsidRPr="001C693E" w:rsidRDefault="00C91987" w:rsidP="00C91987">
      <w:pPr>
        <w:rPr>
          <w:szCs w:val="22"/>
        </w:rPr>
      </w:pPr>
      <w:r w:rsidRPr="001C693E">
        <w:rPr>
          <w:szCs w:val="22"/>
        </w:rPr>
        <w:t xml:space="preserve">Mikrobiologinio saugumo požiūriu, atidarius, praskiestas preparatas turi būti sunaudojamas iš karto. </w:t>
      </w:r>
    </w:p>
    <w:p w14:paraId="2130609E" w14:textId="77777777" w:rsidR="00C91987" w:rsidRPr="001C693E" w:rsidRDefault="00C91987" w:rsidP="00C91987">
      <w:pPr>
        <w:rPr>
          <w:szCs w:val="22"/>
        </w:rPr>
      </w:pPr>
      <w:r w:rsidRPr="001C693E">
        <w:rPr>
          <w:szCs w:val="22"/>
        </w:rPr>
        <w:t>Jei nesunaudojamas iš karto, saugojimo laikas ir sąlygos prieš naudojimą yra vartotojo atsakomybėje ir negali būti ilgesnis nei 24 valandos esant 2-</w:t>
      </w:r>
      <w:smartTag w:uri="urn:schemas-microsoft-com:office:smarttags" w:element="metricconverter">
        <w:smartTagPr>
          <w:attr w:name="ProductID" w:val="8 ﾰC"/>
        </w:smartTagPr>
        <w:r w:rsidRPr="001C693E">
          <w:rPr>
            <w:szCs w:val="22"/>
          </w:rPr>
          <w:t>8 °C</w:t>
        </w:r>
      </w:smartTag>
      <w:r w:rsidRPr="001C693E">
        <w:rPr>
          <w:szCs w:val="22"/>
        </w:rPr>
        <w:t xml:space="preserve"> temperatūrai, išskyrus tuos atvejus, kai tirpalas skiedžiamas kontroliuojamomis ir validuotomis aseptinėmis sąlygomis. </w:t>
      </w:r>
    </w:p>
    <w:p w14:paraId="57F75E52" w14:textId="77777777" w:rsidR="00C91987" w:rsidRPr="001C693E" w:rsidRDefault="00C91987" w:rsidP="00C91987">
      <w:pPr>
        <w:rPr>
          <w:szCs w:val="22"/>
        </w:rPr>
      </w:pPr>
    </w:p>
    <w:p w14:paraId="47EA5039" w14:textId="77777777" w:rsidR="00C91987" w:rsidRPr="001C693E" w:rsidRDefault="00C91987" w:rsidP="00C91987">
      <w:pPr>
        <w:rPr>
          <w:szCs w:val="22"/>
        </w:rPr>
      </w:pPr>
      <w:r w:rsidRPr="001C693E">
        <w:rPr>
          <w:szCs w:val="22"/>
        </w:rPr>
        <w:t xml:space="preserve">Pakuotė pritaikyta vienkartiniam vartojimui. Atidarius pakuotę, vaistą iš karto švirkšti arba skiesti, nesuvartotą tirpalą išmesti.  </w:t>
      </w:r>
    </w:p>
    <w:p w14:paraId="03146BC9" w14:textId="77777777" w:rsidR="00C91987" w:rsidRPr="001C693E" w:rsidRDefault="00C91987" w:rsidP="00C91987">
      <w:pPr>
        <w:pStyle w:val="Pagrindinistekstas"/>
        <w:spacing w:after="0"/>
        <w:rPr>
          <w:szCs w:val="22"/>
        </w:rPr>
      </w:pPr>
    </w:p>
    <w:p w14:paraId="41779FAA" w14:textId="77777777" w:rsidR="00C91987" w:rsidRPr="001C693E" w:rsidRDefault="00C91987" w:rsidP="00C91987">
      <w:pPr>
        <w:ind w:left="550" w:hanging="550"/>
        <w:rPr>
          <w:b/>
          <w:bCs/>
          <w:szCs w:val="22"/>
        </w:rPr>
      </w:pPr>
      <w:r w:rsidRPr="001C693E">
        <w:rPr>
          <w:b/>
          <w:bCs/>
          <w:szCs w:val="22"/>
        </w:rPr>
        <w:t>6.4</w:t>
      </w:r>
      <w:r w:rsidRPr="001C693E">
        <w:rPr>
          <w:b/>
          <w:bCs/>
          <w:szCs w:val="22"/>
        </w:rPr>
        <w:tab/>
        <w:t>Specialios laikymo sąlygos</w:t>
      </w:r>
    </w:p>
    <w:p w14:paraId="25350598" w14:textId="77777777" w:rsidR="00C91987" w:rsidRPr="001C693E" w:rsidRDefault="00C91987" w:rsidP="00C91987">
      <w:pPr>
        <w:pStyle w:val="Pagrindinistekstas"/>
        <w:spacing w:after="0"/>
        <w:rPr>
          <w:szCs w:val="22"/>
        </w:rPr>
      </w:pPr>
    </w:p>
    <w:p w14:paraId="7E24519C" w14:textId="77777777" w:rsidR="00C91987" w:rsidRPr="001C693E" w:rsidRDefault="00C91987" w:rsidP="00C91987">
      <w:pPr>
        <w:pStyle w:val="Pagrindinistekstas"/>
        <w:spacing w:after="0"/>
        <w:rPr>
          <w:szCs w:val="22"/>
        </w:rPr>
      </w:pPr>
      <w:r w:rsidRPr="001C693E">
        <w:rPr>
          <w:szCs w:val="22"/>
        </w:rPr>
        <w:t xml:space="preserve">Laikyti šaldytuve (2 </w:t>
      </w:r>
      <w:r w:rsidRPr="001C693E">
        <w:rPr>
          <w:szCs w:val="22"/>
        </w:rPr>
        <w:sym w:font="Symbol" w:char="F0B0"/>
      </w:r>
      <w:r w:rsidRPr="001C693E">
        <w:rPr>
          <w:szCs w:val="22"/>
        </w:rPr>
        <w:t xml:space="preserve">C – 8 </w:t>
      </w:r>
      <w:r w:rsidRPr="001C693E">
        <w:rPr>
          <w:szCs w:val="22"/>
        </w:rPr>
        <w:sym w:font="Symbol" w:char="F0B0"/>
      </w:r>
      <w:r w:rsidRPr="001C693E">
        <w:rPr>
          <w:szCs w:val="22"/>
        </w:rPr>
        <w:t>C).</w:t>
      </w:r>
    </w:p>
    <w:p w14:paraId="525BD31E" w14:textId="77777777" w:rsidR="00C91987" w:rsidRPr="001C693E" w:rsidRDefault="00C91987" w:rsidP="00C91987">
      <w:pPr>
        <w:pStyle w:val="Pagrindinistekstas"/>
        <w:spacing w:after="0"/>
        <w:rPr>
          <w:szCs w:val="22"/>
        </w:rPr>
      </w:pPr>
      <w:r w:rsidRPr="001C693E">
        <w:rPr>
          <w:szCs w:val="22"/>
        </w:rPr>
        <w:t>Negalima užšaldyti.</w:t>
      </w:r>
    </w:p>
    <w:p w14:paraId="27BF1312" w14:textId="77777777" w:rsidR="00C91987" w:rsidRPr="001C693E" w:rsidRDefault="00C91987" w:rsidP="00C91987">
      <w:pPr>
        <w:pStyle w:val="Pagrindinistekstas"/>
        <w:spacing w:after="0"/>
        <w:rPr>
          <w:szCs w:val="22"/>
        </w:rPr>
      </w:pPr>
      <w:r w:rsidRPr="001C693E">
        <w:rPr>
          <w:szCs w:val="22"/>
        </w:rPr>
        <w:t>Ampules laikyti išorinėje dėžutėje, kad preparatas būtų apsaugotas nuo šviesos.</w:t>
      </w:r>
    </w:p>
    <w:p w14:paraId="684B65F7" w14:textId="77777777" w:rsidR="00C91987" w:rsidRPr="001C693E" w:rsidRDefault="00C91987" w:rsidP="00C91987">
      <w:pPr>
        <w:pStyle w:val="Pagrindinistekstas"/>
        <w:spacing w:after="0"/>
        <w:rPr>
          <w:szCs w:val="22"/>
        </w:rPr>
      </w:pPr>
    </w:p>
    <w:p w14:paraId="2F939910" w14:textId="77777777" w:rsidR="00C91987" w:rsidRPr="001C693E" w:rsidRDefault="00C91987" w:rsidP="00C91987">
      <w:pPr>
        <w:ind w:left="550" w:hanging="550"/>
        <w:rPr>
          <w:b/>
          <w:bCs/>
          <w:szCs w:val="22"/>
        </w:rPr>
      </w:pPr>
      <w:r w:rsidRPr="001C693E">
        <w:rPr>
          <w:b/>
          <w:bCs/>
          <w:szCs w:val="22"/>
        </w:rPr>
        <w:t>6.5</w:t>
      </w:r>
      <w:r w:rsidRPr="001C693E">
        <w:rPr>
          <w:b/>
          <w:bCs/>
          <w:szCs w:val="22"/>
        </w:rPr>
        <w:tab/>
        <w:t>Pakuotė ir jos turinys</w:t>
      </w:r>
    </w:p>
    <w:p w14:paraId="4C63B69B" w14:textId="77777777" w:rsidR="00C91987" w:rsidRPr="001C693E" w:rsidRDefault="00C91987" w:rsidP="00C91987">
      <w:pPr>
        <w:pStyle w:val="Pagrindinistekstas"/>
        <w:spacing w:after="0"/>
        <w:rPr>
          <w:szCs w:val="22"/>
        </w:rPr>
      </w:pPr>
    </w:p>
    <w:p w14:paraId="28613034" w14:textId="77777777" w:rsidR="00C91987" w:rsidRPr="001C693E" w:rsidRDefault="00C91987" w:rsidP="00C91987">
      <w:pPr>
        <w:pStyle w:val="Pagrindinistekstas"/>
        <w:spacing w:after="0"/>
        <w:rPr>
          <w:szCs w:val="22"/>
        </w:rPr>
      </w:pPr>
      <w:r w:rsidRPr="001C693E">
        <w:rPr>
          <w:szCs w:val="22"/>
        </w:rPr>
        <w:t>I tipo skaidraus neutralaus stiklo ampulės. Kartono dėžutėje yra 5 ampulės po 2,5 ml arba 5 ml tirpalo.</w:t>
      </w:r>
    </w:p>
    <w:p w14:paraId="3382F0D7" w14:textId="77777777" w:rsidR="00C91987" w:rsidRPr="001C693E" w:rsidRDefault="00C91987" w:rsidP="00C91987">
      <w:pPr>
        <w:pStyle w:val="Pagrindinistekstas"/>
        <w:spacing w:after="0"/>
        <w:rPr>
          <w:szCs w:val="22"/>
        </w:rPr>
      </w:pPr>
      <w:r w:rsidRPr="001C693E">
        <w:rPr>
          <w:noProof/>
          <w:szCs w:val="22"/>
        </w:rPr>
        <w:t>Gali būti tiekiamos ne visų dydžių pakuotės</w:t>
      </w:r>
    </w:p>
    <w:p w14:paraId="415E398E" w14:textId="77777777" w:rsidR="00C91987" w:rsidRPr="001C693E" w:rsidRDefault="00C91987" w:rsidP="00C91987">
      <w:pPr>
        <w:pStyle w:val="Pagrindinistekstas"/>
        <w:spacing w:after="0"/>
        <w:rPr>
          <w:szCs w:val="22"/>
        </w:rPr>
      </w:pPr>
    </w:p>
    <w:p w14:paraId="56D2C112" w14:textId="77777777" w:rsidR="00C91987" w:rsidRPr="001C693E" w:rsidRDefault="00C91987" w:rsidP="00C91987">
      <w:pPr>
        <w:ind w:left="550" w:hanging="550"/>
        <w:rPr>
          <w:b/>
          <w:bCs/>
          <w:szCs w:val="22"/>
        </w:rPr>
      </w:pPr>
      <w:r w:rsidRPr="001C693E">
        <w:rPr>
          <w:b/>
          <w:bCs/>
          <w:szCs w:val="22"/>
        </w:rPr>
        <w:t>6.6</w:t>
      </w:r>
      <w:r w:rsidRPr="001C693E">
        <w:rPr>
          <w:b/>
          <w:bCs/>
          <w:szCs w:val="22"/>
        </w:rPr>
        <w:tab/>
      </w:r>
      <w:r w:rsidRPr="001C693E">
        <w:rPr>
          <w:b/>
          <w:szCs w:val="22"/>
        </w:rPr>
        <w:t>Specialūs reikalavimai atliekoms tvarkyti ir vaistiniam preparatui ruošti</w:t>
      </w:r>
    </w:p>
    <w:p w14:paraId="6E45AA20" w14:textId="77777777" w:rsidR="00C91987" w:rsidRPr="001C693E" w:rsidRDefault="00C91987" w:rsidP="00C91987">
      <w:pPr>
        <w:pStyle w:val="Pagrindinistekstas"/>
        <w:spacing w:after="0"/>
        <w:rPr>
          <w:szCs w:val="22"/>
        </w:rPr>
      </w:pPr>
    </w:p>
    <w:p w14:paraId="019C7E9F" w14:textId="77777777" w:rsidR="00C91987" w:rsidRPr="001C693E" w:rsidRDefault="00C91987" w:rsidP="00C91987">
      <w:pPr>
        <w:rPr>
          <w:szCs w:val="22"/>
        </w:rPr>
      </w:pPr>
      <w:r w:rsidRPr="001C693E">
        <w:rPr>
          <w:szCs w:val="22"/>
        </w:rPr>
        <w:t>Vartoti tik skaidrų ir beveik bespalvį iki šviesiai geltonos ar žalsvai geltonos spalvos tirpalą.</w:t>
      </w:r>
    </w:p>
    <w:p w14:paraId="6BB249F0" w14:textId="77777777" w:rsidR="00C91987" w:rsidRPr="001C693E" w:rsidRDefault="00C91987" w:rsidP="00C91987">
      <w:pPr>
        <w:rPr>
          <w:szCs w:val="22"/>
        </w:rPr>
      </w:pPr>
    </w:p>
    <w:p w14:paraId="31CB7486" w14:textId="77777777" w:rsidR="00C91987" w:rsidRPr="001C693E" w:rsidRDefault="00C91987" w:rsidP="00C91987">
      <w:pPr>
        <w:rPr>
          <w:szCs w:val="22"/>
        </w:rPr>
      </w:pPr>
      <w:r w:rsidRPr="001C693E">
        <w:rPr>
          <w:szCs w:val="22"/>
        </w:rPr>
        <w:t xml:space="preserve">Atskiestas </w:t>
      </w:r>
      <w:r w:rsidRPr="001C693E">
        <w:rPr>
          <w:caps/>
          <w:szCs w:val="22"/>
        </w:rPr>
        <w:t>N</w:t>
      </w:r>
      <w:r w:rsidRPr="001C693E">
        <w:rPr>
          <w:szCs w:val="22"/>
        </w:rPr>
        <w:t>imbex išlieka fiziškai ir chemiškai stabilus mažiausiai 24 val., kai yra 5</w:t>
      </w:r>
      <w:r w:rsidRPr="001C693E">
        <w:rPr>
          <w:szCs w:val="22"/>
        </w:rPr>
        <w:sym w:font="Symbol" w:char="F0B0"/>
      </w:r>
      <w:r w:rsidRPr="001C693E">
        <w:rPr>
          <w:szCs w:val="22"/>
        </w:rPr>
        <w:t>C bei 25</w:t>
      </w:r>
      <w:r w:rsidRPr="001C693E">
        <w:rPr>
          <w:szCs w:val="22"/>
        </w:rPr>
        <w:sym w:font="Symbol" w:char="F0B0"/>
      </w:r>
      <w:r w:rsidRPr="001C693E">
        <w:rPr>
          <w:szCs w:val="22"/>
        </w:rPr>
        <w:t>C temperatūra ir jo koncentracija 0,1-2 mg/ml žemiau nurodytuose infuziniuose tirpaluose, polivinilchlorido ar polipropileno talpyklėse.</w:t>
      </w:r>
    </w:p>
    <w:p w14:paraId="6542131E" w14:textId="77777777" w:rsidR="00C91987" w:rsidRPr="001C693E" w:rsidRDefault="00C91987" w:rsidP="00C91987">
      <w:pPr>
        <w:rPr>
          <w:szCs w:val="22"/>
        </w:rPr>
      </w:pPr>
    </w:p>
    <w:p w14:paraId="32E448F4" w14:textId="77777777" w:rsidR="00C91987" w:rsidRPr="001C693E" w:rsidRDefault="00C91987" w:rsidP="00C91987">
      <w:pPr>
        <w:rPr>
          <w:szCs w:val="22"/>
        </w:rPr>
      </w:pPr>
      <w:r w:rsidRPr="001C693E">
        <w:rPr>
          <w:szCs w:val="22"/>
        </w:rPr>
        <w:t>Natrio chlorido (0,9% m/V) intraveninis infuzinis tirpalas.</w:t>
      </w:r>
    </w:p>
    <w:p w14:paraId="7ACF976C" w14:textId="77777777" w:rsidR="00C91987" w:rsidRPr="001C693E" w:rsidRDefault="00C91987" w:rsidP="00C91987">
      <w:pPr>
        <w:rPr>
          <w:szCs w:val="22"/>
        </w:rPr>
      </w:pPr>
      <w:r w:rsidRPr="001C693E">
        <w:rPr>
          <w:szCs w:val="22"/>
        </w:rPr>
        <w:t>Dekstrozės (5% m/V) intraveninis infuzinis tirpalas.</w:t>
      </w:r>
    </w:p>
    <w:p w14:paraId="08F101D3" w14:textId="77777777" w:rsidR="00C91987" w:rsidRPr="001C693E" w:rsidRDefault="00C91987" w:rsidP="00C91987">
      <w:pPr>
        <w:rPr>
          <w:szCs w:val="22"/>
        </w:rPr>
      </w:pPr>
      <w:r w:rsidRPr="001C693E">
        <w:rPr>
          <w:szCs w:val="22"/>
        </w:rPr>
        <w:t>Natrio chlorido (0,18% m/V) ir dekstrozės (4% m/V) intraveninis infuzinis tirpalas.</w:t>
      </w:r>
    </w:p>
    <w:p w14:paraId="20DFAB3C" w14:textId="77777777" w:rsidR="00C91987" w:rsidRPr="001C693E" w:rsidRDefault="00C91987" w:rsidP="00C91987">
      <w:pPr>
        <w:rPr>
          <w:szCs w:val="22"/>
        </w:rPr>
      </w:pPr>
      <w:r w:rsidRPr="001C693E">
        <w:rPr>
          <w:szCs w:val="22"/>
        </w:rPr>
        <w:t>Natrio chlorido (0,45% m/V) ir dekstrozės (2,5% m/V) intraveninis infuzinis tirpalas.</w:t>
      </w:r>
    </w:p>
    <w:p w14:paraId="3FB8DD63" w14:textId="77777777" w:rsidR="00C91987" w:rsidRPr="001C693E" w:rsidRDefault="00C91987" w:rsidP="00C91987">
      <w:pPr>
        <w:rPr>
          <w:szCs w:val="22"/>
        </w:rPr>
      </w:pPr>
    </w:p>
    <w:p w14:paraId="3211E878" w14:textId="77777777" w:rsidR="00C91987" w:rsidRPr="001C693E" w:rsidRDefault="00C91987" w:rsidP="00C91987">
      <w:pPr>
        <w:rPr>
          <w:szCs w:val="22"/>
        </w:rPr>
      </w:pPr>
      <w:r w:rsidRPr="001C693E">
        <w:rPr>
          <w:szCs w:val="22"/>
        </w:rPr>
        <w:t>Tirpale nėra antimikrobinių konservantų, todėl vaistą skiesti reikia prieš pat vartojimą. Iš karto nesuvartotą tirpalą laikyti taip, kaip nurodyta 6.3. skyriuje.</w:t>
      </w:r>
    </w:p>
    <w:p w14:paraId="741024B3" w14:textId="77777777" w:rsidR="00C91987" w:rsidRPr="001C693E" w:rsidRDefault="00C91987" w:rsidP="00C91987">
      <w:pPr>
        <w:rPr>
          <w:szCs w:val="22"/>
        </w:rPr>
      </w:pPr>
    </w:p>
    <w:p w14:paraId="2A5CD074" w14:textId="77777777" w:rsidR="00C91987" w:rsidRPr="001C693E" w:rsidRDefault="00C91987" w:rsidP="00C91987">
      <w:pPr>
        <w:rPr>
          <w:szCs w:val="22"/>
        </w:rPr>
      </w:pPr>
      <w:r w:rsidRPr="001C693E">
        <w:rPr>
          <w:szCs w:val="22"/>
        </w:rPr>
        <w:lastRenderedPageBreak/>
        <w:t xml:space="preserve">Nustatyta, kad </w:t>
      </w:r>
      <w:r w:rsidRPr="001C693E">
        <w:rPr>
          <w:caps/>
          <w:szCs w:val="22"/>
        </w:rPr>
        <w:t>N</w:t>
      </w:r>
      <w:r w:rsidRPr="001C693E">
        <w:rPr>
          <w:szCs w:val="22"/>
        </w:rPr>
        <w:t xml:space="preserve">imbex yra suderinamas su šiais perioperaciniu laikotarpiu vartojamais vaistais, kurie susimaišo panašiai kaip ir švirkščiant per intraveninės infuzijos Y formos kaniulę: alfentanilio hidrochloridu, droperidoliu, fentanilio citratu, midazolamo hidrochloridu ir sufentanilio citratu. Sušvirkštus kitų vaistų per tą pačią adatą ar kaniulę, per kurias švirkščiama </w:t>
      </w:r>
      <w:r w:rsidRPr="001C693E">
        <w:rPr>
          <w:caps/>
          <w:szCs w:val="22"/>
        </w:rPr>
        <w:t>N</w:t>
      </w:r>
      <w:r w:rsidRPr="001C693E">
        <w:rPr>
          <w:szCs w:val="22"/>
        </w:rPr>
        <w:t>imbex, po jų injekcijos rekomenduojama suleisti adekvatų kiekį tinkamo intraveninio tirpalo, pvz., natrio chlorido tirpalo intraveninėms infuzijoms (0,9% m/V).</w:t>
      </w:r>
    </w:p>
    <w:p w14:paraId="45B5BB7F" w14:textId="77777777" w:rsidR="00C91987" w:rsidRPr="001C693E" w:rsidRDefault="00C91987" w:rsidP="00C91987">
      <w:pPr>
        <w:rPr>
          <w:szCs w:val="22"/>
        </w:rPr>
      </w:pPr>
    </w:p>
    <w:p w14:paraId="67E6CA4E" w14:textId="77777777" w:rsidR="00C91987" w:rsidRPr="001C693E" w:rsidRDefault="00C91987" w:rsidP="00C91987">
      <w:pPr>
        <w:rPr>
          <w:szCs w:val="22"/>
        </w:rPr>
      </w:pPr>
      <w:r w:rsidRPr="001C693E">
        <w:rPr>
          <w:szCs w:val="22"/>
        </w:rPr>
        <w:t xml:space="preserve">Kaip ir švirkščiant kitus vaistus į mažą veną, sušvirkštus </w:t>
      </w:r>
      <w:r w:rsidRPr="001C693E">
        <w:rPr>
          <w:caps/>
          <w:szCs w:val="22"/>
        </w:rPr>
        <w:t>N</w:t>
      </w:r>
      <w:r w:rsidRPr="001C693E">
        <w:rPr>
          <w:szCs w:val="22"/>
        </w:rPr>
        <w:t>imbex būtina suleisti tinkamo intraveninio tirpalo, pvz., natrio chlorido tirpalo intraveninėms infuzijoms (0,9% m/V).</w:t>
      </w:r>
    </w:p>
    <w:p w14:paraId="1BEC0401" w14:textId="77777777" w:rsidR="00C91987" w:rsidRPr="001C693E" w:rsidRDefault="00C91987" w:rsidP="00C91987">
      <w:pPr>
        <w:rPr>
          <w:bCs/>
          <w:i/>
          <w:iCs/>
          <w:szCs w:val="22"/>
          <w:u w:val="single"/>
        </w:rPr>
      </w:pPr>
    </w:p>
    <w:p w14:paraId="486262E5" w14:textId="77777777" w:rsidR="00C91987" w:rsidRPr="001C693E" w:rsidRDefault="00C91987" w:rsidP="00C91987">
      <w:pPr>
        <w:rPr>
          <w:b/>
          <w:szCs w:val="22"/>
        </w:rPr>
      </w:pPr>
      <w:r w:rsidRPr="001C693E">
        <w:rPr>
          <w:bCs/>
          <w:i/>
          <w:iCs/>
          <w:szCs w:val="22"/>
          <w:u w:val="single"/>
        </w:rPr>
        <w:t>Instrukcijos, kaip atidaryti ampulę (tinka tik 2 mg/ml ampulei)</w:t>
      </w:r>
    </w:p>
    <w:p w14:paraId="0178BE71" w14:textId="77777777" w:rsidR="00C91987" w:rsidRPr="001C693E" w:rsidRDefault="00C91987" w:rsidP="00C91987">
      <w:pPr>
        <w:rPr>
          <w:szCs w:val="22"/>
        </w:rPr>
      </w:pPr>
    </w:p>
    <w:p w14:paraId="102EA0F6" w14:textId="77777777" w:rsidR="00C91987" w:rsidRPr="001C693E" w:rsidRDefault="00C91987" w:rsidP="00C91987">
      <w:pPr>
        <w:rPr>
          <w:szCs w:val="22"/>
        </w:rPr>
      </w:pPr>
      <w:r w:rsidRPr="001C693E">
        <w:rPr>
          <w:szCs w:val="22"/>
        </w:rPr>
        <w:t>Ampulė yra su OPC (</w:t>
      </w:r>
      <w:r w:rsidRPr="001C693E">
        <w:rPr>
          <w:i/>
          <w:szCs w:val="22"/>
        </w:rPr>
        <w:t>One Point Cut</w:t>
      </w:r>
      <w:r w:rsidRPr="001C693E">
        <w:rPr>
          <w:szCs w:val="22"/>
        </w:rPr>
        <w:t>, vieno taško pjūvio) atidarymo sistema. Ją reikia atidaryti laikantis šių nurodymų:</w:t>
      </w:r>
    </w:p>
    <w:p w14:paraId="67E1C1C7" w14:textId="77777777" w:rsidR="00C91987" w:rsidRPr="001C693E" w:rsidRDefault="00C91987" w:rsidP="00C91987">
      <w:pPr>
        <w:numPr>
          <w:ilvl w:val="0"/>
          <w:numId w:val="1"/>
        </w:numPr>
        <w:rPr>
          <w:szCs w:val="22"/>
        </w:rPr>
      </w:pPr>
      <w:r w:rsidRPr="001C693E">
        <w:rPr>
          <w:szCs w:val="22"/>
        </w:rPr>
        <w:t>Apatinę ampulės dalį laikykite rankoje taip, kaip nurodyta 1 pav.</w:t>
      </w:r>
    </w:p>
    <w:p w14:paraId="5AD3CE6A" w14:textId="77777777" w:rsidR="00C91987" w:rsidRPr="001C693E" w:rsidRDefault="00C91987" w:rsidP="00C91987">
      <w:pPr>
        <w:numPr>
          <w:ilvl w:val="0"/>
          <w:numId w:val="1"/>
        </w:numPr>
        <w:rPr>
          <w:szCs w:val="22"/>
        </w:rPr>
      </w:pPr>
      <w:r w:rsidRPr="001C693E">
        <w:rPr>
          <w:szCs w:val="22"/>
        </w:rPr>
        <w:t>Kita ranka suimkite ampulės viršų taip, kad nykštys būtų virš spalvoto taško, ir spauskite, kaip nurodyta 2 pav.</w:t>
      </w:r>
    </w:p>
    <w:p w14:paraId="0AA295DF" w14:textId="77777777" w:rsidR="00C91987" w:rsidRPr="001C693E" w:rsidRDefault="00C91987" w:rsidP="00C91987">
      <w:pPr>
        <w:rPr>
          <w:szCs w:val="22"/>
        </w:rPr>
      </w:pPr>
      <w:r w:rsidRPr="001C693E">
        <w:rPr>
          <w:noProof/>
          <w:szCs w:val="22"/>
        </w:rPr>
        <w:drawing>
          <wp:anchor distT="0" distB="0" distL="114300" distR="114300" simplePos="0" relativeHeight="251658240" behindDoc="0" locked="0" layoutInCell="1" allowOverlap="1" wp14:anchorId="2BCF184B" wp14:editId="42E3BD8D">
            <wp:simplePos x="0" y="0"/>
            <wp:positionH relativeFrom="column">
              <wp:posOffset>2922905</wp:posOffset>
            </wp:positionH>
            <wp:positionV relativeFrom="paragraph">
              <wp:posOffset>356870</wp:posOffset>
            </wp:positionV>
            <wp:extent cx="1804035" cy="2273935"/>
            <wp:effectExtent l="19050" t="0" r="5715" b="0"/>
            <wp:wrapTopAndBottom/>
            <wp:docPr id="3" name="Picture 3" descr="DisFial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sFiala2"/>
                    <pic:cNvPicPr>
                      <a:picLocks noChangeAspect="1" noChangeArrowheads="1"/>
                    </pic:cNvPicPr>
                  </pic:nvPicPr>
                  <pic:blipFill>
                    <a:blip r:embed="rId10" cstate="print"/>
                    <a:srcRect/>
                    <a:stretch>
                      <a:fillRect/>
                    </a:stretch>
                  </pic:blipFill>
                  <pic:spPr bwMode="auto">
                    <a:xfrm>
                      <a:off x="0" y="0"/>
                      <a:ext cx="1804035" cy="2273935"/>
                    </a:xfrm>
                    <a:prstGeom prst="rect">
                      <a:avLst/>
                    </a:prstGeom>
                    <a:noFill/>
                    <a:ln w="9525">
                      <a:noFill/>
                      <a:miter lim="800000"/>
                      <a:headEnd/>
                      <a:tailEnd/>
                    </a:ln>
                  </pic:spPr>
                </pic:pic>
              </a:graphicData>
            </a:graphic>
          </wp:anchor>
        </w:drawing>
      </w:r>
    </w:p>
    <w:p w14:paraId="1A5C4BEE" w14:textId="77777777" w:rsidR="00C91987" w:rsidRPr="001C693E" w:rsidRDefault="00154D44" w:rsidP="00C91987">
      <w:pPr>
        <w:rPr>
          <w:szCs w:val="22"/>
        </w:rPr>
      </w:pPr>
      <w:r>
        <w:rPr>
          <w:noProof/>
          <w:szCs w:val="22"/>
        </w:rPr>
        <w:object w:dxaOrig="1440" w:dyaOrig="1440" w14:anchorId="35EBAE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4.15pt;margin-top:11.85pt;width:113.35pt;height:185.15pt;z-index:251660288;visibility:visible;mso-wrap-edited:f">
            <v:imagedata r:id="rId11" o:title=""/>
            <w10:wrap type="topAndBottom"/>
          </v:shape>
          <o:OLEObject Type="Embed" ProgID="Word.Picture.8" ShapeID="_x0000_s1026" DrawAspect="Content" ObjectID="_1702299457" r:id="rId12"/>
        </w:object>
      </w:r>
    </w:p>
    <w:p w14:paraId="61D99A9D" w14:textId="77777777" w:rsidR="00C91987" w:rsidRPr="001C693E" w:rsidRDefault="00C91987" w:rsidP="00C91987">
      <w:pPr>
        <w:rPr>
          <w:szCs w:val="22"/>
        </w:rPr>
      </w:pPr>
    </w:p>
    <w:p w14:paraId="740D58DE" w14:textId="77777777" w:rsidR="00C91987" w:rsidRPr="001C693E" w:rsidRDefault="00C91987" w:rsidP="00C91987">
      <w:pPr>
        <w:rPr>
          <w:szCs w:val="22"/>
        </w:rPr>
      </w:pPr>
      <w:r w:rsidRPr="001C693E">
        <w:rPr>
          <w:szCs w:val="22"/>
        </w:rPr>
        <w:t>1 pav.</w:t>
      </w:r>
      <w:r w:rsidRPr="001C693E">
        <w:rPr>
          <w:szCs w:val="22"/>
        </w:rPr>
        <w:tab/>
      </w:r>
      <w:r w:rsidRPr="001C693E">
        <w:rPr>
          <w:szCs w:val="22"/>
        </w:rPr>
        <w:tab/>
      </w:r>
      <w:r w:rsidRPr="001C693E">
        <w:rPr>
          <w:szCs w:val="22"/>
        </w:rPr>
        <w:tab/>
      </w:r>
      <w:r w:rsidRPr="001C693E">
        <w:rPr>
          <w:szCs w:val="22"/>
        </w:rPr>
        <w:tab/>
      </w:r>
      <w:r w:rsidRPr="001C693E">
        <w:rPr>
          <w:szCs w:val="22"/>
        </w:rPr>
        <w:tab/>
      </w:r>
      <w:r w:rsidRPr="001C693E">
        <w:rPr>
          <w:szCs w:val="22"/>
        </w:rPr>
        <w:tab/>
        <w:t>2 pav.</w:t>
      </w:r>
    </w:p>
    <w:p w14:paraId="3F1722B3" w14:textId="77777777" w:rsidR="00C91987" w:rsidRPr="001C693E" w:rsidRDefault="00C91987" w:rsidP="00C91987">
      <w:pPr>
        <w:rPr>
          <w:szCs w:val="22"/>
        </w:rPr>
      </w:pPr>
    </w:p>
    <w:p w14:paraId="759B1626" w14:textId="77777777" w:rsidR="00C91987" w:rsidRPr="001C693E" w:rsidRDefault="00C91987" w:rsidP="00C91987">
      <w:pPr>
        <w:pStyle w:val="Pagrindinistekstas"/>
        <w:spacing w:after="0"/>
        <w:rPr>
          <w:szCs w:val="22"/>
        </w:rPr>
      </w:pPr>
    </w:p>
    <w:p w14:paraId="59ADA9F0" w14:textId="77777777" w:rsidR="00C91987" w:rsidRPr="001C693E" w:rsidRDefault="00C91987" w:rsidP="00C91987">
      <w:pPr>
        <w:pStyle w:val="Pagrindinistekstas"/>
        <w:spacing w:after="0"/>
        <w:rPr>
          <w:szCs w:val="22"/>
        </w:rPr>
      </w:pPr>
    </w:p>
    <w:p w14:paraId="765D3905" w14:textId="77777777" w:rsidR="00C91987" w:rsidRPr="001C693E" w:rsidRDefault="00C91987" w:rsidP="00C91987">
      <w:pPr>
        <w:pStyle w:val="Antrat2"/>
        <w:rPr>
          <w:szCs w:val="22"/>
        </w:rPr>
      </w:pPr>
      <w:r w:rsidRPr="001C693E">
        <w:rPr>
          <w:szCs w:val="22"/>
        </w:rPr>
        <w:t>7.</w:t>
      </w:r>
      <w:r w:rsidRPr="001C693E">
        <w:rPr>
          <w:szCs w:val="22"/>
        </w:rPr>
        <w:tab/>
      </w:r>
      <w:r w:rsidR="00DD5740" w:rsidRPr="001C693E">
        <w:rPr>
          <w:szCs w:val="22"/>
        </w:rPr>
        <w:t>REGISTRUO</w:t>
      </w:r>
      <w:r w:rsidRPr="001C693E">
        <w:rPr>
          <w:szCs w:val="22"/>
        </w:rPr>
        <w:t>TOJAS</w:t>
      </w:r>
    </w:p>
    <w:p w14:paraId="7161770A" w14:textId="77777777" w:rsidR="00C91987" w:rsidRPr="001C693E" w:rsidRDefault="00C91987" w:rsidP="00C91987">
      <w:pPr>
        <w:pStyle w:val="Pagrindinistekstas"/>
        <w:spacing w:after="0"/>
        <w:rPr>
          <w:szCs w:val="22"/>
        </w:rPr>
      </w:pPr>
    </w:p>
    <w:p w14:paraId="4320AF25" w14:textId="77777777" w:rsidR="0052450B" w:rsidRPr="001C693E" w:rsidRDefault="0052450B" w:rsidP="0052450B">
      <w:pPr>
        <w:ind w:left="567" w:hanging="567"/>
        <w:rPr>
          <w:szCs w:val="22"/>
        </w:rPr>
      </w:pPr>
      <w:r w:rsidRPr="001C693E">
        <w:rPr>
          <w:szCs w:val="22"/>
        </w:rPr>
        <w:t>Aspen Pharma Trading Limited</w:t>
      </w:r>
    </w:p>
    <w:p w14:paraId="57EC09AA" w14:textId="77777777" w:rsidR="0052450B" w:rsidRPr="001C693E" w:rsidRDefault="0052450B" w:rsidP="0052450B">
      <w:pPr>
        <w:ind w:left="567" w:hanging="567"/>
        <w:rPr>
          <w:szCs w:val="22"/>
        </w:rPr>
      </w:pPr>
      <w:r w:rsidRPr="001C693E">
        <w:rPr>
          <w:szCs w:val="22"/>
        </w:rPr>
        <w:t>3016 Lake Drive</w:t>
      </w:r>
    </w:p>
    <w:p w14:paraId="153B95D4" w14:textId="77777777" w:rsidR="0052450B" w:rsidRPr="001C693E" w:rsidRDefault="0052450B" w:rsidP="0052450B">
      <w:pPr>
        <w:ind w:left="567" w:hanging="567"/>
        <w:rPr>
          <w:szCs w:val="22"/>
        </w:rPr>
      </w:pPr>
      <w:r w:rsidRPr="001C693E">
        <w:rPr>
          <w:szCs w:val="22"/>
        </w:rPr>
        <w:t>Citywest Business Campus</w:t>
      </w:r>
    </w:p>
    <w:p w14:paraId="29EF9C0A" w14:textId="77777777" w:rsidR="0052450B" w:rsidRPr="001C693E" w:rsidRDefault="0052450B" w:rsidP="0052450B">
      <w:pPr>
        <w:ind w:left="567" w:hanging="567"/>
        <w:rPr>
          <w:szCs w:val="22"/>
        </w:rPr>
      </w:pPr>
      <w:r w:rsidRPr="001C693E">
        <w:rPr>
          <w:szCs w:val="22"/>
        </w:rPr>
        <w:t>Dublin 24</w:t>
      </w:r>
    </w:p>
    <w:p w14:paraId="6842040C" w14:textId="77777777" w:rsidR="00C91987" w:rsidRPr="001C693E" w:rsidRDefault="0052450B" w:rsidP="00C91987">
      <w:pPr>
        <w:pStyle w:val="Pagrindinistekstas"/>
        <w:spacing w:after="0"/>
        <w:rPr>
          <w:szCs w:val="22"/>
        </w:rPr>
      </w:pPr>
      <w:r w:rsidRPr="001C693E">
        <w:rPr>
          <w:szCs w:val="22"/>
        </w:rPr>
        <w:t>Airija</w:t>
      </w:r>
    </w:p>
    <w:p w14:paraId="47A22716" w14:textId="77777777" w:rsidR="00C91987" w:rsidRPr="001C693E" w:rsidRDefault="00C91987" w:rsidP="00C91987">
      <w:pPr>
        <w:pStyle w:val="Pagrindinistekstas"/>
        <w:spacing w:after="0"/>
        <w:rPr>
          <w:szCs w:val="22"/>
        </w:rPr>
      </w:pPr>
    </w:p>
    <w:p w14:paraId="32C251F5" w14:textId="77777777" w:rsidR="00C91987" w:rsidRPr="001C693E" w:rsidRDefault="00C91987" w:rsidP="00C91987">
      <w:pPr>
        <w:pStyle w:val="Pagrindinistekstas"/>
        <w:spacing w:after="0"/>
        <w:rPr>
          <w:szCs w:val="22"/>
        </w:rPr>
      </w:pPr>
    </w:p>
    <w:p w14:paraId="63CEEB1C" w14:textId="77777777" w:rsidR="00C91987" w:rsidRPr="001C693E" w:rsidRDefault="00C91987" w:rsidP="00C91987">
      <w:pPr>
        <w:pStyle w:val="Antrat2"/>
        <w:rPr>
          <w:szCs w:val="22"/>
        </w:rPr>
      </w:pPr>
      <w:r w:rsidRPr="001C693E">
        <w:rPr>
          <w:szCs w:val="22"/>
        </w:rPr>
        <w:t>8.</w:t>
      </w:r>
      <w:r w:rsidRPr="001C693E">
        <w:rPr>
          <w:szCs w:val="22"/>
        </w:rPr>
        <w:tab/>
      </w:r>
      <w:r w:rsidR="00DD5740" w:rsidRPr="00837997">
        <w:rPr>
          <w:szCs w:val="22"/>
        </w:rPr>
        <w:t xml:space="preserve">REGISTRACIJOS </w:t>
      </w:r>
      <w:r w:rsidR="00DD5740" w:rsidRPr="001C693E">
        <w:rPr>
          <w:noProof/>
          <w:szCs w:val="22"/>
        </w:rPr>
        <w:t>PAŽYMĖJIMO</w:t>
      </w:r>
      <w:r w:rsidR="00DD5740" w:rsidRPr="00837997">
        <w:rPr>
          <w:szCs w:val="22"/>
        </w:rPr>
        <w:t xml:space="preserve"> </w:t>
      </w:r>
      <w:r w:rsidRPr="001C693E">
        <w:rPr>
          <w:szCs w:val="22"/>
        </w:rPr>
        <w:t>NUMERIS (-IAI)</w:t>
      </w:r>
    </w:p>
    <w:p w14:paraId="141E797A" w14:textId="77777777" w:rsidR="00C91987" w:rsidRPr="001C693E" w:rsidRDefault="00C91987" w:rsidP="00C91987">
      <w:pPr>
        <w:pStyle w:val="Pagrindinistekstas"/>
        <w:spacing w:after="0"/>
        <w:rPr>
          <w:szCs w:val="22"/>
        </w:rPr>
      </w:pPr>
    </w:p>
    <w:p w14:paraId="7026EACD" w14:textId="77777777" w:rsidR="00C91987" w:rsidRPr="001C693E" w:rsidRDefault="00C91987" w:rsidP="00C91987">
      <w:pPr>
        <w:pStyle w:val="Pagrindinistekstas"/>
        <w:spacing w:after="0"/>
        <w:rPr>
          <w:szCs w:val="22"/>
        </w:rPr>
      </w:pPr>
      <w:r w:rsidRPr="001C693E">
        <w:rPr>
          <w:szCs w:val="22"/>
        </w:rPr>
        <w:t>2,5 ml - LT/1/98/0152/001</w:t>
      </w:r>
    </w:p>
    <w:p w14:paraId="200A9E21" w14:textId="77777777" w:rsidR="00C91987" w:rsidRPr="001C693E" w:rsidRDefault="00C91987" w:rsidP="00C91987">
      <w:pPr>
        <w:pStyle w:val="Pagrindinistekstas"/>
        <w:spacing w:after="0"/>
        <w:rPr>
          <w:szCs w:val="22"/>
        </w:rPr>
      </w:pPr>
      <w:r w:rsidRPr="001C693E">
        <w:rPr>
          <w:szCs w:val="22"/>
        </w:rPr>
        <w:t>5 ml - LT/1/98/0152/002</w:t>
      </w:r>
    </w:p>
    <w:p w14:paraId="526121F1" w14:textId="77777777" w:rsidR="00C91987" w:rsidRPr="001C693E" w:rsidRDefault="00C91987" w:rsidP="00C91987">
      <w:pPr>
        <w:pStyle w:val="Pagrindinistekstas"/>
        <w:spacing w:after="0"/>
        <w:rPr>
          <w:szCs w:val="22"/>
        </w:rPr>
      </w:pPr>
    </w:p>
    <w:p w14:paraId="735FFF1A" w14:textId="77777777" w:rsidR="00C91987" w:rsidRPr="001C693E" w:rsidRDefault="00C91987" w:rsidP="00C91987">
      <w:pPr>
        <w:pStyle w:val="Pagrindinistekstas"/>
        <w:spacing w:after="0"/>
        <w:rPr>
          <w:szCs w:val="22"/>
        </w:rPr>
      </w:pPr>
    </w:p>
    <w:p w14:paraId="44CA7F82" w14:textId="77777777" w:rsidR="00C91987" w:rsidRPr="001C693E" w:rsidRDefault="00C91987" w:rsidP="00C91987">
      <w:pPr>
        <w:pStyle w:val="Antrat2"/>
        <w:rPr>
          <w:szCs w:val="22"/>
        </w:rPr>
      </w:pPr>
      <w:r w:rsidRPr="001C693E">
        <w:rPr>
          <w:szCs w:val="22"/>
        </w:rPr>
        <w:t>9.</w:t>
      </w:r>
      <w:r w:rsidRPr="001C693E">
        <w:rPr>
          <w:szCs w:val="22"/>
        </w:rPr>
        <w:tab/>
      </w:r>
      <w:r w:rsidR="00DD5740" w:rsidRPr="00837997">
        <w:rPr>
          <w:szCs w:val="22"/>
        </w:rPr>
        <w:t xml:space="preserve">REGISTRAVIMO / PERREGISTRAVIMO </w:t>
      </w:r>
      <w:r w:rsidRPr="001C693E">
        <w:rPr>
          <w:szCs w:val="22"/>
        </w:rPr>
        <w:t>DATA</w:t>
      </w:r>
    </w:p>
    <w:p w14:paraId="278A69D5" w14:textId="77777777" w:rsidR="00C91987" w:rsidRPr="001C693E" w:rsidRDefault="00C91987" w:rsidP="00C91987">
      <w:pPr>
        <w:pStyle w:val="Pagrindinistekstas"/>
        <w:spacing w:after="0"/>
        <w:rPr>
          <w:szCs w:val="22"/>
        </w:rPr>
      </w:pPr>
    </w:p>
    <w:p w14:paraId="040ACE6C" w14:textId="77777777" w:rsidR="00C91987" w:rsidRPr="001C693E" w:rsidRDefault="00DD5740" w:rsidP="00C91987">
      <w:pPr>
        <w:pStyle w:val="Pagrindinistekstas"/>
        <w:spacing w:after="0"/>
        <w:rPr>
          <w:szCs w:val="22"/>
        </w:rPr>
      </w:pPr>
      <w:r w:rsidRPr="00837997">
        <w:rPr>
          <w:noProof/>
          <w:szCs w:val="22"/>
        </w:rPr>
        <w:t>Registravimo data</w:t>
      </w:r>
      <w:r w:rsidR="00C91987" w:rsidRPr="001C693E">
        <w:rPr>
          <w:szCs w:val="22"/>
        </w:rPr>
        <w:t xml:space="preserve"> 1998 m. sausio 28 d.</w:t>
      </w:r>
    </w:p>
    <w:p w14:paraId="2D9DC7FF" w14:textId="77777777" w:rsidR="00C91987" w:rsidRPr="001C693E" w:rsidRDefault="00DD5740" w:rsidP="00C91987">
      <w:pPr>
        <w:pStyle w:val="Pagrindinistekstas"/>
        <w:spacing w:after="0"/>
        <w:rPr>
          <w:szCs w:val="22"/>
        </w:rPr>
      </w:pPr>
      <w:r w:rsidRPr="001C693E">
        <w:rPr>
          <w:noProof/>
          <w:szCs w:val="22"/>
        </w:rPr>
        <w:t xml:space="preserve">Paskutinio </w:t>
      </w:r>
      <w:r w:rsidRPr="00837997">
        <w:rPr>
          <w:noProof/>
          <w:szCs w:val="22"/>
        </w:rPr>
        <w:t xml:space="preserve">perregistravimo data </w:t>
      </w:r>
      <w:r w:rsidR="00C91987" w:rsidRPr="001C693E">
        <w:rPr>
          <w:szCs w:val="22"/>
        </w:rPr>
        <w:t>2008 m. lapkričio 24 d.</w:t>
      </w:r>
    </w:p>
    <w:p w14:paraId="190E5569" w14:textId="77777777" w:rsidR="00C91987" w:rsidRPr="001C693E" w:rsidRDefault="00C91987" w:rsidP="00C91987">
      <w:pPr>
        <w:pStyle w:val="Pagrindinistekstas"/>
        <w:spacing w:after="0"/>
        <w:rPr>
          <w:szCs w:val="22"/>
        </w:rPr>
      </w:pPr>
    </w:p>
    <w:p w14:paraId="55EF5377" w14:textId="77777777" w:rsidR="00C91987" w:rsidRPr="001C693E" w:rsidRDefault="00C91987" w:rsidP="00C91987">
      <w:pPr>
        <w:pStyle w:val="Pagrindinistekstas"/>
        <w:spacing w:after="0"/>
        <w:rPr>
          <w:szCs w:val="22"/>
        </w:rPr>
      </w:pPr>
    </w:p>
    <w:p w14:paraId="5961F085" w14:textId="77777777" w:rsidR="00C91987" w:rsidRPr="001C693E" w:rsidRDefault="00C91987" w:rsidP="00C91987">
      <w:pPr>
        <w:pStyle w:val="Antrat2"/>
        <w:rPr>
          <w:szCs w:val="22"/>
        </w:rPr>
      </w:pPr>
      <w:r w:rsidRPr="001C693E">
        <w:rPr>
          <w:szCs w:val="22"/>
        </w:rPr>
        <w:t>10.</w:t>
      </w:r>
      <w:r w:rsidRPr="001C693E">
        <w:rPr>
          <w:szCs w:val="22"/>
        </w:rPr>
        <w:tab/>
        <w:t>TEKSTO PERŽIŪROS DATA</w:t>
      </w:r>
    </w:p>
    <w:p w14:paraId="1D54F490" w14:textId="77777777" w:rsidR="00C91987" w:rsidRPr="001C693E" w:rsidRDefault="00C91987" w:rsidP="00C91987">
      <w:pPr>
        <w:pStyle w:val="Pagrindinistekstas"/>
        <w:spacing w:after="0"/>
        <w:rPr>
          <w:szCs w:val="22"/>
        </w:rPr>
      </w:pPr>
    </w:p>
    <w:p w14:paraId="5F36EE69" w14:textId="4A1A10A6" w:rsidR="00C91987" w:rsidRPr="001C693E" w:rsidRDefault="003C7660" w:rsidP="00C91987">
      <w:pPr>
        <w:pStyle w:val="Pagrindinistekstas"/>
        <w:spacing w:after="0"/>
        <w:rPr>
          <w:szCs w:val="22"/>
        </w:rPr>
      </w:pPr>
      <w:r>
        <w:rPr>
          <w:szCs w:val="22"/>
        </w:rPr>
        <w:t>2021</w:t>
      </w:r>
      <w:r w:rsidR="003F4F16" w:rsidRPr="003F4F16">
        <w:rPr>
          <w:szCs w:val="22"/>
        </w:rPr>
        <w:t xml:space="preserve"> m. </w:t>
      </w:r>
      <w:r>
        <w:rPr>
          <w:szCs w:val="22"/>
        </w:rPr>
        <w:t>gruodžio 2</w:t>
      </w:r>
      <w:r w:rsidR="003F4F16" w:rsidRPr="003F4F16">
        <w:rPr>
          <w:szCs w:val="22"/>
        </w:rPr>
        <w:t>0 d.</w:t>
      </w:r>
    </w:p>
    <w:p w14:paraId="59651187" w14:textId="77777777" w:rsidR="00C91987" w:rsidRPr="001C693E" w:rsidRDefault="00C91987" w:rsidP="00C91987">
      <w:pPr>
        <w:pStyle w:val="Pagrindinistekstas"/>
        <w:spacing w:after="0"/>
        <w:rPr>
          <w:szCs w:val="22"/>
        </w:rPr>
      </w:pPr>
    </w:p>
    <w:p w14:paraId="155E4AA7" w14:textId="77777777" w:rsidR="00C91987" w:rsidRPr="001C693E" w:rsidRDefault="00C91987" w:rsidP="00C91987">
      <w:pPr>
        <w:pStyle w:val="Pagrindinistekstas"/>
        <w:spacing w:after="0"/>
        <w:rPr>
          <w:szCs w:val="22"/>
        </w:rPr>
      </w:pPr>
      <w:r w:rsidRPr="001C693E">
        <w:rPr>
          <w:szCs w:val="22"/>
        </w:rPr>
        <w:t xml:space="preserve">Išsami informacija apie šį vaistinį preparatą pateikiama Valstybinės vaistų kontrolės prie Lietuvos Respublikos sveikatos apsaugos ministerijos tinklalapyje  </w:t>
      </w:r>
      <w:hyperlink r:id="rId13" w:history="1">
        <w:r w:rsidRPr="001C693E">
          <w:rPr>
            <w:rStyle w:val="Hipersaitas"/>
            <w:szCs w:val="22"/>
          </w:rPr>
          <w:t>http://www.vvkt.lt/</w:t>
        </w:r>
      </w:hyperlink>
      <w:r w:rsidRPr="001C693E">
        <w:rPr>
          <w:szCs w:val="22"/>
        </w:rPr>
        <w:br w:type="page"/>
      </w:r>
    </w:p>
    <w:p w14:paraId="5D629DA4" w14:textId="77777777" w:rsidR="00C91987" w:rsidRPr="001C693E" w:rsidRDefault="00C91987" w:rsidP="00C91987">
      <w:pPr>
        <w:pStyle w:val="Pagrindinistekstas"/>
        <w:spacing w:after="0"/>
        <w:rPr>
          <w:szCs w:val="22"/>
        </w:rPr>
      </w:pPr>
    </w:p>
    <w:p w14:paraId="2B468687" w14:textId="77777777" w:rsidR="00C91987" w:rsidRPr="001C693E" w:rsidRDefault="00C91987" w:rsidP="00C91987">
      <w:pPr>
        <w:pStyle w:val="Pagrindinistekstas"/>
        <w:spacing w:after="0"/>
        <w:rPr>
          <w:szCs w:val="22"/>
        </w:rPr>
      </w:pPr>
    </w:p>
    <w:p w14:paraId="4BA3BCBD" w14:textId="77777777" w:rsidR="00C91987" w:rsidRPr="001C693E" w:rsidRDefault="00C91987" w:rsidP="00C91987">
      <w:pPr>
        <w:pStyle w:val="Pagrindinistekstas"/>
        <w:spacing w:after="0"/>
        <w:rPr>
          <w:szCs w:val="22"/>
        </w:rPr>
      </w:pPr>
    </w:p>
    <w:p w14:paraId="638C7460" w14:textId="77777777" w:rsidR="00C91987" w:rsidRPr="001C693E" w:rsidRDefault="00C91987" w:rsidP="00C91987">
      <w:pPr>
        <w:pStyle w:val="Pagrindinistekstas"/>
        <w:spacing w:after="0"/>
        <w:rPr>
          <w:szCs w:val="22"/>
        </w:rPr>
      </w:pPr>
    </w:p>
    <w:p w14:paraId="1E597F4A" w14:textId="77777777" w:rsidR="00C91987" w:rsidRPr="001C693E" w:rsidRDefault="00C91987" w:rsidP="00C91987">
      <w:pPr>
        <w:pStyle w:val="Pagrindinistekstas"/>
        <w:spacing w:after="0"/>
        <w:rPr>
          <w:szCs w:val="22"/>
        </w:rPr>
      </w:pPr>
    </w:p>
    <w:p w14:paraId="6A74E963" w14:textId="77777777" w:rsidR="00C91987" w:rsidRPr="001C693E" w:rsidRDefault="00C91987" w:rsidP="00C91987">
      <w:pPr>
        <w:pStyle w:val="Pagrindinistekstas"/>
        <w:spacing w:after="0"/>
        <w:rPr>
          <w:szCs w:val="22"/>
        </w:rPr>
      </w:pPr>
    </w:p>
    <w:p w14:paraId="222A5AF3" w14:textId="77777777" w:rsidR="00C91987" w:rsidRPr="001C693E" w:rsidRDefault="00C91987" w:rsidP="00C91987">
      <w:pPr>
        <w:pStyle w:val="Pagrindinistekstas"/>
        <w:spacing w:after="0"/>
        <w:rPr>
          <w:szCs w:val="22"/>
        </w:rPr>
      </w:pPr>
    </w:p>
    <w:p w14:paraId="4DEFE9E7" w14:textId="77777777" w:rsidR="00C91987" w:rsidRPr="001C693E" w:rsidRDefault="00C91987" w:rsidP="00C91987">
      <w:pPr>
        <w:pStyle w:val="Pagrindinistekstas"/>
        <w:spacing w:after="0"/>
        <w:rPr>
          <w:szCs w:val="22"/>
        </w:rPr>
      </w:pPr>
    </w:p>
    <w:p w14:paraId="07ED23A7" w14:textId="77777777" w:rsidR="00C91987" w:rsidRPr="001C693E" w:rsidRDefault="00C91987" w:rsidP="00C91987">
      <w:pPr>
        <w:pStyle w:val="Pagrindinistekstas"/>
        <w:spacing w:after="0"/>
        <w:rPr>
          <w:szCs w:val="22"/>
        </w:rPr>
      </w:pPr>
    </w:p>
    <w:p w14:paraId="2F7D8440" w14:textId="77777777" w:rsidR="00C91987" w:rsidRPr="001C693E" w:rsidRDefault="00C91987" w:rsidP="00C91987">
      <w:pPr>
        <w:pStyle w:val="Pagrindinistekstas"/>
        <w:spacing w:after="0"/>
        <w:rPr>
          <w:szCs w:val="22"/>
        </w:rPr>
      </w:pPr>
    </w:p>
    <w:p w14:paraId="7D476922" w14:textId="77777777" w:rsidR="00C91987" w:rsidRPr="001C693E" w:rsidRDefault="00C91987" w:rsidP="00C91987">
      <w:pPr>
        <w:pStyle w:val="Pagrindinistekstas"/>
        <w:spacing w:after="0"/>
        <w:rPr>
          <w:szCs w:val="22"/>
        </w:rPr>
      </w:pPr>
    </w:p>
    <w:p w14:paraId="37992E0B" w14:textId="77777777" w:rsidR="00C91987" w:rsidRPr="001C693E" w:rsidRDefault="00C91987" w:rsidP="00C91987">
      <w:pPr>
        <w:pStyle w:val="Pagrindinistekstas"/>
        <w:spacing w:after="0"/>
        <w:rPr>
          <w:szCs w:val="22"/>
        </w:rPr>
      </w:pPr>
    </w:p>
    <w:p w14:paraId="0A883D08" w14:textId="77777777" w:rsidR="00C91987" w:rsidRPr="001C693E" w:rsidRDefault="00C91987" w:rsidP="00C91987">
      <w:pPr>
        <w:pStyle w:val="Pagrindinistekstas"/>
        <w:spacing w:after="0"/>
        <w:rPr>
          <w:szCs w:val="22"/>
        </w:rPr>
      </w:pPr>
    </w:p>
    <w:p w14:paraId="279A1800" w14:textId="77777777" w:rsidR="00C91987" w:rsidRPr="001C693E" w:rsidRDefault="00C91987" w:rsidP="00C91987">
      <w:pPr>
        <w:pStyle w:val="Pagrindinistekstas"/>
        <w:spacing w:after="0"/>
        <w:rPr>
          <w:szCs w:val="22"/>
        </w:rPr>
      </w:pPr>
    </w:p>
    <w:p w14:paraId="5D978566" w14:textId="77777777" w:rsidR="00C91987" w:rsidRPr="001C693E" w:rsidRDefault="00C91987" w:rsidP="00C91987">
      <w:pPr>
        <w:pStyle w:val="Pagrindinistekstas"/>
        <w:spacing w:after="0"/>
        <w:rPr>
          <w:szCs w:val="22"/>
        </w:rPr>
      </w:pPr>
    </w:p>
    <w:p w14:paraId="18E58C40" w14:textId="77777777" w:rsidR="00C91987" w:rsidRPr="001C693E" w:rsidRDefault="00C91987" w:rsidP="00C91987">
      <w:pPr>
        <w:pStyle w:val="Pagrindinistekstas"/>
        <w:spacing w:after="0"/>
        <w:rPr>
          <w:szCs w:val="22"/>
        </w:rPr>
      </w:pPr>
    </w:p>
    <w:p w14:paraId="39421FD5" w14:textId="77777777" w:rsidR="00C91987" w:rsidRPr="001C693E" w:rsidRDefault="00C91987" w:rsidP="00C91987">
      <w:pPr>
        <w:pStyle w:val="Pagrindinistekstas"/>
        <w:spacing w:after="0"/>
        <w:rPr>
          <w:szCs w:val="22"/>
        </w:rPr>
      </w:pPr>
    </w:p>
    <w:p w14:paraId="38CC0B24" w14:textId="77777777" w:rsidR="00C91987" w:rsidRPr="001C693E" w:rsidRDefault="00C91987" w:rsidP="00C91987">
      <w:pPr>
        <w:pStyle w:val="Pagrindinistekstas"/>
        <w:spacing w:after="0"/>
        <w:rPr>
          <w:szCs w:val="22"/>
        </w:rPr>
      </w:pPr>
    </w:p>
    <w:p w14:paraId="06D438FA" w14:textId="77777777" w:rsidR="00C91987" w:rsidRPr="001C693E" w:rsidRDefault="00C91987" w:rsidP="00C91987">
      <w:pPr>
        <w:pStyle w:val="Pagrindinistekstas"/>
        <w:spacing w:after="0"/>
        <w:rPr>
          <w:szCs w:val="22"/>
        </w:rPr>
      </w:pPr>
    </w:p>
    <w:p w14:paraId="169A7A95" w14:textId="77777777" w:rsidR="00C91987" w:rsidRPr="001C693E" w:rsidRDefault="00C91987" w:rsidP="00C91987">
      <w:pPr>
        <w:pStyle w:val="Pagrindinistekstas"/>
        <w:spacing w:after="0"/>
        <w:rPr>
          <w:szCs w:val="22"/>
        </w:rPr>
      </w:pPr>
    </w:p>
    <w:p w14:paraId="3F5D5C9A" w14:textId="77777777" w:rsidR="00C91987" w:rsidRPr="001C693E" w:rsidRDefault="00C91987" w:rsidP="00C91987">
      <w:pPr>
        <w:pStyle w:val="Pagrindinistekstas"/>
        <w:spacing w:after="0"/>
        <w:rPr>
          <w:szCs w:val="22"/>
        </w:rPr>
      </w:pPr>
    </w:p>
    <w:p w14:paraId="7BB65BCE" w14:textId="77777777" w:rsidR="00C91987" w:rsidRPr="001C693E" w:rsidRDefault="00C91987" w:rsidP="00C91987">
      <w:pPr>
        <w:pStyle w:val="Pagrindinistekstas"/>
        <w:spacing w:after="0"/>
        <w:rPr>
          <w:szCs w:val="22"/>
        </w:rPr>
      </w:pPr>
    </w:p>
    <w:p w14:paraId="1DECE234" w14:textId="77777777" w:rsidR="00C91987" w:rsidRPr="001C693E" w:rsidRDefault="00C91987" w:rsidP="00C91987">
      <w:pPr>
        <w:pStyle w:val="Pavadinimas"/>
        <w:rPr>
          <w:szCs w:val="22"/>
        </w:rPr>
      </w:pPr>
      <w:r w:rsidRPr="001C693E">
        <w:rPr>
          <w:szCs w:val="22"/>
        </w:rPr>
        <w:t>II PRIEDAS</w:t>
      </w:r>
    </w:p>
    <w:p w14:paraId="23AE9BD1" w14:textId="77777777" w:rsidR="00C91987" w:rsidRPr="001C693E" w:rsidRDefault="00C91987" w:rsidP="00C91987">
      <w:pPr>
        <w:pStyle w:val="Pagrindinistekstas"/>
        <w:spacing w:after="0"/>
        <w:rPr>
          <w:szCs w:val="22"/>
        </w:rPr>
      </w:pPr>
    </w:p>
    <w:p w14:paraId="7C9C59DE" w14:textId="77777777" w:rsidR="00C91987" w:rsidRPr="001C693E" w:rsidRDefault="00DD5740" w:rsidP="00C91987">
      <w:pPr>
        <w:pStyle w:val="TTEMEASMCA"/>
        <w:rPr>
          <w:lang w:val="lt-LT"/>
        </w:rPr>
      </w:pPr>
      <w:r w:rsidRPr="001C693E">
        <w:rPr>
          <w:lang w:val="lt-LT"/>
        </w:rPr>
        <w:t>REGISTRACIJOS</w:t>
      </w:r>
      <w:r w:rsidR="00C91987" w:rsidRPr="001C693E">
        <w:rPr>
          <w:lang w:val="lt-LT"/>
        </w:rPr>
        <w:t xml:space="preserve"> SĄLYGOS</w:t>
      </w:r>
    </w:p>
    <w:p w14:paraId="15309BA7" w14:textId="77777777" w:rsidR="00C91987" w:rsidRPr="001C693E" w:rsidRDefault="00C91987" w:rsidP="00C91987">
      <w:pPr>
        <w:pStyle w:val="BTEMEASMCA"/>
      </w:pPr>
    </w:p>
    <w:p w14:paraId="04D00ED8" w14:textId="77777777" w:rsidR="00C91987" w:rsidRPr="001C693E" w:rsidRDefault="00C91987" w:rsidP="00C91987">
      <w:pPr>
        <w:pStyle w:val="BTAnIIEMEASMCA"/>
        <w:rPr>
          <w:rFonts w:cs="Times New Roman"/>
          <w:highlight w:val="yellow"/>
          <w:lang w:val="lt-LT"/>
        </w:rPr>
      </w:pPr>
      <w:r w:rsidRPr="001C693E">
        <w:rPr>
          <w:rFonts w:cs="Times New Roman"/>
          <w:lang w:val="lt-LT"/>
        </w:rPr>
        <w:t>A.</w:t>
      </w:r>
      <w:r w:rsidRPr="001C693E">
        <w:rPr>
          <w:rFonts w:cs="Times New Roman"/>
          <w:lang w:val="lt-LT"/>
        </w:rPr>
        <w:tab/>
        <w:t>GAMINTOJAS (-AI), ATSAKINGAS (-I) UŽ SERIJŲ IŠLEIDIMĄ</w:t>
      </w:r>
    </w:p>
    <w:p w14:paraId="3CD61849" w14:textId="77777777" w:rsidR="00C91987" w:rsidRPr="001C693E" w:rsidRDefault="00C91987" w:rsidP="00C91987">
      <w:pPr>
        <w:pStyle w:val="BTEMEASMCA"/>
        <w:rPr>
          <w:highlight w:val="yellow"/>
        </w:rPr>
      </w:pPr>
    </w:p>
    <w:p w14:paraId="7C6E7B9D" w14:textId="77777777" w:rsidR="00C91987" w:rsidRPr="001C693E" w:rsidRDefault="00C91987" w:rsidP="00C91987">
      <w:pPr>
        <w:pStyle w:val="Antrat1"/>
        <w:ind w:firstLine="1210"/>
        <w:rPr>
          <w:szCs w:val="22"/>
        </w:rPr>
      </w:pPr>
      <w:r w:rsidRPr="001C693E">
        <w:rPr>
          <w:szCs w:val="22"/>
        </w:rPr>
        <w:t>B.     TIEKIMO IR VARTOJIMO SĄLYGOS AR APRIBOJIMAI</w:t>
      </w:r>
    </w:p>
    <w:p w14:paraId="358920BC" w14:textId="77777777" w:rsidR="00C91987" w:rsidRPr="001C693E" w:rsidRDefault="00C91987" w:rsidP="00C91987">
      <w:pPr>
        <w:pStyle w:val="Pagrindinistekstas"/>
        <w:spacing w:after="0"/>
        <w:rPr>
          <w:szCs w:val="22"/>
        </w:rPr>
      </w:pPr>
    </w:p>
    <w:p w14:paraId="68B998F2" w14:textId="77777777" w:rsidR="00C91987" w:rsidRPr="001C693E" w:rsidRDefault="00C91987" w:rsidP="00C91987">
      <w:pPr>
        <w:pStyle w:val="Pagrindinistekstas"/>
        <w:spacing w:after="0"/>
        <w:ind w:left="426" w:hanging="426"/>
        <w:rPr>
          <w:b/>
          <w:szCs w:val="22"/>
        </w:rPr>
      </w:pPr>
      <w:r w:rsidRPr="001C693E">
        <w:rPr>
          <w:szCs w:val="22"/>
        </w:rPr>
        <w:br w:type="page"/>
      </w:r>
      <w:r w:rsidRPr="001C693E">
        <w:rPr>
          <w:b/>
          <w:szCs w:val="22"/>
        </w:rPr>
        <w:lastRenderedPageBreak/>
        <w:t xml:space="preserve">A. </w:t>
      </w:r>
      <w:r w:rsidRPr="001C693E">
        <w:rPr>
          <w:b/>
          <w:szCs w:val="22"/>
        </w:rPr>
        <w:tab/>
        <w:t>GAMINTOJAS (-AI), ATSAKINGAS (-I) UŽ SERIJŲ IŠLEIDIMĄ</w:t>
      </w:r>
    </w:p>
    <w:p w14:paraId="332D7526" w14:textId="77777777" w:rsidR="00C91987" w:rsidRPr="001C693E" w:rsidRDefault="00C91987" w:rsidP="00C91987">
      <w:pPr>
        <w:pStyle w:val="Pagrindinistekstas"/>
        <w:spacing w:after="0"/>
        <w:rPr>
          <w:szCs w:val="22"/>
        </w:rPr>
      </w:pPr>
    </w:p>
    <w:p w14:paraId="71F40898" w14:textId="77777777" w:rsidR="00C91987" w:rsidRPr="001C693E" w:rsidRDefault="00C91987" w:rsidP="00C91987">
      <w:pPr>
        <w:pStyle w:val="Pagrindinistekstas"/>
        <w:spacing w:after="0"/>
        <w:rPr>
          <w:szCs w:val="22"/>
          <w:u w:val="single"/>
        </w:rPr>
      </w:pPr>
      <w:r w:rsidRPr="001C693E">
        <w:rPr>
          <w:szCs w:val="22"/>
          <w:u w:val="single"/>
        </w:rPr>
        <w:t>Gamintojo (-ų), atsakingo (-ų) už serijų išleidimą, pavadinimas (-ai) ir adresas (-ai)</w:t>
      </w:r>
    </w:p>
    <w:p w14:paraId="39FAAE99" w14:textId="77777777" w:rsidR="00C91987" w:rsidRPr="001C693E" w:rsidRDefault="00C91987" w:rsidP="00C91987">
      <w:pPr>
        <w:pStyle w:val="Pagrindinistekstas"/>
        <w:spacing w:after="0"/>
        <w:rPr>
          <w:szCs w:val="22"/>
        </w:rPr>
      </w:pPr>
    </w:p>
    <w:p w14:paraId="6108F554" w14:textId="77777777" w:rsidR="00C91987" w:rsidRPr="001C693E" w:rsidRDefault="00C91987" w:rsidP="00C91987">
      <w:pPr>
        <w:pStyle w:val="Pagrindinistekstas"/>
        <w:spacing w:after="0"/>
        <w:rPr>
          <w:szCs w:val="22"/>
        </w:rPr>
      </w:pPr>
    </w:p>
    <w:p w14:paraId="2FB877E0" w14:textId="77777777" w:rsidR="00C91987" w:rsidRPr="001C693E" w:rsidRDefault="00C91987" w:rsidP="00C91987">
      <w:pPr>
        <w:autoSpaceDE w:val="0"/>
        <w:autoSpaceDN w:val="0"/>
        <w:adjustRightInd w:val="0"/>
        <w:rPr>
          <w:szCs w:val="22"/>
        </w:rPr>
      </w:pPr>
      <w:r w:rsidRPr="001C693E">
        <w:rPr>
          <w:szCs w:val="22"/>
        </w:rPr>
        <w:t>GlaxoSmithKline Manufacturing S.p.A.</w:t>
      </w:r>
    </w:p>
    <w:p w14:paraId="52DB967A" w14:textId="77777777" w:rsidR="00C91987" w:rsidRPr="001C693E" w:rsidRDefault="00C91987" w:rsidP="00C91987">
      <w:pPr>
        <w:autoSpaceDE w:val="0"/>
        <w:autoSpaceDN w:val="0"/>
        <w:adjustRightInd w:val="0"/>
        <w:rPr>
          <w:szCs w:val="22"/>
          <w:lang w:val="fr-FR"/>
        </w:rPr>
      </w:pPr>
      <w:r w:rsidRPr="001C693E">
        <w:rPr>
          <w:szCs w:val="22"/>
          <w:lang w:val="fr-FR"/>
        </w:rPr>
        <w:t>Strada Provinciale Asolana, 90</w:t>
      </w:r>
    </w:p>
    <w:p w14:paraId="4D28B8CF" w14:textId="77777777" w:rsidR="00C91987" w:rsidRPr="001C693E" w:rsidRDefault="00C91987" w:rsidP="00C91987">
      <w:pPr>
        <w:autoSpaceDE w:val="0"/>
        <w:autoSpaceDN w:val="0"/>
        <w:adjustRightInd w:val="0"/>
        <w:rPr>
          <w:szCs w:val="22"/>
          <w:lang w:val="fr-FR"/>
        </w:rPr>
      </w:pPr>
      <w:r w:rsidRPr="001C693E">
        <w:rPr>
          <w:szCs w:val="22"/>
          <w:lang w:val="fr-FR"/>
        </w:rPr>
        <w:t>43056 San Polo di Torrile</w:t>
      </w:r>
    </w:p>
    <w:p w14:paraId="2E46CC05" w14:textId="77777777" w:rsidR="00C91987" w:rsidRPr="001C693E" w:rsidRDefault="00C91987" w:rsidP="00C91987">
      <w:pPr>
        <w:autoSpaceDE w:val="0"/>
        <w:autoSpaceDN w:val="0"/>
        <w:adjustRightInd w:val="0"/>
        <w:rPr>
          <w:szCs w:val="22"/>
          <w:lang w:val="fr-FR"/>
        </w:rPr>
      </w:pPr>
      <w:r w:rsidRPr="001C693E">
        <w:rPr>
          <w:szCs w:val="22"/>
          <w:lang w:val="fr-FR"/>
        </w:rPr>
        <w:t xml:space="preserve">Parma </w:t>
      </w:r>
    </w:p>
    <w:p w14:paraId="6D0DA817" w14:textId="77777777" w:rsidR="00C91987" w:rsidRPr="001C693E" w:rsidRDefault="00C91987" w:rsidP="00C91987">
      <w:pPr>
        <w:autoSpaceDE w:val="0"/>
        <w:autoSpaceDN w:val="0"/>
        <w:adjustRightInd w:val="0"/>
        <w:rPr>
          <w:szCs w:val="22"/>
        </w:rPr>
      </w:pPr>
      <w:r w:rsidRPr="001C693E">
        <w:rPr>
          <w:szCs w:val="22"/>
        </w:rPr>
        <w:t>Italija</w:t>
      </w:r>
    </w:p>
    <w:p w14:paraId="3FF6771D" w14:textId="77777777" w:rsidR="0030491D" w:rsidRDefault="0030491D" w:rsidP="0030491D">
      <w:pPr>
        <w:autoSpaceDE w:val="0"/>
        <w:autoSpaceDN w:val="0"/>
        <w:adjustRightInd w:val="0"/>
        <w:rPr>
          <w:szCs w:val="22"/>
        </w:rPr>
      </w:pPr>
    </w:p>
    <w:p w14:paraId="6D4457A4" w14:textId="77777777" w:rsidR="0030491D" w:rsidRDefault="0030491D" w:rsidP="0030491D">
      <w:pPr>
        <w:autoSpaceDE w:val="0"/>
        <w:autoSpaceDN w:val="0"/>
        <w:adjustRightInd w:val="0"/>
        <w:rPr>
          <w:szCs w:val="22"/>
        </w:rPr>
      </w:pPr>
      <w:r>
        <w:rPr>
          <w:szCs w:val="22"/>
        </w:rPr>
        <w:t>arba</w:t>
      </w:r>
    </w:p>
    <w:p w14:paraId="71E3330C" w14:textId="77777777" w:rsidR="0030491D" w:rsidRDefault="0030491D" w:rsidP="0030491D">
      <w:pPr>
        <w:autoSpaceDE w:val="0"/>
        <w:autoSpaceDN w:val="0"/>
        <w:adjustRightInd w:val="0"/>
        <w:rPr>
          <w:szCs w:val="22"/>
        </w:rPr>
      </w:pPr>
    </w:p>
    <w:p w14:paraId="342A58F5" w14:textId="77777777" w:rsidR="0030491D" w:rsidRDefault="0030491D" w:rsidP="0030491D">
      <w:pPr>
        <w:pStyle w:val="BTEMEASMCA"/>
      </w:pPr>
      <w:r>
        <w:t>Aspen Pharma Ireland Limited</w:t>
      </w:r>
    </w:p>
    <w:p w14:paraId="57A383BF" w14:textId="77777777" w:rsidR="0030491D" w:rsidRDefault="0030491D" w:rsidP="0030491D">
      <w:pPr>
        <w:pStyle w:val="BTEMEASMCA"/>
      </w:pPr>
      <w:r>
        <w:t>One George’s Quay Plaza</w:t>
      </w:r>
    </w:p>
    <w:p w14:paraId="370220F0" w14:textId="77777777" w:rsidR="0030491D" w:rsidRDefault="0030491D" w:rsidP="0030491D">
      <w:pPr>
        <w:pStyle w:val="BTEMEASMCA"/>
      </w:pPr>
      <w:r>
        <w:t>Dublin 2</w:t>
      </w:r>
    </w:p>
    <w:p w14:paraId="67B655E6" w14:textId="77777777" w:rsidR="0030491D" w:rsidRDefault="0030491D" w:rsidP="0030491D">
      <w:pPr>
        <w:pStyle w:val="BTEMEASMCA"/>
      </w:pPr>
      <w:r>
        <w:t>Airija</w:t>
      </w:r>
    </w:p>
    <w:p w14:paraId="590A5A08" w14:textId="77777777" w:rsidR="00C91987" w:rsidRDefault="00C91987" w:rsidP="003C7660">
      <w:pPr>
        <w:pStyle w:val="Pagrindinistekstas"/>
        <w:spacing w:after="0"/>
        <w:rPr>
          <w:noProof/>
          <w:szCs w:val="22"/>
        </w:rPr>
      </w:pPr>
    </w:p>
    <w:p w14:paraId="7D2CB9F2" w14:textId="77777777" w:rsidR="0048168D" w:rsidRDefault="0048168D" w:rsidP="0048168D">
      <w:pPr>
        <w:pStyle w:val="BTEMEASMCA"/>
      </w:pPr>
      <w:r>
        <w:t>arba</w:t>
      </w:r>
    </w:p>
    <w:p w14:paraId="37E67F56" w14:textId="77777777" w:rsidR="0048168D" w:rsidRDefault="0048168D" w:rsidP="0048168D">
      <w:pPr>
        <w:pStyle w:val="BTEMEASMCA"/>
      </w:pPr>
    </w:p>
    <w:p w14:paraId="20AFDAFD" w14:textId="77777777" w:rsidR="0048168D" w:rsidRDefault="0048168D" w:rsidP="0048168D">
      <w:pPr>
        <w:pStyle w:val="BTEMEASMCA"/>
      </w:pPr>
      <w:r>
        <w:t>Aspen Bad Oldesloe GmbH,</w:t>
      </w:r>
    </w:p>
    <w:p w14:paraId="1570E019" w14:textId="77777777" w:rsidR="0048168D" w:rsidRDefault="0048168D" w:rsidP="0048168D">
      <w:pPr>
        <w:pStyle w:val="BTEMEASMCA"/>
      </w:pPr>
      <w:r>
        <w:t>Industiestrasse 32-36,</w:t>
      </w:r>
    </w:p>
    <w:p w14:paraId="2651DDCD" w14:textId="77777777" w:rsidR="0048168D" w:rsidRDefault="0048168D" w:rsidP="0048168D">
      <w:pPr>
        <w:pStyle w:val="BTEMEASMCA"/>
      </w:pPr>
      <w:r>
        <w:t>23843 Bad Oldesloe,</w:t>
      </w:r>
    </w:p>
    <w:p w14:paraId="2DB6B639" w14:textId="77777777" w:rsidR="0048168D" w:rsidRDefault="0048168D" w:rsidP="0048168D">
      <w:pPr>
        <w:pStyle w:val="BTEMEASMCA"/>
      </w:pPr>
      <w:r>
        <w:t>Vokietija</w:t>
      </w:r>
    </w:p>
    <w:p w14:paraId="55797DC0" w14:textId="77777777" w:rsidR="0030491D" w:rsidRDefault="0030491D" w:rsidP="00C91987">
      <w:pPr>
        <w:pStyle w:val="Pagrindinistekstas"/>
        <w:spacing w:after="0"/>
        <w:rPr>
          <w:noProof/>
          <w:szCs w:val="22"/>
        </w:rPr>
      </w:pPr>
    </w:p>
    <w:p w14:paraId="30DA0ECF" w14:textId="77777777" w:rsidR="0048168D" w:rsidRPr="001C693E" w:rsidRDefault="0048168D" w:rsidP="00C91987">
      <w:pPr>
        <w:pStyle w:val="Pagrindinistekstas"/>
        <w:spacing w:after="0"/>
        <w:rPr>
          <w:noProof/>
          <w:szCs w:val="22"/>
        </w:rPr>
      </w:pPr>
    </w:p>
    <w:p w14:paraId="3876EFCB" w14:textId="77777777" w:rsidR="00C91987" w:rsidRPr="001C693E" w:rsidRDefault="00C91987" w:rsidP="00C91987">
      <w:pPr>
        <w:pStyle w:val="Pagrindinistekstas"/>
        <w:spacing w:after="0"/>
        <w:rPr>
          <w:szCs w:val="22"/>
        </w:rPr>
      </w:pPr>
      <w:r w:rsidRPr="001C693E">
        <w:rPr>
          <w:noProof/>
          <w:szCs w:val="22"/>
        </w:rPr>
        <w:t>Su pakuote pateikiamame lapelyje nurodomas gamintojo, atsakingo už konkrečios serijos išleidimą, pavadinimas ir adresas.</w:t>
      </w:r>
    </w:p>
    <w:p w14:paraId="45DA1B5C" w14:textId="77777777" w:rsidR="00C91987" w:rsidRPr="001C693E" w:rsidRDefault="00C91987" w:rsidP="00C91987">
      <w:pPr>
        <w:pStyle w:val="Pagrindinistekstas"/>
        <w:spacing w:after="0"/>
        <w:rPr>
          <w:szCs w:val="22"/>
        </w:rPr>
      </w:pPr>
    </w:p>
    <w:p w14:paraId="5B585F61" w14:textId="77777777" w:rsidR="00C91987" w:rsidRPr="001C693E" w:rsidRDefault="00C91987" w:rsidP="00C91987">
      <w:pPr>
        <w:pStyle w:val="PI-1EMEASMCA"/>
      </w:pPr>
      <w:bookmarkStart w:id="2" w:name="_Toc129243129"/>
      <w:bookmarkStart w:id="3" w:name="_Toc129243254"/>
      <w:r w:rsidRPr="001C693E">
        <w:t>B.</w:t>
      </w:r>
      <w:r w:rsidRPr="001C693E">
        <w:tab/>
        <w:t>TIEKIMO IR VARTOJIMO SĄLYGOS</w:t>
      </w:r>
      <w:bookmarkEnd w:id="2"/>
      <w:bookmarkEnd w:id="3"/>
      <w:r w:rsidRPr="001C693E">
        <w:t xml:space="preserve"> AR APRIBOJIMAI</w:t>
      </w:r>
    </w:p>
    <w:p w14:paraId="684FE69A" w14:textId="77777777" w:rsidR="00C91987" w:rsidRPr="001C693E" w:rsidRDefault="00C91987" w:rsidP="00C91987">
      <w:pPr>
        <w:pStyle w:val="Pagrindinistekstas"/>
        <w:spacing w:after="0"/>
        <w:rPr>
          <w:szCs w:val="22"/>
        </w:rPr>
      </w:pPr>
    </w:p>
    <w:p w14:paraId="5C4E7E08" w14:textId="77777777" w:rsidR="00C91987" w:rsidRPr="001C693E" w:rsidRDefault="00C91987" w:rsidP="00C91987">
      <w:pPr>
        <w:pStyle w:val="Pagrindinistekstas"/>
        <w:spacing w:after="0"/>
        <w:rPr>
          <w:szCs w:val="22"/>
        </w:rPr>
      </w:pPr>
      <w:r w:rsidRPr="001C693E">
        <w:rPr>
          <w:szCs w:val="22"/>
        </w:rPr>
        <w:t>Receptinis vaistinis preparatas.</w:t>
      </w:r>
    </w:p>
    <w:p w14:paraId="4A45DBD0" w14:textId="77777777" w:rsidR="00C91987" w:rsidRPr="001C693E" w:rsidRDefault="00C91987" w:rsidP="00C91987">
      <w:pPr>
        <w:pStyle w:val="Pagrindinistekstas"/>
        <w:spacing w:after="0"/>
        <w:rPr>
          <w:szCs w:val="22"/>
        </w:rPr>
      </w:pPr>
    </w:p>
    <w:p w14:paraId="750E8B68" w14:textId="77777777" w:rsidR="00C91987" w:rsidRPr="001C693E" w:rsidRDefault="00C91987" w:rsidP="00C91987">
      <w:pPr>
        <w:pStyle w:val="Pagrindinistekstas"/>
        <w:spacing w:after="0"/>
        <w:rPr>
          <w:szCs w:val="22"/>
        </w:rPr>
      </w:pPr>
    </w:p>
    <w:p w14:paraId="4A07149C" w14:textId="77777777" w:rsidR="00C91987" w:rsidRPr="001C693E" w:rsidRDefault="00C91987" w:rsidP="00C91987">
      <w:pPr>
        <w:pStyle w:val="Pagrindinistekstas"/>
        <w:spacing w:after="0"/>
        <w:rPr>
          <w:szCs w:val="22"/>
        </w:rPr>
      </w:pPr>
    </w:p>
    <w:p w14:paraId="0CAE7A05" w14:textId="77777777" w:rsidR="00C91987" w:rsidRPr="001C693E" w:rsidRDefault="00C91987" w:rsidP="00C91987">
      <w:pPr>
        <w:pStyle w:val="Pagrindinistekstas"/>
        <w:spacing w:after="0"/>
        <w:rPr>
          <w:szCs w:val="22"/>
        </w:rPr>
      </w:pPr>
    </w:p>
    <w:p w14:paraId="1C8BC106" w14:textId="77777777" w:rsidR="00C91987" w:rsidRPr="001C693E" w:rsidRDefault="00C91987" w:rsidP="00C91987">
      <w:pPr>
        <w:pStyle w:val="Pagrindinistekstas"/>
        <w:spacing w:after="0"/>
        <w:rPr>
          <w:szCs w:val="22"/>
        </w:rPr>
      </w:pPr>
    </w:p>
    <w:p w14:paraId="3878C74A" w14:textId="77777777" w:rsidR="00C91987" w:rsidRPr="001C693E" w:rsidRDefault="00C91987" w:rsidP="00C91987">
      <w:pPr>
        <w:pStyle w:val="Pagrindinistekstas"/>
        <w:spacing w:after="0"/>
        <w:rPr>
          <w:szCs w:val="22"/>
        </w:rPr>
      </w:pPr>
    </w:p>
    <w:p w14:paraId="0C823FFF" w14:textId="77777777" w:rsidR="00C91987" w:rsidRPr="001C693E" w:rsidRDefault="00C91987" w:rsidP="00C91987">
      <w:pPr>
        <w:pStyle w:val="Pagrindinistekstas"/>
        <w:spacing w:after="0"/>
        <w:rPr>
          <w:szCs w:val="22"/>
        </w:rPr>
      </w:pPr>
      <w:r w:rsidRPr="001C693E">
        <w:rPr>
          <w:szCs w:val="22"/>
        </w:rPr>
        <w:br w:type="page"/>
      </w:r>
    </w:p>
    <w:p w14:paraId="7BDDD281" w14:textId="77777777" w:rsidR="00C91987" w:rsidRPr="001C693E" w:rsidRDefault="00C91987" w:rsidP="00C91987">
      <w:pPr>
        <w:pStyle w:val="Pagrindinistekstas"/>
        <w:spacing w:after="0"/>
        <w:rPr>
          <w:szCs w:val="22"/>
        </w:rPr>
      </w:pPr>
    </w:p>
    <w:p w14:paraId="07E199E6" w14:textId="77777777" w:rsidR="00C91987" w:rsidRPr="001C693E" w:rsidRDefault="00C91987" w:rsidP="00C91987">
      <w:pPr>
        <w:pStyle w:val="Pagrindinistekstas"/>
        <w:spacing w:after="0"/>
        <w:rPr>
          <w:szCs w:val="22"/>
        </w:rPr>
      </w:pPr>
    </w:p>
    <w:p w14:paraId="74D9C9EB" w14:textId="77777777" w:rsidR="00C91987" w:rsidRPr="001C693E" w:rsidRDefault="00C91987" w:rsidP="00C91987">
      <w:pPr>
        <w:pStyle w:val="Pagrindinistekstas"/>
        <w:spacing w:after="0"/>
        <w:rPr>
          <w:szCs w:val="22"/>
        </w:rPr>
      </w:pPr>
    </w:p>
    <w:p w14:paraId="62243381" w14:textId="77777777" w:rsidR="00C91987" w:rsidRPr="001C693E" w:rsidRDefault="00C91987" w:rsidP="00C91987">
      <w:pPr>
        <w:pStyle w:val="Pagrindinistekstas"/>
        <w:spacing w:after="0"/>
        <w:rPr>
          <w:szCs w:val="22"/>
        </w:rPr>
      </w:pPr>
    </w:p>
    <w:p w14:paraId="21D8D4E0" w14:textId="77777777" w:rsidR="00C91987" w:rsidRPr="001C693E" w:rsidRDefault="00C91987" w:rsidP="00C91987">
      <w:pPr>
        <w:pStyle w:val="Pagrindinistekstas"/>
        <w:spacing w:after="0"/>
        <w:rPr>
          <w:szCs w:val="22"/>
        </w:rPr>
      </w:pPr>
    </w:p>
    <w:p w14:paraId="166B5644" w14:textId="77777777" w:rsidR="00C91987" w:rsidRPr="001C693E" w:rsidRDefault="00C91987" w:rsidP="00C91987">
      <w:pPr>
        <w:pStyle w:val="Pagrindinistekstas"/>
        <w:spacing w:after="0"/>
        <w:rPr>
          <w:szCs w:val="22"/>
        </w:rPr>
      </w:pPr>
    </w:p>
    <w:p w14:paraId="2ED92DB8" w14:textId="77777777" w:rsidR="00C91987" w:rsidRPr="001C693E" w:rsidRDefault="00C91987" w:rsidP="00C91987">
      <w:pPr>
        <w:pStyle w:val="Pagrindinistekstas"/>
        <w:spacing w:after="0"/>
        <w:rPr>
          <w:szCs w:val="22"/>
        </w:rPr>
      </w:pPr>
    </w:p>
    <w:p w14:paraId="5CBBBC77" w14:textId="77777777" w:rsidR="00C91987" w:rsidRPr="001C693E" w:rsidRDefault="00C91987" w:rsidP="00C91987">
      <w:pPr>
        <w:pStyle w:val="Pagrindinistekstas"/>
        <w:spacing w:after="0"/>
        <w:rPr>
          <w:szCs w:val="22"/>
        </w:rPr>
      </w:pPr>
    </w:p>
    <w:p w14:paraId="293A0C28" w14:textId="77777777" w:rsidR="00C91987" w:rsidRPr="001C693E" w:rsidRDefault="00C91987" w:rsidP="00C91987">
      <w:pPr>
        <w:pStyle w:val="Pagrindinistekstas"/>
        <w:spacing w:after="0"/>
        <w:rPr>
          <w:szCs w:val="22"/>
        </w:rPr>
      </w:pPr>
    </w:p>
    <w:p w14:paraId="32F115BA" w14:textId="77777777" w:rsidR="00C91987" w:rsidRPr="001C693E" w:rsidRDefault="00C91987" w:rsidP="00C91987">
      <w:pPr>
        <w:pStyle w:val="Pagrindinistekstas"/>
        <w:spacing w:after="0"/>
        <w:rPr>
          <w:szCs w:val="22"/>
        </w:rPr>
      </w:pPr>
    </w:p>
    <w:p w14:paraId="65DB4713" w14:textId="77777777" w:rsidR="00C91987" w:rsidRPr="001C693E" w:rsidRDefault="00C91987" w:rsidP="00C91987">
      <w:pPr>
        <w:pStyle w:val="Pagrindinistekstas"/>
        <w:spacing w:after="0"/>
        <w:rPr>
          <w:szCs w:val="22"/>
        </w:rPr>
      </w:pPr>
    </w:p>
    <w:p w14:paraId="2842A12F" w14:textId="77777777" w:rsidR="00C91987" w:rsidRPr="001C693E" w:rsidRDefault="00C91987" w:rsidP="00C91987">
      <w:pPr>
        <w:pStyle w:val="Pagrindinistekstas"/>
        <w:spacing w:after="0"/>
        <w:rPr>
          <w:szCs w:val="22"/>
        </w:rPr>
      </w:pPr>
    </w:p>
    <w:p w14:paraId="1F2E5687" w14:textId="77777777" w:rsidR="00C91987" w:rsidRPr="001C693E" w:rsidRDefault="00C91987" w:rsidP="00C91987">
      <w:pPr>
        <w:pStyle w:val="Pagrindinistekstas"/>
        <w:spacing w:after="0"/>
        <w:rPr>
          <w:szCs w:val="22"/>
        </w:rPr>
      </w:pPr>
    </w:p>
    <w:p w14:paraId="4FBA3356" w14:textId="77777777" w:rsidR="00C91987" w:rsidRPr="001C693E" w:rsidRDefault="00C91987" w:rsidP="00C91987">
      <w:pPr>
        <w:pStyle w:val="Pagrindinistekstas"/>
        <w:spacing w:after="0"/>
        <w:rPr>
          <w:szCs w:val="22"/>
        </w:rPr>
      </w:pPr>
    </w:p>
    <w:p w14:paraId="35505038" w14:textId="77777777" w:rsidR="00C91987" w:rsidRPr="001C693E" w:rsidRDefault="00C91987" w:rsidP="00C91987">
      <w:pPr>
        <w:pStyle w:val="Pagrindinistekstas"/>
        <w:spacing w:after="0"/>
        <w:rPr>
          <w:szCs w:val="22"/>
        </w:rPr>
      </w:pPr>
    </w:p>
    <w:p w14:paraId="65225659" w14:textId="77777777" w:rsidR="00C91987" w:rsidRPr="001C693E" w:rsidRDefault="00C91987" w:rsidP="00C91987">
      <w:pPr>
        <w:pStyle w:val="Pagrindinistekstas"/>
        <w:spacing w:after="0"/>
        <w:rPr>
          <w:szCs w:val="22"/>
        </w:rPr>
      </w:pPr>
    </w:p>
    <w:p w14:paraId="715784A6" w14:textId="77777777" w:rsidR="00C91987" w:rsidRPr="001C693E" w:rsidRDefault="00C91987" w:rsidP="00C91987">
      <w:pPr>
        <w:pStyle w:val="Pagrindinistekstas"/>
        <w:spacing w:after="0"/>
        <w:rPr>
          <w:szCs w:val="22"/>
        </w:rPr>
      </w:pPr>
    </w:p>
    <w:p w14:paraId="4588B8DC" w14:textId="77777777" w:rsidR="00C91987" w:rsidRPr="001C693E" w:rsidRDefault="00C91987" w:rsidP="00C91987">
      <w:pPr>
        <w:pStyle w:val="Pagrindinistekstas"/>
        <w:spacing w:after="0"/>
        <w:rPr>
          <w:szCs w:val="22"/>
        </w:rPr>
      </w:pPr>
    </w:p>
    <w:p w14:paraId="2928A0C5" w14:textId="77777777" w:rsidR="00C91987" w:rsidRPr="001C693E" w:rsidRDefault="00C91987" w:rsidP="00C91987">
      <w:pPr>
        <w:pStyle w:val="Pagrindinistekstas"/>
        <w:spacing w:after="0"/>
        <w:rPr>
          <w:szCs w:val="22"/>
        </w:rPr>
      </w:pPr>
    </w:p>
    <w:p w14:paraId="16AC7F09" w14:textId="77777777" w:rsidR="00C91987" w:rsidRPr="001C693E" w:rsidRDefault="00C91987" w:rsidP="00C91987">
      <w:pPr>
        <w:pStyle w:val="Pagrindinistekstas"/>
        <w:spacing w:after="0"/>
        <w:rPr>
          <w:szCs w:val="22"/>
        </w:rPr>
      </w:pPr>
    </w:p>
    <w:p w14:paraId="72922B19" w14:textId="77777777" w:rsidR="00C91987" w:rsidRPr="001C693E" w:rsidRDefault="00C91987" w:rsidP="00C91987">
      <w:pPr>
        <w:pStyle w:val="Pagrindinistekstas"/>
        <w:spacing w:after="0"/>
        <w:rPr>
          <w:szCs w:val="22"/>
        </w:rPr>
      </w:pPr>
    </w:p>
    <w:p w14:paraId="6C8C4C13" w14:textId="77777777" w:rsidR="00C91987" w:rsidRPr="001C693E" w:rsidRDefault="00C91987" w:rsidP="00C91987">
      <w:pPr>
        <w:pStyle w:val="Pagrindinistekstas"/>
        <w:spacing w:after="0"/>
        <w:rPr>
          <w:szCs w:val="22"/>
        </w:rPr>
      </w:pPr>
    </w:p>
    <w:p w14:paraId="5D4F679E" w14:textId="77777777" w:rsidR="00C91987" w:rsidRPr="001C693E" w:rsidRDefault="00C91987" w:rsidP="00C91987">
      <w:pPr>
        <w:pStyle w:val="Pavadinimas"/>
        <w:rPr>
          <w:szCs w:val="22"/>
        </w:rPr>
      </w:pPr>
      <w:r w:rsidRPr="001C693E">
        <w:rPr>
          <w:szCs w:val="22"/>
        </w:rPr>
        <w:t>III PRIEDAS</w:t>
      </w:r>
    </w:p>
    <w:p w14:paraId="4A46F5D5" w14:textId="77777777" w:rsidR="00C91987" w:rsidRPr="001C693E" w:rsidRDefault="00C91987" w:rsidP="00C91987">
      <w:pPr>
        <w:pStyle w:val="Pagrindinistekstas"/>
        <w:spacing w:after="0"/>
        <w:rPr>
          <w:szCs w:val="22"/>
        </w:rPr>
      </w:pPr>
    </w:p>
    <w:p w14:paraId="1F51D9A0" w14:textId="77777777" w:rsidR="00C91987" w:rsidRPr="001C693E" w:rsidRDefault="00C91987" w:rsidP="00C91987">
      <w:pPr>
        <w:pStyle w:val="Pagrindinistekstas"/>
        <w:spacing w:after="0"/>
        <w:jc w:val="center"/>
        <w:rPr>
          <w:b/>
          <w:szCs w:val="22"/>
        </w:rPr>
      </w:pPr>
      <w:r w:rsidRPr="001C693E">
        <w:rPr>
          <w:b/>
          <w:szCs w:val="22"/>
        </w:rPr>
        <w:t>ŽENKLINIMAS IR PAKUOTĖS LAPELIS</w:t>
      </w:r>
    </w:p>
    <w:p w14:paraId="2216A286" w14:textId="77777777" w:rsidR="00C91987" w:rsidRPr="001C693E" w:rsidRDefault="00C91987" w:rsidP="00C91987">
      <w:pPr>
        <w:pStyle w:val="Pagrindinistekstas"/>
        <w:spacing w:after="0"/>
        <w:rPr>
          <w:szCs w:val="22"/>
        </w:rPr>
      </w:pPr>
      <w:r w:rsidRPr="001C693E">
        <w:rPr>
          <w:szCs w:val="22"/>
        </w:rPr>
        <w:br w:type="page"/>
      </w:r>
    </w:p>
    <w:p w14:paraId="5965A886" w14:textId="77777777" w:rsidR="00C91987" w:rsidRPr="001C693E" w:rsidRDefault="00C91987" w:rsidP="00C91987">
      <w:pPr>
        <w:pStyle w:val="Pagrindinistekstas"/>
        <w:spacing w:after="0"/>
        <w:rPr>
          <w:szCs w:val="22"/>
        </w:rPr>
      </w:pPr>
    </w:p>
    <w:p w14:paraId="2BFEFF36" w14:textId="77777777" w:rsidR="00C91987" w:rsidRPr="001C693E" w:rsidRDefault="00C91987" w:rsidP="00C91987">
      <w:pPr>
        <w:pStyle w:val="Pagrindinistekstas"/>
        <w:spacing w:after="0"/>
        <w:rPr>
          <w:szCs w:val="22"/>
        </w:rPr>
      </w:pPr>
    </w:p>
    <w:p w14:paraId="70918EFC" w14:textId="77777777" w:rsidR="00C91987" w:rsidRPr="001C693E" w:rsidRDefault="00C91987" w:rsidP="00C91987">
      <w:pPr>
        <w:pStyle w:val="Pagrindinistekstas"/>
        <w:spacing w:after="0"/>
        <w:rPr>
          <w:szCs w:val="22"/>
        </w:rPr>
      </w:pPr>
    </w:p>
    <w:p w14:paraId="1B27479E" w14:textId="77777777" w:rsidR="00C91987" w:rsidRPr="001C693E" w:rsidRDefault="00C91987" w:rsidP="00C91987">
      <w:pPr>
        <w:pStyle w:val="Pagrindinistekstas"/>
        <w:spacing w:after="0"/>
        <w:rPr>
          <w:szCs w:val="22"/>
        </w:rPr>
      </w:pPr>
    </w:p>
    <w:p w14:paraId="4CF34BCB" w14:textId="77777777" w:rsidR="00C91987" w:rsidRPr="001C693E" w:rsidRDefault="00C91987" w:rsidP="00C91987">
      <w:pPr>
        <w:pStyle w:val="Pagrindinistekstas"/>
        <w:spacing w:after="0"/>
        <w:rPr>
          <w:szCs w:val="22"/>
        </w:rPr>
      </w:pPr>
    </w:p>
    <w:p w14:paraId="2CAF8AF5" w14:textId="77777777" w:rsidR="00C91987" w:rsidRPr="001C693E" w:rsidRDefault="00C91987" w:rsidP="00C91987">
      <w:pPr>
        <w:pStyle w:val="Pagrindinistekstas"/>
        <w:spacing w:after="0"/>
        <w:rPr>
          <w:szCs w:val="22"/>
        </w:rPr>
      </w:pPr>
    </w:p>
    <w:p w14:paraId="6572952B" w14:textId="77777777" w:rsidR="00C91987" w:rsidRPr="001C693E" w:rsidRDefault="00C91987" w:rsidP="00C91987">
      <w:pPr>
        <w:pStyle w:val="Pagrindinistekstas"/>
        <w:spacing w:after="0"/>
        <w:rPr>
          <w:szCs w:val="22"/>
        </w:rPr>
      </w:pPr>
    </w:p>
    <w:p w14:paraId="77D18D5A" w14:textId="77777777" w:rsidR="00C91987" w:rsidRPr="001C693E" w:rsidRDefault="00C91987" w:rsidP="00C91987">
      <w:pPr>
        <w:pStyle w:val="Pagrindinistekstas"/>
        <w:spacing w:after="0"/>
        <w:rPr>
          <w:szCs w:val="22"/>
        </w:rPr>
      </w:pPr>
    </w:p>
    <w:p w14:paraId="3D28A3C4" w14:textId="77777777" w:rsidR="00C91987" w:rsidRPr="001C693E" w:rsidRDefault="00C91987" w:rsidP="00C91987">
      <w:pPr>
        <w:pStyle w:val="Pagrindinistekstas"/>
        <w:spacing w:after="0"/>
        <w:rPr>
          <w:szCs w:val="22"/>
        </w:rPr>
      </w:pPr>
    </w:p>
    <w:p w14:paraId="5B1F6999" w14:textId="77777777" w:rsidR="00C91987" w:rsidRPr="001C693E" w:rsidRDefault="00C91987" w:rsidP="00C91987">
      <w:pPr>
        <w:pStyle w:val="Pagrindinistekstas"/>
        <w:spacing w:after="0"/>
        <w:rPr>
          <w:szCs w:val="22"/>
        </w:rPr>
      </w:pPr>
    </w:p>
    <w:p w14:paraId="5F22F2CA" w14:textId="77777777" w:rsidR="00C91987" w:rsidRPr="001C693E" w:rsidRDefault="00C91987" w:rsidP="00C91987">
      <w:pPr>
        <w:pStyle w:val="Pagrindinistekstas"/>
        <w:spacing w:after="0"/>
        <w:rPr>
          <w:szCs w:val="22"/>
        </w:rPr>
      </w:pPr>
    </w:p>
    <w:p w14:paraId="5AC911EA" w14:textId="77777777" w:rsidR="00C91987" w:rsidRPr="001C693E" w:rsidRDefault="00C91987" w:rsidP="00C91987">
      <w:pPr>
        <w:pStyle w:val="Pagrindinistekstas"/>
        <w:spacing w:after="0"/>
        <w:rPr>
          <w:szCs w:val="22"/>
        </w:rPr>
      </w:pPr>
    </w:p>
    <w:p w14:paraId="6EC11260" w14:textId="77777777" w:rsidR="00C91987" w:rsidRPr="001C693E" w:rsidRDefault="00C91987" w:rsidP="00C91987">
      <w:pPr>
        <w:pStyle w:val="Pagrindinistekstas"/>
        <w:spacing w:after="0"/>
        <w:rPr>
          <w:szCs w:val="22"/>
        </w:rPr>
      </w:pPr>
    </w:p>
    <w:p w14:paraId="7FEADAF1" w14:textId="77777777" w:rsidR="00C91987" w:rsidRPr="001C693E" w:rsidRDefault="00C91987" w:rsidP="00C91987">
      <w:pPr>
        <w:pStyle w:val="Pagrindinistekstas"/>
        <w:spacing w:after="0"/>
        <w:rPr>
          <w:szCs w:val="22"/>
        </w:rPr>
      </w:pPr>
    </w:p>
    <w:p w14:paraId="6FDE494F" w14:textId="77777777" w:rsidR="00C91987" w:rsidRPr="001C693E" w:rsidRDefault="00C91987" w:rsidP="00C91987">
      <w:pPr>
        <w:pStyle w:val="Pagrindinistekstas"/>
        <w:spacing w:after="0"/>
        <w:rPr>
          <w:szCs w:val="22"/>
        </w:rPr>
      </w:pPr>
    </w:p>
    <w:p w14:paraId="3DAF3BFC" w14:textId="77777777" w:rsidR="00C91987" w:rsidRPr="001C693E" w:rsidRDefault="00C91987" w:rsidP="00C91987">
      <w:pPr>
        <w:pStyle w:val="Pagrindinistekstas"/>
        <w:spacing w:after="0"/>
        <w:rPr>
          <w:szCs w:val="22"/>
        </w:rPr>
      </w:pPr>
    </w:p>
    <w:p w14:paraId="069CF5C3" w14:textId="77777777" w:rsidR="00C91987" w:rsidRPr="001C693E" w:rsidRDefault="00C91987" w:rsidP="00C91987">
      <w:pPr>
        <w:pStyle w:val="Pagrindinistekstas"/>
        <w:spacing w:after="0"/>
        <w:rPr>
          <w:szCs w:val="22"/>
        </w:rPr>
      </w:pPr>
    </w:p>
    <w:p w14:paraId="4E8CEAB1" w14:textId="77777777" w:rsidR="00C91987" w:rsidRPr="001C693E" w:rsidRDefault="00C91987" w:rsidP="00C91987">
      <w:pPr>
        <w:pStyle w:val="Pagrindinistekstas"/>
        <w:spacing w:after="0"/>
        <w:rPr>
          <w:szCs w:val="22"/>
        </w:rPr>
      </w:pPr>
    </w:p>
    <w:p w14:paraId="0F1472A1" w14:textId="77777777" w:rsidR="00C91987" w:rsidRPr="001C693E" w:rsidRDefault="00C91987" w:rsidP="00C91987">
      <w:pPr>
        <w:pStyle w:val="Pagrindinistekstas"/>
        <w:spacing w:after="0"/>
        <w:rPr>
          <w:szCs w:val="22"/>
        </w:rPr>
      </w:pPr>
    </w:p>
    <w:p w14:paraId="1E7E344D" w14:textId="77777777" w:rsidR="00C91987" w:rsidRPr="001C693E" w:rsidRDefault="00C91987" w:rsidP="00C91987">
      <w:pPr>
        <w:pStyle w:val="Pagrindinistekstas"/>
        <w:spacing w:after="0"/>
        <w:rPr>
          <w:szCs w:val="22"/>
        </w:rPr>
      </w:pPr>
    </w:p>
    <w:p w14:paraId="6AA92F15" w14:textId="77777777" w:rsidR="00C91987" w:rsidRPr="001C693E" w:rsidRDefault="00C91987" w:rsidP="00C91987">
      <w:pPr>
        <w:pStyle w:val="Pagrindinistekstas"/>
        <w:spacing w:after="0"/>
        <w:rPr>
          <w:szCs w:val="22"/>
        </w:rPr>
      </w:pPr>
    </w:p>
    <w:p w14:paraId="778032E9" w14:textId="77777777" w:rsidR="00C91987" w:rsidRPr="001C693E" w:rsidRDefault="00C91987" w:rsidP="00C91987">
      <w:pPr>
        <w:pStyle w:val="Pagrindinistekstas"/>
        <w:spacing w:after="0"/>
        <w:rPr>
          <w:szCs w:val="22"/>
        </w:rPr>
      </w:pPr>
    </w:p>
    <w:p w14:paraId="0C2DFF45" w14:textId="77777777" w:rsidR="00C91987" w:rsidRPr="001C693E" w:rsidRDefault="00C91987" w:rsidP="00C91987">
      <w:pPr>
        <w:pStyle w:val="Pavadinimas"/>
        <w:rPr>
          <w:szCs w:val="22"/>
        </w:rPr>
      </w:pPr>
      <w:r w:rsidRPr="001C693E">
        <w:rPr>
          <w:szCs w:val="22"/>
        </w:rPr>
        <w:t>A. ŽENKLINIMAS</w:t>
      </w:r>
    </w:p>
    <w:p w14:paraId="5BA6BFD3" w14:textId="77777777" w:rsidR="00C91987" w:rsidRPr="001C693E" w:rsidRDefault="00C91987" w:rsidP="00C91987">
      <w:pPr>
        <w:pStyle w:val="Antrat2"/>
        <w:pBdr>
          <w:top w:val="single" w:sz="4" w:space="1" w:color="auto"/>
          <w:left w:val="single" w:sz="4" w:space="4" w:color="auto"/>
          <w:bottom w:val="single" w:sz="4" w:space="1" w:color="auto"/>
          <w:right w:val="single" w:sz="4" w:space="4" w:color="auto"/>
        </w:pBdr>
        <w:rPr>
          <w:szCs w:val="22"/>
        </w:rPr>
      </w:pPr>
      <w:r w:rsidRPr="001C693E">
        <w:rPr>
          <w:szCs w:val="22"/>
        </w:rPr>
        <w:br w:type="page"/>
      </w:r>
      <w:r w:rsidRPr="001C693E">
        <w:rPr>
          <w:szCs w:val="22"/>
        </w:rPr>
        <w:lastRenderedPageBreak/>
        <w:t xml:space="preserve">INFORMACIJA ANT IŠORINĖS  PAKUOTĖS </w:t>
      </w:r>
    </w:p>
    <w:p w14:paraId="2719DF9D" w14:textId="77777777" w:rsidR="00C91987" w:rsidRPr="00581FD8" w:rsidRDefault="00C51700" w:rsidP="00C91987">
      <w:pPr>
        <w:pStyle w:val="Pagrindinistekstas"/>
        <w:pBdr>
          <w:top w:val="single" w:sz="4" w:space="1" w:color="auto"/>
          <w:left w:val="single" w:sz="4" w:space="4" w:color="auto"/>
          <w:bottom w:val="single" w:sz="4" w:space="1" w:color="auto"/>
          <w:right w:val="single" w:sz="4" w:space="4" w:color="auto"/>
        </w:pBdr>
        <w:spacing w:after="0"/>
        <w:rPr>
          <w:b/>
          <w:szCs w:val="22"/>
        </w:rPr>
      </w:pPr>
      <w:r w:rsidRPr="00581FD8">
        <w:rPr>
          <w:b/>
          <w:szCs w:val="22"/>
        </w:rPr>
        <w:t xml:space="preserve">KARTONO </w:t>
      </w:r>
      <w:r w:rsidR="00C91987" w:rsidRPr="00581FD8">
        <w:rPr>
          <w:b/>
          <w:szCs w:val="22"/>
        </w:rPr>
        <w:t>DĖŽUTĖ</w:t>
      </w:r>
    </w:p>
    <w:p w14:paraId="26A45B56" w14:textId="77777777" w:rsidR="00C91987" w:rsidRPr="001C693E" w:rsidRDefault="00C91987" w:rsidP="00C91987">
      <w:pPr>
        <w:pStyle w:val="Pagrindinistekstas"/>
        <w:spacing w:after="0"/>
        <w:rPr>
          <w:szCs w:val="22"/>
        </w:rPr>
      </w:pPr>
    </w:p>
    <w:p w14:paraId="0A50A8CB" w14:textId="77777777" w:rsidR="00C91987" w:rsidRPr="001C693E" w:rsidRDefault="00C91987" w:rsidP="00C91987">
      <w:pPr>
        <w:pStyle w:val="Pagrindinistekstas"/>
        <w:spacing w:after="0"/>
        <w:rPr>
          <w:szCs w:val="22"/>
        </w:rPr>
      </w:pPr>
    </w:p>
    <w:p w14:paraId="53683036" w14:textId="77777777" w:rsidR="00C91987" w:rsidRPr="001C693E" w:rsidRDefault="00C91987" w:rsidP="00C91987">
      <w:pPr>
        <w:pStyle w:val="Antrat3"/>
        <w:rPr>
          <w:szCs w:val="22"/>
        </w:rPr>
      </w:pPr>
      <w:r w:rsidRPr="001C693E">
        <w:rPr>
          <w:szCs w:val="22"/>
        </w:rPr>
        <w:t>1.</w:t>
      </w:r>
      <w:r w:rsidRPr="001C693E">
        <w:rPr>
          <w:szCs w:val="22"/>
        </w:rPr>
        <w:tab/>
        <w:t>VAISTINIO PREPARATO PAVADINIMAS</w:t>
      </w:r>
    </w:p>
    <w:p w14:paraId="5F0E77DC" w14:textId="77777777" w:rsidR="00C91987" w:rsidRPr="001C693E" w:rsidRDefault="00C91987" w:rsidP="00C91987">
      <w:pPr>
        <w:pStyle w:val="Pagrindinistekstas"/>
        <w:spacing w:after="0"/>
        <w:rPr>
          <w:szCs w:val="22"/>
        </w:rPr>
      </w:pPr>
    </w:p>
    <w:p w14:paraId="49191082" w14:textId="77777777" w:rsidR="00C91987" w:rsidRPr="001C693E" w:rsidRDefault="00C91987" w:rsidP="00C91987">
      <w:pPr>
        <w:pStyle w:val="Pagrindinistekstas"/>
        <w:spacing w:after="0"/>
        <w:rPr>
          <w:szCs w:val="22"/>
        </w:rPr>
      </w:pPr>
      <w:r w:rsidRPr="001C693E">
        <w:rPr>
          <w:szCs w:val="22"/>
        </w:rPr>
        <w:t>Nimbex 2mg/ml injekcinis</w:t>
      </w:r>
      <w:r w:rsidR="00D72BAF" w:rsidRPr="001C693E">
        <w:rPr>
          <w:szCs w:val="22"/>
        </w:rPr>
        <w:t xml:space="preserve"> ar </w:t>
      </w:r>
      <w:r w:rsidRPr="001C693E">
        <w:rPr>
          <w:szCs w:val="22"/>
        </w:rPr>
        <w:t>infuzinis tirpalas</w:t>
      </w:r>
    </w:p>
    <w:p w14:paraId="619B200B" w14:textId="77777777" w:rsidR="00C91987" w:rsidRPr="001C693E" w:rsidRDefault="00C91987" w:rsidP="00C91987">
      <w:pPr>
        <w:pStyle w:val="Pagrindinistekstas"/>
        <w:spacing w:after="0"/>
        <w:rPr>
          <w:szCs w:val="22"/>
        </w:rPr>
      </w:pPr>
      <w:r w:rsidRPr="001C693E">
        <w:rPr>
          <w:szCs w:val="22"/>
        </w:rPr>
        <w:t>Cisatrakuris</w:t>
      </w:r>
    </w:p>
    <w:p w14:paraId="17293784" w14:textId="77777777" w:rsidR="00C91987" w:rsidRPr="001C693E" w:rsidRDefault="00C91987" w:rsidP="00C91987">
      <w:pPr>
        <w:pStyle w:val="Pagrindinistekstas"/>
        <w:spacing w:after="0"/>
        <w:rPr>
          <w:szCs w:val="22"/>
        </w:rPr>
      </w:pPr>
    </w:p>
    <w:p w14:paraId="23437D8D" w14:textId="77777777" w:rsidR="00C91987" w:rsidRPr="001C693E" w:rsidRDefault="00C91987" w:rsidP="00C91987">
      <w:pPr>
        <w:pStyle w:val="Pagrindinistekstas"/>
        <w:spacing w:after="0"/>
        <w:rPr>
          <w:szCs w:val="22"/>
        </w:rPr>
      </w:pPr>
    </w:p>
    <w:p w14:paraId="6F343F58" w14:textId="77777777" w:rsidR="00C91987" w:rsidRPr="001C693E" w:rsidRDefault="00C91987" w:rsidP="00C91987">
      <w:pPr>
        <w:pStyle w:val="Antrat3"/>
        <w:rPr>
          <w:szCs w:val="22"/>
        </w:rPr>
      </w:pPr>
      <w:r w:rsidRPr="001C693E">
        <w:rPr>
          <w:szCs w:val="22"/>
        </w:rPr>
        <w:t>2.</w:t>
      </w:r>
      <w:r w:rsidRPr="001C693E">
        <w:rPr>
          <w:szCs w:val="22"/>
        </w:rPr>
        <w:tab/>
        <w:t xml:space="preserve">VEIKLIOJI MEDŽIAGA IR JOS KIEKIS </w:t>
      </w:r>
    </w:p>
    <w:p w14:paraId="426F0ADB" w14:textId="77777777" w:rsidR="00C91987" w:rsidRPr="001C693E" w:rsidRDefault="00C91987" w:rsidP="00C91987">
      <w:pPr>
        <w:pStyle w:val="Pagrindinistekstas"/>
        <w:spacing w:after="0"/>
        <w:rPr>
          <w:szCs w:val="22"/>
        </w:rPr>
      </w:pPr>
    </w:p>
    <w:p w14:paraId="39003F03" w14:textId="77777777" w:rsidR="00C91987" w:rsidRPr="001C693E" w:rsidRDefault="00C91987" w:rsidP="00C91987">
      <w:pPr>
        <w:pStyle w:val="Pagrindinistekstas"/>
        <w:spacing w:after="0"/>
        <w:rPr>
          <w:szCs w:val="22"/>
        </w:rPr>
      </w:pPr>
      <w:r w:rsidRPr="001C693E">
        <w:rPr>
          <w:szCs w:val="22"/>
        </w:rPr>
        <w:t>1 ml tirpalo yra 2 mg cisatrakurio, atitinkančio 2,68 mg cisatrakurio besilato.</w:t>
      </w:r>
    </w:p>
    <w:p w14:paraId="597E2C8E" w14:textId="77777777" w:rsidR="00C91987" w:rsidRPr="001C693E" w:rsidRDefault="00C91987" w:rsidP="00C91987">
      <w:pPr>
        <w:pStyle w:val="Pagrindinistekstas"/>
        <w:spacing w:after="0"/>
        <w:rPr>
          <w:szCs w:val="22"/>
        </w:rPr>
      </w:pPr>
    </w:p>
    <w:p w14:paraId="588034F4" w14:textId="77777777" w:rsidR="00C91987" w:rsidRPr="001C693E" w:rsidRDefault="00C91987" w:rsidP="00C91987">
      <w:pPr>
        <w:pStyle w:val="Pagrindinistekstas"/>
        <w:spacing w:after="0"/>
        <w:rPr>
          <w:szCs w:val="22"/>
        </w:rPr>
      </w:pPr>
    </w:p>
    <w:p w14:paraId="497C47A9" w14:textId="77777777" w:rsidR="00C91987" w:rsidRPr="001C693E" w:rsidRDefault="00C91987" w:rsidP="00C91987">
      <w:pPr>
        <w:pStyle w:val="Antrat3"/>
        <w:rPr>
          <w:szCs w:val="22"/>
        </w:rPr>
      </w:pPr>
      <w:r w:rsidRPr="001C693E">
        <w:rPr>
          <w:szCs w:val="22"/>
        </w:rPr>
        <w:t>3.</w:t>
      </w:r>
      <w:r w:rsidRPr="001C693E">
        <w:rPr>
          <w:szCs w:val="22"/>
        </w:rPr>
        <w:tab/>
        <w:t>PAGALBINIŲ MEDŽIAGŲ SĄRAŠAS</w:t>
      </w:r>
    </w:p>
    <w:p w14:paraId="3FD60220" w14:textId="77777777" w:rsidR="00C91987" w:rsidRPr="001C693E" w:rsidRDefault="00C91987" w:rsidP="00C91987">
      <w:pPr>
        <w:pStyle w:val="Pagrindinistekstas"/>
        <w:spacing w:after="0"/>
        <w:rPr>
          <w:szCs w:val="22"/>
        </w:rPr>
      </w:pPr>
    </w:p>
    <w:p w14:paraId="101C5667" w14:textId="77777777" w:rsidR="00C91987" w:rsidRPr="001C693E" w:rsidRDefault="00C91987" w:rsidP="00C91987">
      <w:pPr>
        <w:ind w:left="567" w:hanging="567"/>
        <w:rPr>
          <w:caps/>
          <w:szCs w:val="22"/>
        </w:rPr>
      </w:pPr>
      <w:r w:rsidRPr="001C693E">
        <w:rPr>
          <w:szCs w:val="22"/>
        </w:rPr>
        <w:t>Pagalbinės medžiagos: benzensulfonrūgštis , injekcinis vanduo.</w:t>
      </w:r>
    </w:p>
    <w:p w14:paraId="2A2B598D" w14:textId="77777777" w:rsidR="00C91987" w:rsidRPr="001C693E" w:rsidRDefault="00C91987" w:rsidP="00C91987">
      <w:pPr>
        <w:pStyle w:val="Pagrindinistekstas"/>
        <w:spacing w:after="0"/>
        <w:rPr>
          <w:szCs w:val="22"/>
        </w:rPr>
      </w:pPr>
    </w:p>
    <w:p w14:paraId="5C174F89" w14:textId="77777777" w:rsidR="00C91987" w:rsidRPr="001C693E" w:rsidRDefault="00C91987" w:rsidP="00C91987">
      <w:pPr>
        <w:pStyle w:val="Pagrindinistekstas"/>
        <w:spacing w:after="0"/>
        <w:rPr>
          <w:szCs w:val="22"/>
        </w:rPr>
      </w:pPr>
    </w:p>
    <w:p w14:paraId="05532865" w14:textId="77777777" w:rsidR="00C91987" w:rsidRPr="001C693E" w:rsidRDefault="00C91987" w:rsidP="00C91987">
      <w:pPr>
        <w:pStyle w:val="Antrat3"/>
        <w:rPr>
          <w:szCs w:val="22"/>
        </w:rPr>
      </w:pPr>
      <w:r w:rsidRPr="001C693E">
        <w:rPr>
          <w:szCs w:val="22"/>
        </w:rPr>
        <w:t>4.</w:t>
      </w:r>
      <w:r w:rsidRPr="001C693E">
        <w:rPr>
          <w:szCs w:val="22"/>
        </w:rPr>
        <w:tab/>
        <w:t>FARMACINĖ FORMA IR KIEKIS PAKUOTĖJE</w:t>
      </w:r>
    </w:p>
    <w:p w14:paraId="62415433" w14:textId="77777777" w:rsidR="00C91987" w:rsidRPr="001C693E" w:rsidRDefault="00C91987" w:rsidP="00C91987">
      <w:pPr>
        <w:pStyle w:val="Pagrindinistekstas"/>
        <w:spacing w:after="0"/>
        <w:rPr>
          <w:szCs w:val="22"/>
        </w:rPr>
      </w:pPr>
    </w:p>
    <w:p w14:paraId="7F481A7D" w14:textId="77777777" w:rsidR="00C91987" w:rsidRPr="001C693E" w:rsidRDefault="00C91987" w:rsidP="00C91987">
      <w:pPr>
        <w:pStyle w:val="Pagrindinistekstas"/>
        <w:spacing w:after="0"/>
        <w:rPr>
          <w:szCs w:val="22"/>
        </w:rPr>
      </w:pPr>
      <w:r w:rsidRPr="001C693E">
        <w:rPr>
          <w:szCs w:val="22"/>
        </w:rPr>
        <w:t>Injekcinis</w:t>
      </w:r>
      <w:r w:rsidR="00D72BAF" w:rsidRPr="001C693E">
        <w:rPr>
          <w:szCs w:val="22"/>
        </w:rPr>
        <w:t xml:space="preserve"> ar </w:t>
      </w:r>
      <w:r w:rsidRPr="001C693E">
        <w:rPr>
          <w:szCs w:val="22"/>
        </w:rPr>
        <w:t>infuzinis tirpalas</w:t>
      </w:r>
    </w:p>
    <w:p w14:paraId="0C2D382E" w14:textId="77777777" w:rsidR="00C91987" w:rsidRPr="001C693E" w:rsidRDefault="00C91987" w:rsidP="00C91987">
      <w:pPr>
        <w:pStyle w:val="Pagrindinistekstas"/>
        <w:spacing w:after="0"/>
        <w:rPr>
          <w:szCs w:val="22"/>
        </w:rPr>
      </w:pPr>
      <w:r w:rsidRPr="001C693E">
        <w:rPr>
          <w:szCs w:val="22"/>
        </w:rPr>
        <w:t>5 ampulės po 2,5 ml</w:t>
      </w:r>
    </w:p>
    <w:p w14:paraId="3DD0FF79" w14:textId="77777777" w:rsidR="00C91987" w:rsidRPr="001C693E" w:rsidRDefault="00C91987" w:rsidP="00C91987">
      <w:pPr>
        <w:pStyle w:val="Pagrindinistekstas"/>
        <w:spacing w:after="0"/>
        <w:rPr>
          <w:szCs w:val="22"/>
        </w:rPr>
      </w:pPr>
      <w:r w:rsidRPr="001C693E">
        <w:rPr>
          <w:szCs w:val="22"/>
          <w:highlight w:val="lightGray"/>
        </w:rPr>
        <w:t>5 ampulės po 5 ml</w:t>
      </w:r>
    </w:p>
    <w:p w14:paraId="15E598BB" w14:textId="77777777" w:rsidR="00C91987" w:rsidRPr="001C693E" w:rsidRDefault="00C91987" w:rsidP="00C91987">
      <w:pPr>
        <w:pStyle w:val="Pagrindinistekstas"/>
        <w:spacing w:after="0"/>
        <w:rPr>
          <w:szCs w:val="22"/>
        </w:rPr>
      </w:pPr>
    </w:p>
    <w:p w14:paraId="2420F442" w14:textId="77777777" w:rsidR="00C91987" w:rsidRPr="001C693E" w:rsidRDefault="00C91987" w:rsidP="00C91987">
      <w:pPr>
        <w:pStyle w:val="Pagrindinistekstas"/>
        <w:spacing w:after="0"/>
        <w:rPr>
          <w:szCs w:val="22"/>
        </w:rPr>
      </w:pPr>
    </w:p>
    <w:p w14:paraId="1F4755E8" w14:textId="77777777" w:rsidR="00C91987" w:rsidRPr="001C693E" w:rsidRDefault="00C91987" w:rsidP="00C91987">
      <w:pPr>
        <w:pStyle w:val="Antrat3"/>
        <w:rPr>
          <w:szCs w:val="22"/>
        </w:rPr>
      </w:pPr>
      <w:r w:rsidRPr="001C693E">
        <w:rPr>
          <w:szCs w:val="22"/>
        </w:rPr>
        <w:t>5.</w:t>
      </w:r>
      <w:r w:rsidRPr="001C693E">
        <w:rPr>
          <w:szCs w:val="22"/>
        </w:rPr>
        <w:tab/>
        <w:t>VARTOJIMO METODAS IR BŪDAS</w:t>
      </w:r>
    </w:p>
    <w:p w14:paraId="0EB7552A" w14:textId="77777777" w:rsidR="00C91987" w:rsidRPr="001C693E" w:rsidRDefault="00C91987" w:rsidP="00C91987">
      <w:pPr>
        <w:pStyle w:val="Pagrindinistekstas"/>
        <w:spacing w:after="0"/>
        <w:rPr>
          <w:szCs w:val="22"/>
        </w:rPr>
      </w:pPr>
    </w:p>
    <w:p w14:paraId="2A4AE25C" w14:textId="77777777" w:rsidR="00C91987" w:rsidRPr="001C693E" w:rsidRDefault="00C91987" w:rsidP="00C91987">
      <w:pPr>
        <w:pStyle w:val="Pagrindinistekstas"/>
        <w:spacing w:after="0"/>
        <w:rPr>
          <w:szCs w:val="22"/>
        </w:rPr>
      </w:pPr>
      <w:r w:rsidRPr="001C693E">
        <w:rPr>
          <w:szCs w:val="22"/>
        </w:rPr>
        <w:t>Leisti į veną.</w:t>
      </w:r>
    </w:p>
    <w:p w14:paraId="15DA9C72" w14:textId="77777777" w:rsidR="00C91987" w:rsidRPr="001C693E" w:rsidRDefault="00C91987" w:rsidP="00C91987">
      <w:pPr>
        <w:pStyle w:val="Pagrindinistekstas"/>
        <w:spacing w:after="0"/>
        <w:rPr>
          <w:szCs w:val="22"/>
        </w:rPr>
      </w:pPr>
      <w:r w:rsidRPr="001C693E">
        <w:rPr>
          <w:szCs w:val="22"/>
        </w:rPr>
        <w:t xml:space="preserve">Prieš vartojimą perskaitykite pakuotės lapelį. </w:t>
      </w:r>
    </w:p>
    <w:p w14:paraId="7EB07DA7" w14:textId="77777777" w:rsidR="00C91987" w:rsidRPr="001C693E" w:rsidRDefault="00C91987" w:rsidP="00C91987">
      <w:pPr>
        <w:pStyle w:val="Pagrindinistekstas"/>
        <w:spacing w:after="0"/>
        <w:rPr>
          <w:szCs w:val="22"/>
        </w:rPr>
      </w:pPr>
    </w:p>
    <w:p w14:paraId="53D1715E" w14:textId="77777777" w:rsidR="00C91987" w:rsidRPr="001C693E" w:rsidRDefault="00C91987" w:rsidP="00C91987">
      <w:pPr>
        <w:pStyle w:val="Pagrindinistekstas"/>
        <w:spacing w:after="0"/>
        <w:rPr>
          <w:szCs w:val="22"/>
        </w:rPr>
      </w:pPr>
    </w:p>
    <w:p w14:paraId="24F70D2D" w14:textId="77777777" w:rsidR="00C91987" w:rsidRPr="001C693E" w:rsidRDefault="00C91987" w:rsidP="00C91987">
      <w:pPr>
        <w:pStyle w:val="Antrat3"/>
        <w:rPr>
          <w:szCs w:val="22"/>
        </w:rPr>
      </w:pPr>
      <w:r w:rsidRPr="001C693E">
        <w:rPr>
          <w:szCs w:val="22"/>
        </w:rPr>
        <w:t>6.</w:t>
      </w:r>
      <w:r w:rsidRPr="001C693E">
        <w:rPr>
          <w:szCs w:val="22"/>
        </w:rPr>
        <w:tab/>
        <w:t>SPECIALUS ĮSPĖJIMAS, KAD VAISTINĮ PREPARATĄ BŪTINA LAIKYTI VAIKAMS NEPASTEBIMOJE IR NEPASIEKIAMOJE VIETOJE</w:t>
      </w:r>
    </w:p>
    <w:p w14:paraId="34C12BA6" w14:textId="77777777" w:rsidR="00C91987" w:rsidRPr="001C693E" w:rsidRDefault="00C91987" w:rsidP="00C91987">
      <w:pPr>
        <w:pStyle w:val="Pagrindinistekstas"/>
        <w:spacing w:after="0"/>
        <w:rPr>
          <w:szCs w:val="22"/>
        </w:rPr>
      </w:pPr>
    </w:p>
    <w:p w14:paraId="71B450E6" w14:textId="77777777" w:rsidR="00C91987" w:rsidRPr="001C693E" w:rsidRDefault="00C91987" w:rsidP="00C91987">
      <w:pPr>
        <w:pStyle w:val="Pagrindinistekstas"/>
        <w:spacing w:after="0"/>
        <w:rPr>
          <w:szCs w:val="22"/>
        </w:rPr>
      </w:pPr>
      <w:r w:rsidRPr="001C693E">
        <w:rPr>
          <w:szCs w:val="22"/>
        </w:rPr>
        <w:t>Laikyti vaikams nepastebimoje ir nepasiekiamoje vietoje.</w:t>
      </w:r>
    </w:p>
    <w:p w14:paraId="2D908057" w14:textId="77777777" w:rsidR="00C91987" w:rsidRPr="001C693E" w:rsidRDefault="00C91987" w:rsidP="00C91987">
      <w:pPr>
        <w:pStyle w:val="Pagrindinistekstas"/>
        <w:spacing w:after="0"/>
        <w:rPr>
          <w:szCs w:val="22"/>
        </w:rPr>
      </w:pPr>
    </w:p>
    <w:p w14:paraId="1B985BF4" w14:textId="77777777" w:rsidR="00C91987" w:rsidRPr="001C693E" w:rsidRDefault="00C91987" w:rsidP="00C91987">
      <w:pPr>
        <w:pStyle w:val="Pagrindinistekstas"/>
        <w:spacing w:after="0"/>
        <w:rPr>
          <w:szCs w:val="22"/>
        </w:rPr>
      </w:pPr>
    </w:p>
    <w:p w14:paraId="3F0C6B05" w14:textId="77777777" w:rsidR="00C91987" w:rsidRPr="001C693E" w:rsidRDefault="00C91987" w:rsidP="00C91987">
      <w:pPr>
        <w:pStyle w:val="Antrat3"/>
        <w:rPr>
          <w:szCs w:val="22"/>
        </w:rPr>
      </w:pPr>
      <w:r w:rsidRPr="001C693E">
        <w:rPr>
          <w:szCs w:val="22"/>
        </w:rPr>
        <w:t>7.</w:t>
      </w:r>
      <w:r w:rsidRPr="001C693E">
        <w:rPr>
          <w:szCs w:val="22"/>
        </w:rPr>
        <w:tab/>
        <w:t>KITAS SPECIALUS ĮSPĖJIMAS (JEI REIKIA)</w:t>
      </w:r>
    </w:p>
    <w:p w14:paraId="5A726E50" w14:textId="77777777" w:rsidR="00C91987" w:rsidRPr="001C693E" w:rsidRDefault="00C91987" w:rsidP="00C91987">
      <w:pPr>
        <w:pStyle w:val="Pagrindinistekstas"/>
        <w:spacing w:after="0"/>
        <w:rPr>
          <w:szCs w:val="22"/>
        </w:rPr>
      </w:pPr>
    </w:p>
    <w:p w14:paraId="72FEE88C" w14:textId="77777777" w:rsidR="00C91987" w:rsidRPr="001C693E" w:rsidRDefault="00C91987" w:rsidP="00C91987">
      <w:pPr>
        <w:pStyle w:val="Pagrindinistekstas"/>
        <w:spacing w:after="0"/>
        <w:rPr>
          <w:szCs w:val="22"/>
        </w:rPr>
      </w:pPr>
    </w:p>
    <w:p w14:paraId="382C3BDF" w14:textId="77777777" w:rsidR="00C91987" w:rsidRPr="001C693E" w:rsidRDefault="00C91987" w:rsidP="00C91987">
      <w:pPr>
        <w:pStyle w:val="Antrat3"/>
        <w:rPr>
          <w:szCs w:val="22"/>
        </w:rPr>
      </w:pPr>
      <w:r w:rsidRPr="001C693E">
        <w:rPr>
          <w:szCs w:val="22"/>
        </w:rPr>
        <w:t>8.</w:t>
      </w:r>
      <w:r w:rsidRPr="001C693E">
        <w:rPr>
          <w:szCs w:val="22"/>
        </w:rPr>
        <w:tab/>
        <w:t>TINKAMUMO LAIKAS</w:t>
      </w:r>
    </w:p>
    <w:p w14:paraId="14019AFA" w14:textId="77777777" w:rsidR="00C91987" w:rsidRPr="001C693E" w:rsidRDefault="00C91987" w:rsidP="00C91987">
      <w:pPr>
        <w:pStyle w:val="Pagrindinistekstas"/>
        <w:spacing w:after="0"/>
        <w:rPr>
          <w:szCs w:val="22"/>
        </w:rPr>
      </w:pPr>
    </w:p>
    <w:p w14:paraId="1CA32ECE" w14:textId="77777777" w:rsidR="00C91987" w:rsidRPr="001C693E" w:rsidRDefault="00C91987" w:rsidP="00C91987">
      <w:pPr>
        <w:pStyle w:val="Pagrindinistekstas"/>
        <w:spacing w:after="0"/>
        <w:rPr>
          <w:szCs w:val="22"/>
        </w:rPr>
      </w:pPr>
      <w:r w:rsidRPr="001C693E">
        <w:rPr>
          <w:szCs w:val="22"/>
        </w:rPr>
        <w:t>Tinka iki {mm-MMMM}</w:t>
      </w:r>
    </w:p>
    <w:p w14:paraId="3B476157" w14:textId="77777777" w:rsidR="00C91987" w:rsidRPr="001C693E" w:rsidRDefault="00C91987" w:rsidP="00C91987">
      <w:pPr>
        <w:pStyle w:val="Pagrindinistekstas"/>
        <w:spacing w:after="0"/>
        <w:rPr>
          <w:szCs w:val="22"/>
        </w:rPr>
      </w:pPr>
      <w:r w:rsidRPr="001C693E">
        <w:rPr>
          <w:szCs w:val="22"/>
        </w:rPr>
        <w:t xml:space="preserve">Praskiesto tirpalo tinkamumo laikas - 24 val. </w:t>
      </w:r>
    </w:p>
    <w:p w14:paraId="3C6E0B8A" w14:textId="77777777" w:rsidR="00C91987" w:rsidRPr="001C693E" w:rsidRDefault="00C91987" w:rsidP="00C91987">
      <w:pPr>
        <w:pStyle w:val="Pagrindinistekstas"/>
        <w:spacing w:after="0"/>
        <w:rPr>
          <w:szCs w:val="22"/>
        </w:rPr>
      </w:pPr>
    </w:p>
    <w:p w14:paraId="64BD8B2A" w14:textId="77777777" w:rsidR="00C91987" w:rsidRPr="001C693E" w:rsidRDefault="00C91987" w:rsidP="00C91987">
      <w:pPr>
        <w:pStyle w:val="Pagrindinistekstas"/>
        <w:spacing w:after="0"/>
        <w:rPr>
          <w:szCs w:val="22"/>
        </w:rPr>
      </w:pPr>
    </w:p>
    <w:p w14:paraId="5690C8E3" w14:textId="77777777" w:rsidR="00C91987" w:rsidRPr="001C693E" w:rsidRDefault="00C91987" w:rsidP="00C91987">
      <w:pPr>
        <w:pStyle w:val="Antrat3"/>
        <w:rPr>
          <w:szCs w:val="22"/>
        </w:rPr>
      </w:pPr>
      <w:r w:rsidRPr="001C693E">
        <w:rPr>
          <w:szCs w:val="22"/>
        </w:rPr>
        <w:t>9.</w:t>
      </w:r>
      <w:r w:rsidRPr="001C693E">
        <w:rPr>
          <w:szCs w:val="22"/>
        </w:rPr>
        <w:tab/>
        <w:t>SPECIALIOS LAIKYMO SĄLYGOS</w:t>
      </w:r>
    </w:p>
    <w:p w14:paraId="0B778542" w14:textId="77777777" w:rsidR="00C91987" w:rsidRPr="001C693E" w:rsidRDefault="00C91987" w:rsidP="00C91987">
      <w:pPr>
        <w:pStyle w:val="Pagrindinistekstas"/>
        <w:spacing w:after="0"/>
        <w:rPr>
          <w:szCs w:val="22"/>
        </w:rPr>
      </w:pPr>
    </w:p>
    <w:p w14:paraId="033FF1D3" w14:textId="77777777" w:rsidR="00C91987" w:rsidRPr="001C693E" w:rsidRDefault="00C91987" w:rsidP="00C91987">
      <w:pPr>
        <w:pStyle w:val="Pagrindinistekstas"/>
        <w:spacing w:after="0"/>
        <w:rPr>
          <w:szCs w:val="22"/>
        </w:rPr>
      </w:pPr>
      <w:r w:rsidRPr="001C693E">
        <w:rPr>
          <w:szCs w:val="22"/>
        </w:rPr>
        <w:t xml:space="preserve">Laikyti šaldytuve (2 </w:t>
      </w:r>
      <w:r w:rsidRPr="001C693E">
        <w:rPr>
          <w:szCs w:val="22"/>
        </w:rPr>
        <w:sym w:font="Symbol" w:char="F0B0"/>
      </w:r>
      <w:r w:rsidRPr="001C693E">
        <w:rPr>
          <w:szCs w:val="22"/>
        </w:rPr>
        <w:t xml:space="preserve">C – 8 </w:t>
      </w:r>
      <w:r w:rsidRPr="001C693E">
        <w:rPr>
          <w:szCs w:val="22"/>
        </w:rPr>
        <w:sym w:font="Symbol" w:char="F0B0"/>
      </w:r>
      <w:r w:rsidRPr="001C693E">
        <w:rPr>
          <w:szCs w:val="22"/>
        </w:rPr>
        <w:t>C).</w:t>
      </w:r>
    </w:p>
    <w:p w14:paraId="472CCBA6" w14:textId="77777777" w:rsidR="00C91987" w:rsidRPr="001C693E" w:rsidRDefault="00C91987" w:rsidP="00C91987">
      <w:pPr>
        <w:pStyle w:val="Pagrindinistekstas"/>
        <w:spacing w:after="0"/>
        <w:rPr>
          <w:szCs w:val="22"/>
        </w:rPr>
      </w:pPr>
      <w:r w:rsidRPr="001C693E">
        <w:rPr>
          <w:szCs w:val="22"/>
        </w:rPr>
        <w:lastRenderedPageBreak/>
        <w:t>Negalima užšaldyti.</w:t>
      </w:r>
    </w:p>
    <w:p w14:paraId="1C8D684A" w14:textId="77777777" w:rsidR="00C91987" w:rsidRPr="001C693E" w:rsidRDefault="00C91987" w:rsidP="00C91987">
      <w:pPr>
        <w:pStyle w:val="Pagrindinistekstas"/>
        <w:spacing w:after="0"/>
        <w:rPr>
          <w:szCs w:val="22"/>
        </w:rPr>
      </w:pPr>
      <w:r w:rsidRPr="001C693E">
        <w:rPr>
          <w:szCs w:val="22"/>
        </w:rPr>
        <w:t>Ampules laikyti išorinėje dėžutėje, kad preparatas būtų apsaugotas nuo šviesos.</w:t>
      </w:r>
    </w:p>
    <w:p w14:paraId="77E6A636" w14:textId="77777777" w:rsidR="00C91987" w:rsidRPr="001C693E" w:rsidRDefault="00C91987" w:rsidP="00C91987">
      <w:pPr>
        <w:pStyle w:val="Pagrindinistekstas"/>
        <w:spacing w:after="0"/>
        <w:rPr>
          <w:szCs w:val="22"/>
        </w:rPr>
      </w:pPr>
    </w:p>
    <w:p w14:paraId="668362D2" w14:textId="77777777" w:rsidR="00C91987" w:rsidRPr="001C693E" w:rsidRDefault="00C91987" w:rsidP="00C91987">
      <w:pPr>
        <w:pStyle w:val="Pagrindinistekstas"/>
        <w:spacing w:after="0"/>
        <w:rPr>
          <w:szCs w:val="22"/>
        </w:rPr>
      </w:pPr>
    </w:p>
    <w:p w14:paraId="59730035" w14:textId="77777777" w:rsidR="00C91987" w:rsidRPr="001C693E" w:rsidRDefault="00C91987" w:rsidP="00C91987">
      <w:pPr>
        <w:pStyle w:val="Antrat3"/>
        <w:rPr>
          <w:szCs w:val="22"/>
        </w:rPr>
      </w:pPr>
      <w:r w:rsidRPr="001C693E">
        <w:rPr>
          <w:szCs w:val="22"/>
        </w:rPr>
        <w:t>10.</w:t>
      </w:r>
      <w:r w:rsidRPr="001C693E">
        <w:rPr>
          <w:szCs w:val="22"/>
        </w:rPr>
        <w:tab/>
        <w:t>SPECIALIOS ATSARGUMO PRIEMONĖS DĖL NESUVARTOTO VAISTINIO PREPARATO AR JO ATLIEKŲ TVARKYMO (JEI REIKIA)</w:t>
      </w:r>
    </w:p>
    <w:p w14:paraId="2BDBDD01" w14:textId="77777777" w:rsidR="00C91987" w:rsidRPr="001C693E" w:rsidRDefault="00C91987" w:rsidP="00C91987">
      <w:pPr>
        <w:pStyle w:val="Pagrindinistekstas"/>
        <w:spacing w:after="0"/>
        <w:rPr>
          <w:szCs w:val="22"/>
        </w:rPr>
      </w:pPr>
    </w:p>
    <w:p w14:paraId="2CBA2A7C" w14:textId="77777777" w:rsidR="00C91987" w:rsidRPr="001C693E" w:rsidRDefault="00C91987" w:rsidP="00C91987">
      <w:pPr>
        <w:pStyle w:val="Pagrindinistekstas"/>
        <w:spacing w:after="0"/>
        <w:rPr>
          <w:szCs w:val="22"/>
        </w:rPr>
      </w:pPr>
    </w:p>
    <w:p w14:paraId="7CFC9695" w14:textId="77777777" w:rsidR="00C91987" w:rsidRPr="001C693E" w:rsidRDefault="00C91987" w:rsidP="00C91987">
      <w:pPr>
        <w:pStyle w:val="Antrat3"/>
        <w:rPr>
          <w:szCs w:val="22"/>
        </w:rPr>
      </w:pPr>
      <w:r w:rsidRPr="001C693E">
        <w:rPr>
          <w:szCs w:val="22"/>
        </w:rPr>
        <w:t>11.</w:t>
      </w:r>
      <w:r w:rsidRPr="001C693E">
        <w:rPr>
          <w:szCs w:val="22"/>
        </w:rPr>
        <w:tab/>
      </w:r>
      <w:r w:rsidR="00DD5740" w:rsidRPr="00837997">
        <w:rPr>
          <w:caps/>
          <w:noProof/>
          <w:szCs w:val="22"/>
        </w:rPr>
        <w:t>REGISTRUOTOJO</w:t>
      </w:r>
      <w:r w:rsidRPr="001C693E">
        <w:rPr>
          <w:szCs w:val="22"/>
        </w:rPr>
        <w:t xml:space="preserve"> PAVADINIMAS IR ADRESAS</w:t>
      </w:r>
    </w:p>
    <w:p w14:paraId="0129D389" w14:textId="77777777" w:rsidR="00C91987" w:rsidRPr="001C693E" w:rsidRDefault="00C91987" w:rsidP="00C91987">
      <w:pPr>
        <w:pStyle w:val="Pagrindinistekstas"/>
        <w:spacing w:after="0"/>
        <w:rPr>
          <w:szCs w:val="22"/>
        </w:rPr>
      </w:pPr>
    </w:p>
    <w:p w14:paraId="3CA4D68F" w14:textId="77777777" w:rsidR="0052450B" w:rsidRPr="001C693E" w:rsidRDefault="0052450B" w:rsidP="0052450B">
      <w:pPr>
        <w:ind w:left="567" w:hanging="567"/>
        <w:rPr>
          <w:szCs w:val="22"/>
        </w:rPr>
      </w:pPr>
      <w:r w:rsidRPr="001C693E">
        <w:rPr>
          <w:szCs w:val="22"/>
        </w:rPr>
        <w:t>Aspen Pharma Trading Limited</w:t>
      </w:r>
    </w:p>
    <w:p w14:paraId="1AC7F0BD" w14:textId="77777777" w:rsidR="0052450B" w:rsidRPr="001C693E" w:rsidRDefault="0052450B" w:rsidP="0052450B">
      <w:pPr>
        <w:ind w:left="567" w:hanging="567"/>
        <w:rPr>
          <w:szCs w:val="22"/>
        </w:rPr>
      </w:pPr>
      <w:r w:rsidRPr="001C693E">
        <w:rPr>
          <w:szCs w:val="22"/>
        </w:rPr>
        <w:t>3016 Lake Drive</w:t>
      </w:r>
    </w:p>
    <w:p w14:paraId="036B37DD" w14:textId="77777777" w:rsidR="0052450B" w:rsidRPr="001C693E" w:rsidRDefault="0052450B" w:rsidP="0052450B">
      <w:pPr>
        <w:ind w:left="567" w:hanging="567"/>
        <w:rPr>
          <w:szCs w:val="22"/>
        </w:rPr>
      </w:pPr>
      <w:r w:rsidRPr="001C693E">
        <w:rPr>
          <w:szCs w:val="22"/>
        </w:rPr>
        <w:t>Citywest Business Campus</w:t>
      </w:r>
    </w:p>
    <w:p w14:paraId="434ACB6A" w14:textId="77777777" w:rsidR="0052450B" w:rsidRPr="001C693E" w:rsidRDefault="0052450B" w:rsidP="0052450B">
      <w:pPr>
        <w:ind w:left="567" w:hanging="567"/>
        <w:rPr>
          <w:szCs w:val="22"/>
        </w:rPr>
      </w:pPr>
      <w:r w:rsidRPr="001C693E">
        <w:rPr>
          <w:szCs w:val="22"/>
        </w:rPr>
        <w:t>Dublin 24</w:t>
      </w:r>
    </w:p>
    <w:p w14:paraId="276A68D7" w14:textId="77777777" w:rsidR="00D52F3D" w:rsidRPr="001C693E" w:rsidRDefault="00D52F3D" w:rsidP="0052450B">
      <w:pPr>
        <w:ind w:left="567" w:hanging="567"/>
        <w:rPr>
          <w:szCs w:val="22"/>
        </w:rPr>
      </w:pPr>
      <w:r w:rsidRPr="001C693E">
        <w:rPr>
          <w:szCs w:val="22"/>
        </w:rPr>
        <w:t>Airija</w:t>
      </w:r>
    </w:p>
    <w:p w14:paraId="3844D6F3" w14:textId="77777777" w:rsidR="00AF3DBD" w:rsidRPr="001C693E" w:rsidRDefault="00AF3DBD" w:rsidP="00581FD8">
      <w:pPr>
        <w:autoSpaceDE w:val="0"/>
        <w:autoSpaceDN w:val="0"/>
        <w:adjustRightInd w:val="0"/>
        <w:rPr>
          <w:szCs w:val="22"/>
        </w:rPr>
      </w:pPr>
    </w:p>
    <w:p w14:paraId="43F6EFC2" w14:textId="77777777" w:rsidR="00C91987" w:rsidRPr="001C693E" w:rsidRDefault="00C91987" w:rsidP="00C91987">
      <w:pPr>
        <w:pStyle w:val="Pagrindinistekstas"/>
        <w:spacing w:after="0"/>
        <w:rPr>
          <w:szCs w:val="22"/>
        </w:rPr>
      </w:pPr>
    </w:p>
    <w:p w14:paraId="7358CA41" w14:textId="77777777" w:rsidR="00C91987" w:rsidRPr="001C693E" w:rsidRDefault="00C91987" w:rsidP="00C91987">
      <w:pPr>
        <w:pStyle w:val="Pagrindinistekstas"/>
        <w:spacing w:after="0"/>
        <w:rPr>
          <w:szCs w:val="22"/>
        </w:rPr>
      </w:pPr>
    </w:p>
    <w:p w14:paraId="30540538" w14:textId="77777777" w:rsidR="00C91987" w:rsidRPr="001C693E" w:rsidRDefault="00C91987" w:rsidP="00C91987">
      <w:pPr>
        <w:pStyle w:val="Antrat3"/>
        <w:rPr>
          <w:szCs w:val="22"/>
        </w:rPr>
      </w:pPr>
      <w:r w:rsidRPr="001C693E">
        <w:rPr>
          <w:szCs w:val="22"/>
        </w:rPr>
        <w:t>12.</w:t>
      </w:r>
      <w:r w:rsidRPr="001C693E">
        <w:rPr>
          <w:szCs w:val="22"/>
        </w:rPr>
        <w:tab/>
      </w:r>
      <w:r w:rsidR="00DD5740" w:rsidRPr="00837997">
        <w:rPr>
          <w:noProof/>
          <w:szCs w:val="22"/>
        </w:rPr>
        <w:t>REGISTRACIJOS PAŽYMĖJIMO</w:t>
      </w:r>
      <w:r w:rsidR="00DD5740" w:rsidRPr="001C693E" w:rsidDel="00DD5740">
        <w:rPr>
          <w:szCs w:val="22"/>
        </w:rPr>
        <w:t xml:space="preserve"> </w:t>
      </w:r>
      <w:r w:rsidRPr="001C693E">
        <w:rPr>
          <w:szCs w:val="22"/>
        </w:rPr>
        <w:t>NUMERIS (-IAI)</w:t>
      </w:r>
    </w:p>
    <w:p w14:paraId="2258F483" w14:textId="77777777" w:rsidR="00C91987" w:rsidRPr="001C693E" w:rsidRDefault="00C91987" w:rsidP="00C91987">
      <w:pPr>
        <w:pStyle w:val="Pagrindinistekstas"/>
        <w:spacing w:after="0"/>
        <w:rPr>
          <w:szCs w:val="22"/>
        </w:rPr>
      </w:pPr>
    </w:p>
    <w:p w14:paraId="49A8FDC9" w14:textId="77777777" w:rsidR="00C91987" w:rsidRPr="001C693E" w:rsidRDefault="00C91987" w:rsidP="00C91987">
      <w:pPr>
        <w:pStyle w:val="Pagrindinistekstas"/>
        <w:spacing w:after="0"/>
        <w:rPr>
          <w:szCs w:val="22"/>
        </w:rPr>
      </w:pPr>
      <w:r w:rsidRPr="001C693E">
        <w:rPr>
          <w:szCs w:val="22"/>
        </w:rPr>
        <w:t>2,5 ml - LT/1/98/0152/001</w:t>
      </w:r>
    </w:p>
    <w:p w14:paraId="731CEAB3" w14:textId="77777777" w:rsidR="00C91987" w:rsidRPr="001C693E" w:rsidRDefault="00C91987" w:rsidP="00C91987">
      <w:pPr>
        <w:pStyle w:val="Pagrindinistekstas"/>
        <w:spacing w:after="0"/>
        <w:rPr>
          <w:szCs w:val="22"/>
        </w:rPr>
      </w:pPr>
      <w:r w:rsidRPr="001C693E">
        <w:rPr>
          <w:szCs w:val="22"/>
        </w:rPr>
        <w:t>5 ml - LT/1/98/0152/002</w:t>
      </w:r>
    </w:p>
    <w:p w14:paraId="3764B756" w14:textId="77777777" w:rsidR="00C91987" w:rsidRPr="001C693E" w:rsidRDefault="00C91987" w:rsidP="00C91987">
      <w:pPr>
        <w:pStyle w:val="Pagrindinistekstas"/>
        <w:spacing w:after="0"/>
        <w:rPr>
          <w:szCs w:val="22"/>
        </w:rPr>
      </w:pPr>
    </w:p>
    <w:p w14:paraId="2DDA1DB5" w14:textId="77777777" w:rsidR="00C91987" w:rsidRPr="001C693E" w:rsidRDefault="00C91987" w:rsidP="00C91987">
      <w:pPr>
        <w:pStyle w:val="Pagrindinistekstas"/>
        <w:spacing w:after="0"/>
        <w:rPr>
          <w:szCs w:val="22"/>
        </w:rPr>
      </w:pPr>
    </w:p>
    <w:p w14:paraId="23B27CD3" w14:textId="77777777" w:rsidR="00C91987" w:rsidRPr="001C693E" w:rsidRDefault="00C91987" w:rsidP="00C91987">
      <w:pPr>
        <w:pStyle w:val="Antrat3"/>
        <w:rPr>
          <w:szCs w:val="22"/>
        </w:rPr>
      </w:pPr>
      <w:r w:rsidRPr="001C693E">
        <w:rPr>
          <w:szCs w:val="22"/>
        </w:rPr>
        <w:t>13.</w:t>
      </w:r>
      <w:r w:rsidRPr="001C693E">
        <w:rPr>
          <w:szCs w:val="22"/>
        </w:rPr>
        <w:tab/>
        <w:t>SERIJOS NUMERIS</w:t>
      </w:r>
    </w:p>
    <w:p w14:paraId="116B7CDA" w14:textId="77777777" w:rsidR="00C91987" w:rsidRPr="001C693E" w:rsidRDefault="00C91987" w:rsidP="00C91987">
      <w:pPr>
        <w:pStyle w:val="Pagrindinistekstas"/>
        <w:spacing w:after="0"/>
        <w:rPr>
          <w:szCs w:val="22"/>
        </w:rPr>
      </w:pPr>
    </w:p>
    <w:p w14:paraId="63A174A2" w14:textId="77777777" w:rsidR="00C91987" w:rsidRPr="001C693E" w:rsidRDefault="00C91987" w:rsidP="00C91987">
      <w:pPr>
        <w:pStyle w:val="Pagrindinistekstas"/>
        <w:spacing w:after="0"/>
        <w:rPr>
          <w:szCs w:val="22"/>
        </w:rPr>
      </w:pPr>
      <w:r w:rsidRPr="001C693E">
        <w:rPr>
          <w:szCs w:val="22"/>
        </w:rPr>
        <w:t>Serija</w:t>
      </w:r>
    </w:p>
    <w:p w14:paraId="440468F5" w14:textId="77777777" w:rsidR="00C91987" w:rsidRPr="001C693E" w:rsidRDefault="00C91987" w:rsidP="00C91987">
      <w:pPr>
        <w:pStyle w:val="Pagrindinistekstas"/>
        <w:spacing w:after="0"/>
        <w:rPr>
          <w:szCs w:val="22"/>
        </w:rPr>
      </w:pPr>
    </w:p>
    <w:p w14:paraId="783B4D60" w14:textId="77777777" w:rsidR="00C91987" w:rsidRPr="001C693E" w:rsidRDefault="00C91987" w:rsidP="00C91987">
      <w:pPr>
        <w:pStyle w:val="Pagrindinistekstas"/>
        <w:spacing w:after="0"/>
        <w:rPr>
          <w:szCs w:val="22"/>
        </w:rPr>
      </w:pPr>
    </w:p>
    <w:p w14:paraId="16145BEE" w14:textId="77777777" w:rsidR="00C91987" w:rsidRPr="001C693E" w:rsidRDefault="00C91987" w:rsidP="00C91987">
      <w:pPr>
        <w:pStyle w:val="Antrat3"/>
        <w:rPr>
          <w:szCs w:val="22"/>
        </w:rPr>
      </w:pPr>
      <w:r w:rsidRPr="001C693E">
        <w:rPr>
          <w:szCs w:val="22"/>
        </w:rPr>
        <w:t>14.</w:t>
      </w:r>
      <w:r w:rsidRPr="001C693E">
        <w:rPr>
          <w:szCs w:val="22"/>
        </w:rPr>
        <w:tab/>
        <w:t>PARDAVIMO (IŠDAVIMO) TVARKA</w:t>
      </w:r>
    </w:p>
    <w:p w14:paraId="26177D46" w14:textId="77777777" w:rsidR="00C91987" w:rsidRPr="001C693E" w:rsidRDefault="00C91987" w:rsidP="00C91987">
      <w:pPr>
        <w:pStyle w:val="Pagrindinistekstas"/>
        <w:spacing w:after="0"/>
        <w:rPr>
          <w:szCs w:val="22"/>
        </w:rPr>
      </w:pPr>
    </w:p>
    <w:p w14:paraId="6E2DA8AA" w14:textId="77777777" w:rsidR="00C91987" w:rsidRPr="001C693E" w:rsidRDefault="00C91987" w:rsidP="00C91987">
      <w:pPr>
        <w:pStyle w:val="Pagrindinistekstas"/>
        <w:spacing w:after="0"/>
        <w:rPr>
          <w:szCs w:val="22"/>
        </w:rPr>
      </w:pPr>
      <w:r w:rsidRPr="001C693E">
        <w:rPr>
          <w:szCs w:val="22"/>
        </w:rPr>
        <w:t xml:space="preserve">Receptinis </w:t>
      </w:r>
      <w:r w:rsidR="00D9574D" w:rsidRPr="001C693E">
        <w:rPr>
          <w:szCs w:val="22"/>
        </w:rPr>
        <w:t>vaistas</w:t>
      </w:r>
      <w:r w:rsidRPr="001C693E">
        <w:rPr>
          <w:szCs w:val="22"/>
        </w:rPr>
        <w:t>.</w:t>
      </w:r>
    </w:p>
    <w:p w14:paraId="68AC7179" w14:textId="77777777" w:rsidR="00C91987" w:rsidRPr="001C693E" w:rsidRDefault="00C91987" w:rsidP="00C91987">
      <w:pPr>
        <w:pStyle w:val="Pagrindinistekstas"/>
        <w:spacing w:after="0"/>
        <w:rPr>
          <w:szCs w:val="22"/>
        </w:rPr>
      </w:pPr>
    </w:p>
    <w:p w14:paraId="3A8A2891" w14:textId="77777777" w:rsidR="00C91987" w:rsidRPr="001C693E" w:rsidRDefault="00C91987" w:rsidP="00C91987">
      <w:pPr>
        <w:pStyle w:val="Pagrindinistekstas"/>
        <w:spacing w:after="0"/>
        <w:rPr>
          <w:szCs w:val="22"/>
        </w:rPr>
      </w:pPr>
    </w:p>
    <w:p w14:paraId="614314F2" w14:textId="77777777" w:rsidR="00C91987" w:rsidRPr="001C693E" w:rsidRDefault="00C91987" w:rsidP="00C91987">
      <w:pPr>
        <w:pStyle w:val="Antrat3"/>
        <w:rPr>
          <w:szCs w:val="22"/>
        </w:rPr>
      </w:pPr>
      <w:r w:rsidRPr="001C693E">
        <w:rPr>
          <w:szCs w:val="22"/>
        </w:rPr>
        <w:t>15.</w:t>
      </w:r>
      <w:r w:rsidRPr="001C693E">
        <w:rPr>
          <w:szCs w:val="22"/>
        </w:rPr>
        <w:tab/>
        <w:t>VARTOJIMO INSTRUKCIJA</w:t>
      </w:r>
    </w:p>
    <w:p w14:paraId="658772AF" w14:textId="77777777" w:rsidR="00C91987" w:rsidRPr="001C693E" w:rsidRDefault="00C91987" w:rsidP="00C91987">
      <w:pPr>
        <w:pStyle w:val="Pagrindinistekstas"/>
        <w:spacing w:after="0"/>
        <w:rPr>
          <w:szCs w:val="22"/>
        </w:rPr>
      </w:pPr>
    </w:p>
    <w:p w14:paraId="18479D8F" w14:textId="77777777" w:rsidR="00C91987" w:rsidRPr="001C693E" w:rsidRDefault="00C91987" w:rsidP="00C91987">
      <w:pPr>
        <w:pStyle w:val="BTEMEASMCA"/>
      </w:pPr>
    </w:p>
    <w:p w14:paraId="0E7445B4" w14:textId="77777777" w:rsidR="00C91987" w:rsidRPr="001C693E" w:rsidRDefault="00C91987" w:rsidP="00C91987">
      <w:pPr>
        <w:pStyle w:val="PI-1labEMEASMCA"/>
      </w:pPr>
      <w:r w:rsidRPr="001C693E">
        <w:t>16.</w:t>
      </w:r>
      <w:r w:rsidRPr="001C693E">
        <w:tab/>
        <w:t>INFORMACIJA BRAILIO RAŠTU</w:t>
      </w:r>
    </w:p>
    <w:p w14:paraId="1DA2BA33" w14:textId="77777777" w:rsidR="00C91987" w:rsidRPr="001C693E" w:rsidRDefault="00C91987" w:rsidP="00C91987">
      <w:pPr>
        <w:pStyle w:val="BTEMEASMCA"/>
      </w:pPr>
    </w:p>
    <w:p w14:paraId="06CDE5A9" w14:textId="77777777" w:rsidR="00C51700" w:rsidRPr="00837997" w:rsidRDefault="00C51700" w:rsidP="00C91987">
      <w:pPr>
        <w:pStyle w:val="BTEMEASMCA"/>
        <w:rPr>
          <w:noProof/>
          <w:snapToGrid w:val="0"/>
          <w:highlight w:val="lightGray"/>
        </w:rPr>
      </w:pPr>
      <w:r w:rsidRPr="00837997">
        <w:rPr>
          <w:noProof/>
          <w:snapToGrid w:val="0"/>
          <w:highlight w:val="lightGray"/>
        </w:rPr>
        <w:t>Priimtas pagrindimas informacijos Brailio raštu nepateikti.</w:t>
      </w:r>
    </w:p>
    <w:p w14:paraId="23F0418A" w14:textId="77777777" w:rsidR="00C91987" w:rsidRPr="001C693E" w:rsidRDefault="00C91987" w:rsidP="00C91987">
      <w:pPr>
        <w:pStyle w:val="BTEMEASMCA"/>
      </w:pPr>
    </w:p>
    <w:p w14:paraId="530F0700" w14:textId="77777777" w:rsidR="00DD5740" w:rsidRPr="00837997" w:rsidRDefault="00DD5740" w:rsidP="00DD5740">
      <w:pPr>
        <w:tabs>
          <w:tab w:val="left" w:pos="567"/>
        </w:tabs>
        <w:spacing w:line="260" w:lineRule="exact"/>
        <w:rPr>
          <w:noProof/>
          <w:szCs w:val="22"/>
          <w:shd w:val="clear" w:color="auto" w:fill="CCCCCC"/>
        </w:rPr>
      </w:pPr>
    </w:p>
    <w:p w14:paraId="028C69DD" w14:textId="77777777" w:rsidR="00DD5740" w:rsidRPr="003F4F16" w:rsidRDefault="00DD5740" w:rsidP="00DD5740">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Cs w:val="22"/>
          <w:lang w:val="en-GB"/>
        </w:rPr>
      </w:pPr>
      <w:r w:rsidRPr="00837997">
        <w:rPr>
          <w:b/>
          <w:noProof/>
          <w:snapToGrid w:val="0"/>
          <w:szCs w:val="22"/>
          <w:lang w:val="en-GB"/>
        </w:rPr>
        <w:t>17.</w:t>
      </w:r>
      <w:r w:rsidRPr="00837997">
        <w:rPr>
          <w:b/>
          <w:noProof/>
          <w:snapToGrid w:val="0"/>
          <w:szCs w:val="22"/>
          <w:lang w:val="en-GB"/>
        </w:rPr>
        <w:tab/>
        <w:t>UNIKALUS IDENTIFIKATORIUS – 2D BRŪKŠNINIS KODAS</w:t>
      </w:r>
    </w:p>
    <w:p w14:paraId="5FC5F51C" w14:textId="77777777" w:rsidR="00DD5740" w:rsidRPr="003F4F16" w:rsidRDefault="00DD5740" w:rsidP="00DD5740">
      <w:pPr>
        <w:tabs>
          <w:tab w:val="left" w:pos="567"/>
        </w:tabs>
        <w:spacing w:line="260" w:lineRule="exact"/>
        <w:rPr>
          <w:noProof/>
          <w:snapToGrid w:val="0"/>
          <w:szCs w:val="22"/>
          <w:lang w:val="en-GB"/>
        </w:rPr>
      </w:pPr>
    </w:p>
    <w:p w14:paraId="48592B5C" w14:textId="77777777" w:rsidR="00DD5740" w:rsidRPr="0030491D" w:rsidRDefault="00DD5740" w:rsidP="00DD5740">
      <w:pPr>
        <w:tabs>
          <w:tab w:val="left" w:pos="567"/>
        </w:tabs>
        <w:spacing w:line="260" w:lineRule="exact"/>
        <w:rPr>
          <w:noProof/>
          <w:snapToGrid w:val="0"/>
          <w:szCs w:val="22"/>
          <w:shd w:val="clear" w:color="auto" w:fill="CCCCCC"/>
          <w:lang w:val="en-GB"/>
        </w:rPr>
      </w:pPr>
      <w:r w:rsidRPr="0030491D">
        <w:rPr>
          <w:noProof/>
          <w:snapToGrid w:val="0"/>
          <w:szCs w:val="22"/>
          <w:highlight w:val="lightGray"/>
          <w:lang w:val="en-GB"/>
        </w:rPr>
        <w:t>2D brūkšninis kodas su nurodytu unikaliu identifikatoriumi.</w:t>
      </w:r>
    </w:p>
    <w:p w14:paraId="1FE14064" w14:textId="77777777" w:rsidR="00DD5740" w:rsidRPr="00EF1019" w:rsidRDefault="00DD5740" w:rsidP="00DD5740">
      <w:pPr>
        <w:tabs>
          <w:tab w:val="left" w:pos="567"/>
        </w:tabs>
        <w:spacing w:line="260" w:lineRule="exact"/>
        <w:rPr>
          <w:noProof/>
          <w:snapToGrid w:val="0"/>
          <w:szCs w:val="22"/>
          <w:lang w:val="en-GB"/>
        </w:rPr>
      </w:pPr>
    </w:p>
    <w:p w14:paraId="1F6FF93F" w14:textId="77777777" w:rsidR="00DD5740" w:rsidRPr="00581FD8" w:rsidRDefault="00DD5740" w:rsidP="00DD5740">
      <w:pPr>
        <w:tabs>
          <w:tab w:val="left" w:pos="567"/>
        </w:tabs>
        <w:spacing w:line="260" w:lineRule="exact"/>
        <w:rPr>
          <w:noProof/>
          <w:snapToGrid w:val="0"/>
          <w:szCs w:val="22"/>
          <w:lang w:val="en-GB"/>
        </w:rPr>
      </w:pPr>
    </w:p>
    <w:p w14:paraId="25B9B337" w14:textId="77777777" w:rsidR="00DD5740" w:rsidRPr="00581FD8" w:rsidRDefault="00DD5740" w:rsidP="00DD5740">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Cs w:val="22"/>
          <w:lang w:val="en-GB"/>
        </w:rPr>
      </w:pPr>
      <w:r w:rsidRPr="00581FD8">
        <w:rPr>
          <w:b/>
          <w:noProof/>
          <w:snapToGrid w:val="0"/>
          <w:szCs w:val="22"/>
          <w:lang w:val="en-GB"/>
        </w:rPr>
        <w:t>18.</w:t>
      </w:r>
      <w:r w:rsidRPr="00581FD8">
        <w:rPr>
          <w:b/>
          <w:noProof/>
          <w:snapToGrid w:val="0"/>
          <w:szCs w:val="22"/>
          <w:lang w:val="en-GB"/>
        </w:rPr>
        <w:tab/>
        <w:t>UNIKALUS IDENTIFIKATORIUS – ŽMONĖMS SUPRANTAMI DUOMENYS</w:t>
      </w:r>
    </w:p>
    <w:p w14:paraId="601D09D7" w14:textId="77777777" w:rsidR="00DD5740" w:rsidRPr="00581FD8" w:rsidRDefault="00DD5740" w:rsidP="00DD5740">
      <w:pPr>
        <w:tabs>
          <w:tab w:val="left" w:pos="567"/>
        </w:tabs>
        <w:spacing w:line="260" w:lineRule="exact"/>
        <w:rPr>
          <w:noProof/>
          <w:snapToGrid w:val="0"/>
          <w:szCs w:val="22"/>
          <w:lang w:val="en-GB"/>
        </w:rPr>
      </w:pPr>
    </w:p>
    <w:p w14:paraId="550F542C" w14:textId="77777777" w:rsidR="00DD5740" w:rsidRPr="00581FD8" w:rsidRDefault="00DD5740" w:rsidP="00DD5740">
      <w:pPr>
        <w:tabs>
          <w:tab w:val="left" w:pos="567"/>
        </w:tabs>
        <w:spacing w:line="260" w:lineRule="exact"/>
        <w:rPr>
          <w:snapToGrid w:val="0"/>
          <w:szCs w:val="22"/>
          <w:lang w:val="en-GB"/>
        </w:rPr>
      </w:pPr>
      <w:r w:rsidRPr="00581FD8">
        <w:rPr>
          <w:snapToGrid w:val="0"/>
          <w:szCs w:val="22"/>
          <w:lang w:val="en-GB"/>
        </w:rPr>
        <w:t>PC: {numeris}</w:t>
      </w:r>
    </w:p>
    <w:p w14:paraId="481CF85F" w14:textId="77777777" w:rsidR="00DD5740" w:rsidRPr="00581FD8" w:rsidRDefault="00DD5740" w:rsidP="00DD5740">
      <w:pPr>
        <w:tabs>
          <w:tab w:val="left" w:pos="567"/>
        </w:tabs>
        <w:spacing w:line="260" w:lineRule="exact"/>
        <w:rPr>
          <w:snapToGrid w:val="0"/>
          <w:szCs w:val="22"/>
          <w:lang w:val="en-GB"/>
        </w:rPr>
      </w:pPr>
      <w:r w:rsidRPr="00581FD8">
        <w:rPr>
          <w:snapToGrid w:val="0"/>
          <w:szCs w:val="22"/>
          <w:lang w:val="en-GB"/>
        </w:rPr>
        <w:t>SN: {numeris}</w:t>
      </w:r>
    </w:p>
    <w:p w14:paraId="1A712CEE" w14:textId="77777777" w:rsidR="00DD5740" w:rsidRPr="00581FD8" w:rsidRDefault="00DD5740" w:rsidP="00DD5740">
      <w:pPr>
        <w:tabs>
          <w:tab w:val="left" w:pos="540"/>
        </w:tabs>
        <w:rPr>
          <w:szCs w:val="22"/>
        </w:rPr>
      </w:pPr>
      <w:r w:rsidRPr="00581FD8">
        <w:rPr>
          <w:snapToGrid w:val="0"/>
          <w:szCs w:val="22"/>
          <w:highlight w:val="lightGray"/>
          <w:lang w:val="en-GB"/>
        </w:rPr>
        <w:lastRenderedPageBreak/>
        <w:t>NN: {numeris</w:t>
      </w:r>
      <w:r w:rsidR="0060288A" w:rsidRPr="00581FD8">
        <w:rPr>
          <w:snapToGrid w:val="0"/>
          <w:szCs w:val="22"/>
          <w:highlight w:val="lightGray"/>
          <w:lang w:val="en-GB"/>
        </w:rPr>
        <w:t>}</w:t>
      </w:r>
    </w:p>
    <w:p w14:paraId="02D566D4" w14:textId="77777777" w:rsidR="00DD5740" w:rsidRPr="00581FD8" w:rsidRDefault="00DD5740" w:rsidP="00DD5740">
      <w:pPr>
        <w:tabs>
          <w:tab w:val="left" w:pos="540"/>
        </w:tabs>
        <w:rPr>
          <w:szCs w:val="22"/>
        </w:rPr>
      </w:pPr>
    </w:p>
    <w:p w14:paraId="4FD6879D" w14:textId="77777777" w:rsidR="00DD5740" w:rsidRPr="00581FD8" w:rsidRDefault="00DD5740" w:rsidP="00DD5740">
      <w:pPr>
        <w:tabs>
          <w:tab w:val="left" w:pos="540"/>
        </w:tabs>
        <w:rPr>
          <w:szCs w:val="22"/>
        </w:rPr>
      </w:pPr>
    </w:p>
    <w:p w14:paraId="741D7F81" w14:textId="77777777" w:rsidR="00DD5740" w:rsidRPr="00581FD8" w:rsidRDefault="00DD5740" w:rsidP="00DD5740">
      <w:pPr>
        <w:tabs>
          <w:tab w:val="left" w:pos="540"/>
        </w:tabs>
        <w:rPr>
          <w:szCs w:val="22"/>
        </w:rPr>
      </w:pPr>
    </w:p>
    <w:p w14:paraId="2AB1772B" w14:textId="77777777" w:rsidR="00C91987" w:rsidRPr="001C693E" w:rsidRDefault="00C91987" w:rsidP="00C91987">
      <w:pPr>
        <w:pStyle w:val="Pagrindinistekstas"/>
        <w:spacing w:after="0"/>
        <w:rPr>
          <w:szCs w:val="22"/>
        </w:rPr>
      </w:pPr>
    </w:p>
    <w:p w14:paraId="75357779" w14:textId="77777777" w:rsidR="00C91987" w:rsidRPr="001C693E" w:rsidRDefault="00C91987" w:rsidP="00C91987">
      <w:pPr>
        <w:pStyle w:val="Antrat2"/>
        <w:pBdr>
          <w:top w:val="single" w:sz="4" w:space="1" w:color="auto"/>
          <w:left w:val="single" w:sz="4" w:space="4" w:color="auto"/>
          <w:bottom w:val="single" w:sz="4" w:space="1" w:color="auto"/>
          <w:right w:val="single" w:sz="4" w:space="4" w:color="auto"/>
        </w:pBdr>
        <w:rPr>
          <w:szCs w:val="22"/>
        </w:rPr>
      </w:pPr>
      <w:r w:rsidRPr="001C693E">
        <w:rPr>
          <w:szCs w:val="22"/>
        </w:rPr>
        <w:br w:type="page"/>
      </w:r>
      <w:r w:rsidRPr="001C693E">
        <w:rPr>
          <w:szCs w:val="22"/>
        </w:rPr>
        <w:lastRenderedPageBreak/>
        <w:t>MINIMALI INFORMACIJA ANT MAŽŲ VIDINIŲ PAKUOČIŲ</w:t>
      </w:r>
    </w:p>
    <w:p w14:paraId="1F354868" w14:textId="77777777" w:rsidR="00C91987" w:rsidRPr="00581FD8" w:rsidRDefault="00C91987" w:rsidP="00C91987">
      <w:pPr>
        <w:pStyle w:val="Pagrindinistekstas"/>
        <w:pBdr>
          <w:top w:val="single" w:sz="4" w:space="1" w:color="auto"/>
          <w:left w:val="single" w:sz="4" w:space="4" w:color="auto"/>
          <w:bottom w:val="single" w:sz="4" w:space="1" w:color="auto"/>
          <w:right w:val="single" w:sz="4" w:space="4" w:color="auto"/>
        </w:pBdr>
        <w:spacing w:after="0"/>
        <w:rPr>
          <w:b/>
          <w:szCs w:val="22"/>
        </w:rPr>
      </w:pPr>
      <w:r w:rsidRPr="00581FD8">
        <w:rPr>
          <w:b/>
          <w:szCs w:val="22"/>
        </w:rPr>
        <w:t>AMPULĖ</w:t>
      </w:r>
      <w:r w:rsidR="00C51700" w:rsidRPr="00581FD8">
        <w:rPr>
          <w:b/>
          <w:szCs w:val="22"/>
        </w:rPr>
        <w:t>S ETIKETĖ</w:t>
      </w:r>
    </w:p>
    <w:p w14:paraId="5A27838A" w14:textId="77777777" w:rsidR="00C91987" w:rsidRPr="001C693E" w:rsidRDefault="00C91987" w:rsidP="00C91987">
      <w:pPr>
        <w:pStyle w:val="Pagrindinistekstas"/>
        <w:spacing w:after="0"/>
        <w:rPr>
          <w:szCs w:val="22"/>
        </w:rPr>
      </w:pPr>
    </w:p>
    <w:p w14:paraId="38EE2318" w14:textId="77777777" w:rsidR="00C91987" w:rsidRPr="001C693E" w:rsidRDefault="00C91987" w:rsidP="00C91987">
      <w:pPr>
        <w:pStyle w:val="Pagrindinistekstas"/>
        <w:spacing w:after="0"/>
        <w:rPr>
          <w:szCs w:val="22"/>
        </w:rPr>
      </w:pPr>
    </w:p>
    <w:p w14:paraId="22C52105" w14:textId="77777777" w:rsidR="00C91987" w:rsidRPr="001C693E" w:rsidRDefault="00C91987" w:rsidP="00C91987">
      <w:pPr>
        <w:pStyle w:val="Antrat3"/>
        <w:rPr>
          <w:szCs w:val="22"/>
        </w:rPr>
      </w:pPr>
      <w:r w:rsidRPr="001C693E">
        <w:rPr>
          <w:szCs w:val="22"/>
        </w:rPr>
        <w:t>1.</w:t>
      </w:r>
      <w:r w:rsidRPr="001C693E">
        <w:rPr>
          <w:szCs w:val="22"/>
        </w:rPr>
        <w:tab/>
        <w:t>VAISTINIO PREPARATO PAVADINIMAS IR VARTOJIMO BŪDAS</w:t>
      </w:r>
    </w:p>
    <w:p w14:paraId="7F90735C" w14:textId="77777777" w:rsidR="00C91987" w:rsidRPr="001C693E" w:rsidRDefault="00C91987" w:rsidP="00C91987">
      <w:pPr>
        <w:pStyle w:val="Pagrindinistekstas"/>
        <w:spacing w:after="0"/>
        <w:rPr>
          <w:szCs w:val="22"/>
        </w:rPr>
      </w:pPr>
    </w:p>
    <w:p w14:paraId="63A6999D" w14:textId="77777777" w:rsidR="00C91987" w:rsidRPr="001C693E" w:rsidRDefault="00C91987" w:rsidP="00C91987">
      <w:pPr>
        <w:pStyle w:val="Pagrindinistekstas"/>
        <w:spacing w:after="0"/>
        <w:rPr>
          <w:szCs w:val="22"/>
        </w:rPr>
      </w:pPr>
      <w:r w:rsidRPr="001C693E">
        <w:rPr>
          <w:szCs w:val="22"/>
        </w:rPr>
        <w:t>Nimbex 2mg/ml injekcinis</w:t>
      </w:r>
      <w:r w:rsidR="00D72BAF" w:rsidRPr="001C693E">
        <w:rPr>
          <w:szCs w:val="22"/>
        </w:rPr>
        <w:t xml:space="preserve"> ar </w:t>
      </w:r>
      <w:r w:rsidRPr="001C693E">
        <w:rPr>
          <w:szCs w:val="22"/>
        </w:rPr>
        <w:t>infuzinis tirpalas</w:t>
      </w:r>
    </w:p>
    <w:p w14:paraId="09600C5B" w14:textId="77777777" w:rsidR="00C91987" w:rsidRPr="001C693E" w:rsidRDefault="00C91987" w:rsidP="00C91987">
      <w:pPr>
        <w:pStyle w:val="Pagrindinistekstas"/>
        <w:spacing w:after="0"/>
        <w:rPr>
          <w:szCs w:val="22"/>
        </w:rPr>
      </w:pPr>
      <w:r w:rsidRPr="001C693E">
        <w:rPr>
          <w:szCs w:val="22"/>
        </w:rPr>
        <w:t>Cisatrakuris</w:t>
      </w:r>
    </w:p>
    <w:p w14:paraId="44C6BD40" w14:textId="77777777" w:rsidR="00C91987" w:rsidRPr="001C693E" w:rsidRDefault="00C91987" w:rsidP="00C91987">
      <w:pPr>
        <w:pStyle w:val="Pagrindinistekstas"/>
        <w:spacing w:after="0"/>
        <w:rPr>
          <w:szCs w:val="22"/>
        </w:rPr>
      </w:pPr>
      <w:r w:rsidRPr="001C693E">
        <w:rPr>
          <w:szCs w:val="22"/>
        </w:rPr>
        <w:t>Leisti į veną.</w:t>
      </w:r>
    </w:p>
    <w:p w14:paraId="175710F3" w14:textId="77777777" w:rsidR="00C91987" w:rsidRPr="001C693E" w:rsidRDefault="00C91987" w:rsidP="00C91987">
      <w:pPr>
        <w:pStyle w:val="Pagrindinistekstas"/>
        <w:spacing w:after="0"/>
        <w:rPr>
          <w:szCs w:val="22"/>
        </w:rPr>
      </w:pPr>
    </w:p>
    <w:p w14:paraId="023205CF" w14:textId="77777777" w:rsidR="00C91987" w:rsidRPr="001C693E" w:rsidRDefault="00C91987" w:rsidP="00C91987">
      <w:pPr>
        <w:pStyle w:val="Pagrindinistekstas"/>
        <w:spacing w:after="0"/>
        <w:rPr>
          <w:szCs w:val="22"/>
        </w:rPr>
      </w:pPr>
    </w:p>
    <w:p w14:paraId="54158D45" w14:textId="77777777" w:rsidR="00C91987" w:rsidRPr="001C693E" w:rsidRDefault="00C91987" w:rsidP="00C91987">
      <w:pPr>
        <w:pStyle w:val="Antrat3"/>
        <w:rPr>
          <w:szCs w:val="22"/>
        </w:rPr>
      </w:pPr>
      <w:r w:rsidRPr="001C693E">
        <w:rPr>
          <w:szCs w:val="22"/>
        </w:rPr>
        <w:t>2.</w:t>
      </w:r>
      <w:r w:rsidRPr="001C693E">
        <w:rPr>
          <w:szCs w:val="22"/>
        </w:rPr>
        <w:tab/>
        <w:t>VARTOJIMO METODAS</w:t>
      </w:r>
    </w:p>
    <w:p w14:paraId="59D97D50" w14:textId="77777777" w:rsidR="00C91987" w:rsidRPr="001C693E" w:rsidRDefault="00C91987" w:rsidP="00C91987">
      <w:pPr>
        <w:pStyle w:val="Pagrindinistekstas"/>
        <w:spacing w:after="0"/>
        <w:rPr>
          <w:szCs w:val="22"/>
        </w:rPr>
      </w:pPr>
    </w:p>
    <w:p w14:paraId="07A95077" w14:textId="77777777" w:rsidR="00C91987" w:rsidRPr="001C693E" w:rsidRDefault="00C91987" w:rsidP="00C91987">
      <w:pPr>
        <w:pStyle w:val="Pagrindinistekstas"/>
        <w:spacing w:after="0"/>
        <w:rPr>
          <w:szCs w:val="22"/>
        </w:rPr>
      </w:pPr>
    </w:p>
    <w:p w14:paraId="05809603" w14:textId="77777777" w:rsidR="00C91987" w:rsidRPr="001C693E" w:rsidRDefault="00C91987" w:rsidP="00C91987">
      <w:pPr>
        <w:pStyle w:val="Antrat3"/>
        <w:rPr>
          <w:szCs w:val="22"/>
        </w:rPr>
      </w:pPr>
      <w:r w:rsidRPr="001C693E">
        <w:rPr>
          <w:szCs w:val="22"/>
        </w:rPr>
        <w:t>3.</w:t>
      </w:r>
      <w:r w:rsidRPr="001C693E">
        <w:rPr>
          <w:szCs w:val="22"/>
        </w:rPr>
        <w:tab/>
        <w:t>TINKAMUMO LAIKAS</w:t>
      </w:r>
    </w:p>
    <w:p w14:paraId="3107AE15" w14:textId="77777777" w:rsidR="00C91987" w:rsidRPr="001C693E" w:rsidRDefault="00C91987" w:rsidP="00C91987">
      <w:pPr>
        <w:pStyle w:val="Pagrindinistekstas"/>
        <w:spacing w:after="0"/>
        <w:rPr>
          <w:szCs w:val="22"/>
        </w:rPr>
      </w:pPr>
    </w:p>
    <w:p w14:paraId="0EAE2FED" w14:textId="77777777" w:rsidR="00C91987" w:rsidRPr="001C693E" w:rsidRDefault="00C91987" w:rsidP="00C91987">
      <w:pPr>
        <w:pStyle w:val="Pagrindinistekstas"/>
        <w:spacing w:after="0"/>
        <w:rPr>
          <w:szCs w:val="22"/>
        </w:rPr>
      </w:pPr>
      <w:r w:rsidRPr="001C693E">
        <w:rPr>
          <w:szCs w:val="22"/>
        </w:rPr>
        <w:t>Tinka iki {mm-MMMM}</w:t>
      </w:r>
    </w:p>
    <w:p w14:paraId="4B7157D6" w14:textId="77777777" w:rsidR="00C91987" w:rsidRPr="001C693E" w:rsidRDefault="00C91987" w:rsidP="00C91987">
      <w:pPr>
        <w:pStyle w:val="Pagrindinistekstas"/>
        <w:spacing w:after="0"/>
        <w:rPr>
          <w:szCs w:val="22"/>
        </w:rPr>
      </w:pPr>
      <w:r w:rsidRPr="001C693E">
        <w:rPr>
          <w:szCs w:val="22"/>
        </w:rPr>
        <w:t>Praskiesto tirpalo tinkamumo laikas - 24 val.</w:t>
      </w:r>
    </w:p>
    <w:p w14:paraId="5643842F" w14:textId="77777777" w:rsidR="00C91987" w:rsidRPr="001C693E" w:rsidRDefault="00C91987" w:rsidP="00C91987">
      <w:pPr>
        <w:pStyle w:val="Pagrindinistekstas"/>
        <w:spacing w:after="0"/>
        <w:rPr>
          <w:szCs w:val="22"/>
        </w:rPr>
      </w:pPr>
    </w:p>
    <w:p w14:paraId="7732D7F0" w14:textId="77777777" w:rsidR="00C91987" w:rsidRPr="001C693E" w:rsidRDefault="00C91987" w:rsidP="00C91987">
      <w:pPr>
        <w:pStyle w:val="Pagrindinistekstas"/>
        <w:spacing w:after="0"/>
        <w:rPr>
          <w:szCs w:val="22"/>
        </w:rPr>
      </w:pPr>
    </w:p>
    <w:p w14:paraId="7492FC5C" w14:textId="77777777" w:rsidR="00C91987" w:rsidRPr="001C693E" w:rsidRDefault="00C91987" w:rsidP="00C91987">
      <w:pPr>
        <w:pStyle w:val="Antrat3"/>
        <w:rPr>
          <w:szCs w:val="22"/>
        </w:rPr>
      </w:pPr>
      <w:r w:rsidRPr="001C693E">
        <w:rPr>
          <w:szCs w:val="22"/>
        </w:rPr>
        <w:t>4.</w:t>
      </w:r>
      <w:r w:rsidRPr="001C693E">
        <w:rPr>
          <w:szCs w:val="22"/>
        </w:rPr>
        <w:tab/>
        <w:t>SERIJOS NUMERIS</w:t>
      </w:r>
    </w:p>
    <w:p w14:paraId="45E83E19" w14:textId="77777777" w:rsidR="00C91987" w:rsidRPr="001C693E" w:rsidRDefault="00C91987" w:rsidP="00C91987">
      <w:pPr>
        <w:pStyle w:val="Pagrindinistekstas"/>
        <w:spacing w:after="0"/>
        <w:rPr>
          <w:szCs w:val="22"/>
        </w:rPr>
      </w:pPr>
    </w:p>
    <w:p w14:paraId="79A3157A" w14:textId="77777777" w:rsidR="00C91987" w:rsidRPr="001C693E" w:rsidRDefault="00C91987" w:rsidP="00C91987">
      <w:pPr>
        <w:pStyle w:val="Pagrindinistekstas"/>
        <w:spacing w:after="0"/>
        <w:rPr>
          <w:szCs w:val="22"/>
        </w:rPr>
      </w:pPr>
      <w:r w:rsidRPr="001C693E">
        <w:rPr>
          <w:szCs w:val="22"/>
        </w:rPr>
        <w:t xml:space="preserve">Serija </w:t>
      </w:r>
    </w:p>
    <w:p w14:paraId="007BE5B5" w14:textId="77777777" w:rsidR="00C91987" w:rsidRPr="001C693E" w:rsidRDefault="00C91987" w:rsidP="00C91987">
      <w:pPr>
        <w:pStyle w:val="Pagrindinistekstas"/>
        <w:spacing w:after="0"/>
        <w:rPr>
          <w:szCs w:val="22"/>
        </w:rPr>
      </w:pPr>
    </w:p>
    <w:p w14:paraId="2C27F1F3" w14:textId="77777777" w:rsidR="00C91987" w:rsidRPr="001C693E" w:rsidRDefault="00C91987" w:rsidP="00C91987">
      <w:pPr>
        <w:pStyle w:val="Pagrindinistekstas"/>
        <w:spacing w:after="0"/>
        <w:rPr>
          <w:szCs w:val="22"/>
        </w:rPr>
      </w:pPr>
    </w:p>
    <w:p w14:paraId="1379BCAA" w14:textId="77777777" w:rsidR="00C91987" w:rsidRPr="001C693E" w:rsidRDefault="00C91987" w:rsidP="00C91987">
      <w:pPr>
        <w:pStyle w:val="Antrat3"/>
        <w:rPr>
          <w:szCs w:val="22"/>
        </w:rPr>
      </w:pPr>
      <w:r w:rsidRPr="001C693E">
        <w:rPr>
          <w:szCs w:val="22"/>
        </w:rPr>
        <w:t>5.</w:t>
      </w:r>
      <w:r w:rsidRPr="001C693E">
        <w:rPr>
          <w:szCs w:val="22"/>
        </w:rPr>
        <w:tab/>
        <w:t>KIEKIS (MASĖ, TŪRIS ARBA VIENETAI)</w:t>
      </w:r>
    </w:p>
    <w:p w14:paraId="40478C61" w14:textId="77777777" w:rsidR="00C91987" w:rsidRPr="001C693E" w:rsidRDefault="00C91987" w:rsidP="00C91987">
      <w:pPr>
        <w:pStyle w:val="Pagrindinistekstas"/>
        <w:spacing w:after="0"/>
        <w:rPr>
          <w:szCs w:val="22"/>
        </w:rPr>
      </w:pPr>
    </w:p>
    <w:p w14:paraId="13E1336E" w14:textId="77777777" w:rsidR="00C91987" w:rsidRPr="001C693E" w:rsidRDefault="00C91987" w:rsidP="00C91987">
      <w:pPr>
        <w:pStyle w:val="PI-1labEMEASMCA"/>
        <w:pBdr>
          <w:top w:val="none" w:sz="0" w:space="0" w:color="auto"/>
          <w:left w:val="none" w:sz="0" w:space="0" w:color="auto"/>
          <w:bottom w:val="none" w:sz="0" w:space="0" w:color="auto"/>
          <w:right w:val="none" w:sz="0" w:space="0" w:color="auto"/>
        </w:pBdr>
        <w:rPr>
          <w:b w:val="0"/>
          <w:noProof w:val="0"/>
        </w:rPr>
      </w:pPr>
      <w:r w:rsidRPr="001C693E">
        <w:rPr>
          <w:b w:val="0"/>
          <w:noProof w:val="0"/>
        </w:rPr>
        <w:t>2,5 ml</w:t>
      </w:r>
    </w:p>
    <w:p w14:paraId="417EB803" w14:textId="77777777" w:rsidR="00C91987" w:rsidRPr="001C693E" w:rsidRDefault="00C91987" w:rsidP="00C91987">
      <w:pPr>
        <w:rPr>
          <w:szCs w:val="22"/>
        </w:rPr>
      </w:pPr>
      <w:r w:rsidRPr="001C693E">
        <w:rPr>
          <w:szCs w:val="22"/>
          <w:highlight w:val="lightGray"/>
        </w:rPr>
        <w:t>5 ml</w:t>
      </w:r>
    </w:p>
    <w:p w14:paraId="356615A5" w14:textId="77777777" w:rsidR="00C91987" w:rsidRPr="001C693E" w:rsidRDefault="00C91987" w:rsidP="00C91987">
      <w:pPr>
        <w:pStyle w:val="BTEMEASMCA"/>
      </w:pPr>
    </w:p>
    <w:p w14:paraId="28592A84" w14:textId="77777777" w:rsidR="00C91987" w:rsidRPr="001C693E" w:rsidRDefault="00C91987" w:rsidP="00C91987">
      <w:pPr>
        <w:pStyle w:val="BTEMEASMCA"/>
      </w:pPr>
    </w:p>
    <w:p w14:paraId="7FC0E00B" w14:textId="77777777" w:rsidR="00C91987" w:rsidRPr="001C693E" w:rsidRDefault="00C91987" w:rsidP="00C91987">
      <w:pPr>
        <w:pStyle w:val="PI-1labEMEASMCA"/>
        <w:rPr>
          <w:highlight w:val="lightGray"/>
        </w:rPr>
      </w:pPr>
      <w:r w:rsidRPr="001C693E">
        <w:t>6.</w:t>
      </w:r>
      <w:r w:rsidRPr="001C693E">
        <w:tab/>
        <w:t>KITA</w:t>
      </w:r>
    </w:p>
    <w:p w14:paraId="255FFAE3" w14:textId="77777777" w:rsidR="00C91987" w:rsidRPr="001C693E" w:rsidRDefault="00C91987" w:rsidP="00C91987">
      <w:pPr>
        <w:pStyle w:val="BTEMEASMCA"/>
      </w:pPr>
    </w:p>
    <w:p w14:paraId="6E2897BA" w14:textId="77777777" w:rsidR="00C91987" w:rsidRPr="001C693E" w:rsidRDefault="00C91987" w:rsidP="00C91987">
      <w:pPr>
        <w:pStyle w:val="Pagrindinistekstas"/>
        <w:spacing w:after="0"/>
        <w:rPr>
          <w:szCs w:val="22"/>
        </w:rPr>
      </w:pPr>
      <w:r w:rsidRPr="001C693E">
        <w:rPr>
          <w:szCs w:val="22"/>
        </w:rPr>
        <w:t>1 ml tirpalo yra 2 mg cisatrakurio, atitinkančio 2,68 mg cisatrakurio besilato.</w:t>
      </w:r>
    </w:p>
    <w:p w14:paraId="26519C6E" w14:textId="77777777" w:rsidR="00C91987" w:rsidRPr="001C693E" w:rsidRDefault="00C91987" w:rsidP="00C91987">
      <w:pPr>
        <w:pStyle w:val="Pagrindinistekstas"/>
        <w:spacing w:after="0"/>
        <w:rPr>
          <w:szCs w:val="22"/>
        </w:rPr>
      </w:pPr>
    </w:p>
    <w:p w14:paraId="23EAE421" w14:textId="77777777" w:rsidR="00C91987" w:rsidRPr="001C693E" w:rsidRDefault="00C91987" w:rsidP="00C91987">
      <w:pPr>
        <w:pStyle w:val="Pagrindinistekstas"/>
        <w:spacing w:after="0"/>
        <w:rPr>
          <w:szCs w:val="22"/>
        </w:rPr>
      </w:pPr>
      <w:r w:rsidRPr="001C693E">
        <w:rPr>
          <w:szCs w:val="22"/>
        </w:rPr>
        <w:br w:type="page"/>
      </w:r>
    </w:p>
    <w:p w14:paraId="053E9A5D" w14:textId="77777777" w:rsidR="00C91987" w:rsidRPr="001C693E" w:rsidRDefault="00C91987" w:rsidP="00C91987">
      <w:pPr>
        <w:pStyle w:val="Pagrindinistekstas"/>
        <w:spacing w:after="0"/>
        <w:rPr>
          <w:szCs w:val="22"/>
        </w:rPr>
      </w:pPr>
    </w:p>
    <w:p w14:paraId="4DB48321" w14:textId="77777777" w:rsidR="00C91987" w:rsidRPr="001C693E" w:rsidRDefault="00C91987" w:rsidP="00C91987">
      <w:pPr>
        <w:pStyle w:val="Pagrindinistekstas"/>
        <w:spacing w:after="0"/>
        <w:rPr>
          <w:szCs w:val="22"/>
        </w:rPr>
      </w:pPr>
    </w:p>
    <w:p w14:paraId="21175C50" w14:textId="77777777" w:rsidR="00C91987" w:rsidRPr="001C693E" w:rsidRDefault="00C91987" w:rsidP="00C91987">
      <w:pPr>
        <w:pStyle w:val="Pagrindinistekstas"/>
        <w:spacing w:after="0"/>
        <w:rPr>
          <w:szCs w:val="22"/>
        </w:rPr>
      </w:pPr>
    </w:p>
    <w:p w14:paraId="183D1BF1" w14:textId="77777777" w:rsidR="00C91987" w:rsidRPr="001C693E" w:rsidRDefault="00C91987" w:rsidP="00C91987">
      <w:pPr>
        <w:pStyle w:val="Pagrindinistekstas"/>
        <w:spacing w:after="0"/>
        <w:rPr>
          <w:szCs w:val="22"/>
        </w:rPr>
      </w:pPr>
    </w:p>
    <w:p w14:paraId="7B65ACD6" w14:textId="77777777" w:rsidR="00C91987" w:rsidRPr="001C693E" w:rsidRDefault="00C91987" w:rsidP="00C91987">
      <w:pPr>
        <w:pStyle w:val="Pagrindinistekstas"/>
        <w:spacing w:after="0"/>
        <w:rPr>
          <w:szCs w:val="22"/>
        </w:rPr>
      </w:pPr>
    </w:p>
    <w:p w14:paraId="06A4881B" w14:textId="77777777" w:rsidR="00C91987" w:rsidRPr="001C693E" w:rsidRDefault="00C91987" w:rsidP="00C91987">
      <w:pPr>
        <w:pStyle w:val="Pagrindinistekstas"/>
        <w:spacing w:after="0"/>
        <w:rPr>
          <w:szCs w:val="22"/>
        </w:rPr>
      </w:pPr>
    </w:p>
    <w:p w14:paraId="710618BF" w14:textId="77777777" w:rsidR="00C91987" w:rsidRPr="001C693E" w:rsidRDefault="00C91987" w:rsidP="00C91987">
      <w:pPr>
        <w:pStyle w:val="Pagrindinistekstas"/>
        <w:spacing w:after="0"/>
        <w:rPr>
          <w:szCs w:val="22"/>
        </w:rPr>
      </w:pPr>
    </w:p>
    <w:p w14:paraId="11F04649" w14:textId="77777777" w:rsidR="00C91987" w:rsidRPr="001C693E" w:rsidRDefault="00C91987" w:rsidP="00C91987">
      <w:pPr>
        <w:pStyle w:val="Pagrindinistekstas"/>
        <w:spacing w:after="0"/>
        <w:rPr>
          <w:szCs w:val="22"/>
        </w:rPr>
      </w:pPr>
    </w:p>
    <w:p w14:paraId="49C50B67" w14:textId="77777777" w:rsidR="00C91987" w:rsidRPr="001C693E" w:rsidRDefault="00C91987" w:rsidP="00C91987">
      <w:pPr>
        <w:pStyle w:val="Pagrindinistekstas"/>
        <w:spacing w:after="0"/>
        <w:rPr>
          <w:szCs w:val="22"/>
        </w:rPr>
      </w:pPr>
    </w:p>
    <w:p w14:paraId="275340B1" w14:textId="77777777" w:rsidR="00C91987" w:rsidRPr="001C693E" w:rsidRDefault="00C91987" w:rsidP="00C91987">
      <w:pPr>
        <w:pStyle w:val="Pagrindinistekstas"/>
        <w:spacing w:after="0"/>
        <w:rPr>
          <w:szCs w:val="22"/>
        </w:rPr>
      </w:pPr>
    </w:p>
    <w:p w14:paraId="3FE58AB6" w14:textId="77777777" w:rsidR="00C91987" w:rsidRPr="001C693E" w:rsidRDefault="00C91987" w:rsidP="00C91987">
      <w:pPr>
        <w:pStyle w:val="Pagrindinistekstas"/>
        <w:spacing w:after="0"/>
        <w:rPr>
          <w:szCs w:val="22"/>
        </w:rPr>
      </w:pPr>
    </w:p>
    <w:p w14:paraId="64073BBC" w14:textId="77777777" w:rsidR="00C91987" w:rsidRPr="001C693E" w:rsidRDefault="00C91987" w:rsidP="00C91987">
      <w:pPr>
        <w:pStyle w:val="Pagrindinistekstas"/>
        <w:spacing w:after="0"/>
        <w:rPr>
          <w:szCs w:val="22"/>
        </w:rPr>
      </w:pPr>
    </w:p>
    <w:p w14:paraId="048B906A" w14:textId="77777777" w:rsidR="00C91987" w:rsidRPr="001C693E" w:rsidRDefault="00C91987" w:rsidP="00C91987">
      <w:pPr>
        <w:pStyle w:val="Pagrindinistekstas"/>
        <w:spacing w:after="0"/>
        <w:rPr>
          <w:szCs w:val="22"/>
        </w:rPr>
      </w:pPr>
    </w:p>
    <w:p w14:paraId="792FE24F" w14:textId="77777777" w:rsidR="00C91987" w:rsidRPr="001C693E" w:rsidRDefault="00C91987" w:rsidP="00C91987">
      <w:pPr>
        <w:pStyle w:val="Pagrindinistekstas"/>
        <w:spacing w:after="0"/>
        <w:rPr>
          <w:szCs w:val="22"/>
        </w:rPr>
      </w:pPr>
    </w:p>
    <w:p w14:paraId="3D09EC8E" w14:textId="77777777" w:rsidR="00C91987" w:rsidRPr="001C693E" w:rsidRDefault="00C91987" w:rsidP="00C91987">
      <w:pPr>
        <w:pStyle w:val="Pagrindinistekstas"/>
        <w:spacing w:after="0"/>
        <w:rPr>
          <w:szCs w:val="22"/>
        </w:rPr>
      </w:pPr>
    </w:p>
    <w:p w14:paraId="40C4E72A" w14:textId="77777777" w:rsidR="00C91987" w:rsidRPr="001C693E" w:rsidRDefault="00C91987" w:rsidP="00C91987">
      <w:pPr>
        <w:pStyle w:val="Pagrindinistekstas"/>
        <w:spacing w:after="0"/>
        <w:rPr>
          <w:szCs w:val="22"/>
        </w:rPr>
      </w:pPr>
    </w:p>
    <w:p w14:paraId="5CE51F75" w14:textId="77777777" w:rsidR="00C91987" w:rsidRPr="001C693E" w:rsidRDefault="00C91987" w:rsidP="00C91987">
      <w:pPr>
        <w:pStyle w:val="Pagrindinistekstas"/>
        <w:spacing w:after="0"/>
        <w:rPr>
          <w:szCs w:val="22"/>
        </w:rPr>
      </w:pPr>
    </w:p>
    <w:p w14:paraId="5CF4A63E" w14:textId="77777777" w:rsidR="00C91987" w:rsidRPr="001C693E" w:rsidRDefault="00C91987" w:rsidP="00C91987">
      <w:pPr>
        <w:pStyle w:val="Pagrindinistekstas"/>
        <w:spacing w:after="0"/>
        <w:rPr>
          <w:szCs w:val="22"/>
        </w:rPr>
      </w:pPr>
    </w:p>
    <w:p w14:paraId="309A7117" w14:textId="77777777" w:rsidR="00C91987" w:rsidRPr="001C693E" w:rsidRDefault="00C91987" w:rsidP="00C91987">
      <w:pPr>
        <w:pStyle w:val="Pagrindinistekstas"/>
        <w:spacing w:after="0"/>
        <w:rPr>
          <w:szCs w:val="22"/>
        </w:rPr>
      </w:pPr>
    </w:p>
    <w:p w14:paraId="2FF14DA8" w14:textId="77777777" w:rsidR="00C91987" w:rsidRPr="001C693E" w:rsidRDefault="00C91987" w:rsidP="00C91987">
      <w:pPr>
        <w:pStyle w:val="Pagrindinistekstas"/>
        <w:spacing w:after="0"/>
        <w:rPr>
          <w:szCs w:val="22"/>
        </w:rPr>
      </w:pPr>
    </w:p>
    <w:p w14:paraId="573CF8C0" w14:textId="77777777" w:rsidR="00C91987" w:rsidRPr="001C693E" w:rsidRDefault="00C91987" w:rsidP="00C91987">
      <w:pPr>
        <w:pStyle w:val="Pagrindinistekstas"/>
        <w:spacing w:after="0"/>
        <w:rPr>
          <w:szCs w:val="22"/>
        </w:rPr>
      </w:pPr>
    </w:p>
    <w:p w14:paraId="591FCBF8" w14:textId="77777777" w:rsidR="00C91987" w:rsidRPr="001C693E" w:rsidRDefault="00C91987" w:rsidP="00C91987">
      <w:pPr>
        <w:pStyle w:val="Pagrindinistekstas"/>
        <w:spacing w:after="0"/>
        <w:rPr>
          <w:szCs w:val="22"/>
        </w:rPr>
      </w:pPr>
    </w:p>
    <w:p w14:paraId="33E0CA5A" w14:textId="77777777" w:rsidR="00C91987" w:rsidRPr="001C693E" w:rsidRDefault="00C91987" w:rsidP="00C91987">
      <w:pPr>
        <w:pStyle w:val="Pavadinimas"/>
        <w:rPr>
          <w:szCs w:val="22"/>
        </w:rPr>
      </w:pPr>
      <w:r w:rsidRPr="001C693E">
        <w:rPr>
          <w:szCs w:val="22"/>
        </w:rPr>
        <w:t>B. PAKUOTĖS LAPELIS</w:t>
      </w:r>
    </w:p>
    <w:p w14:paraId="51BFAFB1" w14:textId="77777777" w:rsidR="00C91987" w:rsidRPr="001C693E" w:rsidRDefault="00C91987" w:rsidP="00C91987">
      <w:pPr>
        <w:pStyle w:val="Pagrindinistekstas"/>
        <w:spacing w:after="0"/>
        <w:jc w:val="center"/>
        <w:rPr>
          <w:b/>
          <w:szCs w:val="22"/>
        </w:rPr>
      </w:pPr>
      <w:r w:rsidRPr="001C693E">
        <w:rPr>
          <w:szCs w:val="22"/>
        </w:rPr>
        <w:br w:type="page"/>
      </w:r>
      <w:r w:rsidRPr="001C693E">
        <w:rPr>
          <w:b/>
          <w:szCs w:val="22"/>
        </w:rPr>
        <w:lastRenderedPageBreak/>
        <w:t>Pakuotės lapelis: informacija vartotojui</w:t>
      </w:r>
    </w:p>
    <w:p w14:paraId="41C400B4" w14:textId="77777777" w:rsidR="00C91987" w:rsidRPr="001C693E" w:rsidRDefault="00C91987" w:rsidP="00C91987">
      <w:pPr>
        <w:pStyle w:val="Pagrindinistekstas"/>
        <w:spacing w:after="0"/>
        <w:rPr>
          <w:szCs w:val="22"/>
        </w:rPr>
      </w:pPr>
    </w:p>
    <w:p w14:paraId="175BC658" w14:textId="77777777" w:rsidR="00C91987" w:rsidRPr="001C693E" w:rsidRDefault="00C91987" w:rsidP="00C91987">
      <w:pPr>
        <w:pStyle w:val="Pagrindinistekstas"/>
        <w:spacing w:after="0"/>
        <w:jc w:val="center"/>
        <w:rPr>
          <w:b/>
          <w:szCs w:val="22"/>
        </w:rPr>
      </w:pPr>
      <w:r w:rsidRPr="001C693E">
        <w:rPr>
          <w:b/>
          <w:caps/>
          <w:szCs w:val="22"/>
        </w:rPr>
        <w:t>N</w:t>
      </w:r>
      <w:r w:rsidRPr="001C693E">
        <w:rPr>
          <w:b/>
          <w:szCs w:val="22"/>
        </w:rPr>
        <w:t>imbex 2mg/ml injekcinis</w:t>
      </w:r>
      <w:r w:rsidR="00D72BAF" w:rsidRPr="001C693E">
        <w:rPr>
          <w:b/>
          <w:szCs w:val="22"/>
        </w:rPr>
        <w:t xml:space="preserve"> ar </w:t>
      </w:r>
      <w:r w:rsidRPr="001C693E">
        <w:rPr>
          <w:b/>
          <w:szCs w:val="22"/>
        </w:rPr>
        <w:t>infuzinis tirpalas</w:t>
      </w:r>
    </w:p>
    <w:p w14:paraId="36D4E65A" w14:textId="77777777" w:rsidR="00C91987" w:rsidRPr="001C693E" w:rsidRDefault="00C91987" w:rsidP="00C91987">
      <w:pPr>
        <w:pStyle w:val="Pagrindinistekstas"/>
        <w:spacing w:after="0"/>
        <w:jc w:val="center"/>
        <w:rPr>
          <w:szCs w:val="22"/>
        </w:rPr>
      </w:pPr>
      <w:r w:rsidRPr="001C693E">
        <w:rPr>
          <w:szCs w:val="22"/>
        </w:rPr>
        <w:t>Cisatrakurio besilatas</w:t>
      </w:r>
    </w:p>
    <w:p w14:paraId="2095D002" w14:textId="77777777" w:rsidR="00C91987" w:rsidRPr="001C693E" w:rsidRDefault="00C91987" w:rsidP="00C91987">
      <w:pPr>
        <w:pStyle w:val="Pagrindinistekstas"/>
        <w:spacing w:after="0"/>
        <w:rPr>
          <w:b/>
          <w:szCs w:val="22"/>
        </w:rPr>
      </w:pPr>
    </w:p>
    <w:p w14:paraId="2E5990E1" w14:textId="77777777" w:rsidR="00C91987" w:rsidRPr="001C693E" w:rsidRDefault="00C91987" w:rsidP="00C91987">
      <w:pPr>
        <w:pStyle w:val="BTbEMEASMCA"/>
      </w:pPr>
      <w:r w:rsidRPr="001C693E">
        <w:t>Atidžiai perskaitykite visą šį lapelį, prieš pradėdami vartoti vaistą, nes jame pateiki</w:t>
      </w:r>
      <w:r w:rsidR="00C51700" w:rsidRPr="001C693E">
        <w:t>ama</w:t>
      </w:r>
      <w:r w:rsidRPr="001C693E">
        <w:t xml:space="preserve"> Jums svarbi informacija.</w:t>
      </w:r>
    </w:p>
    <w:p w14:paraId="3D17CB66" w14:textId="77777777" w:rsidR="00C91987" w:rsidRPr="001C693E" w:rsidRDefault="00C91987" w:rsidP="00C91987">
      <w:pPr>
        <w:pStyle w:val="BT-EMEASMCA"/>
        <w:rPr>
          <w:noProof w:val="0"/>
        </w:rPr>
      </w:pPr>
      <w:r w:rsidRPr="001C693E">
        <w:rPr>
          <w:noProof w:val="0"/>
        </w:rPr>
        <w:t>Neišmeskite šio lapelio, nes vėl gali prireikti jį perskaityti.</w:t>
      </w:r>
    </w:p>
    <w:p w14:paraId="54E2E2B8" w14:textId="77777777" w:rsidR="00C91987" w:rsidRPr="001C693E" w:rsidRDefault="00C91987" w:rsidP="00C91987">
      <w:pPr>
        <w:pStyle w:val="BT-EMEASMCA"/>
        <w:rPr>
          <w:noProof w:val="0"/>
        </w:rPr>
      </w:pPr>
      <w:r w:rsidRPr="001C693E">
        <w:rPr>
          <w:noProof w:val="0"/>
        </w:rPr>
        <w:t>Jeigu kiltų daugiau klausimų, kreipkitės į gydytoją arba vaistininką.</w:t>
      </w:r>
    </w:p>
    <w:p w14:paraId="1F207E71" w14:textId="77777777" w:rsidR="00C91987" w:rsidRPr="001C693E" w:rsidRDefault="00C91987" w:rsidP="00C91987">
      <w:pPr>
        <w:pStyle w:val="BT-EMEASMCA"/>
        <w:rPr>
          <w:noProof w:val="0"/>
        </w:rPr>
      </w:pPr>
      <w:r w:rsidRPr="001C693E">
        <w:rPr>
          <w:noProof w:val="0"/>
        </w:rPr>
        <w:t>Šis vaistas skirtas tik Jums, todėl kitiems žmonėms jo duoti negalima. Vaistas gali jiems pakenkti (net tiems, kurių ligos požymiai yra tokie patys kaip Jūsų).</w:t>
      </w:r>
    </w:p>
    <w:p w14:paraId="3C9F8779" w14:textId="77777777" w:rsidR="00C91987" w:rsidRPr="001C693E" w:rsidRDefault="00C91987" w:rsidP="00C91987">
      <w:pPr>
        <w:pStyle w:val="BT-EMEASMCA"/>
        <w:rPr>
          <w:noProof w:val="0"/>
        </w:rPr>
      </w:pPr>
      <w:r w:rsidRPr="001C693E">
        <w:rPr>
          <w:noProof w:val="0"/>
        </w:rPr>
        <w:t>Jeigu pasireiškė šalutinis poveikis (net jeigu jis šiame lapelyje nenurodytas), kreipkitės į gydytoją, slaugytoją arba vaistininką. Žr. 4 skyrių.</w:t>
      </w:r>
    </w:p>
    <w:p w14:paraId="4F1CFF4D" w14:textId="77777777" w:rsidR="00C91987" w:rsidRPr="001C693E" w:rsidRDefault="00C91987" w:rsidP="00C91987">
      <w:pPr>
        <w:pStyle w:val="Pagrindinistekstas"/>
        <w:spacing w:after="0"/>
        <w:rPr>
          <w:szCs w:val="22"/>
        </w:rPr>
      </w:pPr>
    </w:p>
    <w:p w14:paraId="267B1EB7" w14:textId="77777777" w:rsidR="00C91987" w:rsidRPr="001C693E" w:rsidRDefault="00C91987" w:rsidP="00C91987">
      <w:pPr>
        <w:pStyle w:val="Pagrindinistekstas"/>
        <w:spacing w:after="0"/>
        <w:rPr>
          <w:b/>
          <w:szCs w:val="22"/>
        </w:rPr>
      </w:pPr>
      <w:r w:rsidRPr="001C693E">
        <w:rPr>
          <w:b/>
          <w:szCs w:val="22"/>
        </w:rPr>
        <w:t>Apie ką rašoma šiame lapelyje?</w:t>
      </w:r>
    </w:p>
    <w:p w14:paraId="5C5621FA" w14:textId="77777777" w:rsidR="00C91987" w:rsidRPr="001C693E" w:rsidRDefault="00C91987" w:rsidP="00C91987">
      <w:pPr>
        <w:pStyle w:val="Pagrindinistekstas"/>
        <w:spacing w:after="0"/>
        <w:ind w:left="550" w:hanging="550"/>
        <w:rPr>
          <w:szCs w:val="22"/>
        </w:rPr>
      </w:pPr>
      <w:r w:rsidRPr="001C693E">
        <w:rPr>
          <w:szCs w:val="22"/>
        </w:rPr>
        <w:t>1.</w:t>
      </w:r>
      <w:r w:rsidRPr="001C693E">
        <w:rPr>
          <w:szCs w:val="22"/>
        </w:rPr>
        <w:tab/>
        <w:t xml:space="preserve">Kas yra </w:t>
      </w:r>
      <w:r w:rsidRPr="001C693E">
        <w:rPr>
          <w:caps/>
          <w:szCs w:val="22"/>
        </w:rPr>
        <w:t>N</w:t>
      </w:r>
      <w:r w:rsidRPr="001C693E">
        <w:rPr>
          <w:szCs w:val="22"/>
        </w:rPr>
        <w:t>imbex ir kam jis vartojamas</w:t>
      </w:r>
    </w:p>
    <w:p w14:paraId="6F62694E" w14:textId="77777777" w:rsidR="00C91987" w:rsidRPr="001C693E" w:rsidRDefault="00C91987" w:rsidP="00C91987">
      <w:pPr>
        <w:pStyle w:val="Pagrindinistekstas"/>
        <w:spacing w:after="0"/>
        <w:ind w:left="550" w:hanging="550"/>
        <w:rPr>
          <w:szCs w:val="22"/>
        </w:rPr>
      </w:pPr>
      <w:r w:rsidRPr="001C693E">
        <w:rPr>
          <w:szCs w:val="22"/>
        </w:rPr>
        <w:t>2.</w:t>
      </w:r>
      <w:r w:rsidRPr="001C693E">
        <w:rPr>
          <w:szCs w:val="22"/>
        </w:rPr>
        <w:tab/>
        <w:t xml:space="preserve">Kas žinotina prieš vartojant </w:t>
      </w:r>
      <w:r w:rsidRPr="001C693E">
        <w:rPr>
          <w:caps/>
          <w:szCs w:val="22"/>
        </w:rPr>
        <w:t>N</w:t>
      </w:r>
      <w:r w:rsidRPr="001C693E">
        <w:rPr>
          <w:szCs w:val="22"/>
        </w:rPr>
        <w:t>imbex</w:t>
      </w:r>
    </w:p>
    <w:p w14:paraId="2D6ECE59" w14:textId="77777777" w:rsidR="00C91987" w:rsidRPr="001C693E" w:rsidRDefault="00C91987" w:rsidP="00C91987">
      <w:pPr>
        <w:pStyle w:val="Pagrindinistekstas"/>
        <w:spacing w:after="0"/>
        <w:ind w:left="550" w:hanging="550"/>
        <w:rPr>
          <w:szCs w:val="22"/>
        </w:rPr>
      </w:pPr>
      <w:r w:rsidRPr="001C693E">
        <w:rPr>
          <w:szCs w:val="22"/>
        </w:rPr>
        <w:t>3.</w:t>
      </w:r>
      <w:r w:rsidRPr="001C693E">
        <w:rPr>
          <w:szCs w:val="22"/>
        </w:rPr>
        <w:tab/>
        <w:t xml:space="preserve">Kaip vartoti </w:t>
      </w:r>
      <w:r w:rsidRPr="001C693E">
        <w:rPr>
          <w:caps/>
          <w:szCs w:val="22"/>
        </w:rPr>
        <w:t>N</w:t>
      </w:r>
      <w:r w:rsidRPr="001C693E">
        <w:rPr>
          <w:szCs w:val="22"/>
        </w:rPr>
        <w:t>imbex</w:t>
      </w:r>
    </w:p>
    <w:p w14:paraId="0EEEED4C" w14:textId="77777777" w:rsidR="00C91987" w:rsidRPr="001C693E" w:rsidRDefault="00C91987" w:rsidP="00C91987">
      <w:pPr>
        <w:pStyle w:val="Pagrindinistekstas"/>
        <w:spacing w:after="0"/>
        <w:ind w:left="550" w:hanging="550"/>
        <w:rPr>
          <w:szCs w:val="22"/>
        </w:rPr>
      </w:pPr>
      <w:r w:rsidRPr="001C693E">
        <w:rPr>
          <w:szCs w:val="22"/>
        </w:rPr>
        <w:t>4.</w:t>
      </w:r>
      <w:r w:rsidRPr="001C693E">
        <w:rPr>
          <w:szCs w:val="22"/>
        </w:rPr>
        <w:tab/>
        <w:t>Galimas šalutinis poveikis</w:t>
      </w:r>
    </w:p>
    <w:p w14:paraId="7F124297" w14:textId="77777777" w:rsidR="00C91987" w:rsidRPr="001C693E" w:rsidRDefault="00C91987" w:rsidP="00C91987">
      <w:pPr>
        <w:pStyle w:val="Pagrindinistekstas"/>
        <w:spacing w:after="0"/>
        <w:ind w:left="550" w:hanging="550"/>
        <w:rPr>
          <w:szCs w:val="22"/>
        </w:rPr>
      </w:pPr>
      <w:r w:rsidRPr="001C693E">
        <w:rPr>
          <w:szCs w:val="22"/>
        </w:rPr>
        <w:t>5.</w:t>
      </w:r>
      <w:r w:rsidRPr="001C693E">
        <w:rPr>
          <w:szCs w:val="22"/>
        </w:rPr>
        <w:tab/>
        <w:t xml:space="preserve">Kaip laikyti </w:t>
      </w:r>
      <w:r w:rsidRPr="001C693E">
        <w:rPr>
          <w:caps/>
          <w:szCs w:val="22"/>
        </w:rPr>
        <w:t>N</w:t>
      </w:r>
      <w:r w:rsidRPr="001C693E">
        <w:rPr>
          <w:szCs w:val="22"/>
        </w:rPr>
        <w:t xml:space="preserve">imbex </w:t>
      </w:r>
    </w:p>
    <w:p w14:paraId="7A918DB8" w14:textId="77777777" w:rsidR="00C91987" w:rsidRPr="001C693E" w:rsidRDefault="00C91987" w:rsidP="00C91987">
      <w:pPr>
        <w:pStyle w:val="Pagrindinistekstas"/>
        <w:spacing w:after="0"/>
        <w:ind w:left="550" w:hanging="550"/>
        <w:rPr>
          <w:szCs w:val="22"/>
        </w:rPr>
      </w:pPr>
      <w:r w:rsidRPr="001C693E">
        <w:rPr>
          <w:szCs w:val="22"/>
        </w:rPr>
        <w:t>6.</w:t>
      </w:r>
      <w:r w:rsidRPr="001C693E">
        <w:rPr>
          <w:szCs w:val="22"/>
        </w:rPr>
        <w:tab/>
        <w:t>Pakuotės turinys ir kita informacija</w:t>
      </w:r>
    </w:p>
    <w:p w14:paraId="3CF6B737" w14:textId="77777777" w:rsidR="00C91987" w:rsidRPr="001C693E" w:rsidRDefault="00C91987" w:rsidP="00C91987">
      <w:pPr>
        <w:pStyle w:val="Pagrindinistekstas"/>
        <w:spacing w:after="0"/>
        <w:rPr>
          <w:szCs w:val="22"/>
        </w:rPr>
      </w:pPr>
    </w:p>
    <w:p w14:paraId="5FDF9E0F" w14:textId="77777777" w:rsidR="00C91987" w:rsidRPr="001C693E" w:rsidRDefault="00C91987" w:rsidP="00C91987">
      <w:pPr>
        <w:pStyle w:val="Pagrindinistekstas"/>
        <w:spacing w:after="0"/>
        <w:rPr>
          <w:szCs w:val="22"/>
        </w:rPr>
      </w:pPr>
    </w:p>
    <w:p w14:paraId="20BF8090" w14:textId="77777777" w:rsidR="00C91987" w:rsidRPr="001C693E" w:rsidRDefault="00C91987" w:rsidP="00C91987">
      <w:pPr>
        <w:pStyle w:val="Antrat2"/>
        <w:rPr>
          <w:szCs w:val="22"/>
        </w:rPr>
      </w:pPr>
      <w:r w:rsidRPr="001C693E">
        <w:rPr>
          <w:szCs w:val="22"/>
        </w:rPr>
        <w:t>1.</w:t>
      </w:r>
      <w:r w:rsidRPr="001C693E">
        <w:rPr>
          <w:szCs w:val="22"/>
        </w:rPr>
        <w:tab/>
        <w:t>Kas yra Nimbex ir kam jis vartojamas</w:t>
      </w:r>
    </w:p>
    <w:p w14:paraId="6DB3E95B" w14:textId="77777777" w:rsidR="00C91987" w:rsidRPr="001C693E" w:rsidRDefault="00C91987" w:rsidP="00C91987">
      <w:pPr>
        <w:pStyle w:val="Pagrindinistekstas"/>
        <w:spacing w:after="0"/>
        <w:rPr>
          <w:szCs w:val="22"/>
        </w:rPr>
      </w:pPr>
    </w:p>
    <w:p w14:paraId="2A0C281E" w14:textId="77777777" w:rsidR="00C91987" w:rsidRPr="001C693E" w:rsidRDefault="00C91987" w:rsidP="00C91987">
      <w:pPr>
        <w:pStyle w:val="Pagrindinistekstas"/>
        <w:spacing w:after="0"/>
        <w:rPr>
          <w:szCs w:val="22"/>
        </w:rPr>
      </w:pPr>
      <w:r w:rsidRPr="001C693E">
        <w:rPr>
          <w:caps/>
          <w:szCs w:val="22"/>
        </w:rPr>
        <w:t>N</w:t>
      </w:r>
      <w:r w:rsidRPr="001C693E">
        <w:rPr>
          <w:szCs w:val="22"/>
        </w:rPr>
        <w:t xml:space="preserve">imbex priskiriamas raumenis atpalaiduojančių, taip vadinamų miorelaksantų, vaistų grupei. Jis plačiai vartojamas suaugusiems žmonėms ir vaikams, vyresniems kaip 1 mėnuo, įvairių chirurginių operacijų, tarp jų ir širdies, metu. </w:t>
      </w:r>
      <w:r w:rsidRPr="001C693E">
        <w:rPr>
          <w:caps/>
          <w:szCs w:val="22"/>
        </w:rPr>
        <w:t>N</w:t>
      </w:r>
      <w:r w:rsidRPr="001C693E">
        <w:rPr>
          <w:szCs w:val="22"/>
        </w:rPr>
        <w:t>imbex taip pat vartojamas, kad būtų lengviau įkišti vamzdelį į trachėją (intubuoti), kai reikalingas dirbtinis kvėpavimas. Jis gali būti naudojamas suaugusiems žmonėms, taikant intensyvios terapijos priemones.</w:t>
      </w:r>
    </w:p>
    <w:p w14:paraId="2F6BDBA5" w14:textId="77777777" w:rsidR="00C91987" w:rsidRPr="001C693E" w:rsidRDefault="00C91987" w:rsidP="00C91987">
      <w:pPr>
        <w:pStyle w:val="Pagrindinistekstas"/>
        <w:spacing w:after="0"/>
        <w:rPr>
          <w:szCs w:val="22"/>
        </w:rPr>
      </w:pPr>
    </w:p>
    <w:p w14:paraId="57D60D20" w14:textId="77777777" w:rsidR="00C91987" w:rsidRPr="001C693E" w:rsidRDefault="00C91987" w:rsidP="00C91987">
      <w:pPr>
        <w:pStyle w:val="Pagrindinistekstas"/>
        <w:spacing w:after="0"/>
        <w:rPr>
          <w:szCs w:val="22"/>
        </w:rPr>
      </w:pPr>
    </w:p>
    <w:p w14:paraId="49C269B4" w14:textId="77777777" w:rsidR="00C91987" w:rsidRPr="001C693E" w:rsidRDefault="00C91987" w:rsidP="00C91987">
      <w:pPr>
        <w:pStyle w:val="Antrat2"/>
        <w:rPr>
          <w:szCs w:val="22"/>
        </w:rPr>
      </w:pPr>
      <w:r w:rsidRPr="001C693E">
        <w:rPr>
          <w:szCs w:val="22"/>
        </w:rPr>
        <w:t>2.</w:t>
      </w:r>
      <w:r w:rsidRPr="001C693E">
        <w:rPr>
          <w:szCs w:val="22"/>
        </w:rPr>
        <w:tab/>
        <w:t>Kas žinotina prieš vartojant Nimbex</w:t>
      </w:r>
    </w:p>
    <w:p w14:paraId="425DF981" w14:textId="77777777" w:rsidR="00C91987" w:rsidRPr="001C693E" w:rsidRDefault="00C91987" w:rsidP="00C91987">
      <w:pPr>
        <w:pStyle w:val="Pagrindinistekstas"/>
        <w:spacing w:after="0"/>
        <w:rPr>
          <w:szCs w:val="22"/>
        </w:rPr>
      </w:pPr>
    </w:p>
    <w:p w14:paraId="2A399EE9" w14:textId="77777777" w:rsidR="00C91987" w:rsidRPr="001C693E" w:rsidRDefault="00C91987" w:rsidP="00C91987">
      <w:pPr>
        <w:rPr>
          <w:b/>
          <w:szCs w:val="22"/>
        </w:rPr>
      </w:pPr>
      <w:r w:rsidRPr="001C693E">
        <w:rPr>
          <w:b/>
          <w:caps/>
          <w:szCs w:val="22"/>
        </w:rPr>
        <w:t>N</w:t>
      </w:r>
      <w:r w:rsidRPr="001C693E">
        <w:rPr>
          <w:b/>
          <w:szCs w:val="22"/>
        </w:rPr>
        <w:t xml:space="preserve">imbex vartoti negalima: </w:t>
      </w:r>
    </w:p>
    <w:p w14:paraId="7F920A56" w14:textId="77777777" w:rsidR="00C91987" w:rsidRPr="001C693E" w:rsidRDefault="00C91987" w:rsidP="00C91987">
      <w:pPr>
        <w:pStyle w:val="Pagrindinistekstas"/>
        <w:numPr>
          <w:ilvl w:val="0"/>
          <w:numId w:val="2"/>
        </w:numPr>
        <w:tabs>
          <w:tab w:val="clear" w:pos="1140"/>
        </w:tabs>
        <w:spacing w:after="0"/>
        <w:ind w:left="567" w:hanging="567"/>
        <w:rPr>
          <w:szCs w:val="22"/>
        </w:rPr>
      </w:pPr>
      <w:r w:rsidRPr="001C693E">
        <w:rPr>
          <w:szCs w:val="22"/>
        </w:rPr>
        <w:t xml:space="preserve">jeigu Jums yra alergija cisatrakuriui, atrakuriui arba bet kuriai pagalbinei šio vaisto medžiagai </w:t>
      </w:r>
      <w:r w:rsidRPr="001C693E">
        <w:rPr>
          <w:noProof/>
          <w:szCs w:val="22"/>
        </w:rPr>
        <w:t>(jos išvardytos 6 skyriuje)</w:t>
      </w:r>
      <w:r w:rsidRPr="001C693E">
        <w:rPr>
          <w:szCs w:val="22"/>
        </w:rPr>
        <w:t>;</w:t>
      </w:r>
    </w:p>
    <w:p w14:paraId="20A38034" w14:textId="77777777" w:rsidR="00C91987" w:rsidRPr="001C693E" w:rsidRDefault="00C91987" w:rsidP="00C91987">
      <w:pPr>
        <w:pStyle w:val="Pagrindinistekstas"/>
        <w:numPr>
          <w:ilvl w:val="0"/>
          <w:numId w:val="2"/>
        </w:numPr>
        <w:tabs>
          <w:tab w:val="clear" w:pos="1140"/>
        </w:tabs>
        <w:spacing w:after="0"/>
        <w:ind w:left="567" w:hanging="567"/>
        <w:rPr>
          <w:szCs w:val="22"/>
        </w:rPr>
      </w:pPr>
      <w:r w:rsidRPr="001C693E">
        <w:rPr>
          <w:szCs w:val="22"/>
        </w:rPr>
        <w:t>jei vartojant šio ar kitų raumenis atpalaiduojančių vaistų (miorelaksantų) Jus išbėrė, atsirado niežulys, dusulys ar kitos nepageidaujamos reakcijos.</w:t>
      </w:r>
    </w:p>
    <w:p w14:paraId="3B7A0137" w14:textId="77777777" w:rsidR="00C91987" w:rsidRPr="001C693E" w:rsidRDefault="00C91987" w:rsidP="00C91987">
      <w:pPr>
        <w:pStyle w:val="Pagrindinistekstas"/>
        <w:spacing w:after="0"/>
        <w:ind w:left="360"/>
        <w:rPr>
          <w:szCs w:val="22"/>
        </w:rPr>
      </w:pPr>
    </w:p>
    <w:p w14:paraId="528D68E8" w14:textId="77777777" w:rsidR="00C91987" w:rsidRPr="001C693E" w:rsidRDefault="00C91987" w:rsidP="00C91987">
      <w:pPr>
        <w:pStyle w:val="Pagrindinistekstas"/>
        <w:spacing w:after="0"/>
        <w:rPr>
          <w:szCs w:val="22"/>
        </w:rPr>
      </w:pPr>
      <w:r w:rsidRPr="001C693E">
        <w:rPr>
          <w:szCs w:val="22"/>
        </w:rPr>
        <w:t xml:space="preserve">Jeigu Jūs blogai toleruojate nuskausminančius vaistus, praneškite apie tai savo gydytojui prieš vartodami </w:t>
      </w:r>
      <w:r w:rsidRPr="001C693E">
        <w:rPr>
          <w:caps/>
          <w:szCs w:val="22"/>
        </w:rPr>
        <w:t>N</w:t>
      </w:r>
      <w:r w:rsidRPr="001C693E">
        <w:rPr>
          <w:szCs w:val="22"/>
        </w:rPr>
        <w:t>imbex.</w:t>
      </w:r>
    </w:p>
    <w:p w14:paraId="15FE6287" w14:textId="77777777" w:rsidR="00C91987" w:rsidRPr="001C693E" w:rsidRDefault="00C91987" w:rsidP="00C91987">
      <w:pPr>
        <w:pStyle w:val="Pagrindinistekstas"/>
        <w:spacing w:after="0"/>
        <w:rPr>
          <w:szCs w:val="22"/>
        </w:rPr>
      </w:pPr>
    </w:p>
    <w:p w14:paraId="5B168B24" w14:textId="77777777" w:rsidR="00C91987" w:rsidRPr="001C693E" w:rsidRDefault="00C91987" w:rsidP="00C91987">
      <w:pPr>
        <w:pStyle w:val="Pagrindinistekstas"/>
        <w:spacing w:after="0"/>
        <w:rPr>
          <w:szCs w:val="22"/>
        </w:rPr>
      </w:pPr>
      <w:r w:rsidRPr="001C693E">
        <w:rPr>
          <w:caps/>
          <w:szCs w:val="22"/>
        </w:rPr>
        <w:t>N</w:t>
      </w:r>
      <w:r w:rsidRPr="001C693E">
        <w:rPr>
          <w:szCs w:val="22"/>
        </w:rPr>
        <w:t xml:space="preserve">imbex gali skirti patyręs gydytojas ir tiktai tais atvejais, kai tam yra visos būtinos sąlygos (dažnai neatidėliotinai pagalbai suteikti). Kai kuriais atvejais, vartojant šį vaistą, reikia imtis specialių atsargumo priemonių, todėl prieš vartodami </w:t>
      </w:r>
      <w:r w:rsidRPr="001C693E">
        <w:rPr>
          <w:caps/>
          <w:szCs w:val="22"/>
        </w:rPr>
        <w:t>N</w:t>
      </w:r>
      <w:r w:rsidRPr="001C693E">
        <w:rPr>
          <w:szCs w:val="22"/>
        </w:rPr>
        <w:t>imbex, pasakykite savo gydytojui, jei Jums yra ar buvo toliau nurodytų sutrikimų ar ligų.</w:t>
      </w:r>
    </w:p>
    <w:p w14:paraId="0AE4C377" w14:textId="77777777" w:rsidR="00C91987" w:rsidRPr="001C693E" w:rsidRDefault="00C91987" w:rsidP="00C91987">
      <w:pPr>
        <w:pStyle w:val="Pagrindinistekstas"/>
        <w:spacing w:after="0"/>
        <w:rPr>
          <w:szCs w:val="22"/>
        </w:rPr>
      </w:pPr>
    </w:p>
    <w:p w14:paraId="052B687A" w14:textId="77777777" w:rsidR="00C91987" w:rsidRPr="001C693E" w:rsidRDefault="00C91987" w:rsidP="00C91987">
      <w:pPr>
        <w:pStyle w:val="Antrat3"/>
        <w:pBdr>
          <w:top w:val="none" w:sz="0" w:space="0" w:color="auto"/>
          <w:left w:val="none" w:sz="0" w:space="0" w:color="auto"/>
          <w:bottom w:val="none" w:sz="0" w:space="0" w:color="auto"/>
          <w:right w:val="none" w:sz="0" w:space="0" w:color="auto"/>
        </w:pBdr>
        <w:rPr>
          <w:szCs w:val="22"/>
        </w:rPr>
      </w:pPr>
      <w:r w:rsidRPr="001C693E">
        <w:rPr>
          <w:szCs w:val="22"/>
        </w:rPr>
        <w:t>Įspėjimai ir atsargumo priemonės</w:t>
      </w:r>
    </w:p>
    <w:p w14:paraId="6D53C54B" w14:textId="77777777" w:rsidR="00C91987" w:rsidRPr="001C693E" w:rsidRDefault="00C91987" w:rsidP="00C91987">
      <w:pPr>
        <w:pStyle w:val="Pagrindinistekstas"/>
        <w:spacing w:after="0"/>
        <w:ind w:left="567" w:hanging="567"/>
        <w:rPr>
          <w:szCs w:val="22"/>
        </w:rPr>
      </w:pPr>
      <w:r w:rsidRPr="001C693E">
        <w:rPr>
          <w:szCs w:val="22"/>
        </w:rPr>
        <w:t>-</w:t>
      </w:r>
      <w:r w:rsidRPr="001C693E">
        <w:rPr>
          <w:szCs w:val="22"/>
        </w:rPr>
        <w:tab/>
        <w:t>jeigu Jūs jaučiate raumenų silpnumą, nuovargį ar judesių koordinacijos sutrikimus (sunkioji miastenija);</w:t>
      </w:r>
    </w:p>
    <w:p w14:paraId="41C4B832" w14:textId="77777777" w:rsidR="00C91987" w:rsidRPr="001C693E" w:rsidRDefault="00C91987" w:rsidP="00C91987">
      <w:pPr>
        <w:pStyle w:val="Pagrindinistekstas"/>
        <w:spacing w:after="0"/>
        <w:ind w:left="567" w:hanging="567"/>
        <w:rPr>
          <w:szCs w:val="22"/>
        </w:rPr>
      </w:pPr>
      <w:r w:rsidRPr="001C693E">
        <w:rPr>
          <w:szCs w:val="22"/>
        </w:rPr>
        <w:t>-</w:t>
      </w:r>
      <w:r w:rsidRPr="001C693E">
        <w:rPr>
          <w:szCs w:val="22"/>
        </w:rPr>
        <w:tab/>
        <w:t>jei sergate raumenis sekinančia liga, paralyžiumi, motorinių neuronų liga ar cerebriniu paralyžiumi;</w:t>
      </w:r>
    </w:p>
    <w:p w14:paraId="32DB2A03" w14:textId="77777777" w:rsidR="00C91987" w:rsidRPr="001C693E" w:rsidRDefault="00C91987" w:rsidP="00C91987">
      <w:pPr>
        <w:pStyle w:val="Pagrindinistekstas"/>
        <w:spacing w:after="0"/>
        <w:rPr>
          <w:szCs w:val="22"/>
        </w:rPr>
      </w:pPr>
      <w:r w:rsidRPr="001C693E">
        <w:rPr>
          <w:szCs w:val="22"/>
        </w:rPr>
        <w:t>-</w:t>
      </w:r>
      <w:r w:rsidRPr="001C693E">
        <w:rPr>
          <w:szCs w:val="22"/>
        </w:rPr>
        <w:tab/>
        <w:t>jei sergate bet kokia lėtine liga, kuri Jus išsekino;</w:t>
      </w:r>
    </w:p>
    <w:p w14:paraId="1CE77262" w14:textId="77777777" w:rsidR="00C91987" w:rsidRPr="001C693E" w:rsidRDefault="00C91987" w:rsidP="00C91987">
      <w:pPr>
        <w:pStyle w:val="Pagrindinistekstas"/>
        <w:spacing w:after="0"/>
        <w:rPr>
          <w:szCs w:val="22"/>
        </w:rPr>
      </w:pPr>
      <w:r w:rsidRPr="001C693E">
        <w:rPr>
          <w:szCs w:val="22"/>
        </w:rPr>
        <w:lastRenderedPageBreak/>
        <w:t>-</w:t>
      </w:r>
      <w:r w:rsidRPr="001C693E">
        <w:rPr>
          <w:szCs w:val="22"/>
        </w:rPr>
        <w:tab/>
        <w:t>jei per pastaruosius 2 ar 3 mėnesius reikėjo gydyti nudegimą;</w:t>
      </w:r>
    </w:p>
    <w:p w14:paraId="761BE367" w14:textId="77777777" w:rsidR="00C91987" w:rsidRPr="001C693E" w:rsidRDefault="00C91987" w:rsidP="00C91987">
      <w:pPr>
        <w:pStyle w:val="BT-EMEASMCA"/>
        <w:ind w:left="567" w:hanging="567"/>
        <w:rPr>
          <w:noProof w:val="0"/>
        </w:rPr>
      </w:pPr>
      <w:r w:rsidRPr="001C693E">
        <w:t>jei yra sunkus elektrolitų ar kraujo rūgščių-šarmų balanso sutrikimas (organizmo cheminių medžiagų normalios koncentracijos kraujyje pokyčiai);</w:t>
      </w:r>
    </w:p>
    <w:p w14:paraId="26EFE366" w14:textId="77777777" w:rsidR="00C91987" w:rsidRPr="001C693E" w:rsidRDefault="00C91987" w:rsidP="00C91987">
      <w:pPr>
        <w:pStyle w:val="BT-EMEASMCA"/>
        <w:ind w:left="567" w:hanging="567"/>
        <w:rPr>
          <w:noProof w:val="0"/>
        </w:rPr>
      </w:pPr>
      <w:r w:rsidRPr="001C693E">
        <w:rPr>
          <w:noProof w:val="0"/>
        </w:rPr>
        <w:t>jeigu sergate širdies liga arba Jūsų kraujospūdis yra žemas;</w:t>
      </w:r>
    </w:p>
    <w:p w14:paraId="5BF398FE" w14:textId="77777777" w:rsidR="00C91987" w:rsidRPr="001C693E" w:rsidRDefault="00C91987" w:rsidP="00C91987">
      <w:pPr>
        <w:pStyle w:val="BT-EMEASMCA"/>
        <w:ind w:left="567" w:hanging="567"/>
        <w:rPr>
          <w:noProof w:val="0"/>
        </w:rPr>
      </w:pPr>
      <w:r w:rsidRPr="001C693E">
        <w:rPr>
          <w:noProof w:val="0"/>
        </w:rPr>
        <w:t>jeigu sergate astma;</w:t>
      </w:r>
    </w:p>
    <w:p w14:paraId="2B41396B" w14:textId="77777777" w:rsidR="00C91987" w:rsidRPr="001C693E" w:rsidRDefault="00C91987" w:rsidP="00C91987">
      <w:pPr>
        <w:pStyle w:val="BT-EMEASMCA"/>
        <w:ind w:left="567" w:hanging="567"/>
        <w:rPr>
          <w:noProof w:val="0"/>
        </w:rPr>
      </w:pPr>
      <w:r w:rsidRPr="001C693E">
        <w:t>jei sergate šienlige arba Jums yra alergija, dėl kurios išberia, niežti odą arba atsiranda dusulys.</w:t>
      </w:r>
    </w:p>
    <w:p w14:paraId="00447BFE" w14:textId="77777777" w:rsidR="00C91987" w:rsidRPr="001C693E" w:rsidRDefault="00C91987" w:rsidP="00C91987">
      <w:pPr>
        <w:pStyle w:val="Pagrindinistekstas"/>
        <w:spacing w:after="0"/>
        <w:rPr>
          <w:szCs w:val="22"/>
        </w:rPr>
      </w:pPr>
    </w:p>
    <w:p w14:paraId="5E5562A3" w14:textId="77777777" w:rsidR="00C91987" w:rsidRPr="001C693E" w:rsidRDefault="00C91987" w:rsidP="00C91987">
      <w:pPr>
        <w:pStyle w:val="Antrat3"/>
        <w:pBdr>
          <w:top w:val="none" w:sz="0" w:space="0" w:color="auto"/>
          <w:left w:val="none" w:sz="0" w:space="0" w:color="auto"/>
          <w:bottom w:val="none" w:sz="0" w:space="0" w:color="auto"/>
          <w:right w:val="none" w:sz="0" w:space="0" w:color="auto"/>
        </w:pBdr>
        <w:rPr>
          <w:szCs w:val="22"/>
        </w:rPr>
      </w:pPr>
      <w:r w:rsidRPr="001C693E">
        <w:rPr>
          <w:szCs w:val="22"/>
        </w:rPr>
        <w:t>Nėštumas, žindymo laikotarpis ir vaisingumas</w:t>
      </w:r>
    </w:p>
    <w:p w14:paraId="660C19F3" w14:textId="7ADF794C" w:rsidR="00AA583F" w:rsidRDefault="00AA583F" w:rsidP="003667FE">
      <w:pPr>
        <w:pStyle w:val="Pagrindinistekstas"/>
        <w:rPr>
          <w:szCs w:val="22"/>
        </w:rPr>
      </w:pPr>
      <w:r w:rsidRPr="003C7660">
        <w:rPr>
          <w:szCs w:val="22"/>
        </w:rPr>
        <w:t>Negalima atmesti cisatrakurio keliamo neigiamo poveikio žindomam kūdikiui, visgi, jo nėra tikimasi, jei žindoma po to, kai veikliosios medžiagos poveikis baigiasi. Cisatrakuris greitai pasišalina iš organizmo. Moteris turėtų susilaikyti nuo žindymo 3 valandas po gydymo pabaigos.</w:t>
      </w:r>
    </w:p>
    <w:p w14:paraId="0148A278" w14:textId="77777777" w:rsidR="00AA583F" w:rsidRDefault="00AA583F" w:rsidP="00C91987">
      <w:pPr>
        <w:pStyle w:val="Pagrindinistekstas"/>
        <w:spacing w:after="0"/>
        <w:rPr>
          <w:szCs w:val="22"/>
        </w:rPr>
      </w:pPr>
    </w:p>
    <w:p w14:paraId="0CB5FD3B" w14:textId="794C5AE9" w:rsidR="00C91987" w:rsidRPr="001C693E" w:rsidRDefault="00C91987" w:rsidP="00C91987">
      <w:pPr>
        <w:pStyle w:val="Pagrindinistekstas"/>
        <w:spacing w:after="0"/>
        <w:rPr>
          <w:szCs w:val="22"/>
        </w:rPr>
      </w:pPr>
      <w:r w:rsidRPr="001C693E">
        <w:rPr>
          <w:szCs w:val="22"/>
        </w:rPr>
        <w:t>Jeigu esate nėščia, žindote kūdikį, manote, kad galbūt esate nėščia arba planuojate pastoti, tai prieš vartodama šį vaistą pasitarkite su gydytoju arba vaistininku.</w:t>
      </w:r>
    </w:p>
    <w:p w14:paraId="3CC08585" w14:textId="77777777" w:rsidR="00C91987" w:rsidRPr="001C693E" w:rsidRDefault="00C91987" w:rsidP="00C91987">
      <w:pPr>
        <w:pStyle w:val="PI-3EMEASMCA"/>
      </w:pPr>
    </w:p>
    <w:p w14:paraId="40CF04ED" w14:textId="77777777" w:rsidR="00C91987" w:rsidRPr="001C693E" w:rsidRDefault="00C91987" w:rsidP="00C91987">
      <w:pPr>
        <w:pStyle w:val="PI-3EMEASMCA"/>
      </w:pPr>
      <w:r w:rsidRPr="001C693E">
        <w:t>Vairavimas ir mechanizmų valdymas</w:t>
      </w:r>
    </w:p>
    <w:p w14:paraId="60FCC81F" w14:textId="77777777" w:rsidR="00C91987" w:rsidRPr="001C693E" w:rsidRDefault="00C91987" w:rsidP="00C91987">
      <w:pPr>
        <w:pStyle w:val="Pagrindinistekstas"/>
        <w:spacing w:after="0"/>
        <w:rPr>
          <w:szCs w:val="22"/>
        </w:rPr>
      </w:pPr>
      <w:r w:rsidRPr="001C693E">
        <w:rPr>
          <w:szCs w:val="22"/>
        </w:rPr>
        <w:t>Netrukus po operacijos vairuoti ar valdyti mechanizmus gali būti pavojinga. Jūsų gydytojas Jums pasakys, kiek reikia palaukti, kol galėsite vairuoti bei valdyti mechanizmus.</w:t>
      </w:r>
    </w:p>
    <w:p w14:paraId="5C9626CD" w14:textId="77777777" w:rsidR="00C91987" w:rsidRPr="001C693E" w:rsidRDefault="00C91987" w:rsidP="00C91987">
      <w:pPr>
        <w:pStyle w:val="Antrat3"/>
        <w:pBdr>
          <w:top w:val="none" w:sz="0" w:space="0" w:color="auto"/>
          <w:left w:val="none" w:sz="0" w:space="0" w:color="auto"/>
          <w:bottom w:val="none" w:sz="0" w:space="0" w:color="auto"/>
          <w:right w:val="none" w:sz="0" w:space="0" w:color="auto"/>
        </w:pBdr>
        <w:rPr>
          <w:szCs w:val="22"/>
        </w:rPr>
      </w:pPr>
    </w:p>
    <w:p w14:paraId="075B62A3" w14:textId="77777777" w:rsidR="00C91987" w:rsidRPr="001C693E" w:rsidRDefault="00C91987" w:rsidP="00C91987">
      <w:pPr>
        <w:pStyle w:val="Antrat3"/>
        <w:pBdr>
          <w:top w:val="none" w:sz="0" w:space="0" w:color="auto"/>
          <w:left w:val="none" w:sz="0" w:space="0" w:color="auto"/>
          <w:bottom w:val="none" w:sz="0" w:space="0" w:color="auto"/>
          <w:right w:val="none" w:sz="0" w:space="0" w:color="auto"/>
        </w:pBdr>
        <w:rPr>
          <w:szCs w:val="22"/>
        </w:rPr>
      </w:pPr>
      <w:r w:rsidRPr="001C693E">
        <w:rPr>
          <w:szCs w:val="22"/>
        </w:rPr>
        <w:t>Kiti vaistai ir Nimbex</w:t>
      </w:r>
    </w:p>
    <w:p w14:paraId="57E3CAB9" w14:textId="77777777" w:rsidR="00C91987" w:rsidRPr="001C693E" w:rsidRDefault="00C91987" w:rsidP="00C91987">
      <w:pPr>
        <w:pStyle w:val="Pagrindinistekstas"/>
        <w:spacing w:after="0"/>
        <w:rPr>
          <w:szCs w:val="22"/>
        </w:rPr>
      </w:pPr>
      <w:r w:rsidRPr="001C693E">
        <w:rPr>
          <w:caps/>
          <w:szCs w:val="22"/>
        </w:rPr>
        <w:t>N</w:t>
      </w:r>
      <w:r w:rsidRPr="001C693E">
        <w:rPr>
          <w:szCs w:val="22"/>
        </w:rPr>
        <w:t xml:space="preserve">imbex gali sąveikauti su kitais vaistais. Prieš suleidžiant </w:t>
      </w:r>
      <w:r w:rsidRPr="001C693E">
        <w:rPr>
          <w:caps/>
          <w:szCs w:val="22"/>
        </w:rPr>
        <w:t>N</w:t>
      </w:r>
      <w:r w:rsidRPr="001C693E">
        <w:rPr>
          <w:szCs w:val="22"/>
        </w:rPr>
        <w:t>imbex svarbu pranešti gydytojui, jeigu vartojate tokių vaistų (jei nesate tikri, pasitarkite su gydytoju):</w:t>
      </w:r>
    </w:p>
    <w:p w14:paraId="58E50E4C" w14:textId="77777777" w:rsidR="00C91987" w:rsidRPr="001C693E" w:rsidRDefault="00C91987" w:rsidP="00C91987">
      <w:pPr>
        <w:pStyle w:val="Pagrindinistekstas"/>
        <w:numPr>
          <w:ilvl w:val="0"/>
          <w:numId w:val="3"/>
        </w:numPr>
        <w:tabs>
          <w:tab w:val="clear" w:pos="720"/>
        </w:tabs>
        <w:spacing w:after="0"/>
        <w:ind w:left="567" w:hanging="567"/>
        <w:rPr>
          <w:szCs w:val="22"/>
        </w:rPr>
      </w:pPr>
      <w:r w:rsidRPr="001C693E">
        <w:rPr>
          <w:szCs w:val="22"/>
        </w:rPr>
        <w:t>antibiotikų,</w:t>
      </w:r>
    </w:p>
    <w:p w14:paraId="66625372" w14:textId="77777777" w:rsidR="00C91987" w:rsidRPr="001C693E" w:rsidRDefault="00C91987" w:rsidP="00C91987">
      <w:pPr>
        <w:pStyle w:val="Pagrindinistekstas"/>
        <w:numPr>
          <w:ilvl w:val="0"/>
          <w:numId w:val="3"/>
        </w:numPr>
        <w:tabs>
          <w:tab w:val="clear" w:pos="720"/>
        </w:tabs>
        <w:spacing w:after="0"/>
        <w:ind w:left="567" w:hanging="567"/>
        <w:rPr>
          <w:szCs w:val="22"/>
        </w:rPr>
      </w:pPr>
      <w:r w:rsidRPr="001C693E">
        <w:rPr>
          <w:szCs w:val="22"/>
        </w:rPr>
        <w:t>vaistų nuo širdies ritmo sutrikimų,</w:t>
      </w:r>
    </w:p>
    <w:p w14:paraId="65283472" w14:textId="77777777" w:rsidR="00C91987" w:rsidRPr="001C693E" w:rsidRDefault="00C91987" w:rsidP="00C91987">
      <w:pPr>
        <w:pStyle w:val="Pagrindinistekstas"/>
        <w:numPr>
          <w:ilvl w:val="0"/>
          <w:numId w:val="3"/>
        </w:numPr>
        <w:tabs>
          <w:tab w:val="clear" w:pos="720"/>
        </w:tabs>
        <w:spacing w:after="0"/>
        <w:ind w:left="567" w:hanging="567"/>
        <w:rPr>
          <w:szCs w:val="22"/>
        </w:rPr>
      </w:pPr>
      <w:r w:rsidRPr="001C693E">
        <w:rPr>
          <w:szCs w:val="22"/>
        </w:rPr>
        <w:t>vaistų nuo padidinto kraujospūdžio (hipertenzijos),</w:t>
      </w:r>
    </w:p>
    <w:p w14:paraId="5270F92A" w14:textId="77777777" w:rsidR="00C91987" w:rsidRPr="001C693E" w:rsidRDefault="00C91987" w:rsidP="00C91987">
      <w:pPr>
        <w:pStyle w:val="Pagrindinistekstas"/>
        <w:numPr>
          <w:ilvl w:val="0"/>
          <w:numId w:val="3"/>
        </w:numPr>
        <w:tabs>
          <w:tab w:val="clear" w:pos="720"/>
        </w:tabs>
        <w:spacing w:after="0"/>
        <w:ind w:left="567" w:hanging="567"/>
        <w:rPr>
          <w:szCs w:val="22"/>
        </w:rPr>
      </w:pPr>
      <w:r w:rsidRPr="001C693E">
        <w:rPr>
          <w:szCs w:val="22"/>
        </w:rPr>
        <w:t>vaistų, šalinančių skysčius iš organizmo (diuretikų),</w:t>
      </w:r>
    </w:p>
    <w:p w14:paraId="5313B4D8" w14:textId="77777777" w:rsidR="00C91987" w:rsidRPr="001C693E" w:rsidRDefault="00C91987" w:rsidP="00C91987">
      <w:pPr>
        <w:pStyle w:val="Pagrindinistekstas"/>
        <w:numPr>
          <w:ilvl w:val="0"/>
          <w:numId w:val="3"/>
        </w:numPr>
        <w:tabs>
          <w:tab w:val="clear" w:pos="720"/>
        </w:tabs>
        <w:spacing w:after="0"/>
        <w:ind w:left="567" w:hanging="567"/>
        <w:rPr>
          <w:szCs w:val="22"/>
        </w:rPr>
      </w:pPr>
      <w:r w:rsidRPr="001C693E">
        <w:rPr>
          <w:szCs w:val="22"/>
        </w:rPr>
        <w:t>steroidų,</w:t>
      </w:r>
    </w:p>
    <w:p w14:paraId="360DB496" w14:textId="77777777" w:rsidR="00C91987" w:rsidRPr="001C693E" w:rsidRDefault="00C91987" w:rsidP="00C91987">
      <w:pPr>
        <w:pStyle w:val="Pagrindinistekstas"/>
        <w:numPr>
          <w:ilvl w:val="0"/>
          <w:numId w:val="3"/>
        </w:numPr>
        <w:tabs>
          <w:tab w:val="clear" w:pos="720"/>
        </w:tabs>
        <w:spacing w:after="0"/>
        <w:ind w:left="567" w:hanging="567"/>
        <w:rPr>
          <w:szCs w:val="22"/>
        </w:rPr>
      </w:pPr>
      <w:r w:rsidRPr="001C693E">
        <w:rPr>
          <w:szCs w:val="22"/>
        </w:rPr>
        <w:t>vaistų nuo epilepsijos,</w:t>
      </w:r>
    </w:p>
    <w:p w14:paraId="46D5AA78" w14:textId="77777777" w:rsidR="00C91987" w:rsidRPr="001C693E" w:rsidRDefault="00C91987" w:rsidP="00C91987">
      <w:pPr>
        <w:pStyle w:val="Pagrindinistekstas"/>
        <w:numPr>
          <w:ilvl w:val="0"/>
          <w:numId w:val="3"/>
        </w:numPr>
        <w:tabs>
          <w:tab w:val="clear" w:pos="720"/>
        </w:tabs>
        <w:spacing w:after="0"/>
        <w:ind w:left="567" w:hanging="567"/>
        <w:rPr>
          <w:szCs w:val="22"/>
        </w:rPr>
      </w:pPr>
      <w:r w:rsidRPr="001C693E">
        <w:rPr>
          <w:szCs w:val="22"/>
        </w:rPr>
        <w:t>vaistų, naudojamų psichiatrijoje,</w:t>
      </w:r>
    </w:p>
    <w:p w14:paraId="0DF99E7B" w14:textId="77777777" w:rsidR="00C91987" w:rsidRPr="001C693E" w:rsidRDefault="00C91987" w:rsidP="00C91987">
      <w:pPr>
        <w:pStyle w:val="Pagrindinistekstas"/>
        <w:numPr>
          <w:ilvl w:val="0"/>
          <w:numId w:val="3"/>
        </w:numPr>
        <w:tabs>
          <w:tab w:val="clear" w:pos="720"/>
        </w:tabs>
        <w:spacing w:after="0"/>
        <w:ind w:left="567" w:hanging="567"/>
        <w:rPr>
          <w:szCs w:val="22"/>
        </w:rPr>
      </w:pPr>
      <w:r w:rsidRPr="001C693E">
        <w:rPr>
          <w:szCs w:val="22"/>
        </w:rPr>
        <w:t>vaistų nuo Alzheimerio ligos (cholinesterazės inhibitorius pvz., donepezilo),</w:t>
      </w:r>
    </w:p>
    <w:p w14:paraId="3C4182D7" w14:textId="77777777" w:rsidR="00C91987" w:rsidRPr="001C693E" w:rsidRDefault="00C91987" w:rsidP="00C91987">
      <w:pPr>
        <w:pStyle w:val="Pagrindinistekstas"/>
        <w:numPr>
          <w:ilvl w:val="0"/>
          <w:numId w:val="3"/>
        </w:numPr>
        <w:tabs>
          <w:tab w:val="clear" w:pos="720"/>
        </w:tabs>
        <w:spacing w:after="0"/>
        <w:ind w:left="567" w:hanging="567"/>
        <w:rPr>
          <w:szCs w:val="22"/>
        </w:rPr>
      </w:pPr>
      <w:r w:rsidRPr="001C693E">
        <w:rPr>
          <w:szCs w:val="22"/>
        </w:rPr>
        <w:t>monoaminooksidazės inhibitorių,</w:t>
      </w:r>
    </w:p>
    <w:p w14:paraId="384547C0" w14:textId="77777777" w:rsidR="00C91987" w:rsidRPr="001C693E" w:rsidRDefault="00C91987" w:rsidP="00C91987">
      <w:pPr>
        <w:pStyle w:val="Pagrindinistekstas"/>
        <w:numPr>
          <w:ilvl w:val="0"/>
          <w:numId w:val="3"/>
        </w:numPr>
        <w:tabs>
          <w:tab w:val="clear" w:pos="720"/>
        </w:tabs>
        <w:spacing w:after="0"/>
        <w:ind w:left="567" w:hanging="567"/>
        <w:rPr>
          <w:szCs w:val="22"/>
        </w:rPr>
      </w:pPr>
      <w:r w:rsidRPr="001C693E">
        <w:rPr>
          <w:szCs w:val="22"/>
        </w:rPr>
        <w:t>chlorpromazino,</w:t>
      </w:r>
    </w:p>
    <w:p w14:paraId="54DE5BD4" w14:textId="77777777" w:rsidR="00C91987" w:rsidRPr="001C693E" w:rsidRDefault="00C91987" w:rsidP="00C91987">
      <w:pPr>
        <w:pStyle w:val="Pagrindinistekstas"/>
        <w:numPr>
          <w:ilvl w:val="0"/>
          <w:numId w:val="3"/>
        </w:numPr>
        <w:tabs>
          <w:tab w:val="clear" w:pos="720"/>
        </w:tabs>
        <w:spacing w:after="0"/>
        <w:ind w:left="567" w:hanging="567"/>
        <w:rPr>
          <w:szCs w:val="22"/>
        </w:rPr>
      </w:pPr>
      <w:r w:rsidRPr="001C693E">
        <w:rPr>
          <w:szCs w:val="22"/>
        </w:rPr>
        <w:t>ličio,</w:t>
      </w:r>
    </w:p>
    <w:p w14:paraId="7175AE00" w14:textId="77777777" w:rsidR="00C91987" w:rsidRPr="001C693E" w:rsidRDefault="00C91987" w:rsidP="00C91987">
      <w:pPr>
        <w:pStyle w:val="Pagrindinistekstas"/>
        <w:numPr>
          <w:ilvl w:val="0"/>
          <w:numId w:val="3"/>
        </w:numPr>
        <w:tabs>
          <w:tab w:val="clear" w:pos="720"/>
        </w:tabs>
        <w:spacing w:after="0"/>
        <w:ind w:left="567" w:hanging="567"/>
        <w:rPr>
          <w:szCs w:val="22"/>
        </w:rPr>
      </w:pPr>
      <w:r w:rsidRPr="001C693E">
        <w:rPr>
          <w:szCs w:val="22"/>
        </w:rPr>
        <w:t>vaistų, kurių sudėtyje yra magnio (pvz., vaistų nuo rėmens ir virškinimo sutrikimų bei panašių),</w:t>
      </w:r>
    </w:p>
    <w:p w14:paraId="4AA13BF9" w14:textId="77777777" w:rsidR="00C91987" w:rsidRPr="001C693E" w:rsidRDefault="00C91987" w:rsidP="00C91987">
      <w:pPr>
        <w:pStyle w:val="Pagrindinistekstas"/>
        <w:numPr>
          <w:ilvl w:val="0"/>
          <w:numId w:val="3"/>
        </w:numPr>
        <w:tabs>
          <w:tab w:val="clear" w:pos="720"/>
        </w:tabs>
        <w:spacing w:after="0"/>
        <w:ind w:left="567" w:hanging="567"/>
        <w:rPr>
          <w:szCs w:val="22"/>
        </w:rPr>
      </w:pPr>
      <w:r w:rsidRPr="001C693E">
        <w:rPr>
          <w:szCs w:val="22"/>
        </w:rPr>
        <w:t>ganglioblokatorių (trimetafano, heksametonijaus).</w:t>
      </w:r>
    </w:p>
    <w:p w14:paraId="2686909B" w14:textId="77777777" w:rsidR="00C91987" w:rsidRPr="001C693E" w:rsidRDefault="00C91987" w:rsidP="00C91987">
      <w:pPr>
        <w:pStyle w:val="Pagrindinistekstas"/>
        <w:spacing w:after="0"/>
        <w:rPr>
          <w:szCs w:val="22"/>
        </w:rPr>
      </w:pPr>
    </w:p>
    <w:p w14:paraId="13665949" w14:textId="77777777" w:rsidR="00C91987" w:rsidRPr="001C693E" w:rsidRDefault="00C91987" w:rsidP="00C91987">
      <w:pPr>
        <w:pStyle w:val="Pagrindinistekstas"/>
        <w:spacing w:after="0"/>
        <w:rPr>
          <w:szCs w:val="22"/>
        </w:rPr>
      </w:pPr>
      <w:r w:rsidRPr="001C693E">
        <w:rPr>
          <w:szCs w:val="22"/>
        </w:rPr>
        <w:t>Jeigu vartojate arba neseniai vartojote kitų vaistų</w:t>
      </w:r>
      <w:r w:rsidR="00C51700" w:rsidRPr="001C693E">
        <w:rPr>
          <w:szCs w:val="22"/>
        </w:rPr>
        <w:t xml:space="preserve"> arba dėl to nesate tikri</w:t>
      </w:r>
      <w:r w:rsidRPr="001C693E">
        <w:rPr>
          <w:szCs w:val="22"/>
        </w:rPr>
        <w:t>, apie tai pasakykite gydytojui arba vaistininkui.</w:t>
      </w:r>
    </w:p>
    <w:p w14:paraId="587C0A3A" w14:textId="77777777" w:rsidR="00C91987" w:rsidRPr="001C693E" w:rsidRDefault="00C91987" w:rsidP="00C91987">
      <w:pPr>
        <w:pStyle w:val="Pagrindinistekstas"/>
        <w:spacing w:after="0"/>
        <w:rPr>
          <w:szCs w:val="22"/>
        </w:rPr>
      </w:pPr>
    </w:p>
    <w:p w14:paraId="29A14291" w14:textId="77777777" w:rsidR="00C91987" w:rsidRPr="001C693E" w:rsidRDefault="00C91987" w:rsidP="00C91987">
      <w:pPr>
        <w:pStyle w:val="Pagrindinistekstas"/>
        <w:spacing w:after="0"/>
        <w:rPr>
          <w:szCs w:val="22"/>
        </w:rPr>
      </w:pPr>
    </w:p>
    <w:p w14:paraId="2A8372F1" w14:textId="77777777" w:rsidR="00C91987" w:rsidRPr="001C693E" w:rsidRDefault="00C91987" w:rsidP="00C91987">
      <w:pPr>
        <w:pStyle w:val="Antrat2"/>
        <w:rPr>
          <w:szCs w:val="22"/>
        </w:rPr>
      </w:pPr>
      <w:r w:rsidRPr="001C693E">
        <w:rPr>
          <w:szCs w:val="22"/>
        </w:rPr>
        <w:t>3.</w:t>
      </w:r>
      <w:r w:rsidRPr="001C693E">
        <w:rPr>
          <w:szCs w:val="22"/>
        </w:rPr>
        <w:tab/>
        <w:t>Kaip vartoti Nimbex</w:t>
      </w:r>
    </w:p>
    <w:p w14:paraId="0FDD5F38" w14:textId="77777777" w:rsidR="00C91987" w:rsidRPr="001C693E" w:rsidRDefault="00C91987" w:rsidP="00C91987">
      <w:pPr>
        <w:pStyle w:val="Pagrindinistekstas"/>
        <w:spacing w:after="0"/>
        <w:rPr>
          <w:szCs w:val="22"/>
        </w:rPr>
      </w:pPr>
    </w:p>
    <w:p w14:paraId="3A9AAEC0" w14:textId="77777777" w:rsidR="00C91987" w:rsidRPr="001C693E" w:rsidRDefault="00C91987" w:rsidP="00C91987">
      <w:pPr>
        <w:pStyle w:val="Pagrindinistekstas"/>
        <w:spacing w:after="0"/>
        <w:rPr>
          <w:b/>
          <w:szCs w:val="22"/>
        </w:rPr>
      </w:pPr>
      <w:r w:rsidRPr="001C693E">
        <w:rPr>
          <w:b/>
          <w:caps/>
          <w:szCs w:val="22"/>
        </w:rPr>
        <w:t>N</w:t>
      </w:r>
      <w:r w:rsidRPr="001C693E">
        <w:rPr>
          <w:b/>
          <w:szCs w:val="22"/>
        </w:rPr>
        <w:t>imbex švirkščiamas tiktai prižiūrint patyrusiam gydytojui, kuris yra gerai susipažinęs su miorelaksantų vartojimu ir jų poveikiu, ir tiktai tais atvejais, kai tam yra visos būtinos sąlygos.</w:t>
      </w:r>
    </w:p>
    <w:p w14:paraId="5B2ED98F" w14:textId="77777777" w:rsidR="00C91987" w:rsidRPr="001C693E" w:rsidRDefault="00C91987" w:rsidP="00C91987">
      <w:pPr>
        <w:pStyle w:val="Pagrindinistekstas"/>
        <w:spacing w:after="0"/>
        <w:rPr>
          <w:szCs w:val="22"/>
        </w:rPr>
      </w:pPr>
      <w:r w:rsidRPr="001C693E">
        <w:rPr>
          <w:szCs w:val="22"/>
        </w:rPr>
        <w:t xml:space="preserve">Gydytojas nuspręs, kokią </w:t>
      </w:r>
      <w:r w:rsidRPr="001C693E">
        <w:rPr>
          <w:caps/>
          <w:szCs w:val="22"/>
        </w:rPr>
        <w:t>N</w:t>
      </w:r>
      <w:r w:rsidRPr="001C693E">
        <w:rPr>
          <w:szCs w:val="22"/>
        </w:rPr>
        <w:t xml:space="preserve">imbex dozę ir kaip ilgai, priklausomai nuo Jums atliekamos operacijos, reikės Jums leisti. </w:t>
      </w:r>
      <w:r w:rsidRPr="001C693E">
        <w:rPr>
          <w:caps/>
          <w:szCs w:val="22"/>
        </w:rPr>
        <w:t>N</w:t>
      </w:r>
      <w:r w:rsidRPr="001C693E">
        <w:rPr>
          <w:szCs w:val="22"/>
        </w:rPr>
        <w:t xml:space="preserve">imbex dozė priklauso nuo Jūsų kūno svorio, nuo norimo raumenų atpalaidavimo laipsnio ir trukmės bei tikimosi Jūsų atsako į šį vaistą. </w:t>
      </w:r>
      <w:r w:rsidRPr="001C693E">
        <w:rPr>
          <w:caps/>
          <w:szCs w:val="22"/>
        </w:rPr>
        <w:t>N</w:t>
      </w:r>
      <w:r w:rsidRPr="001C693E">
        <w:rPr>
          <w:szCs w:val="22"/>
        </w:rPr>
        <w:t>imbex galima skirti dviem būdais, priklausomai nuo atliekamos procedūros:</w:t>
      </w:r>
    </w:p>
    <w:p w14:paraId="2F5D2CAD" w14:textId="77777777" w:rsidR="00C91987" w:rsidRPr="001C693E" w:rsidRDefault="00C91987" w:rsidP="00C91987">
      <w:pPr>
        <w:pStyle w:val="Pagrindinistekstas"/>
        <w:numPr>
          <w:ilvl w:val="0"/>
          <w:numId w:val="4"/>
        </w:numPr>
        <w:spacing w:after="0"/>
        <w:rPr>
          <w:szCs w:val="22"/>
        </w:rPr>
      </w:pPr>
      <w:r w:rsidRPr="001C693E">
        <w:rPr>
          <w:szCs w:val="22"/>
        </w:rPr>
        <w:t>vienkartine injekcija į veną (paprastai sušvirkščiama į veną per 5 – 10 sek.),</w:t>
      </w:r>
    </w:p>
    <w:p w14:paraId="2487A7A4" w14:textId="77777777" w:rsidR="00C91987" w:rsidRPr="001C693E" w:rsidRDefault="00C91987" w:rsidP="00C91987">
      <w:pPr>
        <w:pStyle w:val="Pagrindinistekstas"/>
        <w:numPr>
          <w:ilvl w:val="0"/>
          <w:numId w:val="4"/>
        </w:numPr>
        <w:spacing w:after="0"/>
        <w:rPr>
          <w:szCs w:val="22"/>
        </w:rPr>
      </w:pPr>
      <w:r w:rsidRPr="001C693E">
        <w:rPr>
          <w:szCs w:val="22"/>
        </w:rPr>
        <w:t>lašeline infuzija į veną.</w:t>
      </w:r>
    </w:p>
    <w:p w14:paraId="0336FA4D" w14:textId="77777777" w:rsidR="00C91987" w:rsidRPr="001C693E" w:rsidRDefault="00C91987" w:rsidP="00C91987">
      <w:pPr>
        <w:pStyle w:val="Pagrindinistekstas"/>
        <w:spacing w:after="0"/>
        <w:rPr>
          <w:szCs w:val="22"/>
        </w:rPr>
      </w:pPr>
    </w:p>
    <w:p w14:paraId="6F2D0688" w14:textId="77777777" w:rsidR="00C91987" w:rsidRPr="001C693E" w:rsidRDefault="00C91987" w:rsidP="00C91987">
      <w:pPr>
        <w:pStyle w:val="Pagrindinistekstas"/>
        <w:spacing w:after="0"/>
        <w:rPr>
          <w:b/>
          <w:szCs w:val="22"/>
        </w:rPr>
      </w:pPr>
      <w:r w:rsidRPr="001C693E">
        <w:rPr>
          <w:b/>
          <w:szCs w:val="22"/>
        </w:rPr>
        <w:t>Naudojant vienkartinę injekciją į veną</w:t>
      </w:r>
    </w:p>
    <w:p w14:paraId="2D606FD8" w14:textId="77777777" w:rsidR="00C91987" w:rsidRPr="001C693E" w:rsidRDefault="00C91987" w:rsidP="00C91987">
      <w:pPr>
        <w:pStyle w:val="Pagrindinistekstas"/>
        <w:spacing w:after="0"/>
        <w:rPr>
          <w:szCs w:val="22"/>
        </w:rPr>
      </w:pPr>
      <w:r w:rsidRPr="001C693E">
        <w:rPr>
          <w:i/>
          <w:szCs w:val="22"/>
        </w:rPr>
        <w:lastRenderedPageBreak/>
        <w:t>Suaugusiems ir pagyvenusiems žmonėms</w:t>
      </w:r>
      <w:r w:rsidRPr="001C693E">
        <w:rPr>
          <w:szCs w:val="22"/>
        </w:rPr>
        <w:t xml:space="preserve">. Įprastinė dozė , atliekant intubaciją, yra 0,15 mg/kg kūno svorio. Operacijos metu pradinė dozė yra nuo 0,1 iki 0,4 mg kiekvienam kūno svorio kilogramui. Jei reikia, gydytojas gali skirti papildomas </w:t>
      </w:r>
      <w:r w:rsidRPr="001C693E">
        <w:rPr>
          <w:caps/>
          <w:szCs w:val="22"/>
        </w:rPr>
        <w:t>N</w:t>
      </w:r>
      <w:r w:rsidRPr="001C693E">
        <w:rPr>
          <w:szCs w:val="22"/>
        </w:rPr>
        <w:t xml:space="preserve">imbex dozes, siekiant pailginti jo poveikį. Nuo dozės dydžio priklauso raumenų atpalaidavimo trukmė. </w:t>
      </w:r>
    </w:p>
    <w:p w14:paraId="67AF732E" w14:textId="77777777" w:rsidR="00C91987" w:rsidRPr="001C693E" w:rsidRDefault="00C91987" w:rsidP="00C91987">
      <w:pPr>
        <w:pStyle w:val="Pagrindinistekstas"/>
        <w:spacing w:after="0"/>
        <w:rPr>
          <w:szCs w:val="22"/>
        </w:rPr>
      </w:pPr>
      <w:r w:rsidRPr="001C693E">
        <w:rPr>
          <w:i/>
          <w:szCs w:val="22"/>
        </w:rPr>
        <w:t>Vaikams nuo 1 mėn. iki 12 metų.</w:t>
      </w:r>
      <w:r w:rsidRPr="001C693E">
        <w:rPr>
          <w:szCs w:val="22"/>
        </w:rPr>
        <w:t xml:space="preserve"> Atliekant intubaciją, dozė yra 0,15 mg/kg kūno svorio. Operacijos metu gali būti naudojamos mažesnės dozės negu 0,15 mg/kg kūno svorio. Jei reikia, galima skirti papildomas </w:t>
      </w:r>
      <w:r w:rsidRPr="001C693E">
        <w:rPr>
          <w:caps/>
          <w:szCs w:val="22"/>
        </w:rPr>
        <w:t>N</w:t>
      </w:r>
      <w:r w:rsidRPr="001C693E">
        <w:rPr>
          <w:szCs w:val="22"/>
        </w:rPr>
        <w:t>imbex dozes, norint pailginti jo poveikį. Nuo dozės dydžio priklauso raumenų atpalaidavimo trukmė.</w:t>
      </w:r>
    </w:p>
    <w:p w14:paraId="50E29103" w14:textId="77777777" w:rsidR="00C91987" w:rsidRPr="001C693E" w:rsidRDefault="00C91987" w:rsidP="00C91987">
      <w:pPr>
        <w:pStyle w:val="Pagrindinistekstas"/>
        <w:spacing w:after="0"/>
        <w:rPr>
          <w:szCs w:val="22"/>
        </w:rPr>
      </w:pPr>
    </w:p>
    <w:p w14:paraId="1EE2101C" w14:textId="77777777" w:rsidR="00C91987" w:rsidRPr="001C693E" w:rsidRDefault="00C91987" w:rsidP="00C91987">
      <w:pPr>
        <w:pStyle w:val="Pagrindinistekstas"/>
        <w:keepNext/>
        <w:spacing w:after="0"/>
        <w:rPr>
          <w:szCs w:val="22"/>
        </w:rPr>
      </w:pPr>
      <w:r w:rsidRPr="001C693E">
        <w:rPr>
          <w:b/>
          <w:szCs w:val="22"/>
        </w:rPr>
        <w:t>Naudojant infuziją į veną</w:t>
      </w:r>
      <w:r w:rsidRPr="001C693E">
        <w:rPr>
          <w:szCs w:val="22"/>
        </w:rPr>
        <w:t xml:space="preserve">. </w:t>
      </w:r>
    </w:p>
    <w:p w14:paraId="6190CADA" w14:textId="77777777" w:rsidR="00C91987" w:rsidRPr="001C693E" w:rsidRDefault="00C91987" w:rsidP="00C91987">
      <w:pPr>
        <w:pStyle w:val="Pagrindinistekstas"/>
        <w:keepNext/>
        <w:spacing w:after="0"/>
        <w:rPr>
          <w:i/>
          <w:szCs w:val="22"/>
        </w:rPr>
      </w:pPr>
      <w:r w:rsidRPr="001C693E">
        <w:rPr>
          <w:i/>
          <w:szCs w:val="22"/>
        </w:rPr>
        <w:t>Suaugusiems, pagyvenusiems žmonėms ir vaikams nuo 2 iki 10 metų.</w:t>
      </w:r>
    </w:p>
    <w:p w14:paraId="0AC2EE62" w14:textId="77777777" w:rsidR="00C91987" w:rsidRPr="001C693E" w:rsidRDefault="00C91987" w:rsidP="00C91987">
      <w:pPr>
        <w:pStyle w:val="Pagrindinistekstas"/>
        <w:spacing w:after="0"/>
        <w:rPr>
          <w:szCs w:val="22"/>
        </w:rPr>
      </w:pPr>
      <w:r w:rsidRPr="001C693E">
        <w:rPr>
          <w:caps/>
          <w:szCs w:val="22"/>
        </w:rPr>
        <w:t>N</w:t>
      </w:r>
      <w:r w:rsidRPr="001C693E">
        <w:rPr>
          <w:szCs w:val="22"/>
        </w:rPr>
        <w:t xml:space="preserve">imbex galima lėtai lašinti į veną, praskiedus dekstrozės ar fiziologiniu tirpalu. Lašinimo greitis turi būti nuo 0,06 iki 0,18 mg/kg kūno svorio per valandą. Dozė gali būti keičiama, priklausomai nuo </w:t>
      </w:r>
      <w:r w:rsidRPr="001C693E">
        <w:rPr>
          <w:caps/>
          <w:szCs w:val="22"/>
        </w:rPr>
        <w:t>N</w:t>
      </w:r>
      <w:r w:rsidRPr="001C693E">
        <w:rPr>
          <w:szCs w:val="22"/>
        </w:rPr>
        <w:t xml:space="preserve">imbex poveikio. </w:t>
      </w:r>
      <w:r w:rsidRPr="001C693E">
        <w:rPr>
          <w:caps/>
          <w:szCs w:val="22"/>
        </w:rPr>
        <w:t>N</w:t>
      </w:r>
      <w:r w:rsidRPr="001C693E">
        <w:rPr>
          <w:szCs w:val="22"/>
        </w:rPr>
        <w:t>imbex nerekomenduojama vartoti vaikams, jaunesniems kaip 1 mėnuo.</w:t>
      </w:r>
    </w:p>
    <w:p w14:paraId="733FC944" w14:textId="77777777" w:rsidR="00C91987" w:rsidRPr="001C693E" w:rsidRDefault="00C91987" w:rsidP="00C91987">
      <w:pPr>
        <w:pStyle w:val="Pagrindinistekstas"/>
        <w:spacing w:after="0"/>
        <w:rPr>
          <w:szCs w:val="22"/>
        </w:rPr>
      </w:pPr>
    </w:p>
    <w:p w14:paraId="71192139" w14:textId="77777777" w:rsidR="00C91987" w:rsidRPr="001C693E" w:rsidRDefault="00C91987" w:rsidP="00C91987">
      <w:pPr>
        <w:pStyle w:val="Pagrindinistekstas"/>
        <w:spacing w:after="0"/>
        <w:rPr>
          <w:szCs w:val="22"/>
        </w:rPr>
      </w:pPr>
      <w:r w:rsidRPr="001C693E">
        <w:rPr>
          <w:szCs w:val="22"/>
        </w:rPr>
        <w:t>NURODYMAI, KAIP ATIDARYTI AMPULĘ (informacija apie</w:t>
      </w:r>
      <w:r w:rsidRPr="001C693E">
        <w:rPr>
          <w:b/>
          <w:szCs w:val="22"/>
        </w:rPr>
        <w:t xml:space="preserve"> ampules, kuriose yra 2 mg/ml vaisto</w:t>
      </w:r>
      <w:r w:rsidRPr="001C693E">
        <w:rPr>
          <w:szCs w:val="22"/>
        </w:rPr>
        <w:t>)</w:t>
      </w:r>
    </w:p>
    <w:p w14:paraId="6C1C7AB8" w14:textId="77777777" w:rsidR="00C91987" w:rsidRPr="001C693E" w:rsidRDefault="00C91987" w:rsidP="00C91987">
      <w:pPr>
        <w:pStyle w:val="Pagrindinistekstas"/>
        <w:spacing w:after="0"/>
        <w:rPr>
          <w:szCs w:val="22"/>
        </w:rPr>
      </w:pPr>
      <w:r w:rsidRPr="001C693E">
        <w:rPr>
          <w:szCs w:val="22"/>
        </w:rPr>
        <w:t>Ampulėse yra pažymėta, kurioje vietoje jos atidaromos, ir jas reikia atidaryti taip, kaip aprašyta toliau:</w:t>
      </w:r>
    </w:p>
    <w:p w14:paraId="1B9CDE28" w14:textId="77777777" w:rsidR="00C91987" w:rsidRPr="001C693E" w:rsidRDefault="00C91987" w:rsidP="00C91987">
      <w:pPr>
        <w:pStyle w:val="Pagrindinistekstas"/>
        <w:numPr>
          <w:ilvl w:val="0"/>
          <w:numId w:val="5"/>
        </w:numPr>
        <w:spacing w:after="0"/>
        <w:rPr>
          <w:szCs w:val="22"/>
        </w:rPr>
      </w:pPr>
      <w:r w:rsidRPr="001C693E">
        <w:rPr>
          <w:szCs w:val="22"/>
        </w:rPr>
        <w:t>laikykite ampulę ranka taip, kaip parodyta 1 paveiksle;</w:t>
      </w:r>
    </w:p>
    <w:p w14:paraId="6C035B00" w14:textId="77777777" w:rsidR="00C91987" w:rsidRPr="001C693E" w:rsidRDefault="00C91987" w:rsidP="00C91987">
      <w:pPr>
        <w:pStyle w:val="Pagrindinistekstas"/>
        <w:numPr>
          <w:ilvl w:val="0"/>
          <w:numId w:val="5"/>
        </w:numPr>
        <w:spacing w:after="0"/>
        <w:rPr>
          <w:szCs w:val="22"/>
        </w:rPr>
      </w:pPr>
      <w:r w:rsidRPr="001C693E">
        <w:rPr>
          <w:szCs w:val="22"/>
        </w:rPr>
        <w:t>kita ranka suimkite viršutinę ampulės dalį ir, nykščiu spausdami nudažytą vietą, nulaužkite ampulės galą, kaip parodyta 2 paveiksle.</w:t>
      </w:r>
    </w:p>
    <w:p w14:paraId="57C71139" w14:textId="77777777" w:rsidR="00C91987" w:rsidRPr="001C693E" w:rsidRDefault="00C91987" w:rsidP="00C91987">
      <w:pPr>
        <w:pStyle w:val="Pagrindinistekstas"/>
        <w:spacing w:after="0"/>
        <w:rPr>
          <w:szCs w:val="22"/>
        </w:rPr>
      </w:pPr>
    </w:p>
    <w:p w14:paraId="0AECAC39" w14:textId="77777777" w:rsidR="00C91987" w:rsidRPr="001C693E" w:rsidRDefault="00C91987" w:rsidP="00C91987">
      <w:pPr>
        <w:pStyle w:val="Pagrindinistekstas"/>
        <w:spacing w:after="0"/>
        <w:rPr>
          <w:szCs w:val="22"/>
        </w:rPr>
      </w:pPr>
      <w:r w:rsidRPr="001C693E">
        <w:rPr>
          <w:noProof/>
          <w:color w:val="211D1E"/>
          <w:szCs w:val="22"/>
        </w:rPr>
        <w:drawing>
          <wp:inline distT="0" distB="0" distL="0" distR="0" wp14:anchorId="2DA298BC" wp14:editId="51CA2795">
            <wp:extent cx="1476375" cy="60007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1476375" cy="600075"/>
                    </a:xfrm>
                    <a:prstGeom prst="rect">
                      <a:avLst/>
                    </a:prstGeom>
                    <a:noFill/>
                    <a:ln w="9525">
                      <a:noFill/>
                      <a:miter lim="800000"/>
                      <a:headEnd/>
                      <a:tailEnd/>
                    </a:ln>
                  </pic:spPr>
                </pic:pic>
              </a:graphicData>
            </a:graphic>
          </wp:inline>
        </w:drawing>
      </w:r>
    </w:p>
    <w:p w14:paraId="3497CB7E" w14:textId="77777777" w:rsidR="00C91987" w:rsidRPr="001C693E" w:rsidRDefault="00C91987" w:rsidP="00C91987">
      <w:pPr>
        <w:pStyle w:val="Pagrindinistekstas"/>
        <w:spacing w:after="0"/>
        <w:rPr>
          <w:szCs w:val="22"/>
        </w:rPr>
      </w:pPr>
      <w:r w:rsidRPr="001C693E">
        <w:rPr>
          <w:szCs w:val="22"/>
        </w:rPr>
        <w:t>1 paveikslas   2 paveikslas</w:t>
      </w:r>
    </w:p>
    <w:p w14:paraId="3E6670DF" w14:textId="77777777" w:rsidR="00C91987" w:rsidRPr="001C693E" w:rsidRDefault="00C91987" w:rsidP="00C91987">
      <w:pPr>
        <w:pStyle w:val="Pagrindinistekstas"/>
        <w:spacing w:after="0"/>
        <w:rPr>
          <w:szCs w:val="22"/>
        </w:rPr>
      </w:pPr>
    </w:p>
    <w:p w14:paraId="7B04FB84" w14:textId="77777777" w:rsidR="00C91987" w:rsidRPr="001C693E" w:rsidRDefault="00C91987" w:rsidP="00C91987">
      <w:pPr>
        <w:pStyle w:val="Antrat3"/>
        <w:pBdr>
          <w:top w:val="none" w:sz="0" w:space="0" w:color="auto"/>
          <w:left w:val="none" w:sz="0" w:space="0" w:color="auto"/>
          <w:bottom w:val="none" w:sz="0" w:space="0" w:color="auto"/>
          <w:right w:val="none" w:sz="0" w:space="0" w:color="auto"/>
        </w:pBdr>
        <w:rPr>
          <w:szCs w:val="22"/>
        </w:rPr>
      </w:pPr>
      <w:r w:rsidRPr="001C693E">
        <w:rPr>
          <w:szCs w:val="22"/>
        </w:rPr>
        <w:t xml:space="preserve">Ką daryti pavartojus per didelę </w:t>
      </w:r>
      <w:r w:rsidRPr="001C693E">
        <w:rPr>
          <w:caps/>
          <w:szCs w:val="22"/>
        </w:rPr>
        <w:t>N</w:t>
      </w:r>
      <w:r w:rsidRPr="001C693E">
        <w:rPr>
          <w:szCs w:val="22"/>
        </w:rPr>
        <w:t>imbex dozę?</w:t>
      </w:r>
    </w:p>
    <w:p w14:paraId="0931F55C" w14:textId="77777777" w:rsidR="00C91987" w:rsidRPr="001C693E" w:rsidRDefault="00C91987" w:rsidP="00C91987">
      <w:pPr>
        <w:pStyle w:val="Pagrindinistekstas"/>
        <w:spacing w:after="0"/>
        <w:rPr>
          <w:szCs w:val="22"/>
        </w:rPr>
      </w:pPr>
      <w:r w:rsidRPr="001C693E">
        <w:rPr>
          <w:szCs w:val="22"/>
        </w:rPr>
        <w:t xml:space="preserve">Pagrindinis </w:t>
      </w:r>
      <w:r w:rsidRPr="001C693E">
        <w:rPr>
          <w:caps/>
          <w:szCs w:val="22"/>
        </w:rPr>
        <w:t>N</w:t>
      </w:r>
      <w:r w:rsidRPr="001C693E">
        <w:rPr>
          <w:szCs w:val="22"/>
        </w:rPr>
        <w:t>imbex perdozavimo požymis būtų ilgalaikis raumenų paralyžius ir jo pasekmės.</w:t>
      </w:r>
      <w:r w:rsidRPr="001C693E">
        <w:rPr>
          <w:caps/>
          <w:szCs w:val="22"/>
        </w:rPr>
        <w:t xml:space="preserve"> T</w:t>
      </w:r>
      <w:r w:rsidRPr="001C693E">
        <w:rPr>
          <w:szCs w:val="22"/>
        </w:rPr>
        <w:t xml:space="preserve">ačiau </w:t>
      </w:r>
      <w:r w:rsidRPr="001C693E">
        <w:rPr>
          <w:caps/>
          <w:szCs w:val="22"/>
        </w:rPr>
        <w:t>N</w:t>
      </w:r>
      <w:r w:rsidRPr="001C693E">
        <w:rPr>
          <w:szCs w:val="22"/>
        </w:rPr>
        <w:t>imbex poveikis atidžiai stebimas operacijos metu ir, jei jo gautumėte per daug, nedelsiant būtų imamasi reikiamų priemonių.</w:t>
      </w:r>
    </w:p>
    <w:p w14:paraId="5C9E8E61" w14:textId="77777777" w:rsidR="00C91987" w:rsidRPr="001C693E" w:rsidRDefault="00C91987" w:rsidP="00C91987">
      <w:pPr>
        <w:pStyle w:val="Pagrindinistekstas"/>
        <w:spacing w:after="0"/>
        <w:rPr>
          <w:szCs w:val="22"/>
        </w:rPr>
      </w:pPr>
    </w:p>
    <w:p w14:paraId="49C915C6" w14:textId="77777777" w:rsidR="00C91987" w:rsidRPr="001C693E" w:rsidRDefault="00C91987" w:rsidP="00C91987">
      <w:pPr>
        <w:pStyle w:val="Pagrindinistekstas"/>
        <w:spacing w:after="0"/>
        <w:rPr>
          <w:szCs w:val="22"/>
        </w:rPr>
      </w:pPr>
    </w:p>
    <w:p w14:paraId="42553468" w14:textId="77777777" w:rsidR="00C91987" w:rsidRPr="001C693E" w:rsidRDefault="00C91987" w:rsidP="00C91987">
      <w:pPr>
        <w:pStyle w:val="Antrat2"/>
        <w:rPr>
          <w:szCs w:val="22"/>
        </w:rPr>
      </w:pPr>
      <w:r w:rsidRPr="001C693E">
        <w:rPr>
          <w:szCs w:val="22"/>
        </w:rPr>
        <w:t>4.</w:t>
      </w:r>
      <w:r w:rsidRPr="001C693E">
        <w:rPr>
          <w:szCs w:val="22"/>
        </w:rPr>
        <w:tab/>
        <w:t>Galimas šalutinis poveikis</w:t>
      </w:r>
    </w:p>
    <w:p w14:paraId="59C84DB3" w14:textId="77777777" w:rsidR="00C91987" w:rsidRPr="001C693E" w:rsidRDefault="00C91987" w:rsidP="00C91987">
      <w:pPr>
        <w:pStyle w:val="Pagrindinistekstas"/>
        <w:spacing w:after="0"/>
        <w:rPr>
          <w:szCs w:val="22"/>
        </w:rPr>
      </w:pPr>
    </w:p>
    <w:p w14:paraId="7459B6A6" w14:textId="77777777" w:rsidR="00C91987" w:rsidRPr="001C693E" w:rsidRDefault="00C91987" w:rsidP="00C91987">
      <w:pPr>
        <w:rPr>
          <w:szCs w:val="22"/>
        </w:rPr>
      </w:pPr>
      <w:r w:rsidRPr="001C693E">
        <w:rPr>
          <w:szCs w:val="22"/>
        </w:rPr>
        <w:t>Šis vaistas, kaip ir visi kiti, gali sukelti šalutinį poveikį, nors jis pasireiškia ne visiems žmonėms.</w:t>
      </w:r>
    </w:p>
    <w:p w14:paraId="30C0EA5A" w14:textId="77777777" w:rsidR="00C91987" w:rsidRPr="001C693E" w:rsidRDefault="00C91987" w:rsidP="00C91987">
      <w:pPr>
        <w:rPr>
          <w:szCs w:val="22"/>
        </w:rPr>
      </w:pPr>
    </w:p>
    <w:p w14:paraId="73EB55D6" w14:textId="77777777" w:rsidR="00C91987" w:rsidRPr="001C693E" w:rsidRDefault="00C91987" w:rsidP="00C91987">
      <w:pPr>
        <w:rPr>
          <w:szCs w:val="22"/>
        </w:rPr>
      </w:pPr>
      <w:r w:rsidRPr="001C693E">
        <w:rPr>
          <w:i/>
          <w:szCs w:val="22"/>
        </w:rPr>
        <w:t>Dažnas šalutinis poveikis</w:t>
      </w:r>
      <w:r w:rsidRPr="001C693E">
        <w:rPr>
          <w:szCs w:val="22"/>
        </w:rPr>
        <w:t xml:space="preserve"> (pasireiškiantis ne daugiau kaip 1 pacientui iš 100):</w:t>
      </w:r>
    </w:p>
    <w:p w14:paraId="2648D619" w14:textId="77777777" w:rsidR="00C91987" w:rsidRPr="001C693E" w:rsidRDefault="00C91987" w:rsidP="00C91987">
      <w:pPr>
        <w:numPr>
          <w:ilvl w:val="0"/>
          <w:numId w:val="7"/>
        </w:numPr>
        <w:rPr>
          <w:szCs w:val="22"/>
        </w:rPr>
      </w:pPr>
      <w:r w:rsidRPr="001C693E">
        <w:rPr>
          <w:szCs w:val="22"/>
        </w:rPr>
        <w:t>Bradikardija,</w:t>
      </w:r>
    </w:p>
    <w:p w14:paraId="534A5186" w14:textId="77777777" w:rsidR="00C91987" w:rsidRPr="001C693E" w:rsidRDefault="00C91987" w:rsidP="00C91987">
      <w:pPr>
        <w:numPr>
          <w:ilvl w:val="0"/>
          <w:numId w:val="7"/>
        </w:numPr>
        <w:rPr>
          <w:szCs w:val="22"/>
        </w:rPr>
      </w:pPr>
      <w:r w:rsidRPr="001C693E">
        <w:rPr>
          <w:szCs w:val="22"/>
        </w:rPr>
        <w:t>hipotenzija (širdies ritmo sulėtėjimas).</w:t>
      </w:r>
    </w:p>
    <w:p w14:paraId="652676B7" w14:textId="77777777" w:rsidR="00C91987" w:rsidRPr="001C693E" w:rsidRDefault="00C91987" w:rsidP="00C91987">
      <w:pPr>
        <w:rPr>
          <w:szCs w:val="22"/>
        </w:rPr>
      </w:pPr>
    </w:p>
    <w:p w14:paraId="0FA5400C" w14:textId="77777777" w:rsidR="00C91987" w:rsidRPr="001C693E" w:rsidRDefault="00C91987" w:rsidP="00C91987">
      <w:pPr>
        <w:rPr>
          <w:szCs w:val="22"/>
        </w:rPr>
      </w:pPr>
      <w:r w:rsidRPr="001C693E">
        <w:rPr>
          <w:i/>
          <w:szCs w:val="22"/>
        </w:rPr>
        <w:t>Nedažnas šalutinis poveikis</w:t>
      </w:r>
      <w:r w:rsidRPr="001C693E">
        <w:rPr>
          <w:szCs w:val="22"/>
        </w:rPr>
        <w:t xml:space="preserve"> (pasireiškiantis ne daugiau kaip 1 pacientui iš 1000):</w:t>
      </w:r>
    </w:p>
    <w:p w14:paraId="5196BF9C" w14:textId="77777777" w:rsidR="00C91987" w:rsidRPr="001C693E" w:rsidRDefault="00C91987" w:rsidP="00C91987">
      <w:pPr>
        <w:numPr>
          <w:ilvl w:val="0"/>
          <w:numId w:val="7"/>
        </w:numPr>
        <w:rPr>
          <w:szCs w:val="22"/>
        </w:rPr>
      </w:pPr>
      <w:r w:rsidRPr="001C693E">
        <w:rPr>
          <w:szCs w:val="22"/>
        </w:rPr>
        <w:t>odos paraudimas,</w:t>
      </w:r>
    </w:p>
    <w:p w14:paraId="1F41A6CE" w14:textId="77777777" w:rsidR="00C91987" w:rsidRPr="001C693E" w:rsidRDefault="00C91987" w:rsidP="00C91987">
      <w:pPr>
        <w:numPr>
          <w:ilvl w:val="0"/>
          <w:numId w:val="7"/>
        </w:numPr>
        <w:rPr>
          <w:szCs w:val="22"/>
        </w:rPr>
      </w:pPr>
      <w:r w:rsidRPr="001C693E">
        <w:rPr>
          <w:szCs w:val="22"/>
        </w:rPr>
        <w:t>bronchų spazmas,</w:t>
      </w:r>
    </w:p>
    <w:p w14:paraId="34A8EC3A" w14:textId="77777777" w:rsidR="00C91987" w:rsidRPr="001C693E" w:rsidRDefault="00C91987" w:rsidP="00C91987">
      <w:pPr>
        <w:numPr>
          <w:ilvl w:val="0"/>
          <w:numId w:val="7"/>
        </w:numPr>
        <w:rPr>
          <w:szCs w:val="22"/>
        </w:rPr>
      </w:pPr>
      <w:r w:rsidRPr="001C693E">
        <w:rPr>
          <w:szCs w:val="22"/>
        </w:rPr>
        <w:t>bėrimas.</w:t>
      </w:r>
    </w:p>
    <w:p w14:paraId="4F7B3A2C" w14:textId="77777777" w:rsidR="00C91987" w:rsidRPr="001C693E" w:rsidRDefault="00C91987" w:rsidP="00C91987">
      <w:pPr>
        <w:rPr>
          <w:szCs w:val="22"/>
        </w:rPr>
      </w:pPr>
    </w:p>
    <w:p w14:paraId="4573804D" w14:textId="77777777" w:rsidR="00C91987" w:rsidRPr="001C693E" w:rsidRDefault="00C91987" w:rsidP="00C91987">
      <w:pPr>
        <w:rPr>
          <w:i/>
          <w:szCs w:val="22"/>
        </w:rPr>
      </w:pPr>
      <w:r w:rsidRPr="001C693E">
        <w:rPr>
          <w:i/>
          <w:szCs w:val="22"/>
        </w:rPr>
        <w:t xml:space="preserve">Labai retas šalutinis poveikis </w:t>
      </w:r>
    </w:p>
    <w:p w14:paraId="7B0DED66" w14:textId="393174AE" w:rsidR="00C91987" w:rsidRPr="001C693E" w:rsidRDefault="00C91987" w:rsidP="00C91987">
      <w:pPr>
        <w:rPr>
          <w:szCs w:val="22"/>
        </w:rPr>
      </w:pPr>
      <w:r w:rsidRPr="001C693E">
        <w:rPr>
          <w:szCs w:val="22"/>
        </w:rPr>
        <w:t>Labai retai gali įvykti raumenų silpnumas ir anafilaksija – sunki alerginė reakcija</w:t>
      </w:r>
      <w:r w:rsidR="00AA583F">
        <w:rPr>
          <w:szCs w:val="22"/>
        </w:rPr>
        <w:t xml:space="preserve"> </w:t>
      </w:r>
      <w:r w:rsidR="00AA583F" w:rsidRPr="003C7660">
        <w:rPr>
          <w:szCs w:val="22"/>
        </w:rPr>
        <w:t>ir šokas</w:t>
      </w:r>
      <w:r w:rsidRPr="001C693E">
        <w:rPr>
          <w:szCs w:val="22"/>
        </w:rPr>
        <w:t>. Suleidus vaisto, tokios reakcijos paprastai atsiranda per 30 min.</w:t>
      </w:r>
    </w:p>
    <w:p w14:paraId="605963AE" w14:textId="77777777" w:rsidR="00C91987" w:rsidRPr="001C693E" w:rsidRDefault="00C91987" w:rsidP="00C91987">
      <w:pPr>
        <w:rPr>
          <w:szCs w:val="22"/>
        </w:rPr>
      </w:pPr>
    </w:p>
    <w:p w14:paraId="6051ED57" w14:textId="77777777" w:rsidR="00C91987" w:rsidRPr="001C693E" w:rsidRDefault="00C91987" w:rsidP="00C91987">
      <w:pPr>
        <w:rPr>
          <w:b/>
          <w:szCs w:val="22"/>
        </w:rPr>
      </w:pPr>
      <w:r w:rsidRPr="001C693E">
        <w:rPr>
          <w:b/>
          <w:noProof/>
          <w:szCs w:val="22"/>
        </w:rPr>
        <w:t>Pranešimas apie šalutinį poveikį</w:t>
      </w:r>
    </w:p>
    <w:p w14:paraId="420B085C" w14:textId="77777777" w:rsidR="00DD5740" w:rsidRPr="00837997" w:rsidRDefault="00C91987" w:rsidP="00DD5740">
      <w:pPr>
        <w:ind w:right="-449"/>
        <w:rPr>
          <w:szCs w:val="22"/>
        </w:rPr>
      </w:pPr>
      <w:r w:rsidRPr="001C693E">
        <w:rPr>
          <w:noProof/>
          <w:szCs w:val="22"/>
        </w:rPr>
        <w:t>Jeigu pasireiškė šalutinis poveikis, įskaitant šiame lapelyje nenurodytą, pasakykite gydytojui arba vaistininkui</w:t>
      </w:r>
      <w:r w:rsidRPr="001C693E">
        <w:rPr>
          <w:szCs w:val="22"/>
        </w:rPr>
        <w:t>.</w:t>
      </w:r>
      <w:r w:rsidRPr="001C693E">
        <w:rPr>
          <w:noProof/>
          <w:szCs w:val="22"/>
        </w:rPr>
        <w:t xml:space="preserve"> </w:t>
      </w:r>
    </w:p>
    <w:p w14:paraId="3C4C7E86" w14:textId="77777777" w:rsidR="00DD5740" w:rsidRPr="001C693E" w:rsidRDefault="00DD5740" w:rsidP="00DD5740">
      <w:pPr>
        <w:ind w:right="-449"/>
        <w:rPr>
          <w:noProof/>
          <w:szCs w:val="22"/>
        </w:rPr>
      </w:pPr>
      <w:r w:rsidRPr="00837997">
        <w:rPr>
          <w:szCs w:val="22"/>
        </w:rPr>
        <w:t>Apie šalutinį poveikį taip pat galite pranešti Valstybinei vaistų kontrolės tarnybai prie Lietuvos Respublikos sveikatos apsaugos ministerijos nemokamu t</w:t>
      </w:r>
      <w:r w:rsidRPr="003F4F16">
        <w:rPr>
          <w:szCs w:val="22"/>
          <w:lang w:eastAsia="zh-CN"/>
        </w:rPr>
        <w:t>elefonu 8 800 73568</w:t>
      </w:r>
      <w:r w:rsidRPr="003F4F16">
        <w:rPr>
          <w:szCs w:val="22"/>
        </w:rPr>
        <w:t xml:space="preserve"> arba užpildyti interneto svetainėje </w:t>
      </w:r>
      <w:hyperlink r:id="rId15" w:history="1">
        <w:r w:rsidRPr="001C693E">
          <w:rPr>
            <w:rStyle w:val="Hipersaitas"/>
            <w:rFonts w:eastAsia="SimSun"/>
            <w:szCs w:val="22"/>
          </w:rPr>
          <w:t>www.vvkt.lt</w:t>
        </w:r>
      </w:hyperlink>
      <w:r w:rsidRPr="001C693E">
        <w:rPr>
          <w:szCs w:val="22"/>
        </w:rPr>
        <w:t xml:space="preserve"> esančią formą ir pateikti ją Valstybinei vaistų kontrolės tarnybai prie Lietuvos Respublikos sveikatos apsaugos ministerijos vienu iš šių būdų: raštu (adresu Žirmūnų g. 139A, LT-09120 Vilnius), </w:t>
      </w:r>
      <w:r w:rsidRPr="001C693E">
        <w:rPr>
          <w:szCs w:val="22"/>
          <w:lang w:eastAsia="zh-CN"/>
        </w:rPr>
        <w:t xml:space="preserve">nemokamu </w:t>
      </w:r>
      <w:r w:rsidRPr="00837997">
        <w:rPr>
          <w:szCs w:val="22"/>
        </w:rPr>
        <w:t>fakso numeriu 8 800 20131</w:t>
      </w:r>
      <w:r w:rsidRPr="00837997">
        <w:rPr>
          <w:szCs w:val="22"/>
          <w:lang w:eastAsia="zh-CN"/>
        </w:rPr>
        <w:t xml:space="preserve">, </w:t>
      </w:r>
      <w:r w:rsidRPr="00837997">
        <w:rPr>
          <w:szCs w:val="22"/>
        </w:rPr>
        <w:t xml:space="preserve">el. paštu </w:t>
      </w:r>
      <w:hyperlink r:id="rId16" w:history="1">
        <w:r w:rsidRPr="001C693E">
          <w:rPr>
            <w:rStyle w:val="Hipersaitas"/>
            <w:rFonts w:eastAsia="SimSun"/>
            <w:szCs w:val="22"/>
          </w:rPr>
          <w:t>NepageidaujamaR@vvkt.lt</w:t>
        </w:r>
      </w:hyperlink>
      <w:r w:rsidRPr="001C693E">
        <w:rPr>
          <w:szCs w:val="22"/>
        </w:rPr>
        <w:t xml:space="preserve">, taip pat per Valstybinės vaistų kontrolės tarnybos prie Lietuvos Respublikos sveikatos apsaugos ministerijos interneto svetainę (adresu </w:t>
      </w:r>
      <w:hyperlink r:id="rId17" w:history="1">
        <w:r w:rsidRPr="001C693E">
          <w:rPr>
            <w:rStyle w:val="Hipersaitas"/>
            <w:rFonts w:eastAsia="SimSun"/>
            <w:szCs w:val="22"/>
          </w:rPr>
          <w:t>htt</w:t>
        </w:r>
        <w:r w:rsidRPr="00837997">
          <w:rPr>
            <w:rStyle w:val="Hipersaitas"/>
            <w:rFonts w:eastAsia="SimSun"/>
            <w:szCs w:val="22"/>
          </w:rPr>
          <w:t>p://www.vvkt.lt</w:t>
        </w:r>
      </w:hyperlink>
      <w:r w:rsidRPr="001C693E">
        <w:rPr>
          <w:szCs w:val="22"/>
        </w:rPr>
        <w:t>). Pranešdami apie šalutinį poveikį galite mums padėti gauti daugiau informacijos apie šio vaisto saugumą.</w:t>
      </w:r>
    </w:p>
    <w:p w14:paraId="5D9EB0FF" w14:textId="77777777" w:rsidR="00C91987" w:rsidRPr="001C693E" w:rsidRDefault="00C91987" w:rsidP="00DD5740">
      <w:pPr>
        <w:ind w:right="49"/>
        <w:rPr>
          <w:szCs w:val="22"/>
        </w:rPr>
      </w:pPr>
    </w:p>
    <w:p w14:paraId="2BF90A11" w14:textId="77777777" w:rsidR="00C91987" w:rsidRPr="001C693E" w:rsidRDefault="00C91987" w:rsidP="00C91987">
      <w:pPr>
        <w:pStyle w:val="Pagrindinistekstas"/>
        <w:spacing w:after="0"/>
        <w:rPr>
          <w:szCs w:val="22"/>
        </w:rPr>
      </w:pPr>
    </w:p>
    <w:p w14:paraId="0C040971" w14:textId="77777777" w:rsidR="00C91987" w:rsidRPr="001C693E" w:rsidRDefault="00C91987" w:rsidP="00C91987">
      <w:pPr>
        <w:pStyle w:val="Antrat2"/>
        <w:rPr>
          <w:szCs w:val="22"/>
        </w:rPr>
      </w:pPr>
      <w:r w:rsidRPr="001C693E">
        <w:rPr>
          <w:szCs w:val="22"/>
        </w:rPr>
        <w:t>5.</w:t>
      </w:r>
      <w:r w:rsidRPr="001C693E">
        <w:rPr>
          <w:szCs w:val="22"/>
        </w:rPr>
        <w:tab/>
        <w:t>Kaip laikyti Nimbex</w:t>
      </w:r>
    </w:p>
    <w:p w14:paraId="11EAF0AC" w14:textId="77777777" w:rsidR="00C91987" w:rsidRPr="001C693E" w:rsidRDefault="00C91987" w:rsidP="00C91987">
      <w:pPr>
        <w:pStyle w:val="Pagrindinistekstas"/>
        <w:spacing w:after="0"/>
        <w:rPr>
          <w:szCs w:val="22"/>
        </w:rPr>
      </w:pPr>
    </w:p>
    <w:p w14:paraId="7D1FA7EF" w14:textId="77777777" w:rsidR="00C91987" w:rsidRPr="001C693E" w:rsidRDefault="00C91987" w:rsidP="00C91987">
      <w:pPr>
        <w:pStyle w:val="Pagrindinistekstas"/>
        <w:spacing w:after="0"/>
        <w:rPr>
          <w:szCs w:val="22"/>
        </w:rPr>
      </w:pPr>
      <w:r w:rsidRPr="001C693E">
        <w:rPr>
          <w:szCs w:val="22"/>
        </w:rPr>
        <w:t>Šį vaistą laikykite vaikams nepastebimoje ir nepasiekiamoje vietoje.</w:t>
      </w:r>
    </w:p>
    <w:p w14:paraId="427A7788" w14:textId="77777777" w:rsidR="00C91987" w:rsidRPr="001C693E" w:rsidRDefault="00C91987" w:rsidP="00C91987">
      <w:pPr>
        <w:pStyle w:val="Pagrindinistekstas"/>
        <w:spacing w:after="0"/>
        <w:rPr>
          <w:szCs w:val="22"/>
        </w:rPr>
      </w:pPr>
      <w:r w:rsidRPr="001C693E">
        <w:rPr>
          <w:szCs w:val="22"/>
        </w:rPr>
        <w:t xml:space="preserve">Laikyti šaldytuve (2 </w:t>
      </w:r>
      <w:r w:rsidRPr="001C693E">
        <w:rPr>
          <w:szCs w:val="22"/>
        </w:rPr>
        <w:sym w:font="Symbol" w:char="F0B0"/>
      </w:r>
      <w:r w:rsidRPr="001C693E">
        <w:rPr>
          <w:szCs w:val="22"/>
        </w:rPr>
        <w:t xml:space="preserve">C – 8 </w:t>
      </w:r>
      <w:r w:rsidRPr="001C693E">
        <w:rPr>
          <w:szCs w:val="22"/>
        </w:rPr>
        <w:sym w:font="Symbol" w:char="F0B0"/>
      </w:r>
      <w:r w:rsidRPr="001C693E">
        <w:rPr>
          <w:szCs w:val="22"/>
        </w:rPr>
        <w:t>C).</w:t>
      </w:r>
    </w:p>
    <w:p w14:paraId="6F48720C" w14:textId="77777777" w:rsidR="00C91987" w:rsidRPr="001C693E" w:rsidRDefault="00C91987" w:rsidP="00C91987">
      <w:pPr>
        <w:pStyle w:val="Pagrindinistekstas"/>
        <w:spacing w:after="0"/>
        <w:rPr>
          <w:szCs w:val="22"/>
        </w:rPr>
      </w:pPr>
      <w:r w:rsidRPr="001C693E">
        <w:rPr>
          <w:szCs w:val="22"/>
        </w:rPr>
        <w:t>Negalima užšaldyti.</w:t>
      </w:r>
    </w:p>
    <w:p w14:paraId="494C27CD" w14:textId="77777777" w:rsidR="00C91987" w:rsidRPr="001C693E" w:rsidRDefault="00C91987" w:rsidP="00C91987">
      <w:pPr>
        <w:pStyle w:val="Pagrindinistekstas"/>
        <w:spacing w:after="0"/>
        <w:rPr>
          <w:szCs w:val="22"/>
        </w:rPr>
      </w:pPr>
      <w:r w:rsidRPr="001C693E">
        <w:rPr>
          <w:szCs w:val="22"/>
        </w:rPr>
        <w:t>Ampules laikyti išorinėje dėžutėje, kad preparatas būtų apsaugotas nuo šviesos.</w:t>
      </w:r>
    </w:p>
    <w:p w14:paraId="099FBD9D" w14:textId="77777777" w:rsidR="00C91987" w:rsidRPr="001C693E" w:rsidRDefault="00C91987" w:rsidP="00C91987">
      <w:pPr>
        <w:pStyle w:val="Pagrindinistekstas"/>
        <w:spacing w:after="0"/>
        <w:rPr>
          <w:szCs w:val="22"/>
        </w:rPr>
      </w:pPr>
      <w:r w:rsidRPr="001C693E">
        <w:rPr>
          <w:szCs w:val="22"/>
        </w:rPr>
        <w:t xml:space="preserve">Ant ampulės ir dėžutės po „Tinka iki“ nurodytam tinkamumo laikui pasibaigus šio vaisto vartoti negalima. Vaistas tinkamas vartoti iki paskutinės nurodyto mėnesio dienos. </w:t>
      </w:r>
    </w:p>
    <w:p w14:paraId="5039F737" w14:textId="77777777" w:rsidR="00C91987" w:rsidRPr="001C693E" w:rsidRDefault="00C91987" w:rsidP="00C91987">
      <w:pPr>
        <w:pStyle w:val="Pagrindinistekstas"/>
        <w:spacing w:after="0"/>
        <w:rPr>
          <w:szCs w:val="22"/>
        </w:rPr>
      </w:pPr>
      <w:r w:rsidRPr="001C693E">
        <w:rPr>
          <w:szCs w:val="22"/>
        </w:rPr>
        <w:t xml:space="preserve">Praskiesto tirpalo tinkamumo laikas - 24 val., laikant šaldytuve (2 </w:t>
      </w:r>
      <w:r w:rsidRPr="001C693E">
        <w:rPr>
          <w:szCs w:val="22"/>
        </w:rPr>
        <w:sym w:font="Symbol" w:char="F0B0"/>
      </w:r>
      <w:r w:rsidRPr="001C693E">
        <w:rPr>
          <w:szCs w:val="22"/>
        </w:rPr>
        <w:t xml:space="preserve">C – 8 </w:t>
      </w:r>
      <w:r w:rsidRPr="001C693E">
        <w:rPr>
          <w:szCs w:val="22"/>
        </w:rPr>
        <w:sym w:font="Symbol" w:char="F0B0"/>
      </w:r>
      <w:r w:rsidRPr="001C693E">
        <w:rPr>
          <w:szCs w:val="22"/>
        </w:rPr>
        <w:t>C).</w:t>
      </w:r>
    </w:p>
    <w:p w14:paraId="5ACDE83F" w14:textId="77777777" w:rsidR="00C91987" w:rsidRPr="001C693E" w:rsidRDefault="00C91987" w:rsidP="00C91987">
      <w:pPr>
        <w:pStyle w:val="BTEMEASMCA"/>
      </w:pPr>
      <w:r w:rsidRPr="001C693E">
        <w:t>Vaistų negalima išmesti į kanalizaciją arba su buitinėmis atliekomis. Kaip išmesti nereikalingus vaistus, klauskite vaistininko. Šios priemonės padės apsaugoti aplinką.</w:t>
      </w:r>
    </w:p>
    <w:p w14:paraId="2853AEFA" w14:textId="77777777" w:rsidR="00C91987" w:rsidRPr="001C693E" w:rsidRDefault="00C91987" w:rsidP="00C91987">
      <w:pPr>
        <w:pStyle w:val="Pagrindinistekstas"/>
        <w:spacing w:after="0"/>
        <w:rPr>
          <w:szCs w:val="22"/>
        </w:rPr>
      </w:pPr>
    </w:p>
    <w:p w14:paraId="2D6C6A7D" w14:textId="77777777" w:rsidR="00C91987" w:rsidRPr="001C693E" w:rsidRDefault="00C91987" w:rsidP="00C91987">
      <w:pPr>
        <w:pStyle w:val="Pagrindinistekstas"/>
        <w:spacing w:after="0"/>
        <w:rPr>
          <w:szCs w:val="22"/>
        </w:rPr>
      </w:pPr>
    </w:p>
    <w:p w14:paraId="333E03B2" w14:textId="77777777" w:rsidR="00C91987" w:rsidRPr="001C693E" w:rsidRDefault="00C91987" w:rsidP="00C91987">
      <w:pPr>
        <w:pStyle w:val="Antrat2"/>
        <w:rPr>
          <w:szCs w:val="22"/>
        </w:rPr>
      </w:pPr>
      <w:r w:rsidRPr="001C693E">
        <w:rPr>
          <w:szCs w:val="22"/>
        </w:rPr>
        <w:t>6.</w:t>
      </w:r>
      <w:r w:rsidRPr="001C693E">
        <w:rPr>
          <w:szCs w:val="22"/>
        </w:rPr>
        <w:tab/>
        <w:t>Pakuotės turinys ir kita informacija</w:t>
      </w:r>
    </w:p>
    <w:p w14:paraId="6D2085AC" w14:textId="77777777" w:rsidR="00C91987" w:rsidRPr="001C693E" w:rsidRDefault="00C91987" w:rsidP="00C91987">
      <w:pPr>
        <w:pStyle w:val="Pagrindinistekstas"/>
        <w:spacing w:after="0"/>
        <w:rPr>
          <w:szCs w:val="22"/>
        </w:rPr>
      </w:pPr>
    </w:p>
    <w:p w14:paraId="13B518AA" w14:textId="77777777" w:rsidR="00C91987" w:rsidRPr="001C693E" w:rsidRDefault="00C91987" w:rsidP="00C91987">
      <w:pPr>
        <w:pStyle w:val="Pagrindinistekstas"/>
        <w:spacing w:after="0"/>
        <w:rPr>
          <w:b/>
          <w:szCs w:val="22"/>
        </w:rPr>
      </w:pPr>
      <w:r w:rsidRPr="001C693E">
        <w:rPr>
          <w:b/>
          <w:szCs w:val="22"/>
        </w:rPr>
        <w:t>Nimbex sudėtis</w:t>
      </w:r>
    </w:p>
    <w:p w14:paraId="257FEAEE" w14:textId="77777777" w:rsidR="00C91987" w:rsidRPr="001C693E" w:rsidRDefault="00C91987" w:rsidP="00C91987">
      <w:pPr>
        <w:pStyle w:val="Pagrindinistekstas"/>
        <w:spacing w:after="0"/>
        <w:rPr>
          <w:szCs w:val="22"/>
        </w:rPr>
      </w:pPr>
    </w:p>
    <w:p w14:paraId="376476A4" w14:textId="77777777" w:rsidR="00C91987" w:rsidRPr="001C693E" w:rsidRDefault="00C91987" w:rsidP="00C91987">
      <w:pPr>
        <w:pStyle w:val="Pagrindinistekstas"/>
        <w:spacing w:after="0"/>
        <w:ind w:left="567" w:hanging="567"/>
        <w:rPr>
          <w:szCs w:val="22"/>
        </w:rPr>
      </w:pPr>
      <w:r w:rsidRPr="001C693E">
        <w:rPr>
          <w:szCs w:val="22"/>
        </w:rPr>
        <w:t>-</w:t>
      </w:r>
      <w:r w:rsidRPr="001C693E">
        <w:rPr>
          <w:szCs w:val="22"/>
        </w:rPr>
        <w:tab/>
        <w:t>Veiklioji medžiaga yra cisatrakuris (cisatrakurio besilato pavidalu). 1 ml tirpalo yra 2 mg cisatrakurio, atitinkančio 2,68 mg cisatrakurio besilato.</w:t>
      </w:r>
    </w:p>
    <w:p w14:paraId="242844AD" w14:textId="77777777" w:rsidR="00C91987" w:rsidRPr="001C693E" w:rsidRDefault="00C91987" w:rsidP="00C91987">
      <w:pPr>
        <w:pStyle w:val="Pagrindinistekstas"/>
        <w:spacing w:after="0"/>
        <w:ind w:left="550" w:hanging="550"/>
        <w:rPr>
          <w:szCs w:val="22"/>
        </w:rPr>
      </w:pPr>
      <w:r w:rsidRPr="001C693E">
        <w:rPr>
          <w:szCs w:val="22"/>
        </w:rPr>
        <w:t>-</w:t>
      </w:r>
      <w:r w:rsidRPr="001C693E">
        <w:rPr>
          <w:szCs w:val="22"/>
        </w:rPr>
        <w:tab/>
        <w:t>Pagalbinės medžiagos yra injekcinis vanduo ir benzensulfonrūgštis.</w:t>
      </w:r>
    </w:p>
    <w:p w14:paraId="37DF652F" w14:textId="77777777" w:rsidR="00C91987" w:rsidRPr="001C693E" w:rsidRDefault="00C91987" w:rsidP="00C91987">
      <w:pPr>
        <w:pStyle w:val="Pagrindinistekstas"/>
        <w:spacing w:after="0"/>
        <w:rPr>
          <w:szCs w:val="22"/>
        </w:rPr>
      </w:pPr>
    </w:p>
    <w:p w14:paraId="103988BB" w14:textId="77777777" w:rsidR="00C91987" w:rsidRPr="001C693E" w:rsidRDefault="00C91987" w:rsidP="00C91987">
      <w:pPr>
        <w:pStyle w:val="Pagrindinistekstas"/>
        <w:spacing w:after="0"/>
        <w:rPr>
          <w:b/>
          <w:szCs w:val="22"/>
        </w:rPr>
      </w:pPr>
      <w:r w:rsidRPr="001C693E">
        <w:rPr>
          <w:b/>
          <w:caps/>
          <w:szCs w:val="22"/>
        </w:rPr>
        <w:t>N</w:t>
      </w:r>
      <w:r w:rsidRPr="001C693E">
        <w:rPr>
          <w:b/>
          <w:szCs w:val="22"/>
        </w:rPr>
        <w:t>imbex išvaizda ir kiekis pakuotėje</w:t>
      </w:r>
    </w:p>
    <w:p w14:paraId="0A3F1A72" w14:textId="77777777" w:rsidR="00C91987" w:rsidRPr="001C693E" w:rsidRDefault="00C91987" w:rsidP="00C91987">
      <w:pPr>
        <w:pStyle w:val="Pagrindinistekstas"/>
        <w:spacing w:after="0"/>
        <w:rPr>
          <w:szCs w:val="22"/>
        </w:rPr>
      </w:pPr>
    </w:p>
    <w:p w14:paraId="31E636D8" w14:textId="77777777" w:rsidR="00C91987" w:rsidRPr="001C693E" w:rsidRDefault="00C91987" w:rsidP="00C91987">
      <w:pPr>
        <w:pStyle w:val="Pagrindinistekstas"/>
        <w:spacing w:after="0"/>
        <w:rPr>
          <w:szCs w:val="22"/>
        </w:rPr>
      </w:pPr>
      <w:r w:rsidRPr="001C693E">
        <w:rPr>
          <w:caps/>
          <w:szCs w:val="22"/>
        </w:rPr>
        <w:t>N</w:t>
      </w:r>
      <w:r w:rsidRPr="001C693E">
        <w:rPr>
          <w:szCs w:val="22"/>
        </w:rPr>
        <w:t xml:space="preserve">imbex yra bespalvis arba balkšvas arba žalsvai gelsvas tirpalas,  be matomų dalelių. Nimbex tiekiamas 2,5 ml ampulėse (kuriose yra 5 mg cisatrakurio) arba 5 ml ampulėse (kuriose yra 10 mg cisatrakurio). Dėžutėje yra 5 ampulės po 2,5 ml ar 5 ml tirpalo. </w:t>
      </w:r>
    </w:p>
    <w:p w14:paraId="67D2D57B" w14:textId="77777777" w:rsidR="00C91987" w:rsidRPr="001C693E" w:rsidRDefault="00C91987" w:rsidP="00C91987">
      <w:pPr>
        <w:pStyle w:val="Pagrindinistekstas"/>
        <w:spacing w:after="0"/>
        <w:rPr>
          <w:szCs w:val="22"/>
        </w:rPr>
      </w:pPr>
      <w:r w:rsidRPr="001C693E">
        <w:rPr>
          <w:noProof/>
          <w:szCs w:val="22"/>
        </w:rPr>
        <w:t>Gali būti tiekiamos ne visų dydžių pakuotės.</w:t>
      </w:r>
    </w:p>
    <w:p w14:paraId="1E54C7CC" w14:textId="77777777" w:rsidR="00C91987" w:rsidRPr="001C693E" w:rsidRDefault="00C91987" w:rsidP="00C91987">
      <w:pPr>
        <w:pStyle w:val="Pagrindinistekstas"/>
        <w:spacing w:after="0"/>
        <w:rPr>
          <w:szCs w:val="22"/>
        </w:rPr>
      </w:pPr>
    </w:p>
    <w:p w14:paraId="3581971B" w14:textId="77777777" w:rsidR="00C91987" w:rsidRPr="001C693E" w:rsidRDefault="00C91987" w:rsidP="00C91987">
      <w:pPr>
        <w:pStyle w:val="Pagrindinistekstas"/>
        <w:spacing w:after="0"/>
        <w:rPr>
          <w:b/>
          <w:szCs w:val="22"/>
        </w:rPr>
      </w:pPr>
      <w:r w:rsidRPr="001C693E">
        <w:rPr>
          <w:b/>
          <w:caps/>
          <w:szCs w:val="22"/>
        </w:rPr>
        <w:t>R</w:t>
      </w:r>
      <w:r w:rsidRPr="001C693E">
        <w:rPr>
          <w:b/>
          <w:szCs w:val="22"/>
        </w:rPr>
        <w:t>inkodaros teisės turėtojas ir gamintojas</w:t>
      </w:r>
    </w:p>
    <w:p w14:paraId="478EB0EA" w14:textId="77777777" w:rsidR="00C91987" w:rsidRPr="001C693E" w:rsidRDefault="00C91987" w:rsidP="00C91987">
      <w:pPr>
        <w:pStyle w:val="Pagrindinistekstas"/>
        <w:spacing w:after="0"/>
        <w:rPr>
          <w:i/>
          <w:szCs w:val="22"/>
        </w:rPr>
      </w:pPr>
    </w:p>
    <w:p w14:paraId="4825CD23" w14:textId="77777777" w:rsidR="00C91987" w:rsidRPr="001C693E" w:rsidRDefault="00CB72BC" w:rsidP="00C91987">
      <w:pPr>
        <w:pStyle w:val="Pagrindinistekstas"/>
        <w:spacing w:after="0"/>
        <w:rPr>
          <w:i/>
          <w:szCs w:val="22"/>
        </w:rPr>
      </w:pPr>
      <w:r w:rsidRPr="001C693E">
        <w:rPr>
          <w:i/>
          <w:szCs w:val="22"/>
        </w:rPr>
        <w:t>Registruotojas</w:t>
      </w:r>
    </w:p>
    <w:p w14:paraId="6D3B802B" w14:textId="77777777" w:rsidR="0052450B" w:rsidRPr="001C693E" w:rsidRDefault="0052450B" w:rsidP="0052450B">
      <w:pPr>
        <w:ind w:left="567" w:hanging="567"/>
        <w:rPr>
          <w:szCs w:val="22"/>
        </w:rPr>
      </w:pPr>
      <w:r w:rsidRPr="001C693E">
        <w:rPr>
          <w:szCs w:val="22"/>
        </w:rPr>
        <w:t>Aspen Pharma Trading Limited</w:t>
      </w:r>
    </w:p>
    <w:p w14:paraId="1EB0E444" w14:textId="77777777" w:rsidR="0052450B" w:rsidRPr="001C693E" w:rsidRDefault="0052450B" w:rsidP="0052450B">
      <w:pPr>
        <w:ind w:left="567" w:hanging="567"/>
        <w:rPr>
          <w:szCs w:val="22"/>
        </w:rPr>
      </w:pPr>
      <w:r w:rsidRPr="001C693E">
        <w:rPr>
          <w:szCs w:val="22"/>
        </w:rPr>
        <w:t>3016 Lake Drive</w:t>
      </w:r>
    </w:p>
    <w:p w14:paraId="0331B4E3" w14:textId="77777777" w:rsidR="0052450B" w:rsidRPr="001C693E" w:rsidRDefault="0052450B" w:rsidP="0052450B">
      <w:pPr>
        <w:ind w:left="567" w:hanging="567"/>
        <w:rPr>
          <w:szCs w:val="22"/>
        </w:rPr>
      </w:pPr>
      <w:r w:rsidRPr="001C693E">
        <w:rPr>
          <w:szCs w:val="22"/>
        </w:rPr>
        <w:t>Citywest Business Campus</w:t>
      </w:r>
    </w:p>
    <w:p w14:paraId="24F51413" w14:textId="77777777" w:rsidR="0052450B" w:rsidRPr="001C693E" w:rsidRDefault="0052450B" w:rsidP="0052450B">
      <w:pPr>
        <w:ind w:left="567" w:hanging="567"/>
        <w:rPr>
          <w:szCs w:val="22"/>
        </w:rPr>
      </w:pPr>
      <w:r w:rsidRPr="001C693E">
        <w:rPr>
          <w:szCs w:val="22"/>
        </w:rPr>
        <w:t>Dublin 24</w:t>
      </w:r>
    </w:p>
    <w:p w14:paraId="690FEBCD" w14:textId="77777777" w:rsidR="0052450B" w:rsidRPr="001C693E" w:rsidRDefault="0052450B" w:rsidP="0052450B">
      <w:pPr>
        <w:pStyle w:val="Pagrindinistekstas"/>
        <w:spacing w:after="0"/>
        <w:rPr>
          <w:szCs w:val="22"/>
        </w:rPr>
      </w:pPr>
      <w:r w:rsidRPr="001C693E">
        <w:rPr>
          <w:szCs w:val="22"/>
        </w:rPr>
        <w:t>Airija</w:t>
      </w:r>
    </w:p>
    <w:p w14:paraId="22D61295" w14:textId="77777777" w:rsidR="00C91987" w:rsidRPr="001C693E" w:rsidRDefault="0052450B" w:rsidP="00C91987">
      <w:pPr>
        <w:pStyle w:val="Pagrindinistekstas"/>
        <w:spacing w:after="0"/>
        <w:rPr>
          <w:szCs w:val="22"/>
        </w:rPr>
      </w:pPr>
      <w:r w:rsidRPr="001C693E">
        <w:rPr>
          <w:szCs w:val="22"/>
        </w:rPr>
        <w:t>Tel. +370 5 214 0291</w:t>
      </w:r>
    </w:p>
    <w:p w14:paraId="0993A251" w14:textId="77777777" w:rsidR="00C91987" w:rsidRPr="001C693E" w:rsidRDefault="00C91987" w:rsidP="00C91987">
      <w:pPr>
        <w:pStyle w:val="Pagrindinistekstas"/>
        <w:spacing w:after="0"/>
        <w:rPr>
          <w:szCs w:val="22"/>
        </w:rPr>
      </w:pPr>
    </w:p>
    <w:p w14:paraId="062C8C32" w14:textId="64FD80C7" w:rsidR="00C91987" w:rsidRPr="003C7660" w:rsidRDefault="003C7660" w:rsidP="00C91987">
      <w:pPr>
        <w:pStyle w:val="Pagrindinistekstas"/>
        <w:spacing w:after="0"/>
        <w:rPr>
          <w:i/>
          <w:szCs w:val="22"/>
        </w:rPr>
      </w:pPr>
      <w:r>
        <w:rPr>
          <w:i/>
          <w:szCs w:val="22"/>
        </w:rPr>
        <w:t>Gamintojas</w:t>
      </w:r>
    </w:p>
    <w:p w14:paraId="760B08D7" w14:textId="77777777" w:rsidR="00C91987" w:rsidRPr="001C693E" w:rsidRDefault="00C91987" w:rsidP="00C91987">
      <w:pPr>
        <w:pStyle w:val="Pagrindinistekstas"/>
        <w:spacing w:after="0"/>
        <w:rPr>
          <w:szCs w:val="22"/>
        </w:rPr>
      </w:pPr>
    </w:p>
    <w:p w14:paraId="205F2687" w14:textId="77777777" w:rsidR="00C91987" w:rsidRPr="001C693E" w:rsidRDefault="00C91987" w:rsidP="00C91987">
      <w:pPr>
        <w:autoSpaceDE w:val="0"/>
        <w:autoSpaceDN w:val="0"/>
        <w:adjustRightInd w:val="0"/>
        <w:rPr>
          <w:szCs w:val="22"/>
        </w:rPr>
      </w:pPr>
      <w:r w:rsidRPr="001C693E">
        <w:rPr>
          <w:szCs w:val="22"/>
        </w:rPr>
        <w:t>GlaxoSmithKline Manufacturing S.p.A.</w:t>
      </w:r>
    </w:p>
    <w:p w14:paraId="7D55DDC9" w14:textId="77777777" w:rsidR="00C91987" w:rsidRPr="001C693E" w:rsidRDefault="00C91987" w:rsidP="00C91987">
      <w:pPr>
        <w:autoSpaceDE w:val="0"/>
        <w:autoSpaceDN w:val="0"/>
        <w:adjustRightInd w:val="0"/>
        <w:rPr>
          <w:szCs w:val="22"/>
          <w:lang w:val="fr-FR"/>
        </w:rPr>
      </w:pPr>
      <w:r w:rsidRPr="001C693E">
        <w:rPr>
          <w:szCs w:val="22"/>
          <w:lang w:val="fr-FR"/>
        </w:rPr>
        <w:t>Strada Provinciale Asolana, 90</w:t>
      </w:r>
    </w:p>
    <w:p w14:paraId="622A5291" w14:textId="77777777" w:rsidR="00C91987" w:rsidRPr="001C693E" w:rsidRDefault="00C91987" w:rsidP="00C91987">
      <w:pPr>
        <w:autoSpaceDE w:val="0"/>
        <w:autoSpaceDN w:val="0"/>
        <w:adjustRightInd w:val="0"/>
        <w:rPr>
          <w:szCs w:val="22"/>
          <w:lang w:val="fr-FR"/>
        </w:rPr>
      </w:pPr>
      <w:r w:rsidRPr="001C693E">
        <w:rPr>
          <w:szCs w:val="22"/>
          <w:lang w:val="fr-FR"/>
        </w:rPr>
        <w:t>43056 San Polo di Torrile</w:t>
      </w:r>
    </w:p>
    <w:p w14:paraId="0CAE69E8" w14:textId="77777777" w:rsidR="00C91987" w:rsidRPr="001C693E" w:rsidRDefault="00C91987" w:rsidP="00C91987">
      <w:pPr>
        <w:autoSpaceDE w:val="0"/>
        <w:autoSpaceDN w:val="0"/>
        <w:adjustRightInd w:val="0"/>
        <w:rPr>
          <w:szCs w:val="22"/>
          <w:lang w:val="fr-FR"/>
        </w:rPr>
      </w:pPr>
      <w:r w:rsidRPr="001C693E">
        <w:rPr>
          <w:szCs w:val="22"/>
          <w:lang w:val="fr-FR"/>
        </w:rPr>
        <w:t xml:space="preserve">Parma </w:t>
      </w:r>
    </w:p>
    <w:p w14:paraId="1A21ABF8" w14:textId="77777777" w:rsidR="00C91987" w:rsidRPr="001C693E" w:rsidRDefault="00C91987" w:rsidP="00C91987">
      <w:pPr>
        <w:autoSpaceDE w:val="0"/>
        <w:autoSpaceDN w:val="0"/>
        <w:adjustRightInd w:val="0"/>
        <w:rPr>
          <w:szCs w:val="22"/>
        </w:rPr>
      </w:pPr>
      <w:r w:rsidRPr="001C693E">
        <w:rPr>
          <w:szCs w:val="22"/>
        </w:rPr>
        <w:t>Italija</w:t>
      </w:r>
    </w:p>
    <w:p w14:paraId="18CF15E6" w14:textId="77777777" w:rsidR="00C91987" w:rsidRPr="001C693E" w:rsidRDefault="00C91987" w:rsidP="00C91987">
      <w:pPr>
        <w:pStyle w:val="Pagrindinistekstas"/>
        <w:spacing w:after="0"/>
        <w:rPr>
          <w:szCs w:val="22"/>
        </w:rPr>
      </w:pPr>
    </w:p>
    <w:p w14:paraId="5B87D2FF" w14:textId="77777777" w:rsidR="00EF1019" w:rsidRDefault="00EF1019" w:rsidP="00EF1019">
      <w:pPr>
        <w:autoSpaceDE w:val="0"/>
        <w:autoSpaceDN w:val="0"/>
        <w:adjustRightInd w:val="0"/>
        <w:rPr>
          <w:szCs w:val="22"/>
        </w:rPr>
      </w:pPr>
      <w:r>
        <w:rPr>
          <w:szCs w:val="22"/>
        </w:rPr>
        <w:t>arba</w:t>
      </w:r>
    </w:p>
    <w:p w14:paraId="04B6748E" w14:textId="77777777" w:rsidR="00EF1019" w:rsidRDefault="00EF1019" w:rsidP="00EF1019">
      <w:pPr>
        <w:autoSpaceDE w:val="0"/>
        <w:autoSpaceDN w:val="0"/>
        <w:adjustRightInd w:val="0"/>
        <w:rPr>
          <w:szCs w:val="22"/>
        </w:rPr>
      </w:pPr>
    </w:p>
    <w:p w14:paraId="66A21EFC" w14:textId="77777777" w:rsidR="00EF1019" w:rsidRDefault="00EF1019" w:rsidP="00EF1019">
      <w:pPr>
        <w:pStyle w:val="BTEMEASMCA"/>
      </w:pPr>
      <w:r>
        <w:t>Aspen Pharma Ireland Limited</w:t>
      </w:r>
    </w:p>
    <w:p w14:paraId="748B9A9C" w14:textId="77777777" w:rsidR="00EF1019" w:rsidRDefault="00EF1019" w:rsidP="00EF1019">
      <w:pPr>
        <w:pStyle w:val="BTEMEASMCA"/>
      </w:pPr>
      <w:r>
        <w:t>One George’s Quay Plaza</w:t>
      </w:r>
    </w:p>
    <w:p w14:paraId="2AB7568C" w14:textId="77777777" w:rsidR="00EF1019" w:rsidRDefault="00EF1019" w:rsidP="00EF1019">
      <w:pPr>
        <w:pStyle w:val="BTEMEASMCA"/>
      </w:pPr>
      <w:r>
        <w:t>Dublin 2</w:t>
      </w:r>
    </w:p>
    <w:p w14:paraId="568006B5" w14:textId="77777777" w:rsidR="00EF1019" w:rsidRDefault="00EF1019" w:rsidP="00EF1019">
      <w:pPr>
        <w:pStyle w:val="BTEMEASMCA"/>
      </w:pPr>
      <w:r>
        <w:t>Airija</w:t>
      </w:r>
    </w:p>
    <w:p w14:paraId="088E4365" w14:textId="77777777" w:rsidR="00EA1339" w:rsidRDefault="00EA1339" w:rsidP="00EF1019">
      <w:pPr>
        <w:pStyle w:val="BTEMEASMCA"/>
      </w:pPr>
    </w:p>
    <w:p w14:paraId="54BC33E9" w14:textId="77777777" w:rsidR="00EA1339" w:rsidRDefault="00EA1339" w:rsidP="00EF1019">
      <w:pPr>
        <w:pStyle w:val="BTEMEASMCA"/>
      </w:pPr>
      <w:r>
        <w:t>arba</w:t>
      </w:r>
    </w:p>
    <w:p w14:paraId="532050A7" w14:textId="77777777" w:rsidR="00EA1339" w:rsidRDefault="00EA1339" w:rsidP="00EF1019">
      <w:pPr>
        <w:pStyle w:val="BTEMEASMCA"/>
      </w:pPr>
    </w:p>
    <w:p w14:paraId="19C2FCCC" w14:textId="77777777" w:rsidR="00EA1339" w:rsidRDefault="00EA1339" w:rsidP="00EF1019">
      <w:pPr>
        <w:pStyle w:val="BTEMEASMCA"/>
      </w:pPr>
      <w:r>
        <w:t>Aspen Bad Oldesloe GmbH,</w:t>
      </w:r>
    </w:p>
    <w:p w14:paraId="6868E7B0" w14:textId="77777777" w:rsidR="00EA1339" w:rsidRDefault="00EA1339" w:rsidP="00EF1019">
      <w:pPr>
        <w:pStyle w:val="BTEMEASMCA"/>
      </w:pPr>
      <w:r>
        <w:t>Industiestrasse 32-36,</w:t>
      </w:r>
    </w:p>
    <w:p w14:paraId="1B8D3304" w14:textId="77777777" w:rsidR="00EA1339" w:rsidRDefault="00EA1339" w:rsidP="00EF1019">
      <w:pPr>
        <w:pStyle w:val="BTEMEASMCA"/>
      </w:pPr>
      <w:r>
        <w:t>23843 Bad Oldesloe,</w:t>
      </w:r>
    </w:p>
    <w:p w14:paraId="12EADF65" w14:textId="77777777" w:rsidR="00EA1339" w:rsidRDefault="00B376DF" w:rsidP="00EF1019">
      <w:pPr>
        <w:pStyle w:val="BTEMEASMCA"/>
      </w:pPr>
      <w:r w:rsidRPr="00B376DF">
        <w:t>Vokietija</w:t>
      </w:r>
    </w:p>
    <w:p w14:paraId="5788EF58" w14:textId="77777777" w:rsidR="00C91987" w:rsidRPr="001C693E" w:rsidRDefault="00C91987" w:rsidP="00C91987">
      <w:pPr>
        <w:pStyle w:val="Pagrindinistekstas"/>
        <w:spacing w:after="0"/>
        <w:rPr>
          <w:szCs w:val="22"/>
        </w:rPr>
      </w:pPr>
    </w:p>
    <w:p w14:paraId="3B52F203" w14:textId="77777777" w:rsidR="00C91987" w:rsidRPr="001C693E" w:rsidRDefault="00C91987" w:rsidP="00C91987">
      <w:pPr>
        <w:pStyle w:val="Pagrindinistekstas"/>
        <w:spacing w:after="0"/>
        <w:rPr>
          <w:szCs w:val="22"/>
        </w:rPr>
      </w:pPr>
    </w:p>
    <w:p w14:paraId="781B3E45" w14:textId="77777777" w:rsidR="00C91987" w:rsidRPr="001C693E" w:rsidRDefault="00C91987" w:rsidP="00C91987">
      <w:pPr>
        <w:pStyle w:val="Pagrindinistekstas"/>
        <w:spacing w:after="0"/>
        <w:rPr>
          <w:szCs w:val="22"/>
        </w:rPr>
      </w:pPr>
    </w:p>
    <w:p w14:paraId="4830CD75" w14:textId="47A79D52" w:rsidR="00C91987" w:rsidRPr="001C693E" w:rsidRDefault="00C91987" w:rsidP="00C91987">
      <w:pPr>
        <w:pStyle w:val="Pagrindinistekstas"/>
        <w:spacing w:after="0"/>
        <w:rPr>
          <w:b/>
          <w:szCs w:val="22"/>
        </w:rPr>
      </w:pPr>
      <w:r w:rsidRPr="001C693E">
        <w:rPr>
          <w:b/>
          <w:szCs w:val="22"/>
        </w:rPr>
        <w:t>Šis pakuotės lapelis paskutinį kartą peržiūrėtas</w:t>
      </w:r>
      <w:r w:rsidR="00C04706">
        <w:rPr>
          <w:b/>
          <w:szCs w:val="22"/>
        </w:rPr>
        <w:t xml:space="preserve"> </w:t>
      </w:r>
      <w:r w:rsidR="003C7660">
        <w:rPr>
          <w:b/>
          <w:szCs w:val="22"/>
        </w:rPr>
        <w:t>2021-12-20</w:t>
      </w:r>
      <w:r w:rsidR="00EF1019">
        <w:rPr>
          <w:b/>
          <w:szCs w:val="22"/>
        </w:rPr>
        <w:t>.</w:t>
      </w:r>
    </w:p>
    <w:p w14:paraId="1346ED07" w14:textId="77777777" w:rsidR="00C91987" w:rsidRPr="001C693E" w:rsidRDefault="00C91987" w:rsidP="00C91987">
      <w:pPr>
        <w:rPr>
          <w:szCs w:val="22"/>
        </w:rPr>
      </w:pPr>
    </w:p>
    <w:p w14:paraId="22FFF21F" w14:textId="77777777" w:rsidR="00C91987" w:rsidRPr="001C693E" w:rsidRDefault="00C91987" w:rsidP="00C91987">
      <w:pPr>
        <w:pStyle w:val="BTEMEASMCA"/>
      </w:pPr>
      <w:r w:rsidRPr="001C693E">
        <w:t xml:space="preserve">Išsami informacija apie šį vaistą pateikiama Valstybinės vaistų kontrolės tarnybos prie Lietuvos Respublikos sveikatos apsaugos ministerijos tinklalapyje </w:t>
      </w:r>
      <w:hyperlink r:id="rId18" w:history="1">
        <w:r w:rsidRPr="001C693E">
          <w:rPr>
            <w:rStyle w:val="Hipersaitas"/>
          </w:rPr>
          <w:t>http://www.vvkt.lt/</w:t>
        </w:r>
      </w:hyperlink>
      <w:r w:rsidRPr="001C693E">
        <w:t>.</w:t>
      </w:r>
    </w:p>
    <w:p w14:paraId="4FF85B2A" w14:textId="77777777" w:rsidR="00C91987" w:rsidRPr="001C693E" w:rsidRDefault="00C91987" w:rsidP="00C91987">
      <w:pPr>
        <w:pStyle w:val="Pagrindinistekstas"/>
        <w:spacing w:after="0"/>
        <w:rPr>
          <w:szCs w:val="22"/>
        </w:rPr>
      </w:pPr>
    </w:p>
    <w:p w14:paraId="05CE342D" w14:textId="77777777" w:rsidR="00C91987" w:rsidRPr="001C693E" w:rsidRDefault="00C91987" w:rsidP="00C91987">
      <w:pPr>
        <w:rPr>
          <w:szCs w:val="22"/>
        </w:rPr>
      </w:pPr>
    </w:p>
    <w:p w14:paraId="52B454A0" w14:textId="77777777" w:rsidR="00C91987" w:rsidRPr="001C693E" w:rsidRDefault="00C91987" w:rsidP="00C91987">
      <w:pPr>
        <w:rPr>
          <w:szCs w:val="22"/>
        </w:rPr>
      </w:pPr>
    </w:p>
    <w:p w14:paraId="6B1F5364" w14:textId="77777777" w:rsidR="008B62FF" w:rsidRPr="00837997" w:rsidRDefault="008B62FF">
      <w:pPr>
        <w:rPr>
          <w:szCs w:val="22"/>
        </w:rPr>
      </w:pPr>
    </w:p>
    <w:sectPr w:rsidR="008B62FF" w:rsidRPr="00837997" w:rsidSect="008E5401">
      <w:pgSz w:w="12240" w:h="15840"/>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776D93"/>
    <w:multiLevelType w:val="hybridMultilevel"/>
    <w:tmpl w:val="BC662A08"/>
    <w:lvl w:ilvl="0" w:tplc="3D5A272C">
      <w:start w:val="10"/>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17B1516"/>
    <w:multiLevelType w:val="hybridMultilevel"/>
    <w:tmpl w:val="E4541BB0"/>
    <w:lvl w:ilvl="0" w:tplc="00425358">
      <w:start w:val="4"/>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4F160F1"/>
    <w:multiLevelType w:val="hybridMultilevel"/>
    <w:tmpl w:val="8CCE6370"/>
    <w:lvl w:ilvl="0" w:tplc="164A6E78">
      <w:start w:val="2"/>
      <w:numFmt w:val="bullet"/>
      <w:lvlText w:val="-"/>
      <w:lvlJc w:val="left"/>
      <w:pPr>
        <w:tabs>
          <w:tab w:val="num" w:pos="1140"/>
        </w:tabs>
        <w:ind w:left="1140" w:hanging="78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2F77B04"/>
    <w:multiLevelType w:val="hybridMultilevel"/>
    <w:tmpl w:val="B85E8C46"/>
    <w:lvl w:ilvl="0" w:tplc="3D5A272C">
      <w:start w:val="10"/>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CB85759"/>
    <w:multiLevelType w:val="hybridMultilevel"/>
    <w:tmpl w:val="57084F18"/>
    <w:lvl w:ilvl="0" w:tplc="FFFFFFFF">
      <w:start w:val="4"/>
      <w:numFmt w:val="bullet"/>
      <w:lvlText w:val=""/>
      <w:lvlJc w:val="left"/>
      <w:pPr>
        <w:tabs>
          <w:tab w:val="num" w:pos="567"/>
        </w:tabs>
        <w:ind w:left="567" w:hanging="567"/>
      </w:pPr>
      <w:rPr>
        <w:rFonts w:ascii="Symbol" w:hAnsi="Symbol"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FB25906"/>
    <w:multiLevelType w:val="hybridMultilevel"/>
    <w:tmpl w:val="5CE8AE2A"/>
    <w:lvl w:ilvl="0" w:tplc="3D5A272C">
      <w:start w:val="10"/>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
  </w:num>
  <w:num w:numId="3">
    <w:abstractNumId w:val="0"/>
  </w:num>
  <w:num w:numId="4">
    <w:abstractNumId w:val="6"/>
  </w:num>
  <w:num w:numId="5">
    <w:abstractNumId w:val="4"/>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987"/>
    <w:rsid w:val="0005284A"/>
    <w:rsid w:val="00066AD2"/>
    <w:rsid w:val="00154D44"/>
    <w:rsid w:val="001564B5"/>
    <w:rsid w:val="001C693E"/>
    <w:rsid w:val="0030491D"/>
    <w:rsid w:val="003667FE"/>
    <w:rsid w:val="003A6545"/>
    <w:rsid w:val="003C4FE7"/>
    <w:rsid w:val="003C7660"/>
    <w:rsid w:val="003D4CE9"/>
    <w:rsid w:val="003F4F16"/>
    <w:rsid w:val="0048168D"/>
    <w:rsid w:val="0052450B"/>
    <w:rsid w:val="005307AB"/>
    <w:rsid w:val="00581FD8"/>
    <w:rsid w:val="005E31F2"/>
    <w:rsid w:val="0060288A"/>
    <w:rsid w:val="0062182F"/>
    <w:rsid w:val="007358AE"/>
    <w:rsid w:val="0077446D"/>
    <w:rsid w:val="00837997"/>
    <w:rsid w:val="008B0C84"/>
    <w:rsid w:val="008B62FF"/>
    <w:rsid w:val="008D443B"/>
    <w:rsid w:val="008E5401"/>
    <w:rsid w:val="00955D43"/>
    <w:rsid w:val="009C40DA"/>
    <w:rsid w:val="009F32F1"/>
    <w:rsid w:val="009F7E2E"/>
    <w:rsid w:val="00A17CA6"/>
    <w:rsid w:val="00A22FF6"/>
    <w:rsid w:val="00A31471"/>
    <w:rsid w:val="00A93886"/>
    <w:rsid w:val="00AA3F32"/>
    <w:rsid w:val="00AA583F"/>
    <w:rsid w:val="00AA63A4"/>
    <w:rsid w:val="00AB65F2"/>
    <w:rsid w:val="00AF3DBD"/>
    <w:rsid w:val="00B213F1"/>
    <w:rsid w:val="00B376DF"/>
    <w:rsid w:val="00B6757F"/>
    <w:rsid w:val="00B9552E"/>
    <w:rsid w:val="00BE497E"/>
    <w:rsid w:val="00C04706"/>
    <w:rsid w:val="00C51700"/>
    <w:rsid w:val="00C91987"/>
    <w:rsid w:val="00CB72BC"/>
    <w:rsid w:val="00D52F3D"/>
    <w:rsid w:val="00D72BAF"/>
    <w:rsid w:val="00D9574D"/>
    <w:rsid w:val="00DB7236"/>
    <w:rsid w:val="00DD31E8"/>
    <w:rsid w:val="00DD5740"/>
    <w:rsid w:val="00E20EA1"/>
    <w:rsid w:val="00E928BA"/>
    <w:rsid w:val="00EA1339"/>
    <w:rsid w:val="00EF1019"/>
    <w:rsid w:val="00F2627E"/>
    <w:rsid w:val="00F52C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7"/>
    <o:shapelayout v:ext="edit">
      <o:idmap v:ext="edit" data="1"/>
    </o:shapelayout>
  </w:shapeDefaults>
  <w:decimalSymbol w:val=","/>
  <w:listSeparator w:val=";"/>
  <w14:docId w14:val="6FD89B2B"/>
  <w15:docId w15:val="{69681268-8D99-4EEE-BD0D-CB06BDA67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1987"/>
    <w:pPr>
      <w:spacing w:after="0" w:line="240" w:lineRule="auto"/>
    </w:pPr>
    <w:rPr>
      <w:rFonts w:ascii="Times New Roman" w:eastAsia="Times New Roman" w:hAnsi="Times New Roman" w:cs="Times New Roman"/>
      <w:szCs w:val="20"/>
      <w:lang w:val="lt-LT" w:eastAsia="lt-LT"/>
    </w:rPr>
  </w:style>
  <w:style w:type="paragraph" w:styleId="Antrat1">
    <w:name w:val="heading 1"/>
    <w:basedOn w:val="prastasis"/>
    <w:next w:val="prastasis"/>
    <w:link w:val="Antrat1Diagrama"/>
    <w:autoRedefine/>
    <w:qFormat/>
    <w:rsid w:val="00C91987"/>
    <w:pPr>
      <w:keepNext/>
      <w:ind w:firstLine="1134"/>
      <w:outlineLvl w:val="0"/>
    </w:pPr>
    <w:rPr>
      <w:b/>
    </w:rPr>
  </w:style>
  <w:style w:type="paragraph" w:styleId="Antrat2">
    <w:name w:val="heading 2"/>
    <w:basedOn w:val="prastasis"/>
    <w:next w:val="prastasis"/>
    <w:link w:val="Antrat2Diagrama"/>
    <w:autoRedefine/>
    <w:qFormat/>
    <w:rsid w:val="00C91987"/>
    <w:pPr>
      <w:keepNext/>
      <w:ind w:left="550" w:hanging="550"/>
      <w:outlineLvl w:val="1"/>
    </w:pPr>
    <w:rPr>
      <w:b/>
    </w:rPr>
  </w:style>
  <w:style w:type="paragraph" w:styleId="Antrat3">
    <w:name w:val="heading 3"/>
    <w:basedOn w:val="prastasis"/>
    <w:next w:val="prastasis"/>
    <w:link w:val="Antrat3Diagrama"/>
    <w:autoRedefine/>
    <w:qFormat/>
    <w:rsid w:val="00C91987"/>
    <w:pPr>
      <w:keepNext/>
      <w:pBdr>
        <w:top w:val="single" w:sz="4" w:space="1" w:color="auto"/>
        <w:left w:val="single" w:sz="4" w:space="4" w:color="auto"/>
        <w:bottom w:val="single" w:sz="4" w:space="1" w:color="auto"/>
        <w:right w:val="single" w:sz="4" w:space="4" w:color="auto"/>
      </w:pBdr>
      <w:ind w:left="550" w:hanging="550"/>
      <w:outlineLvl w:val="2"/>
    </w:pPr>
    <w:rPr>
      <w:b/>
      <w:iCs/>
    </w:rPr>
  </w:style>
  <w:style w:type="paragraph" w:styleId="Antrat5">
    <w:name w:val="heading 5"/>
    <w:basedOn w:val="prastasis"/>
    <w:next w:val="prastasis"/>
    <w:link w:val="Antrat5Diagrama"/>
    <w:qFormat/>
    <w:rsid w:val="00C91987"/>
    <w:pPr>
      <w:keepNext/>
      <w:outlineLvl w:val="4"/>
    </w:pPr>
    <w:rPr>
      <w:i/>
      <w:iCs/>
    </w:rPr>
  </w:style>
  <w:style w:type="paragraph" w:styleId="Antrat6">
    <w:name w:val="heading 6"/>
    <w:basedOn w:val="prastasis"/>
    <w:next w:val="prastasis"/>
    <w:link w:val="Antrat6Diagrama"/>
    <w:qFormat/>
    <w:rsid w:val="00C91987"/>
    <w:pPr>
      <w:keepNext/>
      <w:outlineLvl w:val="5"/>
    </w:pPr>
    <w:rPr>
      <w:bCs/>
      <w:u w:val="single"/>
    </w:rPr>
  </w:style>
  <w:style w:type="paragraph" w:styleId="Antrat7">
    <w:name w:val="heading 7"/>
    <w:basedOn w:val="prastasis"/>
    <w:next w:val="prastasis"/>
    <w:link w:val="Antrat7Diagrama"/>
    <w:qFormat/>
    <w:rsid w:val="00C91987"/>
    <w:pPr>
      <w:keepNext/>
      <w:outlineLvl w:val="6"/>
    </w:pPr>
    <w:rPr>
      <w:b/>
      <w:bCs/>
      <w:sz w:val="24"/>
      <w:lang w:eastAsia="en-US"/>
    </w:rPr>
  </w:style>
  <w:style w:type="paragraph" w:styleId="Antrat8">
    <w:name w:val="heading 8"/>
    <w:basedOn w:val="prastasis"/>
    <w:next w:val="prastasis"/>
    <w:link w:val="Antrat8Diagrama"/>
    <w:qFormat/>
    <w:rsid w:val="00C91987"/>
    <w:pPr>
      <w:keepNext/>
      <w:tabs>
        <w:tab w:val="right" w:pos="9072"/>
      </w:tabs>
      <w:spacing w:before="120"/>
      <w:jc w:val="center"/>
      <w:outlineLvl w:val="7"/>
    </w:pPr>
    <w:rPr>
      <w:bCs/>
      <w:i/>
      <w:iCs/>
    </w:rPr>
  </w:style>
  <w:style w:type="paragraph" w:styleId="Antrat9">
    <w:name w:val="heading 9"/>
    <w:basedOn w:val="prastasis"/>
    <w:next w:val="prastasis"/>
    <w:link w:val="Antrat9Diagrama"/>
    <w:qFormat/>
    <w:rsid w:val="00C91987"/>
    <w:pPr>
      <w:keepNext/>
      <w:outlineLvl w:val="8"/>
    </w:pPr>
    <w:rPr>
      <w:bCs/>
      <w:i/>
      <w:iCs/>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C91987"/>
    <w:rPr>
      <w:rFonts w:ascii="Times New Roman" w:eastAsia="Times New Roman" w:hAnsi="Times New Roman" w:cs="Times New Roman"/>
      <w:b/>
      <w:szCs w:val="20"/>
      <w:lang w:val="lt-LT" w:eastAsia="lt-LT"/>
    </w:rPr>
  </w:style>
  <w:style w:type="character" w:customStyle="1" w:styleId="Antrat2Diagrama">
    <w:name w:val="Antraštė 2 Diagrama"/>
    <w:basedOn w:val="Numatytasispastraiposriftas"/>
    <w:link w:val="Antrat2"/>
    <w:rsid w:val="00C91987"/>
    <w:rPr>
      <w:rFonts w:ascii="Times New Roman" w:eastAsia="Times New Roman" w:hAnsi="Times New Roman" w:cs="Times New Roman"/>
      <w:b/>
      <w:szCs w:val="20"/>
      <w:lang w:val="lt-LT" w:eastAsia="lt-LT"/>
    </w:rPr>
  </w:style>
  <w:style w:type="character" w:customStyle="1" w:styleId="Antrat3Diagrama">
    <w:name w:val="Antraštė 3 Diagrama"/>
    <w:basedOn w:val="Numatytasispastraiposriftas"/>
    <w:link w:val="Antrat3"/>
    <w:rsid w:val="00C91987"/>
    <w:rPr>
      <w:rFonts w:ascii="Times New Roman" w:eastAsia="Times New Roman" w:hAnsi="Times New Roman" w:cs="Times New Roman"/>
      <w:b/>
      <w:iCs/>
      <w:szCs w:val="20"/>
      <w:lang w:val="lt-LT" w:eastAsia="lt-LT"/>
    </w:rPr>
  </w:style>
  <w:style w:type="character" w:customStyle="1" w:styleId="Antrat5Diagrama">
    <w:name w:val="Antraštė 5 Diagrama"/>
    <w:basedOn w:val="Numatytasispastraiposriftas"/>
    <w:link w:val="Antrat5"/>
    <w:rsid w:val="00C91987"/>
    <w:rPr>
      <w:rFonts w:ascii="Times New Roman" w:eastAsia="Times New Roman" w:hAnsi="Times New Roman" w:cs="Times New Roman"/>
      <w:i/>
      <w:iCs/>
      <w:szCs w:val="20"/>
      <w:lang w:val="lt-LT" w:eastAsia="lt-LT"/>
    </w:rPr>
  </w:style>
  <w:style w:type="character" w:customStyle="1" w:styleId="Antrat6Diagrama">
    <w:name w:val="Antraštė 6 Diagrama"/>
    <w:basedOn w:val="Numatytasispastraiposriftas"/>
    <w:link w:val="Antrat6"/>
    <w:rsid w:val="00C91987"/>
    <w:rPr>
      <w:rFonts w:ascii="Times New Roman" w:eastAsia="Times New Roman" w:hAnsi="Times New Roman" w:cs="Times New Roman"/>
      <w:bCs/>
      <w:szCs w:val="20"/>
      <w:u w:val="single"/>
      <w:lang w:val="lt-LT" w:eastAsia="lt-LT"/>
    </w:rPr>
  </w:style>
  <w:style w:type="character" w:customStyle="1" w:styleId="Antrat7Diagrama">
    <w:name w:val="Antraštė 7 Diagrama"/>
    <w:basedOn w:val="Numatytasispastraiposriftas"/>
    <w:link w:val="Antrat7"/>
    <w:rsid w:val="00C91987"/>
    <w:rPr>
      <w:rFonts w:ascii="Times New Roman" w:eastAsia="Times New Roman" w:hAnsi="Times New Roman" w:cs="Times New Roman"/>
      <w:b/>
      <w:bCs/>
      <w:sz w:val="24"/>
      <w:szCs w:val="20"/>
      <w:lang w:val="lt-LT"/>
    </w:rPr>
  </w:style>
  <w:style w:type="character" w:customStyle="1" w:styleId="Antrat8Diagrama">
    <w:name w:val="Antraštė 8 Diagrama"/>
    <w:basedOn w:val="Numatytasispastraiposriftas"/>
    <w:link w:val="Antrat8"/>
    <w:rsid w:val="00C91987"/>
    <w:rPr>
      <w:rFonts w:ascii="Times New Roman" w:eastAsia="Times New Roman" w:hAnsi="Times New Roman" w:cs="Times New Roman"/>
      <w:bCs/>
      <w:i/>
      <w:iCs/>
      <w:szCs w:val="20"/>
      <w:lang w:val="lt-LT" w:eastAsia="lt-LT"/>
    </w:rPr>
  </w:style>
  <w:style w:type="character" w:customStyle="1" w:styleId="Antrat9Diagrama">
    <w:name w:val="Antraštė 9 Diagrama"/>
    <w:basedOn w:val="Numatytasispastraiposriftas"/>
    <w:link w:val="Antrat9"/>
    <w:rsid w:val="00C91987"/>
    <w:rPr>
      <w:rFonts w:ascii="Times New Roman" w:eastAsia="Times New Roman" w:hAnsi="Times New Roman" w:cs="Times New Roman"/>
      <w:bCs/>
      <w:i/>
      <w:iCs/>
      <w:szCs w:val="20"/>
      <w:u w:val="single"/>
      <w:lang w:val="lt-LT" w:eastAsia="lt-LT"/>
    </w:rPr>
  </w:style>
  <w:style w:type="paragraph" w:styleId="Pagrindinistekstas">
    <w:name w:val="Body Text"/>
    <w:basedOn w:val="prastasis"/>
    <w:link w:val="PagrindinistekstasDiagrama"/>
    <w:rsid w:val="00C91987"/>
    <w:pPr>
      <w:spacing w:after="120"/>
    </w:pPr>
  </w:style>
  <w:style w:type="character" w:customStyle="1" w:styleId="PagrindinistekstasDiagrama">
    <w:name w:val="Pagrindinis tekstas Diagrama"/>
    <w:basedOn w:val="Numatytasispastraiposriftas"/>
    <w:link w:val="Pagrindinistekstas"/>
    <w:rsid w:val="00C91987"/>
    <w:rPr>
      <w:rFonts w:ascii="Times New Roman" w:eastAsia="Times New Roman" w:hAnsi="Times New Roman" w:cs="Times New Roman"/>
      <w:szCs w:val="20"/>
      <w:lang w:val="lt-LT" w:eastAsia="lt-LT"/>
    </w:rPr>
  </w:style>
  <w:style w:type="paragraph" w:styleId="Porat">
    <w:name w:val="footer"/>
    <w:basedOn w:val="prastasis"/>
    <w:link w:val="PoratDiagrama"/>
    <w:rsid w:val="00C91987"/>
    <w:pPr>
      <w:tabs>
        <w:tab w:val="center" w:pos="4153"/>
        <w:tab w:val="right" w:pos="8306"/>
      </w:tabs>
    </w:pPr>
  </w:style>
  <w:style w:type="character" w:customStyle="1" w:styleId="PoratDiagrama">
    <w:name w:val="Poraštė Diagrama"/>
    <w:basedOn w:val="Numatytasispastraiposriftas"/>
    <w:link w:val="Porat"/>
    <w:rsid w:val="00C91987"/>
    <w:rPr>
      <w:rFonts w:ascii="Times New Roman" w:eastAsia="Times New Roman" w:hAnsi="Times New Roman" w:cs="Times New Roman"/>
      <w:szCs w:val="20"/>
      <w:lang w:val="lt-LT" w:eastAsia="lt-LT"/>
    </w:rPr>
  </w:style>
  <w:style w:type="paragraph" w:styleId="Pavadinimas">
    <w:name w:val="Title"/>
    <w:basedOn w:val="prastasis"/>
    <w:link w:val="PavadinimasDiagrama"/>
    <w:autoRedefine/>
    <w:qFormat/>
    <w:rsid w:val="00C91987"/>
    <w:pPr>
      <w:jc w:val="center"/>
      <w:outlineLvl w:val="0"/>
    </w:pPr>
    <w:rPr>
      <w:b/>
      <w:kern w:val="28"/>
    </w:rPr>
  </w:style>
  <w:style w:type="character" w:customStyle="1" w:styleId="PavadinimasDiagrama">
    <w:name w:val="Pavadinimas Diagrama"/>
    <w:basedOn w:val="Numatytasispastraiposriftas"/>
    <w:link w:val="Pavadinimas"/>
    <w:rsid w:val="00C91987"/>
    <w:rPr>
      <w:rFonts w:ascii="Times New Roman" w:eastAsia="Times New Roman" w:hAnsi="Times New Roman" w:cs="Times New Roman"/>
      <w:b/>
      <w:kern w:val="28"/>
      <w:szCs w:val="20"/>
      <w:lang w:val="lt-LT" w:eastAsia="lt-LT"/>
    </w:rPr>
  </w:style>
  <w:style w:type="character" w:styleId="Hipersaitas">
    <w:name w:val="Hyperlink"/>
    <w:basedOn w:val="Numatytasispastraiposriftas"/>
    <w:rsid w:val="00C91987"/>
    <w:rPr>
      <w:rFonts w:cs="Times New Roman"/>
      <w:color w:val="0000FF"/>
      <w:u w:val="single"/>
    </w:rPr>
  </w:style>
  <w:style w:type="paragraph" w:customStyle="1" w:styleId="listssp">
    <w:name w:val="list:ssp"/>
    <w:basedOn w:val="prastasis"/>
    <w:rsid w:val="00C91987"/>
    <w:rPr>
      <w:sz w:val="24"/>
      <w:lang w:val="en-GB" w:eastAsia="en-US"/>
    </w:rPr>
  </w:style>
  <w:style w:type="paragraph" w:customStyle="1" w:styleId="PI-3EMEASMCA">
    <w:name w:val="PI-3 EMEA_SMCA"/>
    <w:basedOn w:val="prastasis"/>
    <w:autoRedefine/>
    <w:rsid w:val="00C91987"/>
    <w:pPr>
      <w:spacing w:line="220" w:lineRule="exact"/>
    </w:pPr>
    <w:rPr>
      <w:b/>
      <w:bCs/>
      <w:szCs w:val="22"/>
      <w:lang w:eastAsia="en-US"/>
    </w:rPr>
  </w:style>
  <w:style w:type="paragraph" w:customStyle="1" w:styleId="BT-EMEASMCA">
    <w:name w:val="BT- EMEA_SMCA"/>
    <w:basedOn w:val="prastasis"/>
    <w:autoRedefine/>
    <w:rsid w:val="00C91987"/>
    <w:pPr>
      <w:numPr>
        <w:numId w:val="6"/>
      </w:numPr>
    </w:pPr>
    <w:rPr>
      <w:noProof/>
      <w:szCs w:val="22"/>
      <w:lang w:eastAsia="en-US"/>
    </w:rPr>
  </w:style>
  <w:style w:type="paragraph" w:customStyle="1" w:styleId="BTEMEASMCA">
    <w:name w:val="BT EMEA_SMCA"/>
    <w:basedOn w:val="prastasis"/>
    <w:link w:val="BTEMEASMCAChar"/>
    <w:autoRedefine/>
    <w:rsid w:val="00C91987"/>
    <w:rPr>
      <w:szCs w:val="22"/>
      <w:lang w:eastAsia="en-US"/>
    </w:rPr>
  </w:style>
  <w:style w:type="paragraph" w:customStyle="1" w:styleId="TTEMEASMCA">
    <w:name w:val="TT EMEA_SMCA"/>
    <w:basedOn w:val="Antrat1"/>
    <w:autoRedefine/>
    <w:rsid w:val="00C91987"/>
    <w:pPr>
      <w:keepNext w:val="0"/>
      <w:tabs>
        <w:tab w:val="left" w:pos="567"/>
      </w:tabs>
      <w:ind w:left="567" w:hanging="567"/>
      <w:jc w:val="center"/>
    </w:pPr>
    <w:rPr>
      <w:caps/>
      <w:szCs w:val="22"/>
      <w:lang w:val="en-US" w:eastAsia="en-US"/>
    </w:rPr>
  </w:style>
  <w:style w:type="paragraph" w:customStyle="1" w:styleId="BTAnIIEMEASMCA">
    <w:name w:val="BT(AnII) EMEA_SMCA"/>
    <w:basedOn w:val="prastasis"/>
    <w:autoRedefine/>
    <w:rsid w:val="00C91987"/>
    <w:pPr>
      <w:tabs>
        <w:tab w:val="left" w:pos="1701"/>
      </w:tabs>
      <w:ind w:left="1701" w:hanging="567"/>
    </w:pPr>
    <w:rPr>
      <w:rFonts w:cs="Tahoma"/>
      <w:b/>
      <w:szCs w:val="22"/>
      <w:lang w:val="en-GB" w:eastAsia="en-US"/>
    </w:rPr>
  </w:style>
  <w:style w:type="paragraph" w:customStyle="1" w:styleId="PI-1EMEASMCA">
    <w:name w:val="PI-1 EMEA_SMCA"/>
    <w:basedOn w:val="Antrat2"/>
    <w:autoRedefine/>
    <w:rsid w:val="00C91987"/>
    <w:pPr>
      <w:tabs>
        <w:tab w:val="left" w:pos="567"/>
      </w:tabs>
      <w:ind w:left="567" w:hanging="567"/>
    </w:pPr>
    <w:rPr>
      <w:szCs w:val="22"/>
      <w:lang w:eastAsia="en-US"/>
    </w:rPr>
  </w:style>
  <w:style w:type="paragraph" w:customStyle="1" w:styleId="PI-1labEMEASMCA">
    <w:name w:val="PI-1_lab EMEA_SMCA"/>
    <w:basedOn w:val="prastasis"/>
    <w:link w:val="PI-1labEMEASMCAChar"/>
    <w:autoRedefine/>
    <w:rsid w:val="00C91987"/>
    <w:pPr>
      <w:pBdr>
        <w:top w:val="single" w:sz="4" w:space="1" w:color="auto"/>
        <w:left w:val="single" w:sz="4" w:space="4" w:color="auto"/>
        <w:bottom w:val="single" w:sz="4" w:space="1" w:color="auto"/>
        <w:right w:val="single" w:sz="4" w:space="4" w:color="auto"/>
      </w:pBdr>
      <w:tabs>
        <w:tab w:val="left" w:pos="540"/>
      </w:tabs>
    </w:pPr>
    <w:rPr>
      <w:b/>
      <w:noProof/>
      <w:szCs w:val="22"/>
      <w:lang w:eastAsia="en-US"/>
    </w:rPr>
  </w:style>
  <w:style w:type="paragraph" w:customStyle="1" w:styleId="BTbEMEASMCA">
    <w:name w:val="BT(b) EMEA_SMCA"/>
    <w:basedOn w:val="BTEMEASMCA"/>
    <w:autoRedefine/>
    <w:rsid w:val="00C91987"/>
    <w:rPr>
      <w:b/>
    </w:rPr>
  </w:style>
  <w:style w:type="character" w:customStyle="1" w:styleId="PI-1labEMEASMCAChar">
    <w:name w:val="PI-1_lab EMEA_SMCA Char"/>
    <w:basedOn w:val="Numatytasispastraiposriftas"/>
    <w:link w:val="PI-1labEMEASMCA"/>
    <w:locked/>
    <w:rsid w:val="00C91987"/>
    <w:rPr>
      <w:rFonts w:ascii="Times New Roman" w:eastAsia="Times New Roman" w:hAnsi="Times New Roman" w:cs="Times New Roman"/>
      <w:b/>
      <w:noProof/>
      <w:lang w:val="lt-LT"/>
    </w:rPr>
  </w:style>
  <w:style w:type="character" w:customStyle="1" w:styleId="BTEMEASMCAChar">
    <w:name w:val="BT EMEA_SMCA Char"/>
    <w:basedOn w:val="Numatytasispastraiposriftas"/>
    <w:link w:val="BTEMEASMCA"/>
    <w:locked/>
    <w:rsid w:val="00C91987"/>
    <w:rPr>
      <w:rFonts w:ascii="Times New Roman" w:eastAsia="Times New Roman" w:hAnsi="Times New Roman" w:cs="Times New Roman"/>
      <w:lang w:val="lt-LT"/>
    </w:rPr>
  </w:style>
  <w:style w:type="paragraph" w:styleId="Debesliotekstas">
    <w:name w:val="Balloon Text"/>
    <w:basedOn w:val="prastasis"/>
    <w:link w:val="DebesliotekstasDiagrama"/>
    <w:uiPriority w:val="99"/>
    <w:semiHidden/>
    <w:unhideWhenUsed/>
    <w:rsid w:val="0052450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2450B"/>
    <w:rPr>
      <w:rFonts w:ascii="Segoe UI" w:eastAsia="Times New Roman" w:hAnsi="Segoe UI" w:cs="Segoe UI"/>
      <w:sz w:val="18"/>
      <w:szCs w:val="18"/>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vvkt.lt/" TargetMode="External"/><Relationship Id="rId18" Type="http://schemas.openxmlformats.org/officeDocument/2006/relationships/hyperlink" Target="http://www.vvkt.l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oleObject" Target="embeddings/oleObject1.bin"/><Relationship Id="rId17" Type="http://schemas.openxmlformats.org/officeDocument/2006/relationships/hyperlink" Target="http://www.vvkt.lt" TargetMode="External"/><Relationship Id="rId2" Type="http://schemas.openxmlformats.org/officeDocument/2006/relationships/customXml" Target="../customXml/item2.xml"/><Relationship Id="rId16" Type="http://schemas.openxmlformats.org/officeDocument/2006/relationships/hyperlink" Target="mailto:NepageidaujamaR@vvkt.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www.vvkt.lt/"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NepageidaujamaR@vvkt.lt" TargetMode="Externa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EEABAA8F83C249B2FA610D4F0DCA6A" ma:contentTypeVersion="13" ma:contentTypeDescription="Create a new document." ma:contentTypeScope="" ma:versionID="1cf24d1c6acff97e8d04da30e82fa4d8">
  <xsd:schema xmlns:xsd="http://www.w3.org/2001/XMLSchema" xmlns:xs="http://www.w3.org/2001/XMLSchema" xmlns:p="http://schemas.microsoft.com/office/2006/metadata/properties" xmlns:ns2="1a12f07c-504f-463a-b56a-916c4b2dfd3e" targetNamespace="http://schemas.microsoft.com/office/2006/metadata/properties" ma:root="true" ma:fieldsID="f51ae3b1e8fc660ad946eb1efee41417" ns2:_="">
    <xsd:import namespace="1a12f07c-504f-463a-b56a-916c4b2dfd3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12f07c-504f-463a-b56a-916c4b2dfd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D83AC5-3C8F-4E9F-9E96-C6901F9C2C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12f07c-504f-463a-b56a-916c4b2dfd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0DD48B-00E5-41B6-8C66-D213A7DA9AB4}">
  <ds:schemaRefs>
    <ds:schemaRef ds:uri="http://purl.org/dc/elements/1.1/"/>
    <ds:schemaRef ds:uri="1a12f07c-504f-463a-b56a-916c4b2dfd3e"/>
    <ds:schemaRef ds:uri="http://schemas.microsoft.com/office/infopath/2007/PartnerControls"/>
    <ds:schemaRef ds:uri="http://schemas.microsoft.com/office/2006/documentManagement/types"/>
    <ds:schemaRef ds:uri="http://purl.org/dc/terms/"/>
    <ds:schemaRef ds:uri="http://purl.org/dc/dcmitype/"/>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BDD716EC-E144-43FE-830F-F39303549D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26776</Words>
  <Characters>15263</Characters>
  <Application>Microsoft Office Word</Application>
  <DocSecurity>4</DocSecurity>
  <Lines>127</Lines>
  <Paragraphs>83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GlaxoSmithKline</Company>
  <LinksUpToDate>false</LinksUpToDate>
  <CharactersWithSpaces>41956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jxg5300</dc:creator>
  <cp:lastModifiedBy>Albina Burkauskaitė</cp:lastModifiedBy>
  <cp:revision>2</cp:revision>
  <cp:lastPrinted>2021-07-08T11:00:00Z</cp:lastPrinted>
  <dcterms:created xsi:type="dcterms:W3CDTF">2021-12-29T14:11:00Z</dcterms:created>
  <dcterms:modified xsi:type="dcterms:W3CDTF">2021-12-29T14:11:00Z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0x010100ADEEABAA8F83C249B2FA610D4F0DCA6A</vt:lpwstr>
  </property>
</Properties>
</file>