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EC" w:rsidRPr="001C693E" w:rsidRDefault="00F82EEC" w:rsidP="00F82EEC">
      <w:pPr>
        <w:pStyle w:val="Pagrindinistekstas"/>
        <w:spacing w:after="0"/>
        <w:jc w:val="center"/>
        <w:rPr>
          <w:b/>
          <w:szCs w:val="22"/>
        </w:rPr>
      </w:pPr>
      <w:r w:rsidRPr="001C693E">
        <w:rPr>
          <w:b/>
          <w:szCs w:val="22"/>
        </w:rPr>
        <w:t>Pakuotės lapelis: informacija vartotojui</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jc w:val="center"/>
        <w:rPr>
          <w:b/>
          <w:szCs w:val="22"/>
        </w:rPr>
      </w:pPr>
      <w:proofErr w:type="spellStart"/>
      <w:r w:rsidRPr="001C693E">
        <w:rPr>
          <w:b/>
          <w:caps/>
          <w:szCs w:val="22"/>
        </w:rPr>
        <w:t>N</w:t>
      </w:r>
      <w:r w:rsidRPr="001C693E">
        <w:rPr>
          <w:b/>
          <w:szCs w:val="22"/>
        </w:rPr>
        <w:t>imbex</w:t>
      </w:r>
      <w:proofErr w:type="spellEnd"/>
      <w:r w:rsidRPr="001C693E">
        <w:rPr>
          <w:b/>
          <w:szCs w:val="22"/>
        </w:rPr>
        <w:t xml:space="preserve"> 2mg/ml injekcinis ar infuzinis tirpalas</w:t>
      </w:r>
    </w:p>
    <w:p w:rsidR="00F82EEC" w:rsidRPr="001C693E" w:rsidRDefault="00F82EEC" w:rsidP="00F82EEC">
      <w:pPr>
        <w:pStyle w:val="Pagrindinistekstas"/>
        <w:spacing w:after="0"/>
        <w:jc w:val="center"/>
        <w:rPr>
          <w:szCs w:val="22"/>
        </w:rPr>
      </w:pPr>
      <w:proofErr w:type="spellStart"/>
      <w:r w:rsidRPr="001C693E">
        <w:rPr>
          <w:szCs w:val="22"/>
        </w:rPr>
        <w:t>Cisatrakurio</w:t>
      </w:r>
      <w:proofErr w:type="spellEnd"/>
      <w:r w:rsidRPr="001C693E">
        <w:rPr>
          <w:szCs w:val="22"/>
        </w:rPr>
        <w:t xml:space="preserve"> </w:t>
      </w:r>
      <w:proofErr w:type="spellStart"/>
      <w:r w:rsidRPr="001C693E">
        <w:rPr>
          <w:szCs w:val="22"/>
        </w:rPr>
        <w:t>besilatas</w:t>
      </w:r>
      <w:proofErr w:type="spellEnd"/>
    </w:p>
    <w:p w:rsidR="00F82EEC" w:rsidRPr="001C693E" w:rsidRDefault="00F82EEC" w:rsidP="00F82EEC">
      <w:pPr>
        <w:pStyle w:val="Pagrindinistekstas"/>
        <w:spacing w:after="0"/>
        <w:rPr>
          <w:b/>
          <w:szCs w:val="22"/>
        </w:rPr>
      </w:pPr>
    </w:p>
    <w:p w:rsidR="00F82EEC" w:rsidRPr="001C693E" w:rsidRDefault="00F82EEC" w:rsidP="00F82EEC">
      <w:pPr>
        <w:pStyle w:val="BTbEMEASMCA"/>
      </w:pPr>
      <w:r w:rsidRPr="001C693E">
        <w:t>Atidžiai perskaitykite visą šį lapelį, prieš pradėdami vartoti vaistą, nes jame pateikiama Jums svarbi informacija.</w:t>
      </w:r>
    </w:p>
    <w:p w:rsidR="00F82EEC" w:rsidRPr="001C693E" w:rsidRDefault="00F82EEC" w:rsidP="00F82EEC">
      <w:pPr>
        <w:pStyle w:val="BT-EMEASMCA"/>
        <w:rPr>
          <w:noProof w:val="0"/>
        </w:rPr>
      </w:pPr>
      <w:r w:rsidRPr="001C693E">
        <w:rPr>
          <w:noProof w:val="0"/>
        </w:rPr>
        <w:t>Neišmeskite šio lapelio, nes vėl gali prireikti jį perskaityti.</w:t>
      </w:r>
    </w:p>
    <w:p w:rsidR="00F82EEC" w:rsidRPr="001C693E" w:rsidRDefault="00F82EEC" w:rsidP="00F82EEC">
      <w:pPr>
        <w:pStyle w:val="BT-EMEASMCA"/>
        <w:rPr>
          <w:noProof w:val="0"/>
        </w:rPr>
      </w:pPr>
      <w:r w:rsidRPr="001C693E">
        <w:rPr>
          <w:noProof w:val="0"/>
        </w:rPr>
        <w:t>Jeigu kiltų daugiau klausimų, kreipkitės į gydytoją arba vaistininką.</w:t>
      </w:r>
    </w:p>
    <w:p w:rsidR="00F82EEC" w:rsidRPr="001C693E" w:rsidRDefault="00F82EEC" w:rsidP="00F82EEC">
      <w:pPr>
        <w:pStyle w:val="BT-EMEASMCA"/>
        <w:rPr>
          <w:noProof w:val="0"/>
        </w:rPr>
      </w:pPr>
      <w:r w:rsidRPr="001C693E">
        <w:rPr>
          <w:noProof w:val="0"/>
        </w:rPr>
        <w:t>Šis vaistas skirtas tik Jums, todėl kitiems žmonėms jo duoti negalima. Vaistas gali jiems pakenkti (net tiems, kurių ligos požymiai yra tokie patys kaip Jūsų).</w:t>
      </w:r>
    </w:p>
    <w:p w:rsidR="00F82EEC" w:rsidRPr="001C693E" w:rsidRDefault="00F82EEC" w:rsidP="00F82EEC">
      <w:pPr>
        <w:pStyle w:val="BT-EMEASMCA"/>
        <w:rPr>
          <w:noProof w:val="0"/>
        </w:rPr>
      </w:pPr>
      <w:r w:rsidRPr="001C693E">
        <w:rPr>
          <w:noProof w:val="0"/>
        </w:rPr>
        <w:t>Jeigu pasireiškė šalutinis poveikis (net jeigu jis šiame lapelyje nenurodytas), kreipkitės į gydytoją, slaugytoją arba vaistininką. Žr. 4 skyrių.</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r w:rsidRPr="001C693E">
        <w:rPr>
          <w:b/>
          <w:szCs w:val="22"/>
        </w:rPr>
        <w:t>Apie ką rašoma šiame lapelyje?</w:t>
      </w:r>
    </w:p>
    <w:p w:rsidR="00F82EEC" w:rsidRPr="001C693E" w:rsidRDefault="00F82EEC" w:rsidP="00F82EEC">
      <w:pPr>
        <w:pStyle w:val="Pagrindinistekstas"/>
        <w:spacing w:after="0"/>
        <w:ind w:left="550" w:hanging="550"/>
        <w:rPr>
          <w:szCs w:val="22"/>
        </w:rPr>
      </w:pPr>
      <w:r w:rsidRPr="001C693E">
        <w:rPr>
          <w:szCs w:val="22"/>
        </w:rPr>
        <w:t>1.</w:t>
      </w:r>
      <w:r w:rsidRPr="001C693E">
        <w:rPr>
          <w:szCs w:val="22"/>
        </w:rPr>
        <w:tab/>
        <w:t xml:space="preserve">Kas yra </w:t>
      </w:r>
      <w:proofErr w:type="spellStart"/>
      <w:r w:rsidRPr="001C693E">
        <w:rPr>
          <w:caps/>
          <w:szCs w:val="22"/>
        </w:rPr>
        <w:t>N</w:t>
      </w:r>
      <w:r w:rsidRPr="001C693E">
        <w:rPr>
          <w:szCs w:val="22"/>
        </w:rPr>
        <w:t>imbex</w:t>
      </w:r>
      <w:proofErr w:type="spellEnd"/>
      <w:r w:rsidRPr="001C693E">
        <w:rPr>
          <w:szCs w:val="22"/>
        </w:rPr>
        <w:t xml:space="preserve"> ir kam jis vartojamas</w:t>
      </w:r>
    </w:p>
    <w:p w:rsidR="00F82EEC" w:rsidRPr="001C693E" w:rsidRDefault="00F82EEC" w:rsidP="00F82EEC">
      <w:pPr>
        <w:pStyle w:val="Pagrindinistekstas"/>
        <w:spacing w:after="0"/>
        <w:ind w:left="550" w:hanging="550"/>
        <w:rPr>
          <w:szCs w:val="22"/>
        </w:rPr>
      </w:pPr>
      <w:r w:rsidRPr="001C693E">
        <w:rPr>
          <w:szCs w:val="22"/>
        </w:rPr>
        <w:t>2.</w:t>
      </w:r>
      <w:r w:rsidRPr="001C693E">
        <w:rPr>
          <w:szCs w:val="22"/>
        </w:rPr>
        <w:tab/>
        <w:t xml:space="preserve">Kas žinotina prieš vartojant </w:t>
      </w:r>
      <w:proofErr w:type="spellStart"/>
      <w:r w:rsidRPr="001C693E">
        <w:rPr>
          <w:caps/>
          <w:szCs w:val="22"/>
        </w:rPr>
        <w:t>N</w:t>
      </w:r>
      <w:r w:rsidRPr="001C693E">
        <w:rPr>
          <w:szCs w:val="22"/>
        </w:rPr>
        <w:t>imbex</w:t>
      </w:r>
      <w:proofErr w:type="spellEnd"/>
    </w:p>
    <w:p w:rsidR="00F82EEC" w:rsidRPr="001C693E" w:rsidRDefault="00F82EEC" w:rsidP="00F82EEC">
      <w:pPr>
        <w:pStyle w:val="Pagrindinistekstas"/>
        <w:spacing w:after="0"/>
        <w:ind w:left="550" w:hanging="550"/>
        <w:rPr>
          <w:szCs w:val="22"/>
        </w:rPr>
      </w:pPr>
      <w:r w:rsidRPr="001C693E">
        <w:rPr>
          <w:szCs w:val="22"/>
        </w:rPr>
        <w:t>3.</w:t>
      </w:r>
      <w:r w:rsidRPr="001C693E">
        <w:rPr>
          <w:szCs w:val="22"/>
        </w:rPr>
        <w:tab/>
        <w:t xml:space="preserve">Kaip vartoti </w:t>
      </w:r>
      <w:proofErr w:type="spellStart"/>
      <w:r w:rsidRPr="001C693E">
        <w:rPr>
          <w:caps/>
          <w:szCs w:val="22"/>
        </w:rPr>
        <w:t>N</w:t>
      </w:r>
      <w:r w:rsidRPr="001C693E">
        <w:rPr>
          <w:szCs w:val="22"/>
        </w:rPr>
        <w:t>imbex</w:t>
      </w:r>
      <w:proofErr w:type="spellEnd"/>
    </w:p>
    <w:p w:rsidR="00F82EEC" w:rsidRPr="001C693E" w:rsidRDefault="00F82EEC" w:rsidP="00F82EEC">
      <w:pPr>
        <w:pStyle w:val="Pagrindinistekstas"/>
        <w:spacing w:after="0"/>
        <w:ind w:left="550" w:hanging="550"/>
        <w:rPr>
          <w:szCs w:val="22"/>
        </w:rPr>
      </w:pPr>
      <w:r w:rsidRPr="001C693E">
        <w:rPr>
          <w:szCs w:val="22"/>
        </w:rPr>
        <w:t>4.</w:t>
      </w:r>
      <w:r w:rsidRPr="001C693E">
        <w:rPr>
          <w:szCs w:val="22"/>
        </w:rPr>
        <w:tab/>
        <w:t>Galimas šalutinis poveikis</w:t>
      </w:r>
    </w:p>
    <w:p w:rsidR="00F82EEC" w:rsidRPr="001C693E" w:rsidRDefault="00F82EEC" w:rsidP="00F82EEC">
      <w:pPr>
        <w:pStyle w:val="Pagrindinistekstas"/>
        <w:spacing w:after="0"/>
        <w:ind w:left="550" w:hanging="550"/>
        <w:rPr>
          <w:szCs w:val="22"/>
        </w:rPr>
      </w:pPr>
      <w:r w:rsidRPr="001C693E">
        <w:rPr>
          <w:szCs w:val="22"/>
        </w:rPr>
        <w:t>5.</w:t>
      </w:r>
      <w:r w:rsidRPr="001C693E">
        <w:rPr>
          <w:szCs w:val="22"/>
        </w:rPr>
        <w:tab/>
        <w:t xml:space="preserve">Kaip laikyti </w:t>
      </w:r>
      <w:proofErr w:type="spellStart"/>
      <w:r w:rsidRPr="001C693E">
        <w:rPr>
          <w:caps/>
          <w:szCs w:val="22"/>
        </w:rPr>
        <w:t>N</w:t>
      </w:r>
      <w:r w:rsidRPr="001C693E">
        <w:rPr>
          <w:szCs w:val="22"/>
        </w:rPr>
        <w:t>imbex</w:t>
      </w:r>
      <w:proofErr w:type="spellEnd"/>
      <w:r w:rsidRPr="001C693E">
        <w:rPr>
          <w:szCs w:val="22"/>
        </w:rPr>
        <w:t xml:space="preserve"> </w:t>
      </w:r>
    </w:p>
    <w:p w:rsidR="00F82EEC" w:rsidRPr="001C693E" w:rsidRDefault="00F82EEC" w:rsidP="00F82EEC">
      <w:pPr>
        <w:pStyle w:val="Pagrindinistekstas"/>
        <w:spacing w:after="0"/>
        <w:ind w:left="550" w:hanging="550"/>
        <w:rPr>
          <w:szCs w:val="22"/>
        </w:rPr>
      </w:pPr>
      <w:r w:rsidRPr="001C693E">
        <w:rPr>
          <w:szCs w:val="22"/>
        </w:rPr>
        <w:t>6.</w:t>
      </w:r>
      <w:r w:rsidRPr="001C693E">
        <w:rPr>
          <w:szCs w:val="22"/>
        </w:rPr>
        <w:tab/>
        <w:t>Pakuotės turinys ir kita informacija</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Antrat2"/>
        <w:rPr>
          <w:szCs w:val="22"/>
        </w:rPr>
      </w:pPr>
      <w:r w:rsidRPr="001C693E">
        <w:rPr>
          <w:szCs w:val="22"/>
        </w:rPr>
        <w:t>1.</w:t>
      </w:r>
      <w:r w:rsidRPr="001C693E">
        <w:rPr>
          <w:szCs w:val="22"/>
        </w:rPr>
        <w:tab/>
        <w:t xml:space="preserve">Kas yra </w:t>
      </w:r>
      <w:proofErr w:type="spellStart"/>
      <w:r w:rsidRPr="001C693E">
        <w:rPr>
          <w:szCs w:val="22"/>
        </w:rPr>
        <w:t>Nimbex</w:t>
      </w:r>
      <w:proofErr w:type="spellEnd"/>
      <w:r w:rsidRPr="001C693E">
        <w:rPr>
          <w:szCs w:val="22"/>
        </w:rPr>
        <w:t xml:space="preserve"> ir kam jis vartojamas</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roofErr w:type="spellStart"/>
      <w:r w:rsidRPr="001C693E">
        <w:rPr>
          <w:caps/>
          <w:szCs w:val="22"/>
        </w:rPr>
        <w:t>N</w:t>
      </w:r>
      <w:r w:rsidRPr="001C693E">
        <w:rPr>
          <w:szCs w:val="22"/>
        </w:rPr>
        <w:t>imbex</w:t>
      </w:r>
      <w:proofErr w:type="spellEnd"/>
      <w:r w:rsidRPr="001C693E">
        <w:rPr>
          <w:szCs w:val="22"/>
        </w:rPr>
        <w:t xml:space="preserve"> priskiriamas raumenis atpalaiduojančių, taip vadinamų </w:t>
      </w:r>
      <w:proofErr w:type="spellStart"/>
      <w:r w:rsidRPr="001C693E">
        <w:rPr>
          <w:szCs w:val="22"/>
        </w:rPr>
        <w:t>miorelaksantų</w:t>
      </w:r>
      <w:proofErr w:type="spellEnd"/>
      <w:r w:rsidRPr="001C693E">
        <w:rPr>
          <w:szCs w:val="22"/>
        </w:rPr>
        <w:t xml:space="preserve">, vaistų grupei. Jis plačiai vartojamas suaugusiems žmonėms ir vaikams, vyresniems kaip 1 mėnuo, įvairių chirurginių operacijų, tarp jų ir širdies, metu. </w:t>
      </w:r>
      <w:proofErr w:type="spellStart"/>
      <w:r w:rsidRPr="001C693E">
        <w:rPr>
          <w:caps/>
          <w:szCs w:val="22"/>
        </w:rPr>
        <w:t>N</w:t>
      </w:r>
      <w:r w:rsidRPr="001C693E">
        <w:rPr>
          <w:szCs w:val="22"/>
        </w:rPr>
        <w:t>imbex</w:t>
      </w:r>
      <w:proofErr w:type="spellEnd"/>
      <w:r w:rsidRPr="001C693E">
        <w:rPr>
          <w:szCs w:val="22"/>
        </w:rPr>
        <w:t xml:space="preserve"> taip pat vartojamas, kad būtų lengviau įkišti vamzdelį į trachėją (</w:t>
      </w:r>
      <w:proofErr w:type="spellStart"/>
      <w:r w:rsidRPr="001C693E">
        <w:rPr>
          <w:szCs w:val="22"/>
        </w:rPr>
        <w:t>intubuoti</w:t>
      </w:r>
      <w:proofErr w:type="spellEnd"/>
      <w:r w:rsidRPr="001C693E">
        <w:rPr>
          <w:szCs w:val="22"/>
        </w:rPr>
        <w:t>), kai reikalingas dirbtinis kvėpavimas. Jis gali būti naudojamas suaugusiems žmonėms, taikant intensyvios terapijos priemones.</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Antrat2"/>
        <w:rPr>
          <w:szCs w:val="22"/>
        </w:rPr>
      </w:pPr>
      <w:r w:rsidRPr="001C693E">
        <w:rPr>
          <w:szCs w:val="22"/>
        </w:rPr>
        <w:t>2.</w:t>
      </w:r>
      <w:r w:rsidRPr="001C693E">
        <w:rPr>
          <w:szCs w:val="22"/>
        </w:rPr>
        <w:tab/>
        <w:t xml:space="preserve">Kas žinotina prieš vartojant </w:t>
      </w:r>
      <w:proofErr w:type="spellStart"/>
      <w:r w:rsidRPr="001C693E">
        <w:rPr>
          <w:szCs w:val="22"/>
        </w:rPr>
        <w:t>Nimbex</w:t>
      </w:r>
      <w:proofErr w:type="spellEnd"/>
    </w:p>
    <w:p w:rsidR="00F82EEC" w:rsidRPr="001C693E" w:rsidRDefault="00F82EEC" w:rsidP="00F82EEC">
      <w:pPr>
        <w:pStyle w:val="Pagrindinistekstas"/>
        <w:spacing w:after="0"/>
        <w:rPr>
          <w:szCs w:val="22"/>
        </w:rPr>
      </w:pPr>
    </w:p>
    <w:p w:rsidR="00F82EEC" w:rsidRPr="001C693E" w:rsidRDefault="00F82EEC" w:rsidP="00F82EEC">
      <w:pPr>
        <w:rPr>
          <w:b/>
          <w:szCs w:val="22"/>
        </w:rPr>
      </w:pPr>
      <w:proofErr w:type="spellStart"/>
      <w:r w:rsidRPr="001C693E">
        <w:rPr>
          <w:b/>
          <w:caps/>
          <w:szCs w:val="22"/>
        </w:rPr>
        <w:t>N</w:t>
      </w:r>
      <w:r w:rsidRPr="001C693E">
        <w:rPr>
          <w:b/>
          <w:szCs w:val="22"/>
        </w:rPr>
        <w:t>imbex</w:t>
      </w:r>
      <w:proofErr w:type="spellEnd"/>
      <w:r w:rsidRPr="001C693E">
        <w:rPr>
          <w:b/>
          <w:szCs w:val="22"/>
        </w:rPr>
        <w:t xml:space="preserve"> vartoti negalima: </w:t>
      </w:r>
    </w:p>
    <w:p w:rsidR="00F82EEC" w:rsidRPr="001C693E" w:rsidRDefault="00F82EEC" w:rsidP="00F82EEC">
      <w:pPr>
        <w:pStyle w:val="Pagrindinistekstas"/>
        <w:numPr>
          <w:ilvl w:val="0"/>
          <w:numId w:val="1"/>
        </w:numPr>
        <w:tabs>
          <w:tab w:val="clear" w:pos="1140"/>
        </w:tabs>
        <w:spacing w:after="0"/>
        <w:ind w:left="567" w:hanging="567"/>
        <w:rPr>
          <w:szCs w:val="22"/>
        </w:rPr>
      </w:pPr>
      <w:r w:rsidRPr="001C693E">
        <w:rPr>
          <w:szCs w:val="22"/>
        </w:rPr>
        <w:t xml:space="preserve">jeigu Jums yra alergija </w:t>
      </w:r>
      <w:proofErr w:type="spellStart"/>
      <w:r w:rsidRPr="001C693E">
        <w:rPr>
          <w:szCs w:val="22"/>
        </w:rPr>
        <w:t>cisatrakuriui</w:t>
      </w:r>
      <w:proofErr w:type="spellEnd"/>
      <w:r w:rsidRPr="001C693E">
        <w:rPr>
          <w:szCs w:val="22"/>
        </w:rPr>
        <w:t xml:space="preserve">, </w:t>
      </w:r>
      <w:proofErr w:type="spellStart"/>
      <w:r w:rsidRPr="001C693E">
        <w:rPr>
          <w:szCs w:val="22"/>
        </w:rPr>
        <w:t>atrakuriui</w:t>
      </w:r>
      <w:proofErr w:type="spellEnd"/>
      <w:r w:rsidRPr="001C693E">
        <w:rPr>
          <w:szCs w:val="22"/>
        </w:rPr>
        <w:t xml:space="preserve"> arba bet kuriai pagalbinei šio vaisto medžiagai </w:t>
      </w:r>
      <w:r w:rsidRPr="001C693E">
        <w:rPr>
          <w:noProof/>
          <w:szCs w:val="22"/>
        </w:rPr>
        <w:t>(jos išvardytos 6 skyriuje)</w:t>
      </w:r>
      <w:r w:rsidRPr="001C693E">
        <w:rPr>
          <w:szCs w:val="22"/>
        </w:rPr>
        <w:t>;</w:t>
      </w:r>
    </w:p>
    <w:p w:rsidR="00F82EEC" w:rsidRPr="001C693E" w:rsidRDefault="00F82EEC" w:rsidP="00F82EEC">
      <w:pPr>
        <w:pStyle w:val="Pagrindinistekstas"/>
        <w:numPr>
          <w:ilvl w:val="0"/>
          <w:numId w:val="1"/>
        </w:numPr>
        <w:tabs>
          <w:tab w:val="clear" w:pos="1140"/>
        </w:tabs>
        <w:spacing w:after="0"/>
        <w:ind w:left="567" w:hanging="567"/>
        <w:rPr>
          <w:szCs w:val="22"/>
        </w:rPr>
      </w:pPr>
      <w:r w:rsidRPr="001C693E">
        <w:rPr>
          <w:szCs w:val="22"/>
        </w:rPr>
        <w:t>jei vartojant šio ar kitų raumenis atpalaiduojančių vaistų (</w:t>
      </w:r>
      <w:proofErr w:type="spellStart"/>
      <w:r w:rsidRPr="001C693E">
        <w:rPr>
          <w:szCs w:val="22"/>
        </w:rPr>
        <w:t>miorelaksantų</w:t>
      </w:r>
      <w:proofErr w:type="spellEnd"/>
      <w:r w:rsidRPr="001C693E">
        <w:rPr>
          <w:szCs w:val="22"/>
        </w:rPr>
        <w:t>) Jus išbėrė, atsirado niežulys, dusulys ar kitos nepageidaujamos reakcijos.</w:t>
      </w:r>
    </w:p>
    <w:p w:rsidR="00F82EEC" w:rsidRPr="001C693E" w:rsidRDefault="00F82EEC" w:rsidP="00F82EEC">
      <w:pPr>
        <w:pStyle w:val="Pagrindinistekstas"/>
        <w:spacing w:after="0"/>
        <w:ind w:left="360"/>
        <w:rPr>
          <w:szCs w:val="22"/>
        </w:rPr>
      </w:pPr>
    </w:p>
    <w:p w:rsidR="00F82EEC" w:rsidRPr="001C693E" w:rsidRDefault="00F82EEC" w:rsidP="00F82EEC">
      <w:pPr>
        <w:pStyle w:val="Pagrindinistekstas"/>
        <w:spacing w:after="0"/>
        <w:rPr>
          <w:szCs w:val="22"/>
        </w:rPr>
      </w:pPr>
      <w:r w:rsidRPr="001C693E">
        <w:rPr>
          <w:szCs w:val="22"/>
        </w:rPr>
        <w:t xml:space="preserve">Jeigu Jūs blogai toleruojate nuskausminančius vaistus, praneškite apie tai savo gydytojui prieš vartodami </w:t>
      </w:r>
      <w:proofErr w:type="spellStart"/>
      <w:r w:rsidRPr="001C693E">
        <w:rPr>
          <w:caps/>
          <w:szCs w:val="22"/>
        </w:rPr>
        <w:t>N</w:t>
      </w:r>
      <w:r w:rsidRPr="001C693E">
        <w:rPr>
          <w:szCs w:val="22"/>
        </w:rPr>
        <w:t>imbex</w:t>
      </w:r>
      <w:proofErr w:type="spellEnd"/>
      <w:r w:rsidRPr="001C693E">
        <w:rPr>
          <w:szCs w:val="22"/>
        </w:rPr>
        <w:t>.</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roofErr w:type="spellStart"/>
      <w:r w:rsidRPr="001C693E">
        <w:rPr>
          <w:caps/>
          <w:szCs w:val="22"/>
        </w:rPr>
        <w:t>N</w:t>
      </w:r>
      <w:r w:rsidRPr="001C693E">
        <w:rPr>
          <w:szCs w:val="22"/>
        </w:rPr>
        <w:t>imbex</w:t>
      </w:r>
      <w:proofErr w:type="spellEnd"/>
      <w:r w:rsidRPr="001C693E">
        <w:rPr>
          <w:szCs w:val="22"/>
        </w:rPr>
        <w:t xml:space="preserve"> gali skirti patyręs gydytojas ir tiktai tais atvejais, kai tam yra visos būtinos sąlygos (dažnai neatidėliotinai pagalbai suteikti). Kai kuriais atvejais, vartojant šį vaistą, reikia imtis specialių atsargumo priemonių, todėl prieš vartodami </w:t>
      </w:r>
      <w:proofErr w:type="spellStart"/>
      <w:r w:rsidRPr="001C693E">
        <w:rPr>
          <w:caps/>
          <w:szCs w:val="22"/>
        </w:rPr>
        <w:t>N</w:t>
      </w:r>
      <w:r w:rsidRPr="001C693E">
        <w:rPr>
          <w:szCs w:val="22"/>
        </w:rPr>
        <w:t>imbex</w:t>
      </w:r>
      <w:proofErr w:type="spellEnd"/>
      <w:r w:rsidRPr="001C693E">
        <w:rPr>
          <w:szCs w:val="22"/>
        </w:rPr>
        <w:t>, pasakykite savo gydytojui, jei Jums yra ar buvo toliau nurodytų sutrikimų ar ligų.</w:t>
      </w:r>
    </w:p>
    <w:p w:rsidR="00F82EEC" w:rsidRPr="001C693E" w:rsidRDefault="00F82EEC" w:rsidP="00F82EEC">
      <w:pPr>
        <w:pStyle w:val="Pagrindinistekstas"/>
        <w:spacing w:after="0"/>
        <w:rPr>
          <w:szCs w:val="22"/>
        </w:rPr>
      </w:pPr>
    </w:p>
    <w:p w:rsidR="00F82EEC" w:rsidRPr="001C693E" w:rsidRDefault="00F82EEC" w:rsidP="00F82EEC">
      <w:pPr>
        <w:pStyle w:val="Antrat3"/>
        <w:pBdr>
          <w:top w:val="none" w:sz="0" w:space="0" w:color="auto"/>
          <w:left w:val="none" w:sz="0" w:space="0" w:color="auto"/>
          <w:bottom w:val="none" w:sz="0" w:space="0" w:color="auto"/>
          <w:right w:val="none" w:sz="0" w:space="0" w:color="auto"/>
        </w:pBdr>
        <w:rPr>
          <w:szCs w:val="22"/>
        </w:rPr>
      </w:pPr>
      <w:r w:rsidRPr="001C693E">
        <w:rPr>
          <w:szCs w:val="22"/>
        </w:rPr>
        <w:t>Įspėjimai ir atsargumo priemonės</w:t>
      </w:r>
    </w:p>
    <w:p w:rsidR="00F82EEC" w:rsidRPr="001C693E" w:rsidRDefault="00F82EEC" w:rsidP="00F82EEC">
      <w:pPr>
        <w:pStyle w:val="Pagrindinistekstas"/>
        <w:spacing w:after="0"/>
        <w:ind w:left="567" w:hanging="567"/>
        <w:rPr>
          <w:szCs w:val="22"/>
        </w:rPr>
      </w:pPr>
      <w:r w:rsidRPr="001C693E">
        <w:rPr>
          <w:szCs w:val="22"/>
        </w:rPr>
        <w:t>-</w:t>
      </w:r>
      <w:r w:rsidRPr="001C693E">
        <w:rPr>
          <w:szCs w:val="22"/>
        </w:rPr>
        <w:tab/>
        <w:t xml:space="preserve">jeigu Jūs jaučiate raumenų silpnumą, nuovargį ar judesių koordinacijos sutrikimus (sunkioji </w:t>
      </w:r>
      <w:proofErr w:type="spellStart"/>
      <w:r w:rsidRPr="001C693E">
        <w:rPr>
          <w:szCs w:val="22"/>
        </w:rPr>
        <w:t>miastenija</w:t>
      </w:r>
      <w:proofErr w:type="spellEnd"/>
      <w:r w:rsidRPr="001C693E">
        <w:rPr>
          <w:szCs w:val="22"/>
        </w:rPr>
        <w:t>);</w:t>
      </w:r>
    </w:p>
    <w:p w:rsidR="00F82EEC" w:rsidRPr="001C693E" w:rsidRDefault="00F82EEC" w:rsidP="00F82EEC">
      <w:pPr>
        <w:pStyle w:val="Pagrindinistekstas"/>
        <w:spacing w:after="0"/>
        <w:ind w:left="567" w:hanging="567"/>
        <w:rPr>
          <w:szCs w:val="22"/>
        </w:rPr>
      </w:pPr>
      <w:r w:rsidRPr="001C693E">
        <w:rPr>
          <w:szCs w:val="22"/>
        </w:rPr>
        <w:t>-</w:t>
      </w:r>
      <w:r w:rsidRPr="001C693E">
        <w:rPr>
          <w:szCs w:val="22"/>
        </w:rPr>
        <w:tab/>
        <w:t>jei sergate raumenis sekinančia liga, paralyžiumi, motorinių neuronų liga ar cerebriniu paralyžiumi;</w:t>
      </w:r>
    </w:p>
    <w:p w:rsidR="00F82EEC" w:rsidRPr="001C693E" w:rsidRDefault="00F82EEC" w:rsidP="00F82EEC">
      <w:pPr>
        <w:pStyle w:val="Pagrindinistekstas"/>
        <w:spacing w:after="0"/>
        <w:rPr>
          <w:szCs w:val="22"/>
        </w:rPr>
      </w:pPr>
      <w:r w:rsidRPr="001C693E">
        <w:rPr>
          <w:szCs w:val="22"/>
        </w:rPr>
        <w:t>-</w:t>
      </w:r>
      <w:r w:rsidRPr="001C693E">
        <w:rPr>
          <w:szCs w:val="22"/>
        </w:rPr>
        <w:tab/>
        <w:t>jei sergate bet kokia lėtine liga, kuri Jus išsekino;</w:t>
      </w:r>
    </w:p>
    <w:p w:rsidR="00F82EEC" w:rsidRPr="001C693E" w:rsidRDefault="00F82EEC" w:rsidP="00F82EEC">
      <w:pPr>
        <w:pStyle w:val="Pagrindinistekstas"/>
        <w:spacing w:after="0"/>
        <w:rPr>
          <w:szCs w:val="22"/>
        </w:rPr>
      </w:pPr>
      <w:r w:rsidRPr="001C693E">
        <w:rPr>
          <w:szCs w:val="22"/>
        </w:rPr>
        <w:t>-</w:t>
      </w:r>
      <w:r w:rsidRPr="001C693E">
        <w:rPr>
          <w:szCs w:val="22"/>
        </w:rPr>
        <w:tab/>
        <w:t>jei per pastaruosius 2 ar 3 mėnesius reikėjo gydyti nudegimą;</w:t>
      </w:r>
    </w:p>
    <w:p w:rsidR="00F82EEC" w:rsidRPr="001C693E" w:rsidRDefault="00F82EEC" w:rsidP="00F82EEC">
      <w:pPr>
        <w:pStyle w:val="BT-EMEASMCA"/>
        <w:ind w:left="567" w:hanging="567"/>
        <w:rPr>
          <w:noProof w:val="0"/>
        </w:rPr>
      </w:pPr>
      <w:r w:rsidRPr="001C693E">
        <w:t>jei yra sunkus elektrolitų ar kraujo rūgščių-šarmų balanso sutrikimas (organizmo cheminių medžiagų normalios koncentracijos kraujyje pokyčiai);</w:t>
      </w:r>
    </w:p>
    <w:p w:rsidR="00F82EEC" w:rsidRPr="001C693E" w:rsidRDefault="00F82EEC" w:rsidP="00F82EEC">
      <w:pPr>
        <w:pStyle w:val="BT-EMEASMCA"/>
        <w:ind w:left="567" w:hanging="567"/>
        <w:rPr>
          <w:noProof w:val="0"/>
        </w:rPr>
      </w:pPr>
      <w:r w:rsidRPr="001C693E">
        <w:rPr>
          <w:noProof w:val="0"/>
        </w:rPr>
        <w:lastRenderedPageBreak/>
        <w:t>jeigu sergate širdies liga arba Jūsų kraujospūdis yra žemas;</w:t>
      </w:r>
    </w:p>
    <w:p w:rsidR="00F82EEC" w:rsidRPr="001C693E" w:rsidRDefault="00F82EEC" w:rsidP="00F82EEC">
      <w:pPr>
        <w:pStyle w:val="BT-EMEASMCA"/>
        <w:ind w:left="567" w:hanging="567"/>
        <w:rPr>
          <w:noProof w:val="0"/>
        </w:rPr>
      </w:pPr>
      <w:r w:rsidRPr="001C693E">
        <w:rPr>
          <w:noProof w:val="0"/>
        </w:rPr>
        <w:t>jeigu sergate astma;</w:t>
      </w:r>
    </w:p>
    <w:p w:rsidR="00F82EEC" w:rsidRPr="001C693E" w:rsidRDefault="00F82EEC" w:rsidP="00F82EEC">
      <w:pPr>
        <w:pStyle w:val="BT-EMEASMCA"/>
        <w:ind w:left="567" w:hanging="567"/>
        <w:rPr>
          <w:noProof w:val="0"/>
        </w:rPr>
      </w:pPr>
      <w:r w:rsidRPr="001C693E">
        <w:t>jei sergate šienlige arba Jums yra alergija, dėl kurios išberia, niežti odą arba atsiranda dusulys.</w:t>
      </w:r>
    </w:p>
    <w:p w:rsidR="00F82EEC" w:rsidRPr="001C693E" w:rsidRDefault="00F82EEC" w:rsidP="00F82EEC">
      <w:pPr>
        <w:pStyle w:val="Pagrindinistekstas"/>
        <w:spacing w:after="0"/>
        <w:rPr>
          <w:szCs w:val="22"/>
        </w:rPr>
      </w:pPr>
    </w:p>
    <w:p w:rsidR="00F82EEC" w:rsidRPr="001C693E" w:rsidRDefault="00F82EEC" w:rsidP="00F82EEC">
      <w:pPr>
        <w:pStyle w:val="Antrat3"/>
        <w:pBdr>
          <w:top w:val="none" w:sz="0" w:space="0" w:color="auto"/>
          <w:left w:val="none" w:sz="0" w:space="0" w:color="auto"/>
          <w:bottom w:val="none" w:sz="0" w:space="0" w:color="auto"/>
          <w:right w:val="none" w:sz="0" w:space="0" w:color="auto"/>
        </w:pBdr>
        <w:rPr>
          <w:szCs w:val="22"/>
        </w:rPr>
      </w:pPr>
      <w:r w:rsidRPr="001C693E">
        <w:rPr>
          <w:szCs w:val="22"/>
        </w:rPr>
        <w:t>Nėštumas, žindymo laikotarpis ir vaisingumas</w:t>
      </w:r>
    </w:p>
    <w:p w:rsidR="00F82EEC" w:rsidRDefault="00F82EEC" w:rsidP="00F82EEC">
      <w:pPr>
        <w:pStyle w:val="Pagrindinistekstas"/>
        <w:rPr>
          <w:szCs w:val="22"/>
        </w:rPr>
      </w:pPr>
      <w:r w:rsidRPr="003C7660">
        <w:rPr>
          <w:szCs w:val="22"/>
        </w:rPr>
        <w:t xml:space="preserve">Negalima atmesti </w:t>
      </w:r>
      <w:proofErr w:type="spellStart"/>
      <w:r w:rsidRPr="003C7660">
        <w:rPr>
          <w:szCs w:val="22"/>
        </w:rPr>
        <w:t>cisatrakurio</w:t>
      </w:r>
      <w:proofErr w:type="spellEnd"/>
      <w:r w:rsidRPr="003C7660">
        <w:rPr>
          <w:szCs w:val="22"/>
        </w:rPr>
        <w:t xml:space="preserve"> keliamo neigiamo poveikio žindomam kūdikiui, visgi, jo nėra tikimasi, jei žindoma po to, kai veikliosios medžiagos poveikis baigiasi. </w:t>
      </w:r>
      <w:proofErr w:type="spellStart"/>
      <w:r w:rsidRPr="003C7660">
        <w:rPr>
          <w:szCs w:val="22"/>
        </w:rPr>
        <w:t>Cisatrakuris</w:t>
      </w:r>
      <w:proofErr w:type="spellEnd"/>
      <w:r w:rsidRPr="003C7660">
        <w:rPr>
          <w:szCs w:val="22"/>
        </w:rPr>
        <w:t xml:space="preserve"> greitai pasišalina iš organizmo. Moteris turėtų susilaikyti nuo žindymo 3 valandas po gydymo pabaigos.</w:t>
      </w:r>
    </w:p>
    <w:p w:rsidR="00F82EEC" w:rsidRDefault="00F82EEC" w:rsidP="00F82EEC">
      <w:pPr>
        <w:pStyle w:val="Pagrindinistekstas"/>
        <w:spacing w:after="0"/>
        <w:rPr>
          <w:szCs w:val="22"/>
        </w:rPr>
      </w:pPr>
    </w:p>
    <w:p w:rsidR="00F82EEC" w:rsidRPr="001C693E" w:rsidRDefault="00F82EEC" w:rsidP="00F82EEC">
      <w:pPr>
        <w:pStyle w:val="Pagrindinistekstas"/>
        <w:spacing w:after="0"/>
        <w:rPr>
          <w:szCs w:val="22"/>
        </w:rPr>
      </w:pPr>
      <w:r w:rsidRPr="001C693E">
        <w:rPr>
          <w:szCs w:val="22"/>
        </w:rPr>
        <w:t>Jeigu esate nėščia, žindote kūdikį, manote, kad galbūt esate nėščia arba planuojate pastoti, tai prieš vartodama šį vaistą pasitarkite su gydytoju arba vaistininku.</w:t>
      </w:r>
    </w:p>
    <w:p w:rsidR="00F82EEC" w:rsidRPr="001C693E" w:rsidRDefault="00F82EEC" w:rsidP="00F82EEC">
      <w:pPr>
        <w:pStyle w:val="PI-3EMEASMCA"/>
      </w:pPr>
    </w:p>
    <w:p w:rsidR="00F82EEC" w:rsidRPr="001C693E" w:rsidRDefault="00F82EEC" w:rsidP="00F82EEC">
      <w:pPr>
        <w:pStyle w:val="PI-3EMEASMCA"/>
      </w:pPr>
      <w:r w:rsidRPr="001C693E">
        <w:t>Vairavimas ir mechanizmų valdymas</w:t>
      </w:r>
    </w:p>
    <w:p w:rsidR="00F82EEC" w:rsidRPr="001C693E" w:rsidRDefault="00F82EEC" w:rsidP="00F82EEC">
      <w:pPr>
        <w:pStyle w:val="Pagrindinistekstas"/>
        <w:spacing w:after="0"/>
        <w:rPr>
          <w:szCs w:val="22"/>
        </w:rPr>
      </w:pPr>
      <w:r w:rsidRPr="001C693E">
        <w:rPr>
          <w:szCs w:val="22"/>
        </w:rPr>
        <w:t>Netrukus po operacijos vairuoti ar valdyti mechanizmus gali būti pavojinga. Jūsų gydytojas Jums pasakys, kiek reikia palaukti, kol galėsite vairuoti bei valdyti mechanizmus.</w:t>
      </w:r>
    </w:p>
    <w:p w:rsidR="00F82EEC" w:rsidRPr="001C693E" w:rsidRDefault="00F82EEC" w:rsidP="00F82EEC">
      <w:pPr>
        <w:pStyle w:val="Antrat3"/>
        <w:pBdr>
          <w:top w:val="none" w:sz="0" w:space="0" w:color="auto"/>
          <w:left w:val="none" w:sz="0" w:space="0" w:color="auto"/>
          <w:bottom w:val="none" w:sz="0" w:space="0" w:color="auto"/>
          <w:right w:val="none" w:sz="0" w:space="0" w:color="auto"/>
        </w:pBdr>
        <w:rPr>
          <w:szCs w:val="22"/>
        </w:rPr>
      </w:pPr>
    </w:p>
    <w:p w:rsidR="00F82EEC" w:rsidRPr="001C693E" w:rsidRDefault="00F82EEC" w:rsidP="00F82EEC">
      <w:pPr>
        <w:pStyle w:val="Antrat3"/>
        <w:pBdr>
          <w:top w:val="none" w:sz="0" w:space="0" w:color="auto"/>
          <w:left w:val="none" w:sz="0" w:space="0" w:color="auto"/>
          <w:bottom w:val="none" w:sz="0" w:space="0" w:color="auto"/>
          <w:right w:val="none" w:sz="0" w:space="0" w:color="auto"/>
        </w:pBdr>
        <w:rPr>
          <w:szCs w:val="22"/>
        </w:rPr>
      </w:pPr>
      <w:r w:rsidRPr="001C693E">
        <w:rPr>
          <w:szCs w:val="22"/>
        </w:rPr>
        <w:t xml:space="preserve">Kiti vaistai ir </w:t>
      </w:r>
      <w:proofErr w:type="spellStart"/>
      <w:r w:rsidRPr="001C693E">
        <w:rPr>
          <w:szCs w:val="22"/>
        </w:rPr>
        <w:t>Nimbex</w:t>
      </w:r>
      <w:proofErr w:type="spellEnd"/>
    </w:p>
    <w:p w:rsidR="00F82EEC" w:rsidRPr="001C693E" w:rsidRDefault="00F82EEC" w:rsidP="00F82EEC">
      <w:pPr>
        <w:pStyle w:val="Pagrindinistekstas"/>
        <w:spacing w:after="0"/>
        <w:rPr>
          <w:szCs w:val="22"/>
        </w:rPr>
      </w:pPr>
      <w:proofErr w:type="spellStart"/>
      <w:r w:rsidRPr="001C693E">
        <w:rPr>
          <w:caps/>
          <w:szCs w:val="22"/>
        </w:rPr>
        <w:t>N</w:t>
      </w:r>
      <w:r w:rsidRPr="001C693E">
        <w:rPr>
          <w:szCs w:val="22"/>
        </w:rPr>
        <w:t>imbex</w:t>
      </w:r>
      <w:proofErr w:type="spellEnd"/>
      <w:r w:rsidRPr="001C693E">
        <w:rPr>
          <w:szCs w:val="22"/>
        </w:rPr>
        <w:t xml:space="preserve"> gali sąveikauti su kitais vaistais. Prieš suleidžiant </w:t>
      </w:r>
      <w:proofErr w:type="spellStart"/>
      <w:r w:rsidRPr="001C693E">
        <w:rPr>
          <w:caps/>
          <w:szCs w:val="22"/>
        </w:rPr>
        <w:t>N</w:t>
      </w:r>
      <w:r w:rsidRPr="001C693E">
        <w:rPr>
          <w:szCs w:val="22"/>
        </w:rPr>
        <w:t>imbex</w:t>
      </w:r>
      <w:proofErr w:type="spellEnd"/>
      <w:r w:rsidRPr="001C693E">
        <w:rPr>
          <w:szCs w:val="22"/>
        </w:rPr>
        <w:t xml:space="preserve"> svarbu pranešti gydytojui, jeigu vartojate tokių vaistų (jei nesate tikri, pasitarkite su gydytoju):</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antibiotikų,</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nuo širdies ritmo sutrikimų,</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nuo padidinto kraujospūdžio (hipertenzijos),</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šalinančių skysčius iš organizmo (diuretikų),</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steroidų,</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nuo epilepsijos,</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naudojamų psichiatrijoje,</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nuo Alzheimerio ligos (</w:t>
      </w:r>
      <w:proofErr w:type="spellStart"/>
      <w:r w:rsidRPr="001C693E">
        <w:rPr>
          <w:szCs w:val="22"/>
        </w:rPr>
        <w:t>cholinesterazės</w:t>
      </w:r>
      <w:proofErr w:type="spellEnd"/>
      <w:r w:rsidRPr="001C693E">
        <w:rPr>
          <w:szCs w:val="22"/>
        </w:rPr>
        <w:t xml:space="preserve"> inhibitorius pvz., </w:t>
      </w:r>
      <w:proofErr w:type="spellStart"/>
      <w:r w:rsidRPr="001C693E">
        <w:rPr>
          <w:szCs w:val="22"/>
        </w:rPr>
        <w:t>donepezilo</w:t>
      </w:r>
      <w:proofErr w:type="spellEnd"/>
      <w:r w:rsidRPr="001C693E">
        <w:rPr>
          <w:szCs w:val="22"/>
        </w:rPr>
        <w:t>),</w:t>
      </w:r>
    </w:p>
    <w:p w:rsidR="00F82EEC" w:rsidRPr="001C693E" w:rsidRDefault="00F82EEC" w:rsidP="00F82EEC">
      <w:pPr>
        <w:pStyle w:val="Pagrindinistekstas"/>
        <w:numPr>
          <w:ilvl w:val="0"/>
          <w:numId w:val="2"/>
        </w:numPr>
        <w:tabs>
          <w:tab w:val="clear" w:pos="720"/>
        </w:tabs>
        <w:spacing w:after="0"/>
        <w:ind w:left="567" w:hanging="567"/>
        <w:rPr>
          <w:szCs w:val="22"/>
        </w:rPr>
      </w:pPr>
      <w:proofErr w:type="spellStart"/>
      <w:r w:rsidRPr="001C693E">
        <w:rPr>
          <w:szCs w:val="22"/>
        </w:rPr>
        <w:t>monoaminooksidazės</w:t>
      </w:r>
      <w:proofErr w:type="spellEnd"/>
      <w:r w:rsidRPr="001C693E">
        <w:rPr>
          <w:szCs w:val="22"/>
        </w:rPr>
        <w:t xml:space="preserve"> inhibitorių,</w:t>
      </w:r>
    </w:p>
    <w:p w:rsidR="00F82EEC" w:rsidRPr="001C693E" w:rsidRDefault="00F82EEC" w:rsidP="00F82EEC">
      <w:pPr>
        <w:pStyle w:val="Pagrindinistekstas"/>
        <w:numPr>
          <w:ilvl w:val="0"/>
          <w:numId w:val="2"/>
        </w:numPr>
        <w:tabs>
          <w:tab w:val="clear" w:pos="720"/>
        </w:tabs>
        <w:spacing w:after="0"/>
        <w:ind w:left="567" w:hanging="567"/>
        <w:rPr>
          <w:szCs w:val="22"/>
        </w:rPr>
      </w:pPr>
      <w:proofErr w:type="spellStart"/>
      <w:r w:rsidRPr="001C693E">
        <w:rPr>
          <w:szCs w:val="22"/>
        </w:rPr>
        <w:t>chlorpromazino</w:t>
      </w:r>
      <w:proofErr w:type="spellEnd"/>
      <w:r w:rsidRPr="001C693E">
        <w:rPr>
          <w:szCs w:val="22"/>
        </w:rPr>
        <w:t>,</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ličio,</w:t>
      </w:r>
    </w:p>
    <w:p w:rsidR="00F82EEC" w:rsidRPr="001C693E" w:rsidRDefault="00F82EEC" w:rsidP="00F82EEC">
      <w:pPr>
        <w:pStyle w:val="Pagrindinistekstas"/>
        <w:numPr>
          <w:ilvl w:val="0"/>
          <w:numId w:val="2"/>
        </w:numPr>
        <w:tabs>
          <w:tab w:val="clear" w:pos="720"/>
        </w:tabs>
        <w:spacing w:after="0"/>
        <w:ind w:left="567" w:hanging="567"/>
        <w:rPr>
          <w:szCs w:val="22"/>
        </w:rPr>
      </w:pPr>
      <w:r w:rsidRPr="001C693E">
        <w:rPr>
          <w:szCs w:val="22"/>
        </w:rPr>
        <w:t>vaistų, kurių sudėtyje yra magnio (pvz., vaistų nuo rėmens ir virškinimo sutrikimų bei panašių),</w:t>
      </w:r>
    </w:p>
    <w:p w:rsidR="00F82EEC" w:rsidRPr="001C693E" w:rsidRDefault="00F82EEC" w:rsidP="00F82EEC">
      <w:pPr>
        <w:pStyle w:val="Pagrindinistekstas"/>
        <w:numPr>
          <w:ilvl w:val="0"/>
          <w:numId w:val="2"/>
        </w:numPr>
        <w:tabs>
          <w:tab w:val="clear" w:pos="720"/>
        </w:tabs>
        <w:spacing w:after="0"/>
        <w:ind w:left="567" w:hanging="567"/>
        <w:rPr>
          <w:szCs w:val="22"/>
        </w:rPr>
      </w:pPr>
      <w:proofErr w:type="spellStart"/>
      <w:r w:rsidRPr="001C693E">
        <w:rPr>
          <w:szCs w:val="22"/>
        </w:rPr>
        <w:t>ganglioblokatorių</w:t>
      </w:r>
      <w:proofErr w:type="spellEnd"/>
      <w:r w:rsidRPr="001C693E">
        <w:rPr>
          <w:szCs w:val="22"/>
        </w:rPr>
        <w:t xml:space="preserve"> (</w:t>
      </w:r>
      <w:proofErr w:type="spellStart"/>
      <w:r w:rsidRPr="001C693E">
        <w:rPr>
          <w:szCs w:val="22"/>
        </w:rPr>
        <w:t>trimetafano</w:t>
      </w:r>
      <w:proofErr w:type="spellEnd"/>
      <w:r w:rsidRPr="001C693E">
        <w:rPr>
          <w:szCs w:val="22"/>
        </w:rPr>
        <w:t xml:space="preserve">, </w:t>
      </w:r>
      <w:proofErr w:type="spellStart"/>
      <w:r w:rsidRPr="001C693E">
        <w:rPr>
          <w:szCs w:val="22"/>
        </w:rPr>
        <w:t>heksametonijaus</w:t>
      </w:r>
      <w:proofErr w:type="spellEnd"/>
      <w:r w:rsidRPr="001C693E">
        <w:rPr>
          <w:szCs w:val="22"/>
        </w:rPr>
        <w:t>).</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r w:rsidRPr="001C693E">
        <w:rPr>
          <w:szCs w:val="22"/>
        </w:rPr>
        <w:t>Jeigu vartojate arba neseniai vartojote kitų vaistų arba dėl to nesate tikri, apie tai pasakykite gydytojui arba vaistininkui.</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Antrat2"/>
        <w:rPr>
          <w:szCs w:val="22"/>
        </w:rPr>
      </w:pPr>
      <w:r w:rsidRPr="001C693E">
        <w:rPr>
          <w:szCs w:val="22"/>
        </w:rPr>
        <w:t>3.</w:t>
      </w:r>
      <w:r w:rsidRPr="001C693E">
        <w:rPr>
          <w:szCs w:val="22"/>
        </w:rPr>
        <w:tab/>
        <w:t xml:space="preserve">Kaip vartoti </w:t>
      </w:r>
      <w:proofErr w:type="spellStart"/>
      <w:r w:rsidRPr="001C693E">
        <w:rPr>
          <w:szCs w:val="22"/>
        </w:rPr>
        <w:t>Nimbex</w:t>
      </w:r>
      <w:proofErr w:type="spellEnd"/>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proofErr w:type="spellStart"/>
      <w:r w:rsidRPr="001C693E">
        <w:rPr>
          <w:b/>
          <w:caps/>
          <w:szCs w:val="22"/>
        </w:rPr>
        <w:t>N</w:t>
      </w:r>
      <w:r w:rsidRPr="001C693E">
        <w:rPr>
          <w:b/>
          <w:szCs w:val="22"/>
        </w:rPr>
        <w:t>imbex</w:t>
      </w:r>
      <w:proofErr w:type="spellEnd"/>
      <w:r w:rsidRPr="001C693E">
        <w:rPr>
          <w:b/>
          <w:szCs w:val="22"/>
        </w:rPr>
        <w:t xml:space="preserve"> švirkščiamas tiktai prižiūrint patyrusiam gydytojui, kuris yra gerai susipažinęs su </w:t>
      </w:r>
      <w:proofErr w:type="spellStart"/>
      <w:r w:rsidRPr="001C693E">
        <w:rPr>
          <w:b/>
          <w:szCs w:val="22"/>
        </w:rPr>
        <w:t>miorelaksantų</w:t>
      </w:r>
      <w:proofErr w:type="spellEnd"/>
      <w:r w:rsidRPr="001C693E">
        <w:rPr>
          <w:b/>
          <w:szCs w:val="22"/>
        </w:rPr>
        <w:t xml:space="preserve"> vartojimu ir jų poveikiu, ir tiktai tais atvejais, kai tam yra visos būtinos sąlygos.</w:t>
      </w:r>
    </w:p>
    <w:p w:rsidR="00F82EEC" w:rsidRPr="001C693E" w:rsidRDefault="00F82EEC" w:rsidP="00F82EEC">
      <w:pPr>
        <w:pStyle w:val="Pagrindinistekstas"/>
        <w:spacing w:after="0"/>
        <w:rPr>
          <w:szCs w:val="22"/>
        </w:rPr>
      </w:pPr>
      <w:r w:rsidRPr="001C693E">
        <w:rPr>
          <w:szCs w:val="22"/>
        </w:rPr>
        <w:t xml:space="preserve">Gydytojas nuspręs, kokią </w:t>
      </w:r>
      <w:proofErr w:type="spellStart"/>
      <w:r w:rsidRPr="001C693E">
        <w:rPr>
          <w:caps/>
          <w:szCs w:val="22"/>
        </w:rPr>
        <w:t>N</w:t>
      </w:r>
      <w:r w:rsidRPr="001C693E">
        <w:rPr>
          <w:szCs w:val="22"/>
        </w:rPr>
        <w:t>imbex</w:t>
      </w:r>
      <w:proofErr w:type="spellEnd"/>
      <w:r w:rsidRPr="001C693E">
        <w:rPr>
          <w:szCs w:val="22"/>
        </w:rPr>
        <w:t xml:space="preserve"> dozę ir kaip ilgai, priklausomai nuo Jums atliekamos operacijos, reikės Jums leisti. </w:t>
      </w:r>
      <w:proofErr w:type="spellStart"/>
      <w:r w:rsidRPr="001C693E">
        <w:rPr>
          <w:caps/>
          <w:szCs w:val="22"/>
        </w:rPr>
        <w:t>N</w:t>
      </w:r>
      <w:r w:rsidRPr="001C693E">
        <w:rPr>
          <w:szCs w:val="22"/>
        </w:rPr>
        <w:t>imbex</w:t>
      </w:r>
      <w:proofErr w:type="spellEnd"/>
      <w:r w:rsidRPr="001C693E">
        <w:rPr>
          <w:szCs w:val="22"/>
        </w:rPr>
        <w:t xml:space="preserve"> dozė priklauso nuo Jūsų kūno svorio, nuo norimo raumenų atpalaidavimo laipsnio ir trukmės bei tikimosi Jūsų atsako į šį vaistą. </w:t>
      </w:r>
      <w:proofErr w:type="spellStart"/>
      <w:r w:rsidRPr="001C693E">
        <w:rPr>
          <w:caps/>
          <w:szCs w:val="22"/>
        </w:rPr>
        <w:t>N</w:t>
      </w:r>
      <w:r w:rsidRPr="001C693E">
        <w:rPr>
          <w:szCs w:val="22"/>
        </w:rPr>
        <w:t>imbex</w:t>
      </w:r>
      <w:proofErr w:type="spellEnd"/>
      <w:r w:rsidRPr="001C693E">
        <w:rPr>
          <w:szCs w:val="22"/>
        </w:rPr>
        <w:t xml:space="preserve"> galima skirti dviem būdais, priklausomai nuo atliekamos procedūros:</w:t>
      </w:r>
    </w:p>
    <w:p w:rsidR="00F82EEC" w:rsidRPr="001C693E" w:rsidRDefault="00F82EEC" w:rsidP="00F82EEC">
      <w:pPr>
        <w:pStyle w:val="Pagrindinistekstas"/>
        <w:numPr>
          <w:ilvl w:val="0"/>
          <w:numId w:val="3"/>
        </w:numPr>
        <w:spacing w:after="0"/>
        <w:rPr>
          <w:szCs w:val="22"/>
        </w:rPr>
      </w:pPr>
      <w:r w:rsidRPr="001C693E">
        <w:rPr>
          <w:szCs w:val="22"/>
        </w:rPr>
        <w:t>vienkartine injekcija į veną (paprastai sušvirkščiama į veną per 5 – 10 sek.),</w:t>
      </w:r>
    </w:p>
    <w:p w:rsidR="00F82EEC" w:rsidRPr="001C693E" w:rsidRDefault="00F82EEC" w:rsidP="00F82EEC">
      <w:pPr>
        <w:pStyle w:val="Pagrindinistekstas"/>
        <w:numPr>
          <w:ilvl w:val="0"/>
          <w:numId w:val="3"/>
        </w:numPr>
        <w:spacing w:after="0"/>
        <w:rPr>
          <w:szCs w:val="22"/>
        </w:rPr>
      </w:pPr>
      <w:r w:rsidRPr="001C693E">
        <w:rPr>
          <w:szCs w:val="22"/>
        </w:rPr>
        <w:t>lašeline infuzija į veną.</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r w:rsidRPr="001C693E">
        <w:rPr>
          <w:b/>
          <w:szCs w:val="22"/>
        </w:rPr>
        <w:t>Naudojant vienkartinę injekciją į veną</w:t>
      </w:r>
    </w:p>
    <w:p w:rsidR="00F82EEC" w:rsidRPr="001C693E" w:rsidRDefault="00F82EEC" w:rsidP="00F82EEC">
      <w:pPr>
        <w:pStyle w:val="Pagrindinistekstas"/>
        <w:spacing w:after="0"/>
        <w:rPr>
          <w:szCs w:val="22"/>
        </w:rPr>
      </w:pPr>
      <w:r w:rsidRPr="001C693E">
        <w:rPr>
          <w:i/>
          <w:szCs w:val="22"/>
        </w:rPr>
        <w:t>Suaugusiems ir pagyvenusiems žmonėms</w:t>
      </w:r>
      <w:r w:rsidRPr="001C693E">
        <w:rPr>
          <w:szCs w:val="22"/>
        </w:rPr>
        <w:t xml:space="preserve">. Įprastinė dozė , atliekant </w:t>
      </w:r>
      <w:proofErr w:type="spellStart"/>
      <w:r w:rsidRPr="001C693E">
        <w:rPr>
          <w:szCs w:val="22"/>
        </w:rPr>
        <w:t>intubaciją</w:t>
      </w:r>
      <w:proofErr w:type="spellEnd"/>
      <w:r w:rsidRPr="001C693E">
        <w:rPr>
          <w:szCs w:val="22"/>
        </w:rPr>
        <w:t xml:space="preserve">, yra 0,15 mg/kg kūno svorio. Operacijos metu pradinė dozė yra nuo 0,1 iki 0,4 mg kiekvienam kūno svorio kilogramui. Jei reikia, gydytojas gali skirti papildomas </w:t>
      </w:r>
      <w:proofErr w:type="spellStart"/>
      <w:r w:rsidRPr="001C693E">
        <w:rPr>
          <w:caps/>
          <w:szCs w:val="22"/>
        </w:rPr>
        <w:t>N</w:t>
      </w:r>
      <w:r w:rsidRPr="001C693E">
        <w:rPr>
          <w:szCs w:val="22"/>
        </w:rPr>
        <w:t>imbex</w:t>
      </w:r>
      <w:proofErr w:type="spellEnd"/>
      <w:r w:rsidRPr="001C693E">
        <w:rPr>
          <w:szCs w:val="22"/>
        </w:rPr>
        <w:t xml:space="preserve"> dozes, siekiant pailginti jo poveikį. Nuo dozės dydžio priklauso raumenų atpalaidavimo trukmė. </w:t>
      </w:r>
    </w:p>
    <w:p w:rsidR="00F82EEC" w:rsidRPr="001C693E" w:rsidRDefault="00F82EEC" w:rsidP="00F82EEC">
      <w:pPr>
        <w:pStyle w:val="Pagrindinistekstas"/>
        <w:spacing w:after="0"/>
        <w:rPr>
          <w:szCs w:val="22"/>
        </w:rPr>
      </w:pPr>
      <w:r w:rsidRPr="001C693E">
        <w:rPr>
          <w:i/>
          <w:szCs w:val="22"/>
        </w:rPr>
        <w:t>Vaikams nuo 1 mėn. iki 12 metų.</w:t>
      </w:r>
      <w:r w:rsidRPr="001C693E">
        <w:rPr>
          <w:szCs w:val="22"/>
        </w:rPr>
        <w:t xml:space="preserve"> Atliekant </w:t>
      </w:r>
      <w:proofErr w:type="spellStart"/>
      <w:r w:rsidRPr="001C693E">
        <w:rPr>
          <w:szCs w:val="22"/>
        </w:rPr>
        <w:t>intubaciją</w:t>
      </w:r>
      <w:proofErr w:type="spellEnd"/>
      <w:r w:rsidRPr="001C693E">
        <w:rPr>
          <w:szCs w:val="22"/>
        </w:rPr>
        <w:t xml:space="preserve">, dozė yra 0,15 mg/kg kūno svorio. Operacijos metu gali būti naudojamos mažesnės dozės negu 0,15 mg/kg kūno svorio. Jei reikia, galima skirti papildomas </w:t>
      </w:r>
      <w:proofErr w:type="spellStart"/>
      <w:r w:rsidRPr="001C693E">
        <w:rPr>
          <w:caps/>
          <w:szCs w:val="22"/>
        </w:rPr>
        <w:t>N</w:t>
      </w:r>
      <w:r w:rsidRPr="001C693E">
        <w:rPr>
          <w:szCs w:val="22"/>
        </w:rPr>
        <w:t>imbex</w:t>
      </w:r>
      <w:proofErr w:type="spellEnd"/>
      <w:r w:rsidRPr="001C693E">
        <w:rPr>
          <w:szCs w:val="22"/>
        </w:rPr>
        <w:t xml:space="preserve"> dozes, norint pailginti jo poveikį. Nuo dozės dydžio priklauso raumenų atpalaidavimo trukmė.</w:t>
      </w:r>
    </w:p>
    <w:p w:rsidR="00F82EEC" w:rsidRPr="001C693E" w:rsidRDefault="00F82EEC" w:rsidP="00F82EEC">
      <w:pPr>
        <w:pStyle w:val="Pagrindinistekstas"/>
        <w:spacing w:after="0"/>
        <w:rPr>
          <w:szCs w:val="22"/>
        </w:rPr>
      </w:pPr>
    </w:p>
    <w:p w:rsidR="00F82EEC" w:rsidRPr="001C693E" w:rsidRDefault="00F82EEC" w:rsidP="00F82EEC">
      <w:pPr>
        <w:pStyle w:val="Pagrindinistekstas"/>
        <w:keepNext/>
        <w:spacing w:after="0"/>
        <w:rPr>
          <w:szCs w:val="22"/>
        </w:rPr>
      </w:pPr>
      <w:r w:rsidRPr="001C693E">
        <w:rPr>
          <w:b/>
          <w:szCs w:val="22"/>
        </w:rPr>
        <w:t>Naudojant infuziją į veną</w:t>
      </w:r>
      <w:r w:rsidRPr="001C693E">
        <w:rPr>
          <w:szCs w:val="22"/>
        </w:rPr>
        <w:t xml:space="preserve">. </w:t>
      </w:r>
    </w:p>
    <w:p w:rsidR="00F82EEC" w:rsidRPr="001C693E" w:rsidRDefault="00F82EEC" w:rsidP="00F82EEC">
      <w:pPr>
        <w:pStyle w:val="Pagrindinistekstas"/>
        <w:keepNext/>
        <w:spacing w:after="0"/>
        <w:rPr>
          <w:i/>
          <w:szCs w:val="22"/>
        </w:rPr>
      </w:pPr>
      <w:r w:rsidRPr="001C693E">
        <w:rPr>
          <w:i/>
          <w:szCs w:val="22"/>
        </w:rPr>
        <w:t>Suaugusiems, pagyvenusiems žmonėms ir vaikams nuo 2 iki 10 metų.</w:t>
      </w:r>
    </w:p>
    <w:p w:rsidR="00F82EEC" w:rsidRPr="001C693E" w:rsidRDefault="00F82EEC" w:rsidP="00F82EEC">
      <w:pPr>
        <w:pStyle w:val="Pagrindinistekstas"/>
        <w:spacing w:after="0"/>
        <w:rPr>
          <w:szCs w:val="22"/>
        </w:rPr>
      </w:pPr>
      <w:proofErr w:type="spellStart"/>
      <w:r w:rsidRPr="001C693E">
        <w:rPr>
          <w:caps/>
          <w:szCs w:val="22"/>
        </w:rPr>
        <w:t>N</w:t>
      </w:r>
      <w:r w:rsidRPr="001C693E">
        <w:rPr>
          <w:szCs w:val="22"/>
        </w:rPr>
        <w:t>imbex</w:t>
      </w:r>
      <w:proofErr w:type="spellEnd"/>
      <w:r w:rsidRPr="001C693E">
        <w:rPr>
          <w:szCs w:val="22"/>
        </w:rPr>
        <w:t xml:space="preserve"> galima lėtai lašinti į veną, praskiedus </w:t>
      </w:r>
      <w:proofErr w:type="spellStart"/>
      <w:r w:rsidRPr="001C693E">
        <w:rPr>
          <w:szCs w:val="22"/>
        </w:rPr>
        <w:t>dekstrozės</w:t>
      </w:r>
      <w:proofErr w:type="spellEnd"/>
      <w:r w:rsidRPr="001C693E">
        <w:rPr>
          <w:szCs w:val="22"/>
        </w:rPr>
        <w:t xml:space="preserve"> ar fiziologiniu tirpalu. Lašinimo greitis turi būti nuo 0,06 iki 0,18 mg/kg kūno svorio per valandą. Dozė gali būti keičiama, priklausomai nuo </w:t>
      </w:r>
      <w:proofErr w:type="spellStart"/>
      <w:r w:rsidRPr="001C693E">
        <w:rPr>
          <w:caps/>
          <w:szCs w:val="22"/>
        </w:rPr>
        <w:t>N</w:t>
      </w:r>
      <w:r w:rsidRPr="001C693E">
        <w:rPr>
          <w:szCs w:val="22"/>
        </w:rPr>
        <w:t>imbex</w:t>
      </w:r>
      <w:proofErr w:type="spellEnd"/>
      <w:r w:rsidRPr="001C693E">
        <w:rPr>
          <w:szCs w:val="22"/>
        </w:rPr>
        <w:t xml:space="preserve"> poveikio. </w:t>
      </w:r>
      <w:proofErr w:type="spellStart"/>
      <w:r w:rsidRPr="001C693E">
        <w:rPr>
          <w:caps/>
          <w:szCs w:val="22"/>
        </w:rPr>
        <w:t>N</w:t>
      </w:r>
      <w:r w:rsidRPr="001C693E">
        <w:rPr>
          <w:szCs w:val="22"/>
        </w:rPr>
        <w:t>imbex</w:t>
      </w:r>
      <w:proofErr w:type="spellEnd"/>
      <w:r w:rsidRPr="001C693E">
        <w:rPr>
          <w:szCs w:val="22"/>
        </w:rPr>
        <w:t xml:space="preserve"> nerekomenduojama vartoti vaikams, jaunesniems kaip 1 mėnuo.</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r w:rsidRPr="001C693E">
        <w:rPr>
          <w:szCs w:val="22"/>
        </w:rPr>
        <w:t>NURODYMAI, KAIP ATIDARYTI AMPULĘ (informacija apie</w:t>
      </w:r>
      <w:r w:rsidRPr="001C693E">
        <w:rPr>
          <w:b/>
          <w:szCs w:val="22"/>
        </w:rPr>
        <w:t xml:space="preserve"> ampules, kuriose yra 2 mg/ml vaisto</w:t>
      </w:r>
      <w:r w:rsidRPr="001C693E">
        <w:rPr>
          <w:szCs w:val="22"/>
        </w:rPr>
        <w:t>)</w:t>
      </w:r>
    </w:p>
    <w:p w:rsidR="00F82EEC" w:rsidRPr="001C693E" w:rsidRDefault="00F82EEC" w:rsidP="00F82EEC">
      <w:pPr>
        <w:pStyle w:val="Pagrindinistekstas"/>
        <w:spacing w:after="0"/>
        <w:rPr>
          <w:szCs w:val="22"/>
        </w:rPr>
      </w:pPr>
      <w:r w:rsidRPr="001C693E">
        <w:rPr>
          <w:szCs w:val="22"/>
        </w:rPr>
        <w:t>Ampulėse yra pažymėta, kurioje vietoje jos atidaromos, ir jas reikia atidaryti taip, kaip aprašyta toliau:</w:t>
      </w:r>
    </w:p>
    <w:p w:rsidR="00F82EEC" w:rsidRPr="001C693E" w:rsidRDefault="00F82EEC" w:rsidP="00F82EEC">
      <w:pPr>
        <w:pStyle w:val="Pagrindinistekstas"/>
        <w:numPr>
          <w:ilvl w:val="0"/>
          <w:numId w:val="4"/>
        </w:numPr>
        <w:spacing w:after="0"/>
        <w:rPr>
          <w:szCs w:val="22"/>
        </w:rPr>
      </w:pPr>
      <w:r w:rsidRPr="001C693E">
        <w:rPr>
          <w:szCs w:val="22"/>
        </w:rPr>
        <w:t>laikykite ampulę ranka taip, kaip parodyta 1 paveiksle;</w:t>
      </w:r>
    </w:p>
    <w:p w:rsidR="00F82EEC" w:rsidRPr="001C693E" w:rsidRDefault="00F82EEC" w:rsidP="00F82EEC">
      <w:pPr>
        <w:pStyle w:val="Pagrindinistekstas"/>
        <w:numPr>
          <w:ilvl w:val="0"/>
          <w:numId w:val="4"/>
        </w:numPr>
        <w:spacing w:after="0"/>
        <w:rPr>
          <w:szCs w:val="22"/>
        </w:rPr>
      </w:pPr>
      <w:r w:rsidRPr="001C693E">
        <w:rPr>
          <w:szCs w:val="22"/>
        </w:rPr>
        <w:t>kita ranka suimkite viršutinę ampulės dalį ir, nykščiu spausdami nudažytą vietą, nulaužkite ampulės galą, kaip parodyta 2 paveiksle.</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r w:rsidRPr="001C693E">
        <w:rPr>
          <w:noProof/>
          <w:color w:val="211D1E"/>
          <w:szCs w:val="22"/>
        </w:rPr>
        <w:drawing>
          <wp:inline distT="0" distB="0" distL="0" distR="0" wp14:anchorId="3D7C1434" wp14:editId="5C1FEDFA">
            <wp:extent cx="1476375" cy="600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76375" cy="600075"/>
                    </a:xfrm>
                    <a:prstGeom prst="rect">
                      <a:avLst/>
                    </a:prstGeom>
                    <a:noFill/>
                    <a:ln w="9525">
                      <a:noFill/>
                      <a:miter lim="800000"/>
                      <a:headEnd/>
                      <a:tailEnd/>
                    </a:ln>
                  </pic:spPr>
                </pic:pic>
              </a:graphicData>
            </a:graphic>
          </wp:inline>
        </w:drawing>
      </w:r>
    </w:p>
    <w:p w:rsidR="00F82EEC" w:rsidRPr="001C693E" w:rsidRDefault="00F82EEC" w:rsidP="00F82EEC">
      <w:pPr>
        <w:pStyle w:val="Pagrindinistekstas"/>
        <w:spacing w:after="0"/>
        <w:rPr>
          <w:szCs w:val="22"/>
        </w:rPr>
      </w:pPr>
      <w:r w:rsidRPr="001C693E">
        <w:rPr>
          <w:szCs w:val="22"/>
        </w:rPr>
        <w:t>1 paveikslas   2 paveikslas</w:t>
      </w:r>
    </w:p>
    <w:p w:rsidR="00F82EEC" w:rsidRPr="001C693E" w:rsidRDefault="00F82EEC" w:rsidP="00F82EEC">
      <w:pPr>
        <w:pStyle w:val="Pagrindinistekstas"/>
        <w:spacing w:after="0"/>
        <w:rPr>
          <w:szCs w:val="22"/>
        </w:rPr>
      </w:pPr>
    </w:p>
    <w:p w:rsidR="00F82EEC" w:rsidRPr="001C693E" w:rsidRDefault="00F82EEC" w:rsidP="00F82EEC">
      <w:pPr>
        <w:pStyle w:val="Antrat3"/>
        <w:pBdr>
          <w:top w:val="none" w:sz="0" w:space="0" w:color="auto"/>
          <w:left w:val="none" w:sz="0" w:space="0" w:color="auto"/>
          <w:bottom w:val="none" w:sz="0" w:space="0" w:color="auto"/>
          <w:right w:val="none" w:sz="0" w:space="0" w:color="auto"/>
        </w:pBdr>
        <w:rPr>
          <w:szCs w:val="22"/>
        </w:rPr>
      </w:pPr>
      <w:r w:rsidRPr="001C693E">
        <w:rPr>
          <w:szCs w:val="22"/>
        </w:rPr>
        <w:t xml:space="preserve">Ką daryti pavartojus per didelę </w:t>
      </w:r>
      <w:proofErr w:type="spellStart"/>
      <w:r w:rsidRPr="001C693E">
        <w:rPr>
          <w:caps/>
          <w:szCs w:val="22"/>
        </w:rPr>
        <w:t>N</w:t>
      </w:r>
      <w:r w:rsidRPr="001C693E">
        <w:rPr>
          <w:szCs w:val="22"/>
        </w:rPr>
        <w:t>imbex</w:t>
      </w:r>
      <w:proofErr w:type="spellEnd"/>
      <w:r w:rsidRPr="001C693E">
        <w:rPr>
          <w:szCs w:val="22"/>
        </w:rPr>
        <w:t xml:space="preserve"> dozę?</w:t>
      </w:r>
    </w:p>
    <w:p w:rsidR="00F82EEC" w:rsidRPr="001C693E" w:rsidRDefault="00F82EEC" w:rsidP="00F82EEC">
      <w:pPr>
        <w:pStyle w:val="Pagrindinistekstas"/>
        <w:spacing w:after="0"/>
        <w:rPr>
          <w:szCs w:val="22"/>
        </w:rPr>
      </w:pPr>
      <w:r w:rsidRPr="001C693E">
        <w:rPr>
          <w:szCs w:val="22"/>
        </w:rPr>
        <w:t xml:space="preserve">Pagrindinis </w:t>
      </w:r>
      <w:proofErr w:type="spellStart"/>
      <w:r w:rsidRPr="001C693E">
        <w:rPr>
          <w:caps/>
          <w:szCs w:val="22"/>
        </w:rPr>
        <w:t>N</w:t>
      </w:r>
      <w:r w:rsidRPr="001C693E">
        <w:rPr>
          <w:szCs w:val="22"/>
        </w:rPr>
        <w:t>imbex</w:t>
      </w:r>
      <w:proofErr w:type="spellEnd"/>
      <w:r w:rsidRPr="001C693E">
        <w:rPr>
          <w:szCs w:val="22"/>
        </w:rPr>
        <w:t xml:space="preserve"> perdozavimo požymis būtų ilgalaikis raumenų paralyžius ir jo pasekmės.</w:t>
      </w:r>
      <w:r w:rsidRPr="001C693E">
        <w:rPr>
          <w:caps/>
          <w:szCs w:val="22"/>
        </w:rPr>
        <w:t xml:space="preserve"> T</w:t>
      </w:r>
      <w:r w:rsidRPr="001C693E">
        <w:rPr>
          <w:szCs w:val="22"/>
        </w:rPr>
        <w:t xml:space="preserve">ačiau </w:t>
      </w:r>
      <w:proofErr w:type="spellStart"/>
      <w:r w:rsidRPr="001C693E">
        <w:rPr>
          <w:caps/>
          <w:szCs w:val="22"/>
        </w:rPr>
        <w:t>N</w:t>
      </w:r>
      <w:r w:rsidRPr="001C693E">
        <w:rPr>
          <w:szCs w:val="22"/>
        </w:rPr>
        <w:t>imbex</w:t>
      </w:r>
      <w:proofErr w:type="spellEnd"/>
      <w:r w:rsidRPr="001C693E">
        <w:rPr>
          <w:szCs w:val="22"/>
        </w:rPr>
        <w:t xml:space="preserve"> poveikis atidžiai stebimas operacijos metu ir, jei jo gautumėte per daug, nedelsiant būtų imamasi reikiamų priemonių.</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Antrat2"/>
        <w:rPr>
          <w:szCs w:val="22"/>
        </w:rPr>
      </w:pPr>
      <w:r w:rsidRPr="001C693E">
        <w:rPr>
          <w:szCs w:val="22"/>
        </w:rPr>
        <w:t>4.</w:t>
      </w:r>
      <w:r w:rsidRPr="001C693E">
        <w:rPr>
          <w:szCs w:val="22"/>
        </w:rPr>
        <w:tab/>
        <w:t>Galimas šalutinis poveikis</w:t>
      </w:r>
    </w:p>
    <w:p w:rsidR="00F82EEC" w:rsidRPr="001C693E" w:rsidRDefault="00F82EEC" w:rsidP="00F82EEC">
      <w:pPr>
        <w:pStyle w:val="Pagrindinistekstas"/>
        <w:spacing w:after="0"/>
        <w:rPr>
          <w:szCs w:val="22"/>
        </w:rPr>
      </w:pPr>
    </w:p>
    <w:p w:rsidR="00F82EEC" w:rsidRPr="001C693E" w:rsidRDefault="00F82EEC" w:rsidP="00F82EEC">
      <w:pPr>
        <w:rPr>
          <w:szCs w:val="22"/>
        </w:rPr>
      </w:pPr>
      <w:r w:rsidRPr="001C693E">
        <w:rPr>
          <w:szCs w:val="22"/>
        </w:rPr>
        <w:t>Šis vaistas, kaip ir visi kiti, gali sukelti šalutinį poveikį, nors jis pasireiškia ne visiems žmonėms.</w:t>
      </w:r>
    </w:p>
    <w:p w:rsidR="00F82EEC" w:rsidRPr="001C693E" w:rsidRDefault="00F82EEC" w:rsidP="00F82EEC">
      <w:pPr>
        <w:rPr>
          <w:szCs w:val="22"/>
        </w:rPr>
      </w:pPr>
    </w:p>
    <w:p w:rsidR="00F82EEC" w:rsidRPr="001C693E" w:rsidRDefault="00F82EEC" w:rsidP="00F82EEC">
      <w:pPr>
        <w:rPr>
          <w:szCs w:val="22"/>
        </w:rPr>
      </w:pPr>
      <w:r w:rsidRPr="001C693E">
        <w:rPr>
          <w:i/>
          <w:szCs w:val="22"/>
        </w:rPr>
        <w:t>Dažnas šalutinis poveikis</w:t>
      </w:r>
      <w:r w:rsidRPr="001C693E">
        <w:rPr>
          <w:szCs w:val="22"/>
        </w:rPr>
        <w:t xml:space="preserve"> (pasireiškiantis ne daugiau kaip 1 pacientui iš 100):</w:t>
      </w:r>
    </w:p>
    <w:p w:rsidR="00F82EEC" w:rsidRPr="001C693E" w:rsidRDefault="00F82EEC" w:rsidP="00F82EEC">
      <w:pPr>
        <w:numPr>
          <w:ilvl w:val="0"/>
          <w:numId w:val="6"/>
        </w:numPr>
        <w:rPr>
          <w:szCs w:val="22"/>
        </w:rPr>
      </w:pPr>
      <w:proofErr w:type="spellStart"/>
      <w:r w:rsidRPr="001C693E">
        <w:rPr>
          <w:szCs w:val="22"/>
        </w:rPr>
        <w:t>Bradikardija</w:t>
      </w:r>
      <w:proofErr w:type="spellEnd"/>
      <w:r w:rsidRPr="001C693E">
        <w:rPr>
          <w:szCs w:val="22"/>
        </w:rPr>
        <w:t>,</w:t>
      </w:r>
    </w:p>
    <w:p w:rsidR="00F82EEC" w:rsidRPr="001C693E" w:rsidRDefault="00F82EEC" w:rsidP="00F82EEC">
      <w:pPr>
        <w:numPr>
          <w:ilvl w:val="0"/>
          <w:numId w:val="6"/>
        </w:numPr>
        <w:rPr>
          <w:szCs w:val="22"/>
        </w:rPr>
      </w:pPr>
      <w:proofErr w:type="spellStart"/>
      <w:r w:rsidRPr="001C693E">
        <w:rPr>
          <w:szCs w:val="22"/>
        </w:rPr>
        <w:t>hipotenzija</w:t>
      </w:r>
      <w:proofErr w:type="spellEnd"/>
      <w:r w:rsidRPr="001C693E">
        <w:rPr>
          <w:szCs w:val="22"/>
        </w:rPr>
        <w:t xml:space="preserve"> (širdies ritmo sulėtėjimas).</w:t>
      </w:r>
    </w:p>
    <w:p w:rsidR="00F82EEC" w:rsidRPr="001C693E" w:rsidRDefault="00F82EEC" w:rsidP="00F82EEC">
      <w:pPr>
        <w:rPr>
          <w:szCs w:val="22"/>
        </w:rPr>
      </w:pPr>
    </w:p>
    <w:p w:rsidR="00F82EEC" w:rsidRPr="001C693E" w:rsidRDefault="00F82EEC" w:rsidP="00F82EEC">
      <w:pPr>
        <w:rPr>
          <w:szCs w:val="22"/>
        </w:rPr>
      </w:pPr>
      <w:r w:rsidRPr="001C693E">
        <w:rPr>
          <w:i/>
          <w:szCs w:val="22"/>
        </w:rPr>
        <w:t>Nedažnas šalutinis poveikis</w:t>
      </w:r>
      <w:r w:rsidRPr="001C693E">
        <w:rPr>
          <w:szCs w:val="22"/>
        </w:rPr>
        <w:t xml:space="preserve"> (pasireiškiantis ne daugiau kaip 1 pacientui iš 1000):</w:t>
      </w:r>
    </w:p>
    <w:p w:rsidR="00F82EEC" w:rsidRPr="001C693E" w:rsidRDefault="00F82EEC" w:rsidP="00F82EEC">
      <w:pPr>
        <w:numPr>
          <w:ilvl w:val="0"/>
          <w:numId w:val="6"/>
        </w:numPr>
        <w:rPr>
          <w:szCs w:val="22"/>
        </w:rPr>
      </w:pPr>
      <w:r w:rsidRPr="001C693E">
        <w:rPr>
          <w:szCs w:val="22"/>
        </w:rPr>
        <w:t>odos paraudimas,</w:t>
      </w:r>
    </w:p>
    <w:p w:rsidR="00F82EEC" w:rsidRPr="001C693E" w:rsidRDefault="00F82EEC" w:rsidP="00F82EEC">
      <w:pPr>
        <w:numPr>
          <w:ilvl w:val="0"/>
          <w:numId w:val="6"/>
        </w:numPr>
        <w:rPr>
          <w:szCs w:val="22"/>
        </w:rPr>
      </w:pPr>
      <w:r w:rsidRPr="001C693E">
        <w:rPr>
          <w:szCs w:val="22"/>
        </w:rPr>
        <w:t>bronchų spazmas,</w:t>
      </w:r>
    </w:p>
    <w:p w:rsidR="00F82EEC" w:rsidRPr="001C693E" w:rsidRDefault="00F82EEC" w:rsidP="00F82EEC">
      <w:pPr>
        <w:numPr>
          <w:ilvl w:val="0"/>
          <w:numId w:val="6"/>
        </w:numPr>
        <w:rPr>
          <w:szCs w:val="22"/>
        </w:rPr>
      </w:pPr>
      <w:r w:rsidRPr="001C693E">
        <w:rPr>
          <w:szCs w:val="22"/>
        </w:rPr>
        <w:t>bėrimas.</w:t>
      </w:r>
    </w:p>
    <w:p w:rsidR="00F82EEC" w:rsidRPr="001C693E" w:rsidRDefault="00F82EEC" w:rsidP="00F82EEC">
      <w:pPr>
        <w:rPr>
          <w:szCs w:val="22"/>
        </w:rPr>
      </w:pPr>
    </w:p>
    <w:p w:rsidR="00F82EEC" w:rsidRPr="001C693E" w:rsidRDefault="00F82EEC" w:rsidP="00F82EEC">
      <w:pPr>
        <w:rPr>
          <w:i/>
          <w:szCs w:val="22"/>
        </w:rPr>
      </w:pPr>
      <w:r w:rsidRPr="001C693E">
        <w:rPr>
          <w:i/>
          <w:szCs w:val="22"/>
        </w:rPr>
        <w:t xml:space="preserve">Labai retas šalutinis poveikis </w:t>
      </w:r>
    </w:p>
    <w:p w:rsidR="00F82EEC" w:rsidRPr="001C693E" w:rsidRDefault="00F82EEC" w:rsidP="00F82EEC">
      <w:pPr>
        <w:rPr>
          <w:szCs w:val="22"/>
        </w:rPr>
      </w:pPr>
      <w:r w:rsidRPr="001C693E">
        <w:rPr>
          <w:szCs w:val="22"/>
        </w:rPr>
        <w:t xml:space="preserve">Labai retai gali įvykti raumenų silpnumas ir </w:t>
      </w:r>
      <w:proofErr w:type="spellStart"/>
      <w:r w:rsidRPr="001C693E">
        <w:rPr>
          <w:szCs w:val="22"/>
        </w:rPr>
        <w:t>anafilaksija</w:t>
      </w:r>
      <w:proofErr w:type="spellEnd"/>
      <w:r w:rsidRPr="001C693E">
        <w:rPr>
          <w:szCs w:val="22"/>
        </w:rPr>
        <w:t xml:space="preserve"> – sunki alerginė reakcija</w:t>
      </w:r>
      <w:r>
        <w:rPr>
          <w:szCs w:val="22"/>
        </w:rPr>
        <w:t xml:space="preserve"> </w:t>
      </w:r>
      <w:r w:rsidRPr="003C7660">
        <w:rPr>
          <w:szCs w:val="22"/>
        </w:rPr>
        <w:t>ir šokas</w:t>
      </w:r>
      <w:r w:rsidRPr="001C693E">
        <w:rPr>
          <w:szCs w:val="22"/>
        </w:rPr>
        <w:t>. Suleidus vaisto, tokios reakcijos paprastai atsiranda per 30 min.</w:t>
      </w:r>
    </w:p>
    <w:p w:rsidR="00F82EEC" w:rsidRPr="001C693E" w:rsidRDefault="00F82EEC" w:rsidP="00F82EEC">
      <w:pPr>
        <w:rPr>
          <w:szCs w:val="22"/>
        </w:rPr>
      </w:pPr>
    </w:p>
    <w:p w:rsidR="00F82EEC" w:rsidRPr="001C693E" w:rsidRDefault="00F82EEC" w:rsidP="00F82EEC">
      <w:pPr>
        <w:rPr>
          <w:b/>
          <w:szCs w:val="22"/>
        </w:rPr>
      </w:pPr>
      <w:r w:rsidRPr="001C693E">
        <w:rPr>
          <w:b/>
          <w:noProof/>
          <w:szCs w:val="22"/>
        </w:rPr>
        <w:t>Pranešimas apie šalutinį poveikį</w:t>
      </w:r>
    </w:p>
    <w:p w:rsidR="00F82EEC" w:rsidRPr="00837997" w:rsidRDefault="00F82EEC" w:rsidP="00F82EEC">
      <w:pPr>
        <w:ind w:right="-449"/>
        <w:rPr>
          <w:szCs w:val="22"/>
        </w:rPr>
      </w:pPr>
      <w:r w:rsidRPr="001C693E">
        <w:rPr>
          <w:noProof/>
          <w:szCs w:val="22"/>
        </w:rPr>
        <w:t>Jeigu pasireiškė šalutinis poveikis, įskaitant šiame lapelyje nenurodytą, pasakykite gydytojui arba vaistininkui</w:t>
      </w:r>
      <w:r w:rsidRPr="001C693E">
        <w:rPr>
          <w:szCs w:val="22"/>
        </w:rPr>
        <w:t>.</w:t>
      </w:r>
      <w:r w:rsidRPr="001C693E">
        <w:rPr>
          <w:noProof/>
          <w:szCs w:val="22"/>
        </w:rPr>
        <w:t xml:space="preserve"> </w:t>
      </w:r>
    </w:p>
    <w:p w:rsidR="00F82EEC" w:rsidRPr="001C693E" w:rsidRDefault="00F82EEC" w:rsidP="00F82EEC">
      <w:pPr>
        <w:ind w:right="-449"/>
        <w:rPr>
          <w:noProof/>
          <w:szCs w:val="22"/>
        </w:rPr>
      </w:pPr>
      <w:r w:rsidRPr="00837997">
        <w:rPr>
          <w:szCs w:val="22"/>
        </w:rPr>
        <w:t>Apie šalutinį poveikį taip pat galite pranešti Valstybinei vaistų kontrolės tarnybai prie Lietuvos Respublikos sveikatos apsaugos ministerijos nemokamu t</w:t>
      </w:r>
      <w:r w:rsidRPr="003F4F16">
        <w:rPr>
          <w:szCs w:val="22"/>
          <w:lang w:eastAsia="zh-CN"/>
        </w:rPr>
        <w:t>elefonu 8 800 73568</w:t>
      </w:r>
      <w:r w:rsidRPr="003F4F16">
        <w:rPr>
          <w:szCs w:val="22"/>
        </w:rPr>
        <w:t xml:space="preserve"> arba užpildyti interneto svetainėje </w:t>
      </w:r>
      <w:hyperlink r:id="rId6" w:history="1">
        <w:r w:rsidRPr="001C693E">
          <w:rPr>
            <w:rStyle w:val="Hipersaitas"/>
            <w:rFonts w:eastAsia="SimSun"/>
            <w:szCs w:val="22"/>
          </w:rPr>
          <w:t>www.vvkt.lt</w:t>
        </w:r>
      </w:hyperlink>
      <w:r w:rsidRPr="001C693E">
        <w:rPr>
          <w:szCs w:val="22"/>
        </w:rPr>
        <w:t xml:space="preserve"> esančią formą ir pateikti ją Valstybinei vaistų kontrolės tarnybai prie Lietuvos Respublikos sveikatos apsaugos ministerijos vienu iš šių būdų: raštu (adresu Žirmūnų g. 139A, LT-09120 Vilnius), </w:t>
      </w:r>
      <w:r w:rsidRPr="001C693E">
        <w:rPr>
          <w:szCs w:val="22"/>
          <w:lang w:eastAsia="zh-CN"/>
        </w:rPr>
        <w:t xml:space="preserve">nemokamu </w:t>
      </w:r>
      <w:r w:rsidRPr="00837997">
        <w:rPr>
          <w:szCs w:val="22"/>
        </w:rPr>
        <w:t>fakso numeriu 8 800 20131</w:t>
      </w:r>
      <w:r w:rsidRPr="00837997">
        <w:rPr>
          <w:szCs w:val="22"/>
          <w:lang w:eastAsia="zh-CN"/>
        </w:rPr>
        <w:t xml:space="preserve">, </w:t>
      </w:r>
      <w:r w:rsidRPr="00837997">
        <w:rPr>
          <w:szCs w:val="22"/>
        </w:rPr>
        <w:t xml:space="preserve">el. paštu </w:t>
      </w:r>
      <w:hyperlink r:id="rId7" w:history="1">
        <w:r w:rsidRPr="001C693E">
          <w:rPr>
            <w:rStyle w:val="Hipersaitas"/>
            <w:rFonts w:eastAsia="SimSun"/>
            <w:szCs w:val="22"/>
          </w:rPr>
          <w:t>NepageidaujamaR@vvkt.lt</w:t>
        </w:r>
      </w:hyperlink>
      <w:r w:rsidRPr="001C693E">
        <w:rPr>
          <w:szCs w:val="22"/>
        </w:rPr>
        <w:t xml:space="preserve">, taip pat per Valstybinės vaistų kontrolės tarnybos prie Lietuvos Respublikos sveikatos apsaugos ministerijos interneto svetainę (adresu </w:t>
      </w:r>
      <w:hyperlink r:id="rId8" w:history="1">
        <w:r w:rsidRPr="001C693E">
          <w:rPr>
            <w:rStyle w:val="Hipersaitas"/>
            <w:rFonts w:eastAsia="SimSun"/>
            <w:szCs w:val="22"/>
          </w:rPr>
          <w:t>htt</w:t>
        </w:r>
        <w:r w:rsidRPr="00837997">
          <w:rPr>
            <w:rStyle w:val="Hipersaitas"/>
            <w:rFonts w:eastAsia="SimSun"/>
            <w:szCs w:val="22"/>
          </w:rPr>
          <w:t>p://www.vvkt.lt</w:t>
        </w:r>
      </w:hyperlink>
      <w:r w:rsidRPr="001C693E">
        <w:rPr>
          <w:szCs w:val="22"/>
        </w:rPr>
        <w:t>). Pranešdami apie šalutinį poveikį galite mums padėti gauti daugiau informacijos apie šio vaisto saugumą.</w:t>
      </w:r>
    </w:p>
    <w:p w:rsidR="00F82EEC" w:rsidRPr="001C693E" w:rsidRDefault="00F82EEC" w:rsidP="00F82EEC">
      <w:pPr>
        <w:ind w:right="49"/>
        <w:rPr>
          <w:szCs w:val="22"/>
        </w:rPr>
      </w:pPr>
    </w:p>
    <w:p w:rsidR="00F82EEC" w:rsidRPr="001C693E" w:rsidRDefault="00F82EEC" w:rsidP="00F82EEC">
      <w:pPr>
        <w:pStyle w:val="Pagrindinistekstas"/>
        <w:spacing w:after="0"/>
        <w:rPr>
          <w:szCs w:val="22"/>
        </w:rPr>
      </w:pPr>
    </w:p>
    <w:p w:rsidR="00F82EEC" w:rsidRPr="001C693E" w:rsidRDefault="00F82EEC" w:rsidP="00F82EEC">
      <w:pPr>
        <w:pStyle w:val="Antrat2"/>
        <w:rPr>
          <w:szCs w:val="22"/>
        </w:rPr>
      </w:pPr>
      <w:r w:rsidRPr="001C693E">
        <w:rPr>
          <w:szCs w:val="22"/>
        </w:rPr>
        <w:lastRenderedPageBreak/>
        <w:t>5.</w:t>
      </w:r>
      <w:r w:rsidRPr="001C693E">
        <w:rPr>
          <w:szCs w:val="22"/>
        </w:rPr>
        <w:tab/>
        <w:t xml:space="preserve">Kaip laikyti </w:t>
      </w:r>
      <w:proofErr w:type="spellStart"/>
      <w:r w:rsidRPr="001C693E">
        <w:rPr>
          <w:szCs w:val="22"/>
        </w:rPr>
        <w:t>Nimbex</w:t>
      </w:r>
      <w:proofErr w:type="spellEnd"/>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r w:rsidRPr="001C693E">
        <w:rPr>
          <w:szCs w:val="22"/>
        </w:rPr>
        <w:t>Šį vaistą laikykite vaikams nepastebimoje ir nepasiekiamoje vietoje.</w:t>
      </w:r>
    </w:p>
    <w:p w:rsidR="00F82EEC" w:rsidRPr="001C693E" w:rsidRDefault="00F82EEC" w:rsidP="00F82EEC">
      <w:pPr>
        <w:pStyle w:val="Pagrindinistekstas"/>
        <w:spacing w:after="0"/>
        <w:rPr>
          <w:szCs w:val="22"/>
        </w:rPr>
      </w:pPr>
      <w:r w:rsidRPr="001C693E">
        <w:rPr>
          <w:szCs w:val="22"/>
        </w:rPr>
        <w:t xml:space="preserve">Laikyti šaldytuve (2 </w:t>
      </w:r>
      <w:r w:rsidRPr="001C693E">
        <w:rPr>
          <w:szCs w:val="22"/>
        </w:rPr>
        <w:sym w:font="Symbol" w:char="F0B0"/>
      </w:r>
      <w:r w:rsidRPr="001C693E">
        <w:rPr>
          <w:szCs w:val="22"/>
        </w:rPr>
        <w:t xml:space="preserve">C – 8 </w:t>
      </w:r>
      <w:r w:rsidRPr="001C693E">
        <w:rPr>
          <w:szCs w:val="22"/>
        </w:rPr>
        <w:sym w:font="Symbol" w:char="F0B0"/>
      </w:r>
      <w:r w:rsidRPr="001C693E">
        <w:rPr>
          <w:szCs w:val="22"/>
        </w:rPr>
        <w:t>C).</w:t>
      </w:r>
    </w:p>
    <w:p w:rsidR="00F82EEC" w:rsidRPr="001C693E" w:rsidRDefault="00F82EEC" w:rsidP="00F82EEC">
      <w:pPr>
        <w:pStyle w:val="Pagrindinistekstas"/>
        <w:spacing w:after="0"/>
        <w:rPr>
          <w:szCs w:val="22"/>
        </w:rPr>
      </w:pPr>
      <w:r w:rsidRPr="001C693E">
        <w:rPr>
          <w:szCs w:val="22"/>
        </w:rPr>
        <w:t>Negalima užšaldyti.</w:t>
      </w:r>
    </w:p>
    <w:p w:rsidR="00F82EEC" w:rsidRPr="001C693E" w:rsidRDefault="00F82EEC" w:rsidP="00F82EEC">
      <w:pPr>
        <w:pStyle w:val="Pagrindinistekstas"/>
        <w:spacing w:after="0"/>
        <w:rPr>
          <w:szCs w:val="22"/>
        </w:rPr>
      </w:pPr>
      <w:r w:rsidRPr="001C693E">
        <w:rPr>
          <w:szCs w:val="22"/>
        </w:rPr>
        <w:t>Ampules laikyti išorinėje dėžutėje, kad preparatas būtų apsaugotas nuo šviesos.</w:t>
      </w:r>
    </w:p>
    <w:p w:rsidR="00F82EEC" w:rsidRPr="001C693E" w:rsidRDefault="00F82EEC" w:rsidP="00F82EEC">
      <w:pPr>
        <w:pStyle w:val="Pagrindinistekstas"/>
        <w:spacing w:after="0"/>
        <w:rPr>
          <w:szCs w:val="22"/>
        </w:rPr>
      </w:pPr>
      <w:r w:rsidRPr="001C693E">
        <w:rPr>
          <w:szCs w:val="22"/>
        </w:rPr>
        <w:t xml:space="preserve">Ant ampulės ir dėžutės po „Tinka iki“ nurodytam tinkamumo laikui pasibaigus šio vaisto vartoti negalima. Vaistas tinkamas vartoti iki paskutinės nurodyto mėnesio dienos. </w:t>
      </w:r>
    </w:p>
    <w:p w:rsidR="00F82EEC" w:rsidRPr="001C693E" w:rsidRDefault="00F82EEC" w:rsidP="00F82EEC">
      <w:pPr>
        <w:pStyle w:val="Pagrindinistekstas"/>
        <w:spacing w:after="0"/>
        <w:rPr>
          <w:szCs w:val="22"/>
        </w:rPr>
      </w:pPr>
      <w:r w:rsidRPr="001C693E">
        <w:rPr>
          <w:szCs w:val="22"/>
        </w:rPr>
        <w:t xml:space="preserve">Praskiesto tirpalo tinkamumo laikas - 24 val., laikant šaldytuve (2 </w:t>
      </w:r>
      <w:r w:rsidRPr="001C693E">
        <w:rPr>
          <w:szCs w:val="22"/>
        </w:rPr>
        <w:sym w:font="Symbol" w:char="F0B0"/>
      </w:r>
      <w:r w:rsidRPr="001C693E">
        <w:rPr>
          <w:szCs w:val="22"/>
        </w:rPr>
        <w:t xml:space="preserve">C – 8 </w:t>
      </w:r>
      <w:r w:rsidRPr="001C693E">
        <w:rPr>
          <w:szCs w:val="22"/>
        </w:rPr>
        <w:sym w:font="Symbol" w:char="F0B0"/>
      </w:r>
      <w:r w:rsidRPr="001C693E">
        <w:rPr>
          <w:szCs w:val="22"/>
        </w:rPr>
        <w:t>C).</w:t>
      </w:r>
    </w:p>
    <w:p w:rsidR="00F82EEC" w:rsidRPr="001C693E" w:rsidRDefault="00F82EEC" w:rsidP="00F82EEC">
      <w:pPr>
        <w:pStyle w:val="BTEMEASMCA"/>
      </w:pPr>
      <w:r w:rsidRPr="001C693E">
        <w:t>Vaistų negalima išmesti į kanalizaciją arba su buitinėmis atliekomis. Kaip išmesti nereikalingus vaistus, klauskite vaistininko. Šios priemonės padės apsaugoti aplinką.</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Antrat2"/>
        <w:rPr>
          <w:szCs w:val="22"/>
        </w:rPr>
      </w:pPr>
      <w:r w:rsidRPr="001C693E">
        <w:rPr>
          <w:szCs w:val="22"/>
        </w:rPr>
        <w:t>6.</w:t>
      </w:r>
      <w:r w:rsidRPr="001C693E">
        <w:rPr>
          <w:szCs w:val="22"/>
        </w:rPr>
        <w:tab/>
        <w:t>Pakuotės turinys ir kita informacija</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proofErr w:type="spellStart"/>
      <w:r w:rsidRPr="001C693E">
        <w:rPr>
          <w:b/>
          <w:szCs w:val="22"/>
        </w:rPr>
        <w:t>Nimbex</w:t>
      </w:r>
      <w:proofErr w:type="spellEnd"/>
      <w:r w:rsidRPr="001C693E">
        <w:rPr>
          <w:b/>
          <w:szCs w:val="22"/>
        </w:rPr>
        <w:t xml:space="preserve"> sudėtis</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ind w:left="567" w:hanging="567"/>
        <w:rPr>
          <w:szCs w:val="22"/>
        </w:rPr>
      </w:pPr>
      <w:r w:rsidRPr="001C693E">
        <w:rPr>
          <w:szCs w:val="22"/>
        </w:rPr>
        <w:t>-</w:t>
      </w:r>
      <w:r w:rsidRPr="001C693E">
        <w:rPr>
          <w:szCs w:val="22"/>
        </w:rPr>
        <w:tab/>
        <w:t xml:space="preserve">Veiklioji medžiaga yra </w:t>
      </w:r>
      <w:proofErr w:type="spellStart"/>
      <w:r w:rsidRPr="001C693E">
        <w:rPr>
          <w:szCs w:val="22"/>
        </w:rPr>
        <w:t>cisatrakuris</w:t>
      </w:r>
      <w:proofErr w:type="spellEnd"/>
      <w:r w:rsidRPr="001C693E">
        <w:rPr>
          <w:szCs w:val="22"/>
        </w:rPr>
        <w:t xml:space="preserve"> (</w:t>
      </w:r>
      <w:proofErr w:type="spellStart"/>
      <w:r w:rsidRPr="001C693E">
        <w:rPr>
          <w:szCs w:val="22"/>
        </w:rPr>
        <w:t>cisatrakurio</w:t>
      </w:r>
      <w:proofErr w:type="spellEnd"/>
      <w:r w:rsidRPr="001C693E">
        <w:rPr>
          <w:szCs w:val="22"/>
        </w:rPr>
        <w:t xml:space="preserve"> </w:t>
      </w:r>
      <w:proofErr w:type="spellStart"/>
      <w:r w:rsidRPr="001C693E">
        <w:rPr>
          <w:szCs w:val="22"/>
        </w:rPr>
        <w:t>besilato</w:t>
      </w:r>
      <w:proofErr w:type="spellEnd"/>
      <w:r w:rsidRPr="001C693E">
        <w:rPr>
          <w:szCs w:val="22"/>
        </w:rPr>
        <w:t xml:space="preserve"> pavidalu). 1 ml tirpalo yra 2 mg </w:t>
      </w:r>
      <w:proofErr w:type="spellStart"/>
      <w:r w:rsidRPr="001C693E">
        <w:rPr>
          <w:szCs w:val="22"/>
        </w:rPr>
        <w:t>cisatrakurio</w:t>
      </w:r>
      <w:proofErr w:type="spellEnd"/>
      <w:r w:rsidRPr="001C693E">
        <w:rPr>
          <w:szCs w:val="22"/>
        </w:rPr>
        <w:t xml:space="preserve">, atitinkančio 2,68 mg </w:t>
      </w:r>
      <w:proofErr w:type="spellStart"/>
      <w:r w:rsidRPr="001C693E">
        <w:rPr>
          <w:szCs w:val="22"/>
        </w:rPr>
        <w:t>cisatrakurio</w:t>
      </w:r>
      <w:proofErr w:type="spellEnd"/>
      <w:r w:rsidRPr="001C693E">
        <w:rPr>
          <w:szCs w:val="22"/>
        </w:rPr>
        <w:t xml:space="preserve"> </w:t>
      </w:r>
      <w:proofErr w:type="spellStart"/>
      <w:r w:rsidRPr="001C693E">
        <w:rPr>
          <w:szCs w:val="22"/>
        </w:rPr>
        <w:t>besilato</w:t>
      </w:r>
      <w:proofErr w:type="spellEnd"/>
      <w:r w:rsidRPr="001C693E">
        <w:rPr>
          <w:szCs w:val="22"/>
        </w:rPr>
        <w:t>.</w:t>
      </w:r>
    </w:p>
    <w:p w:rsidR="00F82EEC" w:rsidRPr="001C693E" w:rsidRDefault="00F82EEC" w:rsidP="00F82EEC">
      <w:pPr>
        <w:pStyle w:val="Pagrindinistekstas"/>
        <w:spacing w:after="0"/>
        <w:ind w:left="550" w:hanging="550"/>
        <w:rPr>
          <w:szCs w:val="22"/>
        </w:rPr>
      </w:pPr>
      <w:r w:rsidRPr="001C693E">
        <w:rPr>
          <w:szCs w:val="22"/>
        </w:rPr>
        <w:t>-</w:t>
      </w:r>
      <w:r w:rsidRPr="001C693E">
        <w:rPr>
          <w:szCs w:val="22"/>
        </w:rPr>
        <w:tab/>
        <w:t xml:space="preserve">Pagalbinės medžiagos yra injekcinis vanduo ir </w:t>
      </w:r>
      <w:proofErr w:type="spellStart"/>
      <w:r w:rsidRPr="001C693E">
        <w:rPr>
          <w:szCs w:val="22"/>
        </w:rPr>
        <w:t>benzensulfonrūgštis</w:t>
      </w:r>
      <w:proofErr w:type="spellEnd"/>
      <w:r w:rsidRPr="001C693E">
        <w:rPr>
          <w:szCs w:val="22"/>
        </w:rPr>
        <w:t>.</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proofErr w:type="spellStart"/>
      <w:r w:rsidRPr="001C693E">
        <w:rPr>
          <w:b/>
          <w:caps/>
          <w:szCs w:val="22"/>
        </w:rPr>
        <w:t>N</w:t>
      </w:r>
      <w:r w:rsidRPr="001C693E">
        <w:rPr>
          <w:b/>
          <w:szCs w:val="22"/>
        </w:rPr>
        <w:t>imbex</w:t>
      </w:r>
      <w:proofErr w:type="spellEnd"/>
      <w:r w:rsidRPr="001C693E">
        <w:rPr>
          <w:b/>
          <w:szCs w:val="22"/>
        </w:rPr>
        <w:t xml:space="preserve"> išvaizda ir kiekis pakuotėje</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roofErr w:type="spellStart"/>
      <w:r w:rsidRPr="001C693E">
        <w:rPr>
          <w:caps/>
          <w:szCs w:val="22"/>
        </w:rPr>
        <w:t>N</w:t>
      </w:r>
      <w:r w:rsidRPr="001C693E">
        <w:rPr>
          <w:szCs w:val="22"/>
        </w:rPr>
        <w:t>imbex</w:t>
      </w:r>
      <w:proofErr w:type="spellEnd"/>
      <w:r w:rsidRPr="001C693E">
        <w:rPr>
          <w:szCs w:val="22"/>
        </w:rPr>
        <w:t xml:space="preserve"> yra bespalvis arba balkšvas arba žalsvai gelsvas tirpalas,  be matomų dalelių. </w:t>
      </w:r>
      <w:proofErr w:type="spellStart"/>
      <w:r w:rsidRPr="001C693E">
        <w:rPr>
          <w:szCs w:val="22"/>
        </w:rPr>
        <w:t>Nimbex</w:t>
      </w:r>
      <w:proofErr w:type="spellEnd"/>
      <w:r w:rsidRPr="001C693E">
        <w:rPr>
          <w:szCs w:val="22"/>
        </w:rPr>
        <w:t xml:space="preserve"> tiekiamas 2,5 ml ampulėse (kuriose yra 5 mg </w:t>
      </w:r>
      <w:proofErr w:type="spellStart"/>
      <w:r w:rsidRPr="001C693E">
        <w:rPr>
          <w:szCs w:val="22"/>
        </w:rPr>
        <w:t>cisatrakurio</w:t>
      </w:r>
      <w:proofErr w:type="spellEnd"/>
      <w:r w:rsidRPr="001C693E">
        <w:rPr>
          <w:szCs w:val="22"/>
        </w:rPr>
        <w:t xml:space="preserve">) arba 5 ml ampulėse (kuriose yra 10 mg </w:t>
      </w:r>
      <w:proofErr w:type="spellStart"/>
      <w:r w:rsidRPr="001C693E">
        <w:rPr>
          <w:szCs w:val="22"/>
        </w:rPr>
        <w:t>cisatrakurio</w:t>
      </w:r>
      <w:proofErr w:type="spellEnd"/>
      <w:r w:rsidRPr="001C693E">
        <w:rPr>
          <w:szCs w:val="22"/>
        </w:rPr>
        <w:t xml:space="preserve">). Dėžutėje yra 5 ampulės po 2,5 ml ar 5 ml tirpalo. </w:t>
      </w:r>
    </w:p>
    <w:p w:rsidR="00F82EEC" w:rsidRPr="001C693E" w:rsidRDefault="00F82EEC" w:rsidP="00F82EEC">
      <w:pPr>
        <w:pStyle w:val="Pagrindinistekstas"/>
        <w:spacing w:after="0"/>
        <w:rPr>
          <w:szCs w:val="22"/>
        </w:rPr>
      </w:pPr>
      <w:r w:rsidRPr="001C693E">
        <w:rPr>
          <w:noProof/>
          <w:szCs w:val="22"/>
        </w:rPr>
        <w:t>Gali būti tiekiamos ne visų dydžių pakuotės.</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r w:rsidRPr="001C693E">
        <w:rPr>
          <w:b/>
          <w:caps/>
          <w:szCs w:val="22"/>
        </w:rPr>
        <w:t>R</w:t>
      </w:r>
      <w:r w:rsidRPr="001C693E">
        <w:rPr>
          <w:b/>
          <w:szCs w:val="22"/>
        </w:rPr>
        <w:t>inkodaros teisės turėtojas ir gamintojas</w:t>
      </w:r>
    </w:p>
    <w:p w:rsidR="00F82EEC" w:rsidRPr="001C693E" w:rsidRDefault="00F82EEC" w:rsidP="00F82EEC">
      <w:pPr>
        <w:pStyle w:val="Pagrindinistekstas"/>
        <w:spacing w:after="0"/>
        <w:rPr>
          <w:i/>
          <w:szCs w:val="22"/>
        </w:rPr>
      </w:pPr>
    </w:p>
    <w:p w:rsidR="00F82EEC" w:rsidRPr="001C693E" w:rsidRDefault="00F82EEC" w:rsidP="00F82EEC">
      <w:pPr>
        <w:pStyle w:val="Pagrindinistekstas"/>
        <w:spacing w:after="0"/>
        <w:rPr>
          <w:i/>
          <w:szCs w:val="22"/>
        </w:rPr>
      </w:pPr>
      <w:r w:rsidRPr="001C693E">
        <w:rPr>
          <w:i/>
          <w:szCs w:val="22"/>
        </w:rPr>
        <w:t>Registruotojas</w:t>
      </w:r>
    </w:p>
    <w:p w:rsidR="00F82EEC" w:rsidRPr="001C693E" w:rsidRDefault="00F82EEC" w:rsidP="00F82EEC">
      <w:pPr>
        <w:ind w:left="567" w:hanging="567"/>
        <w:rPr>
          <w:szCs w:val="22"/>
        </w:rPr>
      </w:pPr>
      <w:proofErr w:type="spellStart"/>
      <w:r w:rsidRPr="001C693E">
        <w:rPr>
          <w:szCs w:val="22"/>
        </w:rPr>
        <w:t>Aspen</w:t>
      </w:r>
      <w:proofErr w:type="spellEnd"/>
      <w:r w:rsidRPr="001C693E">
        <w:rPr>
          <w:szCs w:val="22"/>
        </w:rPr>
        <w:t xml:space="preserve"> </w:t>
      </w:r>
      <w:proofErr w:type="spellStart"/>
      <w:r w:rsidRPr="001C693E">
        <w:rPr>
          <w:szCs w:val="22"/>
        </w:rPr>
        <w:t>Pharma</w:t>
      </w:r>
      <w:proofErr w:type="spellEnd"/>
      <w:r w:rsidRPr="001C693E">
        <w:rPr>
          <w:szCs w:val="22"/>
        </w:rPr>
        <w:t xml:space="preserve"> </w:t>
      </w:r>
      <w:proofErr w:type="spellStart"/>
      <w:r w:rsidRPr="001C693E">
        <w:rPr>
          <w:szCs w:val="22"/>
        </w:rPr>
        <w:t>Trading</w:t>
      </w:r>
      <w:proofErr w:type="spellEnd"/>
      <w:r w:rsidRPr="001C693E">
        <w:rPr>
          <w:szCs w:val="22"/>
        </w:rPr>
        <w:t xml:space="preserve"> </w:t>
      </w:r>
      <w:proofErr w:type="spellStart"/>
      <w:r w:rsidRPr="001C693E">
        <w:rPr>
          <w:szCs w:val="22"/>
        </w:rPr>
        <w:t>Limited</w:t>
      </w:r>
      <w:proofErr w:type="spellEnd"/>
    </w:p>
    <w:p w:rsidR="00F82EEC" w:rsidRPr="001C693E" w:rsidRDefault="00F82EEC" w:rsidP="00F82EEC">
      <w:pPr>
        <w:ind w:left="567" w:hanging="567"/>
        <w:rPr>
          <w:szCs w:val="22"/>
        </w:rPr>
      </w:pPr>
      <w:r w:rsidRPr="001C693E">
        <w:rPr>
          <w:szCs w:val="22"/>
        </w:rPr>
        <w:t xml:space="preserve">3016 Lake </w:t>
      </w:r>
      <w:proofErr w:type="spellStart"/>
      <w:r w:rsidRPr="001C693E">
        <w:rPr>
          <w:szCs w:val="22"/>
        </w:rPr>
        <w:t>Drive</w:t>
      </w:r>
      <w:proofErr w:type="spellEnd"/>
    </w:p>
    <w:p w:rsidR="00F82EEC" w:rsidRPr="001C693E" w:rsidRDefault="00F82EEC" w:rsidP="00F82EEC">
      <w:pPr>
        <w:ind w:left="567" w:hanging="567"/>
        <w:rPr>
          <w:szCs w:val="22"/>
        </w:rPr>
      </w:pPr>
      <w:proofErr w:type="spellStart"/>
      <w:r w:rsidRPr="001C693E">
        <w:rPr>
          <w:szCs w:val="22"/>
        </w:rPr>
        <w:t>Citywest</w:t>
      </w:r>
      <w:proofErr w:type="spellEnd"/>
      <w:r w:rsidRPr="001C693E">
        <w:rPr>
          <w:szCs w:val="22"/>
        </w:rPr>
        <w:t xml:space="preserve"> </w:t>
      </w:r>
      <w:proofErr w:type="spellStart"/>
      <w:r w:rsidRPr="001C693E">
        <w:rPr>
          <w:szCs w:val="22"/>
        </w:rPr>
        <w:t>Business</w:t>
      </w:r>
      <w:proofErr w:type="spellEnd"/>
      <w:r w:rsidRPr="001C693E">
        <w:rPr>
          <w:szCs w:val="22"/>
        </w:rPr>
        <w:t xml:space="preserve"> </w:t>
      </w:r>
      <w:proofErr w:type="spellStart"/>
      <w:r w:rsidRPr="001C693E">
        <w:rPr>
          <w:szCs w:val="22"/>
        </w:rPr>
        <w:t>Campus</w:t>
      </w:r>
      <w:proofErr w:type="spellEnd"/>
    </w:p>
    <w:p w:rsidR="00F82EEC" w:rsidRPr="001C693E" w:rsidRDefault="00F82EEC" w:rsidP="00F82EEC">
      <w:pPr>
        <w:ind w:left="567" w:hanging="567"/>
        <w:rPr>
          <w:szCs w:val="22"/>
        </w:rPr>
      </w:pPr>
      <w:r w:rsidRPr="001C693E">
        <w:rPr>
          <w:szCs w:val="22"/>
        </w:rPr>
        <w:t>Dublin 24</w:t>
      </w:r>
    </w:p>
    <w:p w:rsidR="00F82EEC" w:rsidRPr="001C693E" w:rsidRDefault="00F82EEC" w:rsidP="00F82EEC">
      <w:pPr>
        <w:pStyle w:val="Pagrindinistekstas"/>
        <w:spacing w:after="0"/>
        <w:rPr>
          <w:szCs w:val="22"/>
        </w:rPr>
      </w:pPr>
      <w:r w:rsidRPr="001C693E">
        <w:rPr>
          <w:szCs w:val="22"/>
        </w:rPr>
        <w:t>Airija</w:t>
      </w:r>
    </w:p>
    <w:p w:rsidR="00F82EEC" w:rsidRPr="001C693E" w:rsidRDefault="00F82EEC" w:rsidP="00F82EEC">
      <w:pPr>
        <w:pStyle w:val="Pagrindinistekstas"/>
        <w:spacing w:after="0"/>
        <w:rPr>
          <w:szCs w:val="22"/>
        </w:rPr>
      </w:pPr>
      <w:r w:rsidRPr="001C693E">
        <w:rPr>
          <w:szCs w:val="22"/>
        </w:rPr>
        <w:t>Tel. +370 5 214 0291</w:t>
      </w:r>
    </w:p>
    <w:p w:rsidR="00F82EEC" w:rsidRPr="001C693E" w:rsidRDefault="00F82EEC" w:rsidP="00F82EEC">
      <w:pPr>
        <w:pStyle w:val="Pagrindinistekstas"/>
        <w:spacing w:after="0"/>
        <w:rPr>
          <w:szCs w:val="22"/>
        </w:rPr>
      </w:pPr>
    </w:p>
    <w:p w:rsidR="00F82EEC" w:rsidRPr="003C7660" w:rsidRDefault="00F82EEC" w:rsidP="00F82EEC">
      <w:pPr>
        <w:pStyle w:val="Pagrindinistekstas"/>
        <w:spacing w:after="0"/>
        <w:rPr>
          <w:i/>
          <w:szCs w:val="22"/>
        </w:rPr>
      </w:pPr>
      <w:r>
        <w:rPr>
          <w:i/>
          <w:szCs w:val="22"/>
        </w:rPr>
        <w:t>Gamintojas</w:t>
      </w:r>
    </w:p>
    <w:p w:rsidR="00F82EEC" w:rsidRPr="001C693E" w:rsidRDefault="00F82EEC" w:rsidP="00F82EEC">
      <w:pPr>
        <w:pStyle w:val="Pagrindinistekstas"/>
        <w:spacing w:after="0"/>
        <w:rPr>
          <w:szCs w:val="22"/>
        </w:rPr>
      </w:pPr>
    </w:p>
    <w:p w:rsidR="00F82EEC" w:rsidRPr="001C693E" w:rsidRDefault="00F82EEC" w:rsidP="00F82EEC">
      <w:pPr>
        <w:autoSpaceDE w:val="0"/>
        <w:autoSpaceDN w:val="0"/>
        <w:adjustRightInd w:val="0"/>
        <w:rPr>
          <w:szCs w:val="22"/>
        </w:rPr>
      </w:pPr>
      <w:proofErr w:type="spellStart"/>
      <w:r w:rsidRPr="001C693E">
        <w:rPr>
          <w:szCs w:val="22"/>
        </w:rPr>
        <w:t>GlaxoSmithKline</w:t>
      </w:r>
      <w:proofErr w:type="spellEnd"/>
      <w:r w:rsidRPr="001C693E">
        <w:rPr>
          <w:szCs w:val="22"/>
        </w:rPr>
        <w:t xml:space="preserve"> </w:t>
      </w:r>
      <w:proofErr w:type="spellStart"/>
      <w:r w:rsidRPr="001C693E">
        <w:rPr>
          <w:szCs w:val="22"/>
        </w:rPr>
        <w:t>Manufacturing</w:t>
      </w:r>
      <w:proofErr w:type="spellEnd"/>
      <w:r w:rsidRPr="001C693E">
        <w:rPr>
          <w:szCs w:val="22"/>
        </w:rPr>
        <w:t xml:space="preserve"> </w:t>
      </w:r>
      <w:proofErr w:type="spellStart"/>
      <w:r w:rsidRPr="001C693E">
        <w:rPr>
          <w:szCs w:val="22"/>
        </w:rPr>
        <w:t>S.p.A</w:t>
      </w:r>
      <w:proofErr w:type="spellEnd"/>
      <w:r w:rsidRPr="001C693E">
        <w:rPr>
          <w:szCs w:val="22"/>
        </w:rPr>
        <w:t>.</w:t>
      </w:r>
    </w:p>
    <w:p w:rsidR="00F82EEC" w:rsidRPr="001C693E" w:rsidRDefault="00F82EEC" w:rsidP="00F82EEC">
      <w:pPr>
        <w:autoSpaceDE w:val="0"/>
        <w:autoSpaceDN w:val="0"/>
        <w:adjustRightInd w:val="0"/>
        <w:rPr>
          <w:szCs w:val="22"/>
          <w:lang w:val="fr-FR"/>
        </w:rPr>
      </w:pPr>
      <w:proofErr w:type="spellStart"/>
      <w:r w:rsidRPr="001C693E">
        <w:rPr>
          <w:szCs w:val="22"/>
          <w:lang w:val="fr-FR"/>
        </w:rPr>
        <w:t>Strada</w:t>
      </w:r>
      <w:proofErr w:type="spellEnd"/>
      <w:r w:rsidRPr="001C693E">
        <w:rPr>
          <w:szCs w:val="22"/>
          <w:lang w:val="fr-FR"/>
        </w:rPr>
        <w:t xml:space="preserve"> Provinciale </w:t>
      </w:r>
      <w:proofErr w:type="spellStart"/>
      <w:r w:rsidRPr="001C693E">
        <w:rPr>
          <w:szCs w:val="22"/>
          <w:lang w:val="fr-FR"/>
        </w:rPr>
        <w:t>Asolana</w:t>
      </w:r>
      <w:proofErr w:type="spellEnd"/>
      <w:r w:rsidRPr="001C693E">
        <w:rPr>
          <w:szCs w:val="22"/>
          <w:lang w:val="fr-FR"/>
        </w:rPr>
        <w:t>, 90</w:t>
      </w:r>
    </w:p>
    <w:p w:rsidR="00F82EEC" w:rsidRPr="001C693E" w:rsidRDefault="00F82EEC" w:rsidP="00F82EEC">
      <w:pPr>
        <w:autoSpaceDE w:val="0"/>
        <w:autoSpaceDN w:val="0"/>
        <w:adjustRightInd w:val="0"/>
        <w:rPr>
          <w:szCs w:val="22"/>
          <w:lang w:val="fr-FR"/>
        </w:rPr>
      </w:pPr>
      <w:r w:rsidRPr="001C693E">
        <w:rPr>
          <w:szCs w:val="22"/>
          <w:lang w:val="fr-FR"/>
        </w:rPr>
        <w:t xml:space="preserve">43056 San Polo di </w:t>
      </w:r>
      <w:proofErr w:type="spellStart"/>
      <w:r w:rsidRPr="001C693E">
        <w:rPr>
          <w:szCs w:val="22"/>
          <w:lang w:val="fr-FR"/>
        </w:rPr>
        <w:t>Torrile</w:t>
      </w:r>
      <w:proofErr w:type="spellEnd"/>
    </w:p>
    <w:p w:rsidR="00F82EEC" w:rsidRPr="001C693E" w:rsidRDefault="00F82EEC" w:rsidP="00F82EEC">
      <w:pPr>
        <w:autoSpaceDE w:val="0"/>
        <w:autoSpaceDN w:val="0"/>
        <w:adjustRightInd w:val="0"/>
        <w:rPr>
          <w:szCs w:val="22"/>
          <w:lang w:val="fr-FR"/>
        </w:rPr>
      </w:pPr>
      <w:r w:rsidRPr="001C693E">
        <w:rPr>
          <w:szCs w:val="22"/>
          <w:lang w:val="fr-FR"/>
        </w:rPr>
        <w:t xml:space="preserve">Parma </w:t>
      </w:r>
    </w:p>
    <w:p w:rsidR="00F82EEC" w:rsidRPr="001C693E" w:rsidRDefault="00F82EEC" w:rsidP="00F82EEC">
      <w:pPr>
        <w:autoSpaceDE w:val="0"/>
        <w:autoSpaceDN w:val="0"/>
        <w:adjustRightInd w:val="0"/>
        <w:rPr>
          <w:szCs w:val="22"/>
        </w:rPr>
      </w:pPr>
      <w:r w:rsidRPr="001C693E">
        <w:rPr>
          <w:szCs w:val="22"/>
        </w:rPr>
        <w:t>Italija</w:t>
      </w:r>
    </w:p>
    <w:p w:rsidR="00F82EEC" w:rsidRPr="001C693E" w:rsidRDefault="00F82EEC" w:rsidP="00F82EEC">
      <w:pPr>
        <w:pStyle w:val="Pagrindinistekstas"/>
        <w:spacing w:after="0"/>
        <w:rPr>
          <w:szCs w:val="22"/>
        </w:rPr>
      </w:pPr>
    </w:p>
    <w:p w:rsidR="00F82EEC" w:rsidRDefault="00F82EEC" w:rsidP="00F82EEC">
      <w:pPr>
        <w:autoSpaceDE w:val="0"/>
        <w:autoSpaceDN w:val="0"/>
        <w:adjustRightInd w:val="0"/>
        <w:rPr>
          <w:szCs w:val="22"/>
        </w:rPr>
      </w:pPr>
      <w:r>
        <w:rPr>
          <w:szCs w:val="22"/>
        </w:rPr>
        <w:t>arba</w:t>
      </w:r>
    </w:p>
    <w:p w:rsidR="00F82EEC" w:rsidRDefault="00F82EEC" w:rsidP="00F82EEC">
      <w:pPr>
        <w:autoSpaceDE w:val="0"/>
        <w:autoSpaceDN w:val="0"/>
        <w:adjustRightInd w:val="0"/>
        <w:rPr>
          <w:szCs w:val="22"/>
        </w:rPr>
      </w:pPr>
    </w:p>
    <w:p w:rsidR="00F82EEC" w:rsidRDefault="00F82EEC" w:rsidP="00F82EEC">
      <w:pPr>
        <w:pStyle w:val="BTEMEASMCA"/>
      </w:pPr>
      <w:proofErr w:type="spellStart"/>
      <w:r>
        <w:t>Aspen</w:t>
      </w:r>
      <w:proofErr w:type="spellEnd"/>
      <w:r>
        <w:t xml:space="preserve"> </w:t>
      </w:r>
      <w:proofErr w:type="spellStart"/>
      <w:r>
        <w:t>Pharma</w:t>
      </w:r>
      <w:proofErr w:type="spellEnd"/>
      <w:r>
        <w:t xml:space="preserve"> </w:t>
      </w:r>
      <w:proofErr w:type="spellStart"/>
      <w:r>
        <w:t>Ireland</w:t>
      </w:r>
      <w:proofErr w:type="spellEnd"/>
      <w:r>
        <w:t xml:space="preserve"> </w:t>
      </w:r>
      <w:proofErr w:type="spellStart"/>
      <w:r>
        <w:t>Limited</w:t>
      </w:r>
      <w:proofErr w:type="spellEnd"/>
    </w:p>
    <w:p w:rsidR="00F82EEC" w:rsidRDefault="00F82EEC" w:rsidP="00F82EEC">
      <w:pPr>
        <w:pStyle w:val="BTEMEASMCA"/>
      </w:pPr>
      <w:r>
        <w:t xml:space="preserve">One </w:t>
      </w:r>
      <w:proofErr w:type="spellStart"/>
      <w:r>
        <w:t>George’s</w:t>
      </w:r>
      <w:proofErr w:type="spellEnd"/>
      <w:r>
        <w:t xml:space="preserve"> </w:t>
      </w:r>
      <w:proofErr w:type="spellStart"/>
      <w:r>
        <w:t>Quay</w:t>
      </w:r>
      <w:proofErr w:type="spellEnd"/>
      <w:r>
        <w:t xml:space="preserve"> </w:t>
      </w:r>
      <w:proofErr w:type="spellStart"/>
      <w:r>
        <w:t>Plaza</w:t>
      </w:r>
      <w:proofErr w:type="spellEnd"/>
    </w:p>
    <w:p w:rsidR="00F82EEC" w:rsidRDefault="00F82EEC" w:rsidP="00F82EEC">
      <w:pPr>
        <w:pStyle w:val="BTEMEASMCA"/>
      </w:pPr>
      <w:r>
        <w:t>Dublin 2</w:t>
      </w:r>
    </w:p>
    <w:p w:rsidR="00F82EEC" w:rsidRDefault="00F82EEC" w:rsidP="00F82EEC">
      <w:pPr>
        <w:pStyle w:val="BTEMEASMCA"/>
      </w:pPr>
      <w:r>
        <w:t>Airija</w:t>
      </w:r>
    </w:p>
    <w:p w:rsidR="00F82EEC" w:rsidRDefault="00F82EEC" w:rsidP="00F82EEC">
      <w:pPr>
        <w:pStyle w:val="BTEMEASMCA"/>
      </w:pPr>
    </w:p>
    <w:p w:rsidR="00F82EEC" w:rsidRDefault="00F82EEC" w:rsidP="00F82EEC">
      <w:pPr>
        <w:pStyle w:val="BTEMEASMCA"/>
      </w:pPr>
      <w:r>
        <w:t>arba</w:t>
      </w:r>
    </w:p>
    <w:p w:rsidR="00F82EEC" w:rsidRDefault="00F82EEC" w:rsidP="00F82EEC">
      <w:pPr>
        <w:pStyle w:val="BTEMEASMCA"/>
      </w:pPr>
    </w:p>
    <w:p w:rsidR="00F82EEC" w:rsidRDefault="00F82EEC" w:rsidP="00F82EEC">
      <w:pPr>
        <w:pStyle w:val="BTEMEASMCA"/>
      </w:pPr>
      <w:proofErr w:type="spellStart"/>
      <w:r>
        <w:t>Aspen</w:t>
      </w:r>
      <w:proofErr w:type="spellEnd"/>
      <w:r>
        <w:t xml:space="preserve"> </w:t>
      </w:r>
      <w:proofErr w:type="spellStart"/>
      <w:r>
        <w:t>Bad</w:t>
      </w:r>
      <w:proofErr w:type="spellEnd"/>
      <w:r>
        <w:t xml:space="preserve"> </w:t>
      </w:r>
      <w:proofErr w:type="spellStart"/>
      <w:r>
        <w:t>Oldesloe</w:t>
      </w:r>
      <w:proofErr w:type="spellEnd"/>
      <w:r>
        <w:t xml:space="preserve"> </w:t>
      </w:r>
      <w:proofErr w:type="spellStart"/>
      <w:r>
        <w:t>GmbH</w:t>
      </w:r>
      <w:proofErr w:type="spellEnd"/>
      <w:r>
        <w:t>,</w:t>
      </w:r>
    </w:p>
    <w:p w:rsidR="00F82EEC" w:rsidRDefault="00F82EEC" w:rsidP="00F82EEC">
      <w:pPr>
        <w:pStyle w:val="BTEMEASMCA"/>
      </w:pPr>
      <w:proofErr w:type="spellStart"/>
      <w:r>
        <w:t>Industiestrasse</w:t>
      </w:r>
      <w:proofErr w:type="spellEnd"/>
      <w:r>
        <w:t xml:space="preserve"> 32-36,</w:t>
      </w:r>
    </w:p>
    <w:p w:rsidR="00F82EEC" w:rsidRDefault="00F82EEC" w:rsidP="00F82EEC">
      <w:pPr>
        <w:pStyle w:val="BTEMEASMCA"/>
      </w:pPr>
      <w:r>
        <w:lastRenderedPageBreak/>
        <w:t xml:space="preserve">23843 </w:t>
      </w:r>
      <w:proofErr w:type="spellStart"/>
      <w:r>
        <w:t>Bad</w:t>
      </w:r>
      <w:proofErr w:type="spellEnd"/>
      <w:r>
        <w:t xml:space="preserve"> </w:t>
      </w:r>
      <w:proofErr w:type="spellStart"/>
      <w:r>
        <w:t>Oldesloe</w:t>
      </w:r>
      <w:proofErr w:type="spellEnd"/>
      <w:r>
        <w:t>,</w:t>
      </w:r>
    </w:p>
    <w:p w:rsidR="00F82EEC" w:rsidRDefault="00F82EEC" w:rsidP="00F82EEC">
      <w:pPr>
        <w:pStyle w:val="BTEMEASMCA"/>
      </w:pPr>
      <w:r w:rsidRPr="00B376DF">
        <w:t>Vokietija</w:t>
      </w: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szCs w:val="22"/>
        </w:rPr>
      </w:pPr>
    </w:p>
    <w:p w:rsidR="00F82EEC" w:rsidRPr="001C693E" w:rsidRDefault="00F82EEC" w:rsidP="00F82EEC">
      <w:pPr>
        <w:pStyle w:val="Pagrindinistekstas"/>
        <w:spacing w:after="0"/>
        <w:rPr>
          <w:b/>
          <w:szCs w:val="22"/>
        </w:rPr>
      </w:pPr>
      <w:r w:rsidRPr="001C693E">
        <w:rPr>
          <w:b/>
          <w:szCs w:val="22"/>
        </w:rPr>
        <w:t>Šis pakuotės lapelis paskutinį kartą peržiūrėtas</w:t>
      </w:r>
      <w:r>
        <w:rPr>
          <w:b/>
          <w:szCs w:val="22"/>
        </w:rPr>
        <w:t xml:space="preserve"> 2021-12-20.</w:t>
      </w:r>
    </w:p>
    <w:p w:rsidR="00F82EEC" w:rsidRPr="001C693E" w:rsidRDefault="00F82EEC" w:rsidP="00F82EEC">
      <w:pPr>
        <w:rPr>
          <w:szCs w:val="22"/>
        </w:rPr>
      </w:pPr>
    </w:p>
    <w:p w:rsidR="00F82EEC" w:rsidRPr="001C693E" w:rsidRDefault="00F82EEC" w:rsidP="00F82EEC">
      <w:pPr>
        <w:pStyle w:val="BTEMEASMCA"/>
      </w:pPr>
      <w:r w:rsidRPr="001C693E">
        <w:t xml:space="preserve">Išsami informacija apie šį vaistą pateikiama Valstybinės vaistų kontrolės tarnybos prie Lietuvos Respublikos sveikatos apsaugos ministerijos tinklalapyje </w:t>
      </w:r>
      <w:hyperlink r:id="rId9" w:history="1">
        <w:r w:rsidRPr="001C693E">
          <w:rPr>
            <w:rStyle w:val="Hipersaitas"/>
          </w:rPr>
          <w:t>http://www.vvkt.lt/</w:t>
        </w:r>
      </w:hyperlink>
      <w:r w:rsidRPr="001C693E">
        <w:t>.</w:t>
      </w:r>
    </w:p>
    <w:p w:rsidR="00F82EEC" w:rsidRPr="001C693E" w:rsidRDefault="00F82EEC" w:rsidP="00F82EEC">
      <w:pPr>
        <w:pStyle w:val="Pagrindinistekstas"/>
        <w:spacing w:after="0"/>
        <w:rPr>
          <w:szCs w:val="22"/>
        </w:rPr>
      </w:pPr>
    </w:p>
    <w:p w:rsidR="00F82EEC" w:rsidRPr="001C693E" w:rsidRDefault="00F82EEC" w:rsidP="00F82EEC">
      <w:pPr>
        <w:rPr>
          <w:szCs w:val="22"/>
        </w:rPr>
      </w:pPr>
    </w:p>
    <w:p w:rsidR="00F82EEC" w:rsidRPr="001C693E" w:rsidRDefault="00F82EEC" w:rsidP="00F82EEC">
      <w:pPr>
        <w:rPr>
          <w:szCs w:val="22"/>
        </w:rPr>
      </w:pPr>
    </w:p>
    <w:p w:rsidR="009041DB" w:rsidRDefault="009041DB">
      <w:bookmarkStart w:id="0" w:name="_GoBack"/>
      <w:bookmarkEnd w:id="0"/>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6D93"/>
    <w:multiLevelType w:val="hybridMultilevel"/>
    <w:tmpl w:val="BC662A08"/>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B1516"/>
    <w:multiLevelType w:val="hybridMultilevel"/>
    <w:tmpl w:val="E4541BB0"/>
    <w:lvl w:ilvl="0" w:tplc="0042535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160F1"/>
    <w:multiLevelType w:val="hybridMultilevel"/>
    <w:tmpl w:val="8CCE6370"/>
    <w:lvl w:ilvl="0" w:tplc="164A6E78">
      <w:start w:val="2"/>
      <w:numFmt w:val="bullet"/>
      <w:lvlText w:val="-"/>
      <w:lvlJc w:val="left"/>
      <w:pPr>
        <w:tabs>
          <w:tab w:val="num" w:pos="1140"/>
        </w:tabs>
        <w:ind w:left="1140" w:hanging="78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F77B04"/>
    <w:multiLevelType w:val="hybridMultilevel"/>
    <w:tmpl w:val="B85E8C46"/>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B25906"/>
    <w:multiLevelType w:val="hybridMultilevel"/>
    <w:tmpl w:val="5CE8AE2A"/>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EC"/>
    <w:rsid w:val="009041DB"/>
    <w:rsid w:val="00D95EFF"/>
    <w:rsid w:val="00EE3634"/>
    <w:rsid w:val="00F82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37ED5-A546-41B8-9F1C-8597839F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2EEC"/>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F82EEC"/>
    <w:pPr>
      <w:keepNext/>
      <w:ind w:left="550" w:hanging="550"/>
      <w:outlineLvl w:val="1"/>
    </w:pPr>
    <w:rPr>
      <w:b/>
    </w:rPr>
  </w:style>
  <w:style w:type="paragraph" w:styleId="Antrat3">
    <w:name w:val="heading 3"/>
    <w:basedOn w:val="prastasis"/>
    <w:next w:val="prastasis"/>
    <w:link w:val="Antrat3Diagrama"/>
    <w:autoRedefine/>
    <w:qFormat/>
    <w:rsid w:val="00F82EEC"/>
    <w:pPr>
      <w:keepNext/>
      <w:pBdr>
        <w:top w:val="single" w:sz="4" w:space="1" w:color="auto"/>
        <w:left w:val="single" w:sz="4" w:space="4" w:color="auto"/>
        <w:bottom w:val="single" w:sz="4" w:space="1" w:color="auto"/>
        <w:right w:val="single" w:sz="4" w:space="4" w:color="auto"/>
      </w:pBdr>
      <w:ind w:left="550" w:hanging="550"/>
      <w:outlineLvl w:val="2"/>
    </w:pPr>
    <w:rPr>
      <w:b/>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82EEC"/>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F82EEC"/>
    <w:rPr>
      <w:rFonts w:ascii="Times New Roman" w:hAnsi="Times New Roman" w:cs="Times New Roman"/>
      <w:b/>
      <w:iCs/>
      <w:szCs w:val="20"/>
      <w:lang w:eastAsia="lt-LT"/>
    </w:rPr>
  </w:style>
  <w:style w:type="paragraph" w:styleId="Pagrindinistekstas">
    <w:name w:val="Body Text"/>
    <w:basedOn w:val="prastasis"/>
    <w:link w:val="PagrindinistekstasDiagrama"/>
    <w:rsid w:val="00F82EEC"/>
    <w:pPr>
      <w:spacing w:after="120"/>
    </w:pPr>
  </w:style>
  <w:style w:type="character" w:customStyle="1" w:styleId="PagrindinistekstasDiagrama">
    <w:name w:val="Pagrindinis tekstas Diagrama"/>
    <w:basedOn w:val="Numatytasispastraiposriftas"/>
    <w:link w:val="Pagrindinistekstas"/>
    <w:rsid w:val="00F82EEC"/>
    <w:rPr>
      <w:rFonts w:ascii="Times New Roman" w:hAnsi="Times New Roman" w:cs="Times New Roman"/>
      <w:szCs w:val="20"/>
      <w:lang w:eastAsia="lt-LT"/>
    </w:rPr>
  </w:style>
  <w:style w:type="character" w:styleId="Hipersaitas">
    <w:name w:val="Hyperlink"/>
    <w:basedOn w:val="Numatytasispastraiposriftas"/>
    <w:rsid w:val="00F82EEC"/>
    <w:rPr>
      <w:rFonts w:cs="Times New Roman"/>
      <w:color w:val="0000FF"/>
      <w:u w:val="single"/>
    </w:rPr>
  </w:style>
  <w:style w:type="paragraph" w:customStyle="1" w:styleId="PI-3EMEASMCA">
    <w:name w:val="PI-3 EMEA_SMCA"/>
    <w:basedOn w:val="prastasis"/>
    <w:autoRedefine/>
    <w:rsid w:val="00F82EEC"/>
    <w:pPr>
      <w:spacing w:line="220" w:lineRule="exact"/>
    </w:pPr>
    <w:rPr>
      <w:b/>
      <w:bCs/>
      <w:szCs w:val="22"/>
      <w:lang w:eastAsia="en-US"/>
    </w:rPr>
  </w:style>
  <w:style w:type="paragraph" w:customStyle="1" w:styleId="BT-EMEASMCA">
    <w:name w:val="BT- EMEA_SMCA"/>
    <w:basedOn w:val="prastasis"/>
    <w:autoRedefine/>
    <w:rsid w:val="00F82EEC"/>
    <w:pPr>
      <w:numPr>
        <w:numId w:val="5"/>
      </w:numPr>
    </w:pPr>
    <w:rPr>
      <w:noProof/>
      <w:szCs w:val="22"/>
      <w:lang w:eastAsia="en-US"/>
    </w:rPr>
  </w:style>
  <w:style w:type="paragraph" w:customStyle="1" w:styleId="BTEMEASMCA">
    <w:name w:val="BT EMEA_SMCA"/>
    <w:basedOn w:val="prastasis"/>
    <w:link w:val="BTEMEASMCAChar"/>
    <w:autoRedefine/>
    <w:rsid w:val="00F82EEC"/>
    <w:rPr>
      <w:szCs w:val="22"/>
      <w:lang w:eastAsia="en-US"/>
    </w:rPr>
  </w:style>
  <w:style w:type="paragraph" w:customStyle="1" w:styleId="BTbEMEASMCA">
    <w:name w:val="BT(b) EMEA_SMCA"/>
    <w:basedOn w:val="BTEMEASMCA"/>
    <w:autoRedefine/>
    <w:rsid w:val="00F82EEC"/>
    <w:rPr>
      <w:b/>
    </w:rPr>
  </w:style>
  <w:style w:type="character" w:customStyle="1" w:styleId="BTEMEASMCAChar">
    <w:name w:val="BT EMEA_SMCA Char"/>
    <w:basedOn w:val="Numatytasispastraiposriftas"/>
    <w:link w:val="BTEMEASMCA"/>
    <w:locked/>
    <w:rsid w:val="00F82E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6621</Words>
  <Characters>3774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2021-12-29T14:12:00Z</dcterms:created>
  <dcterms:modified xsi:type="dcterms:W3CDTF">2021-12-29T14:12:00Z</dcterms:modified>
</cp:coreProperties>
</file>