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4F42" w14:textId="77777777" w:rsidR="00746169" w:rsidRPr="00E10FBE" w:rsidRDefault="00746169" w:rsidP="00746169">
      <w:pPr>
        <w:spacing w:after="200" w:line="276" w:lineRule="auto"/>
        <w:jc w:val="center"/>
        <w:rPr>
          <w:b/>
          <w:sz w:val="22"/>
        </w:rPr>
      </w:pPr>
      <w:r w:rsidRPr="00E10FBE">
        <w:rPr>
          <w:b/>
          <w:sz w:val="22"/>
        </w:rPr>
        <w:t>Pakuotės lapelis: informacija vartotojui</w:t>
      </w:r>
    </w:p>
    <w:p w14:paraId="482B8A97" w14:textId="77777777" w:rsidR="00746169" w:rsidRPr="00AC7217" w:rsidRDefault="00746169" w:rsidP="00746169">
      <w:pPr>
        <w:pStyle w:val="BTEMEASMCA"/>
        <w:jc w:val="center"/>
        <w:rPr>
          <w:b/>
          <w:bCs/>
        </w:rPr>
      </w:pPr>
      <w:proofErr w:type="spellStart"/>
      <w:r w:rsidRPr="00AC7217">
        <w:rPr>
          <w:b/>
          <w:bCs/>
        </w:rPr>
        <w:t>Venofer</w:t>
      </w:r>
      <w:proofErr w:type="spellEnd"/>
      <w:r w:rsidRPr="00AC7217">
        <w:rPr>
          <w:b/>
          <w:bCs/>
        </w:rPr>
        <w:t xml:space="preserve"> 20 mg/ml injekcinis tirpalas</w:t>
      </w:r>
    </w:p>
    <w:p w14:paraId="4970A71C" w14:textId="77777777" w:rsidR="00746169" w:rsidRPr="000B7B11" w:rsidRDefault="00746169" w:rsidP="00746169">
      <w:pPr>
        <w:pStyle w:val="BTbeEMEASMCA"/>
      </w:pPr>
      <w:r w:rsidRPr="000B7B11">
        <w:t>Geležis</w:t>
      </w:r>
    </w:p>
    <w:p w14:paraId="01C7B85D" w14:textId="77777777" w:rsidR="00746169" w:rsidRPr="000B7B11" w:rsidRDefault="00746169" w:rsidP="00746169">
      <w:pPr>
        <w:pStyle w:val="BTEMEASMCA"/>
      </w:pPr>
    </w:p>
    <w:p w14:paraId="65F87D6F" w14:textId="77777777" w:rsidR="00746169" w:rsidRPr="000B7B11" w:rsidRDefault="00746169" w:rsidP="00746169">
      <w:pPr>
        <w:suppressAutoHyphens/>
        <w:ind w:left="142" w:hanging="142"/>
        <w:rPr>
          <w:b/>
          <w:sz w:val="22"/>
          <w:szCs w:val="22"/>
        </w:rPr>
      </w:pPr>
      <w:r w:rsidRPr="000B7B11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08F0E744" w14:textId="77777777" w:rsidR="00746169" w:rsidRPr="000B7B11" w:rsidRDefault="00746169" w:rsidP="00746169">
      <w:pPr>
        <w:pStyle w:val="BT-EMEASMCA"/>
        <w:numPr>
          <w:ilvl w:val="0"/>
          <w:numId w:val="7"/>
        </w:numPr>
      </w:pPr>
      <w:r w:rsidRPr="000B7B11">
        <w:t>Neišmeskite šio lapelio, nes vėl gali prireikti jį perskaityti.</w:t>
      </w:r>
    </w:p>
    <w:p w14:paraId="1CE4E150" w14:textId="77777777" w:rsidR="00746169" w:rsidRPr="000B7B11" w:rsidRDefault="00746169" w:rsidP="00746169">
      <w:pPr>
        <w:pStyle w:val="BT-EMEASMCA"/>
        <w:numPr>
          <w:ilvl w:val="0"/>
          <w:numId w:val="7"/>
        </w:numPr>
      </w:pPr>
      <w:r w:rsidRPr="000B7B11">
        <w:t>Jeigu kiltų daugiau klausimų, kreipkitės į gydytoją arba vaistininką.</w:t>
      </w:r>
    </w:p>
    <w:p w14:paraId="13A48A17" w14:textId="77777777" w:rsidR="00746169" w:rsidRPr="000B7B11" w:rsidRDefault="00746169" w:rsidP="00746169">
      <w:pPr>
        <w:pStyle w:val="BT-EMEASMCA"/>
        <w:numPr>
          <w:ilvl w:val="0"/>
          <w:numId w:val="7"/>
        </w:numPr>
      </w:pPr>
      <w:r w:rsidRPr="000B7B11">
        <w:t>Šis vaistas skirtas tik Jums, todėl kitiems žmonėms jo duoti negalima. Vaistas gali jiems pakenkti (net tiems, kurių ligos požymiai yra tokie patys kaip Jūsų).</w:t>
      </w:r>
    </w:p>
    <w:p w14:paraId="2A524788" w14:textId="77777777" w:rsidR="00746169" w:rsidRPr="000B7B11" w:rsidRDefault="00746169" w:rsidP="00746169">
      <w:pPr>
        <w:pStyle w:val="BT-EMEASMCA"/>
        <w:numPr>
          <w:ilvl w:val="0"/>
          <w:numId w:val="7"/>
        </w:numPr>
      </w:pPr>
      <w:r w:rsidRPr="000B7B11">
        <w:t>Jeigu pasireiškė šalutinis poveikis (net jeigu jis šiame lapelyje nenurodytas), kreipkitės į gydytoją arba slaugytoją. Žr. 4 skyrių.</w:t>
      </w:r>
    </w:p>
    <w:p w14:paraId="318F0892" w14:textId="77777777" w:rsidR="00746169" w:rsidRPr="000B7B11" w:rsidRDefault="00746169" w:rsidP="00746169">
      <w:pPr>
        <w:pStyle w:val="BTEMEASMCA"/>
      </w:pPr>
    </w:p>
    <w:p w14:paraId="57488C8C" w14:textId="77777777" w:rsidR="00746169" w:rsidRPr="000B7B11" w:rsidRDefault="00746169" w:rsidP="00746169">
      <w:pPr>
        <w:pStyle w:val="Antrat4"/>
        <w:spacing w:before="0"/>
        <w:rPr>
          <w:i w:val="0"/>
          <w:color w:val="auto"/>
          <w:sz w:val="22"/>
          <w:szCs w:val="22"/>
        </w:rPr>
      </w:pPr>
      <w:r w:rsidRPr="000B7B11">
        <w:rPr>
          <w:i w:val="0"/>
          <w:color w:val="auto"/>
          <w:sz w:val="22"/>
          <w:szCs w:val="22"/>
        </w:rPr>
        <w:t>Apie ką rašoma šiame lapelyje?</w:t>
      </w:r>
    </w:p>
    <w:p w14:paraId="1544C9F4" w14:textId="77777777" w:rsidR="00746169" w:rsidRPr="000B7B11" w:rsidRDefault="00746169" w:rsidP="00746169">
      <w:pPr>
        <w:rPr>
          <w:sz w:val="22"/>
          <w:szCs w:val="22"/>
        </w:rPr>
      </w:pPr>
    </w:p>
    <w:p w14:paraId="0B04491F" w14:textId="77777777" w:rsidR="00746169" w:rsidRPr="000B7B11" w:rsidRDefault="00746169" w:rsidP="00746169">
      <w:pPr>
        <w:pStyle w:val="BTEMEASMCA"/>
      </w:pPr>
      <w:r w:rsidRPr="000B7B11">
        <w:t>1.</w:t>
      </w:r>
      <w:r w:rsidRPr="000B7B11">
        <w:tab/>
        <w:t xml:space="preserve">Kas yra </w:t>
      </w:r>
      <w:proofErr w:type="spellStart"/>
      <w:r w:rsidRPr="000B7B11">
        <w:t>Venofer</w:t>
      </w:r>
      <w:proofErr w:type="spellEnd"/>
      <w:r w:rsidRPr="000B7B11">
        <w:t xml:space="preserve"> ir kam jis vartojamas</w:t>
      </w:r>
    </w:p>
    <w:p w14:paraId="3E75D592" w14:textId="77777777" w:rsidR="00746169" w:rsidRPr="000B7B11" w:rsidRDefault="00746169" w:rsidP="00746169">
      <w:pPr>
        <w:pStyle w:val="BTEMEASMCA"/>
      </w:pPr>
      <w:r w:rsidRPr="000B7B11">
        <w:t>2.</w:t>
      </w:r>
      <w:r w:rsidRPr="000B7B11">
        <w:tab/>
        <w:t xml:space="preserve">Kas žinotina prieš vartojant </w:t>
      </w:r>
      <w:proofErr w:type="spellStart"/>
      <w:r w:rsidRPr="000B7B11">
        <w:t>Venofer</w:t>
      </w:r>
      <w:proofErr w:type="spellEnd"/>
    </w:p>
    <w:p w14:paraId="498F1B6E" w14:textId="77777777" w:rsidR="00746169" w:rsidRPr="000B7B11" w:rsidRDefault="00746169" w:rsidP="00746169">
      <w:pPr>
        <w:pStyle w:val="BTEMEASMCA"/>
      </w:pPr>
      <w:r w:rsidRPr="000B7B11">
        <w:t>3.</w:t>
      </w:r>
      <w:r w:rsidRPr="000B7B11">
        <w:tab/>
        <w:t xml:space="preserve">Kaip vartoti </w:t>
      </w:r>
      <w:proofErr w:type="spellStart"/>
      <w:r w:rsidRPr="000B7B11">
        <w:t>Venofer</w:t>
      </w:r>
      <w:proofErr w:type="spellEnd"/>
    </w:p>
    <w:p w14:paraId="121C1930" w14:textId="77777777" w:rsidR="00746169" w:rsidRPr="000B7B11" w:rsidRDefault="00746169" w:rsidP="00746169">
      <w:pPr>
        <w:pStyle w:val="BTEMEASMCA"/>
      </w:pPr>
      <w:r w:rsidRPr="000B7B11">
        <w:t>4.</w:t>
      </w:r>
      <w:r w:rsidRPr="000B7B11">
        <w:tab/>
        <w:t>Galimas šalutinis poveikis</w:t>
      </w:r>
    </w:p>
    <w:p w14:paraId="5AFF1230" w14:textId="77777777" w:rsidR="00746169" w:rsidRPr="000B7B11" w:rsidRDefault="00746169" w:rsidP="00746169">
      <w:pPr>
        <w:pStyle w:val="BTEMEASMCA"/>
      </w:pPr>
      <w:r w:rsidRPr="000B7B11">
        <w:t>5.</w:t>
      </w:r>
      <w:r w:rsidRPr="000B7B11">
        <w:tab/>
        <w:t xml:space="preserve">Kaip laikyti </w:t>
      </w:r>
      <w:proofErr w:type="spellStart"/>
      <w:r w:rsidRPr="000B7B11">
        <w:t>Venofer</w:t>
      </w:r>
      <w:proofErr w:type="spellEnd"/>
    </w:p>
    <w:p w14:paraId="0669ADC8" w14:textId="77777777" w:rsidR="00746169" w:rsidRPr="000B7B11" w:rsidRDefault="00746169" w:rsidP="00746169">
      <w:pPr>
        <w:pStyle w:val="BTEMEASMCA"/>
      </w:pPr>
      <w:r w:rsidRPr="000B7B11">
        <w:t>6.</w:t>
      </w:r>
      <w:r w:rsidRPr="000B7B11">
        <w:tab/>
        <w:t>Pakuotės turinys ir kita informacija</w:t>
      </w:r>
    </w:p>
    <w:p w14:paraId="1F3C8C2D" w14:textId="77777777" w:rsidR="00746169" w:rsidRPr="000B7B11" w:rsidRDefault="00746169" w:rsidP="00746169">
      <w:pPr>
        <w:pStyle w:val="BTEMEASMCA"/>
      </w:pPr>
    </w:p>
    <w:p w14:paraId="70DA6EDD" w14:textId="77777777" w:rsidR="00746169" w:rsidRPr="000B7B11" w:rsidRDefault="00746169" w:rsidP="00746169">
      <w:pPr>
        <w:pStyle w:val="BTEMEASMCA"/>
      </w:pPr>
    </w:p>
    <w:p w14:paraId="06DC104C" w14:textId="77777777" w:rsidR="00746169" w:rsidRPr="000B7B11" w:rsidRDefault="00746169" w:rsidP="00746169">
      <w:pPr>
        <w:pStyle w:val="PI-1EMEASMCA"/>
      </w:pPr>
      <w:bookmarkStart w:id="0" w:name="_Toc129243139"/>
      <w:bookmarkStart w:id="1" w:name="_Toc129243264"/>
      <w:r w:rsidRPr="000B7B11">
        <w:t>1.</w:t>
      </w:r>
      <w:r w:rsidRPr="000B7B11">
        <w:tab/>
        <w:t xml:space="preserve">Kas yra </w:t>
      </w:r>
      <w:proofErr w:type="spellStart"/>
      <w:r w:rsidRPr="000B7B11">
        <w:t>Venofer</w:t>
      </w:r>
      <w:proofErr w:type="spellEnd"/>
      <w:r w:rsidRPr="000B7B11">
        <w:t xml:space="preserve"> ir kam jis vartojamas</w:t>
      </w:r>
      <w:bookmarkEnd w:id="0"/>
      <w:bookmarkEnd w:id="1"/>
    </w:p>
    <w:p w14:paraId="4369D866" w14:textId="77777777" w:rsidR="00746169" w:rsidRPr="000B7B11" w:rsidRDefault="00746169" w:rsidP="00746169">
      <w:pPr>
        <w:pStyle w:val="BTEMEASMCA"/>
      </w:pPr>
    </w:p>
    <w:p w14:paraId="4E9FA203" w14:textId="77777777" w:rsidR="00746169" w:rsidRPr="000B7B11" w:rsidRDefault="00746169" w:rsidP="00746169">
      <w:pPr>
        <w:pStyle w:val="BTEMEASMCA"/>
      </w:pPr>
      <w:proofErr w:type="spellStart"/>
      <w:r w:rsidRPr="000B7B11">
        <w:t>Venofer</w:t>
      </w:r>
      <w:proofErr w:type="spellEnd"/>
      <w:r w:rsidRPr="000B7B11">
        <w:t xml:space="preserve"> yra vaistas, kurio sudėtyje yra geležies sacharozės pavidalu.</w:t>
      </w:r>
    </w:p>
    <w:p w14:paraId="5D172893" w14:textId="77777777" w:rsidR="00746169" w:rsidRPr="000B7B11" w:rsidRDefault="00746169" w:rsidP="00746169">
      <w:pPr>
        <w:pStyle w:val="Pagrindinistekstas"/>
        <w:spacing w:line="240" w:lineRule="auto"/>
        <w:rPr>
          <w:sz w:val="22"/>
          <w:szCs w:val="22"/>
        </w:rPr>
      </w:pPr>
      <w:proofErr w:type="spellStart"/>
      <w:r w:rsidRPr="000B7B11">
        <w:rPr>
          <w:sz w:val="22"/>
          <w:szCs w:val="22"/>
        </w:rPr>
        <w:t>Venofer</w:t>
      </w:r>
      <w:proofErr w:type="spellEnd"/>
      <w:r w:rsidRPr="000B7B11">
        <w:rPr>
          <w:sz w:val="22"/>
          <w:szCs w:val="22"/>
        </w:rPr>
        <w:t xml:space="preserve"> yra vartojamas į veną geležies trūkumui šalinti, kai gydymas geriamosiomis geležies tabletėmis negalimas arba neveiksmingas. </w:t>
      </w:r>
    </w:p>
    <w:p w14:paraId="5C7C8749" w14:textId="77777777" w:rsidR="00746169" w:rsidRPr="000B7B11" w:rsidRDefault="00746169" w:rsidP="00746169">
      <w:pPr>
        <w:pStyle w:val="BTEMEASMCA"/>
      </w:pPr>
    </w:p>
    <w:p w14:paraId="305EED56" w14:textId="77777777" w:rsidR="00746169" w:rsidRPr="000B7B11" w:rsidRDefault="00746169" w:rsidP="00746169">
      <w:pPr>
        <w:pStyle w:val="BTEMEASMCA"/>
      </w:pPr>
      <w:r w:rsidRPr="000B7B11">
        <w:t xml:space="preserve">Prieš vartojant gydytojas atliks kraujo tyrimą ir nustatys Jums reikalingą </w:t>
      </w:r>
      <w:proofErr w:type="spellStart"/>
      <w:r w:rsidRPr="000B7B11">
        <w:t>Venofer</w:t>
      </w:r>
      <w:proofErr w:type="spellEnd"/>
      <w:r w:rsidRPr="000B7B11">
        <w:t xml:space="preserve"> dozę.</w:t>
      </w:r>
    </w:p>
    <w:p w14:paraId="44C3D2B6" w14:textId="77777777" w:rsidR="00746169" w:rsidRPr="000B7B11" w:rsidRDefault="00746169" w:rsidP="00746169">
      <w:pPr>
        <w:pStyle w:val="BTEMEASMCA"/>
      </w:pPr>
    </w:p>
    <w:p w14:paraId="27775B1F" w14:textId="77777777" w:rsidR="00746169" w:rsidRPr="000B7B11" w:rsidRDefault="00746169" w:rsidP="00746169">
      <w:pPr>
        <w:pStyle w:val="BTEMEASMCA"/>
      </w:pPr>
    </w:p>
    <w:p w14:paraId="28EF8749" w14:textId="77777777" w:rsidR="00746169" w:rsidRPr="000B7B11" w:rsidRDefault="00746169" w:rsidP="00746169">
      <w:pPr>
        <w:pStyle w:val="PI-1EMEASMCA"/>
      </w:pPr>
      <w:bookmarkStart w:id="2" w:name="_Toc129243140"/>
      <w:bookmarkStart w:id="3" w:name="_Toc129243265"/>
      <w:r w:rsidRPr="000B7B11">
        <w:t>2.</w:t>
      </w:r>
      <w:r w:rsidRPr="000B7B11">
        <w:tab/>
        <w:t xml:space="preserve">Kas žinotina prieš vartojant </w:t>
      </w:r>
      <w:proofErr w:type="spellStart"/>
      <w:r w:rsidRPr="000B7B11">
        <w:t>Venofer</w:t>
      </w:r>
      <w:bookmarkEnd w:id="2"/>
      <w:bookmarkEnd w:id="3"/>
      <w:proofErr w:type="spellEnd"/>
    </w:p>
    <w:p w14:paraId="0825B8E4" w14:textId="77777777" w:rsidR="00746169" w:rsidRPr="000B7B11" w:rsidRDefault="00746169" w:rsidP="00746169">
      <w:pPr>
        <w:pStyle w:val="BTEMEASMCA"/>
      </w:pPr>
    </w:p>
    <w:p w14:paraId="2A32AD3D" w14:textId="77777777" w:rsidR="00746169" w:rsidRPr="000B7B11" w:rsidRDefault="00746169" w:rsidP="00746169">
      <w:pPr>
        <w:pStyle w:val="PI-3EMEASMCA"/>
        <w:rPr>
          <w:rStyle w:val="Grietas"/>
          <w:rFonts w:eastAsia="SimSun"/>
          <w:bCs/>
          <w:noProof w:val="0"/>
          <w:lang w:eastAsia="lt-LT"/>
        </w:rPr>
      </w:pPr>
      <w:r w:rsidRPr="000B7B11">
        <w:rPr>
          <w:rStyle w:val="Grietas"/>
        </w:rPr>
        <w:t>Venofer vartoti negalima:</w:t>
      </w:r>
    </w:p>
    <w:p w14:paraId="752CCFA7" w14:textId="77777777" w:rsidR="00746169" w:rsidRPr="000B7B11" w:rsidRDefault="00746169" w:rsidP="00746169">
      <w:pPr>
        <w:pStyle w:val="BT-EMEASMCA"/>
        <w:numPr>
          <w:ilvl w:val="0"/>
          <w:numId w:val="8"/>
        </w:numPr>
      </w:pPr>
      <w:r w:rsidRPr="000B7B11">
        <w:t xml:space="preserve">jeigu yra </w:t>
      </w:r>
      <w:r w:rsidRPr="00970C69">
        <w:t>alergija veikliajai medžiagai arba</w:t>
      </w:r>
      <w:r w:rsidRPr="000B7B11">
        <w:t xml:space="preserve"> bet kuriai pagalbinei šio vaisto medžiagai (jos išvardytos 6 skyriuje);</w:t>
      </w:r>
    </w:p>
    <w:p w14:paraId="53273958" w14:textId="77777777" w:rsidR="00746169" w:rsidRPr="000B7B11" w:rsidRDefault="00746169" w:rsidP="00746169">
      <w:pPr>
        <w:pStyle w:val="BT-EMEASMCA"/>
        <w:numPr>
          <w:ilvl w:val="0"/>
          <w:numId w:val="8"/>
        </w:numPr>
      </w:pPr>
      <w:r w:rsidRPr="000B7B11">
        <w:t>jeigu yra pasireiškusi sunki alerginė (padidėjusio jautrumo) reakcija kitiems leidžiamiesiems geležies preparatams;</w:t>
      </w:r>
    </w:p>
    <w:p w14:paraId="22CFD297" w14:textId="77777777" w:rsidR="00746169" w:rsidRPr="000B7B11" w:rsidRDefault="00746169" w:rsidP="00746169">
      <w:pPr>
        <w:pStyle w:val="BT-EMEASMCA"/>
        <w:numPr>
          <w:ilvl w:val="0"/>
          <w:numId w:val="8"/>
        </w:numPr>
      </w:pPr>
      <w:r w:rsidRPr="000B7B11">
        <w:t>jeigu mažakraujystę Jums sukėlė ne geležies trūkumas;</w:t>
      </w:r>
    </w:p>
    <w:p w14:paraId="19CEBABB" w14:textId="77777777" w:rsidR="00746169" w:rsidRPr="000B7B11" w:rsidRDefault="00746169" w:rsidP="00746169">
      <w:pPr>
        <w:pStyle w:val="BT-EMEASMCA"/>
        <w:numPr>
          <w:ilvl w:val="0"/>
          <w:numId w:val="8"/>
        </w:numPr>
      </w:pPr>
      <w:r w:rsidRPr="000B7B11">
        <w:t>jei Jūsų kraujyje yra geležies perteklius arba geležies pasisavinimas organizme yra sutrikęs.</w:t>
      </w:r>
    </w:p>
    <w:p w14:paraId="2ADE638A" w14:textId="77777777" w:rsidR="00746169" w:rsidRPr="000B7B11" w:rsidRDefault="00746169" w:rsidP="00746169">
      <w:pPr>
        <w:pStyle w:val="BT-EMEASMCA"/>
      </w:pPr>
    </w:p>
    <w:p w14:paraId="309D632D" w14:textId="77777777" w:rsidR="00746169" w:rsidRPr="000B7B11" w:rsidRDefault="00746169" w:rsidP="00746169">
      <w:pPr>
        <w:pStyle w:val="BT-EMEASMCA"/>
      </w:pPr>
      <w:r w:rsidRPr="00706102">
        <w:t>Jeigu</w:t>
      </w:r>
      <w:r w:rsidRPr="000B7B11">
        <w:t xml:space="preserve"> abejojate, prieš vartodami </w:t>
      </w:r>
      <w:proofErr w:type="spellStart"/>
      <w:r w:rsidRPr="000B7B11">
        <w:t>Venofer</w:t>
      </w:r>
      <w:proofErr w:type="spellEnd"/>
      <w:r w:rsidRPr="000B7B11">
        <w:t xml:space="preserve"> kreipkitės į gydytoją.</w:t>
      </w:r>
    </w:p>
    <w:p w14:paraId="20F2781C" w14:textId="77777777" w:rsidR="00746169" w:rsidRPr="000B7B11" w:rsidRDefault="00746169" w:rsidP="00746169">
      <w:pPr>
        <w:pStyle w:val="BTEMEASMCA"/>
      </w:pPr>
    </w:p>
    <w:p w14:paraId="10F69DF2" w14:textId="77777777" w:rsidR="00746169" w:rsidRPr="000B7B11" w:rsidRDefault="00746169" w:rsidP="00746169">
      <w:pPr>
        <w:pStyle w:val="PI-3EMEASMCA"/>
        <w:rPr>
          <w:rStyle w:val="Grietas"/>
          <w:rFonts w:eastAsia="SimSun"/>
          <w:bCs/>
          <w:noProof w:val="0"/>
          <w:lang w:eastAsia="lt-LT"/>
        </w:rPr>
      </w:pPr>
      <w:r w:rsidRPr="000B7B11">
        <w:rPr>
          <w:rStyle w:val="Grietas"/>
        </w:rPr>
        <w:t>Įspėjimai ir atsargumo priemonės</w:t>
      </w:r>
    </w:p>
    <w:p w14:paraId="6016033C" w14:textId="77777777" w:rsidR="00746169" w:rsidRPr="000B7B11" w:rsidRDefault="00746169" w:rsidP="00746169">
      <w:pPr>
        <w:pStyle w:val="PI-3EMEASMCA"/>
      </w:pPr>
      <w:r w:rsidRPr="000B7B11">
        <w:t>Pasitarkite su gydytoju arba slaugytoja, prieš pradėdami vartoti Venofer:</w:t>
      </w:r>
    </w:p>
    <w:p w14:paraId="47870916" w14:textId="77777777" w:rsidR="00746169" w:rsidRPr="000B7B11" w:rsidRDefault="00746169" w:rsidP="00746169">
      <w:pPr>
        <w:pStyle w:val="BT-EMEASMCA"/>
        <w:numPr>
          <w:ilvl w:val="0"/>
          <w:numId w:val="2"/>
        </w:numPr>
      </w:pPr>
      <w:r w:rsidRPr="000B7B11">
        <w:t>jeigu yra pasireiškusi alergija vaistams;</w:t>
      </w:r>
    </w:p>
    <w:p w14:paraId="2274673D" w14:textId="77777777" w:rsidR="00746169" w:rsidRPr="000B7B11" w:rsidRDefault="00746169" w:rsidP="00746169">
      <w:pPr>
        <w:pStyle w:val="BT-EMEASMCA"/>
        <w:numPr>
          <w:ilvl w:val="0"/>
          <w:numId w:val="2"/>
        </w:numPr>
      </w:pPr>
      <w:r w:rsidRPr="000B7B11">
        <w:t>jeigu sergate sistemine raudonąja vilklige;</w:t>
      </w:r>
    </w:p>
    <w:p w14:paraId="66A94542" w14:textId="77777777" w:rsidR="00746169" w:rsidRPr="000B7B11" w:rsidRDefault="00746169" w:rsidP="00746169">
      <w:pPr>
        <w:pStyle w:val="BT-EMEASMCA"/>
        <w:numPr>
          <w:ilvl w:val="0"/>
          <w:numId w:val="2"/>
        </w:numPr>
      </w:pPr>
      <w:r w:rsidRPr="000B7B11">
        <w:t>jeigu sergate reumatoidiniu artritu;</w:t>
      </w:r>
    </w:p>
    <w:p w14:paraId="06D2D45D" w14:textId="77777777" w:rsidR="00746169" w:rsidRPr="000B7B11" w:rsidRDefault="00746169" w:rsidP="00746169">
      <w:pPr>
        <w:pStyle w:val="BT-EMEASMCA"/>
        <w:numPr>
          <w:ilvl w:val="0"/>
          <w:numId w:val="2"/>
        </w:numPr>
      </w:pPr>
      <w:r w:rsidRPr="000B7B11">
        <w:t>jeigu sergate sunkios formos astma, egzema ar kitomis alergijomis;</w:t>
      </w:r>
    </w:p>
    <w:p w14:paraId="6129B007" w14:textId="77777777" w:rsidR="00746169" w:rsidRPr="000B7B11" w:rsidRDefault="00746169" w:rsidP="00746169">
      <w:pPr>
        <w:pStyle w:val="BT-EMEASMCA"/>
        <w:numPr>
          <w:ilvl w:val="0"/>
          <w:numId w:val="2"/>
        </w:numPr>
      </w:pPr>
      <w:r w:rsidRPr="000B7B11">
        <w:t>jeigu Jūs sergate ūminėmis ir lėtinėmis infekcinėmis ligomis;</w:t>
      </w:r>
    </w:p>
    <w:p w14:paraId="1752D7E2" w14:textId="77777777" w:rsidR="00746169" w:rsidRPr="000B7B11" w:rsidRDefault="00746169" w:rsidP="00746169">
      <w:pPr>
        <w:pStyle w:val="BT-EMEASMCA"/>
        <w:numPr>
          <w:ilvl w:val="0"/>
          <w:numId w:val="2"/>
        </w:numPr>
      </w:pPr>
      <w:r w:rsidRPr="000B7B11">
        <w:t>jeigu Jūsų kepenų veikla sutrikusi.</w:t>
      </w:r>
    </w:p>
    <w:p w14:paraId="6030BCAF" w14:textId="77777777" w:rsidR="00746169" w:rsidRPr="000B7B11" w:rsidRDefault="00746169" w:rsidP="00746169">
      <w:pPr>
        <w:pStyle w:val="BT-EMEASMCA"/>
      </w:pPr>
    </w:p>
    <w:p w14:paraId="48C37FA2" w14:textId="77777777" w:rsidR="00746169" w:rsidRPr="00E10FBE" w:rsidRDefault="00746169" w:rsidP="00746169">
      <w:pPr>
        <w:pStyle w:val="BT-EMEASMCA"/>
      </w:pPr>
      <w:r w:rsidRPr="00E10FBE">
        <w:t>Vaikams</w:t>
      </w:r>
    </w:p>
    <w:p w14:paraId="0F043F93" w14:textId="77777777" w:rsidR="00746169" w:rsidRPr="000B7B11" w:rsidRDefault="00746169" w:rsidP="00746169">
      <w:pPr>
        <w:pStyle w:val="BT-EMEASMCA"/>
      </w:pPr>
      <w:r w:rsidRPr="00706102">
        <w:t>Vaisto dozę ir vartojimo dažnį nustatys gydytojas.</w:t>
      </w:r>
    </w:p>
    <w:p w14:paraId="31079616" w14:textId="77777777" w:rsidR="00746169" w:rsidRPr="000B7B11" w:rsidRDefault="00746169" w:rsidP="00746169">
      <w:pPr>
        <w:pStyle w:val="BT-EMEASMCA"/>
      </w:pPr>
    </w:p>
    <w:p w14:paraId="0B159FDD" w14:textId="77777777" w:rsidR="00746169" w:rsidRPr="001F4055" w:rsidRDefault="00746169" w:rsidP="00746169">
      <w:pPr>
        <w:pStyle w:val="PI-3EMEASMCA"/>
        <w:rPr>
          <w:rStyle w:val="Grietas"/>
          <w:rFonts w:eastAsia="SimSun"/>
          <w:b w:val="0"/>
        </w:rPr>
      </w:pPr>
      <w:r w:rsidRPr="000B7B11">
        <w:rPr>
          <w:rStyle w:val="Grietas"/>
        </w:rPr>
        <w:t>Kiti vaistai ir Venofer</w:t>
      </w:r>
    </w:p>
    <w:p w14:paraId="57A29AE7" w14:textId="77777777" w:rsidR="00746169" w:rsidRPr="000B7B11" w:rsidRDefault="00746169" w:rsidP="00746169">
      <w:pPr>
        <w:pStyle w:val="BTEMEASMCA"/>
      </w:pPr>
      <w:r w:rsidRPr="000B7B11">
        <w:lastRenderedPageBreak/>
        <w:t>Jeigu vartojate arba neseniai vartojote kitų vaistų arba dėl to nesate tikri, apie tai pasakykite gydytojui arba vaistininkui.</w:t>
      </w:r>
    </w:p>
    <w:p w14:paraId="141D83E9" w14:textId="77777777" w:rsidR="00746169" w:rsidRPr="000B7B11" w:rsidRDefault="00746169" w:rsidP="00746169">
      <w:pPr>
        <w:pStyle w:val="BTEMEASMCA"/>
      </w:pPr>
      <w:r w:rsidRPr="000B7B11">
        <w:t xml:space="preserve">Taip yra dėl to, kad </w:t>
      </w:r>
      <w:proofErr w:type="spellStart"/>
      <w:r w:rsidRPr="000B7B11">
        <w:t>Venofer</w:t>
      </w:r>
      <w:proofErr w:type="spellEnd"/>
      <w:r w:rsidRPr="000B7B11">
        <w:t xml:space="preserve"> gali turėti įtakos kai kurių kitų vaistų veikimui. Taip pat kai kurie kiti vaistai gali turėti įtakos </w:t>
      </w:r>
      <w:proofErr w:type="spellStart"/>
      <w:r w:rsidRPr="000B7B11">
        <w:t>Venofer</w:t>
      </w:r>
      <w:proofErr w:type="spellEnd"/>
      <w:r w:rsidRPr="000B7B11">
        <w:t xml:space="preserve"> veikimui.</w:t>
      </w:r>
    </w:p>
    <w:p w14:paraId="4B5A3C03" w14:textId="77777777" w:rsidR="00746169" w:rsidRPr="000B7B11" w:rsidRDefault="00746169" w:rsidP="00746169">
      <w:pPr>
        <w:pStyle w:val="BTEMEASMCA"/>
      </w:pPr>
    </w:p>
    <w:p w14:paraId="5FBD2C09" w14:textId="77777777" w:rsidR="00746169" w:rsidRPr="000B7B11" w:rsidRDefault="00746169" w:rsidP="00746169">
      <w:pPr>
        <w:pStyle w:val="BTEMEASMCA"/>
      </w:pPr>
      <w:r w:rsidRPr="000B7B11">
        <w:t xml:space="preserve">Ypač svarbu pasakyti gydytojui arba vaistininkui, jeigu vartojate geriamuosius vaistus, kurių sudėtyje yra geležies. Jie gali neveikti, jei bus vartojami tuo pat metu, kai Jums leidžiamas </w:t>
      </w:r>
      <w:proofErr w:type="spellStart"/>
      <w:r w:rsidRPr="000B7B11">
        <w:t>Venofer</w:t>
      </w:r>
      <w:proofErr w:type="spellEnd"/>
      <w:r w:rsidRPr="000B7B11">
        <w:t>.</w:t>
      </w:r>
    </w:p>
    <w:p w14:paraId="774F3327" w14:textId="77777777" w:rsidR="00746169" w:rsidRPr="000B7B11" w:rsidRDefault="00746169" w:rsidP="00746169">
      <w:pPr>
        <w:pStyle w:val="BTEMEASMCA"/>
      </w:pPr>
    </w:p>
    <w:p w14:paraId="346A4FDC" w14:textId="77777777" w:rsidR="00746169" w:rsidRPr="000B7B11" w:rsidRDefault="00746169" w:rsidP="00746169">
      <w:pPr>
        <w:pStyle w:val="PI-3EMEASMCA"/>
        <w:rPr>
          <w:rStyle w:val="Grietas"/>
          <w:rFonts w:eastAsia="SimSun"/>
          <w:bCs/>
          <w:noProof w:val="0"/>
          <w:lang w:eastAsia="lt-LT"/>
        </w:rPr>
      </w:pPr>
      <w:r w:rsidRPr="000B7B11">
        <w:rPr>
          <w:rStyle w:val="Grietas"/>
        </w:rPr>
        <w:t>Nėštumas, žindymo laikotarpis ir vaisingumas</w:t>
      </w:r>
    </w:p>
    <w:p w14:paraId="6D868BF4" w14:textId="77777777" w:rsidR="00746169" w:rsidRPr="000B7B11" w:rsidRDefault="00746169" w:rsidP="00746169">
      <w:pPr>
        <w:pStyle w:val="PI-3EMEASMCA"/>
      </w:pPr>
    </w:p>
    <w:p w14:paraId="5DB3F218" w14:textId="77777777" w:rsidR="00746169" w:rsidRPr="00E10FBE" w:rsidRDefault="00746169" w:rsidP="00746169">
      <w:pPr>
        <w:pStyle w:val="PI-3EMEASMCA"/>
        <w:rPr>
          <w:u w:val="single"/>
        </w:rPr>
      </w:pPr>
      <w:r w:rsidRPr="00E10FBE">
        <w:rPr>
          <w:u w:val="single"/>
        </w:rPr>
        <w:t>Nėštumas</w:t>
      </w:r>
    </w:p>
    <w:p w14:paraId="5B5B76A2" w14:textId="77777777" w:rsidR="00746169" w:rsidRPr="000B7B11" w:rsidRDefault="00746169" w:rsidP="00746169">
      <w:pPr>
        <w:pStyle w:val="PI-3EMEASMCA"/>
      </w:pPr>
      <w:r w:rsidRPr="000B7B11">
        <w:t xml:space="preserve">Venofer vartojimas moterims nėštumo metu nebuvo tirtas. Jeigu esate nėščia, manote, kad galbūt esate nėščia, arba planuojate pastoti, </w:t>
      </w:r>
      <w:r w:rsidRPr="00706102">
        <w:t>tai prieš vartodama šį vaistą, pasitarkite su gydytoju.</w:t>
      </w:r>
    </w:p>
    <w:p w14:paraId="5EE2FE9D" w14:textId="77777777" w:rsidR="00746169" w:rsidRPr="000B7B11" w:rsidRDefault="00746169" w:rsidP="00746169">
      <w:pPr>
        <w:pStyle w:val="BTEMEASMCA"/>
      </w:pPr>
      <w:r w:rsidRPr="000B7B11">
        <w:t>Jei pastojote gydymo metu, pasitarkite su gydytoju. Gydytojas nuspręs, ar Jums galima vartoti šio vaisto.</w:t>
      </w:r>
    </w:p>
    <w:p w14:paraId="454EBE1A" w14:textId="77777777" w:rsidR="00746169" w:rsidRPr="000B7B11" w:rsidRDefault="00746169" w:rsidP="00746169">
      <w:pPr>
        <w:pStyle w:val="BTEMEASMCA"/>
      </w:pPr>
    </w:p>
    <w:p w14:paraId="78DFC8F4" w14:textId="77777777" w:rsidR="00746169" w:rsidRPr="00E10FBE" w:rsidRDefault="00746169" w:rsidP="00746169">
      <w:pPr>
        <w:pStyle w:val="BTEMEASMCA"/>
      </w:pPr>
      <w:r w:rsidRPr="00E10FBE">
        <w:t>Žindymo laikotarpis</w:t>
      </w:r>
    </w:p>
    <w:p w14:paraId="3C2D2CDB" w14:textId="77777777" w:rsidR="00746169" w:rsidRPr="000B7B11" w:rsidRDefault="00746169" w:rsidP="00746169">
      <w:pPr>
        <w:pStyle w:val="BTEMEASMCA"/>
      </w:pPr>
      <w:r w:rsidRPr="000B7B11">
        <w:t xml:space="preserve">Jeigu žindote kūdikį, tai prieš vartodama </w:t>
      </w:r>
      <w:proofErr w:type="spellStart"/>
      <w:r w:rsidRPr="000B7B11">
        <w:t>Venofer</w:t>
      </w:r>
      <w:proofErr w:type="spellEnd"/>
      <w:r w:rsidRPr="000B7B11">
        <w:t xml:space="preserve"> pasitarkite su gydytoju.</w:t>
      </w:r>
    </w:p>
    <w:p w14:paraId="2C1E9CE9" w14:textId="77777777" w:rsidR="00746169" w:rsidRPr="000B7B11" w:rsidRDefault="00746169" w:rsidP="00746169">
      <w:pPr>
        <w:pStyle w:val="BTEMEASMCA"/>
      </w:pPr>
    </w:p>
    <w:p w14:paraId="2D7657D5" w14:textId="77777777" w:rsidR="00746169" w:rsidRPr="00E10FBE" w:rsidRDefault="00746169" w:rsidP="00746169">
      <w:pPr>
        <w:pStyle w:val="BTEMEASMCA"/>
      </w:pPr>
      <w:r w:rsidRPr="00E10FBE">
        <w:t>Vaisingumas</w:t>
      </w:r>
    </w:p>
    <w:p w14:paraId="30146145" w14:textId="77777777" w:rsidR="00746169" w:rsidRPr="000B7B11" w:rsidRDefault="00746169" w:rsidP="00746169">
      <w:pPr>
        <w:pStyle w:val="BTEMEASMCA"/>
      </w:pPr>
      <w:r w:rsidRPr="000B7B11">
        <w:t>Tyrimai su gyvūnais poveikio vaisingumui neparodė.</w:t>
      </w:r>
    </w:p>
    <w:p w14:paraId="18E45435" w14:textId="77777777" w:rsidR="00746169" w:rsidRPr="000B7B11" w:rsidRDefault="00746169" w:rsidP="00746169">
      <w:pPr>
        <w:pStyle w:val="BTEMEASMCA"/>
      </w:pPr>
    </w:p>
    <w:p w14:paraId="0A7F3B51" w14:textId="77777777" w:rsidR="00746169" w:rsidRPr="000B7B11" w:rsidRDefault="00746169" w:rsidP="00746169">
      <w:pPr>
        <w:pStyle w:val="PI-3EMEASMCA"/>
        <w:rPr>
          <w:b/>
        </w:rPr>
      </w:pPr>
      <w:r w:rsidRPr="000B7B11">
        <w:rPr>
          <w:b/>
        </w:rPr>
        <w:t>Vairavimas ir mechanizmų valdymas</w:t>
      </w:r>
    </w:p>
    <w:p w14:paraId="4E133F88" w14:textId="77777777" w:rsidR="00746169" w:rsidRDefault="00746169" w:rsidP="00746169">
      <w:pPr>
        <w:pStyle w:val="BTEMEASMCA"/>
      </w:pPr>
      <w:proofErr w:type="spellStart"/>
      <w:r w:rsidRPr="000B7B11">
        <w:t>Venofer</w:t>
      </w:r>
      <w:proofErr w:type="spellEnd"/>
      <w:r w:rsidRPr="000B7B11">
        <w:t xml:space="preserve"> gebėjimo vairuoti ir valdyti mechanizmus neveikia. Tačiau po </w:t>
      </w:r>
      <w:proofErr w:type="spellStart"/>
      <w:r w:rsidRPr="000B7B11">
        <w:t>Venofer</w:t>
      </w:r>
      <w:proofErr w:type="spellEnd"/>
      <w:r w:rsidRPr="000B7B11">
        <w:t xml:space="preserve"> vartojimo galite jausti svaigulį arba sumišimą. Jeigu Jums tai pasireiškia, nevairuokite ir nevaldykite prietaisų ar mechanizmų.</w:t>
      </w:r>
    </w:p>
    <w:p w14:paraId="53792B95" w14:textId="77777777" w:rsidR="00746169" w:rsidRDefault="00746169" w:rsidP="00746169">
      <w:pPr>
        <w:pStyle w:val="BTEMEASMCA"/>
      </w:pPr>
    </w:p>
    <w:p w14:paraId="6A89D189" w14:textId="77777777" w:rsidR="00746169" w:rsidRPr="00010594" w:rsidRDefault="00746169" w:rsidP="00746169">
      <w:pPr>
        <w:keepNext/>
        <w:rPr>
          <w:b/>
          <w:bCs/>
          <w:sz w:val="22"/>
          <w:szCs w:val="22"/>
        </w:rPr>
      </w:pPr>
      <w:proofErr w:type="spellStart"/>
      <w:r w:rsidRPr="00010594">
        <w:rPr>
          <w:b/>
          <w:bCs/>
          <w:sz w:val="22"/>
          <w:szCs w:val="22"/>
        </w:rPr>
        <w:t>Venofer</w:t>
      </w:r>
      <w:proofErr w:type="spellEnd"/>
      <w:r w:rsidRPr="00010594">
        <w:rPr>
          <w:b/>
          <w:bCs/>
          <w:sz w:val="22"/>
          <w:szCs w:val="22"/>
        </w:rPr>
        <w:t xml:space="preserve"> sudėtyje yra natrio</w:t>
      </w:r>
    </w:p>
    <w:p w14:paraId="44386FE0" w14:textId="77777777" w:rsidR="00746169" w:rsidRPr="00F03894" w:rsidRDefault="00746169" w:rsidP="00746169">
      <w:pPr>
        <w:pStyle w:val="BTEMEASMCA"/>
      </w:pPr>
      <w:bookmarkStart w:id="4" w:name="_Hlk43212340"/>
      <w:r>
        <w:t xml:space="preserve">Kiekviename šio vaisto mililitre yra 7 mg natrio </w:t>
      </w:r>
      <w:r w:rsidRPr="001B4ECA">
        <w:t>(valgomosios druskos sudedamo</w:t>
      </w:r>
      <w:r w:rsidRPr="0024615E">
        <w:rPr>
          <w:lang w:val="lt-LT"/>
        </w:rPr>
        <w:t>si</w:t>
      </w:r>
      <w:r>
        <w:rPr>
          <w:lang w:val="lt-LT"/>
        </w:rPr>
        <w:t>os</w:t>
      </w:r>
      <w:r w:rsidRPr="001B4ECA">
        <w:t xml:space="preserve"> dali</w:t>
      </w:r>
      <w:r w:rsidRPr="0024615E">
        <w:rPr>
          <w:lang w:val="lt-LT"/>
        </w:rPr>
        <w:t>e</w:t>
      </w:r>
      <w:r w:rsidRPr="001B4ECA">
        <w:t>s).</w:t>
      </w:r>
      <w:r>
        <w:rPr>
          <w:lang w:val="lt-LT"/>
        </w:rPr>
        <w:t xml:space="preserve"> </w:t>
      </w:r>
      <w:r w:rsidRPr="001B4ECA">
        <w:rPr>
          <w:lang w:val="lt-LT"/>
        </w:rPr>
        <w:t>Tai atitinka 0,4 % didžiausios rekomenduojamos natrio paros normos suaugusi</w:t>
      </w:r>
      <w:r>
        <w:rPr>
          <w:lang w:val="lt-LT"/>
        </w:rPr>
        <w:t>esie</w:t>
      </w:r>
      <w:r w:rsidRPr="001B4ECA">
        <w:rPr>
          <w:lang w:val="lt-LT"/>
        </w:rPr>
        <w:t>m</w:t>
      </w:r>
      <w:r>
        <w:rPr>
          <w:lang w:val="lt-LT"/>
        </w:rPr>
        <w:t>s</w:t>
      </w:r>
      <w:r w:rsidRPr="001B4ECA">
        <w:rPr>
          <w:lang w:val="lt-LT"/>
        </w:rPr>
        <w:t>.</w:t>
      </w:r>
    </w:p>
    <w:bookmarkEnd w:id="4"/>
    <w:p w14:paraId="4428CEEC" w14:textId="77777777" w:rsidR="00746169" w:rsidRPr="000B7B11" w:rsidRDefault="00746169" w:rsidP="00746169">
      <w:pPr>
        <w:pStyle w:val="BTEMEASMCA"/>
      </w:pPr>
    </w:p>
    <w:p w14:paraId="6C9718CF" w14:textId="77777777" w:rsidR="00746169" w:rsidRPr="000B7B11" w:rsidRDefault="00746169" w:rsidP="00746169">
      <w:pPr>
        <w:pStyle w:val="BTEMEASMCA"/>
      </w:pPr>
    </w:p>
    <w:p w14:paraId="7B9FBEAC" w14:textId="77777777" w:rsidR="00746169" w:rsidRPr="000B7B11" w:rsidRDefault="00746169" w:rsidP="00746169">
      <w:pPr>
        <w:pStyle w:val="PI-1EMEASMCA"/>
      </w:pPr>
      <w:bookmarkStart w:id="5" w:name="_Toc129243141"/>
      <w:bookmarkStart w:id="6" w:name="_Toc129243266"/>
      <w:r w:rsidRPr="000B7B11">
        <w:t>3.</w:t>
      </w:r>
      <w:r w:rsidRPr="000B7B11">
        <w:tab/>
        <w:t xml:space="preserve">Kaip vartoti </w:t>
      </w:r>
      <w:proofErr w:type="spellStart"/>
      <w:r w:rsidRPr="000B7B11">
        <w:t>Venofer</w:t>
      </w:r>
      <w:bookmarkEnd w:id="5"/>
      <w:bookmarkEnd w:id="6"/>
      <w:proofErr w:type="spellEnd"/>
    </w:p>
    <w:p w14:paraId="3A62C7E4" w14:textId="77777777" w:rsidR="00746169" w:rsidRPr="000B7B11" w:rsidRDefault="00746169" w:rsidP="00746169">
      <w:pPr>
        <w:pStyle w:val="BTEMEASMCA"/>
      </w:pPr>
    </w:p>
    <w:p w14:paraId="7A9B55F5" w14:textId="77777777" w:rsidR="00746169" w:rsidRPr="000B7B11" w:rsidRDefault="00746169" w:rsidP="00746169">
      <w:pPr>
        <w:pStyle w:val="BT-EMEASMCA"/>
      </w:pPr>
      <w:r w:rsidRPr="000B7B11">
        <w:t xml:space="preserve">Gydytojas nuspręs, kokį </w:t>
      </w:r>
      <w:proofErr w:type="spellStart"/>
      <w:r w:rsidRPr="000B7B11">
        <w:t>Venofer</w:t>
      </w:r>
      <w:proofErr w:type="spellEnd"/>
      <w:r w:rsidRPr="000B7B11">
        <w:t xml:space="preserve"> kiekį Jums reikia skirti. Jis taip pat nuspręs, kaip dažnai ir kiek laiko reikės jį vartoti. Gydytojas atliks kraujo tyrimą, kad </w:t>
      </w:r>
      <w:r w:rsidRPr="00706102">
        <w:t>nustatytų vaisto dozę</w:t>
      </w:r>
      <w:r w:rsidRPr="000B7B11">
        <w:t>.</w:t>
      </w:r>
    </w:p>
    <w:p w14:paraId="343D99EE" w14:textId="77777777" w:rsidR="00746169" w:rsidRPr="000B7B11" w:rsidRDefault="00746169" w:rsidP="00746169">
      <w:pPr>
        <w:pStyle w:val="BT-EMEASMCA"/>
      </w:pPr>
    </w:p>
    <w:p w14:paraId="3A47181A" w14:textId="77777777" w:rsidR="00746169" w:rsidRPr="000B7B11" w:rsidRDefault="00746169" w:rsidP="00746169">
      <w:pPr>
        <w:pStyle w:val="BT-EMEASMCA"/>
      </w:pPr>
      <w:r w:rsidRPr="000B7B11">
        <w:t xml:space="preserve">Gydytojas ar slaugytoja suleis </w:t>
      </w:r>
      <w:proofErr w:type="spellStart"/>
      <w:r w:rsidRPr="000B7B11">
        <w:t>Venofer</w:t>
      </w:r>
      <w:proofErr w:type="spellEnd"/>
      <w:r w:rsidRPr="000B7B11">
        <w:t xml:space="preserve"> vienu iš šių būdų:</w:t>
      </w:r>
    </w:p>
    <w:p w14:paraId="547472B6" w14:textId="77777777" w:rsidR="00746169" w:rsidRPr="000B7B11" w:rsidRDefault="00746169" w:rsidP="00746169">
      <w:pPr>
        <w:pStyle w:val="BT-EMEASMCA"/>
        <w:numPr>
          <w:ilvl w:val="0"/>
          <w:numId w:val="1"/>
        </w:numPr>
      </w:pPr>
      <w:r w:rsidRPr="000B7B11">
        <w:t>lėta injekcija į veną – 1</w:t>
      </w:r>
      <w:r w:rsidRPr="000B7B11">
        <w:noBreakHyphen/>
        <w:t>3 kartus per savaitę;</w:t>
      </w:r>
    </w:p>
    <w:p w14:paraId="1261A515" w14:textId="77777777" w:rsidR="00746169" w:rsidRPr="000B7B11" w:rsidRDefault="00746169" w:rsidP="00746169">
      <w:pPr>
        <w:pStyle w:val="BT-EMEASMCA"/>
        <w:numPr>
          <w:ilvl w:val="0"/>
          <w:numId w:val="1"/>
        </w:numPr>
      </w:pPr>
      <w:r w:rsidRPr="000B7B11">
        <w:t>infuzija (lašeline) į veną – 1</w:t>
      </w:r>
      <w:r w:rsidRPr="000B7B11">
        <w:noBreakHyphen/>
        <w:t>3 kartus per savaitę;</w:t>
      </w:r>
    </w:p>
    <w:p w14:paraId="4706DEDC" w14:textId="77777777" w:rsidR="00746169" w:rsidRPr="000B7B11" w:rsidRDefault="00746169" w:rsidP="00746169">
      <w:pPr>
        <w:pStyle w:val="BT-EMEASMCA"/>
        <w:numPr>
          <w:ilvl w:val="0"/>
          <w:numId w:val="1"/>
        </w:numPr>
      </w:pPr>
      <w:r w:rsidRPr="000B7B11">
        <w:t>dializės metu – vaistas bus suleistas į dializatoriaus veninę atšaką.</w:t>
      </w:r>
    </w:p>
    <w:p w14:paraId="6DA07BA8" w14:textId="77777777" w:rsidR="00746169" w:rsidRPr="000B7B11" w:rsidRDefault="00746169" w:rsidP="00746169">
      <w:pPr>
        <w:pStyle w:val="BT-EMEASMCA"/>
      </w:pPr>
      <w:proofErr w:type="spellStart"/>
      <w:r w:rsidRPr="000B7B11">
        <w:t>Venofer</w:t>
      </w:r>
      <w:proofErr w:type="spellEnd"/>
      <w:r w:rsidRPr="000B7B11">
        <w:t xml:space="preserve"> bus leidžiamas aplinkoje, kurioje bus prieinama skubi pagalba imuninių – alerginių reiškinių atveju.</w:t>
      </w:r>
    </w:p>
    <w:p w14:paraId="40B4BEC9" w14:textId="77777777" w:rsidR="00746169" w:rsidRPr="000B7B11" w:rsidRDefault="00746169" w:rsidP="00746169">
      <w:pPr>
        <w:pStyle w:val="BT-EMEASMCA"/>
      </w:pPr>
    </w:p>
    <w:p w14:paraId="71080E71" w14:textId="77777777" w:rsidR="00746169" w:rsidRPr="000B7B11" w:rsidRDefault="00746169" w:rsidP="00746169">
      <w:pPr>
        <w:pStyle w:val="BT-EMEASMCA"/>
      </w:pPr>
      <w:r w:rsidRPr="000B7B11">
        <w:t>Po kiekvieno vaisto suleidimo gydytojas arba slaugytoja Jus stebės mažiausiai 30 minučių.</w:t>
      </w:r>
    </w:p>
    <w:p w14:paraId="5D1EF4B1" w14:textId="77777777" w:rsidR="00746169" w:rsidRPr="000B7B11" w:rsidRDefault="00746169" w:rsidP="00746169">
      <w:pPr>
        <w:rPr>
          <w:sz w:val="22"/>
          <w:szCs w:val="22"/>
        </w:rPr>
      </w:pPr>
    </w:p>
    <w:p w14:paraId="079E1D05" w14:textId="77777777" w:rsidR="00746169" w:rsidRPr="000B7B11" w:rsidRDefault="00746169" w:rsidP="00746169">
      <w:pPr>
        <w:pStyle w:val="BTEMEASMCA"/>
      </w:pPr>
    </w:p>
    <w:p w14:paraId="57CBFFD0" w14:textId="77777777" w:rsidR="00746169" w:rsidRPr="000B7B11" w:rsidRDefault="00746169" w:rsidP="00746169">
      <w:pPr>
        <w:pStyle w:val="PI-1EMEASMCA"/>
      </w:pPr>
      <w:bookmarkStart w:id="7" w:name="_Toc129243142"/>
      <w:bookmarkStart w:id="8" w:name="_Toc129243267"/>
      <w:r w:rsidRPr="000B7B11">
        <w:t>4.</w:t>
      </w:r>
      <w:r w:rsidRPr="000B7B11">
        <w:tab/>
        <w:t>Galimas šalutinis poveikis</w:t>
      </w:r>
      <w:bookmarkEnd w:id="7"/>
      <w:bookmarkEnd w:id="8"/>
    </w:p>
    <w:p w14:paraId="4821B4D7" w14:textId="77777777" w:rsidR="00746169" w:rsidRPr="000B7B11" w:rsidRDefault="00746169" w:rsidP="00746169">
      <w:pPr>
        <w:pStyle w:val="BTEMEASMCA"/>
      </w:pPr>
    </w:p>
    <w:p w14:paraId="5023739F" w14:textId="77777777" w:rsidR="00746169" w:rsidRPr="000B7B11" w:rsidRDefault="00746169" w:rsidP="00746169">
      <w:pPr>
        <w:pStyle w:val="BTEMEASMCA"/>
      </w:pPr>
      <w:r w:rsidRPr="000B7B11">
        <w:t>Šis vaistas, kaip ir visi kiti, gali sukelti šalutinį poveikį, nors jis pasireiškia ne visiems žmonėms.</w:t>
      </w:r>
    </w:p>
    <w:p w14:paraId="7B177A97" w14:textId="77777777" w:rsidR="00746169" w:rsidRPr="000B7B11" w:rsidRDefault="00746169" w:rsidP="00746169">
      <w:pPr>
        <w:pStyle w:val="BTEMEASMCA"/>
      </w:pPr>
    </w:p>
    <w:p w14:paraId="4EC6FF45" w14:textId="77777777" w:rsidR="00746169" w:rsidRPr="00F03894" w:rsidRDefault="00746169" w:rsidP="00746169">
      <w:pPr>
        <w:keepNext/>
        <w:rPr>
          <w:b/>
          <w:bCs/>
          <w:iCs/>
          <w:sz w:val="22"/>
          <w:szCs w:val="22"/>
        </w:rPr>
      </w:pPr>
      <w:r w:rsidRPr="00F03894">
        <w:rPr>
          <w:b/>
          <w:bCs/>
          <w:iCs/>
          <w:sz w:val="22"/>
          <w:szCs w:val="22"/>
        </w:rPr>
        <w:t>Alerginės reakcijos (gali pasireikšti rečiau kaip 1 iš 100 asmenų):</w:t>
      </w:r>
    </w:p>
    <w:p w14:paraId="433BE331" w14:textId="77777777" w:rsidR="00746169" w:rsidRPr="000B7B11" w:rsidRDefault="00746169" w:rsidP="00746169">
      <w:pPr>
        <w:keepNext/>
        <w:rPr>
          <w:sz w:val="22"/>
          <w:szCs w:val="22"/>
        </w:rPr>
      </w:pPr>
      <w:r w:rsidRPr="000B7B11">
        <w:rPr>
          <w:sz w:val="22"/>
          <w:szCs w:val="22"/>
        </w:rPr>
        <w:t>Jeigu Jums pasireiškė alerginė reakcija, nedelsdami pasakykite gydytojui arba slaugytojai. Tarp požymių gali būti:</w:t>
      </w:r>
    </w:p>
    <w:p w14:paraId="6B87A291" w14:textId="77777777" w:rsidR="00746169" w:rsidRPr="001F4055" w:rsidRDefault="00746169" w:rsidP="00746169">
      <w:pPr>
        <w:numPr>
          <w:ilvl w:val="0"/>
          <w:numId w:val="3"/>
        </w:numPr>
        <w:contextualSpacing/>
        <w:rPr>
          <w:sz w:val="22"/>
        </w:rPr>
      </w:pPr>
      <w:r w:rsidRPr="001F4055">
        <w:rPr>
          <w:sz w:val="22"/>
        </w:rPr>
        <w:t>žemas kraujospūdis (svaigulys, apsvaigimo pojūtis ar alpulys);</w:t>
      </w:r>
    </w:p>
    <w:p w14:paraId="4D7497BA" w14:textId="77777777" w:rsidR="00746169" w:rsidRPr="001F4055" w:rsidRDefault="00746169" w:rsidP="00746169">
      <w:pPr>
        <w:numPr>
          <w:ilvl w:val="0"/>
          <w:numId w:val="3"/>
        </w:numPr>
        <w:contextualSpacing/>
        <w:rPr>
          <w:sz w:val="22"/>
        </w:rPr>
      </w:pPr>
      <w:r w:rsidRPr="001F4055">
        <w:rPr>
          <w:sz w:val="22"/>
        </w:rPr>
        <w:t>veido patinimas;</w:t>
      </w:r>
    </w:p>
    <w:p w14:paraId="0CED8893" w14:textId="77777777" w:rsidR="00746169" w:rsidRDefault="00746169" w:rsidP="00746169">
      <w:pPr>
        <w:numPr>
          <w:ilvl w:val="0"/>
          <w:numId w:val="3"/>
        </w:numPr>
        <w:contextualSpacing/>
        <w:rPr>
          <w:sz w:val="22"/>
        </w:rPr>
      </w:pPr>
      <w:r w:rsidRPr="009C58F7">
        <w:rPr>
          <w:sz w:val="22"/>
        </w:rPr>
        <w:t>kvėpavimo pasunkėjimas</w:t>
      </w:r>
      <w:r>
        <w:rPr>
          <w:sz w:val="22"/>
        </w:rPr>
        <w:t>;</w:t>
      </w:r>
    </w:p>
    <w:p w14:paraId="0F9D2641" w14:textId="77777777" w:rsidR="00746169" w:rsidRPr="009C58F7" w:rsidRDefault="00746169" w:rsidP="00746169">
      <w:pPr>
        <w:numPr>
          <w:ilvl w:val="0"/>
          <w:numId w:val="3"/>
        </w:numPr>
        <w:contextualSpacing/>
        <w:rPr>
          <w:sz w:val="22"/>
        </w:rPr>
      </w:pPr>
      <w:r w:rsidRPr="00F06368">
        <w:rPr>
          <w:sz w:val="22"/>
        </w:rPr>
        <w:lastRenderedPageBreak/>
        <w:t xml:space="preserve">skausmas krūtinės srityje, kuris gali būti galimai sunkios alerginės reakcijos, vadinamos </w:t>
      </w:r>
      <w:proofErr w:type="spellStart"/>
      <w:r w:rsidRPr="00F06368">
        <w:rPr>
          <w:sz w:val="22"/>
        </w:rPr>
        <w:t>Kounis</w:t>
      </w:r>
      <w:proofErr w:type="spellEnd"/>
      <w:r w:rsidRPr="00F06368">
        <w:rPr>
          <w:sz w:val="22"/>
        </w:rPr>
        <w:t xml:space="preserve"> sindromu, požymis</w:t>
      </w:r>
      <w:r w:rsidRPr="009C58F7">
        <w:rPr>
          <w:sz w:val="22"/>
        </w:rPr>
        <w:t>.</w:t>
      </w:r>
    </w:p>
    <w:p w14:paraId="1AD13D98" w14:textId="77777777" w:rsidR="00746169" w:rsidRPr="000B7B11" w:rsidRDefault="00746169" w:rsidP="00746169">
      <w:pPr>
        <w:rPr>
          <w:sz w:val="22"/>
          <w:szCs w:val="22"/>
        </w:rPr>
      </w:pPr>
    </w:p>
    <w:p w14:paraId="6834A99D" w14:textId="77777777" w:rsidR="00746169" w:rsidRPr="000B7B11" w:rsidRDefault="00746169" w:rsidP="00746169">
      <w:pPr>
        <w:keepNext/>
        <w:rPr>
          <w:i/>
          <w:sz w:val="22"/>
          <w:szCs w:val="22"/>
        </w:rPr>
      </w:pPr>
      <w:r w:rsidRPr="000B7B11">
        <w:rPr>
          <w:i/>
          <w:sz w:val="22"/>
          <w:szCs w:val="22"/>
        </w:rPr>
        <w:t>Kitoks šalutinis poveikis</w:t>
      </w:r>
    </w:p>
    <w:p w14:paraId="475BCB1E" w14:textId="77777777" w:rsidR="00746169" w:rsidRPr="000B7B11" w:rsidRDefault="00746169" w:rsidP="00746169">
      <w:pPr>
        <w:keepNext/>
        <w:rPr>
          <w:sz w:val="22"/>
          <w:szCs w:val="22"/>
        </w:rPr>
      </w:pPr>
    </w:p>
    <w:p w14:paraId="278C2AFF" w14:textId="77777777" w:rsidR="00746169" w:rsidRPr="000B7B11" w:rsidRDefault="00746169" w:rsidP="00746169">
      <w:pPr>
        <w:keepNext/>
        <w:rPr>
          <w:i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Dažni šalutinio poveikio reiškiniai (gali pasireikšti rečiau kaip 1 iš 10 asmenų):</w:t>
      </w:r>
    </w:p>
    <w:p w14:paraId="475A3E18" w14:textId="77777777" w:rsidR="00746169" w:rsidRPr="001F4055" w:rsidRDefault="00746169" w:rsidP="00746169">
      <w:pPr>
        <w:numPr>
          <w:ilvl w:val="0"/>
          <w:numId w:val="4"/>
        </w:numPr>
        <w:contextualSpacing/>
        <w:rPr>
          <w:sz w:val="22"/>
        </w:rPr>
      </w:pPr>
      <w:r w:rsidRPr="001F4055">
        <w:rPr>
          <w:sz w:val="22"/>
        </w:rPr>
        <w:t>Pakitęs skonio pojūtis, pvz., metalo skonis (paprastai tai netrunka labai ilgai).</w:t>
      </w:r>
    </w:p>
    <w:p w14:paraId="6C0D072B" w14:textId="77777777" w:rsidR="00746169" w:rsidRPr="000B7B11" w:rsidRDefault="00746169" w:rsidP="00746169">
      <w:pPr>
        <w:numPr>
          <w:ilvl w:val="0"/>
          <w:numId w:val="4"/>
        </w:numPr>
        <w:contextualSpacing/>
        <w:rPr>
          <w:sz w:val="22"/>
          <w:szCs w:val="22"/>
        </w:rPr>
      </w:pPr>
      <w:r w:rsidRPr="00706102">
        <w:rPr>
          <w:sz w:val="22"/>
          <w:szCs w:val="22"/>
        </w:rPr>
        <w:t>Kraujospūdžio sumažėjimas ar padidėjimas.</w:t>
      </w:r>
    </w:p>
    <w:p w14:paraId="4AD8DE67" w14:textId="77777777" w:rsidR="00746169" w:rsidRPr="001F4055" w:rsidRDefault="00746169" w:rsidP="00746169">
      <w:pPr>
        <w:numPr>
          <w:ilvl w:val="0"/>
          <w:numId w:val="4"/>
        </w:numPr>
        <w:contextualSpacing/>
        <w:rPr>
          <w:sz w:val="22"/>
        </w:rPr>
      </w:pPr>
      <w:r w:rsidRPr="001F4055">
        <w:rPr>
          <w:sz w:val="22"/>
        </w:rPr>
        <w:t>Pykinimas.</w:t>
      </w:r>
    </w:p>
    <w:p w14:paraId="7CD8F0E7" w14:textId="77777777" w:rsidR="00746169" w:rsidRPr="001F4055" w:rsidRDefault="00746169" w:rsidP="00746169">
      <w:pPr>
        <w:numPr>
          <w:ilvl w:val="0"/>
          <w:numId w:val="4"/>
        </w:numPr>
        <w:contextualSpacing/>
        <w:rPr>
          <w:sz w:val="22"/>
        </w:rPr>
      </w:pPr>
      <w:r w:rsidRPr="001F4055">
        <w:rPr>
          <w:sz w:val="22"/>
        </w:rPr>
        <w:t xml:space="preserve">Reakcijos aplink </w:t>
      </w:r>
      <w:r w:rsidRPr="00706102">
        <w:rPr>
          <w:sz w:val="22"/>
        </w:rPr>
        <w:t xml:space="preserve">injekcijos </w:t>
      </w:r>
      <w:r w:rsidRPr="00706102">
        <w:rPr>
          <w:sz w:val="22"/>
          <w:szCs w:val="22"/>
        </w:rPr>
        <w:t>ar</w:t>
      </w:r>
      <w:r w:rsidRPr="00706102">
        <w:rPr>
          <w:sz w:val="22"/>
        </w:rPr>
        <w:t xml:space="preserve"> infuzijos vietą, pvz., skausmas, dirginimas, niežulys, hematoma </w:t>
      </w:r>
      <w:r w:rsidRPr="00706102">
        <w:rPr>
          <w:sz w:val="22"/>
          <w:szCs w:val="22"/>
        </w:rPr>
        <w:t xml:space="preserve">(kraujo išsiliejimas) </w:t>
      </w:r>
      <w:r w:rsidRPr="00706102">
        <w:rPr>
          <w:sz w:val="22"/>
        </w:rPr>
        <w:t xml:space="preserve">arba spalvos pakitimas leidžiamam </w:t>
      </w:r>
      <w:r w:rsidRPr="00706102">
        <w:rPr>
          <w:sz w:val="22"/>
          <w:szCs w:val="22"/>
        </w:rPr>
        <w:t>vaistui</w:t>
      </w:r>
      <w:r w:rsidRPr="001F4055">
        <w:rPr>
          <w:sz w:val="22"/>
        </w:rPr>
        <w:t xml:space="preserve"> patekus į odą.</w:t>
      </w:r>
    </w:p>
    <w:p w14:paraId="299EC5CE" w14:textId="77777777" w:rsidR="00746169" w:rsidRPr="000B7B11" w:rsidRDefault="00746169" w:rsidP="00746169">
      <w:pPr>
        <w:rPr>
          <w:sz w:val="22"/>
          <w:szCs w:val="22"/>
        </w:rPr>
      </w:pPr>
    </w:p>
    <w:p w14:paraId="4B173B4A" w14:textId="77777777" w:rsidR="00746169" w:rsidRPr="000B7B11" w:rsidRDefault="00746169" w:rsidP="00746169">
      <w:pPr>
        <w:keepNext/>
        <w:rPr>
          <w:i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Nedažni šalutinio poveikio reiškiniai (gali pasireikšti rečiau kaip 1 iš 100 asmenų):</w:t>
      </w:r>
    </w:p>
    <w:p w14:paraId="554A5C59" w14:textId="77777777" w:rsidR="00746169" w:rsidRPr="001F4055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1F4055">
        <w:rPr>
          <w:sz w:val="22"/>
        </w:rPr>
        <w:t>Galvos skausmas arba svaigulys.</w:t>
      </w:r>
    </w:p>
    <w:p w14:paraId="20C5B3B3" w14:textId="77777777" w:rsidR="00746169" w:rsidRPr="001F4055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1F4055">
        <w:rPr>
          <w:sz w:val="22"/>
        </w:rPr>
        <w:t>Pilvo skausmas arba viduriavimas.</w:t>
      </w:r>
    </w:p>
    <w:p w14:paraId="5B8BAD0C" w14:textId="77777777" w:rsidR="00746169" w:rsidRPr="000B7B11" w:rsidRDefault="00746169" w:rsidP="00746169">
      <w:pPr>
        <w:numPr>
          <w:ilvl w:val="0"/>
          <w:numId w:val="5"/>
        </w:numPr>
        <w:contextualSpacing/>
        <w:rPr>
          <w:sz w:val="22"/>
          <w:szCs w:val="22"/>
        </w:rPr>
      </w:pPr>
      <w:r w:rsidRPr="002F2252">
        <w:rPr>
          <w:sz w:val="22"/>
          <w:szCs w:val="22"/>
        </w:rPr>
        <w:t xml:space="preserve">Pykinimas arba </w:t>
      </w:r>
      <w:r w:rsidRPr="00970C69">
        <w:rPr>
          <w:sz w:val="22"/>
          <w:szCs w:val="22"/>
        </w:rPr>
        <w:t>vėmimas.</w:t>
      </w:r>
    </w:p>
    <w:p w14:paraId="187A8917" w14:textId="77777777" w:rsidR="00746169" w:rsidRPr="001F4055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1F4055">
        <w:rPr>
          <w:sz w:val="22"/>
        </w:rPr>
        <w:t>Švokštimas, kvėpavimo pasunkėjimas.</w:t>
      </w:r>
    </w:p>
    <w:p w14:paraId="2FEA0821" w14:textId="77777777" w:rsidR="00746169" w:rsidRPr="001F4055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1F4055">
        <w:rPr>
          <w:sz w:val="22"/>
        </w:rPr>
        <w:t>Niežulys, išbėrimas.</w:t>
      </w:r>
    </w:p>
    <w:p w14:paraId="4046AC7C" w14:textId="77777777" w:rsidR="00746169" w:rsidRPr="009C58F7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1F4055">
        <w:rPr>
          <w:sz w:val="22"/>
        </w:rPr>
        <w:t>Raumenų spazmai, mėšlungis</w:t>
      </w:r>
      <w:r w:rsidRPr="009C58F7">
        <w:rPr>
          <w:sz w:val="22"/>
        </w:rPr>
        <w:t xml:space="preserve"> arba skausmas.</w:t>
      </w:r>
    </w:p>
    <w:p w14:paraId="7253EA5C" w14:textId="77777777" w:rsidR="00746169" w:rsidRPr="00706102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706102">
        <w:rPr>
          <w:sz w:val="22"/>
        </w:rPr>
        <w:t>Dilgsėjimas</w:t>
      </w:r>
      <w:r w:rsidRPr="00706102">
        <w:rPr>
          <w:sz w:val="22"/>
          <w:szCs w:val="22"/>
        </w:rPr>
        <w:t xml:space="preserve"> arba kitaip pakitęs lytėjimo pojūtis</w:t>
      </w:r>
      <w:r w:rsidRPr="00706102">
        <w:rPr>
          <w:sz w:val="22"/>
        </w:rPr>
        <w:t>.</w:t>
      </w:r>
    </w:p>
    <w:p w14:paraId="1852B90B" w14:textId="77777777" w:rsidR="00746169" w:rsidRPr="00811D4E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811D4E">
        <w:rPr>
          <w:sz w:val="22"/>
        </w:rPr>
        <w:t>Susilpnėjęs lytėjimo pojūtis.</w:t>
      </w:r>
    </w:p>
    <w:p w14:paraId="3891AAF2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>Venų uždegimas.</w:t>
      </w:r>
    </w:p>
    <w:p w14:paraId="4757D87C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>Raudonis, deginimo pojūtis.</w:t>
      </w:r>
    </w:p>
    <w:p w14:paraId="1018ED55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>Vidurių užkietėjimas.</w:t>
      </w:r>
    </w:p>
    <w:p w14:paraId="27559904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>Sąnarių skausmas.</w:t>
      </w:r>
    </w:p>
    <w:p w14:paraId="19DBFEB4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>Skausmas galūnėse.</w:t>
      </w:r>
    </w:p>
    <w:p w14:paraId="27C70779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>Nugaros skausmas.</w:t>
      </w:r>
    </w:p>
    <w:p w14:paraId="19767CC2" w14:textId="77777777" w:rsidR="00746169" w:rsidRPr="00706102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706102">
        <w:rPr>
          <w:sz w:val="22"/>
          <w:szCs w:val="22"/>
        </w:rPr>
        <w:t>Šalčio krėtimas</w:t>
      </w:r>
      <w:r w:rsidRPr="00706102">
        <w:rPr>
          <w:sz w:val="22"/>
        </w:rPr>
        <w:t>.</w:t>
      </w:r>
    </w:p>
    <w:p w14:paraId="719CE31C" w14:textId="77777777" w:rsidR="00746169" w:rsidRPr="00811D4E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811D4E">
        <w:rPr>
          <w:sz w:val="22"/>
        </w:rPr>
        <w:t>Silpnumas, nuovargis.</w:t>
      </w:r>
    </w:p>
    <w:p w14:paraId="2AC191B3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  <w:szCs w:val="22"/>
        </w:rPr>
        <w:t>Rankų ir kojų patinimas.</w:t>
      </w:r>
    </w:p>
    <w:p w14:paraId="5EFF427D" w14:textId="77777777" w:rsidR="00746169" w:rsidRPr="00534944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>Skausmas.</w:t>
      </w:r>
    </w:p>
    <w:p w14:paraId="01A693AD" w14:textId="77777777" w:rsidR="00746169" w:rsidRPr="001F4055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534944">
        <w:rPr>
          <w:sz w:val="22"/>
        </w:rPr>
        <w:t xml:space="preserve">Padidėjęs kepenų fermentų </w:t>
      </w:r>
      <w:r w:rsidRPr="00706102">
        <w:rPr>
          <w:sz w:val="22"/>
          <w:szCs w:val="22"/>
        </w:rPr>
        <w:t>aktyvumas</w:t>
      </w:r>
      <w:r w:rsidRPr="001F4055">
        <w:rPr>
          <w:sz w:val="22"/>
        </w:rPr>
        <w:t xml:space="preserve"> (ALT, AST, GGT) kraujyje.</w:t>
      </w:r>
    </w:p>
    <w:p w14:paraId="6E7BF44A" w14:textId="77777777" w:rsidR="00746169" w:rsidRPr="001F4055" w:rsidRDefault="00746169" w:rsidP="00746169">
      <w:pPr>
        <w:numPr>
          <w:ilvl w:val="0"/>
          <w:numId w:val="5"/>
        </w:numPr>
        <w:contextualSpacing/>
        <w:rPr>
          <w:sz w:val="22"/>
        </w:rPr>
      </w:pPr>
      <w:r w:rsidRPr="000B7B11">
        <w:rPr>
          <w:sz w:val="22"/>
          <w:szCs w:val="22"/>
        </w:rPr>
        <w:t xml:space="preserve">Padidėjęs </w:t>
      </w:r>
      <w:proofErr w:type="spellStart"/>
      <w:r w:rsidRPr="000B7B11">
        <w:rPr>
          <w:sz w:val="22"/>
          <w:szCs w:val="22"/>
        </w:rPr>
        <w:t>feritino</w:t>
      </w:r>
      <w:proofErr w:type="spellEnd"/>
      <w:r w:rsidRPr="000B7B11">
        <w:rPr>
          <w:sz w:val="22"/>
          <w:szCs w:val="22"/>
        </w:rPr>
        <w:t xml:space="preserve"> kiekis serume.</w:t>
      </w:r>
    </w:p>
    <w:p w14:paraId="2457ADAD" w14:textId="77777777" w:rsidR="00746169" w:rsidRPr="000B7B11" w:rsidRDefault="00746169" w:rsidP="00746169">
      <w:pPr>
        <w:rPr>
          <w:sz w:val="22"/>
          <w:szCs w:val="22"/>
        </w:rPr>
      </w:pPr>
    </w:p>
    <w:p w14:paraId="52AE8F5A" w14:textId="77777777" w:rsidR="00746169" w:rsidRPr="000B7B11" w:rsidRDefault="00746169" w:rsidP="00746169">
      <w:pPr>
        <w:keepNext/>
        <w:rPr>
          <w:i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Reti šalutinio poveikio reiškiniai (gali pasireikšti rečiau kaip 1 iš 1 000 asmenų):</w:t>
      </w:r>
    </w:p>
    <w:p w14:paraId="0DBE50CE" w14:textId="77777777" w:rsidR="00746169" w:rsidRPr="001F4055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1F4055">
        <w:rPr>
          <w:sz w:val="22"/>
        </w:rPr>
        <w:t>Alpulys.</w:t>
      </w:r>
    </w:p>
    <w:p w14:paraId="592EB1E5" w14:textId="77777777" w:rsidR="00746169" w:rsidRPr="001F4055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1F4055">
        <w:rPr>
          <w:sz w:val="22"/>
        </w:rPr>
        <w:t>Mieguistumas.</w:t>
      </w:r>
    </w:p>
    <w:p w14:paraId="6F6B8DD5" w14:textId="77777777" w:rsidR="00746169" w:rsidRPr="009C58F7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1F4055">
        <w:rPr>
          <w:sz w:val="22"/>
        </w:rPr>
        <w:t>Smarkus širdies plakimas</w:t>
      </w:r>
      <w:r w:rsidRPr="009C58F7">
        <w:rPr>
          <w:sz w:val="22"/>
        </w:rPr>
        <w:t xml:space="preserve"> (</w:t>
      </w:r>
      <w:proofErr w:type="spellStart"/>
      <w:r w:rsidRPr="009C58F7">
        <w:rPr>
          <w:sz w:val="22"/>
        </w:rPr>
        <w:t>palpitacija</w:t>
      </w:r>
      <w:proofErr w:type="spellEnd"/>
      <w:r w:rsidRPr="009C58F7">
        <w:rPr>
          <w:sz w:val="22"/>
        </w:rPr>
        <w:t>).</w:t>
      </w:r>
    </w:p>
    <w:p w14:paraId="0C2D16F3" w14:textId="77777777" w:rsidR="00746169" w:rsidRPr="001F4055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0B7B11">
        <w:rPr>
          <w:sz w:val="22"/>
          <w:szCs w:val="22"/>
        </w:rPr>
        <w:t>Šlapimo spalvos pokyčiai.</w:t>
      </w:r>
    </w:p>
    <w:p w14:paraId="38D6116A" w14:textId="77777777" w:rsidR="00746169" w:rsidRPr="001F4055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1F4055">
        <w:rPr>
          <w:sz w:val="22"/>
        </w:rPr>
        <w:t>Krūtinės skausmas.</w:t>
      </w:r>
    </w:p>
    <w:p w14:paraId="0766DEA3" w14:textId="77777777" w:rsidR="00746169" w:rsidRPr="001F4055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0B7B11">
        <w:rPr>
          <w:sz w:val="22"/>
          <w:szCs w:val="22"/>
        </w:rPr>
        <w:t>Padidėjęs prakaitavimas.</w:t>
      </w:r>
    </w:p>
    <w:p w14:paraId="1077BF80" w14:textId="77777777" w:rsidR="00746169" w:rsidRPr="001F4055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1F4055">
        <w:rPr>
          <w:sz w:val="22"/>
        </w:rPr>
        <w:t>Karščiavimas.</w:t>
      </w:r>
    </w:p>
    <w:p w14:paraId="5CFA5263" w14:textId="77777777" w:rsidR="00746169" w:rsidRPr="001F4055" w:rsidRDefault="00746169" w:rsidP="00746169">
      <w:pPr>
        <w:numPr>
          <w:ilvl w:val="0"/>
          <w:numId w:val="6"/>
        </w:numPr>
        <w:contextualSpacing/>
        <w:rPr>
          <w:sz w:val="22"/>
        </w:rPr>
      </w:pPr>
      <w:r w:rsidRPr="001F4055">
        <w:rPr>
          <w:sz w:val="22"/>
        </w:rPr>
        <w:t xml:space="preserve">Padidėjęs laktato </w:t>
      </w:r>
      <w:proofErr w:type="spellStart"/>
      <w:r w:rsidRPr="001F4055">
        <w:rPr>
          <w:sz w:val="22"/>
        </w:rPr>
        <w:t>dehidrogenazės</w:t>
      </w:r>
      <w:proofErr w:type="spellEnd"/>
      <w:r w:rsidRPr="001F4055">
        <w:rPr>
          <w:sz w:val="22"/>
        </w:rPr>
        <w:t xml:space="preserve"> kiekis kraujyje.</w:t>
      </w:r>
    </w:p>
    <w:p w14:paraId="0A378559" w14:textId="77777777" w:rsidR="00746169" w:rsidRPr="000B7B11" w:rsidRDefault="00746169" w:rsidP="00746169">
      <w:pPr>
        <w:rPr>
          <w:sz w:val="22"/>
          <w:szCs w:val="22"/>
        </w:rPr>
      </w:pPr>
    </w:p>
    <w:p w14:paraId="0F035198" w14:textId="77777777" w:rsidR="00746169" w:rsidRDefault="00746169" w:rsidP="00746169">
      <w:pPr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Šalutinio poveikio reiškiniai, kurių dažnis nežinomas (negali būti apskaičiuotas pagal turimus duomenis):</w:t>
      </w:r>
    </w:p>
    <w:p w14:paraId="0D5DF8C8" w14:textId="77777777" w:rsidR="00746169" w:rsidRPr="000B7B11" w:rsidRDefault="00746169" w:rsidP="00746169">
      <w:pPr>
        <w:rPr>
          <w:sz w:val="22"/>
          <w:szCs w:val="22"/>
        </w:rPr>
      </w:pPr>
      <w:r w:rsidRPr="00706102">
        <w:rPr>
          <w:sz w:val="22"/>
          <w:szCs w:val="22"/>
        </w:rPr>
        <w:t>Sumažėjęs budrumas, sumišimo būklė, sąmonės praradimas, nerimas, drebulys, veido, burnos, liežuvio ar gerklės patinimas, galintis pasunkinti kvėpavimą (</w:t>
      </w:r>
      <w:proofErr w:type="spellStart"/>
      <w:r w:rsidRPr="00706102">
        <w:rPr>
          <w:sz w:val="22"/>
          <w:szCs w:val="22"/>
        </w:rPr>
        <w:t>angioneurozinė</w:t>
      </w:r>
      <w:proofErr w:type="spellEnd"/>
      <w:r w:rsidRPr="00706102">
        <w:rPr>
          <w:sz w:val="22"/>
          <w:szCs w:val="22"/>
        </w:rPr>
        <w:t xml:space="preserve"> edema), retas pulsas, dažnas pulsas, kraujotakos </w:t>
      </w:r>
      <w:proofErr w:type="spellStart"/>
      <w:r w:rsidRPr="00706102">
        <w:rPr>
          <w:sz w:val="22"/>
          <w:szCs w:val="22"/>
        </w:rPr>
        <w:t>kolapsas</w:t>
      </w:r>
      <w:proofErr w:type="spellEnd"/>
      <w:r w:rsidRPr="00706102">
        <w:rPr>
          <w:sz w:val="22"/>
          <w:szCs w:val="22"/>
        </w:rPr>
        <w:t xml:space="preserve"> (galintis pasireikšti staigiu suglebimu), venų uždegimas, dėl kurio susidaro kraujo krešulių (</w:t>
      </w:r>
      <w:proofErr w:type="spellStart"/>
      <w:r w:rsidRPr="00706102">
        <w:rPr>
          <w:sz w:val="22"/>
          <w:szCs w:val="22"/>
        </w:rPr>
        <w:t>tromboflebitas</w:t>
      </w:r>
      <w:proofErr w:type="spellEnd"/>
      <w:r w:rsidRPr="00706102">
        <w:rPr>
          <w:sz w:val="22"/>
          <w:szCs w:val="22"/>
        </w:rPr>
        <w:t>), ūminis kvėpavimo takų susiaurėjimas, pasireiškiantis sunkumu įkvėpti, niežėjimas, dilgėlinė, išbėrimas ar odos raudonis, šaltas prakaitas, bendras negalavimas, išblyškusi oda, staigios gyvybei pavojingos reakcijos (alerginiai šokai).</w:t>
      </w:r>
      <w:r>
        <w:rPr>
          <w:sz w:val="22"/>
          <w:szCs w:val="22"/>
        </w:rPr>
        <w:t xml:space="preserve"> </w:t>
      </w:r>
      <w:r w:rsidRPr="006A29D6">
        <w:rPr>
          <w:sz w:val="22"/>
          <w:szCs w:val="22"/>
        </w:rPr>
        <w:t>Į gripą panaši liga gali pasireikšti po kelių</w:t>
      </w:r>
      <w:r>
        <w:rPr>
          <w:sz w:val="22"/>
          <w:szCs w:val="22"/>
        </w:rPr>
        <w:t xml:space="preserve"> </w:t>
      </w:r>
      <w:r w:rsidRPr="006A29D6">
        <w:rPr>
          <w:sz w:val="22"/>
          <w:szCs w:val="22"/>
        </w:rPr>
        <w:t>valandų</w:t>
      </w:r>
      <w:r>
        <w:rPr>
          <w:sz w:val="22"/>
          <w:szCs w:val="22"/>
        </w:rPr>
        <w:t> </w:t>
      </w:r>
      <w:r w:rsidRPr="006A29D6">
        <w:rPr>
          <w:sz w:val="22"/>
          <w:szCs w:val="22"/>
        </w:rPr>
        <w:t>/ dienų po injekcijos ir jai paprastai būdingi tokie simptomai kaip aukšta temperatūra</w:t>
      </w:r>
      <w:r>
        <w:rPr>
          <w:sz w:val="22"/>
          <w:szCs w:val="22"/>
        </w:rPr>
        <w:t xml:space="preserve"> </w:t>
      </w:r>
      <w:r w:rsidRPr="006A29D6">
        <w:rPr>
          <w:sz w:val="22"/>
          <w:szCs w:val="22"/>
        </w:rPr>
        <w:t>ir raumenų bei sąnarių skausmai.</w:t>
      </w:r>
    </w:p>
    <w:p w14:paraId="691DCBD9" w14:textId="77777777" w:rsidR="00746169" w:rsidRPr="000B7B11" w:rsidRDefault="00746169" w:rsidP="00746169">
      <w:pPr>
        <w:pStyle w:val="BTEMEASMCA"/>
      </w:pPr>
    </w:p>
    <w:p w14:paraId="372230B4" w14:textId="77777777" w:rsidR="00746169" w:rsidRPr="000B7B11" w:rsidRDefault="00746169" w:rsidP="00746169">
      <w:pPr>
        <w:rPr>
          <w:rFonts w:eastAsia="SimSun"/>
          <w:b/>
          <w:sz w:val="22"/>
          <w:szCs w:val="22"/>
        </w:rPr>
      </w:pPr>
      <w:r w:rsidRPr="000B7B11">
        <w:rPr>
          <w:rFonts w:eastAsia="SimSun"/>
          <w:b/>
          <w:sz w:val="22"/>
          <w:szCs w:val="22"/>
        </w:rPr>
        <w:lastRenderedPageBreak/>
        <w:t>Pranešimas apie šalutinį poveikį</w:t>
      </w:r>
    </w:p>
    <w:p w14:paraId="35B3404F" w14:textId="77777777" w:rsidR="00746169" w:rsidRPr="000B7B11" w:rsidRDefault="00746169" w:rsidP="00746169">
      <w:pPr>
        <w:ind w:right="-449"/>
        <w:rPr>
          <w:noProof/>
          <w:sz w:val="22"/>
          <w:szCs w:val="22"/>
        </w:rPr>
      </w:pPr>
      <w:r w:rsidRPr="000B7B11">
        <w:rPr>
          <w:noProof/>
          <w:sz w:val="22"/>
          <w:szCs w:val="22"/>
        </w:rPr>
        <w:t xml:space="preserve">Jeigu pasireiškė šalutinis poveikis, įskaitant šiame lapelyje nenurodytą, pasakykite gydytoju arba </w:t>
      </w:r>
      <w:r w:rsidRPr="000B7B11">
        <w:rPr>
          <w:sz w:val="22"/>
          <w:szCs w:val="22"/>
        </w:rPr>
        <w:t>slaugytojui.</w:t>
      </w:r>
      <w:r w:rsidRPr="000B7B11">
        <w:rPr>
          <w:noProof/>
          <w:sz w:val="22"/>
          <w:szCs w:val="22"/>
        </w:rPr>
        <w:t xml:space="preserve">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0B7B11">
        <w:rPr>
          <w:noProof/>
          <w:sz w:val="22"/>
          <w:szCs w:val="22"/>
        </w:rPr>
        <w:t>.</w:t>
      </w:r>
    </w:p>
    <w:p w14:paraId="38B6E526" w14:textId="77777777" w:rsidR="00746169" w:rsidRPr="000B7B11" w:rsidRDefault="00746169" w:rsidP="00746169">
      <w:pPr>
        <w:pStyle w:val="BTEMEASMCA"/>
      </w:pPr>
    </w:p>
    <w:p w14:paraId="5B81C376" w14:textId="77777777" w:rsidR="00746169" w:rsidRPr="000B7B11" w:rsidRDefault="00746169" w:rsidP="00746169">
      <w:pPr>
        <w:pStyle w:val="BTEMEASMCA"/>
      </w:pPr>
    </w:p>
    <w:p w14:paraId="1C346BD9" w14:textId="77777777" w:rsidR="00746169" w:rsidRPr="000B7B11" w:rsidRDefault="00746169" w:rsidP="00746169">
      <w:pPr>
        <w:pStyle w:val="Antrats"/>
        <w:tabs>
          <w:tab w:val="clear" w:pos="4153"/>
          <w:tab w:val="clear" w:pos="8306"/>
        </w:tabs>
        <w:ind w:left="540" w:hanging="540"/>
        <w:rPr>
          <w:b/>
          <w:sz w:val="22"/>
          <w:szCs w:val="22"/>
        </w:rPr>
      </w:pPr>
      <w:bookmarkStart w:id="9" w:name="_Toc129243143"/>
      <w:bookmarkStart w:id="10" w:name="_Toc129243268"/>
      <w:r w:rsidRPr="000B7B11">
        <w:rPr>
          <w:b/>
          <w:sz w:val="22"/>
          <w:szCs w:val="22"/>
        </w:rPr>
        <w:t>5.</w:t>
      </w:r>
      <w:r w:rsidRPr="000B7B11">
        <w:rPr>
          <w:b/>
          <w:sz w:val="22"/>
          <w:szCs w:val="22"/>
        </w:rPr>
        <w:tab/>
        <w:t xml:space="preserve">Kaip laikyti </w:t>
      </w:r>
      <w:bookmarkEnd w:id="9"/>
      <w:bookmarkEnd w:id="10"/>
      <w:proofErr w:type="spellStart"/>
      <w:r w:rsidRPr="000B7B11">
        <w:rPr>
          <w:b/>
          <w:sz w:val="22"/>
          <w:szCs w:val="22"/>
        </w:rPr>
        <w:t>Venofer</w:t>
      </w:r>
      <w:proofErr w:type="spellEnd"/>
    </w:p>
    <w:p w14:paraId="221A1F7A" w14:textId="77777777" w:rsidR="00746169" w:rsidRPr="000B7B11" w:rsidRDefault="00746169" w:rsidP="00746169">
      <w:pPr>
        <w:pStyle w:val="BTEMEASMCA"/>
      </w:pPr>
    </w:p>
    <w:p w14:paraId="5F365546" w14:textId="77777777" w:rsidR="00746169" w:rsidRPr="000B7B11" w:rsidRDefault="00746169" w:rsidP="00746169">
      <w:pPr>
        <w:pStyle w:val="BTEMEASMCA"/>
      </w:pPr>
      <w:r w:rsidRPr="000B7B11">
        <w:t>Šį vaistą laikykite vaikams nepastebimoje ir nepasiekiamoje vietoje.</w:t>
      </w:r>
    </w:p>
    <w:p w14:paraId="427242FC" w14:textId="77777777" w:rsidR="00746169" w:rsidRPr="000B7B11" w:rsidRDefault="00746169" w:rsidP="00746169">
      <w:pPr>
        <w:pStyle w:val="BTEMEASMCA"/>
      </w:pPr>
    </w:p>
    <w:p w14:paraId="34808E3F" w14:textId="77777777" w:rsidR="00746169" w:rsidRPr="000B7B11" w:rsidRDefault="00746169" w:rsidP="00746169">
      <w:pPr>
        <w:pStyle w:val="BTEMEASMCA"/>
      </w:pPr>
      <w:r w:rsidRPr="000B7B11">
        <w:t>Ant dėžutės ir ampulės po „Tinka iki/EXP“ nurodytam tinkamumo laikui pasibaigus, šio vaisto vartoti negalima. Vaistas tinkamas vartoti iki paskutinės nurodyto mėnesio dienos.</w:t>
      </w:r>
    </w:p>
    <w:p w14:paraId="42DDD26A" w14:textId="77777777" w:rsidR="00746169" w:rsidRPr="000B7B11" w:rsidRDefault="00746169" w:rsidP="00746169">
      <w:pPr>
        <w:pStyle w:val="BTEMEASMCA"/>
      </w:pPr>
    </w:p>
    <w:p w14:paraId="52DE09F1" w14:textId="77777777" w:rsidR="00746169" w:rsidRPr="000B7B11" w:rsidRDefault="00746169" w:rsidP="00746169">
      <w:pPr>
        <w:pStyle w:val="BTEMEASMCA"/>
      </w:pPr>
      <w:r w:rsidRPr="000B7B11">
        <w:t>Laikyti ne aukštesnėje kaip 25</w:t>
      </w:r>
      <w:r w:rsidRPr="000B7B11">
        <w:sym w:font="Symbol" w:char="F0B0"/>
      </w:r>
      <w:r w:rsidRPr="000B7B11">
        <w:t xml:space="preserve">C temperatūroje. Ampules laikyti išorinėje dėžutėje, kad </w:t>
      </w:r>
      <w:r>
        <w:t>vaistas</w:t>
      </w:r>
      <w:r w:rsidRPr="000B7B11">
        <w:t xml:space="preserve"> būtų apsaugotas nuo šviesos. Negalima užšaldyti.</w:t>
      </w:r>
    </w:p>
    <w:p w14:paraId="2B304FCC" w14:textId="77777777" w:rsidR="00746169" w:rsidRPr="000B7B11" w:rsidRDefault="00746169" w:rsidP="00746169">
      <w:pPr>
        <w:pStyle w:val="NormalRight-0cm"/>
        <w:rPr>
          <w:b w:val="0"/>
          <w:color w:val="auto"/>
        </w:rPr>
      </w:pPr>
      <w:r w:rsidRPr="000B7B11">
        <w:rPr>
          <w:b w:val="0"/>
          <w:color w:val="auto"/>
        </w:rPr>
        <w:t xml:space="preserve">Atidarius ampulę, </w:t>
      </w:r>
      <w:r>
        <w:rPr>
          <w:b w:val="0"/>
          <w:color w:val="auto"/>
        </w:rPr>
        <w:t>vaistą</w:t>
      </w:r>
      <w:r w:rsidRPr="000B7B11">
        <w:rPr>
          <w:b w:val="0"/>
          <w:color w:val="auto"/>
        </w:rPr>
        <w:t xml:space="preserve"> vartoti nedelsiant. </w:t>
      </w:r>
    </w:p>
    <w:p w14:paraId="77721880" w14:textId="77777777" w:rsidR="00746169" w:rsidRPr="000B7B11" w:rsidRDefault="00746169" w:rsidP="00746169">
      <w:pPr>
        <w:pStyle w:val="NormalRight-0cm"/>
        <w:rPr>
          <w:b w:val="0"/>
          <w:color w:val="auto"/>
        </w:rPr>
      </w:pPr>
      <w:r w:rsidRPr="000B7B11">
        <w:rPr>
          <w:b w:val="0"/>
          <w:color w:val="auto"/>
        </w:rPr>
        <w:t>Praskiedus natrio chlorido infuziniu tirpalu, praskiestą tirpalą reikia vartoti nedelsiant.</w:t>
      </w:r>
    </w:p>
    <w:p w14:paraId="6F22ED12" w14:textId="77777777" w:rsidR="00746169" w:rsidRPr="000B7B11" w:rsidRDefault="00746169" w:rsidP="00746169">
      <w:pPr>
        <w:pStyle w:val="BTEMEASMCA"/>
      </w:pPr>
    </w:p>
    <w:p w14:paraId="29EDAE12" w14:textId="77777777" w:rsidR="00746169" w:rsidRPr="000B7B11" w:rsidRDefault="00746169" w:rsidP="00746169">
      <w:pPr>
        <w:pStyle w:val="BTEMEASMCA"/>
      </w:pPr>
      <w:r w:rsidRPr="000B7B11">
        <w:t>Vaistų negalima išmesti į kanalizaciją arba su buitinėmis atliekomis. Kaip išmesti nereikalingus vaistus, klauskite vaistininko. Šios priemonės padės apsaugoti aplinką.</w:t>
      </w:r>
    </w:p>
    <w:p w14:paraId="1E3BBCFC" w14:textId="77777777" w:rsidR="00746169" w:rsidRPr="000B7B11" w:rsidRDefault="00746169" w:rsidP="00746169">
      <w:pPr>
        <w:pStyle w:val="BTEMEASMCA"/>
      </w:pPr>
    </w:p>
    <w:p w14:paraId="74CDDE38" w14:textId="77777777" w:rsidR="00746169" w:rsidRPr="000B7B11" w:rsidRDefault="00746169" w:rsidP="00746169">
      <w:pPr>
        <w:pStyle w:val="BTEMEASMCA"/>
      </w:pPr>
    </w:p>
    <w:p w14:paraId="18D2FFE9" w14:textId="77777777" w:rsidR="00746169" w:rsidRPr="000B7B11" w:rsidRDefault="00746169" w:rsidP="00746169">
      <w:pPr>
        <w:pStyle w:val="PI-1EMEASMCA"/>
      </w:pPr>
      <w:bookmarkStart w:id="11" w:name="_Toc129243144"/>
      <w:bookmarkStart w:id="12" w:name="_Toc129243269"/>
      <w:r w:rsidRPr="000B7B11">
        <w:t>6.</w:t>
      </w:r>
      <w:r w:rsidRPr="000B7B11">
        <w:tab/>
        <w:t>Pakuotės turinys ir kita informacija</w:t>
      </w:r>
      <w:bookmarkEnd w:id="11"/>
      <w:bookmarkEnd w:id="12"/>
    </w:p>
    <w:p w14:paraId="71B040F8" w14:textId="77777777" w:rsidR="00746169" w:rsidRPr="000B7B11" w:rsidRDefault="00746169" w:rsidP="00746169">
      <w:pPr>
        <w:pStyle w:val="BTEMEASMCA"/>
      </w:pPr>
    </w:p>
    <w:p w14:paraId="11B95432" w14:textId="77777777" w:rsidR="00746169" w:rsidRPr="000B7B11" w:rsidRDefault="00746169" w:rsidP="00746169">
      <w:pPr>
        <w:pStyle w:val="PI-3EMEASMCA"/>
      </w:pPr>
      <w:r w:rsidRPr="000B7B11">
        <w:rPr>
          <w:rStyle w:val="Grietas"/>
        </w:rPr>
        <w:t>Venofer sudėtis</w:t>
      </w:r>
    </w:p>
    <w:p w14:paraId="0DDFBD70" w14:textId="77777777" w:rsidR="00746169" w:rsidRPr="000B7B11" w:rsidRDefault="00746169" w:rsidP="00746169">
      <w:pPr>
        <w:pStyle w:val="Pagrindinistekstas"/>
        <w:spacing w:line="240" w:lineRule="auto"/>
        <w:ind w:left="567" w:hanging="283"/>
        <w:rPr>
          <w:sz w:val="22"/>
          <w:szCs w:val="22"/>
        </w:rPr>
      </w:pPr>
      <w:r w:rsidRPr="000B7B11">
        <w:rPr>
          <w:sz w:val="22"/>
          <w:szCs w:val="22"/>
        </w:rPr>
        <w:t>-</w:t>
      </w:r>
      <w:r w:rsidRPr="000B7B11">
        <w:rPr>
          <w:sz w:val="22"/>
          <w:szCs w:val="22"/>
        </w:rPr>
        <w:tab/>
        <w:t>Veiklioji medžiaga yra geležis (geležies sacharozės pavidalu). 1 ml injekcinio tirpalo yra 20 mg geležies. Kiekvienoje 5 ml ampulėje yra 100 mg geležies.</w:t>
      </w:r>
    </w:p>
    <w:p w14:paraId="5B7318CC" w14:textId="77777777" w:rsidR="00746169" w:rsidRPr="000B7B11" w:rsidRDefault="00746169" w:rsidP="00746169">
      <w:pPr>
        <w:pStyle w:val="Pagrindinistekstas"/>
        <w:spacing w:line="240" w:lineRule="auto"/>
        <w:ind w:left="567" w:hanging="283"/>
        <w:rPr>
          <w:sz w:val="22"/>
          <w:szCs w:val="22"/>
        </w:rPr>
      </w:pPr>
      <w:r w:rsidRPr="000B7B11">
        <w:rPr>
          <w:sz w:val="22"/>
          <w:szCs w:val="22"/>
        </w:rPr>
        <w:t>-</w:t>
      </w:r>
      <w:r w:rsidRPr="000B7B11">
        <w:rPr>
          <w:sz w:val="22"/>
          <w:szCs w:val="22"/>
        </w:rPr>
        <w:tab/>
        <w:t>Pagalbinės medžiagos yra injekcinis vanduo ir natrio hidroksidas (pH reguliuoti).</w:t>
      </w:r>
    </w:p>
    <w:p w14:paraId="698B4344" w14:textId="77777777" w:rsidR="00746169" w:rsidRPr="000B7B11" w:rsidRDefault="00746169" w:rsidP="00746169">
      <w:pPr>
        <w:pStyle w:val="BTEMEASMCA"/>
      </w:pPr>
    </w:p>
    <w:p w14:paraId="1EA07CE5" w14:textId="77777777" w:rsidR="00746169" w:rsidRPr="000B7B11" w:rsidRDefault="00746169" w:rsidP="00746169">
      <w:pPr>
        <w:pStyle w:val="PI-3EMEASMCA"/>
      </w:pPr>
      <w:r w:rsidRPr="000B7B11">
        <w:rPr>
          <w:rStyle w:val="Grietas"/>
        </w:rPr>
        <w:t>Venofer išvaizda ir kiekis pakuotėje</w:t>
      </w:r>
    </w:p>
    <w:p w14:paraId="0DE413F8" w14:textId="77777777" w:rsidR="00746169" w:rsidRPr="000B7B11" w:rsidRDefault="00746169" w:rsidP="00746169">
      <w:pPr>
        <w:pStyle w:val="Pagrindinistekstas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Venofer</w:t>
      </w:r>
      <w:proofErr w:type="spellEnd"/>
      <w:r>
        <w:rPr>
          <w:sz w:val="22"/>
          <w:szCs w:val="22"/>
        </w:rPr>
        <w:t xml:space="preserve"> </w:t>
      </w:r>
      <w:r w:rsidRPr="000B7B11">
        <w:rPr>
          <w:sz w:val="22"/>
          <w:szCs w:val="22"/>
        </w:rPr>
        <w:t>yra tamsiai rudas, neskaidrus vandeninis tirpalas.</w:t>
      </w:r>
    </w:p>
    <w:p w14:paraId="01DEBC1B" w14:textId="77777777" w:rsidR="00746169" w:rsidRPr="000B7B11" w:rsidRDefault="00746169" w:rsidP="00746169">
      <w:pPr>
        <w:pStyle w:val="Pagrindinistekstas"/>
        <w:spacing w:line="240" w:lineRule="auto"/>
        <w:rPr>
          <w:sz w:val="22"/>
          <w:szCs w:val="22"/>
        </w:rPr>
      </w:pPr>
      <w:proofErr w:type="spellStart"/>
      <w:r w:rsidRPr="000B7B11">
        <w:rPr>
          <w:sz w:val="22"/>
          <w:szCs w:val="22"/>
        </w:rPr>
        <w:t>Venofer</w:t>
      </w:r>
      <w:proofErr w:type="spellEnd"/>
      <w:r w:rsidRPr="000B7B11">
        <w:rPr>
          <w:sz w:val="22"/>
          <w:szCs w:val="22"/>
        </w:rPr>
        <w:t xml:space="preserve"> yra tiekiamas stiklo ampulėse, kurių kiekvienoje yra 5 ml injekcinio tirpalo (atitinkamai 100 mg geležies). </w:t>
      </w:r>
    </w:p>
    <w:p w14:paraId="58E31553" w14:textId="77777777" w:rsidR="00746169" w:rsidRPr="000B7B11" w:rsidRDefault="00746169" w:rsidP="00746169">
      <w:pPr>
        <w:pStyle w:val="Pagrindinistekstas"/>
        <w:spacing w:line="240" w:lineRule="auto"/>
        <w:rPr>
          <w:sz w:val="22"/>
          <w:szCs w:val="22"/>
        </w:rPr>
      </w:pPr>
      <w:r w:rsidRPr="000B7B11">
        <w:rPr>
          <w:sz w:val="22"/>
          <w:szCs w:val="22"/>
        </w:rPr>
        <w:t xml:space="preserve">Kartono dėžutėje yra 5 ampulės. </w:t>
      </w:r>
    </w:p>
    <w:p w14:paraId="1AB5EFDE" w14:textId="77777777" w:rsidR="00746169" w:rsidRPr="000B7B11" w:rsidRDefault="00746169" w:rsidP="00746169">
      <w:pPr>
        <w:pStyle w:val="BTEMEASMCA"/>
      </w:pPr>
    </w:p>
    <w:p w14:paraId="50BFD28B" w14:textId="77777777" w:rsidR="00746169" w:rsidRPr="000B7B11" w:rsidRDefault="00746169" w:rsidP="00746169">
      <w:pPr>
        <w:pStyle w:val="PI-3EMEASMCA"/>
      </w:pPr>
      <w:r w:rsidRPr="000B7B11">
        <w:rPr>
          <w:rStyle w:val="Grietas"/>
        </w:rPr>
        <w:t>Registruotojas ir gamintojas</w:t>
      </w:r>
    </w:p>
    <w:p w14:paraId="69FCEF7E" w14:textId="77777777" w:rsidR="00746169" w:rsidRPr="0036234B" w:rsidRDefault="00746169" w:rsidP="00746169">
      <w:pPr>
        <w:pStyle w:val="BTbEMEASMCA"/>
      </w:pPr>
      <w:proofErr w:type="spellStart"/>
      <w:r w:rsidRPr="0036234B">
        <w:t>Vifor</w:t>
      </w:r>
      <w:proofErr w:type="spellEnd"/>
      <w:r w:rsidRPr="0036234B">
        <w:t xml:space="preserve"> France</w:t>
      </w:r>
    </w:p>
    <w:p w14:paraId="277C9C2D" w14:textId="77777777" w:rsidR="00746169" w:rsidRPr="0036234B" w:rsidRDefault="00746169" w:rsidP="00746169">
      <w:pPr>
        <w:pStyle w:val="BTbEMEASMCA"/>
      </w:pPr>
      <w:r w:rsidRPr="0036234B">
        <w:t xml:space="preserve">100-101 </w:t>
      </w:r>
      <w:proofErr w:type="spellStart"/>
      <w:r w:rsidRPr="0036234B">
        <w:t>Terrasse</w:t>
      </w:r>
      <w:proofErr w:type="spellEnd"/>
      <w:r w:rsidRPr="0036234B">
        <w:t xml:space="preserve"> </w:t>
      </w:r>
      <w:proofErr w:type="spellStart"/>
      <w:r w:rsidRPr="0036234B">
        <w:t>Boieldieu</w:t>
      </w:r>
      <w:proofErr w:type="spellEnd"/>
      <w:r w:rsidRPr="0036234B">
        <w:t xml:space="preserve"> </w:t>
      </w:r>
    </w:p>
    <w:p w14:paraId="7280374C" w14:textId="77777777" w:rsidR="00746169" w:rsidRPr="0036234B" w:rsidRDefault="00746169" w:rsidP="00746169">
      <w:pPr>
        <w:pStyle w:val="BTbEMEASMCA"/>
      </w:pPr>
      <w:proofErr w:type="spellStart"/>
      <w:r w:rsidRPr="0036234B">
        <w:t>Tour</w:t>
      </w:r>
      <w:proofErr w:type="spellEnd"/>
      <w:r w:rsidRPr="0036234B">
        <w:t xml:space="preserve"> </w:t>
      </w:r>
      <w:proofErr w:type="spellStart"/>
      <w:r w:rsidRPr="0036234B">
        <w:t>Franklin</w:t>
      </w:r>
      <w:proofErr w:type="spellEnd"/>
      <w:r w:rsidRPr="0036234B">
        <w:t xml:space="preserve"> La </w:t>
      </w:r>
      <w:proofErr w:type="spellStart"/>
      <w:r w:rsidRPr="0036234B">
        <w:t>Défense</w:t>
      </w:r>
      <w:proofErr w:type="spellEnd"/>
      <w:r w:rsidRPr="0036234B">
        <w:t xml:space="preserve"> 8</w:t>
      </w:r>
    </w:p>
    <w:p w14:paraId="3BD64D5B" w14:textId="77777777" w:rsidR="00746169" w:rsidRPr="0036234B" w:rsidRDefault="00746169" w:rsidP="00746169">
      <w:pPr>
        <w:pStyle w:val="BTbEMEASMCA"/>
      </w:pPr>
      <w:r w:rsidRPr="0036234B">
        <w:t xml:space="preserve">92042 Paris La </w:t>
      </w:r>
      <w:proofErr w:type="spellStart"/>
      <w:r w:rsidRPr="0036234B">
        <w:t>Défense</w:t>
      </w:r>
      <w:proofErr w:type="spellEnd"/>
      <w:r w:rsidRPr="0036234B">
        <w:t xml:space="preserve"> </w:t>
      </w:r>
      <w:proofErr w:type="spellStart"/>
      <w:r w:rsidRPr="0036234B">
        <w:t>Cedex</w:t>
      </w:r>
      <w:proofErr w:type="spellEnd"/>
    </w:p>
    <w:p w14:paraId="27626185" w14:textId="77777777" w:rsidR="00746169" w:rsidRPr="0036234B" w:rsidRDefault="00746169" w:rsidP="00746169">
      <w:pPr>
        <w:pStyle w:val="BTbEMEASMCA"/>
      </w:pPr>
      <w:r w:rsidRPr="0036234B">
        <w:t>Prancūzija</w:t>
      </w:r>
    </w:p>
    <w:p w14:paraId="0443ED68" w14:textId="77777777" w:rsidR="00746169" w:rsidRPr="0036234B" w:rsidRDefault="00746169" w:rsidP="00746169">
      <w:pPr>
        <w:pStyle w:val="BTbEMEASMCA"/>
      </w:pPr>
      <w:r w:rsidRPr="0036234B">
        <w:t>Tel. +33 (0)1 41 06 58 90</w:t>
      </w:r>
    </w:p>
    <w:p w14:paraId="3CF76A33" w14:textId="77777777" w:rsidR="00746169" w:rsidRPr="0036234B" w:rsidRDefault="00746169" w:rsidP="00746169">
      <w:pPr>
        <w:pStyle w:val="BTbEMEASMCA"/>
      </w:pPr>
      <w:r w:rsidRPr="0036234B">
        <w:t>Faksas.+33 (0)1 41 06 58 99</w:t>
      </w:r>
    </w:p>
    <w:p w14:paraId="7AB201F0" w14:textId="77777777" w:rsidR="00746169" w:rsidRPr="000B7B11" w:rsidRDefault="00746169" w:rsidP="00746169">
      <w:pPr>
        <w:pStyle w:val="BTbEMEASMCA"/>
      </w:pPr>
    </w:p>
    <w:p w14:paraId="1A01451B" w14:textId="77777777" w:rsidR="00746169" w:rsidRPr="000B7B11" w:rsidRDefault="00746169" w:rsidP="00746169">
      <w:pPr>
        <w:pStyle w:val="BTbEMEASMCA"/>
      </w:pPr>
      <w:r w:rsidRPr="000B7B11">
        <w:t xml:space="preserve">Jeigu apie šį vaistą norite sužinoti daugiau, kreipkitės į </w:t>
      </w:r>
      <w:r w:rsidRPr="000B7B11">
        <w:rPr>
          <w:noProof/>
        </w:rPr>
        <w:t>vietinį registruotojo atstovą</w:t>
      </w:r>
      <w:r w:rsidRPr="000B7B11">
        <w:t>.</w:t>
      </w:r>
    </w:p>
    <w:p w14:paraId="3DC4EC75" w14:textId="77777777" w:rsidR="00746169" w:rsidRPr="000B7B11" w:rsidRDefault="00746169" w:rsidP="00746169">
      <w:pPr>
        <w:pStyle w:val="BTbEMEASMCA"/>
      </w:pPr>
    </w:p>
    <w:p w14:paraId="46B02191" w14:textId="77777777" w:rsidR="00746169" w:rsidRPr="00AC7217" w:rsidRDefault="00746169" w:rsidP="00746169">
      <w:pPr>
        <w:pStyle w:val="BTbEMEASMCA"/>
        <w:rPr>
          <w:b/>
          <w:bCs w:val="0"/>
          <w:lang w:val="de-CH"/>
        </w:rPr>
      </w:pPr>
      <w:r w:rsidRPr="00AC7217">
        <w:rPr>
          <w:b/>
          <w:bCs w:val="0"/>
        </w:rPr>
        <w:t>Šis pakuotės lapelis paskutinį kartą peržiūrėtas</w:t>
      </w:r>
      <w:r w:rsidRPr="00AC7217">
        <w:rPr>
          <w:b/>
          <w:bCs w:val="0"/>
          <w:lang w:val="de-CH"/>
        </w:rPr>
        <w:t xml:space="preserve"> 2025-07-29.</w:t>
      </w:r>
    </w:p>
    <w:p w14:paraId="6E048214" w14:textId="77777777" w:rsidR="00746169" w:rsidRPr="000B7B11" w:rsidRDefault="00746169" w:rsidP="00746169">
      <w:pPr>
        <w:rPr>
          <w:sz w:val="22"/>
          <w:szCs w:val="22"/>
        </w:rPr>
      </w:pPr>
    </w:p>
    <w:p w14:paraId="3DFF2144" w14:textId="77777777" w:rsidR="00746169" w:rsidRPr="000B7B11" w:rsidRDefault="00746169" w:rsidP="007461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0B7B11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0B7B11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0B7B11">
        <w:rPr>
          <w:sz w:val="22"/>
          <w:szCs w:val="22"/>
        </w:rPr>
        <w:t>.</w:t>
      </w:r>
    </w:p>
    <w:p w14:paraId="7FAC0C09" w14:textId="77777777" w:rsidR="00746169" w:rsidRPr="000B7B11" w:rsidRDefault="00746169" w:rsidP="007461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0B7B11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0656A96A" w14:textId="77777777" w:rsidR="00746169" w:rsidRPr="00534944" w:rsidRDefault="00746169" w:rsidP="00746169">
      <w:pPr>
        <w:pStyle w:val="BTEMEASMCA"/>
        <w:rPr>
          <w:rStyle w:val="Hipersaitas"/>
        </w:rPr>
      </w:pPr>
    </w:p>
    <w:p w14:paraId="45ADE99A" w14:textId="77777777" w:rsidR="00746169" w:rsidRPr="000B7B11" w:rsidRDefault="00746169" w:rsidP="00746169">
      <w:pPr>
        <w:pStyle w:val="BTEMEASMCA"/>
        <w:rPr>
          <w:rStyle w:val="Grietas"/>
        </w:rPr>
      </w:pPr>
      <w:r w:rsidRPr="000B7B11">
        <w:rPr>
          <w:rStyle w:val="Grietas"/>
        </w:rPr>
        <w:t>Toliau pateikta informacija skirta tik sveikatos prieži</w:t>
      </w:r>
      <w:r w:rsidRPr="000B7B11">
        <w:rPr>
          <w:rStyle w:val="Grietas"/>
          <w:rFonts w:hint="eastAsia"/>
        </w:rPr>
        <w:t>ū</w:t>
      </w:r>
      <w:r w:rsidRPr="000B7B11">
        <w:rPr>
          <w:rStyle w:val="Grietas"/>
        </w:rPr>
        <w:t>ros specialistams.</w:t>
      </w:r>
    </w:p>
    <w:p w14:paraId="3BE78539" w14:textId="77777777" w:rsidR="00746169" w:rsidRPr="001F4055" w:rsidRDefault="00746169" w:rsidP="00746169">
      <w:pPr>
        <w:pStyle w:val="BTEMEASMCA"/>
        <w:rPr>
          <w:rStyle w:val="Hipersaitas"/>
          <w:color w:val="auto"/>
        </w:rPr>
      </w:pPr>
    </w:p>
    <w:p w14:paraId="3BEEB21A" w14:textId="77777777" w:rsidR="00746169" w:rsidRPr="00534944" w:rsidRDefault="00746169" w:rsidP="00746169">
      <w:pPr>
        <w:pStyle w:val="BTEMEASMCA"/>
        <w:rPr>
          <w:rStyle w:val="Hipersaitas"/>
        </w:rPr>
      </w:pPr>
      <w:r w:rsidRPr="000B7B11">
        <w:t>Vartojimas</w:t>
      </w:r>
    </w:p>
    <w:p w14:paraId="4F33537B" w14:textId="77777777" w:rsidR="00746169" w:rsidRPr="000B7B11" w:rsidRDefault="00746169" w:rsidP="00746169">
      <w:pPr>
        <w:tabs>
          <w:tab w:val="left" w:pos="567"/>
          <w:tab w:val="left" w:pos="1134"/>
        </w:tabs>
        <w:contextualSpacing/>
        <w:rPr>
          <w:snapToGrid w:val="0"/>
          <w:sz w:val="22"/>
          <w:szCs w:val="22"/>
        </w:rPr>
      </w:pPr>
      <w:r w:rsidRPr="000B7B11">
        <w:rPr>
          <w:rFonts w:eastAsia="SimSun"/>
          <w:snapToGrid w:val="0"/>
          <w:sz w:val="22"/>
          <w:szCs w:val="22"/>
        </w:rPr>
        <w:lastRenderedPageBreak/>
        <w:t xml:space="preserve">Kiekvieną kartą atidžiai stebėkite, ar </w:t>
      </w:r>
      <w:proofErr w:type="spellStart"/>
      <w:r w:rsidRPr="000B7B11">
        <w:rPr>
          <w:rFonts w:eastAsia="SimSun"/>
          <w:snapToGrid w:val="0"/>
          <w:sz w:val="22"/>
          <w:szCs w:val="22"/>
        </w:rPr>
        <w:t>Venofer</w:t>
      </w:r>
      <w:proofErr w:type="spellEnd"/>
      <w:r w:rsidRPr="000B7B11">
        <w:rPr>
          <w:rFonts w:eastAsia="SimSun"/>
          <w:snapToGrid w:val="0"/>
          <w:sz w:val="22"/>
          <w:szCs w:val="22"/>
        </w:rPr>
        <w:t xml:space="preserve"> vartojimo metu ir po vartojimo pacientams nepasireiškė padidėjusio jautrumo požymių ar simptomų.</w:t>
      </w:r>
    </w:p>
    <w:p w14:paraId="7F166CD2" w14:textId="77777777" w:rsidR="00746169" w:rsidRPr="000B7B11" w:rsidRDefault="00746169" w:rsidP="00746169">
      <w:pPr>
        <w:tabs>
          <w:tab w:val="left" w:pos="567"/>
          <w:tab w:val="left" w:pos="1134"/>
        </w:tabs>
        <w:contextualSpacing/>
        <w:rPr>
          <w:snapToGrid w:val="0"/>
          <w:sz w:val="22"/>
          <w:szCs w:val="22"/>
        </w:rPr>
      </w:pPr>
    </w:p>
    <w:p w14:paraId="1A59BE03" w14:textId="77777777" w:rsidR="00746169" w:rsidRPr="000B7B11" w:rsidRDefault="00746169" w:rsidP="00746169">
      <w:pPr>
        <w:pStyle w:val="BTEMEASMCA"/>
      </w:pPr>
      <w:proofErr w:type="spellStart"/>
      <w:r w:rsidRPr="000B7B11">
        <w:t>Venofer</w:t>
      </w:r>
      <w:proofErr w:type="spellEnd"/>
      <w:r w:rsidRPr="000B7B11">
        <w:t xml:space="preserve"> turėtų būti vartojamas tik visa būtina gaivinimo įranga aprūpintoje aplinkoje ir kai netoliese yra personalo, išmokyto atpažinti ir suvaldyti anafilaksines reakcijas. Mažiausiai 30 minučių po kiekvieno </w:t>
      </w:r>
      <w:proofErr w:type="spellStart"/>
      <w:r w:rsidRPr="000B7B11">
        <w:t>Venofer</w:t>
      </w:r>
      <w:proofErr w:type="spellEnd"/>
      <w:r w:rsidRPr="000B7B11">
        <w:t xml:space="preserve"> pavartojimo reikia stebėti, ar pacientui nepasireiškė nepageidaujamas poveikis.</w:t>
      </w:r>
    </w:p>
    <w:p w14:paraId="7FDB272B" w14:textId="77777777" w:rsidR="00746169" w:rsidRPr="001F4055" w:rsidRDefault="00746169" w:rsidP="00746169">
      <w:pPr>
        <w:pStyle w:val="BTEMEASMCA"/>
        <w:rPr>
          <w:rStyle w:val="Hipersaitas"/>
        </w:rPr>
      </w:pPr>
    </w:p>
    <w:p w14:paraId="157A91A9" w14:textId="77777777" w:rsidR="00746169" w:rsidRPr="00534944" w:rsidRDefault="00746169" w:rsidP="00746169">
      <w:pPr>
        <w:pStyle w:val="BTEMEASMCA"/>
        <w:rPr>
          <w:rStyle w:val="Hipersaitas"/>
        </w:rPr>
      </w:pPr>
      <w:r w:rsidRPr="000B7B11">
        <w:rPr>
          <w:rStyle w:val="Hipersaitas"/>
          <w:color w:val="auto"/>
        </w:rPr>
        <w:t>Vartojimo metodas</w:t>
      </w:r>
    </w:p>
    <w:p w14:paraId="1A32CFBF" w14:textId="77777777" w:rsidR="00746169" w:rsidRPr="000B7B11" w:rsidRDefault="00746169" w:rsidP="00746169">
      <w:pPr>
        <w:pStyle w:val="BTEMEASMCA"/>
      </w:pPr>
      <w:r w:rsidRPr="000B7B11">
        <w:rPr>
          <w:rStyle w:val="Hipersaitas"/>
          <w:color w:val="auto"/>
        </w:rPr>
        <w:t>.</w:t>
      </w:r>
      <w:proofErr w:type="spellStart"/>
      <w:r>
        <w:t>Venofer</w:t>
      </w:r>
      <w:proofErr w:type="spellEnd"/>
      <w:r>
        <w:t xml:space="preserve"> turi </w:t>
      </w:r>
      <w:proofErr w:type="spellStart"/>
      <w:r>
        <w:t>būi</w:t>
      </w:r>
      <w:proofErr w:type="spellEnd"/>
      <w:r>
        <w:t xml:space="preserve"> vartojamas tiktai į veną. Galima jį skirti lašeline infuzija, lėtai leisti į veną arba tiesiai suleisti į dializės aparato veninę liniją.</w:t>
      </w:r>
    </w:p>
    <w:p w14:paraId="2A589393" w14:textId="77777777" w:rsidR="00746169" w:rsidRPr="000B7B11" w:rsidRDefault="00746169" w:rsidP="00746169">
      <w:pPr>
        <w:pStyle w:val="BTEMEASMCA"/>
      </w:pPr>
    </w:p>
    <w:p w14:paraId="2322494B" w14:textId="77777777" w:rsidR="00746169" w:rsidRPr="001F4055" w:rsidRDefault="00746169" w:rsidP="00746169">
      <w:pPr>
        <w:pStyle w:val="BTEMEASMCA"/>
        <w:rPr>
          <w:rStyle w:val="Hipersaitas"/>
        </w:rPr>
      </w:pPr>
    </w:p>
    <w:p w14:paraId="75628262" w14:textId="77777777" w:rsidR="00746169" w:rsidRPr="001F4055" w:rsidRDefault="00746169" w:rsidP="00746169">
      <w:pPr>
        <w:pStyle w:val="BTEMEASMCA"/>
        <w:rPr>
          <w:rStyle w:val="Hipersaitas"/>
        </w:rPr>
      </w:pPr>
      <w:r w:rsidRPr="000B7B11">
        <w:t>Būtina sekti, kad vaistinio preparato nepatektų į šalia venos esančius audinius, nes gali pasireikšti skausmas, uždegimas, oda gali tapti ruda</w:t>
      </w:r>
      <w:r w:rsidRPr="000B7B11">
        <w:rPr>
          <w:rStyle w:val="Hipersaitas"/>
          <w:color w:val="auto"/>
        </w:rPr>
        <w:t>.</w:t>
      </w:r>
    </w:p>
    <w:p w14:paraId="5F30D605" w14:textId="77777777" w:rsidR="00746169" w:rsidRPr="001F4055" w:rsidRDefault="00746169" w:rsidP="00746169">
      <w:pPr>
        <w:pStyle w:val="BTEMEASMCA"/>
        <w:rPr>
          <w:rStyle w:val="Hipersaitas"/>
        </w:rPr>
      </w:pPr>
    </w:p>
    <w:p w14:paraId="6F8F77B9" w14:textId="77777777" w:rsidR="00746169" w:rsidRPr="000B7B11" w:rsidRDefault="00746169" w:rsidP="00746169">
      <w:pPr>
        <w:pStyle w:val="BTEMEASMCA"/>
      </w:pPr>
      <w:r w:rsidRPr="000B7B11">
        <w:rPr>
          <w:rStyle w:val="Hipersaitas"/>
          <w:color w:val="auto"/>
        </w:rPr>
        <w:t>Infuzija į veną</w:t>
      </w:r>
    </w:p>
    <w:p w14:paraId="6DF0E259" w14:textId="77777777" w:rsidR="00746169" w:rsidRPr="000B7B11" w:rsidRDefault="00746169" w:rsidP="00746169">
      <w:pPr>
        <w:pStyle w:val="BTEMEASMCA"/>
      </w:pPr>
      <w:proofErr w:type="spellStart"/>
      <w:r w:rsidRPr="000B7B11">
        <w:rPr>
          <w:rStyle w:val="Hipersaitas"/>
          <w:color w:val="auto"/>
        </w:rPr>
        <w:t>Venofer</w:t>
      </w:r>
      <w:proofErr w:type="spellEnd"/>
      <w:r w:rsidRPr="000B7B11">
        <w:rPr>
          <w:rStyle w:val="Hipersaitas"/>
          <w:color w:val="auto"/>
        </w:rPr>
        <w:t xml:space="preserve"> reikia skiesti steriliu </w:t>
      </w:r>
      <w:r w:rsidRPr="000B7B11">
        <w:t>9 mg/ml (</w:t>
      </w:r>
      <w:r w:rsidRPr="000B7B11">
        <w:rPr>
          <w:rStyle w:val="Hipersaitas"/>
          <w:color w:val="auto"/>
        </w:rPr>
        <w:t>0,9 </w:t>
      </w:r>
      <w:r w:rsidRPr="00970C69">
        <w:rPr>
          <w:rStyle w:val="Hipersaitas"/>
          <w:color w:val="auto"/>
        </w:rPr>
        <w:t>proc.)</w:t>
      </w:r>
      <w:r w:rsidRPr="000B7B11">
        <w:rPr>
          <w:rStyle w:val="Hipersaitas"/>
          <w:color w:val="auto"/>
        </w:rPr>
        <w:t xml:space="preserve"> natrio chlorido  tirpalu. Vaistinį preparatą būtina skiesti prieš pat infuziją ir tirpalą reikia leisti tokiu būdu:</w:t>
      </w:r>
    </w:p>
    <w:p w14:paraId="4D287122" w14:textId="77777777" w:rsidR="00746169" w:rsidRPr="001F4055" w:rsidRDefault="00746169" w:rsidP="00746169">
      <w:pPr>
        <w:pStyle w:val="BTEMEASMCA"/>
        <w:rPr>
          <w:rStyle w:val="Hipersait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2198"/>
        <w:gridCol w:w="2248"/>
        <w:gridCol w:w="2211"/>
      </w:tblGrid>
      <w:tr w:rsidR="00746169" w:rsidRPr="000B7B11" w14:paraId="0E61AE76" w14:textId="77777777" w:rsidTr="008F433E">
        <w:tc>
          <w:tcPr>
            <w:tcW w:w="2199" w:type="dxa"/>
          </w:tcPr>
          <w:p w14:paraId="2389087C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proofErr w:type="spellStart"/>
            <w:r w:rsidRPr="00534944">
              <w:rPr>
                <w:rStyle w:val="Hipersaitas"/>
                <w:color w:val="auto"/>
                <w:lang w:val="lt-LT"/>
              </w:rPr>
              <w:t>Venofer</w:t>
            </w:r>
            <w:proofErr w:type="spellEnd"/>
            <w:r w:rsidRPr="00534944">
              <w:rPr>
                <w:rStyle w:val="Hipersaitas"/>
                <w:color w:val="auto"/>
                <w:lang w:val="lt-LT"/>
              </w:rPr>
              <w:t xml:space="preserve"> dozė </w:t>
            </w:r>
            <w:r w:rsidRPr="00534944">
              <w:rPr>
                <w:rStyle w:val="Hipersaitas"/>
                <w:color w:val="auto"/>
                <w:lang w:val="lt-LT"/>
              </w:rPr>
              <w:br/>
              <w:t>(mg geležies)</w:t>
            </w:r>
          </w:p>
        </w:tc>
        <w:tc>
          <w:tcPr>
            <w:tcW w:w="2198" w:type="dxa"/>
          </w:tcPr>
          <w:p w14:paraId="5B173C6F" w14:textId="77777777" w:rsidR="00746169" w:rsidRPr="00534944" w:rsidRDefault="00746169" w:rsidP="008F433E">
            <w:pPr>
              <w:jc w:val="center"/>
              <w:rPr>
                <w:rStyle w:val="Hipersaitas"/>
                <w:rFonts w:eastAsia="SimSun"/>
                <w:color w:val="auto"/>
                <w:sz w:val="22"/>
              </w:rPr>
            </w:pPr>
            <w:proofErr w:type="spellStart"/>
            <w:r w:rsidRPr="000B7B11">
              <w:rPr>
                <w:rStyle w:val="Hipersaitas"/>
                <w:rFonts w:eastAsiaTheme="majorEastAsia"/>
                <w:color w:val="auto"/>
                <w:sz w:val="22"/>
                <w:szCs w:val="22"/>
              </w:rPr>
              <w:t>Venofer</w:t>
            </w:r>
            <w:proofErr w:type="spellEnd"/>
            <w:r w:rsidRPr="000B7B11">
              <w:rPr>
                <w:rStyle w:val="Hipersaitas"/>
                <w:rFonts w:eastAsiaTheme="majorEastAsia"/>
                <w:color w:val="auto"/>
                <w:sz w:val="22"/>
                <w:szCs w:val="22"/>
              </w:rPr>
              <w:t xml:space="preserve"> dozė </w:t>
            </w:r>
            <w:r w:rsidRPr="000B7B11">
              <w:rPr>
                <w:rStyle w:val="Hipersaitas"/>
                <w:rFonts w:eastAsiaTheme="majorEastAsia"/>
                <w:color w:val="auto"/>
                <w:sz w:val="22"/>
                <w:szCs w:val="22"/>
              </w:rPr>
              <w:br/>
            </w:r>
            <w:r w:rsidRPr="0036234B">
              <w:rPr>
                <w:rStyle w:val="Hipersaitas"/>
                <w:rFonts w:eastAsiaTheme="majorEastAsia"/>
                <w:color w:val="auto"/>
                <w:sz w:val="22"/>
                <w:szCs w:val="22"/>
              </w:rPr>
              <w:t>(ml )</w:t>
            </w:r>
          </w:p>
        </w:tc>
        <w:tc>
          <w:tcPr>
            <w:tcW w:w="2248" w:type="dxa"/>
          </w:tcPr>
          <w:p w14:paraId="257661CA" w14:textId="77777777" w:rsidR="00746169" w:rsidRPr="000B7B11" w:rsidRDefault="00746169" w:rsidP="008F433E">
            <w:pPr>
              <w:jc w:val="center"/>
              <w:rPr>
                <w:rStyle w:val="Hipersaitas"/>
                <w:rFonts w:eastAsiaTheme="majorEastAsia"/>
                <w:color w:val="auto"/>
                <w:sz w:val="22"/>
                <w:szCs w:val="22"/>
              </w:rPr>
            </w:pPr>
            <w:r w:rsidRPr="000B7B11">
              <w:rPr>
                <w:rStyle w:val="Hipersaitas"/>
                <w:rFonts w:eastAsiaTheme="majorEastAsia"/>
                <w:color w:val="auto"/>
                <w:sz w:val="22"/>
                <w:szCs w:val="22"/>
              </w:rPr>
              <w:t xml:space="preserve">Maksimalus skiedimui vartojamo  </w:t>
            </w:r>
            <w:r w:rsidRPr="000B7B11">
              <w:rPr>
                <w:rStyle w:val="Hipersaitas"/>
                <w:rFonts w:eastAsiaTheme="majorEastAsia"/>
                <w:color w:val="auto"/>
                <w:sz w:val="22"/>
                <w:szCs w:val="22"/>
              </w:rPr>
              <w:br/>
              <w:t xml:space="preserve">sterilaus </w:t>
            </w:r>
            <w:r w:rsidRPr="000B7B11">
              <w:rPr>
                <w:sz w:val="22"/>
                <w:szCs w:val="22"/>
              </w:rPr>
              <w:t>9 mg/ml natrio chlorido</w:t>
            </w:r>
            <w:r w:rsidRPr="000B7B11">
              <w:rPr>
                <w:rStyle w:val="Hipersaitas"/>
                <w:rFonts w:eastAsiaTheme="majorEastAsia" w:hint="eastAsia"/>
                <w:color w:val="auto"/>
                <w:sz w:val="22"/>
                <w:szCs w:val="22"/>
              </w:rPr>
              <w:t xml:space="preserve"> tūris</w:t>
            </w:r>
          </w:p>
        </w:tc>
        <w:tc>
          <w:tcPr>
            <w:tcW w:w="2211" w:type="dxa"/>
          </w:tcPr>
          <w:p w14:paraId="499258B3" w14:textId="77777777" w:rsidR="00746169" w:rsidRPr="00534944" w:rsidRDefault="00746169" w:rsidP="008F433E">
            <w:pPr>
              <w:pStyle w:val="BTEMEASMCA"/>
              <w:rPr>
                <w:rStyle w:val="Hipersaitas"/>
                <w:color w:val="auto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Minimali infuzijos trukmė</w:t>
            </w:r>
          </w:p>
        </w:tc>
      </w:tr>
      <w:tr w:rsidR="00746169" w:rsidRPr="000B7B11" w14:paraId="02DA128E" w14:textId="77777777" w:rsidTr="008F433E">
        <w:tc>
          <w:tcPr>
            <w:tcW w:w="2199" w:type="dxa"/>
          </w:tcPr>
          <w:p w14:paraId="546E99C4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100</w:t>
            </w:r>
            <w:r w:rsidRPr="009A562A">
              <w:rPr>
                <w:noProof/>
              </w:rPr>
              <w:t> </w:t>
            </w:r>
            <w:r w:rsidRPr="00534944">
              <w:rPr>
                <w:rStyle w:val="Hipersaitas"/>
                <w:color w:val="auto"/>
                <w:lang w:val="lt-LT"/>
              </w:rPr>
              <w:t>mg</w:t>
            </w:r>
          </w:p>
        </w:tc>
        <w:tc>
          <w:tcPr>
            <w:tcW w:w="2198" w:type="dxa"/>
          </w:tcPr>
          <w:p w14:paraId="320DD72F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5</w:t>
            </w:r>
            <w:r w:rsidRPr="009A562A">
              <w:rPr>
                <w:noProof/>
              </w:rPr>
              <w:t> </w:t>
            </w:r>
            <w:r w:rsidRPr="00534944">
              <w:rPr>
                <w:rStyle w:val="Hipersaitas"/>
                <w:color w:val="auto"/>
                <w:lang w:val="lt-LT"/>
              </w:rPr>
              <w:t>ml</w:t>
            </w:r>
          </w:p>
        </w:tc>
        <w:tc>
          <w:tcPr>
            <w:tcW w:w="2248" w:type="dxa"/>
          </w:tcPr>
          <w:p w14:paraId="5804FDE4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100</w:t>
            </w:r>
            <w:r w:rsidRPr="009A562A">
              <w:rPr>
                <w:noProof/>
              </w:rPr>
              <w:t> </w:t>
            </w:r>
            <w:r w:rsidRPr="00534944">
              <w:rPr>
                <w:rStyle w:val="Hipersaitas"/>
                <w:color w:val="auto"/>
                <w:lang w:val="lt-LT"/>
              </w:rPr>
              <w:t>ml</w:t>
            </w:r>
          </w:p>
        </w:tc>
        <w:tc>
          <w:tcPr>
            <w:tcW w:w="2211" w:type="dxa"/>
          </w:tcPr>
          <w:p w14:paraId="528CE92C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15 minučių</w:t>
            </w:r>
          </w:p>
        </w:tc>
      </w:tr>
      <w:tr w:rsidR="00746169" w:rsidRPr="000B7B11" w14:paraId="59373084" w14:textId="77777777" w:rsidTr="008F433E">
        <w:tc>
          <w:tcPr>
            <w:tcW w:w="2199" w:type="dxa"/>
          </w:tcPr>
          <w:p w14:paraId="030695B3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200</w:t>
            </w:r>
            <w:r w:rsidRPr="009A562A">
              <w:rPr>
                <w:noProof/>
              </w:rPr>
              <w:t> </w:t>
            </w:r>
            <w:r w:rsidRPr="00534944">
              <w:rPr>
                <w:rStyle w:val="Hipersaitas"/>
                <w:color w:val="auto"/>
                <w:lang w:val="lt-LT"/>
              </w:rPr>
              <w:t>mg</w:t>
            </w:r>
          </w:p>
        </w:tc>
        <w:tc>
          <w:tcPr>
            <w:tcW w:w="2198" w:type="dxa"/>
          </w:tcPr>
          <w:p w14:paraId="2EA9ABC7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10</w:t>
            </w:r>
            <w:r w:rsidRPr="009A562A">
              <w:rPr>
                <w:noProof/>
              </w:rPr>
              <w:t> </w:t>
            </w:r>
            <w:r w:rsidRPr="00534944">
              <w:rPr>
                <w:rStyle w:val="Hipersaitas"/>
                <w:color w:val="auto"/>
                <w:lang w:val="lt-LT"/>
              </w:rPr>
              <w:t>ml</w:t>
            </w:r>
          </w:p>
        </w:tc>
        <w:tc>
          <w:tcPr>
            <w:tcW w:w="2248" w:type="dxa"/>
          </w:tcPr>
          <w:p w14:paraId="3E2FC12A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200</w:t>
            </w:r>
            <w:r w:rsidRPr="009A562A">
              <w:rPr>
                <w:noProof/>
              </w:rPr>
              <w:t> </w:t>
            </w:r>
            <w:r w:rsidRPr="00534944">
              <w:rPr>
                <w:rStyle w:val="Hipersaitas"/>
                <w:color w:val="auto"/>
                <w:lang w:val="lt-LT"/>
              </w:rPr>
              <w:t>ml</w:t>
            </w:r>
          </w:p>
        </w:tc>
        <w:tc>
          <w:tcPr>
            <w:tcW w:w="2211" w:type="dxa"/>
          </w:tcPr>
          <w:p w14:paraId="49122C38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534944">
              <w:rPr>
                <w:rStyle w:val="Hipersaitas"/>
                <w:color w:val="auto"/>
                <w:lang w:val="lt-LT"/>
              </w:rPr>
              <w:t>30 minučių</w:t>
            </w:r>
          </w:p>
        </w:tc>
      </w:tr>
      <w:tr w:rsidR="00746169" w:rsidRPr="000B7B11" w14:paraId="03A19F97" w14:textId="77777777" w:rsidTr="008F433E">
        <w:tc>
          <w:tcPr>
            <w:tcW w:w="2199" w:type="dxa"/>
            <w:vAlign w:val="center"/>
          </w:tcPr>
          <w:p w14:paraId="354D1F6E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300 mg</w:t>
            </w:r>
          </w:p>
        </w:tc>
        <w:tc>
          <w:tcPr>
            <w:tcW w:w="2198" w:type="dxa"/>
          </w:tcPr>
          <w:p w14:paraId="6ABB92E1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15 ml</w:t>
            </w:r>
          </w:p>
        </w:tc>
        <w:tc>
          <w:tcPr>
            <w:tcW w:w="2248" w:type="dxa"/>
            <w:vAlign w:val="center"/>
          </w:tcPr>
          <w:p w14:paraId="38FEAC5D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300 ml</w:t>
            </w:r>
          </w:p>
        </w:tc>
        <w:tc>
          <w:tcPr>
            <w:tcW w:w="2211" w:type="dxa"/>
            <w:vAlign w:val="center"/>
          </w:tcPr>
          <w:p w14:paraId="1D273179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1,5 valandos</w:t>
            </w:r>
          </w:p>
        </w:tc>
      </w:tr>
      <w:tr w:rsidR="00746169" w:rsidRPr="000B7B11" w14:paraId="448D0253" w14:textId="77777777" w:rsidTr="008F433E">
        <w:tc>
          <w:tcPr>
            <w:tcW w:w="2199" w:type="dxa"/>
            <w:vAlign w:val="center"/>
          </w:tcPr>
          <w:p w14:paraId="6A7412E8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400 mg</w:t>
            </w:r>
          </w:p>
        </w:tc>
        <w:tc>
          <w:tcPr>
            <w:tcW w:w="2198" w:type="dxa"/>
          </w:tcPr>
          <w:p w14:paraId="0206512F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20 ml</w:t>
            </w:r>
          </w:p>
        </w:tc>
        <w:tc>
          <w:tcPr>
            <w:tcW w:w="2248" w:type="dxa"/>
            <w:vAlign w:val="center"/>
          </w:tcPr>
          <w:p w14:paraId="47653810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400 ml</w:t>
            </w:r>
          </w:p>
        </w:tc>
        <w:tc>
          <w:tcPr>
            <w:tcW w:w="2211" w:type="dxa"/>
            <w:vAlign w:val="center"/>
          </w:tcPr>
          <w:p w14:paraId="11249C4D" w14:textId="77777777" w:rsidR="00746169" w:rsidRPr="00534944" w:rsidRDefault="00746169" w:rsidP="008F433E">
            <w:pPr>
              <w:jc w:val="both"/>
              <w:rPr>
                <w:sz w:val="22"/>
              </w:rPr>
            </w:pPr>
            <w:r w:rsidRPr="000B7B11">
              <w:rPr>
                <w:noProof/>
                <w:sz w:val="22"/>
                <w:szCs w:val="22"/>
              </w:rPr>
              <w:t>2,5 valandos</w:t>
            </w:r>
          </w:p>
        </w:tc>
      </w:tr>
      <w:tr w:rsidR="00746169" w:rsidRPr="000B7B11" w14:paraId="014FB74D" w14:textId="77777777" w:rsidTr="008F433E">
        <w:tc>
          <w:tcPr>
            <w:tcW w:w="2199" w:type="dxa"/>
            <w:vAlign w:val="center"/>
          </w:tcPr>
          <w:p w14:paraId="709F0783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500 mg</w:t>
            </w:r>
          </w:p>
        </w:tc>
        <w:tc>
          <w:tcPr>
            <w:tcW w:w="2198" w:type="dxa"/>
          </w:tcPr>
          <w:p w14:paraId="1FF012DF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25 ml</w:t>
            </w:r>
          </w:p>
        </w:tc>
        <w:tc>
          <w:tcPr>
            <w:tcW w:w="2248" w:type="dxa"/>
            <w:vAlign w:val="center"/>
          </w:tcPr>
          <w:p w14:paraId="5810A63D" w14:textId="77777777" w:rsidR="00746169" w:rsidRPr="00534944" w:rsidRDefault="00746169" w:rsidP="008F433E">
            <w:pPr>
              <w:pStyle w:val="BTEMEASMCA"/>
              <w:rPr>
                <w:rStyle w:val="Hipersaitas"/>
                <w:lang w:val="lt-LT"/>
              </w:rPr>
            </w:pPr>
            <w:r w:rsidRPr="009A562A">
              <w:rPr>
                <w:noProof/>
              </w:rPr>
              <w:t>500 ml</w:t>
            </w:r>
          </w:p>
        </w:tc>
        <w:tc>
          <w:tcPr>
            <w:tcW w:w="2211" w:type="dxa"/>
            <w:vAlign w:val="center"/>
          </w:tcPr>
          <w:p w14:paraId="11C658F7" w14:textId="77777777" w:rsidR="00746169" w:rsidRPr="00534944" w:rsidRDefault="00746169" w:rsidP="008F433E">
            <w:pPr>
              <w:jc w:val="both"/>
              <w:rPr>
                <w:sz w:val="22"/>
              </w:rPr>
            </w:pPr>
            <w:r w:rsidRPr="000B7B11">
              <w:rPr>
                <w:noProof/>
                <w:sz w:val="22"/>
                <w:szCs w:val="22"/>
              </w:rPr>
              <w:t>3,5 valandos</w:t>
            </w:r>
          </w:p>
        </w:tc>
      </w:tr>
    </w:tbl>
    <w:p w14:paraId="6A37C7F5" w14:textId="77777777" w:rsidR="00746169" w:rsidRPr="001F4055" w:rsidRDefault="00746169" w:rsidP="00746169">
      <w:pPr>
        <w:pStyle w:val="BTEMEASMCA"/>
        <w:rPr>
          <w:rStyle w:val="Hipersaitas"/>
        </w:rPr>
      </w:pPr>
    </w:p>
    <w:p w14:paraId="78FEEAAD" w14:textId="77777777" w:rsidR="00746169" w:rsidRPr="000B7B11" w:rsidRDefault="00746169" w:rsidP="00746169">
      <w:pPr>
        <w:pStyle w:val="BTEMEASMCA"/>
      </w:pPr>
    </w:p>
    <w:p w14:paraId="667DF0FF" w14:textId="77777777" w:rsidR="00746169" w:rsidRPr="000B7B11" w:rsidRDefault="00746169" w:rsidP="00746169">
      <w:pPr>
        <w:pStyle w:val="Pagrindiniotekstotrauka"/>
        <w:ind w:left="720" w:hanging="720"/>
        <w:rPr>
          <w:sz w:val="22"/>
          <w:szCs w:val="22"/>
        </w:rPr>
      </w:pPr>
      <w:r w:rsidRPr="000B7B11">
        <w:rPr>
          <w:sz w:val="22"/>
          <w:szCs w:val="22"/>
        </w:rPr>
        <w:t>Dėl vaistinio preparato stabilumo skiesti iki mažesnių koncentracijų negalima.</w:t>
      </w:r>
    </w:p>
    <w:p w14:paraId="0893541C" w14:textId="77777777" w:rsidR="00746169" w:rsidRPr="000B7B11" w:rsidRDefault="00746169" w:rsidP="00746169">
      <w:pPr>
        <w:pStyle w:val="Pagrindiniotekstotrauka"/>
        <w:keepNext/>
        <w:ind w:left="720" w:hanging="720"/>
        <w:rPr>
          <w:i/>
          <w:sz w:val="22"/>
          <w:szCs w:val="22"/>
        </w:rPr>
      </w:pPr>
      <w:r w:rsidRPr="000B7B11">
        <w:rPr>
          <w:i/>
          <w:sz w:val="22"/>
          <w:szCs w:val="22"/>
        </w:rPr>
        <w:t>Injekcija į veną</w:t>
      </w:r>
    </w:p>
    <w:p w14:paraId="170E781D" w14:textId="77777777" w:rsidR="00746169" w:rsidRPr="000B7B11" w:rsidRDefault="00746169" w:rsidP="00746169">
      <w:pPr>
        <w:pStyle w:val="Pagrindiniotekstotrauka"/>
        <w:ind w:left="0"/>
        <w:rPr>
          <w:sz w:val="22"/>
          <w:szCs w:val="22"/>
        </w:rPr>
      </w:pPr>
      <w:proofErr w:type="spellStart"/>
      <w:r w:rsidRPr="000B7B11">
        <w:rPr>
          <w:sz w:val="22"/>
          <w:szCs w:val="22"/>
        </w:rPr>
        <w:t>Venofer</w:t>
      </w:r>
      <w:proofErr w:type="spellEnd"/>
      <w:r w:rsidRPr="000B7B11">
        <w:rPr>
          <w:sz w:val="22"/>
          <w:szCs w:val="22"/>
        </w:rPr>
        <w:t xml:space="preserve"> galima leisti lėta intravenine injekcija 1 ml neskiesto tirpalo per minutę greičiu, neviršijant 10 ml </w:t>
      </w:r>
      <w:proofErr w:type="spellStart"/>
      <w:r w:rsidRPr="000B7B11">
        <w:rPr>
          <w:sz w:val="22"/>
          <w:szCs w:val="22"/>
        </w:rPr>
        <w:t>Venofer</w:t>
      </w:r>
      <w:proofErr w:type="spellEnd"/>
      <w:r w:rsidRPr="000B7B11">
        <w:rPr>
          <w:sz w:val="22"/>
          <w:szCs w:val="22"/>
        </w:rPr>
        <w:t xml:space="preserve"> (200 mg geležies) vienos injekcijos metu. </w:t>
      </w:r>
    </w:p>
    <w:p w14:paraId="21229E05" w14:textId="77777777" w:rsidR="00746169" w:rsidRPr="000B7B11" w:rsidRDefault="00746169" w:rsidP="00746169">
      <w:pPr>
        <w:pStyle w:val="Pagrindiniotekstotrauka"/>
        <w:ind w:left="720" w:hanging="720"/>
        <w:rPr>
          <w:sz w:val="22"/>
          <w:szCs w:val="22"/>
        </w:rPr>
      </w:pPr>
    </w:p>
    <w:p w14:paraId="4814E31C" w14:textId="77777777" w:rsidR="00746169" w:rsidRPr="000B7B11" w:rsidRDefault="00746169" w:rsidP="00746169">
      <w:pPr>
        <w:pStyle w:val="Pagrindiniotekstotrauka"/>
        <w:keepNext/>
        <w:ind w:left="720" w:hanging="720"/>
        <w:rPr>
          <w:i/>
          <w:sz w:val="22"/>
          <w:szCs w:val="22"/>
        </w:rPr>
      </w:pPr>
      <w:r w:rsidRPr="000B7B11">
        <w:rPr>
          <w:i/>
          <w:sz w:val="22"/>
          <w:szCs w:val="22"/>
        </w:rPr>
        <w:t>Injekcija į veninę dializatoriaus atšaką</w:t>
      </w:r>
    </w:p>
    <w:p w14:paraId="645972F9" w14:textId="77777777" w:rsidR="00746169" w:rsidRPr="000B7B11" w:rsidRDefault="00746169" w:rsidP="00746169">
      <w:pPr>
        <w:pStyle w:val="Pagrindiniotekstotrauka"/>
        <w:ind w:left="0"/>
        <w:rPr>
          <w:sz w:val="22"/>
          <w:szCs w:val="22"/>
        </w:rPr>
      </w:pPr>
      <w:proofErr w:type="spellStart"/>
      <w:r w:rsidRPr="000B7B11">
        <w:rPr>
          <w:sz w:val="22"/>
          <w:szCs w:val="22"/>
        </w:rPr>
        <w:t>Venofer</w:t>
      </w:r>
      <w:proofErr w:type="spellEnd"/>
      <w:r w:rsidRPr="000B7B11">
        <w:rPr>
          <w:sz w:val="22"/>
          <w:szCs w:val="22"/>
        </w:rPr>
        <w:t xml:space="preserve"> galima leisti hemodializės seanso metu</w:t>
      </w:r>
      <w:r w:rsidRPr="00663132">
        <w:t xml:space="preserve"> </w:t>
      </w:r>
      <w:r w:rsidRPr="00663132">
        <w:rPr>
          <w:sz w:val="22"/>
          <w:szCs w:val="22"/>
        </w:rPr>
        <w:t>tiesiai į dializės aparato veninę liniją</w:t>
      </w:r>
      <w:r w:rsidRPr="000B7B11">
        <w:rPr>
          <w:sz w:val="22"/>
          <w:szCs w:val="22"/>
        </w:rPr>
        <w:t>, kurios taikomos intraveninei injekcijai.</w:t>
      </w:r>
    </w:p>
    <w:p w14:paraId="569CB770" w14:textId="77777777" w:rsidR="00746169" w:rsidRPr="00534944" w:rsidRDefault="00746169" w:rsidP="00746169">
      <w:pPr>
        <w:tabs>
          <w:tab w:val="left" w:pos="567"/>
        </w:tabs>
        <w:rPr>
          <w:rStyle w:val="Grietas"/>
          <w:sz w:val="22"/>
        </w:rPr>
      </w:pPr>
      <w:r w:rsidRPr="000B7B11">
        <w:rPr>
          <w:rStyle w:val="Grietas"/>
          <w:b w:val="0"/>
          <w:i/>
          <w:sz w:val="22"/>
          <w:szCs w:val="22"/>
        </w:rPr>
        <w:t>Nesuderinamumas</w:t>
      </w:r>
    </w:p>
    <w:p w14:paraId="55361CA0" w14:textId="77777777" w:rsidR="00746169" w:rsidRPr="000B7B11" w:rsidRDefault="00746169" w:rsidP="00746169">
      <w:pPr>
        <w:pStyle w:val="BTEMEASMCA"/>
      </w:pPr>
      <w:r w:rsidRPr="000B7B11">
        <w:t>Šio vaistinio preparato negalima maišyti su kitais, išskyrus sterilų 9 mg/ml (0,9 </w:t>
      </w:r>
      <w:r w:rsidRPr="00970C69">
        <w:t>proc.</w:t>
      </w:r>
      <w:r w:rsidRPr="000B7B11">
        <w:t xml:space="preserve"> m/V) natrio chlorido tirpalą. Dėl galimo nuosėdų atsiradimo ir (arba) sąveikos negalima naudoti jokių kitų tirpalų ir vaistinių preparatų. </w:t>
      </w:r>
    </w:p>
    <w:p w14:paraId="17F51745" w14:textId="77777777" w:rsidR="00746169" w:rsidRPr="000B7B11" w:rsidRDefault="00746169" w:rsidP="00746169">
      <w:pPr>
        <w:pStyle w:val="BTEMEASMCA"/>
      </w:pPr>
      <w:r w:rsidRPr="000B7B11">
        <w:t xml:space="preserve">Suderinamumas su </w:t>
      </w:r>
      <w:proofErr w:type="spellStart"/>
      <w:r w:rsidRPr="000B7B11">
        <w:t>talpyklėmis</w:t>
      </w:r>
      <w:proofErr w:type="spellEnd"/>
      <w:r w:rsidRPr="000B7B11">
        <w:t>, išskyrus pagamintas iš stiklo, polietileno ir PVC, nežinomas.</w:t>
      </w:r>
    </w:p>
    <w:p w14:paraId="308A702F" w14:textId="77777777" w:rsidR="00746169" w:rsidRPr="000B7B11" w:rsidRDefault="00746169" w:rsidP="00746169">
      <w:pPr>
        <w:pStyle w:val="Pagrindinistekstas2"/>
        <w:spacing w:after="0" w:line="240" w:lineRule="auto"/>
        <w:rPr>
          <w:sz w:val="22"/>
          <w:szCs w:val="22"/>
        </w:rPr>
      </w:pPr>
    </w:p>
    <w:p w14:paraId="49FE84CE" w14:textId="77777777" w:rsidR="00746169" w:rsidRPr="00534944" w:rsidRDefault="00746169" w:rsidP="00746169">
      <w:pPr>
        <w:tabs>
          <w:tab w:val="left" w:pos="567"/>
        </w:tabs>
        <w:rPr>
          <w:rStyle w:val="Grietas"/>
          <w:sz w:val="22"/>
        </w:rPr>
      </w:pPr>
      <w:r w:rsidRPr="000B7B11">
        <w:rPr>
          <w:rStyle w:val="Grietas"/>
          <w:b w:val="0"/>
          <w:i/>
          <w:sz w:val="22"/>
          <w:szCs w:val="22"/>
        </w:rPr>
        <w:t>Vaistinio preparato ruošimo instrukcija</w:t>
      </w:r>
    </w:p>
    <w:p w14:paraId="4439A27C" w14:textId="77777777" w:rsidR="00746169" w:rsidRPr="000B7B11" w:rsidRDefault="00746169" w:rsidP="00746169">
      <w:pPr>
        <w:jc w:val="both"/>
        <w:rPr>
          <w:sz w:val="22"/>
          <w:szCs w:val="22"/>
        </w:rPr>
      </w:pPr>
      <w:r w:rsidRPr="000B7B11">
        <w:rPr>
          <w:sz w:val="22"/>
          <w:szCs w:val="22"/>
        </w:rPr>
        <w:t>Prieš naudojant reikia apžiūrėti, ar ampulės yra be nuosėdų ir pažeidimų. Naudokite tik tas ampules, kuriose tirpalas yra be nuosėdų ir vienalytis. Praskiestas tirpalas turi būti rudas ir skaidrus.</w:t>
      </w:r>
    </w:p>
    <w:p w14:paraId="721B4C1B" w14:textId="77777777" w:rsidR="00746169" w:rsidRPr="000B7B11" w:rsidRDefault="00746169" w:rsidP="00746169">
      <w:pPr>
        <w:jc w:val="both"/>
        <w:rPr>
          <w:sz w:val="22"/>
          <w:szCs w:val="22"/>
        </w:rPr>
      </w:pPr>
      <w:r w:rsidRPr="000B7B11">
        <w:rPr>
          <w:sz w:val="22"/>
          <w:szCs w:val="22"/>
        </w:rPr>
        <w:t>Nesuvartotą vaistinį preparatą ar atliekas reikia tvarkyti laikantis vietinių reikalavimų.</w:t>
      </w:r>
    </w:p>
    <w:p w14:paraId="1C439894" w14:textId="77777777" w:rsidR="00746169" w:rsidRPr="00867D67" w:rsidRDefault="00746169" w:rsidP="00746169">
      <w:pPr>
        <w:rPr>
          <w:sz w:val="22"/>
          <w:szCs w:val="22"/>
        </w:rPr>
      </w:pPr>
    </w:p>
    <w:p w14:paraId="36E8165E" w14:textId="77777777" w:rsidR="00222FED" w:rsidRDefault="00222FED"/>
    <w:sectPr w:rsidR="00222FED" w:rsidSect="0074616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8131" w14:textId="77777777" w:rsidR="00C75993" w:rsidRDefault="00C75993">
      <w:r>
        <w:separator/>
      </w:r>
    </w:p>
  </w:endnote>
  <w:endnote w:type="continuationSeparator" w:id="0">
    <w:p w14:paraId="224DB29D" w14:textId="77777777" w:rsidR="00C75993" w:rsidRDefault="00C7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B056" w14:textId="77777777" w:rsidR="00746169" w:rsidRDefault="00746169" w:rsidP="009F799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C1B46C" w14:textId="77777777" w:rsidR="00746169" w:rsidRDefault="00746169" w:rsidP="009F799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7CA6" w14:textId="77777777" w:rsidR="00746169" w:rsidRPr="00FA6ED2" w:rsidRDefault="00746169" w:rsidP="009F7991">
    <w:pPr>
      <w:pStyle w:val="Porat"/>
      <w:framePr w:wrap="around" w:vAnchor="text" w:hAnchor="margin" w:xAlign="right" w:y="1"/>
      <w:rPr>
        <w:rStyle w:val="Puslapionumeris"/>
      </w:rPr>
    </w:pPr>
    <w:r w:rsidRPr="003D4D37">
      <w:rPr>
        <w:sz w:val="22"/>
        <w:szCs w:val="22"/>
        <w:lang w:val="es-ES"/>
      </w:rPr>
      <w:fldChar w:fldCharType="begin"/>
    </w:r>
    <w:r w:rsidRPr="0015563F">
      <w:rPr>
        <w:sz w:val="22"/>
        <w:szCs w:val="22"/>
        <w:lang w:val="de-DE"/>
      </w:rPr>
      <w:instrText xml:space="preserve"> PAGE </w:instrText>
    </w:r>
    <w:r w:rsidRPr="003D4D37">
      <w:rPr>
        <w:sz w:val="22"/>
        <w:szCs w:val="22"/>
        <w:lang w:val="es-ES"/>
      </w:rPr>
      <w:fldChar w:fldCharType="separate"/>
    </w:r>
    <w:r>
      <w:rPr>
        <w:noProof/>
        <w:sz w:val="22"/>
        <w:szCs w:val="22"/>
        <w:lang w:val="de-DE"/>
      </w:rPr>
      <w:t>13</w:t>
    </w:r>
    <w:r w:rsidRPr="003D4D37">
      <w:rPr>
        <w:sz w:val="22"/>
        <w:szCs w:val="22"/>
      </w:rPr>
      <w:fldChar w:fldCharType="end"/>
    </w:r>
    <w:r w:rsidRPr="0015563F">
      <w:rPr>
        <w:sz w:val="22"/>
        <w:szCs w:val="22"/>
        <w:lang w:val="de-DE"/>
      </w:rPr>
      <w:t>/</w:t>
    </w:r>
    <w:r w:rsidRPr="003D4D37">
      <w:rPr>
        <w:sz w:val="22"/>
        <w:szCs w:val="22"/>
        <w:lang w:val="es-ES"/>
      </w:rPr>
      <w:fldChar w:fldCharType="begin"/>
    </w:r>
    <w:r w:rsidRPr="0015563F">
      <w:rPr>
        <w:sz w:val="22"/>
        <w:szCs w:val="22"/>
        <w:lang w:val="de-DE"/>
      </w:rPr>
      <w:instrText xml:space="preserve"> NUMPAGES </w:instrText>
    </w:r>
    <w:r w:rsidRPr="003D4D37">
      <w:rPr>
        <w:sz w:val="22"/>
        <w:szCs w:val="22"/>
        <w:lang w:val="es-ES"/>
      </w:rPr>
      <w:fldChar w:fldCharType="separate"/>
    </w:r>
    <w:r>
      <w:rPr>
        <w:noProof/>
        <w:sz w:val="22"/>
        <w:szCs w:val="22"/>
        <w:lang w:val="de-DE"/>
      </w:rPr>
      <w:t>26</w:t>
    </w:r>
    <w:r w:rsidRPr="003D4D37">
      <w:rPr>
        <w:sz w:val="22"/>
        <w:szCs w:val="22"/>
      </w:rPr>
      <w:fldChar w:fldCharType="end"/>
    </w:r>
  </w:p>
  <w:p w14:paraId="40B3B8E2" w14:textId="77777777" w:rsidR="00746169" w:rsidRPr="008117D3" w:rsidRDefault="00746169" w:rsidP="006E67D6">
    <w:pPr>
      <w:pStyle w:val="Porat"/>
      <w:ind w:right="360"/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7C19" w14:textId="77777777" w:rsidR="00C75993" w:rsidRDefault="00C75993">
      <w:r>
        <w:separator/>
      </w:r>
    </w:p>
  </w:footnote>
  <w:footnote w:type="continuationSeparator" w:id="0">
    <w:p w14:paraId="28E172F5" w14:textId="77777777" w:rsidR="00C75993" w:rsidRDefault="00C7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58A0" w14:textId="77777777" w:rsidR="00746169" w:rsidRDefault="007461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520"/>
    <w:multiLevelType w:val="hybridMultilevel"/>
    <w:tmpl w:val="38128C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2219"/>
    <w:multiLevelType w:val="hybridMultilevel"/>
    <w:tmpl w:val="BC72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BDE48E18"/>
    <w:lvl w:ilvl="0" w:tplc="A5C60BB8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075C"/>
    <w:multiLevelType w:val="hybridMultilevel"/>
    <w:tmpl w:val="FFA643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B3068"/>
    <w:multiLevelType w:val="hybridMultilevel"/>
    <w:tmpl w:val="67BCFF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33E"/>
    <w:multiLevelType w:val="hybridMultilevel"/>
    <w:tmpl w:val="3F44A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B6ED2"/>
    <w:multiLevelType w:val="hybridMultilevel"/>
    <w:tmpl w:val="78F24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B5A07"/>
    <w:multiLevelType w:val="hybridMultilevel"/>
    <w:tmpl w:val="F7DA2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745563">
    <w:abstractNumId w:val="2"/>
  </w:num>
  <w:num w:numId="2" w16cid:durableId="1971208513">
    <w:abstractNumId w:val="4"/>
  </w:num>
  <w:num w:numId="3" w16cid:durableId="736709795">
    <w:abstractNumId w:val="5"/>
  </w:num>
  <w:num w:numId="4" w16cid:durableId="1521504986">
    <w:abstractNumId w:val="6"/>
  </w:num>
  <w:num w:numId="5" w16cid:durableId="1297443458">
    <w:abstractNumId w:val="7"/>
  </w:num>
  <w:num w:numId="6" w16cid:durableId="1274287287">
    <w:abstractNumId w:val="1"/>
  </w:num>
  <w:num w:numId="7" w16cid:durableId="837618718">
    <w:abstractNumId w:val="3"/>
  </w:num>
  <w:num w:numId="8" w16cid:durableId="6842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69"/>
    <w:rsid w:val="00222FED"/>
    <w:rsid w:val="003460FB"/>
    <w:rsid w:val="005F173E"/>
    <w:rsid w:val="00746169"/>
    <w:rsid w:val="008B3AD4"/>
    <w:rsid w:val="00C75993"/>
    <w:rsid w:val="00E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38A8"/>
  <w15:chartTrackingRefBased/>
  <w15:docId w15:val="{0250BFAC-1C29-451B-8BEF-6CDAB693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61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6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746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6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6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6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6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6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6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6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6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461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61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61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61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61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61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6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6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61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61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61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6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61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616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746169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746169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46169"/>
    <w:rPr>
      <w:rFonts w:eastAsia="SimSun"/>
      <w:sz w:val="22"/>
      <w:szCs w:val="22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746169"/>
    <w:rPr>
      <w:rFonts w:ascii="Times New Roman" w:eastAsia="SimSun" w:hAnsi="Times New Roman" w:cs="Times New Roman"/>
      <w:kern w:val="0"/>
      <w:sz w:val="22"/>
      <w:szCs w:val="22"/>
      <w:lang w:val="x-none" w:eastAsia="x-none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746169"/>
    <w:pPr>
      <w:spacing w:line="360" w:lineRule="auto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46169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74616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46169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rsid w:val="00746169"/>
    <w:pPr>
      <w:tabs>
        <w:tab w:val="center" w:pos="4153"/>
        <w:tab w:val="right" w:pos="8306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6169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rsid w:val="0074616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46169"/>
    <w:rPr>
      <w:rFonts w:ascii="Times New Roman" w:eastAsia="Times New Roman" w:hAnsi="Times New Roman" w:cs="Times New Roman"/>
      <w:kern w:val="0"/>
      <w:lang w:eastAsia="x-none"/>
      <w14:ligatures w14:val="none"/>
    </w:rPr>
  </w:style>
  <w:style w:type="character" w:styleId="Puslapionumeris">
    <w:name w:val="page number"/>
    <w:semiHidden/>
    <w:rsid w:val="00746169"/>
    <w:rPr>
      <w:rFonts w:cs="Times New Roman"/>
    </w:rPr>
  </w:style>
  <w:style w:type="paragraph" w:customStyle="1" w:styleId="BT-EMEASMCA">
    <w:name w:val="BT- EMEA_SMCA"/>
    <w:basedOn w:val="BTEMEASMCA"/>
    <w:autoRedefine/>
    <w:uiPriority w:val="99"/>
    <w:rsid w:val="00746169"/>
  </w:style>
  <w:style w:type="paragraph" w:customStyle="1" w:styleId="PI-3EMEASMCA">
    <w:name w:val="PI-3 EMEA_SMCA"/>
    <w:basedOn w:val="prastasis"/>
    <w:autoRedefine/>
    <w:uiPriority w:val="99"/>
    <w:rsid w:val="00746169"/>
    <w:pPr>
      <w:spacing w:line="220" w:lineRule="exact"/>
    </w:pPr>
    <w:rPr>
      <w:bCs/>
      <w:noProof/>
      <w:sz w:val="22"/>
    </w:rPr>
  </w:style>
  <w:style w:type="paragraph" w:customStyle="1" w:styleId="BTbEMEASMCA">
    <w:name w:val="BT(b) EMEA_SMCA"/>
    <w:basedOn w:val="BTEMEASMCA"/>
    <w:autoRedefine/>
    <w:uiPriority w:val="99"/>
    <w:rsid w:val="00746169"/>
    <w:rPr>
      <w:bCs/>
    </w:rPr>
  </w:style>
  <w:style w:type="paragraph" w:customStyle="1" w:styleId="BTbeEMEASMCA">
    <w:name w:val="BT(be) EMEA_SMCA"/>
    <w:basedOn w:val="BTEMEASMCA"/>
    <w:autoRedefine/>
    <w:uiPriority w:val="99"/>
    <w:rsid w:val="00746169"/>
    <w:pPr>
      <w:jc w:val="center"/>
    </w:pPr>
  </w:style>
  <w:style w:type="paragraph" w:customStyle="1" w:styleId="NormalRight-0cm">
    <w:name w:val="Normal + Right:  -0 cm"/>
    <w:aliases w:val="Line spacing:  single"/>
    <w:basedOn w:val="prastasis"/>
    <w:uiPriority w:val="99"/>
    <w:rsid w:val="00746169"/>
    <w:pPr>
      <w:spacing w:line="260" w:lineRule="atLeast"/>
      <w:ind w:left="567" w:hanging="567"/>
    </w:pPr>
    <w:rPr>
      <w:rFonts w:eastAsia="Calibri"/>
      <w:b/>
      <w:bCs/>
      <w:color w:val="000000"/>
      <w:sz w:val="22"/>
      <w:szCs w:val="22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46169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46169"/>
    <w:rPr>
      <w:rFonts w:ascii="Times New Roman" w:eastAsia="Times New Roman" w:hAnsi="Times New Roman" w:cs="Times New Roman"/>
      <w:kern w:val="0"/>
      <w:lang w:eastAsia="x-none"/>
      <w14:ligatures w14:val="none"/>
    </w:rPr>
  </w:style>
  <w:style w:type="character" w:styleId="Komentaronuoroda">
    <w:name w:val="annotation reference"/>
    <w:uiPriority w:val="99"/>
    <w:semiHidden/>
    <w:rsid w:val="00746169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746169"/>
    <w:rPr>
      <w:rFonts w:eastAsia="Calibri"/>
      <w:sz w:val="20"/>
      <w:szCs w:val="20"/>
      <w:lang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6169"/>
    <w:rPr>
      <w:rFonts w:ascii="Times New Roman" w:eastAsia="Calibri" w:hAnsi="Times New Roman" w:cs="Times New Roman"/>
      <w:kern w:val="0"/>
      <w:sz w:val="20"/>
      <w:szCs w:val="20"/>
      <w:lang w:eastAsia="x-none"/>
      <w14:ligatures w14:val="none"/>
    </w:rPr>
  </w:style>
  <w:style w:type="character" w:styleId="Grietas">
    <w:name w:val="Strong"/>
    <w:uiPriority w:val="22"/>
    <w:qFormat/>
    <w:rsid w:val="00746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7597</Words>
  <Characters>4331</Characters>
  <Application>Microsoft Office Word</Application>
  <DocSecurity>0</DocSecurity>
  <Lines>36</Lines>
  <Paragraphs>23</Paragraphs>
  <ScaleCrop>false</ScaleCrop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2025-07-30T06:19:00Z</dcterms:created>
  <dcterms:modified xsi:type="dcterms:W3CDTF">2025-07-30T06:55:00Z</dcterms:modified>
</cp:coreProperties>
</file>