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B2A" w:rsidRPr="000A11F7" w:rsidRDefault="00E66B2A" w:rsidP="00E66B2A">
      <w:pPr>
        <w:pStyle w:val="TTEMEASMCA"/>
        <w:rPr>
          <w:lang w:val="lt-LT"/>
        </w:rPr>
      </w:pPr>
      <w:bookmarkStart w:id="0" w:name="_Toc129243138"/>
      <w:bookmarkStart w:id="1" w:name="_Toc129243263"/>
      <w:r w:rsidRPr="000A11F7">
        <w:rPr>
          <w:lang w:val="lt-LT"/>
        </w:rPr>
        <w:t>Pakuotės lapelis: informacija vartotojui</w:t>
      </w:r>
      <w:bookmarkEnd w:id="0"/>
      <w:bookmarkEnd w:id="1"/>
    </w:p>
    <w:p w:rsidR="00E66B2A" w:rsidRPr="000A11F7" w:rsidRDefault="00E66B2A" w:rsidP="00E66B2A">
      <w:pPr>
        <w:pStyle w:val="BTEMEASMCA"/>
      </w:pPr>
    </w:p>
    <w:p w:rsidR="00E66B2A" w:rsidRPr="000A11F7" w:rsidRDefault="00E66B2A" w:rsidP="00E66B2A">
      <w:pPr>
        <w:pStyle w:val="BTbeEMEASMCA"/>
      </w:pPr>
      <w:r w:rsidRPr="000A11F7">
        <w:t>Solian 50 mg tabletės</w:t>
      </w:r>
    </w:p>
    <w:p w:rsidR="00E66B2A" w:rsidRPr="000A11F7" w:rsidRDefault="00E66B2A" w:rsidP="00E66B2A">
      <w:pPr>
        <w:pStyle w:val="BTbeEMEASMCA"/>
      </w:pPr>
      <w:r w:rsidRPr="000A11F7">
        <w:t>Solian 200 mg tabletės</w:t>
      </w:r>
    </w:p>
    <w:p w:rsidR="00E66B2A" w:rsidRPr="000A11F7" w:rsidRDefault="00E66B2A" w:rsidP="00E66B2A">
      <w:pPr>
        <w:pStyle w:val="BTbeEMEASMCA"/>
      </w:pPr>
      <w:r w:rsidRPr="000A11F7">
        <w:t>Solian 400 mg plėvele dengtos tabletės</w:t>
      </w:r>
    </w:p>
    <w:p w:rsidR="00E66B2A" w:rsidRPr="000A11F7" w:rsidRDefault="00E66B2A" w:rsidP="00E66B2A">
      <w:pPr>
        <w:pStyle w:val="BTeEMEASMCA"/>
      </w:pPr>
      <w:r w:rsidRPr="000A11F7">
        <w:t>Amisulpridas</w:t>
      </w:r>
    </w:p>
    <w:p w:rsidR="00E66B2A" w:rsidRPr="000A11F7" w:rsidRDefault="00E66B2A" w:rsidP="00E66B2A">
      <w:pPr>
        <w:pStyle w:val="BTEMEASMCA"/>
      </w:pPr>
    </w:p>
    <w:p w:rsidR="00E66B2A" w:rsidRPr="000A11F7" w:rsidRDefault="00E66B2A" w:rsidP="00E66B2A">
      <w:pPr>
        <w:pStyle w:val="BTbEMEASMCA"/>
        <w:rPr>
          <w:rFonts w:ascii="Times New Roman" w:hAnsi="Times New Roman" w:cs="Times New Roman"/>
        </w:rPr>
      </w:pPr>
      <w:r w:rsidRPr="000A11F7">
        <w:rPr>
          <w:rFonts w:ascii="Times New Roman" w:hAnsi="Times New Roman" w:cs="Times New Roman"/>
        </w:rPr>
        <w:t>Atidžiai perskaitykite visą šį lapelį, prieš pradėdami vartoti vaistą, nes jame pateikiama Jums svarbi informacija.</w:t>
      </w:r>
    </w:p>
    <w:p w:rsidR="00E66B2A" w:rsidRPr="000A11F7" w:rsidRDefault="00E66B2A" w:rsidP="00E66B2A">
      <w:pPr>
        <w:pStyle w:val="BT-EMEASMCA"/>
      </w:pPr>
      <w:r w:rsidRPr="000A11F7">
        <w:t>Neišmeskite šio lapelio, nes vėl gali prireikti jį perskaityti.</w:t>
      </w:r>
    </w:p>
    <w:p w:rsidR="00E66B2A" w:rsidRPr="000A11F7" w:rsidRDefault="00E66B2A" w:rsidP="00E66B2A">
      <w:pPr>
        <w:pStyle w:val="BT-EMEASMCA"/>
      </w:pPr>
      <w:r w:rsidRPr="000A11F7">
        <w:t>Jeigu kiltų daugiau klausimų, kreipkitės į gydytoją arba vaistininką.</w:t>
      </w:r>
    </w:p>
    <w:p w:rsidR="00E66B2A" w:rsidRPr="000A11F7" w:rsidRDefault="00E66B2A" w:rsidP="00E66B2A">
      <w:pPr>
        <w:pStyle w:val="BT-EMEASMCA"/>
      </w:pPr>
      <w:r w:rsidRPr="000A11F7">
        <w:t>Šis vaistas skirtas tik Jums, todėl kitiems žmonėms jo duoti negalima. Vaistas gali jiems pakenkti (net tiems, kurių ligos požymiai yra tokie patys kaip Jūsų).</w:t>
      </w:r>
    </w:p>
    <w:p w:rsidR="00E66B2A" w:rsidRPr="000A11F7" w:rsidRDefault="00E66B2A" w:rsidP="00E66B2A">
      <w:pPr>
        <w:pStyle w:val="BT-EMEASMCA"/>
      </w:pPr>
      <w:r w:rsidRPr="000A11F7">
        <w:t>Jeigu pasireiškė šalutinis poveikis (net jeigu jis šiame lapelyje nenurodytas), kreipkitės į gydytoją arba vaistininką. Žr. 4 skyrių.</w:t>
      </w:r>
    </w:p>
    <w:p w:rsidR="00E66B2A" w:rsidRPr="000A11F7" w:rsidRDefault="00E66B2A" w:rsidP="00E66B2A">
      <w:pPr>
        <w:pStyle w:val="BTEMEASMCA"/>
      </w:pPr>
    </w:p>
    <w:p w:rsidR="00E66B2A" w:rsidRPr="000A11F7" w:rsidRDefault="00E66B2A" w:rsidP="00E66B2A">
      <w:pPr>
        <w:pStyle w:val="BTEMEASMCA"/>
      </w:pPr>
    </w:p>
    <w:p w:rsidR="00E66B2A" w:rsidRPr="000A11F7" w:rsidRDefault="00E66B2A" w:rsidP="00E66B2A">
      <w:pPr>
        <w:pStyle w:val="BTEMEASMCA"/>
        <w:rPr>
          <w:b/>
        </w:rPr>
      </w:pPr>
      <w:r w:rsidRPr="000A11F7">
        <w:rPr>
          <w:b/>
        </w:rPr>
        <w:t>Apie ką rašoma šiame lapelyje?</w:t>
      </w:r>
    </w:p>
    <w:p w:rsidR="00E66B2A" w:rsidRPr="000A11F7" w:rsidRDefault="00E66B2A" w:rsidP="00E66B2A">
      <w:pPr>
        <w:pStyle w:val="BTEMEASMCA"/>
      </w:pPr>
      <w:r w:rsidRPr="000A11F7">
        <w:t>1.</w:t>
      </w:r>
      <w:r w:rsidRPr="000A11F7">
        <w:tab/>
        <w:t xml:space="preserve">Kas yra </w:t>
      </w:r>
      <w:r w:rsidRPr="000A11F7">
        <w:rPr>
          <w:bCs/>
        </w:rPr>
        <w:t>Solian</w:t>
      </w:r>
      <w:r w:rsidRPr="000A11F7">
        <w:t xml:space="preserve"> ir kam jis vartojamas</w:t>
      </w:r>
    </w:p>
    <w:p w:rsidR="00E66B2A" w:rsidRPr="000A11F7" w:rsidRDefault="00E66B2A" w:rsidP="00E66B2A">
      <w:pPr>
        <w:pStyle w:val="BTEMEASMCA"/>
      </w:pPr>
      <w:r w:rsidRPr="000A11F7">
        <w:t>2.</w:t>
      </w:r>
      <w:r w:rsidRPr="000A11F7">
        <w:tab/>
        <w:t xml:space="preserve">Kas žinotina prieš vartojant </w:t>
      </w:r>
      <w:r w:rsidRPr="000A11F7">
        <w:rPr>
          <w:bCs/>
        </w:rPr>
        <w:t>Solian</w:t>
      </w:r>
    </w:p>
    <w:p w:rsidR="00E66B2A" w:rsidRPr="000A11F7" w:rsidRDefault="00E66B2A" w:rsidP="00E66B2A">
      <w:pPr>
        <w:pStyle w:val="BTEMEASMCA"/>
      </w:pPr>
      <w:r w:rsidRPr="000A11F7">
        <w:t>3.</w:t>
      </w:r>
      <w:r w:rsidRPr="000A11F7">
        <w:tab/>
        <w:t xml:space="preserve">Kaip vartoti </w:t>
      </w:r>
      <w:r w:rsidRPr="000A11F7">
        <w:rPr>
          <w:bCs/>
        </w:rPr>
        <w:t>Solian</w:t>
      </w:r>
    </w:p>
    <w:p w:rsidR="00E66B2A" w:rsidRPr="000A11F7" w:rsidRDefault="00E66B2A" w:rsidP="00E66B2A">
      <w:pPr>
        <w:pStyle w:val="BTEMEASMCA"/>
      </w:pPr>
      <w:r w:rsidRPr="000A11F7">
        <w:t>4.</w:t>
      </w:r>
      <w:r w:rsidRPr="000A11F7">
        <w:tab/>
        <w:t>Galimas šalutinis poveikis</w:t>
      </w:r>
    </w:p>
    <w:p w:rsidR="00E66B2A" w:rsidRPr="000A11F7" w:rsidRDefault="00E66B2A" w:rsidP="00E66B2A">
      <w:pPr>
        <w:pStyle w:val="BTEMEASMCA"/>
      </w:pPr>
      <w:r w:rsidRPr="000A11F7">
        <w:t>5.</w:t>
      </w:r>
      <w:r w:rsidRPr="000A11F7">
        <w:tab/>
        <w:t xml:space="preserve">Kaip laikyti </w:t>
      </w:r>
      <w:r w:rsidRPr="000A11F7">
        <w:rPr>
          <w:bCs/>
        </w:rPr>
        <w:t>Solian</w:t>
      </w:r>
    </w:p>
    <w:p w:rsidR="00E66B2A" w:rsidRPr="000A11F7" w:rsidRDefault="00E66B2A" w:rsidP="00E66B2A">
      <w:pPr>
        <w:pStyle w:val="BTEMEASMCA"/>
      </w:pPr>
      <w:r w:rsidRPr="000A11F7">
        <w:t>6.</w:t>
      </w:r>
      <w:r w:rsidRPr="000A11F7">
        <w:tab/>
        <w:t>Pakuotės turinys ir kita informacija</w:t>
      </w:r>
    </w:p>
    <w:p w:rsidR="00E66B2A" w:rsidRPr="000A11F7" w:rsidRDefault="00E66B2A" w:rsidP="00E66B2A">
      <w:pPr>
        <w:pStyle w:val="BTEMEASMCA"/>
      </w:pPr>
    </w:p>
    <w:p w:rsidR="00E66B2A" w:rsidRPr="000A11F7" w:rsidRDefault="00E66B2A" w:rsidP="00E66B2A">
      <w:pPr>
        <w:pStyle w:val="BTEMEASMCA"/>
      </w:pPr>
    </w:p>
    <w:p w:rsidR="00E66B2A" w:rsidRPr="000A11F7" w:rsidRDefault="00E66B2A" w:rsidP="00E66B2A">
      <w:pPr>
        <w:pStyle w:val="PI-1EMEASMCA"/>
        <w:rPr>
          <w:lang w:val="lt-LT"/>
        </w:rPr>
      </w:pPr>
      <w:bookmarkStart w:id="2" w:name="_Toc129243139"/>
      <w:bookmarkStart w:id="3" w:name="_Toc129243264"/>
      <w:r w:rsidRPr="000A11F7">
        <w:rPr>
          <w:lang w:val="lt-LT"/>
        </w:rPr>
        <w:t>1.</w:t>
      </w:r>
      <w:r w:rsidRPr="000A11F7">
        <w:rPr>
          <w:lang w:val="lt-LT"/>
        </w:rPr>
        <w:tab/>
        <w:t>Kas yra Solian ir kam jis vartojamas</w:t>
      </w:r>
      <w:bookmarkEnd w:id="2"/>
      <w:bookmarkEnd w:id="3"/>
    </w:p>
    <w:p w:rsidR="00E66B2A" w:rsidRPr="000A11F7" w:rsidRDefault="00E66B2A" w:rsidP="00E66B2A">
      <w:pPr>
        <w:pStyle w:val="BTEMEASMCA"/>
      </w:pPr>
    </w:p>
    <w:p w:rsidR="00E66B2A" w:rsidRPr="000A11F7" w:rsidRDefault="00E66B2A" w:rsidP="00E66B2A">
      <w:pPr>
        <w:rPr>
          <w:sz w:val="22"/>
          <w:szCs w:val="22"/>
          <w:lang w:val="lt-LT"/>
        </w:rPr>
      </w:pPr>
      <w:r w:rsidRPr="000A11F7">
        <w:rPr>
          <w:sz w:val="22"/>
          <w:szCs w:val="22"/>
          <w:lang w:val="lt-LT"/>
        </w:rPr>
        <w:t xml:space="preserve">Solian sudėtyje yra veikliosios medžiagos amisulprido. Ji priklauso vaistų, vadinamų antipsichotikais, grupei. Solian yra vaistas, veikiantis centrinę nervų sistemą ir sukeliantis antipsichozinį poveikį. </w:t>
      </w:r>
    </w:p>
    <w:p w:rsidR="00E66B2A" w:rsidRPr="000A11F7" w:rsidRDefault="00E66B2A" w:rsidP="00E66B2A">
      <w:pPr>
        <w:rPr>
          <w:sz w:val="22"/>
          <w:szCs w:val="22"/>
          <w:lang w:val="lt-LT"/>
        </w:rPr>
      </w:pPr>
      <w:r w:rsidRPr="000A11F7">
        <w:rPr>
          <w:sz w:val="22"/>
          <w:szCs w:val="22"/>
          <w:lang w:val="lt-LT"/>
        </w:rPr>
        <w:t xml:space="preserve">Šis vaistas vartojamas šizofrenijos gydymui. </w:t>
      </w:r>
    </w:p>
    <w:p w:rsidR="00E66B2A" w:rsidRPr="000A11F7" w:rsidRDefault="00E66B2A" w:rsidP="00E66B2A">
      <w:pPr>
        <w:pStyle w:val="BTEMEASMCA"/>
      </w:pPr>
    </w:p>
    <w:p w:rsidR="00E66B2A" w:rsidRPr="000A11F7" w:rsidRDefault="00E66B2A" w:rsidP="00E66B2A">
      <w:pPr>
        <w:pStyle w:val="BTEMEASMCA"/>
      </w:pPr>
    </w:p>
    <w:p w:rsidR="00E66B2A" w:rsidRPr="000A11F7" w:rsidRDefault="00E66B2A" w:rsidP="00E66B2A">
      <w:pPr>
        <w:pStyle w:val="PI-1EMEASMCA"/>
        <w:rPr>
          <w:lang w:val="lt-LT"/>
        </w:rPr>
      </w:pPr>
      <w:bookmarkStart w:id="4" w:name="_Toc129243140"/>
      <w:bookmarkStart w:id="5" w:name="_Toc129243265"/>
      <w:r w:rsidRPr="000A11F7">
        <w:rPr>
          <w:lang w:val="lt-LT"/>
        </w:rPr>
        <w:t>2.</w:t>
      </w:r>
      <w:r w:rsidRPr="000A11F7">
        <w:rPr>
          <w:lang w:val="lt-LT"/>
        </w:rPr>
        <w:tab/>
        <w:t xml:space="preserve">Kas žinotina prieš vartojant </w:t>
      </w:r>
      <w:bookmarkEnd w:id="4"/>
      <w:bookmarkEnd w:id="5"/>
      <w:r w:rsidRPr="000A11F7">
        <w:rPr>
          <w:lang w:val="lt-LT"/>
        </w:rPr>
        <w:t>Solian</w:t>
      </w:r>
    </w:p>
    <w:p w:rsidR="00E66B2A" w:rsidRPr="000A11F7" w:rsidRDefault="00E66B2A" w:rsidP="00E66B2A">
      <w:pPr>
        <w:pStyle w:val="BTEMEASMCA"/>
      </w:pPr>
    </w:p>
    <w:p w:rsidR="00E66B2A" w:rsidRPr="000A11F7" w:rsidRDefault="00E66B2A" w:rsidP="00E66B2A">
      <w:pPr>
        <w:pStyle w:val="PI-3EMEASMCA"/>
      </w:pPr>
      <w:r w:rsidRPr="000A11F7">
        <w:t>Solian vartoti negalima:</w:t>
      </w:r>
    </w:p>
    <w:p w:rsidR="00E66B2A" w:rsidRPr="000A11F7" w:rsidRDefault="00E66B2A" w:rsidP="00E66B2A">
      <w:pPr>
        <w:pStyle w:val="BT-EMEASMCA"/>
      </w:pPr>
      <w:r w:rsidRPr="000A11F7">
        <w:t>jeigu yra alergija amisulpridui arba bet kuriai pagalbinei šio vaisto medžiagai (jos išvardytos 6 skyriuje);</w:t>
      </w:r>
    </w:p>
    <w:p w:rsidR="00E66B2A" w:rsidRPr="000A11F7" w:rsidRDefault="00E66B2A" w:rsidP="00E66B2A">
      <w:pPr>
        <w:pStyle w:val="BT-EMEASMCA"/>
      </w:pPr>
      <w:r w:rsidRPr="000A11F7">
        <w:t>jeigu Jūs sergate feochromocitoma (antinksčių naviku, kuris išskiria medžiagą, sukeliančią sunkią hipertenziją);</w:t>
      </w:r>
    </w:p>
    <w:p w:rsidR="00E66B2A" w:rsidRPr="000A11F7" w:rsidRDefault="00E66B2A" w:rsidP="00E66B2A">
      <w:pPr>
        <w:pStyle w:val="BT-EMEASMCA"/>
      </w:pPr>
      <w:r w:rsidRPr="000A11F7">
        <w:t>vaikams ir paaugliams, jaunesniems kaip 14 metų;</w:t>
      </w:r>
    </w:p>
    <w:p w:rsidR="00E66B2A" w:rsidRPr="000A11F7" w:rsidRDefault="00E66B2A" w:rsidP="00E66B2A">
      <w:pPr>
        <w:pStyle w:val="BT-EMEASMCA"/>
      </w:pPr>
      <w:r w:rsidRPr="000A11F7">
        <w:t>jeigu Jums yra nuo prolaktino priklausomas navikas (žr. 2 skyriaus poskyrį „Įspėjimai ir atsargumo priemonės“ ir 4 skyrių);</w:t>
      </w:r>
    </w:p>
    <w:p w:rsidR="00E66B2A" w:rsidRPr="000A11F7" w:rsidRDefault="00E66B2A" w:rsidP="00E66B2A">
      <w:pPr>
        <w:pStyle w:val="BT-EMEASMCA"/>
      </w:pPr>
      <w:r w:rsidRPr="000A11F7">
        <w:t>kartu su levodopa.</w:t>
      </w:r>
    </w:p>
    <w:p w:rsidR="00E66B2A" w:rsidRPr="000A11F7" w:rsidRDefault="00E66B2A" w:rsidP="00E66B2A">
      <w:pPr>
        <w:pStyle w:val="BT-EMEASMCA"/>
        <w:numPr>
          <w:ilvl w:val="0"/>
          <w:numId w:val="0"/>
        </w:numPr>
        <w:ind w:left="567"/>
      </w:pPr>
    </w:p>
    <w:p w:rsidR="00E66B2A" w:rsidRPr="000A11F7" w:rsidRDefault="00E66B2A" w:rsidP="00E66B2A">
      <w:pPr>
        <w:keepNext/>
        <w:tabs>
          <w:tab w:val="num" w:pos="426"/>
          <w:tab w:val="left" w:pos="567"/>
        </w:tabs>
        <w:spacing w:line="260" w:lineRule="exact"/>
        <w:ind w:left="567" w:hanging="567"/>
        <w:jc w:val="both"/>
        <w:outlineLvl w:val="3"/>
        <w:rPr>
          <w:rFonts w:eastAsia="SimSun"/>
          <w:b/>
          <w:sz w:val="22"/>
          <w:szCs w:val="22"/>
          <w:lang w:val="lt-LT"/>
        </w:rPr>
      </w:pPr>
      <w:r w:rsidRPr="000A11F7">
        <w:rPr>
          <w:rFonts w:eastAsia="SimSun"/>
          <w:b/>
          <w:sz w:val="22"/>
          <w:szCs w:val="22"/>
          <w:lang w:val="lt-LT"/>
        </w:rPr>
        <w:t xml:space="preserve">Įspėjimai ir atsargumo priemonės </w:t>
      </w:r>
    </w:p>
    <w:p w:rsidR="00E66B2A" w:rsidRPr="000A11F7" w:rsidRDefault="00E66B2A" w:rsidP="00E66B2A">
      <w:pPr>
        <w:numPr>
          <w:ilvl w:val="12"/>
          <w:numId w:val="0"/>
        </w:numPr>
        <w:tabs>
          <w:tab w:val="num" w:pos="426"/>
        </w:tabs>
        <w:ind w:left="567" w:right="-2" w:hanging="567"/>
        <w:rPr>
          <w:rFonts w:eastAsia="SimSun"/>
          <w:sz w:val="22"/>
          <w:szCs w:val="22"/>
          <w:lang w:val="lt-LT" w:eastAsia="zh-CN"/>
        </w:rPr>
      </w:pPr>
      <w:r w:rsidRPr="000A11F7">
        <w:rPr>
          <w:rFonts w:eastAsia="SimSun"/>
          <w:sz w:val="22"/>
          <w:szCs w:val="22"/>
          <w:lang w:val="lt-LT" w:eastAsia="zh-CN"/>
        </w:rPr>
        <w:t>Pasitarkite su gydytoju arba vaistininku, prieš pradėdami vartoti Solian.</w:t>
      </w:r>
    </w:p>
    <w:p w:rsidR="00E66B2A" w:rsidRPr="000A11F7" w:rsidRDefault="00E66B2A" w:rsidP="00E66B2A">
      <w:pPr>
        <w:pStyle w:val="BT-EMEASMCA"/>
      </w:pPr>
      <w:r w:rsidRPr="000A11F7">
        <w:t>Jei vartojant vaistą sutriko budrumas, pradėjo didėti raumenų įtempimas ar pasireiškė karščiavimas dėl neaiškių priežasčių, vartojimą reikia nutraukti ir nedelsiant kreiptis į gydytoją, nes tai gali būti mirtinai pavojingos komplikacijos - neurolepsinio sindromo požymiai.</w:t>
      </w:r>
    </w:p>
    <w:p w:rsidR="00E66B2A" w:rsidRPr="000A11F7" w:rsidRDefault="00E66B2A" w:rsidP="00E66B2A">
      <w:pPr>
        <w:tabs>
          <w:tab w:val="num" w:pos="426"/>
        </w:tabs>
        <w:autoSpaceDE w:val="0"/>
        <w:autoSpaceDN w:val="0"/>
        <w:adjustRightInd w:val="0"/>
        <w:ind w:left="567" w:hanging="567"/>
        <w:rPr>
          <w:sz w:val="22"/>
          <w:szCs w:val="22"/>
          <w:lang w:val="lt-LT"/>
        </w:rPr>
      </w:pPr>
    </w:p>
    <w:p w:rsidR="00E66B2A" w:rsidRPr="000A11F7" w:rsidRDefault="00E66B2A" w:rsidP="00E66B2A">
      <w:pPr>
        <w:pStyle w:val="BTEMEASMCA"/>
        <w:tabs>
          <w:tab w:val="num" w:pos="426"/>
        </w:tabs>
        <w:ind w:left="567" w:hanging="567"/>
      </w:pPr>
      <w:r w:rsidRPr="000A11F7">
        <w:t xml:space="preserve">Vaistą reikia vartoti atsargiai: </w:t>
      </w:r>
    </w:p>
    <w:p w:rsidR="00E66B2A" w:rsidRPr="000A11F7" w:rsidRDefault="00E66B2A" w:rsidP="00E66B2A">
      <w:pPr>
        <w:pStyle w:val="BT-EMEASMCA"/>
      </w:pPr>
      <w:r w:rsidRPr="000A11F7">
        <w:t>senyviems pacientams;</w:t>
      </w:r>
    </w:p>
    <w:p w:rsidR="00E66B2A" w:rsidRPr="000A11F7" w:rsidRDefault="00E66B2A" w:rsidP="00E66B2A">
      <w:pPr>
        <w:pStyle w:val="BT-EMEASMCA"/>
      </w:pPr>
      <w:r w:rsidRPr="000A11F7">
        <w:t xml:space="preserve">pacientams, kurių inkstų veikla yra nepakankama (gydytojas gali paskirti mažesnę vaisto dozę); </w:t>
      </w:r>
    </w:p>
    <w:p w:rsidR="00E66B2A" w:rsidRPr="000A11F7" w:rsidRDefault="00E66B2A" w:rsidP="00E66B2A">
      <w:pPr>
        <w:pStyle w:val="BT-EMEASMCA"/>
      </w:pPr>
      <w:r w:rsidRPr="000A11F7">
        <w:t>pacientams, sergantiems epilepsija ar Parkinsono liga;</w:t>
      </w:r>
    </w:p>
    <w:p w:rsidR="00E66B2A" w:rsidRPr="000A11F7" w:rsidRDefault="00E66B2A" w:rsidP="00E66B2A">
      <w:pPr>
        <w:pStyle w:val="BT-EMEASMCA"/>
      </w:pPr>
      <w:r w:rsidRPr="000A11F7">
        <w:t>jei sergate širdies ritmo sutrikimais (gydytojas gali Jums užrašyti elektrokardiogramą);</w:t>
      </w:r>
    </w:p>
    <w:p w:rsidR="00E66B2A" w:rsidRPr="000A11F7" w:rsidRDefault="00E66B2A" w:rsidP="00E66B2A">
      <w:pPr>
        <w:pStyle w:val="BT-EMEASMCA"/>
      </w:pPr>
      <w:r w:rsidRPr="000A11F7">
        <w:t>pacientams, turintiems insulto rizikos veiksnių;</w:t>
      </w:r>
    </w:p>
    <w:p w:rsidR="00E66B2A" w:rsidRPr="000A11F7" w:rsidRDefault="00E66B2A" w:rsidP="00E66B2A">
      <w:pPr>
        <w:pStyle w:val="BT-EMEASMCA"/>
      </w:pPr>
      <w:r w:rsidRPr="000A11F7">
        <w:lastRenderedPageBreak/>
        <w:t>pacientams, kuriems patvirtinta cukrinio diabeto diagnozė, ar turintiems cukrinio diabeto rizikos veiksnių;</w:t>
      </w:r>
    </w:p>
    <w:p w:rsidR="00E66B2A" w:rsidRPr="000A11F7" w:rsidRDefault="00E66B2A" w:rsidP="00E66B2A">
      <w:pPr>
        <w:pStyle w:val="BT-EMEASMCA"/>
      </w:pPr>
      <w:r w:rsidRPr="000A11F7">
        <w:t>pacientams, sergantiems su demencija susijusia psichoze;</w:t>
      </w:r>
    </w:p>
    <w:p w:rsidR="00E66B2A" w:rsidRPr="000A11F7" w:rsidRDefault="00E66B2A" w:rsidP="00E66B2A">
      <w:pPr>
        <w:pStyle w:val="BT-EMEASMCA"/>
      </w:pPr>
      <w:r w:rsidRPr="000A11F7">
        <w:t xml:space="preserve">jeigu Jums arba kažkam iš Jūsų šeimos buvo susidaręs kraujo krešulys, kadangi vaistai, tokie kaip šis, yra susiję su krešulių formavimusi; </w:t>
      </w:r>
    </w:p>
    <w:p w:rsidR="00E66B2A" w:rsidRPr="000A11F7" w:rsidRDefault="00E66B2A" w:rsidP="00E66B2A">
      <w:pPr>
        <w:pStyle w:val="BT-EMEASMCA"/>
      </w:pPr>
      <w:r w:rsidRPr="000A11F7">
        <w:t>Jeigu Jūs arba bet kuris Jūsų giminaitis sirgo krūties vėžiu.</w:t>
      </w:r>
    </w:p>
    <w:p w:rsidR="00E66B2A" w:rsidRPr="000A11F7" w:rsidRDefault="00E66B2A" w:rsidP="00E66B2A">
      <w:pPr>
        <w:pStyle w:val="PI-3EMEASMCA"/>
      </w:pPr>
    </w:p>
    <w:p w:rsidR="00E66B2A" w:rsidRPr="000A11F7" w:rsidRDefault="00E66B2A" w:rsidP="00E66B2A">
      <w:pPr>
        <w:pStyle w:val="PI-3EMEASMCA"/>
        <w:rPr>
          <w:b w:val="0"/>
        </w:rPr>
      </w:pPr>
      <w:r w:rsidRPr="000A11F7">
        <w:rPr>
          <w:b w:val="0"/>
        </w:rPr>
        <w:t>Solian gali didinti posmegeninės liaukos (hipofizės) gaminamo hormono prolaktino kiekį. Gydymo Solian metu gali būti gerybinių hipofizės navikų, tokių kaip prolaktinoma, atvejų (žr. 4 skyrių). Jeigu patvirtinama hipofizės naviko diagnozė, gydymą Solian reikia nutraukti (žr. 2 skyriaus poskyrį „Solian vartoti negalima“).</w:t>
      </w:r>
    </w:p>
    <w:p w:rsidR="00E66B2A" w:rsidRPr="000A11F7" w:rsidRDefault="00E66B2A" w:rsidP="00E66B2A">
      <w:pPr>
        <w:pStyle w:val="PI-3EMEASMCA"/>
        <w:rPr>
          <w:b w:val="0"/>
        </w:rPr>
      </w:pPr>
    </w:p>
    <w:p w:rsidR="00E66B2A" w:rsidRPr="000A11F7" w:rsidRDefault="00E66B2A" w:rsidP="00E66B2A">
      <w:pPr>
        <w:pStyle w:val="PI-3EMEASMCA"/>
      </w:pPr>
      <w:r w:rsidRPr="000A11F7">
        <w:rPr>
          <w:b w:val="0"/>
        </w:rPr>
        <w:t>Staiga nutraukus Solian vartojimą, gali atsirasti nutraukimo simptomų (negalėjimas ilgiau sėdėti, tonuso sutrikimas, judesių sutrikimas), be to, gali atsinaujinti psichikos ligos simptomai. Todėl vaisto vartojimą patariama nutraukti laipsniškai.</w:t>
      </w:r>
    </w:p>
    <w:p w:rsidR="00E66B2A" w:rsidRPr="000A11F7" w:rsidRDefault="00E66B2A" w:rsidP="00E66B2A">
      <w:pPr>
        <w:pStyle w:val="PI-3EMEASMCA"/>
      </w:pPr>
    </w:p>
    <w:p w:rsidR="00E66B2A" w:rsidRPr="000A11F7" w:rsidRDefault="00E66B2A" w:rsidP="00E66B2A">
      <w:pPr>
        <w:autoSpaceDE w:val="0"/>
        <w:autoSpaceDN w:val="0"/>
        <w:adjustRightInd w:val="0"/>
        <w:rPr>
          <w:color w:val="000000"/>
          <w:sz w:val="22"/>
          <w:szCs w:val="22"/>
          <w:lang w:val="lt-LT"/>
        </w:rPr>
      </w:pPr>
      <w:r w:rsidRPr="000A11F7">
        <w:rPr>
          <w:color w:val="000000"/>
          <w:sz w:val="22"/>
          <w:szCs w:val="22"/>
          <w:lang w:val="lt-LT"/>
        </w:rPr>
        <w:t>Nepaaiškinamos infekcijos ar karščiavimas, atsiradę vartojant vaistų nuo psichozių, įskaitant ir Solian, gali būti kraujo diskrazijos (kraujo ląstelių sutrikimo) požymis. Tokiu atveju reikia skubiai ištirti kraują.</w:t>
      </w:r>
    </w:p>
    <w:p w:rsidR="00E66B2A" w:rsidRPr="000A11F7" w:rsidRDefault="00E66B2A" w:rsidP="00E66B2A">
      <w:pPr>
        <w:pStyle w:val="PI-3EMEASMCA"/>
      </w:pPr>
    </w:p>
    <w:p w:rsidR="00E66B2A" w:rsidRPr="000A11F7" w:rsidRDefault="00E66B2A" w:rsidP="00E66B2A">
      <w:pPr>
        <w:pStyle w:val="PI-3EMEASMCA"/>
        <w:rPr>
          <w:b w:val="0"/>
        </w:rPr>
      </w:pPr>
      <w:r w:rsidRPr="000A11F7">
        <w:rPr>
          <w:b w:val="0"/>
        </w:rPr>
        <w:t>Pranešta apie sunkius kepenų sutrikimus vartojant Solian. Nedelsdami kreipkitės į gydytoją, jei pasireikš nuovargis, apetito netekimas, pykinimas, vėmimas, pilvo skausmas arba akių ar odos pageltimas.</w:t>
      </w:r>
    </w:p>
    <w:p w:rsidR="00E66B2A" w:rsidRPr="000A11F7" w:rsidRDefault="00E66B2A" w:rsidP="00E66B2A">
      <w:pPr>
        <w:pStyle w:val="PI-3EMEASMCA"/>
      </w:pPr>
    </w:p>
    <w:p w:rsidR="00E66B2A" w:rsidRPr="000A11F7" w:rsidRDefault="00E66B2A" w:rsidP="00E66B2A">
      <w:pPr>
        <w:pStyle w:val="PI-3EMEASMCA"/>
      </w:pPr>
      <w:r w:rsidRPr="000A11F7">
        <w:t>Vartojimas vaikams ir paaugliams</w:t>
      </w:r>
    </w:p>
    <w:p w:rsidR="00E66B2A" w:rsidRPr="000A11F7" w:rsidRDefault="00E66B2A" w:rsidP="00E66B2A">
      <w:pPr>
        <w:rPr>
          <w:color w:val="000000"/>
          <w:sz w:val="22"/>
          <w:szCs w:val="22"/>
          <w:lang w:val="lt-LT"/>
        </w:rPr>
      </w:pPr>
      <w:r w:rsidRPr="000A11F7">
        <w:rPr>
          <w:color w:val="000000"/>
          <w:sz w:val="22"/>
          <w:szCs w:val="22"/>
          <w:lang w:val="lt-LT"/>
        </w:rPr>
        <w:t>Vaisto saugumas ir veiksmingumas 14–18 metų paaugliams nenustatytas. Duomenys apie amisulprido vartojimą paaugliams, sergantiems šizofrenija, yra riboti. Todėl 14</w:t>
      </w:r>
      <w:r w:rsidRPr="000A11F7">
        <w:rPr>
          <w:color w:val="000000"/>
          <w:sz w:val="22"/>
          <w:szCs w:val="22"/>
          <w:lang w:val="lt-LT"/>
        </w:rPr>
        <w:noBreakHyphen/>
        <w:t xml:space="preserve">18 metų paaugliams amisulprido vartoti nerekomenduojama. Jaunesniems kaip 14 metų vaikams amisulprido vartoti negalima, kadangi tokių pacientų gydymo saugumas neištirtas (žr. </w:t>
      </w:r>
      <w:r w:rsidRPr="000A11F7">
        <w:rPr>
          <w:sz w:val="22"/>
          <w:szCs w:val="22"/>
          <w:lang w:val="lt-LT"/>
        </w:rPr>
        <w:t>2 skyriaus poskyrį „Solian vartoti negalima“</w:t>
      </w:r>
      <w:r w:rsidRPr="000A11F7">
        <w:rPr>
          <w:color w:val="000000"/>
          <w:sz w:val="22"/>
          <w:szCs w:val="22"/>
          <w:lang w:val="lt-LT"/>
        </w:rPr>
        <w:t>).</w:t>
      </w:r>
    </w:p>
    <w:p w:rsidR="00E66B2A" w:rsidRPr="000A11F7" w:rsidRDefault="00E66B2A" w:rsidP="00E66B2A">
      <w:pPr>
        <w:pStyle w:val="PI-3EMEASMCA"/>
      </w:pPr>
    </w:p>
    <w:p w:rsidR="00E66B2A" w:rsidRPr="000A11F7" w:rsidRDefault="00E66B2A" w:rsidP="00E66B2A">
      <w:pPr>
        <w:pStyle w:val="PI-3EMEASMCA"/>
      </w:pPr>
      <w:r w:rsidRPr="000A11F7">
        <w:t>Kiti vaistai ir Solian</w:t>
      </w:r>
    </w:p>
    <w:p w:rsidR="00E66B2A" w:rsidRPr="000A11F7" w:rsidRDefault="00E66B2A" w:rsidP="00E66B2A">
      <w:pPr>
        <w:pStyle w:val="BTEMEASMCA"/>
      </w:pPr>
      <w:r w:rsidRPr="000A11F7">
        <w:t>Jeigu vartojate ar neseniai vartojote kitų vaistų arba dėl to nesate tikri, apie tai pasakykite gydytojui arba vaistininkui.</w:t>
      </w:r>
    </w:p>
    <w:p w:rsidR="00E66B2A" w:rsidRPr="000A11F7" w:rsidRDefault="00E66B2A" w:rsidP="00E66B2A">
      <w:pPr>
        <w:pStyle w:val="BTEMEASMCA"/>
      </w:pPr>
    </w:p>
    <w:p w:rsidR="00E66B2A" w:rsidRPr="000A11F7" w:rsidRDefault="00E66B2A" w:rsidP="00E66B2A">
      <w:pPr>
        <w:autoSpaceDE w:val="0"/>
        <w:autoSpaceDN w:val="0"/>
        <w:adjustRightInd w:val="0"/>
        <w:rPr>
          <w:sz w:val="22"/>
          <w:szCs w:val="22"/>
          <w:lang w:val="lt-LT"/>
        </w:rPr>
      </w:pPr>
      <w:r w:rsidRPr="000A11F7">
        <w:rPr>
          <w:sz w:val="22"/>
          <w:szCs w:val="22"/>
          <w:lang w:val="lt-LT"/>
        </w:rPr>
        <w:t>Solian negalima vartoti su levodopa (vaistas Parkinsono ligai gydyti). Solian poveikis gali būti priešiškas vadinamųjų dopamino agonistų (pvz., bromokriptino ar ropinirolio), kurių vartojama nuo Parkinsono ligos ir kitokių sutrikimų, poveikiui.</w:t>
      </w:r>
    </w:p>
    <w:p w:rsidR="00E66B2A" w:rsidRPr="000A11F7" w:rsidRDefault="00E66B2A" w:rsidP="00E66B2A">
      <w:pPr>
        <w:pStyle w:val="BTEMEASMCA"/>
      </w:pPr>
    </w:p>
    <w:p w:rsidR="00E66B2A" w:rsidRPr="000A11F7" w:rsidRDefault="00E66B2A" w:rsidP="00E66B2A">
      <w:pPr>
        <w:autoSpaceDE w:val="0"/>
        <w:autoSpaceDN w:val="0"/>
        <w:adjustRightInd w:val="0"/>
        <w:rPr>
          <w:sz w:val="22"/>
          <w:szCs w:val="22"/>
          <w:lang w:val="lt-LT"/>
        </w:rPr>
      </w:pPr>
      <w:r w:rsidRPr="000A11F7">
        <w:rPr>
          <w:sz w:val="22"/>
          <w:szCs w:val="22"/>
          <w:lang w:val="lt-LT"/>
        </w:rPr>
        <w:t xml:space="preserve">Vaistai, kuriuos vartojant kartu su Solian gali pasireikšti sąveika: </w:t>
      </w:r>
    </w:p>
    <w:p w:rsidR="00E66B2A" w:rsidRPr="000A11F7" w:rsidRDefault="00E66B2A" w:rsidP="00E66B2A">
      <w:pPr>
        <w:numPr>
          <w:ilvl w:val="0"/>
          <w:numId w:val="2"/>
        </w:numPr>
        <w:autoSpaceDE w:val="0"/>
        <w:autoSpaceDN w:val="0"/>
        <w:adjustRightInd w:val="0"/>
        <w:rPr>
          <w:sz w:val="22"/>
          <w:szCs w:val="22"/>
          <w:lang w:val="lt-LT"/>
        </w:rPr>
      </w:pPr>
      <w:r w:rsidRPr="000A11F7">
        <w:rPr>
          <w:sz w:val="22"/>
          <w:szCs w:val="22"/>
          <w:lang w:val="lt-LT"/>
        </w:rPr>
        <w:t xml:space="preserve">centrinę nervų sistemą slopinantys vaistai, įskaitant narkotinius ir anestezijai vartojamus vaistus, analgetikus (vaistus nuo skausmo), antihistamininius vaistus, barbitūratus ir benzodiazepinus (migdomieji vaistai) ir kitus anksiolitikus (nerimą mažinantys vaistai), klonidiną bei jo junginius; </w:t>
      </w:r>
    </w:p>
    <w:p w:rsidR="00E66B2A" w:rsidRPr="000A11F7" w:rsidRDefault="00E66B2A" w:rsidP="00E66B2A">
      <w:pPr>
        <w:numPr>
          <w:ilvl w:val="0"/>
          <w:numId w:val="2"/>
        </w:numPr>
        <w:autoSpaceDE w:val="0"/>
        <w:autoSpaceDN w:val="0"/>
        <w:adjustRightInd w:val="0"/>
        <w:rPr>
          <w:sz w:val="22"/>
          <w:szCs w:val="22"/>
          <w:lang w:val="lt-LT"/>
        </w:rPr>
      </w:pPr>
      <w:r w:rsidRPr="000A11F7">
        <w:rPr>
          <w:sz w:val="22"/>
          <w:szCs w:val="22"/>
          <w:lang w:val="lt-LT"/>
        </w:rPr>
        <w:t>antihipertenziniai ir kiti kraujospūdį mažinantys vaistai;</w:t>
      </w:r>
    </w:p>
    <w:p w:rsidR="00E66B2A" w:rsidRPr="000A11F7" w:rsidRDefault="00E66B2A" w:rsidP="00E66B2A">
      <w:pPr>
        <w:numPr>
          <w:ilvl w:val="0"/>
          <w:numId w:val="2"/>
        </w:numPr>
        <w:autoSpaceDE w:val="0"/>
        <w:autoSpaceDN w:val="0"/>
        <w:adjustRightInd w:val="0"/>
        <w:rPr>
          <w:sz w:val="22"/>
          <w:szCs w:val="22"/>
          <w:lang w:val="lt-LT"/>
        </w:rPr>
      </w:pPr>
      <w:r w:rsidRPr="000A11F7">
        <w:rPr>
          <w:sz w:val="22"/>
          <w:szCs w:val="22"/>
          <w:lang w:val="lt-LT"/>
        </w:rPr>
        <w:t>klozapinas (vaistas nuo psichozės);</w:t>
      </w:r>
    </w:p>
    <w:p w:rsidR="00E66B2A" w:rsidRPr="000A11F7" w:rsidRDefault="00E66B2A" w:rsidP="00E66B2A">
      <w:pPr>
        <w:numPr>
          <w:ilvl w:val="0"/>
          <w:numId w:val="2"/>
        </w:numPr>
        <w:autoSpaceDE w:val="0"/>
        <w:autoSpaceDN w:val="0"/>
        <w:adjustRightInd w:val="0"/>
        <w:rPr>
          <w:sz w:val="22"/>
          <w:szCs w:val="22"/>
          <w:lang w:val="lt-LT"/>
        </w:rPr>
      </w:pPr>
      <w:r w:rsidRPr="000A11F7">
        <w:rPr>
          <w:sz w:val="22"/>
          <w:szCs w:val="22"/>
          <w:lang w:val="lt-LT"/>
        </w:rPr>
        <w:t>vaistai, kurie vartojami kartu su Solian, gali sukelti sunkų širdies ritmo sutrikimą: IA klasės antiaritminiai vaistai (pvz., chinidinas, dizopiramidas) ir III klasės antiaritminiai vaistai (pvz., amjodaronas, sotalolis), kai kurie antihistamininiai vaistai, kai kurie kiti antipsichotikai ir antimaliariniai vaistai (pvz., meflokvinas).</w:t>
      </w:r>
    </w:p>
    <w:p w:rsidR="00E66B2A" w:rsidRPr="000A11F7" w:rsidRDefault="00E66B2A" w:rsidP="00E66B2A">
      <w:pPr>
        <w:pStyle w:val="BTEMEASMCA"/>
      </w:pPr>
    </w:p>
    <w:p w:rsidR="00E66B2A" w:rsidRPr="000A11F7" w:rsidRDefault="00E66B2A" w:rsidP="00E66B2A">
      <w:pPr>
        <w:pStyle w:val="PI-3EMEASMCA"/>
      </w:pPr>
      <w:r w:rsidRPr="000A11F7">
        <w:t>Solian vartojimas su maistu ir gėrimais</w:t>
      </w:r>
    </w:p>
    <w:p w:rsidR="00E66B2A" w:rsidRPr="000A11F7" w:rsidRDefault="00E66B2A" w:rsidP="00E66B2A">
      <w:pPr>
        <w:rPr>
          <w:noProof/>
          <w:sz w:val="22"/>
          <w:szCs w:val="22"/>
          <w:lang w:val="lt-LT"/>
        </w:rPr>
      </w:pPr>
      <w:r w:rsidRPr="000A11F7">
        <w:rPr>
          <w:noProof/>
          <w:sz w:val="22"/>
          <w:szCs w:val="22"/>
          <w:lang w:val="lt-LT"/>
        </w:rPr>
        <w:t>Gydymo metu draudžiama gerti svaigalų.</w:t>
      </w:r>
    </w:p>
    <w:p w:rsidR="00E66B2A" w:rsidRPr="000A11F7" w:rsidRDefault="00E66B2A" w:rsidP="00E66B2A">
      <w:pPr>
        <w:pStyle w:val="BTEMEASMCA"/>
      </w:pPr>
    </w:p>
    <w:p w:rsidR="00E66B2A" w:rsidRPr="000A11F7" w:rsidRDefault="00E66B2A" w:rsidP="00E66B2A">
      <w:pPr>
        <w:pStyle w:val="PI-3EMEASMCA"/>
      </w:pPr>
      <w:r w:rsidRPr="000A11F7">
        <w:t>Nėštumas, žindymo laikotarpis ir vaisingumas</w:t>
      </w:r>
    </w:p>
    <w:p w:rsidR="00E66B2A" w:rsidRPr="000A11F7" w:rsidRDefault="00E66B2A" w:rsidP="00E66B2A">
      <w:pPr>
        <w:autoSpaceDE w:val="0"/>
        <w:autoSpaceDN w:val="0"/>
        <w:adjustRightInd w:val="0"/>
        <w:rPr>
          <w:sz w:val="22"/>
          <w:szCs w:val="22"/>
          <w:lang w:val="lt-LT"/>
        </w:rPr>
      </w:pPr>
    </w:p>
    <w:p w:rsidR="00E66B2A" w:rsidRPr="000A11F7" w:rsidRDefault="00E66B2A" w:rsidP="00E66B2A">
      <w:pPr>
        <w:pStyle w:val="PI-3EMEASMCA"/>
        <w:rPr>
          <w:b w:val="0"/>
        </w:rPr>
      </w:pPr>
      <w:r w:rsidRPr="000A11F7">
        <w:rPr>
          <w:b w:val="0"/>
        </w:rPr>
        <w:t xml:space="preserve">Jeigu esate nėščia, žindote kūdikį, manote, kad galbūt esate nėščia, arba planuojate pastoti, tai prieš vartodama šį vaistą, pasitarkite su gydytoju. </w:t>
      </w:r>
    </w:p>
    <w:p w:rsidR="00E66B2A" w:rsidRPr="000A11F7" w:rsidRDefault="00E66B2A" w:rsidP="00E66B2A">
      <w:pPr>
        <w:autoSpaceDE w:val="0"/>
        <w:autoSpaceDN w:val="0"/>
        <w:adjustRightInd w:val="0"/>
        <w:rPr>
          <w:i/>
          <w:sz w:val="22"/>
          <w:szCs w:val="22"/>
          <w:lang w:val="lt-LT"/>
        </w:rPr>
      </w:pPr>
    </w:p>
    <w:p w:rsidR="00E66B2A" w:rsidRPr="000A11F7" w:rsidRDefault="00E66B2A" w:rsidP="00E66B2A">
      <w:pPr>
        <w:autoSpaceDE w:val="0"/>
        <w:autoSpaceDN w:val="0"/>
        <w:adjustRightInd w:val="0"/>
        <w:rPr>
          <w:i/>
          <w:sz w:val="22"/>
          <w:szCs w:val="22"/>
          <w:lang w:val="lt-LT"/>
        </w:rPr>
      </w:pPr>
      <w:r w:rsidRPr="000A11F7">
        <w:rPr>
          <w:i/>
          <w:sz w:val="22"/>
          <w:szCs w:val="22"/>
          <w:lang w:val="lt-LT"/>
        </w:rPr>
        <w:t>Nėštumas</w:t>
      </w:r>
    </w:p>
    <w:p w:rsidR="00E66B2A" w:rsidRPr="000A11F7" w:rsidRDefault="00E66B2A" w:rsidP="00E66B2A">
      <w:pPr>
        <w:autoSpaceDE w:val="0"/>
        <w:autoSpaceDN w:val="0"/>
        <w:adjustRightInd w:val="0"/>
        <w:rPr>
          <w:sz w:val="22"/>
          <w:szCs w:val="22"/>
          <w:lang w:val="lt-LT"/>
        </w:rPr>
      </w:pPr>
      <w:r w:rsidRPr="000A11F7">
        <w:rPr>
          <w:sz w:val="22"/>
          <w:szCs w:val="22"/>
          <w:lang w:val="lt-LT"/>
        </w:rPr>
        <w:t xml:space="preserve">Solian nerekomenduojama vartoti nėštumo laikotarpiu bei vaisingoms moterims, kurios nenaudoja veiksmingo kontracepcijos metodo. Jei amisulpridas vartojamas nėštumo metu, naujagimiams gali pasireikšti amisulprido nepageidaujamas poveikis. </w:t>
      </w:r>
      <w:bookmarkStart w:id="6" w:name="OLE_LINK2"/>
      <w:bookmarkStart w:id="7" w:name="OLE_LINK3"/>
      <w:r w:rsidRPr="000A11F7">
        <w:rPr>
          <w:sz w:val="22"/>
          <w:szCs w:val="22"/>
          <w:lang w:val="lt-LT"/>
        </w:rPr>
        <w:t>Jei Solian vartosite paskutiniaisiais trimis nėštumo mėnesiais, Jūsų vaikui gali pasireikšti sujaudinimas, raumenų tonuso padidėjimas, nevalingas kūno drebėjimas, mieguistumas, kvėpavimo sutrikimas ar maitinimosi pasunkėjimas. Jei Jūsų vaikui pasireikš bet kuris iš šių simptomų, pasitarkite su gydytoju.</w:t>
      </w:r>
    </w:p>
    <w:bookmarkEnd w:id="6"/>
    <w:bookmarkEnd w:id="7"/>
    <w:p w:rsidR="00E66B2A" w:rsidRPr="000A11F7" w:rsidRDefault="00E66B2A" w:rsidP="00E66B2A">
      <w:pPr>
        <w:autoSpaceDE w:val="0"/>
        <w:autoSpaceDN w:val="0"/>
        <w:adjustRightInd w:val="0"/>
        <w:rPr>
          <w:sz w:val="22"/>
          <w:szCs w:val="22"/>
          <w:lang w:val="lt-LT"/>
        </w:rPr>
      </w:pPr>
      <w:r w:rsidRPr="000A11F7">
        <w:rPr>
          <w:sz w:val="22"/>
          <w:szCs w:val="22"/>
          <w:lang w:val="lt-LT"/>
        </w:rPr>
        <w:t xml:space="preserve">Jei vartodama šį vaistą pastojote, kreipkitės į gydytoją, kadangi tik jis gali nuspręsti, ar vaistą galima toliau vartoti. </w:t>
      </w:r>
    </w:p>
    <w:p w:rsidR="00E66B2A" w:rsidRPr="000A11F7" w:rsidRDefault="00E66B2A" w:rsidP="00E66B2A">
      <w:pPr>
        <w:autoSpaceDE w:val="0"/>
        <w:autoSpaceDN w:val="0"/>
        <w:adjustRightInd w:val="0"/>
        <w:rPr>
          <w:sz w:val="22"/>
          <w:szCs w:val="22"/>
          <w:lang w:val="lt-LT"/>
        </w:rPr>
      </w:pPr>
    </w:p>
    <w:p w:rsidR="00E66B2A" w:rsidRPr="000A11F7" w:rsidRDefault="00E66B2A" w:rsidP="00E66B2A">
      <w:pPr>
        <w:autoSpaceDE w:val="0"/>
        <w:autoSpaceDN w:val="0"/>
        <w:adjustRightInd w:val="0"/>
        <w:rPr>
          <w:i/>
          <w:sz w:val="22"/>
          <w:szCs w:val="22"/>
          <w:lang w:val="lt-LT"/>
        </w:rPr>
      </w:pPr>
      <w:r w:rsidRPr="000A11F7">
        <w:rPr>
          <w:i/>
          <w:sz w:val="22"/>
          <w:szCs w:val="22"/>
          <w:lang w:val="lt-LT"/>
        </w:rPr>
        <w:t>Žindymas</w:t>
      </w:r>
    </w:p>
    <w:p w:rsidR="00E66B2A" w:rsidRPr="000A11F7" w:rsidRDefault="00E66B2A" w:rsidP="00E66B2A">
      <w:pPr>
        <w:pStyle w:val="BTEMEASMCA"/>
      </w:pPr>
      <w:r w:rsidRPr="000A11F7">
        <w:t>Gydymo Solian metu maitinti krūtimi negalima. Pasitarkite su gydytoju, kaip geriausia maitinti kūdikį, jei vartojate Solian.</w:t>
      </w:r>
    </w:p>
    <w:p w:rsidR="00E66B2A" w:rsidRPr="000A11F7" w:rsidRDefault="00E66B2A" w:rsidP="00E66B2A">
      <w:pPr>
        <w:pStyle w:val="BTEMEASMCA"/>
      </w:pPr>
    </w:p>
    <w:p w:rsidR="00E66B2A" w:rsidRPr="000A11F7" w:rsidRDefault="00E66B2A" w:rsidP="00E66B2A">
      <w:pPr>
        <w:pStyle w:val="PI-3EMEASMCA"/>
      </w:pPr>
      <w:r w:rsidRPr="000A11F7">
        <w:t>Vairavimas ir mechanizmų valdymas</w:t>
      </w:r>
    </w:p>
    <w:p w:rsidR="00E66B2A" w:rsidRPr="000A11F7" w:rsidRDefault="00E66B2A" w:rsidP="00E66B2A">
      <w:pPr>
        <w:pStyle w:val="BTEMEASMCA"/>
        <w:rPr>
          <w:noProof w:val="0"/>
        </w:rPr>
      </w:pPr>
      <w:r w:rsidRPr="000A11F7">
        <w:t xml:space="preserve">Net vartojamas rekomenduojamomis dozėmis Solian gali sukelti mieguistumą ir neaiškų matymą, todėl sutrikdo gebėjimą vairuoti ir valdyti mechanizmus. </w:t>
      </w:r>
    </w:p>
    <w:p w:rsidR="00E66B2A" w:rsidRPr="000A11F7" w:rsidRDefault="00E66B2A" w:rsidP="00E66B2A">
      <w:pPr>
        <w:pStyle w:val="PI-3EMEASMCA"/>
      </w:pPr>
    </w:p>
    <w:p w:rsidR="00E66B2A" w:rsidRPr="000A11F7" w:rsidRDefault="00E66B2A" w:rsidP="00E66B2A">
      <w:pPr>
        <w:autoSpaceDE w:val="0"/>
        <w:autoSpaceDN w:val="0"/>
        <w:adjustRightInd w:val="0"/>
        <w:rPr>
          <w:sz w:val="22"/>
          <w:szCs w:val="22"/>
          <w:lang w:val="lt-LT"/>
        </w:rPr>
      </w:pPr>
      <w:r w:rsidRPr="000A11F7">
        <w:rPr>
          <w:b/>
          <w:sz w:val="22"/>
          <w:szCs w:val="22"/>
          <w:lang w:val="lt-LT"/>
        </w:rPr>
        <w:t>Solian sudėtyje yra laktozės.</w:t>
      </w:r>
      <w:r w:rsidRPr="000A11F7">
        <w:rPr>
          <w:sz w:val="22"/>
          <w:szCs w:val="22"/>
          <w:lang w:val="lt-LT"/>
        </w:rPr>
        <w:t xml:space="preserve"> </w:t>
      </w:r>
    </w:p>
    <w:p w:rsidR="00E66B2A" w:rsidRPr="000A11F7" w:rsidRDefault="00E66B2A" w:rsidP="00E66B2A">
      <w:pPr>
        <w:autoSpaceDE w:val="0"/>
        <w:autoSpaceDN w:val="0"/>
        <w:adjustRightInd w:val="0"/>
        <w:rPr>
          <w:sz w:val="22"/>
          <w:szCs w:val="22"/>
          <w:lang w:val="lt-LT"/>
        </w:rPr>
      </w:pPr>
      <w:r w:rsidRPr="000A11F7">
        <w:rPr>
          <w:sz w:val="22"/>
          <w:szCs w:val="22"/>
          <w:lang w:val="lt-LT"/>
        </w:rPr>
        <w:t>Jeigu gydytojas Jums yra sakęs, kad netoleruojate kokių nors angliavandenių, kreipkitės į jį prieš pradėdami vartoti šį vaistą.</w:t>
      </w:r>
    </w:p>
    <w:p w:rsidR="00E66B2A" w:rsidRPr="000A11F7" w:rsidRDefault="00E66B2A" w:rsidP="00E66B2A">
      <w:pPr>
        <w:pStyle w:val="BTEMEASMCA"/>
      </w:pPr>
    </w:p>
    <w:p w:rsidR="00E66B2A" w:rsidRPr="000A11F7" w:rsidRDefault="00E66B2A" w:rsidP="00E66B2A">
      <w:pPr>
        <w:pStyle w:val="BTEMEASMCA"/>
      </w:pPr>
    </w:p>
    <w:p w:rsidR="00E66B2A" w:rsidRPr="000A11F7" w:rsidRDefault="00E66B2A" w:rsidP="00E66B2A">
      <w:pPr>
        <w:pStyle w:val="PI-1EMEASMCA"/>
        <w:rPr>
          <w:lang w:val="lt-LT"/>
        </w:rPr>
      </w:pPr>
      <w:bookmarkStart w:id="8" w:name="_Toc129243141"/>
      <w:bookmarkStart w:id="9" w:name="_Toc129243266"/>
      <w:r w:rsidRPr="000A11F7">
        <w:rPr>
          <w:lang w:val="lt-LT"/>
        </w:rPr>
        <w:t>3.</w:t>
      </w:r>
      <w:r w:rsidRPr="000A11F7">
        <w:rPr>
          <w:lang w:val="lt-LT"/>
        </w:rPr>
        <w:tab/>
        <w:t xml:space="preserve">Kaip vartoti </w:t>
      </w:r>
      <w:bookmarkEnd w:id="8"/>
      <w:bookmarkEnd w:id="9"/>
      <w:r w:rsidRPr="000A11F7">
        <w:rPr>
          <w:lang w:val="lt-LT"/>
        </w:rPr>
        <w:t>Solian</w:t>
      </w:r>
    </w:p>
    <w:p w:rsidR="00E66B2A" w:rsidRPr="000A11F7" w:rsidRDefault="00E66B2A" w:rsidP="00E66B2A">
      <w:pPr>
        <w:pStyle w:val="BTEMEASMCA"/>
      </w:pPr>
    </w:p>
    <w:p w:rsidR="00E66B2A" w:rsidRPr="000A11F7" w:rsidRDefault="00E66B2A" w:rsidP="00E66B2A">
      <w:pPr>
        <w:pStyle w:val="BTEMEASMCA"/>
      </w:pPr>
      <w:r w:rsidRPr="000A11F7">
        <w:t>Visada vartokite šį vaistą tiksliai kaip nurodė gydytojas. Jeigu abejojate, kreipkitės į gydytoją arba vaistininką.</w:t>
      </w:r>
    </w:p>
    <w:p w:rsidR="00E66B2A" w:rsidRPr="000A11F7" w:rsidRDefault="00E66B2A" w:rsidP="00E66B2A">
      <w:pPr>
        <w:pStyle w:val="BTEMEASMCA"/>
      </w:pPr>
    </w:p>
    <w:p w:rsidR="00E66B2A" w:rsidRPr="000A11F7" w:rsidRDefault="00E66B2A" w:rsidP="00E66B2A">
      <w:pPr>
        <w:pStyle w:val="BTEMEASMCA"/>
        <w:rPr>
          <w:i/>
        </w:rPr>
      </w:pPr>
      <w:r w:rsidRPr="000A11F7">
        <w:rPr>
          <w:i/>
        </w:rPr>
        <w:t>Vartojimo metodas</w:t>
      </w:r>
    </w:p>
    <w:p w:rsidR="00E66B2A" w:rsidRPr="000A11F7" w:rsidRDefault="00E66B2A" w:rsidP="00E66B2A">
      <w:pPr>
        <w:pStyle w:val="BTEMEASMCA"/>
      </w:pPr>
      <w:r w:rsidRPr="000A11F7">
        <w:t xml:space="preserve">Vaistą reikia gerti. </w:t>
      </w:r>
    </w:p>
    <w:p w:rsidR="00E66B2A" w:rsidRPr="000A11F7" w:rsidRDefault="00E66B2A" w:rsidP="00E66B2A">
      <w:pPr>
        <w:pStyle w:val="BTEMEASMCA"/>
      </w:pPr>
    </w:p>
    <w:p w:rsidR="00E66B2A" w:rsidRPr="000A11F7" w:rsidRDefault="00E66B2A" w:rsidP="00E66B2A">
      <w:pPr>
        <w:pStyle w:val="BTEMEASMCA"/>
        <w:rPr>
          <w:i/>
        </w:rPr>
      </w:pPr>
      <w:r w:rsidRPr="000A11F7">
        <w:rPr>
          <w:i/>
        </w:rPr>
        <w:t>Dozavimas</w:t>
      </w:r>
    </w:p>
    <w:p w:rsidR="00E66B2A" w:rsidRPr="000A11F7" w:rsidRDefault="00E66B2A" w:rsidP="00E66B2A">
      <w:pPr>
        <w:autoSpaceDE w:val="0"/>
        <w:autoSpaceDN w:val="0"/>
        <w:adjustRightInd w:val="0"/>
        <w:rPr>
          <w:sz w:val="22"/>
          <w:szCs w:val="22"/>
          <w:lang w:val="lt-LT"/>
        </w:rPr>
      </w:pPr>
      <w:r w:rsidRPr="000A11F7">
        <w:rPr>
          <w:sz w:val="22"/>
          <w:szCs w:val="22"/>
          <w:lang w:val="lt-LT"/>
        </w:rPr>
        <w:t xml:space="preserve">Jūsų vartojama Solian dozė priklauso nuo Jūsų susirgimo. Atidžiai vykdykite Jūsų gydytojo nurodymus. </w:t>
      </w:r>
    </w:p>
    <w:p w:rsidR="00E66B2A" w:rsidRPr="000A11F7" w:rsidRDefault="00E66B2A" w:rsidP="00E66B2A">
      <w:pPr>
        <w:autoSpaceDE w:val="0"/>
        <w:autoSpaceDN w:val="0"/>
        <w:adjustRightInd w:val="0"/>
        <w:rPr>
          <w:sz w:val="22"/>
          <w:szCs w:val="22"/>
          <w:lang w:val="lt-LT"/>
        </w:rPr>
      </w:pPr>
      <w:r w:rsidRPr="000A11F7">
        <w:rPr>
          <w:sz w:val="22"/>
          <w:szCs w:val="22"/>
          <w:lang w:val="lt-LT"/>
        </w:rPr>
        <w:t>Rekomenduojama paros dozė yra nuo 50 mg iki 800 mg.</w:t>
      </w:r>
    </w:p>
    <w:p w:rsidR="00E66B2A" w:rsidRPr="000A11F7" w:rsidRDefault="00E66B2A" w:rsidP="00E66B2A">
      <w:pPr>
        <w:rPr>
          <w:color w:val="000000"/>
          <w:sz w:val="22"/>
          <w:szCs w:val="22"/>
          <w:lang w:val="lt-LT"/>
        </w:rPr>
      </w:pPr>
      <w:r w:rsidRPr="000A11F7">
        <w:rPr>
          <w:color w:val="000000"/>
          <w:sz w:val="22"/>
          <w:szCs w:val="22"/>
          <w:lang w:val="lt-LT"/>
        </w:rPr>
        <w:t xml:space="preserve">Dozę iki 400 mg reikia gerti vieną kartą per parą. Didesnę dozę reikia gerti padalijus ją į dvi atskiras dozes. </w:t>
      </w:r>
    </w:p>
    <w:p w:rsidR="00E66B2A" w:rsidRPr="000A11F7" w:rsidRDefault="00E66B2A" w:rsidP="00E66B2A">
      <w:pPr>
        <w:autoSpaceDE w:val="0"/>
        <w:autoSpaceDN w:val="0"/>
        <w:adjustRightInd w:val="0"/>
        <w:rPr>
          <w:sz w:val="22"/>
          <w:szCs w:val="22"/>
          <w:lang w:val="lt-LT"/>
        </w:rPr>
      </w:pPr>
      <w:r w:rsidRPr="000A11F7">
        <w:rPr>
          <w:sz w:val="22"/>
          <w:szCs w:val="22"/>
          <w:lang w:val="lt-LT"/>
        </w:rPr>
        <w:t>Didžiausia paros dozė yra 1 200 mg.</w:t>
      </w:r>
    </w:p>
    <w:p w:rsidR="00E66B2A" w:rsidRPr="000A11F7" w:rsidRDefault="00E66B2A" w:rsidP="00E66B2A">
      <w:pPr>
        <w:autoSpaceDE w:val="0"/>
        <w:autoSpaceDN w:val="0"/>
        <w:adjustRightInd w:val="0"/>
        <w:rPr>
          <w:sz w:val="22"/>
          <w:szCs w:val="22"/>
          <w:lang w:val="lt-LT"/>
        </w:rPr>
      </w:pPr>
    </w:p>
    <w:p w:rsidR="00E66B2A" w:rsidRPr="000A11F7" w:rsidRDefault="00E66B2A" w:rsidP="00E66B2A">
      <w:pPr>
        <w:autoSpaceDE w:val="0"/>
        <w:autoSpaceDN w:val="0"/>
        <w:adjustRightInd w:val="0"/>
        <w:rPr>
          <w:sz w:val="22"/>
          <w:szCs w:val="22"/>
          <w:lang w:val="lt-LT"/>
        </w:rPr>
      </w:pPr>
      <w:r w:rsidRPr="000A11F7">
        <w:rPr>
          <w:sz w:val="22"/>
          <w:szCs w:val="22"/>
          <w:lang w:val="lt-LT"/>
        </w:rPr>
        <w:t xml:space="preserve">Visuomet reikia gerti tiek tablečių ir taip dažnai, kaip nurodė gydytojas. </w:t>
      </w:r>
    </w:p>
    <w:p w:rsidR="00E66B2A" w:rsidRPr="000A11F7" w:rsidRDefault="00E66B2A" w:rsidP="00E66B2A">
      <w:pPr>
        <w:autoSpaceDE w:val="0"/>
        <w:autoSpaceDN w:val="0"/>
        <w:adjustRightInd w:val="0"/>
        <w:rPr>
          <w:sz w:val="22"/>
          <w:szCs w:val="22"/>
          <w:lang w:val="lt-LT"/>
        </w:rPr>
      </w:pPr>
      <w:r w:rsidRPr="000A11F7">
        <w:rPr>
          <w:sz w:val="22"/>
          <w:szCs w:val="22"/>
          <w:lang w:val="lt-LT"/>
        </w:rPr>
        <w:t>Savo nuožiūra vaisto vartojimo nutraukti negalima.</w:t>
      </w:r>
    </w:p>
    <w:p w:rsidR="00E66B2A" w:rsidRPr="000A11F7" w:rsidRDefault="00E66B2A" w:rsidP="00E66B2A">
      <w:pPr>
        <w:pStyle w:val="BTEMEASMCA"/>
      </w:pPr>
    </w:p>
    <w:p w:rsidR="00E66B2A" w:rsidRPr="000A11F7" w:rsidRDefault="00E66B2A" w:rsidP="00E66B2A">
      <w:pPr>
        <w:pStyle w:val="PI-3EMEASMCA"/>
      </w:pPr>
      <w:r w:rsidRPr="000A11F7">
        <w:t>Ką daryti pavartojus per didelę Solian dozę?</w:t>
      </w:r>
    </w:p>
    <w:p w:rsidR="00E66B2A" w:rsidRPr="000A11F7" w:rsidRDefault="00E66B2A" w:rsidP="00E66B2A">
      <w:pPr>
        <w:autoSpaceDE w:val="0"/>
        <w:autoSpaceDN w:val="0"/>
        <w:adjustRightInd w:val="0"/>
        <w:rPr>
          <w:sz w:val="22"/>
          <w:szCs w:val="22"/>
          <w:lang w:val="lt-LT"/>
        </w:rPr>
      </w:pPr>
      <w:r w:rsidRPr="000A11F7">
        <w:rPr>
          <w:sz w:val="22"/>
          <w:szCs w:val="22"/>
          <w:lang w:val="lt-LT"/>
        </w:rPr>
        <w:t>Pavartojus per didelę Solian dozę būtina nedelsiant kreiptis į gydytoją.</w:t>
      </w:r>
    </w:p>
    <w:p w:rsidR="00E66B2A" w:rsidRPr="000A11F7" w:rsidRDefault="00E66B2A" w:rsidP="00E66B2A">
      <w:pPr>
        <w:autoSpaceDE w:val="0"/>
        <w:autoSpaceDN w:val="0"/>
        <w:adjustRightInd w:val="0"/>
        <w:rPr>
          <w:sz w:val="22"/>
          <w:szCs w:val="22"/>
          <w:lang w:val="lt-LT"/>
        </w:rPr>
      </w:pPr>
      <w:r w:rsidRPr="000A11F7">
        <w:rPr>
          <w:sz w:val="22"/>
          <w:szCs w:val="22"/>
          <w:lang w:val="lt-LT"/>
        </w:rPr>
        <w:t>Apie mirtinus atvejus dažniausiai pranešta kartu vartojant kitų psichiką veikiančių vaistų.</w:t>
      </w:r>
    </w:p>
    <w:p w:rsidR="00E66B2A" w:rsidRPr="000A11F7" w:rsidRDefault="00E66B2A" w:rsidP="00E66B2A">
      <w:pPr>
        <w:pStyle w:val="BTEMEASMCA"/>
      </w:pPr>
    </w:p>
    <w:p w:rsidR="00E66B2A" w:rsidRPr="000A11F7" w:rsidRDefault="00E66B2A" w:rsidP="00E66B2A">
      <w:pPr>
        <w:pStyle w:val="PI-3EMEASMCA"/>
      </w:pPr>
      <w:r w:rsidRPr="000A11F7">
        <w:t>Pamiršus pavartoti Solian</w:t>
      </w:r>
    </w:p>
    <w:p w:rsidR="00E66B2A" w:rsidRPr="000A11F7" w:rsidRDefault="00E66B2A" w:rsidP="00E66B2A">
      <w:pPr>
        <w:autoSpaceDE w:val="0"/>
        <w:autoSpaceDN w:val="0"/>
        <w:adjustRightInd w:val="0"/>
        <w:rPr>
          <w:sz w:val="22"/>
          <w:szCs w:val="22"/>
          <w:lang w:val="lt-LT"/>
        </w:rPr>
      </w:pPr>
      <w:r w:rsidRPr="000A11F7">
        <w:rPr>
          <w:sz w:val="22"/>
          <w:szCs w:val="22"/>
          <w:lang w:val="lt-LT"/>
        </w:rPr>
        <w:t>Pamiršus pavartoti Solian, sekančią dozę reikia išgerti įprastu laiku. Negalima vartoti dvigubos dozės norint kompensuoti praleistą tabletę.</w:t>
      </w:r>
    </w:p>
    <w:p w:rsidR="00E66B2A" w:rsidRPr="000A11F7" w:rsidRDefault="00E66B2A" w:rsidP="00E66B2A">
      <w:pPr>
        <w:autoSpaceDE w:val="0"/>
        <w:autoSpaceDN w:val="0"/>
        <w:adjustRightInd w:val="0"/>
        <w:rPr>
          <w:sz w:val="22"/>
          <w:szCs w:val="22"/>
          <w:lang w:val="lt-LT"/>
        </w:rPr>
      </w:pPr>
      <w:r w:rsidRPr="000A11F7">
        <w:rPr>
          <w:sz w:val="22"/>
          <w:szCs w:val="22"/>
          <w:lang w:val="lt-LT"/>
        </w:rPr>
        <w:t>Jei pamiršote išgerti kelias dozes, kreipkitės į gydytoją.</w:t>
      </w:r>
    </w:p>
    <w:p w:rsidR="00E66B2A" w:rsidRPr="000A11F7" w:rsidRDefault="00E66B2A" w:rsidP="00E66B2A">
      <w:pPr>
        <w:pStyle w:val="BTEMEASMCA"/>
      </w:pPr>
    </w:p>
    <w:p w:rsidR="00E66B2A" w:rsidRPr="000A11F7" w:rsidRDefault="00E66B2A" w:rsidP="00E66B2A">
      <w:pPr>
        <w:pStyle w:val="BTEMEASMCA"/>
      </w:pPr>
      <w:r w:rsidRPr="000A11F7">
        <w:t>Jeigu kiltų daugiau klausimų dėl šio vaisto vartojimo, kreipkitės į gydytoją arba vaistininką.</w:t>
      </w:r>
    </w:p>
    <w:p w:rsidR="00E66B2A" w:rsidRPr="000A11F7" w:rsidRDefault="00E66B2A" w:rsidP="00E66B2A">
      <w:pPr>
        <w:pStyle w:val="BTEMEASMCA"/>
      </w:pPr>
    </w:p>
    <w:p w:rsidR="00E66B2A" w:rsidRPr="000A11F7" w:rsidRDefault="00E66B2A" w:rsidP="00E66B2A">
      <w:pPr>
        <w:pStyle w:val="BTEMEASMCA"/>
      </w:pPr>
    </w:p>
    <w:p w:rsidR="00E66B2A" w:rsidRPr="000A11F7" w:rsidRDefault="00E66B2A" w:rsidP="00E66B2A">
      <w:pPr>
        <w:pStyle w:val="PI-1EMEASMCA"/>
        <w:rPr>
          <w:lang w:val="lt-LT"/>
        </w:rPr>
      </w:pPr>
      <w:bookmarkStart w:id="10" w:name="_Toc129243142"/>
      <w:bookmarkStart w:id="11" w:name="_Toc129243267"/>
      <w:r w:rsidRPr="000A11F7">
        <w:rPr>
          <w:lang w:val="lt-LT"/>
        </w:rPr>
        <w:t>4.</w:t>
      </w:r>
      <w:r w:rsidRPr="000A11F7">
        <w:rPr>
          <w:lang w:val="lt-LT"/>
        </w:rPr>
        <w:tab/>
        <w:t>Galimas šalutinis poveikis</w:t>
      </w:r>
      <w:bookmarkEnd w:id="10"/>
      <w:bookmarkEnd w:id="11"/>
    </w:p>
    <w:p w:rsidR="00E66B2A" w:rsidRPr="000A11F7" w:rsidRDefault="00E66B2A" w:rsidP="00E66B2A">
      <w:pPr>
        <w:pStyle w:val="BTEMEASMCA"/>
      </w:pPr>
    </w:p>
    <w:p w:rsidR="00E66B2A" w:rsidRPr="000A11F7" w:rsidRDefault="00E66B2A" w:rsidP="00E66B2A">
      <w:pPr>
        <w:pStyle w:val="BTEMEASMCA"/>
      </w:pPr>
      <w:r w:rsidRPr="000A11F7">
        <w:lastRenderedPageBreak/>
        <w:t>Šis vaistas, kaip ir visi kiti, gali sukelti šalutinį poveikį, nors jis pasireiškia ne visiems žmonėms.</w:t>
      </w:r>
    </w:p>
    <w:p w:rsidR="00E66B2A" w:rsidRPr="000A11F7" w:rsidRDefault="00E66B2A" w:rsidP="00E66B2A">
      <w:pPr>
        <w:autoSpaceDE w:val="0"/>
        <w:autoSpaceDN w:val="0"/>
        <w:adjustRightInd w:val="0"/>
        <w:rPr>
          <w:sz w:val="22"/>
          <w:szCs w:val="22"/>
          <w:lang w:val="lt-LT"/>
        </w:rPr>
      </w:pPr>
    </w:p>
    <w:p w:rsidR="00E66B2A" w:rsidRPr="000A11F7" w:rsidRDefault="00E66B2A" w:rsidP="00E66B2A">
      <w:pPr>
        <w:autoSpaceDE w:val="0"/>
        <w:autoSpaceDN w:val="0"/>
        <w:adjustRightInd w:val="0"/>
        <w:rPr>
          <w:i/>
          <w:sz w:val="22"/>
          <w:szCs w:val="22"/>
          <w:lang w:val="lt-LT" w:eastAsia="sl-SI"/>
        </w:rPr>
      </w:pPr>
      <w:r w:rsidRPr="000A11F7">
        <w:rPr>
          <w:bCs/>
          <w:i/>
          <w:sz w:val="22"/>
          <w:szCs w:val="22"/>
          <w:lang w:val="lt-LT" w:eastAsia="sl-SI"/>
        </w:rPr>
        <w:t xml:space="preserve">Labai dažnas </w:t>
      </w:r>
      <w:r w:rsidRPr="000A11F7">
        <w:rPr>
          <w:i/>
          <w:sz w:val="22"/>
          <w:szCs w:val="22"/>
          <w:lang w:val="lt-LT" w:eastAsia="sl-SI"/>
        </w:rPr>
        <w:t>(gali pasireikšti daugiau kaip 1 iš 10 žmonių)</w:t>
      </w:r>
    </w:p>
    <w:p w:rsidR="00E66B2A" w:rsidRPr="000A11F7" w:rsidRDefault="00E66B2A" w:rsidP="00E66B2A">
      <w:pPr>
        <w:pStyle w:val="Sraopastraipa"/>
        <w:widowControl w:val="0"/>
        <w:numPr>
          <w:ilvl w:val="0"/>
          <w:numId w:val="2"/>
        </w:numPr>
        <w:spacing w:line="260" w:lineRule="exact"/>
        <w:rPr>
          <w:sz w:val="22"/>
          <w:szCs w:val="22"/>
          <w:lang w:val="lt-LT"/>
        </w:rPr>
      </w:pPr>
      <w:r w:rsidRPr="000A11F7">
        <w:rPr>
          <w:sz w:val="22"/>
          <w:szCs w:val="22"/>
          <w:lang w:val="lt-LT"/>
        </w:rPr>
        <w:t>Drebulys, raumenų stingulys, mėšlungis, nenormalūs judesiai, padidėjęs seilėtekis (vadinamieji ekstrapiramidiniai simptomai).</w:t>
      </w:r>
    </w:p>
    <w:p w:rsidR="00E66B2A" w:rsidRPr="000A11F7" w:rsidRDefault="00E66B2A" w:rsidP="00E66B2A">
      <w:pPr>
        <w:widowControl w:val="0"/>
        <w:tabs>
          <w:tab w:val="left" w:pos="567"/>
        </w:tabs>
        <w:spacing w:line="260" w:lineRule="exact"/>
        <w:rPr>
          <w:sz w:val="22"/>
          <w:szCs w:val="22"/>
          <w:lang w:val="lt-LT"/>
        </w:rPr>
      </w:pPr>
    </w:p>
    <w:p w:rsidR="00E66B2A" w:rsidRPr="000A11F7" w:rsidRDefault="00E66B2A" w:rsidP="00E66B2A">
      <w:pPr>
        <w:autoSpaceDE w:val="0"/>
        <w:autoSpaceDN w:val="0"/>
        <w:adjustRightInd w:val="0"/>
        <w:rPr>
          <w:i/>
          <w:sz w:val="22"/>
          <w:szCs w:val="22"/>
          <w:lang w:val="lt-LT" w:eastAsia="sl-SI"/>
        </w:rPr>
      </w:pPr>
      <w:r w:rsidRPr="000A11F7">
        <w:rPr>
          <w:bCs/>
          <w:i/>
          <w:sz w:val="22"/>
          <w:szCs w:val="22"/>
          <w:lang w:val="lt-LT" w:eastAsia="sl-SI"/>
        </w:rPr>
        <w:t xml:space="preserve">Dažnas </w:t>
      </w:r>
      <w:r w:rsidRPr="000A11F7">
        <w:rPr>
          <w:i/>
          <w:sz w:val="22"/>
          <w:szCs w:val="22"/>
          <w:lang w:val="lt-LT" w:eastAsia="sl-SI"/>
        </w:rPr>
        <w:t>(gali pasireikšti mažiau kaip 1 iš 10 žmonių)</w:t>
      </w:r>
    </w:p>
    <w:p w:rsidR="00E66B2A" w:rsidRPr="000A11F7" w:rsidRDefault="00E66B2A" w:rsidP="00E66B2A">
      <w:pPr>
        <w:pStyle w:val="Sraopastraipa"/>
        <w:widowControl w:val="0"/>
        <w:numPr>
          <w:ilvl w:val="0"/>
          <w:numId w:val="2"/>
        </w:numPr>
        <w:spacing w:line="260" w:lineRule="exact"/>
        <w:rPr>
          <w:sz w:val="22"/>
          <w:szCs w:val="22"/>
          <w:lang w:val="lt-LT"/>
        </w:rPr>
      </w:pPr>
      <w:r w:rsidRPr="000A11F7">
        <w:rPr>
          <w:sz w:val="22"/>
          <w:szCs w:val="22"/>
          <w:lang w:val="lt-LT"/>
        </w:rPr>
        <w:t>Prolaktino (hormono, skatinančio pieno išsiskyrimą kraujyje) kiekio kraujyje padidėjimas (dėl to išnyksta mėnesinės, nemaitinant krūtimi moterims išsiskiria pienas, vyrams pabrinksta krūtys, atsiranda krūtų skausmas ir erekcijos sutrikimas).</w:t>
      </w:r>
    </w:p>
    <w:p w:rsidR="00E66B2A" w:rsidRPr="000A11F7" w:rsidRDefault="00E66B2A" w:rsidP="00E66B2A">
      <w:pPr>
        <w:pStyle w:val="Sraopastraipa"/>
        <w:widowControl w:val="0"/>
        <w:numPr>
          <w:ilvl w:val="0"/>
          <w:numId w:val="2"/>
        </w:numPr>
        <w:spacing w:line="260" w:lineRule="exact"/>
        <w:rPr>
          <w:sz w:val="22"/>
          <w:szCs w:val="22"/>
          <w:lang w:val="lt-LT"/>
        </w:rPr>
      </w:pPr>
      <w:r w:rsidRPr="000A11F7">
        <w:rPr>
          <w:color w:val="000000"/>
          <w:sz w:val="22"/>
          <w:szCs w:val="22"/>
          <w:lang w:val="lt-LT"/>
        </w:rPr>
        <w:t>Nemiga, nerimas, sujaudinimas, orgazmo pojūčio sutrikimas.</w:t>
      </w:r>
    </w:p>
    <w:p w:rsidR="00E66B2A" w:rsidRPr="000A11F7" w:rsidRDefault="00E66B2A" w:rsidP="00E66B2A">
      <w:pPr>
        <w:pStyle w:val="Sraopastraipa"/>
        <w:widowControl w:val="0"/>
        <w:numPr>
          <w:ilvl w:val="0"/>
          <w:numId w:val="2"/>
        </w:numPr>
        <w:spacing w:line="260" w:lineRule="exact"/>
        <w:rPr>
          <w:sz w:val="22"/>
          <w:szCs w:val="22"/>
          <w:lang w:val="lt-LT"/>
        </w:rPr>
      </w:pPr>
      <w:r w:rsidRPr="000A11F7">
        <w:rPr>
          <w:sz w:val="22"/>
          <w:szCs w:val="22"/>
          <w:lang w:val="lt-LT"/>
        </w:rPr>
        <w:t>Spazminė kreivakaklystė, tam tikrų akies raumenų nenormalūs judesiai, kramtomųjų raumenų mėšlungis, mieguistumas.</w:t>
      </w:r>
    </w:p>
    <w:p w:rsidR="00E66B2A" w:rsidRPr="000A11F7" w:rsidRDefault="00E66B2A" w:rsidP="00E66B2A">
      <w:pPr>
        <w:pStyle w:val="Sraopastraipa"/>
        <w:widowControl w:val="0"/>
        <w:numPr>
          <w:ilvl w:val="0"/>
          <w:numId w:val="2"/>
        </w:numPr>
        <w:spacing w:line="260" w:lineRule="exact"/>
        <w:rPr>
          <w:sz w:val="22"/>
          <w:szCs w:val="22"/>
          <w:lang w:val="lt-LT"/>
        </w:rPr>
      </w:pPr>
      <w:r w:rsidRPr="000A11F7">
        <w:rPr>
          <w:sz w:val="22"/>
          <w:szCs w:val="22"/>
          <w:lang w:val="lt-LT"/>
        </w:rPr>
        <w:t>Matomo vaizdo neryškumas.</w:t>
      </w:r>
    </w:p>
    <w:p w:rsidR="00E66B2A" w:rsidRPr="000A11F7" w:rsidRDefault="00E66B2A" w:rsidP="00E66B2A">
      <w:pPr>
        <w:pStyle w:val="Sraopastraipa"/>
        <w:widowControl w:val="0"/>
        <w:numPr>
          <w:ilvl w:val="0"/>
          <w:numId w:val="2"/>
        </w:numPr>
        <w:spacing w:line="260" w:lineRule="exact"/>
        <w:rPr>
          <w:sz w:val="22"/>
          <w:szCs w:val="22"/>
          <w:lang w:val="lt-LT"/>
        </w:rPr>
      </w:pPr>
      <w:r w:rsidRPr="000A11F7">
        <w:rPr>
          <w:sz w:val="22"/>
          <w:szCs w:val="22"/>
          <w:lang w:val="lt-LT"/>
        </w:rPr>
        <w:t>Sumažėjęs kraujospūdis.</w:t>
      </w:r>
    </w:p>
    <w:p w:rsidR="00E66B2A" w:rsidRPr="000A11F7" w:rsidRDefault="00E66B2A" w:rsidP="00E66B2A">
      <w:pPr>
        <w:pStyle w:val="Sraopastraipa"/>
        <w:widowControl w:val="0"/>
        <w:numPr>
          <w:ilvl w:val="0"/>
          <w:numId w:val="2"/>
        </w:numPr>
        <w:spacing w:line="260" w:lineRule="exact"/>
        <w:rPr>
          <w:sz w:val="22"/>
          <w:szCs w:val="22"/>
          <w:lang w:val="lt-LT"/>
        </w:rPr>
      </w:pPr>
      <w:r w:rsidRPr="000A11F7">
        <w:rPr>
          <w:color w:val="000000"/>
          <w:sz w:val="22"/>
          <w:szCs w:val="22"/>
          <w:lang w:val="lt-LT"/>
        </w:rPr>
        <w:t>Vidurių užkietėjimas, pykinimas, vėmimas, burnos džiūvimas.</w:t>
      </w:r>
    </w:p>
    <w:p w:rsidR="00E66B2A" w:rsidRPr="000A11F7" w:rsidRDefault="00E66B2A" w:rsidP="00E66B2A">
      <w:pPr>
        <w:pStyle w:val="Sraopastraipa"/>
        <w:widowControl w:val="0"/>
        <w:numPr>
          <w:ilvl w:val="0"/>
          <w:numId w:val="2"/>
        </w:numPr>
        <w:spacing w:line="260" w:lineRule="exact"/>
        <w:rPr>
          <w:sz w:val="22"/>
          <w:szCs w:val="22"/>
          <w:lang w:val="lt-LT"/>
        </w:rPr>
      </w:pPr>
      <w:r w:rsidRPr="000A11F7">
        <w:rPr>
          <w:color w:val="000000"/>
          <w:sz w:val="22"/>
          <w:szCs w:val="22"/>
          <w:lang w:val="lt-LT"/>
        </w:rPr>
        <w:t>Kūno svorio padidėjimas.</w:t>
      </w:r>
    </w:p>
    <w:p w:rsidR="00E66B2A" w:rsidRPr="000A11F7" w:rsidRDefault="00E66B2A" w:rsidP="00E66B2A">
      <w:pPr>
        <w:widowControl w:val="0"/>
        <w:numPr>
          <w:ilvl w:val="12"/>
          <w:numId w:val="0"/>
        </w:numPr>
        <w:rPr>
          <w:sz w:val="22"/>
          <w:szCs w:val="22"/>
          <w:lang w:val="lt-LT"/>
        </w:rPr>
      </w:pPr>
    </w:p>
    <w:p w:rsidR="00E66B2A" w:rsidRPr="000A11F7" w:rsidRDefault="00E66B2A" w:rsidP="00E66B2A">
      <w:pPr>
        <w:autoSpaceDE w:val="0"/>
        <w:autoSpaceDN w:val="0"/>
        <w:adjustRightInd w:val="0"/>
        <w:rPr>
          <w:i/>
          <w:sz w:val="22"/>
          <w:szCs w:val="22"/>
          <w:lang w:val="lt-LT" w:eastAsia="sl-SI"/>
        </w:rPr>
      </w:pPr>
      <w:r w:rsidRPr="000A11F7">
        <w:rPr>
          <w:bCs/>
          <w:i/>
          <w:sz w:val="22"/>
          <w:szCs w:val="22"/>
          <w:lang w:val="lt-LT" w:eastAsia="sl-SI"/>
        </w:rPr>
        <w:t xml:space="preserve">Nedažnas </w:t>
      </w:r>
      <w:r w:rsidRPr="000A11F7">
        <w:rPr>
          <w:i/>
          <w:sz w:val="22"/>
          <w:szCs w:val="22"/>
          <w:lang w:val="lt-LT" w:eastAsia="sl-SI"/>
        </w:rPr>
        <w:t>(gali pasireikšti mažiau kaip 1 iš 100 žmonių)</w:t>
      </w:r>
    </w:p>
    <w:p w:rsidR="00E66B2A" w:rsidRPr="000A11F7" w:rsidRDefault="00E66B2A" w:rsidP="00E66B2A">
      <w:pPr>
        <w:pStyle w:val="Sraopastraipa"/>
        <w:widowControl w:val="0"/>
        <w:numPr>
          <w:ilvl w:val="0"/>
          <w:numId w:val="2"/>
        </w:numPr>
        <w:spacing w:line="260" w:lineRule="exact"/>
        <w:rPr>
          <w:sz w:val="22"/>
          <w:szCs w:val="22"/>
          <w:lang w:val="lt-LT"/>
        </w:rPr>
      </w:pPr>
      <w:r w:rsidRPr="000A11F7">
        <w:rPr>
          <w:sz w:val="22"/>
          <w:szCs w:val="22"/>
          <w:lang w:val="lt-LT"/>
        </w:rPr>
        <w:t>Leukopenija, neutropenija (tam tikros rūšies baltųjų kraujo ląstelių kiekio sumažėjimas).</w:t>
      </w:r>
    </w:p>
    <w:p w:rsidR="00E66B2A" w:rsidRPr="000A11F7" w:rsidRDefault="00E66B2A" w:rsidP="00E66B2A">
      <w:pPr>
        <w:pStyle w:val="Sraopastraipa"/>
        <w:widowControl w:val="0"/>
        <w:numPr>
          <w:ilvl w:val="0"/>
          <w:numId w:val="2"/>
        </w:numPr>
        <w:spacing w:line="260" w:lineRule="exact"/>
        <w:rPr>
          <w:sz w:val="22"/>
          <w:szCs w:val="22"/>
          <w:lang w:val="lt-LT"/>
        </w:rPr>
      </w:pPr>
      <w:r w:rsidRPr="000A11F7">
        <w:rPr>
          <w:sz w:val="22"/>
          <w:szCs w:val="22"/>
          <w:lang w:val="lt-LT"/>
        </w:rPr>
        <w:t>Alerginė reakcija.</w:t>
      </w:r>
    </w:p>
    <w:p w:rsidR="00E66B2A" w:rsidRPr="000A11F7" w:rsidRDefault="00E66B2A" w:rsidP="00E66B2A">
      <w:pPr>
        <w:pStyle w:val="Sraopastraipa"/>
        <w:widowControl w:val="0"/>
        <w:numPr>
          <w:ilvl w:val="0"/>
          <w:numId w:val="2"/>
        </w:numPr>
        <w:spacing w:line="260" w:lineRule="exact"/>
        <w:rPr>
          <w:sz w:val="22"/>
          <w:szCs w:val="22"/>
          <w:lang w:val="lt-LT"/>
        </w:rPr>
      </w:pPr>
      <w:r w:rsidRPr="000A11F7">
        <w:rPr>
          <w:sz w:val="22"/>
          <w:szCs w:val="22"/>
          <w:lang w:val="lt-LT"/>
        </w:rPr>
        <w:t>Padidėjęs cukraus kiekis kraujyje, padidėjęs trigliceridų (riebalų) kiekis kraujyje, padidėjęs cholesterolio kiekis kraujyje.</w:t>
      </w:r>
    </w:p>
    <w:p w:rsidR="00E66B2A" w:rsidRPr="000A11F7" w:rsidRDefault="00E66B2A" w:rsidP="00E66B2A">
      <w:pPr>
        <w:pStyle w:val="Sraopastraipa"/>
        <w:widowControl w:val="0"/>
        <w:numPr>
          <w:ilvl w:val="0"/>
          <w:numId w:val="2"/>
        </w:numPr>
        <w:spacing w:line="260" w:lineRule="exact"/>
        <w:rPr>
          <w:sz w:val="22"/>
          <w:szCs w:val="22"/>
          <w:lang w:val="lt-LT"/>
        </w:rPr>
      </w:pPr>
      <w:r w:rsidRPr="000A11F7">
        <w:rPr>
          <w:sz w:val="22"/>
          <w:szCs w:val="22"/>
          <w:lang w:val="lt-LT"/>
        </w:rPr>
        <w:t>Minčių susipainiojimas.</w:t>
      </w:r>
    </w:p>
    <w:p w:rsidR="00E66B2A" w:rsidRPr="000A11F7" w:rsidRDefault="00E66B2A" w:rsidP="00E66B2A">
      <w:pPr>
        <w:pStyle w:val="Sraopastraipa"/>
        <w:numPr>
          <w:ilvl w:val="0"/>
          <w:numId w:val="2"/>
        </w:numPr>
        <w:rPr>
          <w:sz w:val="22"/>
          <w:szCs w:val="22"/>
          <w:lang w:val="lt-LT"/>
        </w:rPr>
      </w:pPr>
      <w:r w:rsidRPr="000A11F7">
        <w:rPr>
          <w:sz w:val="22"/>
          <w:szCs w:val="22"/>
          <w:lang w:val="lt-LT"/>
        </w:rPr>
        <w:t>Ritmiški, nevalingi judesiai, daugiausia liežuvio ir (arba) veido, traukuliai.</w:t>
      </w:r>
    </w:p>
    <w:p w:rsidR="00E66B2A" w:rsidRPr="000A11F7" w:rsidRDefault="00E66B2A" w:rsidP="00E66B2A">
      <w:pPr>
        <w:pStyle w:val="Sraopastraipa"/>
        <w:widowControl w:val="0"/>
        <w:numPr>
          <w:ilvl w:val="0"/>
          <w:numId w:val="2"/>
        </w:numPr>
        <w:spacing w:line="260" w:lineRule="exact"/>
        <w:rPr>
          <w:sz w:val="22"/>
          <w:szCs w:val="22"/>
          <w:lang w:val="lt-LT"/>
        </w:rPr>
      </w:pPr>
      <w:r w:rsidRPr="000A11F7">
        <w:rPr>
          <w:sz w:val="22"/>
          <w:szCs w:val="22"/>
          <w:lang w:val="lt-LT"/>
        </w:rPr>
        <w:t>Retas širdies plakimas.</w:t>
      </w:r>
    </w:p>
    <w:p w:rsidR="00E66B2A" w:rsidRPr="000A11F7" w:rsidRDefault="00E66B2A" w:rsidP="00E66B2A">
      <w:pPr>
        <w:pStyle w:val="Sraopastraipa"/>
        <w:widowControl w:val="0"/>
        <w:numPr>
          <w:ilvl w:val="0"/>
          <w:numId w:val="2"/>
        </w:numPr>
        <w:spacing w:line="260" w:lineRule="exact"/>
        <w:rPr>
          <w:sz w:val="22"/>
          <w:szCs w:val="22"/>
          <w:lang w:val="lt-LT"/>
        </w:rPr>
      </w:pPr>
      <w:r w:rsidRPr="000A11F7">
        <w:rPr>
          <w:sz w:val="22"/>
          <w:szCs w:val="22"/>
          <w:lang w:val="lt-LT"/>
        </w:rPr>
        <w:t>Kraujospūdžio padidėjimas.</w:t>
      </w:r>
    </w:p>
    <w:p w:rsidR="00E66B2A" w:rsidRPr="000A11F7" w:rsidRDefault="00E66B2A" w:rsidP="00E66B2A">
      <w:pPr>
        <w:pStyle w:val="Sraopastraipa"/>
        <w:widowControl w:val="0"/>
        <w:numPr>
          <w:ilvl w:val="0"/>
          <w:numId w:val="2"/>
        </w:numPr>
        <w:spacing w:line="260" w:lineRule="exact"/>
        <w:rPr>
          <w:sz w:val="22"/>
          <w:szCs w:val="22"/>
          <w:lang w:val="lt-LT"/>
        </w:rPr>
      </w:pPr>
      <w:r w:rsidRPr="000A11F7">
        <w:rPr>
          <w:sz w:val="22"/>
          <w:szCs w:val="22"/>
          <w:lang w:val="lt-LT"/>
        </w:rPr>
        <w:t xml:space="preserve">Nosies užgulimas, </w:t>
      </w:r>
      <w:r w:rsidRPr="000A11F7">
        <w:rPr>
          <w:bCs/>
          <w:sz w:val="22"/>
          <w:szCs w:val="22"/>
          <w:lang w:val="lt-LT"/>
        </w:rPr>
        <w:t>plaučių infekcija, kurią sukelia maisto, skysčių ar skrandžio turinio patekimas į kvėpavimo takus.</w:t>
      </w:r>
    </w:p>
    <w:p w:rsidR="00E66B2A" w:rsidRPr="000A11F7" w:rsidRDefault="00E66B2A" w:rsidP="00E66B2A">
      <w:pPr>
        <w:pStyle w:val="Sraopastraipa"/>
        <w:widowControl w:val="0"/>
        <w:numPr>
          <w:ilvl w:val="0"/>
          <w:numId w:val="2"/>
        </w:numPr>
        <w:spacing w:line="260" w:lineRule="exact"/>
        <w:rPr>
          <w:sz w:val="22"/>
          <w:szCs w:val="22"/>
          <w:lang w:val="lt-LT"/>
        </w:rPr>
      </w:pPr>
      <w:r w:rsidRPr="000A11F7">
        <w:rPr>
          <w:sz w:val="22"/>
          <w:szCs w:val="22"/>
          <w:lang w:val="lt-LT"/>
        </w:rPr>
        <w:t>Osteopenija, osteoporozė (kaulų ligos, susijusios su kaulų masės mažėjimu).</w:t>
      </w:r>
    </w:p>
    <w:p w:rsidR="00E66B2A" w:rsidRPr="000C56CF" w:rsidRDefault="00E66B2A" w:rsidP="00E66B2A">
      <w:pPr>
        <w:pStyle w:val="Sraopastraipa"/>
        <w:widowControl w:val="0"/>
        <w:numPr>
          <w:ilvl w:val="0"/>
          <w:numId w:val="2"/>
        </w:numPr>
        <w:spacing w:line="260" w:lineRule="exact"/>
        <w:rPr>
          <w:sz w:val="22"/>
          <w:szCs w:val="22"/>
          <w:lang w:val="lt-LT"/>
        </w:rPr>
      </w:pPr>
      <w:r w:rsidRPr="000A11F7">
        <w:rPr>
          <w:sz w:val="22"/>
          <w:szCs w:val="22"/>
          <w:lang w:val="lt-LT"/>
        </w:rPr>
        <w:t>Šlapimo susilaikymas.</w:t>
      </w:r>
    </w:p>
    <w:p w:rsidR="00E66B2A" w:rsidRPr="000A11F7" w:rsidRDefault="00E66B2A" w:rsidP="00E66B2A">
      <w:pPr>
        <w:pStyle w:val="Sraopastraipa"/>
        <w:widowControl w:val="0"/>
        <w:numPr>
          <w:ilvl w:val="0"/>
          <w:numId w:val="2"/>
        </w:numPr>
        <w:spacing w:line="260" w:lineRule="exact"/>
        <w:rPr>
          <w:sz w:val="22"/>
          <w:szCs w:val="22"/>
          <w:lang w:val="lt-LT"/>
        </w:rPr>
      </w:pPr>
      <w:r w:rsidRPr="000A11F7">
        <w:rPr>
          <w:sz w:val="22"/>
          <w:szCs w:val="22"/>
          <w:lang w:val="lt-LT"/>
        </w:rPr>
        <w:t>Kepenų audinio pažeidimas.</w:t>
      </w:r>
    </w:p>
    <w:p w:rsidR="00E66B2A" w:rsidRPr="000A11F7" w:rsidRDefault="00E66B2A" w:rsidP="00E66B2A">
      <w:pPr>
        <w:pStyle w:val="Sraopastraipa"/>
        <w:widowControl w:val="0"/>
        <w:numPr>
          <w:ilvl w:val="0"/>
          <w:numId w:val="2"/>
        </w:numPr>
        <w:spacing w:line="260" w:lineRule="exact"/>
        <w:rPr>
          <w:sz w:val="22"/>
          <w:szCs w:val="22"/>
          <w:lang w:val="lt-LT"/>
        </w:rPr>
      </w:pPr>
      <w:r w:rsidRPr="000A11F7">
        <w:rPr>
          <w:sz w:val="22"/>
          <w:szCs w:val="22"/>
          <w:lang w:val="lt-LT"/>
        </w:rPr>
        <w:t>Kepenų fermentų, daugiausia transaminazių, aktyvumo padidėjimas (nustatomas kraujo tyrimu).</w:t>
      </w:r>
    </w:p>
    <w:p w:rsidR="00E66B2A" w:rsidRPr="000A11F7" w:rsidRDefault="00E66B2A" w:rsidP="00E66B2A">
      <w:pPr>
        <w:widowControl w:val="0"/>
        <w:numPr>
          <w:ilvl w:val="12"/>
          <w:numId w:val="0"/>
        </w:numPr>
        <w:rPr>
          <w:sz w:val="22"/>
          <w:szCs w:val="22"/>
          <w:lang w:val="lt-LT"/>
        </w:rPr>
      </w:pPr>
    </w:p>
    <w:p w:rsidR="00E66B2A" w:rsidRPr="000A11F7" w:rsidRDefault="00E66B2A" w:rsidP="00E66B2A">
      <w:pPr>
        <w:autoSpaceDE w:val="0"/>
        <w:autoSpaceDN w:val="0"/>
        <w:adjustRightInd w:val="0"/>
        <w:rPr>
          <w:i/>
          <w:sz w:val="22"/>
          <w:szCs w:val="22"/>
          <w:lang w:val="lt-LT" w:eastAsia="sl-SI"/>
        </w:rPr>
      </w:pPr>
      <w:r w:rsidRPr="000A11F7">
        <w:rPr>
          <w:bCs/>
          <w:i/>
          <w:sz w:val="22"/>
          <w:szCs w:val="22"/>
          <w:lang w:val="lt-LT" w:eastAsia="sl-SI"/>
        </w:rPr>
        <w:t xml:space="preserve">Retas </w:t>
      </w:r>
      <w:r w:rsidRPr="000A11F7">
        <w:rPr>
          <w:i/>
          <w:sz w:val="22"/>
          <w:szCs w:val="22"/>
          <w:lang w:val="lt-LT" w:eastAsia="sl-SI"/>
        </w:rPr>
        <w:t>(gali pasireikšti mažiau kaip 1 iš 1000 žmonių)</w:t>
      </w:r>
    </w:p>
    <w:p w:rsidR="00E66B2A" w:rsidRPr="000A11F7" w:rsidRDefault="00E66B2A" w:rsidP="00E66B2A">
      <w:pPr>
        <w:pStyle w:val="Sraopastraipa"/>
        <w:widowControl w:val="0"/>
        <w:numPr>
          <w:ilvl w:val="0"/>
          <w:numId w:val="2"/>
        </w:numPr>
        <w:spacing w:line="260" w:lineRule="exact"/>
        <w:rPr>
          <w:sz w:val="22"/>
          <w:szCs w:val="22"/>
          <w:lang w:val="lt-LT"/>
        </w:rPr>
      </w:pPr>
      <w:r w:rsidRPr="000A11F7">
        <w:rPr>
          <w:sz w:val="22"/>
          <w:szCs w:val="22"/>
          <w:lang w:val="lt-LT"/>
        </w:rPr>
        <w:t>Agranulocitozė (tam tikros rūšies baltųjų kraujo ląstelių kiekio sumažėjimas).</w:t>
      </w:r>
    </w:p>
    <w:p w:rsidR="00E66B2A" w:rsidRPr="000A11F7" w:rsidRDefault="00E66B2A" w:rsidP="00E66B2A">
      <w:pPr>
        <w:pStyle w:val="Sraopastraipa"/>
        <w:widowControl w:val="0"/>
        <w:numPr>
          <w:ilvl w:val="0"/>
          <w:numId w:val="2"/>
        </w:numPr>
        <w:spacing w:line="260" w:lineRule="exact"/>
        <w:rPr>
          <w:sz w:val="22"/>
          <w:szCs w:val="22"/>
          <w:lang w:val="lt-LT"/>
        </w:rPr>
      </w:pPr>
      <w:r w:rsidRPr="000A11F7">
        <w:rPr>
          <w:sz w:val="22"/>
          <w:szCs w:val="22"/>
          <w:lang w:val="lt-LT"/>
        </w:rPr>
        <w:t>Gerybinis hipofizės navikas, pvz., prolaktinoma.</w:t>
      </w:r>
    </w:p>
    <w:p w:rsidR="00E66B2A" w:rsidRPr="000A11F7" w:rsidRDefault="00E66B2A" w:rsidP="00E66B2A">
      <w:pPr>
        <w:pStyle w:val="Sraopastraipa"/>
        <w:widowControl w:val="0"/>
        <w:numPr>
          <w:ilvl w:val="0"/>
          <w:numId w:val="2"/>
        </w:numPr>
        <w:spacing w:line="260" w:lineRule="exact"/>
        <w:rPr>
          <w:sz w:val="22"/>
          <w:szCs w:val="22"/>
          <w:lang w:val="lt-LT"/>
        </w:rPr>
      </w:pPr>
      <w:r w:rsidRPr="000A11F7">
        <w:rPr>
          <w:sz w:val="22"/>
          <w:szCs w:val="22"/>
          <w:lang w:val="lt-LT"/>
        </w:rPr>
        <w:t>Sumažėjęs natrio kiekis kraujyje, sutrikusios antidiurezinio hormono sekrecijos sindromas (SAHSS), kurio simptomai yra padidėjęs kūno svoris, šleikštulys (pykinimas), vėmimas, raumenų mėšlungis, minčių susipainiojimas ir traukuliai (priepuoliai).</w:t>
      </w:r>
    </w:p>
    <w:p w:rsidR="00E66B2A" w:rsidRPr="000A11F7" w:rsidRDefault="00E66B2A" w:rsidP="00E66B2A">
      <w:pPr>
        <w:pStyle w:val="Sraopastraipa"/>
        <w:widowControl w:val="0"/>
        <w:numPr>
          <w:ilvl w:val="0"/>
          <w:numId w:val="2"/>
        </w:numPr>
        <w:spacing w:line="260" w:lineRule="exact"/>
        <w:rPr>
          <w:sz w:val="22"/>
          <w:szCs w:val="22"/>
          <w:lang w:val="lt-LT"/>
        </w:rPr>
      </w:pPr>
      <w:r w:rsidRPr="000A11F7">
        <w:rPr>
          <w:sz w:val="22"/>
          <w:szCs w:val="22"/>
          <w:lang w:val="lt-LT"/>
        </w:rPr>
        <w:t>Piktybinis neurolepsinis sindromas (potencialiai mirtina komplikacija), kuriam būdingas nepaaiškinamas karščiavimas, susijęs su bendraisiais ir nervų sistemos sutrikimais.</w:t>
      </w:r>
    </w:p>
    <w:p w:rsidR="00E66B2A" w:rsidRPr="000A11F7" w:rsidRDefault="00E66B2A" w:rsidP="00E66B2A">
      <w:pPr>
        <w:pStyle w:val="Sraopastraipa"/>
        <w:widowControl w:val="0"/>
        <w:numPr>
          <w:ilvl w:val="0"/>
          <w:numId w:val="2"/>
        </w:numPr>
        <w:spacing w:line="260" w:lineRule="exact"/>
        <w:rPr>
          <w:sz w:val="22"/>
          <w:szCs w:val="22"/>
          <w:lang w:val="lt-LT"/>
        </w:rPr>
      </w:pPr>
      <w:r w:rsidRPr="000A11F7">
        <w:rPr>
          <w:sz w:val="22"/>
          <w:szCs w:val="22"/>
          <w:lang w:val="lt-LT"/>
        </w:rPr>
        <w:t>Sunkūs širdies ritmo sutrikimai, širdies sustojimas, staigi mirtis, elektrokardiogramoje (elektrinės širdies veiklos pėdsakuose) nustatomas QT intervalo pailgėjimas.</w:t>
      </w:r>
    </w:p>
    <w:p w:rsidR="00E66B2A" w:rsidRPr="000A11F7" w:rsidRDefault="00E66B2A" w:rsidP="00E66B2A">
      <w:pPr>
        <w:pStyle w:val="BTEMEASMCA"/>
        <w:numPr>
          <w:ilvl w:val="0"/>
          <w:numId w:val="2"/>
        </w:numPr>
        <w:rPr>
          <w:noProof w:val="0"/>
        </w:rPr>
      </w:pPr>
      <w:r w:rsidRPr="000A11F7">
        <w:rPr>
          <w:noProof w:val="0"/>
        </w:rPr>
        <w:t>Kraujo krešuliai venose, ypač kojose (pasireiškia kojų patinimu, skausmu ir paraudimu) ir plaučiuose (sukelia skausmą krūtinėje ir pasunkėjusį kvėpavimą).</w:t>
      </w:r>
    </w:p>
    <w:p w:rsidR="00E66B2A" w:rsidRPr="000A11F7" w:rsidRDefault="00E66B2A" w:rsidP="00E66B2A">
      <w:pPr>
        <w:pStyle w:val="Sraopastraipa"/>
        <w:widowControl w:val="0"/>
        <w:numPr>
          <w:ilvl w:val="0"/>
          <w:numId w:val="2"/>
        </w:numPr>
        <w:spacing w:line="260" w:lineRule="exact"/>
        <w:rPr>
          <w:sz w:val="22"/>
          <w:szCs w:val="22"/>
          <w:lang w:val="lt-LT"/>
        </w:rPr>
      </w:pPr>
      <w:r w:rsidRPr="000A11F7">
        <w:rPr>
          <w:sz w:val="22"/>
          <w:szCs w:val="22"/>
          <w:lang w:val="lt-LT"/>
        </w:rPr>
        <w:t>Angioneurozinė edema (sunki alerginė reakcija, pasireiškianti patinimu), dilgėlinė.</w:t>
      </w:r>
    </w:p>
    <w:p w:rsidR="00E66B2A" w:rsidRPr="000A11F7" w:rsidRDefault="00E66B2A" w:rsidP="00E66B2A">
      <w:pPr>
        <w:autoSpaceDE w:val="0"/>
        <w:autoSpaceDN w:val="0"/>
        <w:adjustRightInd w:val="0"/>
        <w:rPr>
          <w:b/>
          <w:bCs/>
          <w:sz w:val="22"/>
          <w:szCs w:val="22"/>
          <w:lang w:val="lt-LT" w:eastAsia="sl-SI"/>
        </w:rPr>
      </w:pPr>
    </w:p>
    <w:p w:rsidR="00E66B2A" w:rsidRPr="000A11F7" w:rsidRDefault="00E66B2A" w:rsidP="00E66B2A">
      <w:pPr>
        <w:autoSpaceDE w:val="0"/>
        <w:autoSpaceDN w:val="0"/>
        <w:adjustRightInd w:val="0"/>
        <w:rPr>
          <w:i/>
          <w:sz w:val="22"/>
          <w:szCs w:val="22"/>
          <w:lang w:val="lt-LT" w:eastAsia="sl-SI"/>
        </w:rPr>
      </w:pPr>
      <w:r w:rsidRPr="000A11F7">
        <w:rPr>
          <w:bCs/>
          <w:i/>
          <w:sz w:val="22"/>
          <w:szCs w:val="22"/>
          <w:lang w:val="lt-LT" w:eastAsia="sl-SI"/>
        </w:rPr>
        <w:t xml:space="preserve">Dažnis nežinomas </w:t>
      </w:r>
      <w:r w:rsidRPr="000A11F7">
        <w:rPr>
          <w:i/>
          <w:sz w:val="22"/>
          <w:szCs w:val="22"/>
          <w:lang w:val="lt-LT" w:eastAsia="sl-SI"/>
        </w:rPr>
        <w:t>(</w:t>
      </w:r>
      <w:r w:rsidRPr="000A11F7">
        <w:rPr>
          <w:i/>
          <w:sz w:val="22"/>
          <w:szCs w:val="22"/>
          <w:lang w:val="lt-LT" w:eastAsia="lt-LT"/>
        </w:rPr>
        <w:t>negali būti apskaičiuotas pagal turimus duomenis</w:t>
      </w:r>
      <w:r w:rsidRPr="000A11F7">
        <w:rPr>
          <w:i/>
          <w:sz w:val="22"/>
          <w:szCs w:val="22"/>
          <w:lang w:val="lt-LT" w:eastAsia="sl-SI"/>
        </w:rPr>
        <w:t>)</w:t>
      </w:r>
    </w:p>
    <w:p w:rsidR="00E66B2A" w:rsidRPr="000A11F7" w:rsidRDefault="00E66B2A" w:rsidP="00E66B2A">
      <w:pPr>
        <w:pStyle w:val="Sraopastraipa"/>
        <w:widowControl w:val="0"/>
        <w:numPr>
          <w:ilvl w:val="0"/>
          <w:numId w:val="2"/>
        </w:numPr>
        <w:rPr>
          <w:sz w:val="22"/>
          <w:szCs w:val="22"/>
          <w:lang w:val="lt-LT"/>
        </w:rPr>
      </w:pPr>
      <w:r w:rsidRPr="000A11F7">
        <w:rPr>
          <w:sz w:val="22"/>
          <w:szCs w:val="22"/>
          <w:lang w:val="lt-LT"/>
        </w:rPr>
        <w:t>Vaisto vartojimo nutraukimo sindromas vaisto vartojusių moterų naujagimiams.</w:t>
      </w:r>
    </w:p>
    <w:p w:rsidR="00E66B2A" w:rsidRPr="000A11F7" w:rsidRDefault="00E66B2A" w:rsidP="00E66B2A">
      <w:pPr>
        <w:pStyle w:val="Sraopastraipa"/>
        <w:widowControl w:val="0"/>
        <w:numPr>
          <w:ilvl w:val="0"/>
          <w:numId w:val="2"/>
        </w:numPr>
        <w:rPr>
          <w:sz w:val="22"/>
          <w:szCs w:val="22"/>
          <w:lang w:val="lt-LT"/>
        </w:rPr>
      </w:pPr>
      <w:r w:rsidRPr="000A11F7">
        <w:rPr>
          <w:sz w:val="22"/>
          <w:szCs w:val="22"/>
          <w:lang w:val="lt-LT"/>
        </w:rPr>
        <w:t>Neramių kojų sindromas (nemalonus pojūtis kojose, laikinai palengvėjantis jas judinant, bei simptomų pasunkėjimas dienos pabaigoje).</w:t>
      </w:r>
    </w:p>
    <w:p w:rsidR="00E66B2A" w:rsidRPr="000A11F7" w:rsidRDefault="00E66B2A" w:rsidP="00E66B2A">
      <w:pPr>
        <w:pStyle w:val="Sraopastraipa"/>
        <w:numPr>
          <w:ilvl w:val="0"/>
          <w:numId w:val="2"/>
        </w:numPr>
        <w:autoSpaceDE w:val="0"/>
        <w:autoSpaceDN w:val="0"/>
        <w:adjustRightInd w:val="0"/>
        <w:rPr>
          <w:sz w:val="22"/>
          <w:szCs w:val="22"/>
          <w:lang w:val="lt-LT"/>
        </w:rPr>
      </w:pPr>
      <w:r w:rsidRPr="000A11F7">
        <w:rPr>
          <w:sz w:val="22"/>
          <w:szCs w:val="22"/>
          <w:lang w:val="lt-LT"/>
        </w:rPr>
        <w:t>Kepenų audinio pažeidimas.</w:t>
      </w:r>
    </w:p>
    <w:p w:rsidR="00E66B2A" w:rsidRPr="000A11F7" w:rsidRDefault="00E66B2A" w:rsidP="00E66B2A">
      <w:pPr>
        <w:pStyle w:val="Sraopastraipa"/>
        <w:widowControl w:val="0"/>
        <w:numPr>
          <w:ilvl w:val="0"/>
          <w:numId w:val="2"/>
        </w:numPr>
        <w:rPr>
          <w:sz w:val="22"/>
          <w:szCs w:val="22"/>
          <w:lang w:val="lt-LT"/>
        </w:rPr>
      </w:pPr>
      <w:r w:rsidRPr="000A11F7">
        <w:rPr>
          <w:sz w:val="22"/>
          <w:szCs w:val="22"/>
          <w:lang w:val="lt-LT"/>
        </w:rPr>
        <w:t>Padidėjęs odos jautrumas saulės ir ultravioletinei šviesai.</w:t>
      </w:r>
    </w:p>
    <w:p w:rsidR="00E66B2A" w:rsidRPr="000A11F7" w:rsidRDefault="00E66B2A" w:rsidP="00E66B2A">
      <w:pPr>
        <w:autoSpaceDE w:val="0"/>
        <w:autoSpaceDN w:val="0"/>
        <w:adjustRightInd w:val="0"/>
        <w:rPr>
          <w:sz w:val="22"/>
          <w:szCs w:val="22"/>
          <w:lang w:val="lt-LT"/>
        </w:rPr>
      </w:pPr>
    </w:p>
    <w:p w:rsidR="00E66B2A" w:rsidRPr="000A11F7" w:rsidRDefault="00E66B2A" w:rsidP="00E66B2A">
      <w:pPr>
        <w:rPr>
          <w:b/>
          <w:bCs/>
          <w:noProof/>
          <w:sz w:val="22"/>
          <w:szCs w:val="22"/>
          <w:lang w:val="lt-LT" w:eastAsia="x-none"/>
        </w:rPr>
      </w:pPr>
      <w:r w:rsidRPr="000A11F7">
        <w:rPr>
          <w:b/>
          <w:bCs/>
          <w:noProof/>
          <w:sz w:val="22"/>
          <w:szCs w:val="22"/>
          <w:lang w:val="lt-LT" w:eastAsia="x-none"/>
        </w:rPr>
        <w:t>Pranešimas apie šalutinį poveikį</w:t>
      </w:r>
    </w:p>
    <w:p w:rsidR="00E66B2A" w:rsidRPr="000A11F7" w:rsidRDefault="00E66B2A" w:rsidP="00E66B2A">
      <w:pPr>
        <w:pStyle w:val="BTEMEASMCA"/>
      </w:pPr>
      <w:r w:rsidRPr="000A11F7">
        <w:rPr>
          <w:bCs/>
          <w:lang w:eastAsia="x-none"/>
        </w:rPr>
        <w:lastRenderedPageBreak/>
        <w:t xml:space="preserve">Jeigu pasireiškė šalutinis poveikis, įskaitant šiame lapelyje nenurodytą, pasakykite gydytojui arba vaistininkui. </w:t>
      </w:r>
      <w:r w:rsidRPr="000A11F7">
        <w:rPr>
          <w:snapToGrid w:val="0"/>
        </w:rPr>
        <w:t xml:space="preserve">Apie šalutinį poveikį taip pat galite pranešti tiesiogiai, užpildę interneto svetainėje </w:t>
      </w:r>
      <w:hyperlink r:id="rId5" w:history="1">
        <w:r w:rsidRPr="000A11F7">
          <w:rPr>
            <w:rFonts w:eastAsia="SimSun"/>
            <w:snapToGrid w:val="0"/>
            <w:color w:val="0000FF"/>
            <w:u w:val="single"/>
          </w:rPr>
          <w:t>www.vvkt.lt</w:t>
        </w:r>
      </w:hyperlink>
      <w:r w:rsidRPr="000A11F7">
        <w:rPr>
          <w:snapToGrid w:val="0"/>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0A11F7">
        <w:rPr>
          <w:rFonts w:eastAsia="Calibri"/>
          <w:snapToGrid w:val="0"/>
          <w:lang w:eastAsia="zh-CN"/>
        </w:rPr>
        <w:t xml:space="preserve">elefonu (8 6) 143 35 34; </w:t>
      </w:r>
      <w:r w:rsidRPr="000A11F7">
        <w:rPr>
          <w:snapToGrid w:val="0"/>
        </w:rPr>
        <w:t xml:space="preserve">el. paštu </w:t>
      </w:r>
      <w:hyperlink r:id="rId6" w:history="1">
        <w:r w:rsidRPr="000A11F7">
          <w:rPr>
            <w:rFonts w:eastAsia="SimSun"/>
            <w:snapToGrid w:val="0"/>
            <w:color w:val="0000FF"/>
            <w:u w:val="single"/>
          </w:rPr>
          <w:t>NepageidaujamaR@vvkt.lt</w:t>
        </w:r>
      </w:hyperlink>
      <w:r w:rsidRPr="000A11F7">
        <w:rPr>
          <w:snapToGrid w:val="0"/>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E66B2A" w:rsidRPr="000A11F7" w:rsidRDefault="00E66B2A" w:rsidP="00E66B2A">
      <w:pPr>
        <w:pStyle w:val="BTEMEASMCA"/>
      </w:pPr>
    </w:p>
    <w:p w:rsidR="00E66B2A" w:rsidRPr="000A11F7" w:rsidRDefault="00E66B2A" w:rsidP="00E66B2A">
      <w:pPr>
        <w:pStyle w:val="BTEMEASMCA"/>
      </w:pPr>
    </w:p>
    <w:p w:rsidR="00E66B2A" w:rsidRPr="000A11F7" w:rsidRDefault="00E66B2A" w:rsidP="00E66B2A">
      <w:pPr>
        <w:pStyle w:val="PI-1EMEASMCA"/>
        <w:rPr>
          <w:lang w:val="lt-LT"/>
        </w:rPr>
      </w:pPr>
      <w:bookmarkStart w:id="12" w:name="_Toc129243143"/>
      <w:bookmarkStart w:id="13" w:name="_Toc129243268"/>
      <w:r w:rsidRPr="000A11F7">
        <w:rPr>
          <w:lang w:val="lt-LT"/>
        </w:rPr>
        <w:t>5.</w:t>
      </w:r>
      <w:r w:rsidRPr="000A11F7">
        <w:rPr>
          <w:lang w:val="lt-LT"/>
        </w:rPr>
        <w:tab/>
        <w:t xml:space="preserve">Kaip laikyti </w:t>
      </w:r>
      <w:bookmarkEnd w:id="12"/>
      <w:bookmarkEnd w:id="13"/>
      <w:r w:rsidRPr="000A11F7">
        <w:rPr>
          <w:lang w:val="lt-LT"/>
        </w:rPr>
        <w:t>Solian</w:t>
      </w:r>
    </w:p>
    <w:p w:rsidR="00E66B2A" w:rsidRPr="000A11F7" w:rsidRDefault="00E66B2A" w:rsidP="00E66B2A">
      <w:pPr>
        <w:pStyle w:val="BTEMEASMCA"/>
      </w:pPr>
    </w:p>
    <w:p w:rsidR="00E66B2A" w:rsidRPr="000A11F7" w:rsidRDefault="00E66B2A" w:rsidP="00E66B2A">
      <w:pPr>
        <w:numPr>
          <w:ilvl w:val="12"/>
          <w:numId w:val="0"/>
        </w:numPr>
        <w:ind w:right="-2"/>
        <w:rPr>
          <w:rFonts w:eastAsia="SimSun"/>
          <w:sz w:val="22"/>
          <w:szCs w:val="22"/>
          <w:lang w:val="lt-LT" w:eastAsia="zh-CN"/>
        </w:rPr>
      </w:pPr>
      <w:r w:rsidRPr="000A11F7">
        <w:rPr>
          <w:rFonts w:eastAsia="SimSun"/>
          <w:sz w:val="22"/>
          <w:szCs w:val="22"/>
          <w:lang w:val="lt-LT" w:eastAsia="zh-CN"/>
        </w:rPr>
        <w:t>Šį vaistą laikykite vaikams nepastebimoje ir nepasiekiamoje vietoje.</w:t>
      </w:r>
    </w:p>
    <w:p w:rsidR="00E66B2A" w:rsidRPr="000A11F7" w:rsidRDefault="00E66B2A" w:rsidP="00E66B2A">
      <w:pPr>
        <w:numPr>
          <w:ilvl w:val="12"/>
          <w:numId w:val="0"/>
        </w:numPr>
        <w:ind w:right="-2"/>
        <w:rPr>
          <w:rFonts w:eastAsia="SimSun"/>
          <w:sz w:val="22"/>
          <w:szCs w:val="22"/>
          <w:lang w:val="lt-LT" w:eastAsia="zh-CN"/>
        </w:rPr>
      </w:pPr>
    </w:p>
    <w:p w:rsidR="00E66B2A" w:rsidRPr="000A11F7" w:rsidRDefault="00E66B2A" w:rsidP="00E66B2A">
      <w:pPr>
        <w:ind w:left="540" w:hanging="540"/>
        <w:rPr>
          <w:sz w:val="22"/>
          <w:szCs w:val="22"/>
          <w:lang w:val="lt-LT"/>
        </w:rPr>
      </w:pPr>
      <w:r w:rsidRPr="000A11F7">
        <w:rPr>
          <w:sz w:val="22"/>
          <w:szCs w:val="22"/>
          <w:lang w:val="lt-LT"/>
        </w:rPr>
        <w:t xml:space="preserve">Laikyti ne aukštesnėje kaip 25 ºC temperatūroje. </w:t>
      </w:r>
    </w:p>
    <w:p w:rsidR="00E66B2A" w:rsidRPr="000A11F7" w:rsidRDefault="00E66B2A" w:rsidP="00E66B2A">
      <w:pPr>
        <w:ind w:left="540" w:hanging="540"/>
        <w:rPr>
          <w:sz w:val="22"/>
          <w:szCs w:val="22"/>
          <w:lang w:val="lt-LT"/>
        </w:rPr>
      </w:pPr>
    </w:p>
    <w:p w:rsidR="00E66B2A" w:rsidRPr="000A11F7" w:rsidRDefault="00E66B2A" w:rsidP="00E66B2A">
      <w:pPr>
        <w:pStyle w:val="BTEMEASMCA"/>
      </w:pPr>
      <w:r w:rsidRPr="000A11F7">
        <w:t>Ant dėžutės ir lizdinės plokštelės po „Tinka iki“ nurodytam tinkamumo laikui pasibaigus, šio vaisto vartoti negalima. Vaistas tinkamas vartoti iki paskutinės nurodyto mėnesio dienos.</w:t>
      </w:r>
    </w:p>
    <w:p w:rsidR="00E66B2A" w:rsidRPr="000A11F7" w:rsidRDefault="00E66B2A" w:rsidP="00E66B2A">
      <w:pPr>
        <w:pStyle w:val="BTEMEASMCA"/>
      </w:pPr>
    </w:p>
    <w:p w:rsidR="00E66B2A" w:rsidRPr="000A11F7" w:rsidRDefault="00E66B2A" w:rsidP="00E66B2A">
      <w:pPr>
        <w:pStyle w:val="BTEMEASMCA"/>
      </w:pPr>
      <w:r w:rsidRPr="000A11F7">
        <w:t>Vaistų negalima išmesti į kanalizaciją arba su buitinėmis atliekomis. Kaip išmesti nereikalingus vaistus, klauskite vaistininko. Šios priemonės padės apsaugoti aplinką.</w:t>
      </w:r>
    </w:p>
    <w:p w:rsidR="00E66B2A" w:rsidRPr="000A11F7" w:rsidRDefault="00E66B2A" w:rsidP="00E66B2A">
      <w:pPr>
        <w:pStyle w:val="BTEMEASMCA"/>
      </w:pPr>
    </w:p>
    <w:p w:rsidR="00E66B2A" w:rsidRPr="000A11F7" w:rsidRDefault="00E66B2A" w:rsidP="00E66B2A">
      <w:pPr>
        <w:pStyle w:val="BTEMEASMCA"/>
      </w:pPr>
    </w:p>
    <w:p w:rsidR="00E66B2A" w:rsidRPr="000A11F7" w:rsidRDefault="00E66B2A" w:rsidP="00E66B2A">
      <w:pPr>
        <w:pStyle w:val="PI-1EMEASMCA"/>
        <w:rPr>
          <w:lang w:val="lt-LT"/>
        </w:rPr>
      </w:pPr>
      <w:bookmarkStart w:id="14" w:name="_Toc129243144"/>
      <w:bookmarkStart w:id="15" w:name="_Toc129243269"/>
      <w:r w:rsidRPr="000A11F7">
        <w:rPr>
          <w:lang w:val="lt-LT"/>
        </w:rPr>
        <w:t>6.</w:t>
      </w:r>
      <w:r w:rsidRPr="000A11F7">
        <w:rPr>
          <w:lang w:val="lt-LT"/>
        </w:rPr>
        <w:tab/>
        <w:t>Pakuotės turinys ir kita informacija</w:t>
      </w:r>
      <w:bookmarkEnd w:id="14"/>
      <w:bookmarkEnd w:id="15"/>
    </w:p>
    <w:p w:rsidR="00E66B2A" w:rsidRPr="000A11F7" w:rsidRDefault="00E66B2A" w:rsidP="00E66B2A">
      <w:pPr>
        <w:pStyle w:val="BTEMEASMCA"/>
      </w:pPr>
    </w:p>
    <w:p w:rsidR="00E66B2A" w:rsidRPr="000A11F7" w:rsidRDefault="00E66B2A" w:rsidP="00E66B2A">
      <w:pPr>
        <w:pStyle w:val="PI-3EMEASMCA"/>
      </w:pPr>
      <w:r w:rsidRPr="000A11F7">
        <w:t>SOLIAN sudėtis</w:t>
      </w:r>
    </w:p>
    <w:p w:rsidR="00E66B2A" w:rsidRPr="000A11F7" w:rsidRDefault="00E66B2A" w:rsidP="00E66B2A">
      <w:pPr>
        <w:pStyle w:val="BTEMEASMCA"/>
      </w:pPr>
    </w:p>
    <w:p w:rsidR="00E66B2A" w:rsidRPr="000A11F7" w:rsidRDefault="00E66B2A" w:rsidP="00E66B2A">
      <w:pPr>
        <w:pStyle w:val="BT-EMEASMCA"/>
      </w:pPr>
      <w:r w:rsidRPr="000A11F7">
        <w:t>Veiklioji medžiaga yra amisulpridas. Kiekvienoje tabletėje yra 50 mg, 200 mg arba 400 mg amisulprido.</w:t>
      </w:r>
    </w:p>
    <w:p w:rsidR="00E66B2A" w:rsidRPr="000A11F7" w:rsidRDefault="00E66B2A" w:rsidP="00E66B2A">
      <w:pPr>
        <w:pStyle w:val="BT-EMEASMCA"/>
      </w:pPr>
      <w:r w:rsidRPr="000A11F7">
        <w:t>Pagalbinės medžiagos Solian 50 mg tabletėse, Solian 200 mg tabletėse ir Solian 400 mg tabletės branduolyje yra: karboksimetilkrakmolo A natrio druska, mikrokristalinė celiuliozė, hipromeliozė, laktozė monohidratas, magnio stearatas.</w:t>
      </w:r>
    </w:p>
    <w:p w:rsidR="00E66B2A" w:rsidRPr="000A11F7" w:rsidRDefault="00E66B2A" w:rsidP="00E66B2A">
      <w:pPr>
        <w:pStyle w:val="BT-EMEASMCA"/>
      </w:pPr>
      <w:r w:rsidRPr="000A11F7">
        <w:t>Solian 400 mg</w:t>
      </w:r>
      <w:r w:rsidRPr="000A11F7">
        <w:rPr>
          <w:i/>
        </w:rPr>
        <w:t xml:space="preserve"> </w:t>
      </w:r>
      <w:r w:rsidRPr="000A11F7">
        <w:t>plėvele dengtos tabletės plėvelėje yra hipromeliozė, mikrokristalinė celiuliozė, p</w:t>
      </w:r>
      <w:r w:rsidRPr="000A11F7">
        <w:rPr>
          <w:noProof/>
        </w:rPr>
        <w:t>olioksil 40 stearatas</w:t>
      </w:r>
      <w:r w:rsidRPr="000A11F7">
        <w:t>, titano dioksidas (E171).</w:t>
      </w:r>
    </w:p>
    <w:p w:rsidR="00E66B2A" w:rsidRPr="000A11F7" w:rsidRDefault="00E66B2A" w:rsidP="00E66B2A">
      <w:pPr>
        <w:pStyle w:val="BT-EMEASMCA"/>
        <w:numPr>
          <w:ilvl w:val="0"/>
          <w:numId w:val="0"/>
        </w:numPr>
        <w:ind w:left="720"/>
      </w:pPr>
    </w:p>
    <w:p w:rsidR="00E66B2A" w:rsidRPr="000A11F7" w:rsidRDefault="00E66B2A" w:rsidP="00E66B2A">
      <w:pPr>
        <w:pStyle w:val="PI-3EMEASMCA"/>
      </w:pPr>
      <w:r w:rsidRPr="000A11F7">
        <w:t>SOLIAN išvaizda ir kiekis pakuotėje</w:t>
      </w:r>
    </w:p>
    <w:p w:rsidR="00E66B2A" w:rsidRPr="000A11F7" w:rsidRDefault="00E66B2A" w:rsidP="00E66B2A">
      <w:pPr>
        <w:autoSpaceDE w:val="0"/>
        <w:autoSpaceDN w:val="0"/>
        <w:adjustRightInd w:val="0"/>
        <w:rPr>
          <w:sz w:val="22"/>
          <w:szCs w:val="22"/>
          <w:lang w:val="lt-LT"/>
        </w:rPr>
      </w:pPr>
      <w:r w:rsidRPr="000A11F7">
        <w:rPr>
          <w:sz w:val="22"/>
          <w:szCs w:val="22"/>
          <w:lang w:val="lt-LT"/>
        </w:rPr>
        <w:t>30 tablečių PVC/aliuminio lizdinėse plokštelėse, supakuotose į kartono dėžutę.</w:t>
      </w:r>
    </w:p>
    <w:p w:rsidR="00E66B2A" w:rsidRPr="000A11F7" w:rsidRDefault="00E66B2A" w:rsidP="00E66B2A">
      <w:pPr>
        <w:pStyle w:val="BTEMEASMCA"/>
      </w:pPr>
      <w:r w:rsidRPr="000A11F7">
        <w:t>Solian 50 mg tabletės yra baltos, apvalios, plokščios, su įspaudu „AMI 50“ vienoje pusėje.</w:t>
      </w:r>
    </w:p>
    <w:p w:rsidR="00E66B2A" w:rsidRPr="000A11F7" w:rsidRDefault="00E66B2A" w:rsidP="00E66B2A">
      <w:pPr>
        <w:pStyle w:val="BTEMEASMCA"/>
      </w:pPr>
      <w:r w:rsidRPr="000A11F7">
        <w:t xml:space="preserve">Solian 200 mg tabletės yra baltos, apvalios, plokščios, su įspaudu „AMI 200“ vienoje pusėje ir įranta kitoje pusėje. Tabletę galima dalyti į lygias dozes. </w:t>
      </w:r>
    </w:p>
    <w:p w:rsidR="00E66B2A" w:rsidRPr="000A11F7" w:rsidRDefault="00E66B2A" w:rsidP="00E66B2A">
      <w:pPr>
        <w:pStyle w:val="BTEMEASMCA"/>
      </w:pPr>
      <w:r w:rsidRPr="000A11F7">
        <w:t>Solian 400 mg plėvele dengtos tabletės yra baltos, pailgos, su įspaudu „AMI 400“ ir įranta vienoje pusėje. Tabletę galima dalyti į lygias dozes.</w:t>
      </w:r>
    </w:p>
    <w:p w:rsidR="00E66B2A" w:rsidRPr="000A11F7" w:rsidRDefault="00E66B2A" w:rsidP="00E66B2A">
      <w:pPr>
        <w:pStyle w:val="BTEMEASMCA"/>
      </w:pPr>
    </w:p>
    <w:p w:rsidR="00E66B2A" w:rsidRPr="000A11F7" w:rsidRDefault="00E66B2A" w:rsidP="00E66B2A">
      <w:pPr>
        <w:pStyle w:val="PI-3EMEASMCA"/>
      </w:pPr>
      <w:bookmarkStart w:id="16" w:name="OLE_LINK1"/>
      <w:r w:rsidRPr="000A11F7">
        <w:t xml:space="preserve">Registruotojas </w:t>
      </w:r>
      <w:bookmarkEnd w:id="16"/>
      <w:r w:rsidRPr="000A11F7">
        <w:t>ir gamintojas</w:t>
      </w:r>
    </w:p>
    <w:p w:rsidR="00E66B2A" w:rsidRPr="000A11F7" w:rsidRDefault="00E66B2A" w:rsidP="00E66B2A">
      <w:pPr>
        <w:pStyle w:val="PI-3EMEASMCA"/>
      </w:pPr>
    </w:p>
    <w:p w:rsidR="00E66B2A" w:rsidRPr="000A11F7" w:rsidRDefault="00E66B2A" w:rsidP="00E66B2A">
      <w:pPr>
        <w:pStyle w:val="PI-3EMEASMCA"/>
      </w:pPr>
      <w:r w:rsidRPr="000A11F7">
        <w:t>Registruotojas</w:t>
      </w:r>
    </w:p>
    <w:p w:rsidR="00E66B2A" w:rsidRPr="000A11F7" w:rsidRDefault="00E66B2A" w:rsidP="00E66B2A">
      <w:pPr>
        <w:pStyle w:val="BTEMEASMCA"/>
      </w:pPr>
      <w:r w:rsidRPr="000A11F7">
        <w:t>UAB „SANOFI-AVENTIS LIETUVA”</w:t>
      </w:r>
    </w:p>
    <w:p w:rsidR="00E66B2A" w:rsidRPr="000A11F7" w:rsidRDefault="00E66B2A" w:rsidP="00E66B2A">
      <w:pPr>
        <w:pStyle w:val="BTEMEASMCA"/>
      </w:pPr>
      <w:r w:rsidRPr="000A11F7">
        <w:t xml:space="preserve">A.Juozapavičiaus g. 6/2 </w:t>
      </w:r>
    </w:p>
    <w:p w:rsidR="00E66B2A" w:rsidRPr="000A11F7" w:rsidRDefault="00E66B2A" w:rsidP="00E66B2A">
      <w:pPr>
        <w:pStyle w:val="BTEMEASMCA"/>
      </w:pPr>
      <w:r w:rsidRPr="000A11F7">
        <w:t>LT-09310 Vilnius</w:t>
      </w:r>
    </w:p>
    <w:p w:rsidR="00E66B2A" w:rsidRPr="000A11F7" w:rsidRDefault="00E66B2A" w:rsidP="00E66B2A">
      <w:pPr>
        <w:pStyle w:val="BTEMEASMCA"/>
      </w:pPr>
      <w:r w:rsidRPr="000A11F7">
        <w:t>Lietuva</w:t>
      </w:r>
    </w:p>
    <w:p w:rsidR="00E66B2A" w:rsidRPr="000A11F7" w:rsidRDefault="00E66B2A" w:rsidP="00E66B2A">
      <w:pPr>
        <w:pStyle w:val="BTEMEASMCA"/>
      </w:pPr>
    </w:p>
    <w:p w:rsidR="00E66B2A" w:rsidRPr="000A11F7" w:rsidRDefault="00E66B2A" w:rsidP="00E66B2A">
      <w:pPr>
        <w:rPr>
          <w:i/>
          <w:color w:val="000000"/>
          <w:sz w:val="22"/>
          <w:szCs w:val="22"/>
          <w:lang w:val="lt-LT"/>
        </w:rPr>
      </w:pPr>
      <w:r w:rsidRPr="000A11F7">
        <w:rPr>
          <w:i/>
          <w:color w:val="000000"/>
          <w:sz w:val="22"/>
          <w:szCs w:val="22"/>
          <w:lang w:val="lt-LT"/>
        </w:rPr>
        <w:t xml:space="preserve">Gamintojai </w:t>
      </w:r>
    </w:p>
    <w:p w:rsidR="00E66B2A" w:rsidRPr="000A11F7" w:rsidRDefault="00E66B2A" w:rsidP="00E66B2A">
      <w:pPr>
        <w:rPr>
          <w:i/>
          <w:sz w:val="22"/>
          <w:szCs w:val="22"/>
          <w:lang w:val="lt-LT"/>
        </w:rPr>
      </w:pPr>
      <w:r w:rsidRPr="000A11F7">
        <w:rPr>
          <w:i/>
          <w:sz w:val="22"/>
          <w:szCs w:val="22"/>
          <w:lang w:val="lt-LT"/>
        </w:rPr>
        <w:t xml:space="preserve">Solian 50 mg tabletės ir Solian 200 mg tabletės </w:t>
      </w:r>
    </w:p>
    <w:p w:rsidR="00E66B2A" w:rsidRPr="000A11F7" w:rsidRDefault="00E66B2A" w:rsidP="00E66B2A">
      <w:pPr>
        <w:rPr>
          <w:color w:val="000000"/>
          <w:sz w:val="22"/>
          <w:szCs w:val="22"/>
          <w:lang w:val="lt-LT"/>
        </w:rPr>
      </w:pPr>
      <w:r w:rsidRPr="000A11F7">
        <w:rPr>
          <w:color w:val="000000"/>
          <w:sz w:val="22"/>
          <w:szCs w:val="22"/>
          <w:lang w:val="lt-LT"/>
        </w:rPr>
        <w:t>Delpharm Dijon</w:t>
      </w:r>
    </w:p>
    <w:p w:rsidR="00E66B2A" w:rsidRPr="000A11F7" w:rsidRDefault="00E66B2A" w:rsidP="00E66B2A">
      <w:pPr>
        <w:rPr>
          <w:color w:val="000000"/>
          <w:sz w:val="22"/>
          <w:szCs w:val="22"/>
          <w:lang w:val="lt-LT"/>
        </w:rPr>
      </w:pPr>
      <w:r w:rsidRPr="000A11F7">
        <w:rPr>
          <w:color w:val="000000"/>
          <w:sz w:val="22"/>
          <w:szCs w:val="22"/>
          <w:lang w:val="lt-LT"/>
        </w:rPr>
        <w:t xml:space="preserve">6, boulevard de l'Europe </w:t>
      </w:r>
    </w:p>
    <w:p w:rsidR="00E66B2A" w:rsidRPr="000A11F7" w:rsidRDefault="00E66B2A" w:rsidP="00E66B2A">
      <w:pPr>
        <w:rPr>
          <w:color w:val="000000"/>
          <w:sz w:val="22"/>
          <w:szCs w:val="22"/>
          <w:lang w:val="lt-LT"/>
        </w:rPr>
      </w:pPr>
      <w:r w:rsidRPr="000A11F7">
        <w:rPr>
          <w:color w:val="000000"/>
          <w:sz w:val="22"/>
          <w:szCs w:val="22"/>
          <w:lang w:val="lt-LT"/>
        </w:rPr>
        <w:t>21800 Quetigny</w:t>
      </w:r>
    </w:p>
    <w:p w:rsidR="00E66B2A" w:rsidRPr="000A11F7" w:rsidRDefault="00E66B2A" w:rsidP="00E66B2A">
      <w:pPr>
        <w:rPr>
          <w:sz w:val="22"/>
          <w:szCs w:val="22"/>
          <w:lang w:val="lt-LT"/>
        </w:rPr>
      </w:pPr>
      <w:r w:rsidRPr="000A11F7">
        <w:rPr>
          <w:sz w:val="22"/>
          <w:szCs w:val="22"/>
          <w:lang w:val="lt-LT"/>
        </w:rPr>
        <w:t xml:space="preserve">Prancūzija </w:t>
      </w:r>
    </w:p>
    <w:p w:rsidR="00E66B2A" w:rsidRPr="000A11F7" w:rsidRDefault="00E66B2A" w:rsidP="00E66B2A">
      <w:pPr>
        <w:rPr>
          <w:noProof/>
          <w:sz w:val="22"/>
          <w:szCs w:val="22"/>
          <w:lang w:val="lt-LT"/>
        </w:rPr>
      </w:pPr>
    </w:p>
    <w:p w:rsidR="00E66B2A" w:rsidRPr="000A11F7" w:rsidRDefault="00E66B2A" w:rsidP="00E66B2A">
      <w:pPr>
        <w:pStyle w:val="BTEMEASMCA"/>
      </w:pPr>
      <w:r w:rsidRPr="000A11F7">
        <w:t>Solian 400 mg plėvele dengtos tabletės</w:t>
      </w:r>
    </w:p>
    <w:p w:rsidR="00E66B2A" w:rsidRPr="000A11F7" w:rsidRDefault="00E66B2A" w:rsidP="00E66B2A">
      <w:pPr>
        <w:rPr>
          <w:color w:val="000000"/>
          <w:sz w:val="22"/>
          <w:szCs w:val="22"/>
          <w:lang w:val="lt-LT"/>
        </w:rPr>
      </w:pPr>
      <w:r w:rsidRPr="000A11F7">
        <w:rPr>
          <w:color w:val="000000"/>
          <w:sz w:val="22"/>
          <w:szCs w:val="22"/>
          <w:lang w:val="lt-LT"/>
        </w:rPr>
        <w:t>Delpharm Dijon</w:t>
      </w:r>
    </w:p>
    <w:p w:rsidR="00E66B2A" w:rsidRPr="000A11F7" w:rsidRDefault="00E66B2A" w:rsidP="00E66B2A">
      <w:pPr>
        <w:rPr>
          <w:color w:val="000000"/>
          <w:sz w:val="22"/>
          <w:szCs w:val="22"/>
          <w:lang w:val="lt-LT"/>
        </w:rPr>
      </w:pPr>
      <w:r w:rsidRPr="000A11F7">
        <w:rPr>
          <w:color w:val="000000"/>
          <w:sz w:val="22"/>
          <w:szCs w:val="22"/>
          <w:lang w:val="lt-LT"/>
        </w:rPr>
        <w:t xml:space="preserve">6, boulevard de l'Europe </w:t>
      </w:r>
    </w:p>
    <w:p w:rsidR="00E66B2A" w:rsidRPr="000A11F7" w:rsidRDefault="00E66B2A" w:rsidP="00E66B2A">
      <w:pPr>
        <w:rPr>
          <w:color w:val="000000"/>
          <w:sz w:val="22"/>
          <w:szCs w:val="22"/>
          <w:lang w:val="lt-LT"/>
        </w:rPr>
      </w:pPr>
      <w:r w:rsidRPr="000A11F7">
        <w:rPr>
          <w:color w:val="000000"/>
          <w:sz w:val="22"/>
          <w:szCs w:val="22"/>
          <w:lang w:val="lt-LT"/>
        </w:rPr>
        <w:t>21800 Quetigny</w:t>
      </w:r>
    </w:p>
    <w:p w:rsidR="00E66B2A" w:rsidRPr="000A11F7" w:rsidRDefault="00E66B2A" w:rsidP="00E66B2A">
      <w:pPr>
        <w:rPr>
          <w:sz w:val="22"/>
          <w:szCs w:val="22"/>
          <w:lang w:val="lt-LT"/>
        </w:rPr>
      </w:pPr>
      <w:r w:rsidRPr="000A11F7">
        <w:rPr>
          <w:sz w:val="22"/>
          <w:szCs w:val="22"/>
          <w:lang w:val="lt-LT"/>
        </w:rPr>
        <w:t xml:space="preserve">Prancūzija </w:t>
      </w:r>
    </w:p>
    <w:p w:rsidR="00E66B2A" w:rsidRPr="000A11F7" w:rsidRDefault="00E66B2A" w:rsidP="00E66B2A">
      <w:pPr>
        <w:rPr>
          <w:sz w:val="22"/>
          <w:szCs w:val="22"/>
          <w:lang w:val="lt-LT"/>
        </w:rPr>
      </w:pPr>
    </w:p>
    <w:p w:rsidR="00E66B2A" w:rsidRPr="000A11F7" w:rsidRDefault="00E66B2A" w:rsidP="00E66B2A">
      <w:pPr>
        <w:rPr>
          <w:i/>
          <w:sz w:val="22"/>
          <w:szCs w:val="22"/>
          <w:lang w:val="lt-LT"/>
        </w:rPr>
      </w:pPr>
      <w:r w:rsidRPr="000A11F7">
        <w:rPr>
          <w:i/>
          <w:sz w:val="22"/>
          <w:szCs w:val="22"/>
          <w:lang w:val="lt-LT"/>
        </w:rPr>
        <w:t>arba</w:t>
      </w:r>
    </w:p>
    <w:p w:rsidR="00E66B2A" w:rsidRPr="000A11F7" w:rsidRDefault="00E66B2A" w:rsidP="00E66B2A">
      <w:pPr>
        <w:rPr>
          <w:i/>
          <w:noProof/>
          <w:sz w:val="22"/>
          <w:szCs w:val="22"/>
          <w:lang w:val="lt-LT"/>
        </w:rPr>
      </w:pPr>
    </w:p>
    <w:p w:rsidR="00E66B2A" w:rsidRPr="000A11F7" w:rsidRDefault="00E66B2A" w:rsidP="00E66B2A">
      <w:pPr>
        <w:jc w:val="both"/>
        <w:rPr>
          <w:sz w:val="22"/>
          <w:szCs w:val="22"/>
          <w:lang w:val="lt-LT"/>
        </w:rPr>
      </w:pPr>
      <w:r w:rsidRPr="000A11F7">
        <w:rPr>
          <w:sz w:val="22"/>
          <w:szCs w:val="22"/>
          <w:lang w:val="lt-LT"/>
        </w:rPr>
        <w:t>SANOFI-AVENTIS Zrt.</w:t>
      </w:r>
    </w:p>
    <w:p w:rsidR="00E66B2A" w:rsidRPr="000A11F7" w:rsidRDefault="00E66B2A" w:rsidP="00E66B2A">
      <w:pPr>
        <w:jc w:val="both"/>
        <w:rPr>
          <w:sz w:val="22"/>
          <w:szCs w:val="22"/>
          <w:lang w:val="lt-LT"/>
        </w:rPr>
      </w:pPr>
      <w:r w:rsidRPr="000A11F7">
        <w:rPr>
          <w:sz w:val="22"/>
          <w:szCs w:val="22"/>
          <w:lang w:val="lt-LT"/>
        </w:rPr>
        <w:t>Campona u. 1 (Harbor Park)</w:t>
      </w:r>
    </w:p>
    <w:p w:rsidR="00E66B2A" w:rsidRPr="000A11F7" w:rsidRDefault="00E66B2A" w:rsidP="00E66B2A">
      <w:pPr>
        <w:jc w:val="both"/>
        <w:rPr>
          <w:sz w:val="22"/>
          <w:szCs w:val="22"/>
          <w:lang w:val="lt-LT"/>
        </w:rPr>
      </w:pPr>
      <w:r w:rsidRPr="000A11F7">
        <w:rPr>
          <w:sz w:val="22"/>
          <w:szCs w:val="22"/>
          <w:lang w:val="lt-LT"/>
        </w:rPr>
        <w:t>1225 Budapest</w:t>
      </w:r>
    </w:p>
    <w:p w:rsidR="00E66B2A" w:rsidRPr="000A11F7" w:rsidRDefault="00E66B2A" w:rsidP="00E66B2A">
      <w:pPr>
        <w:pStyle w:val="BTEMEASMCA"/>
      </w:pPr>
      <w:r w:rsidRPr="000A11F7">
        <w:t>Vengrija</w:t>
      </w:r>
    </w:p>
    <w:p w:rsidR="00E66B2A" w:rsidRPr="000A11F7" w:rsidRDefault="00E66B2A" w:rsidP="00E66B2A">
      <w:pPr>
        <w:pStyle w:val="BTEMEASMCA"/>
      </w:pPr>
    </w:p>
    <w:p w:rsidR="00E66B2A" w:rsidRPr="000A11F7" w:rsidRDefault="00E66B2A" w:rsidP="00E66B2A">
      <w:pPr>
        <w:pStyle w:val="BTEMEASMCA"/>
      </w:pPr>
    </w:p>
    <w:p w:rsidR="00E66B2A" w:rsidRPr="000A11F7" w:rsidRDefault="00E66B2A" w:rsidP="00E66B2A">
      <w:pPr>
        <w:pStyle w:val="BTEMEASMCA"/>
      </w:pPr>
      <w:r w:rsidRPr="000A11F7">
        <w:t>Jeigu apie šį vaistą norite sužinoti daugiau, kreipkitės į registruotoją.</w:t>
      </w:r>
    </w:p>
    <w:p w:rsidR="00E66B2A" w:rsidRPr="000A11F7" w:rsidRDefault="00E66B2A" w:rsidP="00E66B2A">
      <w:pPr>
        <w:rPr>
          <w:sz w:val="22"/>
          <w:szCs w:val="22"/>
          <w:lang w:val="lt-LT"/>
        </w:rPr>
      </w:pPr>
    </w:p>
    <w:tbl>
      <w:tblPr>
        <w:tblW w:w="4536" w:type="dxa"/>
        <w:tblInd w:w="108" w:type="dxa"/>
        <w:tblLayout w:type="fixed"/>
        <w:tblLook w:val="0000" w:firstRow="0" w:lastRow="0" w:firstColumn="0" w:lastColumn="0" w:noHBand="0" w:noVBand="0"/>
      </w:tblPr>
      <w:tblGrid>
        <w:gridCol w:w="4536"/>
      </w:tblGrid>
      <w:tr w:rsidR="00E66B2A" w:rsidRPr="000A11F7" w:rsidTr="00C844C8">
        <w:tc>
          <w:tcPr>
            <w:tcW w:w="4536" w:type="dxa"/>
          </w:tcPr>
          <w:p w:rsidR="00E66B2A" w:rsidRPr="000A11F7" w:rsidRDefault="00E66B2A" w:rsidP="00C844C8">
            <w:pPr>
              <w:pStyle w:val="BTEMEASMCA"/>
            </w:pPr>
            <w:r w:rsidRPr="000A11F7">
              <w:t>UAB „SANOFI-AVENTIS LIETUVA”</w:t>
            </w:r>
          </w:p>
          <w:p w:rsidR="00E66B2A" w:rsidRPr="000A11F7" w:rsidRDefault="00E66B2A" w:rsidP="00C844C8">
            <w:pPr>
              <w:pStyle w:val="BTEMEASMCA"/>
            </w:pPr>
            <w:r w:rsidRPr="000A11F7">
              <w:t xml:space="preserve">A.Juozapavičiaus g. 6/2 </w:t>
            </w:r>
          </w:p>
          <w:p w:rsidR="00E66B2A" w:rsidRPr="000A11F7" w:rsidRDefault="00E66B2A" w:rsidP="00C844C8">
            <w:pPr>
              <w:pStyle w:val="BTEMEASMCA"/>
            </w:pPr>
            <w:r w:rsidRPr="000A11F7">
              <w:t>LT-09310 Vilnius</w:t>
            </w:r>
          </w:p>
          <w:p w:rsidR="00E66B2A" w:rsidRPr="000A11F7" w:rsidRDefault="00E66B2A" w:rsidP="00C844C8">
            <w:pPr>
              <w:pStyle w:val="BTEMEASMCA"/>
            </w:pPr>
            <w:r w:rsidRPr="000A11F7">
              <w:t>Lietuva</w:t>
            </w:r>
          </w:p>
          <w:p w:rsidR="00E66B2A" w:rsidRPr="000A11F7" w:rsidRDefault="00E66B2A" w:rsidP="00C844C8">
            <w:pPr>
              <w:tabs>
                <w:tab w:val="left" w:pos="-720"/>
              </w:tabs>
              <w:suppressAutoHyphens/>
              <w:rPr>
                <w:sz w:val="22"/>
                <w:szCs w:val="22"/>
                <w:lang w:val="lt-LT"/>
              </w:rPr>
            </w:pPr>
            <w:r w:rsidRPr="000A11F7">
              <w:rPr>
                <w:sz w:val="22"/>
                <w:szCs w:val="22"/>
                <w:lang w:val="lt-LT"/>
              </w:rPr>
              <w:t>Tel. +370 5 275 5224</w:t>
            </w:r>
          </w:p>
        </w:tc>
      </w:tr>
    </w:tbl>
    <w:p w:rsidR="00E66B2A" w:rsidRPr="000A11F7" w:rsidRDefault="00E66B2A" w:rsidP="00E66B2A">
      <w:pPr>
        <w:pStyle w:val="BTEMEASMCA"/>
      </w:pPr>
    </w:p>
    <w:p w:rsidR="00E66B2A" w:rsidRPr="000A11F7" w:rsidRDefault="00E66B2A" w:rsidP="00E66B2A">
      <w:pPr>
        <w:pStyle w:val="BTEMEASMCA"/>
      </w:pPr>
    </w:p>
    <w:p w:rsidR="00E66B2A" w:rsidRPr="000A11F7" w:rsidRDefault="00E66B2A" w:rsidP="00E66B2A">
      <w:pPr>
        <w:pStyle w:val="BTbEMEASMCA"/>
        <w:rPr>
          <w:rFonts w:ascii="Times New Roman" w:hAnsi="Times New Roman" w:cs="Times New Roman"/>
        </w:rPr>
      </w:pPr>
      <w:r w:rsidRPr="000A11F7">
        <w:rPr>
          <w:rFonts w:ascii="Times New Roman" w:hAnsi="Times New Roman" w:cs="Times New Roman"/>
        </w:rPr>
        <w:t>Šis pakuotės lapelis paskutinį kartą peržiūrėtas</w:t>
      </w:r>
      <w:r>
        <w:rPr>
          <w:rFonts w:ascii="Times New Roman" w:hAnsi="Times New Roman" w:cs="Times New Roman"/>
        </w:rPr>
        <w:t xml:space="preserve"> 2019-06-18</w:t>
      </w:r>
      <w:r w:rsidRPr="000A11F7">
        <w:rPr>
          <w:rFonts w:ascii="Times New Roman" w:hAnsi="Times New Roman" w:cs="Times New Roman"/>
        </w:rPr>
        <w:t>.</w:t>
      </w:r>
    </w:p>
    <w:p w:rsidR="00E66B2A" w:rsidRPr="000A11F7" w:rsidRDefault="00E66B2A" w:rsidP="00E66B2A">
      <w:pPr>
        <w:pStyle w:val="BTEMEASMCA"/>
      </w:pPr>
    </w:p>
    <w:p w:rsidR="00E66B2A" w:rsidRPr="000A11F7" w:rsidRDefault="00E66B2A" w:rsidP="00E66B2A">
      <w:pPr>
        <w:pStyle w:val="BTEMEASMCA"/>
      </w:pPr>
    </w:p>
    <w:p w:rsidR="00E66B2A" w:rsidRDefault="00E66B2A" w:rsidP="00E66B2A">
      <w:pPr>
        <w:rPr>
          <w:sz w:val="22"/>
          <w:szCs w:val="22"/>
          <w:lang w:val="lt-LT"/>
        </w:rPr>
      </w:pPr>
      <w:r w:rsidRPr="000A11F7">
        <w:rPr>
          <w:sz w:val="22"/>
          <w:szCs w:val="22"/>
          <w:lang w:val="lt-LT"/>
        </w:rPr>
        <w:t>Išsami informacija apie šį vaistą pateikiama Valstybinės vaistų kontrolės tarnybos prie Lietuvos Respublikos sveikatos apsaugos ministerijos tinklalapyje</w:t>
      </w:r>
      <w:r w:rsidRPr="000A11F7">
        <w:rPr>
          <w:i/>
          <w:sz w:val="22"/>
          <w:szCs w:val="22"/>
          <w:lang w:val="lt-LT"/>
        </w:rPr>
        <w:t xml:space="preserve"> </w:t>
      </w:r>
      <w:hyperlink r:id="rId7" w:history="1">
        <w:r w:rsidRPr="000A11F7">
          <w:rPr>
            <w:rStyle w:val="Hipersaitas"/>
            <w:sz w:val="22"/>
            <w:szCs w:val="22"/>
            <w:lang w:val="lt-LT"/>
          </w:rPr>
          <w:t>http://www.vvkt.lt/</w:t>
        </w:r>
      </w:hyperlink>
      <w:r w:rsidRPr="000A11F7">
        <w:rPr>
          <w:sz w:val="22"/>
          <w:szCs w:val="22"/>
          <w:lang w:val="lt-LT"/>
        </w:rPr>
        <w:t>.</w:t>
      </w:r>
    </w:p>
    <w:p w:rsidR="00E66B2A" w:rsidRDefault="00E66B2A" w:rsidP="00E66B2A">
      <w:pPr>
        <w:rPr>
          <w:sz w:val="22"/>
          <w:szCs w:val="22"/>
          <w:lang w:val="lt-LT"/>
        </w:rPr>
      </w:pPr>
    </w:p>
    <w:p w:rsidR="00E66B2A" w:rsidRPr="000A11F7" w:rsidRDefault="00E66B2A" w:rsidP="00E66B2A">
      <w:pPr>
        <w:rPr>
          <w:sz w:val="22"/>
          <w:szCs w:val="22"/>
          <w:lang w:val="lt-LT"/>
        </w:rPr>
      </w:pPr>
    </w:p>
    <w:p w:rsidR="00742F80" w:rsidRDefault="00742F80">
      <w:bookmarkStart w:id="17" w:name="_GoBack"/>
      <w:bookmarkEnd w:id="17"/>
    </w:p>
    <w:sectPr w:rsidR="00742F80" w:rsidSect="00BA4B92">
      <w:footerReference w:type="even" r:id="rId8"/>
      <w:footerReference w:type="default" r:id="rId9"/>
      <w:pgSz w:w="11906" w:h="16838"/>
      <w:pgMar w:top="1134" w:right="1418" w:bottom="1134" w:left="1418" w:header="357" w:footer="57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NewRoman,Bold">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A02" w:rsidRDefault="00E66B2A" w:rsidP="00672667">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rsidR="007C0A02" w:rsidRDefault="00E66B2A" w:rsidP="00FD2E8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A02" w:rsidRPr="00691317" w:rsidRDefault="00E66B2A" w:rsidP="00672667">
    <w:pPr>
      <w:pStyle w:val="Porat"/>
      <w:framePr w:wrap="around" w:vAnchor="text" w:hAnchor="margin" w:xAlign="right" w:y="1"/>
      <w:rPr>
        <w:rStyle w:val="Puslapionumeris"/>
        <w:rFonts w:eastAsiaTheme="majorEastAsia"/>
        <w:sz w:val="22"/>
        <w:szCs w:val="22"/>
      </w:rPr>
    </w:pPr>
    <w:r w:rsidRPr="00691317">
      <w:rPr>
        <w:rStyle w:val="Puslapionumeris"/>
        <w:rFonts w:eastAsiaTheme="majorEastAsia"/>
        <w:sz w:val="22"/>
        <w:szCs w:val="22"/>
      </w:rPr>
      <w:fldChar w:fldCharType="begin"/>
    </w:r>
    <w:r w:rsidRPr="00691317">
      <w:rPr>
        <w:rStyle w:val="Puslapionumeris"/>
        <w:rFonts w:eastAsiaTheme="majorEastAsia"/>
        <w:sz w:val="22"/>
        <w:szCs w:val="22"/>
      </w:rPr>
      <w:instrText xml:space="preserve">PAGE  </w:instrText>
    </w:r>
    <w:r w:rsidRPr="00691317">
      <w:rPr>
        <w:rStyle w:val="Puslapionumeris"/>
        <w:rFonts w:eastAsiaTheme="majorEastAsia"/>
        <w:sz w:val="22"/>
        <w:szCs w:val="22"/>
      </w:rPr>
      <w:fldChar w:fldCharType="separate"/>
    </w:r>
    <w:r>
      <w:rPr>
        <w:rStyle w:val="Puslapionumeris"/>
        <w:rFonts w:eastAsiaTheme="majorEastAsia"/>
        <w:noProof/>
        <w:sz w:val="22"/>
        <w:szCs w:val="22"/>
      </w:rPr>
      <w:t>6</w:t>
    </w:r>
    <w:r w:rsidRPr="00691317">
      <w:rPr>
        <w:rStyle w:val="Puslapionumeris"/>
        <w:rFonts w:eastAsiaTheme="majorEastAsia"/>
        <w:sz w:val="22"/>
        <w:szCs w:val="22"/>
      </w:rPr>
      <w:fldChar w:fldCharType="end"/>
    </w:r>
  </w:p>
  <w:p w:rsidR="007C0A02" w:rsidRDefault="00E66B2A" w:rsidP="00FD2E83">
    <w:pPr>
      <w:pStyle w:val="Porat"/>
      <w:ind w:right="360"/>
      <w:jc w:val="center"/>
      <w:rPr>
        <w:rFonts w:ascii="Arial" w:hAnsi="Arial" w:cs="Arial"/>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2271F"/>
    <w:multiLevelType w:val="hybridMultilevel"/>
    <w:tmpl w:val="28803978"/>
    <w:lvl w:ilvl="0" w:tplc="647A130A">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2CEA"/>
    <w:multiLevelType w:val="hybridMultilevel"/>
    <w:tmpl w:val="067284A0"/>
    <w:lvl w:ilvl="0" w:tplc="4C6A1216">
      <w:start w:val="1"/>
      <w:numFmt w:val="bullet"/>
      <w:lvlRestart w:val="0"/>
      <w:pStyle w:val="BT-EMEASMCA"/>
      <w:lvlText w:val="-"/>
      <w:lvlJc w:val="left"/>
      <w:pPr>
        <w:tabs>
          <w:tab w:val="num" w:pos="720"/>
        </w:tabs>
        <w:ind w:left="720" w:hanging="363"/>
      </w:pPr>
      <w:rPr>
        <w:rFonts w:ascii="Times New Roman" w:hAnsi="Times New Roman" w:hint="default"/>
      </w:rPr>
    </w:lvl>
    <w:lvl w:ilvl="1" w:tplc="10A61E32">
      <w:numFmt w:val="bullet"/>
      <w:lvlText w:val="-"/>
      <w:lvlJc w:val="left"/>
      <w:pPr>
        <w:tabs>
          <w:tab w:val="num" w:pos="1647"/>
        </w:tabs>
        <w:ind w:left="1647" w:hanging="567"/>
      </w:pPr>
      <w:rPr>
        <w:rFonts w:ascii="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B2A"/>
    <w:rsid w:val="00742F80"/>
    <w:rsid w:val="00E66B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0610F-1C25-4564-891F-AA65CFCD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6B2A"/>
    <w:pPr>
      <w:spacing w:after="0" w:line="240" w:lineRule="auto"/>
    </w:pPr>
    <w:rPr>
      <w:rFonts w:ascii="Times New Roman" w:eastAsia="Times New Roman" w:hAnsi="Times New Roman" w:cs="Times New Roman"/>
      <w:sz w:val="24"/>
      <w:szCs w:val="24"/>
      <w:lang w:val="en-US"/>
    </w:rPr>
  </w:style>
  <w:style w:type="paragraph" w:styleId="Antrat1">
    <w:name w:val="heading 1"/>
    <w:basedOn w:val="prastasis"/>
    <w:next w:val="prastasis"/>
    <w:link w:val="Antrat1Diagrama"/>
    <w:uiPriority w:val="9"/>
    <w:qFormat/>
    <w:rsid w:val="00E66B2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E66B2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E66B2A"/>
    <w:pPr>
      <w:tabs>
        <w:tab w:val="center" w:pos="4536"/>
        <w:tab w:val="right" w:pos="9072"/>
      </w:tabs>
    </w:pPr>
    <w:rPr>
      <w:lang w:val="x-none" w:eastAsia="x-none"/>
    </w:rPr>
  </w:style>
  <w:style w:type="character" w:customStyle="1" w:styleId="PoratDiagrama">
    <w:name w:val="Poraštė Diagrama"/>
    <w:basedOn w:val="Numatytasispastraiposriftas"/>
    <w:link w:val="Porat"/>
    <w:uiPriority w:val="99"/>
    <w:rsid w:val="00E66B2A"/>
    <w:rPr>
      <w:rFonts w:ascii="Times New Roman" w:eastAsia="Times New Roman" w:hAnsi="Times New Roman" w:cs="Times New Roman"/>
      <w:sz w:val="24"/>
      <w:szCs w:val="24"/>
      <w:lang w:val="x-none" w:eastAsia="x-none"/>
    </w:rPr>
  </w:style>
  <w:style w:type="character" w:styleId="Puslapionumeris">
    <w:name w:val="page number"/>
    <w:uiPriority w:val="99"/>
    <w:rsid w:val="00E66B2A"/>
    <w:rPr>
      <w:rFonts w:cs="Times New Roman"/>
    </w:rPr>
  </w:style>
  <w:style w:type="paragraph" w:customStyle="1" w:styleId="BTEMEASMCA">
    <w:name w:val="BT EMEA_SMCA"/>
    <w:basedOn w:val="prastasis"/>
    <w:link w:val="BTEMEASMCAChar"/>
    <w:autoRedefine/>
    <w:uiPriority w:val="99"/>
    <w:rsid w:val="00E66B2A"/>
    <w:rPr>
      <w:noProof/>
      <w:color w:val="000000"/>
      <w:sz w:val="22"/>
      <w:szCs w:val="22"/>
      <w:lang w:val="lt-LT"/>
    </w:rPr>
  </w:style>
  <w:style w:type="character" w:styleId="Hipersaitas">
    <w:name w:val="Hyperlink"/>
    <w:uiPriority w:val="99"/>
    <w:rsid w:val="00E66B2A"/>
    <w:rPr>
      <w:rFonts w:cs="Times New Roman"/>
      <w:color w:val="0000FF"/>
      <w:u w:val="single"/>
    </w:rPr>
  </w:style>
  <w:style w:type="paragraph" w:customStyle="1" w:styleId="PI-1EMEASMCA">
    <w:name w:val="PI-1 EMEA_SMCA"/>
    <w:basedOn w:val="Antrat2"/>
    <w:autoRedefine/>
    <w:uiPriority w:val="99"/>
    <w:rsid w:val="00E66B2A"/>
    <w:pPr>
      <w:keepLines w:val="0"/>
      <w:tabs>
        <w:tab w:val="left" w:pos="567"/>
      </w:tabs>
      <w:spacing w:before="0"/>
      <w:ind w:left="567" w:hanging="567"/>
    </w:pPr>
    <w:rPr>
      <w:rFonts w:ascii="Times New Roman" w:eastAsia="Times New Roman" w:hAnsi="Times New Roman" w:cs="Times New Roman"/>
      <w:b/>
      <w:color w:val="auto"/>
      <w:sz w:val="22"/>
      <w:szCs w:val="22"/>
      <w:lang w:val="x-none" w:eastAsia="x-none"/>
    </w:rPr>
  </w:style>
  <w:style w:type="paragraph" w:customStyle="1" w:styleId="TTEMEASMCA">
    <w:name w:val="TT EMEA_SMCA"/>
    <w:basedOn w:val="Antrat1"/>
    <w:link w:val="TTEMEASMCAChar"/>
    <w:autoRedefine/>
    <w:uiPriority w:val="99"/>
    <w:rsid w:val="00E66B2A"/>
    <w:pPr>
      <w:keepNext w:val="0"/>
      <w:keepLines w:val="0"/>
      <w:tabs>
        <w:tab w:val="left" w:pos="567"/>
      </w:tabs>
      <w:spacing w:before="0"/>
      <w:jc w:val="center"/>
    </w:pPr>
    <w:rPr>
      <w:rFonts w:ascii="Times New Roman" w:eastAsia="Times New Roman" w:hAnsi="Times New Roman" w:cs="Times New Roman"/>
      <w:b/>
      <w:caps/>
      <w:color w:val="auto"/>
      <w:sz w:val="22"/>
      <w:szCs w:val="22"/>
    </w:rPr>
  </w:style>
  <w:style w:type="character" w:customStyle="1" w:styleId="TTEMEASMCAChar">
    <w:name w:val="TT EMEA_SMCA Char"/>
    <w:link w:val="TTEMEASMCA"/>
    <w:uiPriority w:val="99"/>
    <w:locked/>
    <w:rsid w:val="00E66B2A"/>
    <w:rPr>
      <w:rFonts w:ascii="Times New Roman" w:eastAsia="Times New Roman" w:hAnsi="Times New Roman" w:cs="Times New Roman"/>
      <w:b/>
      <w:caps/>
      <w:lang w:val="en-US"/>
    </w:rPr>
  </w:style>
  <w:style w:type="paragraph" w:customStyle="1" w:styleId="BT-EMEASMCA">
    <w:name w:val="BT- EMEA_SMCA"/>
    <w:basedOn w:val="BTEMEASMCA"/>
    <w:autoRedefine/>
    <w:uiPriority w:val="99"/>
    <w:rsid w:val="00E66B2A"/>
    <w:pPr>
      <w:numPr>
        <w:numId w:val="1"/>
      </w:numPr>
      <w:tabs>
        <w:tab w:val="clear" w:pos="720"/>
        <w:tab w:val="num" w:pos="567"/>
      </w:tabs>
      <w:ind w:left="567" w:hanging="567"/>
    </w:pPr>
    <w:rPr>
      <w:noProof w:val="0"/>
    </w:rPr>
  </w:style>
  <w:style w:type="paragraph" w:customStyle="1" w:styleId="PI-3EMEASMCA">
    <w:name w:val="PI-3 EMEA_SMCA"/>
    <w:basedOn w:val="prastasis"/>
    <w:autoRedefine/>
    <w:uiPriority w:val="99"/>
    <w:rsid w:val="00E66B2A"/>
    <w:rPr>
      <w:b/>
      <w:sz w:val="22"/>
      <w:szCs w:val="22"/>
      <w:lang w:val="lt-LT"/>
    </w:rPr>
  </w:style>
  <w:style w:type="character" w:customStyle="1" w:styleId="BTEMEASMCAChar">
    <w:name w:val="BT EMEA_SMCA Char"/>
    <w:link w:val="BTEMEASMCA"/>
    <w:uiPriority w:val="99"/>
    <w:locked/>
    <w:rsid w:val="00E66B2A"/>
    <w:rPr>
      <w:rFonts w:ascii="Times New Roman" w:eastAsia="Times New Roman" w:hAnsi="Times New Roman" w:cs="Times New Roman"/>
      <w:noProof/>
      <w:color w:val="000000"/>
    </w:rPr>
  </w:style>
  <w:style w:type="paragraph" w:customStyle="1" w:styleId="BTbEMEASMCA">
    <w:name w:val="BT(b) EMEA_SMCA"/>
    <w:basedOn w:val="BTEMEASMCA"/>
    <w:autoRedefine/>
    <w:uiPriority w:val="99"/>
    <w:rsid w:val="00E66B2A"/>
    <w:pPr>
      <w:tabs>
        <w:tab w:val="left" w:pos="540"/>
      </w:tabs>
    </w:pPr>
    <w:rPr>
      <w:rFonts w:ascii="TimesNewRoman,Bold" w:hAnsi="TimesNewRoman,Bold" w:cs="TimesNewRoman,Bold"/>
      <w:b/>
      <w:noProof w:val="0"/>
    </w:rPr>
  </w:style>
  <w:style w:type="paragraph" w:customStyle="1" w:styleId="BTbeEMEASMCA">
    <w:name w:val="BT(be) EMEA_SMCA"/>
    <w:basedOn w:val="BTEMEASMCA"/>
    <w:autoRedefine/>
    <w:uiPriority w:val="99"/>
    <w:rsid w:val="00E66B2A"/>
    <w:pPr>
      <w:jc w:val="center"/>
    </w:pPr>
    <w:rPr>
      <w:b/>
    </w:rPr>
  </w:style>
  <w:style w:type="paragraph" w:customStyle="1" w:styleId="BTeEMEASMCA">
    <w:name w:val="BT(e) EMEA_SMCA"/>
    <w:basedOn w:val="BTEMEASMCA"/>
    <w:autoRedefine/>
    <w:uiPriority w:val="99"/>
    <w:rsid w:val="00E66B2A"/>
    <w:pPr>
      <w:jc w:val="center"/>
    </w:pPr>
  </w:style>
  <w:style w:type="paragraph" w:styleId="Sraopastraipa">
    <w:name w:val="List Paragraph"/>
    <w:basedOn w:val="prastasis"/>
    <w:uiPriority w:val="34"/>
    <w:qFormat/>
    <w:rsid w:val="00E66B2A"/>
    <w:pPr>
      <w:ind w:left="720"/>
      <w:contextualSpacing/>
    </w:pPr>
  </w:style>
  <w:style w:type="character" w:customStyle="1" w:styleId="Antrat2Diagrama">
    <w:name w:val="Antraštė 2 Diagrama"/>
    <w:basedOn w:val="Numatytasispastraiposriftas"/>
    <w:link w:val="Antrat2"/>
    <w:uiPriority w:val="9"/>
    <w:semiHidden/>
    <w:rsid w:val="00E66B2A"/>
    <w:rPr>
      <w:rFonts w:asciiTheme="majorHAnsi" w:eastAsiaTheme="majorEastAsia" w:hAnsiTheme="majorHAnsi" w:cstheme="majorBidi"/>
      <w:color w:val="2E74B5" w:themeColor="accent1" w:themeShade="BF"/>
      <w:sz w:val="26"/>
      <w:szCs w:val="26"/>
      <w:lang w:val="en-US"/>
    </w:rPr>
  </w:style>
  <w:style w:type="character" w:customStyle="1" w:styleId="Antrat1Diagrama">
    <w:name w:val="Antraštė 1 Diagrama"/>
    <w:basedOn w:val="Numatytasispastraiposriftas"/>
    <w:link w:val="Antrat1"/>
    <w:uiPriority w:val="9"/>
    <w:rsid w:val="00E66B2A"/>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9163</Words>
  <Characters>5223</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2019-12-23T08:32:00Z</dcterms:created>
  <dcterms:modified xsi:type="dcterms:W3CDTF">2019-12-23T08:33:00Z</dcterms:modified>
</cp:coreProperties>
</file>