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E5" w:rsidRDefault="00FD5AE5" w:rsidP="00FD5AE5">
      <w:pPr>
        <w:pStyle w:val="BTEMEASMCA"/>
        <w:jc w:val="center"/>
        <w:rPr>
          <w:b/>
        </w:rPr>
      </w:pPr>
      <w:r>
        <w:rPr>
          <w:b/>
        </w:rPr>
        <w:t>Pakuotės lapelis: informacija vartotojui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agrindinistekstas"/>
        <w:spacing w:after="0"/>
        <w:jc w:val="center"/>
        <w:rPr>
          <w:rStyle w:val="BTbEMEASMCAChar"/>
          <w:rFonts w:eastAsiaTheme="majorEastAsia"/>
        </w:rPr>
      </w:pPr>
      <w:r>
        <w:rPr>
          <w:rStyle w:val="BTbEMEASMCAChar"/>
          <w:rFonts w:eastAsiaTheme="majorEastAsia"/>
        </w:rPr>
        <w:t xml:space="preserve">Linoladiol-H N </w:t>
      </w:r>
      <w:r>
        <w:rPr>
          <w:b/>
          <w:bCs/>
          <w:iCs/>
          <w:szCs w:val="22"/>
        </w:rPr>
        <w:t>0,05 mg/4 mg/g</w:t>
      </w:r>
      <w:r>
        <w:rPr>
          <w:bCs/>
          <w:iCs/>
          <w:szCs w:val="22"/>
        </w:rPr>
        <w:t xml:space="preserve"> </w:t>
      </w:r>
      <w:r>
        <w:rPr>
          <w:rStyle w:val="BTbEMEASMCAChar"/>
          <w:rFonts w:eastAsiaTheme="majorEastAsia"/>
        </w:rPr>
        <w:t>kremas</w:t>
      </w:r>
    </w:p>
    <w:p w:rsidR="00FD5AE5" w:rsidRDefault="00FD5AE5" w:rsidP="00FD5AE5">
      <w:pPr>
        <w:pStyle w:val="BTEMEASMCA"/>
        <w:jc w:val="center"/>
        <w:rPr>
          <w:rFonts w:eastAsiaTheme="majorEastAsia"/>
        </w:rPr>
      </w:pPr>
      <w:r>
        <w:t>Estradiolis, prednisolonas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bEMEASMCA"/>
      </w:pPr>
      <w:r>
        <w:t>Atidžiai perskaitykite visą šį lapelį, prieš pradėdami vartoti vaistą, nes jame pateikiama Jums svarbi informacija.</w:t>
      </w:r>
    </w:p>
    <w:p w:rsidR="00FD5AE5" w:rsidRDefault="00FD5AE5" w:rsidP="00FD5AE5">
      <w:pPr>
        <w:pStyle w:val="BT-EMEASMCA"/>
        <w:numPr>
          <w:ilvl w:val="0"/>
          <w:numId w:val="1"/>
        </w:numPr>
      </w:pPr>
      <w:r>
        <w:t>Neišmeskite šio lapelio, nes vėl gali prireikti jį perskaityti.</w:t>
      </w:r>
    </w:p>
    <w:p w:rsidR="00FD5AE5" w:rsidRDefault="00FD5AE5" w:rsidP="00FD5AE5">
      <w:pPr>
        <w:pStyle w:val="BT-EMEASMCA"/>
        <w:numPr>
          <w:ilvl w:val="0"/>
          <w:numId w:val="1"/>
        </w:numPr>
      </w:pPr>
      <w:r>
        <w:t>Jeigu kiltų daugiau klausimų, kreipkitės į gydytoją arba vaistininką.</w:t>
      </w:r>
    </w:p>
    <w:p w:rsidR="00FD5AE5" w:rsidRDefault="00FD5AE5" w:rsidP="00FD5AE5">
      <w:pPr>
        <w:pStyle w:val="BT-EMEASMCA"/>
        <w:numPr>
          <w:ilvl w:val="0"/>
          <w:numId w:val="1"/>
        </w:numPr>
      </w:pPr>
      <w:r>
        <w:t>Šis vaistas skirtas tik Jums, todėl kitiems žmonėms jo duoti negalima. Vaistas gali jiems pakenkti (net tiems, kurių ligos požymiai yra tokie patys kaip Jūsų).</w:t>
      </w:r>
    </w:p>
    <w:p w:rsidR="00FD5AE5" w:rsidRDefault="00FD5AE5" w:rsidP="00FD5AE5">
      <w:pPr>
        <w:pStyle w:val="BT-EMEASMCA"/>
        <w:numPr>
          <w:ilvl w:val="0"/>
          <w:numId w:val="1"/>
        </w:numPr>
      </w:pPr>
      <w:r>
        <w:t>Jeigu pasireiškė šalutinis poveikis (net jeigu jis šiame lapelyje nenurodytas), kreipkitės į gydytoją arba vaistininką. Žr. 4 skyrių.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bEMEASMCA"/>
      </w:pPr>
      <w:r>
        <w:t>Apie ką rašoma šiame lapelyje?</w:t>
      </w:r>
    </w:p>
    <w:p w:rsidR="00FD5AE5" w:rsidRDefault="00FD5AE5" w:rsidP="00FD5AE5">
      <w:pPr>
        <w:pStyle w:val="BTbEMEASMCA"/>
      </w:pPr>
    </w:p>
    <w:p w:rsidR="00FD5AE5" w:rsidRDefault="00FD5AE5" w:rsidP="00FD5AE5">
      <w:pPr>
        <w:pStyle w:val="BTEMEASMCA"/>
        <w:ind w:left="539" w:hanging="539"/>
      </w:pPr>
      <w:r>
        <w:t>1.</w:t>
      </w:r>
      <w:r>
        <w:tab/>
        <w:t>Kas yra Linoladiol-H N ir kam jis vartojamas</w:t>
      </w:r>
    </w:p>
    <w:p w:rsidR="00FD5AE5" w:rsidRDefault="00FD5AE5" w:rsidP="00FD5AE5">
      <w:pPr>
        <w:pStyle w:val="BTEMEASMCA"/>
        <w:ind w:left="539" w:hanging="539"/>
      </w:pPr>
      <w:r>
        <w:t>2.</w:t>
      </w:r>
      <w:r>
        <w:tab/>
        <w:t>Kas žinotina prieš vartojant Linoladiol-H N</w:t>
      </w:r>
    </w:p>
    <w:p w:rsidR="00FD5AE5" w:rsidRDefault="00FD5AE5" w:rsidP="00FD5AE5">
      <w:pPr>
        <w:pStyle w:val="BTEMEASMCA"/>
        <w:ind w:left="539" w:hanging="539"/>
      </w:pPr>
      <w:r>
        <w:t>3.</w:t>
      </w:r>
      <w:r>
        <w:tab/>
        <w:t>Kaip vartoti Linoladiol-H N</w:t>
      </w:r>
    </w:p>
    <w:p w:rsidR="00FD5AE5" w:rsidRDefault="00FD5AE5" w:rsidP="00FD5AE5">
      <w:pPr>
        <w:pStyle w:val="BTEMEASMCA"/>
        <w:ind w:left="539" w:hanging="539"/>
      </w:pPr>
      <w:r>
        <w:t>4.</w:t>
      </w:r>
      <w:r>
        <w:tab/>
        <w:t>Galimas šalutinis poveikis</w:t>
      </w:r>
    </w:p>
    <w:p w:rsidR="00FD5AE5" w:rsidRDefault="00FD5AE5" w:rsidP="00FD5AE5">
      <w:pPr>
        <w:pStyle w:val="BTEMEASMCA"/>
        <w:ind w:left="539" w:hanging="539"/>
      </w:pPr>
      <w:r>
        <w:t>5.</w:t>
      </w:r>
      <w:r>
        <w:tab/>
        <w:t>Kaip laikyti Linoladiol-H N</w:t>
      </w:r>
    </w:p>
    <w:p w:rsidR="00FD5AE5" w:rsidRDefault="00FD5AE5" w:rsidP="00FD5AE5">
      <w:pPr>
        <w:pStyle w:val="BTEMEASMCA"/>
        <w:ind w:left="539" w:hanging="539"/>
      </w:pPr>
      <w:r>
        <w:t>6.</w:t>
      </w:r>
      <w:r>
        <w:tab/>
        <w:t>Pakuotės turinys ir kita informacija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1EMEASMCA"/>
      </w:pPr>
      <w:bookmarkStart w:id="0" w:name="_Toc129243264"/>
      <w:bookmarkStart w:id="1" w:name="_Toc129243139"/>
      <w:r>
        <w:t>1.</w:t>
      </w:r>
      <w:r>
        <w:tab/>
        <w:t xml:space="preserve">Kas yra </w:t>
      </w:r>
      <w:proofErr w:type="spellStart"/>
      <w:r>
        <w:t>Linoladiol</w:t>
      </w:r>
      <w:proofErr w:type="spellEnd"/>
      <w:r>
        <w:t>-H N ir kam jis vartojamas</w:t>
      </w:r>
      <w:bookmarkEnd w:id="0"/>
      <w:bookmarkEnd w:id="1"/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  <w:r>
        <w:t>Linoladiol-H N – tai vaistas, kurio sudėtyje yra estradiolio ir prednizolono.</w:t>
      </w:r>
    </w:p>
    <w:p w:rsidR="00FD5AE5" w:rsidRDefault="00FD5AE5" w:rsidP="00FD5AE5">
      <w:pPr>
        <w:pStyle w:val="BT-EMEASMCA"/>
      </w:pPr>
    </w:p>
    <w:p w:rsidR="00FD5AE5" w:rsidRDefault="00FD5AE5" w:rsidP="00FD5AE5">
      <w:pPr>
        <w:pStyle w:val="BT-EMEASMCA"/>
      </w:pPr>
      <w:r>
        <w:t>Terapinės indikacijos (vartojimo sritys):</w:t>
      </w:r>
    </w:p>
    <w:p w:rsidR="00FD5AE5" w:rsidRDefault="00FD5AE5" w:rsidP="00FD5AE5">
      <w:pPr>
        <w:pStyle w:val="BTEMEASMCA"/>
      </w:pPr>
      <w:r>
        <w:t>Pirminiam, trumpalaikiam, išoriniam pomenopauzinio amžiaus moterims diagnozuotų, uždegimą, deginimo pojūtį ir niežėjimą sukeliančių, ūminių ir lengvos formos išorinių lyties organų srities odos ligų, kurios gydomos silpno poveikio kortikosteroidais ir estradioliu, gydymui.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1EMEASMCA"/>
      </w:pPr>
      <w:bookmarkStart w:id="2" w:name="_Toc129243265"/>
      <w:bookmarkStart w:id="3" w:name="_Toc129243140"/>
      <w:r>
        <w:t>2.</w:t>
      </w:r>
      <w:r>
        <w:tab/>
        <w:t xml:space="preserve">Kas žinotina prieš vartojant </w:t>
      </w:r>
      <w:proofErr w:type="spellStart"/>
      <w:r>
        <w:t>Linoladiol</w:t>
      </w:r>
      <w:proofErr w:type="spellEnd"/>
      <w:r>
        <w:t>-H N</w:t>
      </w:r>
      <w:bookmarkEnd w:id="2"/>
      <w:bookmarkEnd w:id="3"/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3EMEASMCA"/>
        <w:ind w:firstLine="360"/>
      </w:pPr>
      <w:proofErr w:type="spellStart"/>
      <w:r>
        <w:t>Linoladiol</w:t>
      </w:r>
      <w:proofErr w:type="spellEnd"/>
      <w:r>
        <w:t>-H N vartoti negalima:</w:t>
      </w:r>
    </w:p>
    <w:p w:rsidR="00FD5AE5" w:rsidRDefault="00FD5AE5" w:rsidP="00FD5AE5">
      <w:pPr>
        <w:pStyle w:val="BT-EMEASMCA"/>
        <w:numPr>
          <w:ilvl w:val="0"/>
          <w:numId w:val="2"/>
        </w:numPr>
      </w:pPr>
      <w:r>
        <w:t>jeigu yra alergija (padidėjęs jautrumas) estradioliui, prednizolonui, cetostearilo alkoholiui arba bet kuriai pagalbinei Linoladiol-H N medžiagai;</w:t>
      </w:r>
    </w:p>
    <w:p w:rsidR="00FD5AE5" w:rsidRDefault="00FD5AE5" w:rsidP="00FD5AE5">
      <w:pPr>
        <w:pStyle w:val="Sraopastraipa"/>
        <w:numPr>
          <w:ilvl w:val="0"/>
          <w:numId w:val="3"/>
        </w:num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jeigu diagnozuotas arba įtariamas estrogenams jautrus gerybinis arba piktybinis navikas, pvz., gimdos </w:t>
      </w:r>
      <w:proofErr w:type="spellStart"/>
      <w:r>
        <w:rPr>
          <w:rFonts w:eastAsiaTheme="minorHAnsi"/>
          <w:szCs w:val="22"/>
          <w:lang w:eastAsia="en-US"/>
        </w:rPr>
        <w:t>fibromos</w:t>
      </w:r>
      <w:proofErr w:type="spellEnd"/>
      <w:r>
        <w:rPr>
          <w:rFonts w:eastAsiaTheme="minorHAnsi"/>
          <w:szCs w:val="22"/>
          <w:lang w:eastAsia="en-US"/>
        </w:rPr>
        <w:t xml:space="preserve"> arba gimdos gleivinės vėžys;</w:t>
      </w:r>
    </w:p>
    <w:p w:rsidR="00FD5AE5" w:rsidRDefault="00FD5AE5" w:rsidP="00FD5AE5">
      <w:pPr>
        <w:pStyle w:val="Sraopastraipa"/>
        <w:numPr>
          <w:ilvl w:val="0"/>
          <w:numId w:val="3"/>
        </w:num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jeigu kada nors buvo diagnozuoti estrogenams jautrūs piktybiniai navikai;</w:t>
      </w:r>
    </w:p>
    <w:p w:rsidR="00FD5AE5" w:rsidRDefault="00FD5AE5" w:rsidP="00FD5AE5">
      <w:pPr>
        <w:pStyle w:val="Sraopastraipa"/>
        <w:numPr>
          <w:ilvl w:val="0"/>
          <w:numId w:val="3"/>
        </w:num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esant neaiškios kilmės kraujavimui iš makšties; </w:t>
      </w:r>
    </w:p>
    <w:p w:rsidR="00FD5AE5" w:rsidRDefault="00FD5AE5" w:rsidP="00FD5AE5">
      <w:pPr>
        <w:pStyle w:val="Sraopastraipa"/>
        <w:numPr>
          <w:ilvl w:val="0"/>
          <w:numId w:val="3"/>
        </w:num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jeigu jums diagnozuota gimdos gleivinės </w:t>
      </w:r>
      <w:proofErr w:type="spellStart"/>
      <w:r>
        <w:rPr>
          <w:rFonts w:eastAsiaTheme="minorHAnsi"/>
          <w:szCs w:val="22"/>
          <w:lang w:eastAsia="en-US"/>
        </w:rPr>
        <w:t>hiperplazija</w:t>
      </w:r>
      <w:proofErr w:type="spellEnd"/>
      <w:r>
        <w:rPr>
          <w:rFonts w:eastAsiaTheme="minorHAnsi"/>
          <w:szCs w:val="22"/>
          <w:lang w:eastAsia="en-US"/>
        </w:rPr>
        <w:t xml:space="preserve"> (t. y. gimdos gleivinės išvešėjimas), bet ji negydoma; </w:t>
      </w:r>
    </w:p>
    <w:p w:rsidR="00FD5AE5" w:rsidRDefault="00FD5AE5" w:rsidP="00FD5AE5">
      <w:pPr>
        <w:pStyle w:val="Sraopastraipa"/>
        <w:numPr>
          <w:ilvl w:val="0"/>
          <w:numId w:val="3"/>
        </w:num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sergant bakterinės, grybelinės arba virusinės infekcijos sukeltomis išorinių lyties organų srities odos ligomis. 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3EMEASMCA"/>
        <w:ind w:firstLine="360"/>
      </w:pPr>
      <w:r>
        <w:t>Įspėjimai ir atsargumo priemonės</w:t>
      </w:r>
    </w:p>
    <w:p w:rsidR="00FD5AE5" w:rsidRDefault="00FD5AE5" w:rsidP="00FD5AE5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before="60"/>
        <w:contextualSpacing/>
        <w:rPr>
          <w:rFonts w:eastAsiaTheme="minorHAnsi"/>
          <w:color w:val="000000"/>
          <w:szCs w:val="22"/>
          <w:lang w:eastAsia="en-US"/>
        </w:rPr>
      </w:pPr>
      <w:r>
        <w:rPr>
          <w:szCs w:val="22"/>
        </w:rPr>
        <w:t xml:space="preserve"> </w:t>
      </w:r>
      <w:proofErr w:type="spellStart"/>
      <w:r>
        <w:rPr>
          <w:rFonts w:eastAsiaTheme="minorHAnsi"/>
          <w:color w:val="000000"/>
          <w:szCs w:val="22"/>
          <w:lang w:eastAsia="en-US"/>
        </w:rPr>
        <w:t>Linoladiol</w:t>
      </w:r>
      <w:proofErr w:type="spellEnd"/>
      <w:r>
        <w:rPr>
          <w:rFonts w:eastAsiaTheme="minorHAnsi"/>
          <w:color w:val="000000"/>
          <w:szCs w:val="22"/>
          <w:lang w:eastAsia="en-US"/>
        </w:rPr>
        <w:t xml:space="preserve">-H N galima vartoti tik prižiūrint gydytojui. Visų pirma jeigu Jums prasidėtų nenumatytas kraujavimas iš lyties organų, gydymą </w:t>
      </w:r>
      <w:proofErr w:type="spellStart"/>
      <w:r>
        <w:rPr>
          <w:rFonts w:eastAsiaTheme="minorHAnsi"/>
          <w:color w:val="000000"/>
          <w:szCs w:val="22"/>
          <w:lang w:eastAsia="en-US"/>
        </w:rPr>
        <w:t>Linoladiol</w:t>
      </w:r>
      <w:proofErr w:type="spellEnd"/>
      <w:r>
        <w:rPr>
          <w:rFonts w:eastAsiaTheme="minorHAnsi"/>
          <w:color w:val="000000"/>
          <w:szCs w:val="22"/>
          <w:lang w:eastAsia="en-US"/>
        </w:rPr>
        <w:t xml:space="preserve">-H N būtina nutraukti ir pasitarti su gydytoju; </w:t>
      </w:r>
    </w:p>
    <w:p w:rsidR="00FD5AE5" w:rsidRDefault="00FD5AE5" w:rsidP="00FD5AE5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before="60"/>
        <w:contextualSpacing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jeigu Jūs sergate arba sirgote endometrioze ir jums atlikta </w:t>
      </w:r>
      <w:proofErr w:type="spellStart"/>
      <w:r>
        <w:rPr>
          <w:rFonts w:eastAsiaTheme="minorHAnsi"/>
          <w:color w:val="000000"/>
          <w:szCs w:val="22"/>
          <w:lang w:eastAsia="en-US"/>
        </w:rPr>
        <w:t>histerektomija</w:t>
      </w:r>
      <w:proofErr w:type="spellEnd"/>
      <w:r>
        <w:rPr>
          <w:rFonts w:eastAsiaTheme="minorHAnsi"/>
          <w:color w:val="000000"/>
          <w:szCs w:val="22"/>
          <w:lang w:eastAsia="en-US"/>
        </w:rPr>
        <w:t xml:space="preserve"> (pašalinta gimda); </w:t>
      </w:r>
    </w:p>
    <w:p w:rsidR="00FD5AE5" w:rsidRDefault="00FD5AE5" w:rsidP="00FD5AE5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before="60"/>
        <w:contextualSpacing/>
        <w:rPr>
          <w:rFonts w:eastAsiaTheme="minorHAnsi"/>
          <w:color w:val="000000"/>
          <w:szCs w:val="22"/>
          <w:lang w:eastAsia="en-US"/>
        </w:rPr>
      </w:pPr>
      <w:proofErr w:type="spellStart"/>
      <w:r>
        <w:rPr>
          <w:rFonts w:eastAsiaTheme="minorHAnsi"/>
          <w:color w:val="000000"/>
          <w:szCs w:val="22"/>
          <w:lang w:eastAsia="en-US"/>
        </w:rPr>
        <w:t>Linoladiol</w:t>
      </w:r>
      <w:proofErr w:type="spellEnd"/>
      <w:r>
        <w:rPr>
          <w:rFonts w:eastAsiaTheme="minorHAnsi"/>
          <w:color w:val="000000"/>
          <w:szCs w:val="22"/>
          <w:lang w:eastAsia="en-US"/>
        </w:rPr>
        <w:t xml:space="preserve">-H N vartojant kartu su latekso gaminiais (pvz., prezervatyvais, diafragmomis). Šio vaisto sudėtyje yra neaktyvių elementų (ypač </w:t>
      </w:r>
      <w:proofErr w:type="spellStart"/>
      <w:r>
        <w:rPr>
          <w:rFonts w:eastAsiaTheme="minorHAnsi"/>
          <w:color w:val="000000"/>
          <w:szCs w:val="22"/>
          <w:lang w:eastAsia="en-US"/>
        </w:rPr>
        <w:t>stearatų</w:t>
      </w:r>
      <w:proofErr w:type="spellEnd"/>
      <w:r>
        <w:rPr>
          <w:rFonts w:eastAsiaTheme="minorHAnsi"/>
          <w:color w:val="000000"/>
          <w:szCs w:val="22"/>
          <w:lang w:eastAsia="en-US"/>
        </w:rPr>
        <w:t xml:space="preserve">), kurie gali sumažinti šių gaminių funkcionalumą ir taip padaryti juos ne tokius patikimus; </w:t>
      </w:r>
    </w:p>
    <w:p w:rsidR="00FD5AE5" w:rsidRDefault="00FD5AE5" w:rsidP="00FD5AE5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before="60"/>
        <w:contextualSpacing/>
        <w:rPr>
          <w:rFonts w:eastAsiaTheme="minorHAnsi"/>
          <w:color w:val="000000"/>
          <w:szCs w:val="22"/>
          <w:lang w:eastAsia="en-US"/>
        </w:rPr>
      </w:pPr>
      <w:proofErr w:type="spellStart"/>
      <w:r>
        <w:rPr>
          <w:rFonts w:eastAsiaTheme="minorHAnsi"/>
          <w:color w:val="000000"/>
          <w:szCs w:val="22"/>
          <w:lang w:eastAsia="en-US"/>
        </w:rPr>
        <w:lastRenderedPageBreak/>
        <w:t>Linoladiol</w:t>
      </w:r>
      <w:proofErr w:type="spellEnd"/>
      <w:r>
        <w:rPr>
          <w:rFonts w:eastAsiaTheme="minorHAnsi"/>
          <w:color w:val="000000"/>
          <w:szCs w:val="22"/>
          <w:lang w:eastAsia="en-US"/>
        </w:rPr>
        <w:t xml:space="preserve">-H N negalima vartoti prieš pat lytinę sueitį arba naudoti kaip </w:t>
      </w:r>
      <w:proofErr w:type="spellStart"/>
      <w:r>
        <w:rPr>
          <w:rFonts w:eastAsiaTheme="minorHAnsi"/>
          <w:color w:val="000000"/>
          <w:szCs w:val="22"/>
          <w:lang w:eastAsia="en-US"/>
        </w:rPr>
        <w:t>lubrikantą</w:t>
      </w:r>
      <w:proofErr w:type="spellEnd"/>
      <w:r>
        <w:rPr>
          <w:rFonts w:eastAsiaTheme="minorHAnsi"/>
          <w:color w:val="000000"/>
          <w:szCs w:val="22"/>
          <w:lang w:eastAsia="en-US"/>
        </w:rPr>
        <w:t xml:space="preserve">. </w:t>
      </w:r>
    </w:p>
    <w:p w:rsidR="00FD5AE5" w:rsidRDefault="00FD5AE5" w:rsidP="00FD5AE5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349"/>
        <w:rPr>
          <w:rFonts w:eastAsiaTheme="minorHAnsi"/>
          <w:color w:val="000000"/>
          <w:szCs w:val="22"/>
        </w:rPr>
      </w:pPr>
      <w:r>
        <w:rPr>
          <w:bCs/>
          <w:szCs w:val="22"/>
        </w:rPr>
        <w:t xml:space="preserve">Jeigu pradėtumėte matyti lyg per miglą arba jums pasireikštų kiti regėjimo sutrikimai, kreipkitės į savo gydytoją. </w:t>
      </w:r>
      <w:r>
        <w:rPr>
          <w:rFonts w:eastAsiaTheme="minorHAnsi"/>
          <w:color w:val="000000"/>
          <w:szCs w:val="22"/>
        </w:rPr>
        <w:t xml:space="preserve"> 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  <w:rPr>
          <w:b/>
        </w:rPr>
      </w:pPr>
      <w:r>
        <w:rPr>
          <w:b/>
        </w:rPr>
        <w:t>Vaikams ir paaugliams</w:t>
      </w:r>
    </w:p>
    <w:p w:rsidR="00FD5AE5" w:rsidRDefault="00FD5AE5" w:rsidP="00FD5AE5">
      <w:pPr>
        <w:pStyle w:val="BT-EMEASMCA"/>
      </w:pPr>
      <w:r>
        <w:t>Atsargumo sumetimais Linoladiol-H N negalima vartoti vaikams ir paaugliams.</w:t>
      </w:r>
    </w:p>
    <w:p w:rsidR="00FD5AE5" w:rsidRDefault="00FD5AE5" w:rsidP="00FD5AE5">
      <w:pPr>
        <w:pStyle w:val="BT-EMEASMCA"/>
      </w:pPr>
    </w:p>
    <w:p w:rsidR="00FD5AE5" w:rsidRDefault="00FD5AE5" w:rsidP="00FD5AE5">
      <w:pPr>
        <w:pStyle w:val="PI-3EMEASMCA"/>
        <w:ind w:firstLine="567"/>
      </w:pPr>
      <w:r>
        <w:t xml:space="preserve">Kiti vaistai ir </w:t>
      </w:r>
      <w:proofErr w:type="spellStart"/>
      <w:r>
        <w:t>Linoladiol</w:t>
      </w:r>
      <w:proofErr w:type="spellEnd"/>
      <w:r>
        <w:t xml:space="preserve">-H N </w:t>
      </w:r>
    </w:p>
    <w:p w:rsidR="00FD5AE5" w:rsidRDefault="00FD5AE5" w:rsidP="00FD5AE5">
      <w:pPr>
        <w:ind w:right="-55" w:firstLine="567"/>
        <w:rPr>
          <w:szCs w:val="22"/>
        </w:rPr>
      </w:pPr>
      <w:r>
        <w:rPr>
          <w:szCs w:val="22"/>
        </w:rPr>
        <w:t>Jokių sąveikų iki šiol nepasitaikė.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  <w:r>
        <w:t>Jeigu vartojate arba neseniai vartojote kitų vaistų, įskaitant įsigytus be recepto, pasakykite gydytojui arba vaistininkui.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3EMEASMCA"/>
        <w:ind w:firstLine="567"/>
      </w:pPr>
      <w:r>
        <w:t>Nėštumas ir žindymo laikotarpis</w:t>
      </w:r>
    </w:p>
    <w:p w:rsidR="00FD5AE5" w:rsidRDefault="00FD5AE5" w:rsidP="00FD5AE5">
      <w:pPr>
        <w:pStyle w:val="BTEMEASMCA"/>
      </w:pPr>
      <w:r>
        <w:t>Nėštumo ir žindymo laikotarpiu vaisto vartoti negalima.</w:t>
      </w:r>
    </w:p>
    <w:p w:rsidR="00FD5AE5" w:rsidRDefault="00FD5AE5" w:rsidP="00FD5AE5">
      <w:pPr>
        <w:pStyle w:val="BTEMEASMCA"/>
      </w:pPr>
      <w:r>
        <w:tab/>
      </w:r>
    </w:p>
    <w:p w:rsidR="00FD5AE5" w:rsidRDefault="00FD5AE5" w:rsidP="00FD5AE5">
      <w:pPr>
        <w:pStyle w:val="PI-3EMEASMCA"/>
        <w:ind w:firstLine="567"/>
      </w:pPr>
      <w:r>
        <w:t>Vairavimas ir mechanizmų valdymas</w:t>
      </w:r>
    </w:p>
    <w:p w:rsidR="00FD5AE5" w:rsidRDefault="00FD5AE5" w:rsidP="00FD5AE5">
      <w:pPr>
        <w:pStyle w:val="BTEMEASMCA"/>
      </w:pPr>
      <w:r>
        <w:t>Duomenys neaktualūs.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3EMEASMCA"/>
        <w:ind w:firstLine="567"/>
      </w:pPr>
      <w:proofErr w:type="spellStart"/>
      <w:r>
        <w:t>Linoladiol</w:t>
      </w:r>
      <w:proofErr w:type="spellEnd"/>
      <w:r>
        <w:t xml:space="preserve">-H N sudėtyje yra </w:t>
      </w:r>
      <w:proofErr w:type="spellStart"/>
      <w:r>
        <w:t>benzilo</w:t>
      </w:r>
      <w:proofErr w:type="spellEnd"/>
      <w:r>
        <w:t xml:space="preserve"> alkoholis ir </w:t>
      </w:r>
      <w:proofErr w:type="spellStart"/>
      <w:r>
        <w:t>cetostearilo</w:t>
      </w:r>
      <w:proofErr w:type="spellEnd"/>
      <w:r>
        <w:t xml:space="preserve"> alkoholis. </w:t>
      </w:r>
    </w:p>
    <w:p w:rsidR="00FD5AE5" w:rsidRDefault="00FD5AE5" w:rsidP="00FD5AE5">
      <w:pPr>
        <w:autoSpaceDE w:val="0"/>
        <w:autoSpaceDN w:val="0"/>
        <w:adjustRightInd w:val="0"/>
        <w:ind w:firstLine="567"/>
        <w:rPr>
          <w:color w:val="000000"/>
          <w:szCs w:val="22"/>
          <w:lang w:eastAsia="de-DE"/>
        </w:rPr>
      </w:pPr>
      <w:r>
        <w:rPr>
          <w:color w:val="000000"/>
          <w:szCs w:val="22"/>
          <w:lang w:eastAsia="de-DE"/>
        </w:rPr>
        <w:t xml:space="preserve">Kiekviename šio vaisto grame yra 20 mg </w:t>
      </w:r>
      <w:proofErr w:type="spellStart"/>
      <w:r>
        <w:rPr>
          <w:color w:val="000000"/>
          <w:szCs w:val="22"/>
          <w:lang w:eastAsia="de-DE"/>
        </w:rPr>
        <w:t>benzilo</w:t>
      </w:r>
      <w:proofErr w:type="spellEnd"/>
      <w:r>
        <w:rPr>
          <w:color w:val="000000"/>
          <w:szCs w:val="22"/>
          <w:lang w:eastAsia="de-DE"/>
        </w:rPr>
        <w:t xml:space="preserve"> alkoholio (tai atitinka 8 mg vienoje dozėje). </w:t>
      </w:r>
    </w:p>
    <w:p w:rsidR="00FD5AE5" w:rsidRDefault="00FD5AE5" w:rsidP="00FD5AE5">
      <w:pPr>
        <w:autoSpaceDE w:val="0"/>
        <w:autoSpaceDN w:val="0"/>
        <w:adjustRightInd w:val="0"/>
        <w:ind w:firstLine="567"/>
        <w:rPr>
          <w:szCs w:val="22"/>
          <w:lang w:eastAsia="de-DE"/>
        </w:rPr>
      </w:pPr>
      <w:proofErr w:type="spellStart"/>
      <w:r>
        <w:rPr>
          <w:szCs w:val="22"/>
          <w:lang w:eastAsia="de-DE"/>
        </w:rPr>
        <w:t>Benzilo</w:t>
      </w:r>
      <w:proofErr w:type="spellEnd"/>
      <w:r>
        <w:rPr>
          <w:szCs w:val="22"/>
          <w:lang w:eastAsia="de-DE"/>
        </w:rPr>
        <w:t xml:space="preserve"> alkoholis gali sukelti lengvą vietinį sudirginimą.</w:t>
      </w:r>
    </w:p>
    <w:p w:rsidR="00FD5AE5" w:rsidRDefault="00FD5AE5" w:rsidP="00FD5AE5">
      <w:pPr>
        <w:pStyle w:val="PI-3EMEASMCA"/>
        <w:ind w:firstLine="567"/>
      </w:pPr>
      <w:proofErr w:type="spellStart"/>
      <w:r>
        <w:rPr>
          <w:b w:val="0"/>
        </w:rPr>
        <w:t>Cetostearilo</w:t>
      </w:r>
      <w:proofErr w:type="spellEnd"/>
      <w:r>
        <w:rPr>
          <w:b w:val="0"/>
        </w:rPr>
        <w:t xml:space="preserve"> alkoholis gali sukelti vietinių odos reakcijų (pvz., kontaktinį dermatitą).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1EMEASMCA"/>
      </w:pPr>
      <w:bookmarkStart w:id="4" w:name="_Toc129243266"/>
      <w:bookmarkStart w:id="5" w:name="_Toc129243141"/>
      <w:r>
        <w:t>3.</w:t>
      </w:r>
      <w:r>
        <w:tab/>
        <w:t xml:space="preserve">Kaip vartoti </w:t>
      </w:r>
      <w:proofErr w:type="spellStart"/>
      <w:r>
        <w:t>Linoladiol</w:t>
      </w:r>
      <w:proofErr w:type="spellEnd"/>
      <w:r>
        <w:t>-H N</w:t>
      </w:r>
      <w:bookmarkEnd w:id="4"/>
      <w:bookmarkEnd w:id="5"/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  <w:r>
        <w:t xml:space="preserve">Linoladiol-H N visada vartokite tiksliai, kaip nurodė gydytojas. Jeigu abejojate, kreipkitės į gydytoją arba vaistininką. 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ind w:left="567"/>
        <w:rPr>
          <w:szCs w:val="22"/>
          <w:lang w:val="pt-PT"/>
        </w:rPr>
      </w:pPr>
      <w:r>
        <w:rPr>
          <w:szCs w:val="22"/>
        </w:rPr>
        <w:t xml:space="preserve">Kartą per parą </w:t>
      </w:r>
      <w:proofErr w:type="spellStart"/>
      <w:r>
        <w:rPr>
          <w:szCs w:val="22"/>
        </w:rPr>
        <w:t>Linoladiol</w:t>
      </w:r>
      <w:proofErr w:type="spellEnd"/>
      <w:r>
        <w:rPr>
          <w:szCs w:val="22"/>
        </w:rPr>
        <w:t xml:space="preserve">-H N plonu sluoksniu (išspaudus maždaug 1 cm kremo) pirštais tepamas ant ligos pažeistų odos plotų moters išorinių lyties organų srityje ir švelniai įtrinamas į odą. </w:t>
      </w:r>
      <w:r>
        <w:rPr>
          <w:szCs w:val="22"/>
          <w:lang w:val="pt-PT"/>
        </w:rPr>
        <w:t xml:space="preserve">Linoladiol-H N negalima vartoti į makštį ar ant kitų moters vidaus lyties organų dalių. </w:t>
      </w:r>
    </w:p>
    <w:p w:rsidR="00FD5AE5" w:rsidRDefault="00FD5AE5" w:rsidP="00FD5AE5">
      <w:pPr>
        <w:ind w:left="567"/>
        <w:rPr>
          <w:szCs w:val="22"/>
          <w:lang w:val="pt-PT"/>
        </w:rPr>
      </w:pPr>
      <w:r>
        <w:rPr>
          <w:szCs w:val="22"/>
          <w:lang w:val="pt-PT"/>
        </w:rPr>
        <w:t xml:space="preserve">Vaistą galima vartoti ne daugiau kaip kartą per parą. </w:t>
      </w:r>
    </w:p>
    <w:p w:rsidR="00FD5AE5" w:rsidRDefault="00FD5AE5" w:rsidP="00FD5AE5">
      <w:pPr>
        <w:ind w:left="567"/>
        <w:rPr>
          <w:szCs w:val="22"/>
          <w:lang w:val="pt-PT"/>
        </w:rPr>
      </w:pPr>
      <w:r>
        <w:rPr>
          <w:szCs w:val="22"/>
          <w:lang w:val="pt-PT"/>
        </w:rPr>
        <w:t>Dauguma atvejų Linoladiol-H N vartojamas 2–3 savaites. Vartoti ilgiau kaip 4 savaites nerekomenduojama.</w:t>
      </w:r>
    </w:p>
    <w:p w:rsidR="00FD5AE5" w:rsidRDefault="00FD5AE5" w:rsidP="00FD5AE5">
      <w:pPr>
        <w:pStyle w:val="Pagrindinistekstas"/>
        <w:spacing w:after="0"/>
        <w:ind w:left="567"/>
        <w:rPr>
          <w:szCs w:val="22"/>
          <w:lang w:val="pt-PT"/>
        </w:rPr>
      </w:pPr>
      <w:r>
        <w:rPr>
          <w:szCs w:val="22"/>
          <w:lang w:val="pt-PT"/>
        </w:rPr>
        <w:t>Linoladiol-H N negalima vartoti vaikams ir paaugliams.</w:t>
      </w:r>
    </w:p>
    <w:p w:rsidR="00FD5AE5" w:rsidRDefault="00FD5AE5" w:rsidP="00FD5AE5">
      <w:pPr>
        <w:pStyle w:val="Pagrindinistekstas"/>
        <w:spacing w:after="0"/>
        <w:rPr>
          <w:szCs w:val="22"/>
          <w:lang w:val="pt-PT"/>
        </w:rPr>
      </w:pPr>
    </w:p>
    <w:p w:rsidR="00FD5AE5" w:rsidRDefault="00FD5AE5" w:rsidP="00FD5AE5">
      <w:pPr>
        <w:pStyle w:val="PI-3EMEASMCA"/>
        <w:ind w:firstLine="567"/>
      </w:pPr>
      <w:r>
        <w:t xml:space="preserve">Ką daryti pavartojus per didelę </w:t>
      </w:r>
      <w:proofErr w:type="spellStart"/>
      <w:r>
        <w:t>Linoladiol</w:t>
      </w:r>
      <w:proofErr w:type="spellEnd"/>
      <w:r>
        <w:t>-H N dozę</w:t>
      </w:r>
    </w:p>
    <w:p w:rsidR="00FD5AE5" w:rsidRDefault="00FD5AE5" w:rsidP="00FD5AE5">
      <w:pPr>
        <w:pStyle w:val="BTEMEASMCA"/>
      </w:pPr>
      <w:r>
        <w:t>Jei atsitiktinai pavartojote Linoladiol-H N daugiau, toliau tęskite gydymą įprastine doze.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3EMEASMCA"/>
        <w:ind w:firstLine="567"/>
      </w:pPr>
      <w:r>
        <w:t xml:space="preserve">Pamiršus pavartoti </w:t>
      </w:r>
      <w:proofErr w:type="spellStart"/>
      <w:r>
        <w:t>Linoladiol</w:t>
      </w:r>
      <w:proofErr w:type="spellEnd"/>
      <w:r>
        <w:t xml:space="preserve">-H N </w:t>
      </w:r>
    </w:p>
    <w:p w:rsidR="00FD5AE5" w:rsidRDefault="00FD5AE5" w:rsidP="00FD5AE5">
      <w:pPr>
        <w:pStyle w:val="BTEMEASMCA"/>
      </w:pPr>
      <w:r>
        <w:t>Negalima vartoti dvigubos dozės norint kompensuoti praleistą kremo dozę. Tęskite vaisto vartojimą nustatyta tvarka.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3EMEASMCA"/>
        <w:ind w:firstLine="567"/>
      </w:pPr>
      <w:r>
        <w:t xml:space="preserve">Nustojus vartoti </w:t>
      </w:r>
      <w:proofErr w:type="spellStart"/>
      <w:r>
        <w:t>Linoladiol</w:t>
      </w:r>
      <w:proofErr w:type="spellEnd"/>
      <w:r>
        <w:t>-H N</w:t>
      </w:r>
    </w:p>
    <w:p w:rsidR="00FD5AE5" w:rsidRDefault="00FD5AE5" w:rsidP="00FD5AE5">
      <w:pPr>
        <w:pStyle w:val="Pagrindinistekstas"/>
        <w:spacing w:after="0"/>
        <w:ind w:left="567"/>
        <w:rPr>
          <w:szCs w:val="22"/>
        </w:rPr>
      </w:pPr>
      <w:r>
        <w:rPr>
          <w:szCs w:val="22"/>
        </w:rPr>
        <w:t>Jei jūs laikinai nustojote vartoti vaisto, pasitarkite su gydytoju, nes gali pablogėti gydymo rezultatai.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  <w:r>
        <w:t>Jeigu kiltų daugiau klausimų dėl šio vaisto vartojimo, kreipkitės į gydytoją arba vaistininką.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1EMEASMCA"/>
      </w:pPr>
      <w:bookmarkStart w:id="6" w:name="_Toc129243267"/>
      <w:bookmarkStart w:id="7" w:name="_Toc129243142"/>
      <w:r>
        <w:t>4.</w:t>
      </w:r>
      <w:r>
        <w:tab/>
        <w:t>Galimas šalutinis poveikis</w:t>
      </w:r>
      <w:bookmarkEnd w:id="6"/>
      <w:bookmarkEnd w:id="7"/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  <w:r>
        <w:t>Linoladiol-H N, kaip ir visi kiti vaistai, gali sukelti šalutinį poveikį, nors jis pasireiškia ne visiems žmonėms.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uEMEASMCA"/>
      </w:pPr>
      <w:r>
        <w:t>Svarbus šalutinis poveikis arba simptomai ir ką daryti jeigu jie pasireikštų:</w:t>
      </w:r>
    </w:p>
    <w:p w:rsidR="00FD5AE5" w:rsidRDefault="00FD5AE5" w:rsidP="00FD5AE5">
      <w:pPr>
        <w:pStyle w:val="BTEMEASMCA"/>
      </w:pPr>
      <w:r>
        <w:t>Jei jums pasireiškė bent vienas iš žemiau išvardytų šalutinio poveikio požymių, nustokite vartoti Linoladiol-H N ir kaip galint greičiau kreipkitės į gydytoją.</w:t>
      </w:r>
    </w:p>
    <w:p w:rsidR="00FD5AE5" w:rsidRDefault="00FD5AE5" w:rsidP="00FD5AE5">
      <w:pPr>
        <w:pStyle w:val="BodyTextAfter0"/>
      </w:pPr>
    </w:p>
    <w:p w:rsidR="00FD5AE5" w:rsidRDefault="00FD5AE5" w:rsidP="00FD5AE5">
      <w:pPr>
        <w:pStyle w:val="BTEMEASMCA"/>
      </w:pPr>
      <w:r>
        <w:t>Labai reti (</w:t>
      </w:r>
      <w:r>
        <w:rPr>
          <w:noProof w:val="0"/>
        </w:rPr>
        <w:t>pasireiškia mažiau negu 1 iš 10000 gydomų pacientų)</w:t>
      </w:r>
      <w:r>
        <w:t>: padidėjusio jautrumo (alerginės) reakcijos.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uEMEASMCA"/>
        <w:rPr>
          <w:u w:val="none"/>
        </w:rPr>
      </w:pPr>
      <w:r>
        <w:rPr>
          <w:u w:val="none"/>
        </w:rPr>
        <w:t>Nedažni (pasireiškia nuo 1 iki 10 iš 1000 gydomų pacientų): kraujavimas iš makšties („tepimas“).</w:t>
      </w:r>
    </w:p>
    <w:p w:rsidR="00FD5AE5" w:rsidRDefault="00FD5AE5" w:rsidP="00FD5AE5">
      <w:pPr>
        <w:pStyle w:val="BTuEMEASMCA"/>
        <w:rPr>
          <w:u w:val="none"/>
        </w:rPr>
      </w:pPr>
    </w:p>
    <w:p w:rsidR="00FD5AE5" w:rsidRDefault="00FD5AE5" w:rsidP="00FD5AE5">
      <w:pPr>
        <w:pStyle w:val="BTuEMEASMCA"/>
        <w:rPr>
          <w:bCs/>
          <w:u w:val="none"/>
        </w:rPr>
      </w:pPr>
      <w:r>
        <w:rPr>
          <w:u w:val="none"/>
        </w:rPr>
        <w:t>Nežinomas (</w:t>
      </w:r>
      <w:r>
        <w:rPr>
          <w:iCs/>
          <w:u w:val="none"/>
        </w:rPr>
        <w:t>negali būti apskaičiuotas pagal turimus duomenis</w:t>
      </w:r>
      <w:r>
        <w:rPr>
          <w:u w:val="none"/>
        </w:rPr>
        <w:t xml:space="preserve">): </w:t>
      </w:r>
      <w:r>
        <w:rPr>
          <w:bCs/>
          <w:u w:val="none"/>
        </w:rPr>
        <w:t>miglotas matymas.</w:t>
      </w:r>
    </w:p>
    <w:p w:rsidR="00FD5AE5" w:rsidRDefault="00FD5AE5" w:rsidP="00FD5AE5">
      <w:pPr>
        <w:pStyle w:val="BTuEMEASMCA"/>
        <w:rPr>
          <w:u w:val="none"/>
        </w:rPr>
      </w:pPr>
    </w:p>
    <w:p w:rsidR="00FD5AE5" w:rsidRDefault="00FD5AE5" w:rsidP="00FD5AE5">
      <w:pPr>
        <w:pStyle w:val="BTuEMEASMCA"/>
      </w:pPr>
      <w:r>
        <w:t>Kitas šalutinis poveikis</w:t>
      </w:r>
    </w:p>
    <w:p w:rsidR="00FD5AE5" w:rsidRDefault="00FD5AE5" w:rsidP="00FD5AE5">
      <w:pPr>
        <w:pStyle w:val="BodyTextAfter0"/>
        <w:ind w:left="567"/>
      </w:pPr>
      <w:r>
        <w:t>Nedažni (pasireiškia nuo 1 iki 10 iš 1000 gydomų pacientų): laikini nestiprūs vietinio dirginimo požymiai (pvz., niežulys, deginimo pojūtis).</w:t>
      </w:r>
    </w:p>
    <w:p w:rsidR="00FD5AE5" w:rsidRDefault="00FD5AE5" w:rsidP="00FD5AE5">
      <w:pPr>
        <w:pStyle w:val="BodyTextAfter0"/>
      </w:pPr>
    </w:p>
    <w:p w:rsidR="00FD5AE5" w:rsidRDefault="00FD5AE5" w:rsidP="00FD5AE5">
      <w:pPr>
        <w:ind w:firstLine="567"/>
        <w:rPr>
          <w:b/>
          <w:bCs/>
          <w:szCs w:val="22"/>
        </w:rPr>
      </w:pPr>
      <w:r>
        <w:rPr>
          <w:b/>
          <w:bCs/>
          <w:noProof/>
          <w:szCs w:val="22"/>
        </w:rPr>
        <w:t>Pranešimas apie šalutinį poveikį</w:t>
      </w:r>
    </w:p>
    <w:p w:rsidR="00FD5AE5" w:rsidRDefault="00FD5AE5" w:rsidP="00FD5AE5">
      <w:pPr>
        <w:ind w:left="567" w:right="-449"/>
        <w:rPr>
          <w:noProof/>
          <w:szCs w:val="22"/>
        </w:rPr>
      </w:pPr>
      <w:r>
        <w:rPr>
          <w:noProof/>
          <w:szCs w:val="22"/>
        </w:rPr>
        <w:t>Jeigu pasireiškė šalutinis poveikis, įskaitant šiame lapelyje nenurodytą, pasakykite gydytojui arba vaistininkui</w:t>
      </w:r>
      <w:r>
        <w:rPr>
          <w:szCs w:val="22"/>
        </w:rPr>
        <w:t>.</w:t>
      </w:r>
      <w:r>
        <w:rPr>
          <w:noProof/>
          <w:szCs w:val="22"/>
        </w:rPr>
        <w:t xml:space="preserve"> Apie šalutinį poveikį taip pat galite pranešti </w:t>
      </w:r>
      <w:r>
        <w:t>Valstybinei vaistų kontrolės tarnybai prie Lietuvos Respublikos sveikatos apsaugos ministerijos nemokamu t</w:t>
      </w:r>
      <w:r>
        <w:rPr>
          <w:lang w:eastAsia="zh-CN"/>
        </w:rPr>
        <w:t>elefonu 8 800 73568</w:t>
      </w:r>
      <w:r>
        <w:t xml:space="preserve"> arba užpildyti interneto svetainėje </w:t>
      </w:r>
      <w:hyperlink r:id="rId5" w:history="1">
        <w:r>
          <w:rPr>
            <w:rStyle w:val="Hipersaitas"/>
            <w:rFonts w:eastAsia="SimSun"/>
          </w:rPr>
          <w:t>www.vvkt.lt</w:t>
        </w:r>
      </w:hyperlink>
      <w: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lang w:eastAsia="zh-CN"/>
        </w:rPr>
        <w:t xml:space="preserve">nemokamu </w:t>
      </w:r>
      <w:r>
        <w:t>fakso numeriu 8 800 20131</w:t>
      </w:r>
      <w:r>
        <w:rPr>
          <w:lang w:eastAsia="zh-CN"/>
        </w:rPr>
        <w:t xml:space="preserve">, </w:t>
      </w:r>
      <w:r>
        <w:t xml:space="preserve">el. paštu </w:t>
      </w:r>
      <w:hyperlink r:id="rId6" w:history="1">
        <w:r>
          <w:rPr>
            <w:rStyle w:val="Hipersaitas"/>
            <w:rFonts w:eastAsia="SimSun"/>
          </w:rPr>
          <w:t>NepageidaujamaR@vvkt.lt</w:t>
        </w:r>
      </w:hyperlink>
      <w: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</w:rPr>
          <w:t>http://www.vvkt.lt</w:t>
        </w:r>
      </w:hyperlink>
      <w:r>
        <w:t xml:space="preserve">. </w:t>
      </w:r>
      <w:r>
        <w:rPr>
          <w:noProof/>
          <w:szCs w:val="22"/>
        </w:rPr>
        <w:t>Pranešdami apie šalutinį poveikį galite mums padėti gauti daugiau informacijos apie šio vaisto saugumą.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1EMEASMCA"/>
      </w:pPr>
      <w:bookmarkStart w:id="8" w:name="_Toc129243268"/>
      <w:bookmarkStart w:id="9" w:name="_Toc129243143"/>
      <w:r>
        <w:t>5.</w:t>
      </w:r>
      <w:r>
        <w:tab/>
        <w:t xml:space="preserve">Kaip laikyti </w:t>
      </w:r>
      <w:proofErr w:type="spellStart"/>
      <w:r>
        <w:t>Linoladiol</w:t>
      </w:r>
      <w:proofErr w:type="spellEnd"/>
      <w:r>
        <w:t xml:space="preserve">-H N </w:t>
      </w:r>
      <w:bookmarkEnd w:id="8"/>
      <w:bookmarkEnd w:id="9"/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  <w:r>
        <w:t>Šį vaistą laikykite vaikams nepastebimoje ir nepasiekiamoje vietoje.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  <w:rPr>
          <w:noProof w:val="0"/>
        </w:rPr>
      </w:pPr>
      <w:r>
        <w:t xml:space="preserve">Ant dėžutės ir tūbelės po „Tinka iki“ nurodytam tinkamumo laikui pasibaigus, šio vaisto vartoti negalima. </w:t>
      </w:r>
      <w:r>
        <w:rPr>
          <w:noProof w:val="0"/>
        </w:rPr>
        <w:t>Vaistas tinkamas vartoti iki paskutinės nurodyto mėnesio dienos.</w:t>
      </w:r>
    </w:p>
    <w:p w:rsidR="00FD5AE5" w:rsidRDefault="00FD5AE5" w:rsidP="00FD5AE5">
      <w:pPr>
        <w:pStyle w:val="BTEMEASMCA"/>
      </w:pPr>
      <w:r>
        <w:t>Laikyti ne aukštesnėje kaip 30 </w:t>
      </w:r>
      <w:r>
        <w:rPr>
          <w:sz w:val="24"/>
          <w:szCs w:val="24"/>
        </w:rPr>
        <w:t>°</w:t>
      </w:r>
      <w:r>
        <w:t>C temperatūroje.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  <w:r>
        <w:t>Po pirmojo pakuotės atidarymo kremo galima vartoti 12 mėnesių.</w:t>
      </w:r>
    </w:p>
    <w:p w:rsidR="00FD5AE5" w:rsidRDefault="00FD5AE5" w:rsidP="00FD5AE5">
      <w:pPr>
        <w:pStyle w:val="BTEMEASMCA"/>
      </w:pPr>
      <w:r>
        <w:t>Pastebėjus kremo savybių pakitimų (spalvos, kvapo, konsistencijos) Linoladiol-H N vartoti negalima.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  <w:r>
        <w:t>Vaistų negalima išmesti į kanalizaciją arba su buitinėmis atliekomis. Kaip išmesti nereikalingus vaistus, klauskite vaistininko. Šios priemonės padės apsaugoti aplinką.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1EMEASMCA"/>
      </w:pPr>
      <w:bookmarkStart w:id="10" w:name="_Toc129243269"/>
      <w:bookmarkStart w:id="11" w:name="_Toc129243144"/>
      <w:r>
        <w:t>6.</w:t>
      </w:r>
      <w:r>
        <w:tab/>
        <w:t>Pakuotės turinys ir kita informacija</w:t>
      </w:r>
      <w:bookmarkEnd w:id="10"/>
      <w:bookmarkEnd w:id="11"/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3EMEASMCA"/>
        <w:ind w:firstLine="567"/>
      </w:pPr>
      <w:proofErr w:type="spellStart"/>
      <w:r>
        <w:t>Linoladiol</w:t>
      </w:r>
      <w:proofErr w:type="spellEnd"/>
      <w:r>
        <w:t>-H N sudėtis</w:t>
      </w:r>
    </w:p>
    <w:p w:rsidR="00FD5AE5" w:rsidRDefault="00FD5AE5" w:rsidP="00FD5AE5">
      <w:pPr>
        <w:pStyle w:val="Pagrindinistekstas"/>
        <w:numPr>
          <w:ilvl w:val="0"/>
          <w:numId w:val="5"/>
        </w:numPr>
        <w:spacing w:after="0"/>
        <w:rPr>
          <w:szCs w:val="22"/>
          <w:lang w:val="pt-PT"/>
        </w:rPr>
      </w:pPr>
      <w:r>
        <w:rPr>
          <w:szCs w:val="22"/>
          <w:lang w:val="pt-PT"/>
        </w:rPr>
        <w:t xml:space="preserve">Veikliosios medžiagos yra estradiolis ir prednizolonas. </w:t>
      </w:r>
      <w:smartTag w:uri="urn:schemas-microsoft-com:office:smarttags" w:element="metricconverter">
        <w:smartTagPr>
          <w:attr w:name="ProductID" w:val="1ﾠg"/>
        </w:smartTagPr>
        <w:r>
          <w:rPr>
            <w:szCs w:val="22"/>
            <w:lang w:val="pt-PT"/>
          </w:rPr>
          <w:t>1 g</w:t>
        </w:r>
      </w:smartTag>
      <w:r>
        <w:rPr>
          <w:szCs w:val="22"/>
          <w:lang w:val="pt-PT"/>
        </w:rPr>
        <w:t xml:space="preserve"> kremo yra 0,05  mg estradiolio (hemihidrato pavidalu) ir 4 mg prednizolono (seskvihidrato pavidalu)</w:t>
      </w:r>
      <w:r>
        <w:rPr>
          <w:bCs/>
          <w:iCs/>
          <w:szCs w:val="22"/>
          <w:lang w:val="pt-PT"/>
        </w:rPr>
        <w:t>.</w:t>
      </w:r>
    </w:p>
    <w:p w:rsidR="00FD5AE5" w:rsidRDefault="00FD5AE5" w:rsidP="00FD5AE5">
      <w:pPr>
        <w:pStyle w:val="BT-EMEASMCA"/>
        <w:numPr>
          <w:ilvl w:val="0"/>
          <w:numId w:val="5"/>
        </w:numPr>
      </w:pPr>
      <w:r>
        <w:t>Pagalbinės medžiagos yra benzilo alkoholis, cetilo palmitatas, cetostearilo alkoholis, natrio citratas, oktildodekanolis, polisorbatas 60, sorbitano stearatas (E491), išgrynintas vanduo.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3EMEASMCA"/>
        <w:ind w:firstLine="720"/>
      </w:pPr>
      <w:proofErr w:type="spellStart"/>
      <w:r>
        <w:t>Linoladiol</w:t>
      </w:r>
      <w:proofErr w:type="spellEnd"/>
      <w:r>
        <w:t>-H N išvaizda ir kiekis pakuotėje</w:t>
      </w:r>
    </w:p>
    <w:p w:rsidR="00FD5AE5" w:rsidRDefault="00FD5AE5" w:rsidP="00FD5AE5">
      <w:pPr>
        <w:pStyle w:val="BodyTextAfter0"/>
        <w:ind w:firstLine="720"/>
      </w:pPr>
      <w:r>
        <w:t xml:space="preserve">Baltas arba gelsvas minkštas kremas. </w:t>
      </w:r>
    </w:p>
    <w:p w:rsidR="00FD5AE5" w:rsidRDefault="00FD5AE5" w:rsidP="00FD5AE5">
      <w:pPr>
        <w:pStyle w:val="BodyTextAfter0"/>
        <w:ind w:firstLine="567"/>
      </w:pPr>
      <w:r>
        <w:t xml:space="preserve">Aliuminio tūbelėje yra </w:t>
      </w:r>
      <w:smartTag w:uri="urn:schemas-microsoft-com:office:smarttags" w:element="metricconverter">
        <w:smartTagPr>
          <w:attr w:name="ProductID" w:val="25ﾠg"/>
        </w:smartTagPr>
        <w:r>
          <w:t>25 g</w:t>
        </w:r>
      </w:smartTag>
      <w:r>
        <w:t xml:space="preserve"> kremo.</w:t>
      </w:r>
    </w:p>
    <w:p w:rsidR="00FD5AE5" w:rsidRDefault="00FD5AE5" w:rsidP="00FD5AE5">
      <w:pPr>
        <w:pStyle w:val="BTEMEASMCA"/>
      </w:pPr>
      <w:r>
        <w:t>Tūbelė supakuota į kartono dėžutę.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PI-3EMEASMCA"/>
        <w:ind w:firstLine="567"/>
      </w:pPr>
      <w:r>
        <w:lastRenderedPageBreak/>
        <w:t>Registruotojas ir gamintojas</w:t>
      </w:r>
    </w:p>
    <w:p w:rsidR="00FD5AE5" w:rsidRDefault="00FD5AE5" w:rsidP="00FD5AE5">
      <w:pPr>
        <w:pStyle w:val="BTEMEASMCA"/>
      </w:pPr>
      <w:r>
        <w:t>Dr. August Wolff GmbH &amp; Co. KG Arzneimittel</w:t>
      </w:r>
    </w:p>
    <w:p w:rsidR="00FD5AE5" w:rsidRDefault="00FD5AE5" w:rsidP="00FD5AE5">
      <w:pPr>
        <w:pStyle w:val="BTEMEASMCA"/>
      </w:pPr>
      <w:r>
        <w:t>Sudbrackstrasse 56,</w:t>
      </w:r>
    </w:p>
    <w:p w:rsidR="00FD5AE5" w:rsidRDefault="00FD5AE5" w:rsidP="00FD5AE5">
      <w:pPr>
        <w:pStyle w:val="BTEMEASMCA"/>
      </w:pPr>
      <w:r>
        <w:t>33611 Bielefeld, VOKIETIJA</w:t>
      </w:r>
    </w:p>
    <w:p w:rsidR="00FD5AE5" w:rsidRDefault="00FD5AE5" w:rsidP="00FD5AE5">
      <w:pPr>
        <w:pStyle w:val="BTEMEASMCA"/>
      </w:pPr>
      <w:r>
        <w:t>Telefonas: +49 521 8808 05</w:t>
      </w:r>
    </w:p>
    <w:p w:rsidR="00FD5AE5" w:rsidRDefault="00FD5AE5" w:rsidP="00FD5AE5">
      <w:pPr>
        <w:pStyle w:val="BTEMEASMCA"/>
      </w:pPr>
      <w:r>
        <w:t>Faksas: + 49 521 8808 334</w:t>
      </w:r>
    </w:p>
    <w:p w:rsidR="00FD5AE5" w:rsidRDefault="00FD5AE5" w:rsidP="00FD5AE5">
      <w:pPr>
        <w:pStyle w:val="BTEMEASMCA"/>
        <w:rPr>
          <w:sz w:val="24"/>
          <w:szCs w:val="24"/>
          <w:lang w:val="en-US"/>
        </w:rPr>
      </w:pPr>
      <w:r>
        <w:rPr>
          <w:lang w:val="en-US"/>
        </w:rPr>
        <w:t xml:space="preserve">El. paštas: </w:t>
      </w:r>
      <w:r>
        <w:rPr>
          <w:color w:val="0000FF"/>
          <w:sz w:val="24"/>
          <w:szCs w:val="24"/>
          <w:u w:val="single"/>
          <w:lang w:val="en-US"/>
        </w:rPr>
        <w:t>aw-info@drwolffgroup.com</w:t>
      </w:r>
    </w:p>
    <w:p w:rsidR="00FD5AE5" w:rsidRDefault="00FD5AE5" w:rsidP="00FD5AE5">
      <w:pPr>
        <w:pStyle w:val="BTEMEASMCA"/>
      </w:pPr>
    </w:p>
    <w:p w:rsidR="00FD5AE5" w:rsidRDefault="00FD5AE5" w:rsidP="00FD5AE5">
      <w:pPr>
        <w:pStyle w:val="BTEMEASMCA"/>
      </w:pPr>
      <w:r>
        <w:t>Jeigu apie šį vaistą norite sužinoti daugiau, kreipkitės į vietinį registruotojo atstovą.</w:t>
      </w:r>
    </w:p>
    <w:p w:rsidR="00FD5AE5" w:rsidRDefault="00FD5AE5" w:rsidP="00FD5AE5">
      <w:pPr>
        <w:rPr>
          <w:szCs w:val="22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FD5AE5" w:rsidTr="00FD5AE5">
        <w:tc>
          <w:tcPr>
            <w:tcW w:w="4678" w:type="dxa"/>
            <w:hideMark/>
          </w:tcPr>
          <w:p w:rsidR="00FD5AE5" w:rsidRDefault="00FD5AE5">
            <w:pPr>
              <w:pStyle w:val="BTEMEASMCA"/>
            </w:pPr>
            <w:r>
              <w:t>UAB Sirowa Vilnius</w:t>
            </w:r>
          </w:p>
          <w:p w:rsidR="00FD5AE5" w:rsidRDefault="00FD5AE5">
            <w:pPr>
              <w:pStyle w:val="BTEMEASMCA"/>
            </w:pPr>
            <w:r>
              <w:t>Eišiškių pl. 8A,</w:t>
            </w:r>
          </w:p>
          <w:p w:rsidR="00FD5AE5" w:rsidRDefault="00FD5AE5">
            <w:pPr>
              <w:pStyle w:val="BTEMEASMCA"/>
            </w:pPr>
            <w:r>
              <w:t>LT-02184 Vilnius</w:t>
            </w:r>
          </w:p>
          <w:p w:rsidR="00FD5AE5" w:rsidRDefault="00FD5AE5">
            <w:pPr>
              <w:pStyle w:val="BTEMEASMCA"/>
            </w:pPr>
            <w:r>
              <w:t>Telefonas: + 370 5 2394150</w:t>
            </w:r>
          </w:p>
        </w:tc>
      </w:tr>
    </w:tbl>
    <w:p w:rsidR="00FD5AE5" w:rsidRDefault="00FD5AE5" w:rsidP="00FD5AE5">
      <w:pPr>
        <w:pStyle w:val="BTEMEASMCA"/>
      </w:pPr>
    </w:p>
    <w:p w:rsidR="00FD5AE5" w:rsidRDefault="00FD5AE5" w:rsidP="00FD5AE5">
      <w:pPr>
        <w:pStyle w:val="BTbEMEASMCA"/>
      </w:pPr>
      <w:r>
        <w:rPr>
          <w:bCs/>
        </w:rPr>
        <w:t>Šis pakuotės lapelis</w:t>
      </w:r>
      <w:r>
        <w:t xml:space="preserve"> paskutinį kartą peržiūrėtas 2019-03-06.</w:t>
      </w:r>
    </w:p>
    <w:p w:rsidR="00FD5AE5" w:rsidRDefault="00FD5AE5" w:rsidP="00FD5AE5">
      <w:pPr>
        <w:rPr>
          <w:szCs w:val="22"/>
        </w:rPr>
      </w:pPr>
    </w:p>
    <w:p w:rsidR="00FD5AE5" w:rsidRDefault="00FD5AE5" w:rsidP="00FD5AE5">
      <w:pPr>
        <w:numPr>
          <w:ilvl w:val="12"/>
          <w:numId w:val="0"/>
        </w:numPr>
        <w:ind w:left="567" w:right="-2"/>
        <w:rPr>
          <w:szCs w:val="22"/>
        </w:rPr>
      </w:pPr>
      <w:r>
        <w:rPr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i/>
          <w:iCs/>
          <w:szCs w:val="22"/>
        </w:rPr>
        <w:t xml:space="preserve"> </w:t>
      </w:r>
      <w:hyperlink r:id="rId8" w:history="1">
        <w:r>
          <w:rPr>
            <w:rStyle w:val="Hipersaitas"/>
            <w:szCs w:val="22"/>
          </w:rPr>
          <w:t>http://www.vvkt.lt/</w:t>
        </w:r>
      </w:hyperlink>
      <w:r>
        <w:rPr>
          <w:szCs w:val="22"/>
        </w:rPr>
        <w:t>.</w:t>
      </w:r>
    </w:p>
    <w:p w:rsidR="00FD5AE5" w:rsidRDefault="00FD5AE5" w:rsidP="00FD5AE5"/>
    <w:p w:rsidR="00FD5AE5" w:rsidRDefault="00FD5AE5" w:rsidP="00FD5AE5"/>
    <w:p w:rsidR="00AA1D8D" w:rsidRDefault="00AA1D8D">
      <w:bookmarkStart w:id="12" w:name="_GoBack"/>
      <w:bookmarkEnd w:id="12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93779"/>
    <w:multiLevelType w:val="hybridMultilevel"/>
    <w:tmpl w:val="AF10702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6494"/>
    <w:multiLevelType w:val="hybridMultilevel"/>
    <w:tmpl w:val="A78AF04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3106F"/>
    <w:multiLevelType w:val="hybridMultilevel"/>
    <w:tmpl w:val="447812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908CC"/>
    <w:multiLevelType w:val="hybridMultilevel"/>
    <w:tmpl w:val="3DFE8EFC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A35E0"/>
    <w:multiLevelType w:val="hybridMultilevel"/>
    <w:tmpl w:val="07A0FC86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E5"/>
    <w:rsid w:val="007D2E28"/>
    <w:rsid w:val="00AA1D8D"/>
    <w:rsid w:val="00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1E18F-096A-4FD9-A96E-B1EF87A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AE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5A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FD5AE5"/>
    <w:rPr>
      <w:rFonts w:ascii="Times New Roman" w:hAnsi="Times New Roman" w:cs="Times New Roman" w:hint="default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D5AE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D5AE5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D5AE5"/>
    <w:pPr>
      <w:ind w:left="720"/>
    </w:pPr>
  </w:style>
  <w:style w:type="character" w:customStyle="1" w:styleId="BodyTextAfter0Char">
    <w:name w:val="Body Text + After 0 Char"/>
    <w:link w:val="BodyTextAfter0"/>
    <w:uiPriority w:val="99"/>
    <w:locked/>
    <w:rsid w:val="00FD5AE5"/>
    <w:rPr>
      <w:rFonts w:ascii="Times New Roman" w:eastAsia="Times New Roman" w:hAnsi="Times New Roman" w:cs="Times New Roman"/>
    </w:rPr>
  </w:style>
  <w:style w:type="paragraph" w:customStyle="1" w:styleId="BodyTextAfter0">
    <w:name w:val="Body Text + After 0"/>
    <w:basedOn w:val="Pagrindinistekstas"/>
    <w:link w:val="BodyTextAfter0Char"/>
    <w:uiPriority w:val="99"/>
    <w:rsid w:val="00FD5AE5"/>
    <w:pPr>
      <w:spacing w:after="0"/>
    </w:pPr>
    <w:rPr>
      <w:szCs w:val="22"/>
      <w:lang w:eastAsia="en-US"/>
    </w:rPr>
  </w:style>
  <w:style w:type="character" w:customStyle="1" w:styleId="BTEMEASMCAChar">
    <w:name w:val="BT EMEA_SMCA Char"/>
    <w:link w:val="BTEMEASMCA"/>
    <w:uiPriority w:val="99"/>
    <w:locked/>
    <w:rsid w:val="00FD5AE5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D5AE5"/>
    <w:pPr>
      <w:tabs>
        <w:tab w:val="left" w:pos="7321"/>
      </w:tabs>
      <w:ind w:left="567"/>
    </w:pPr>
    <w:rPr>
      <w:noProof/>
      <w:szCs w:val="22"/>
      <w:lang w:eastAsia="en-US"/>
    </w:rPr>
  </w:style>
  <w:style w:type="paragraph" w:customStyle="1" w:styleId="PI-1EMEASMCA">
    <w:name w:val="PI-1 EMEA_SMCA"/>
    <w:basedOn w:val="Antrat2"/>
    <w:autoRedefine/>
    <w:uiPriority w:val="99"/>
    <w:rsid w:val="00FD5AE5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paragraph" w:customStyle="1" w:styleId="BT-EMEASMCA">
    <w:name w:val="BT- EMEA_SMCA"/>
    <w:basedOn w:val="BTEMEASMCA"/>
    <w:autoRedefine/>
    <w:uiPriority w:val="99"/>
    <w:rsid w:val="00FD5AE5"/>
    <w:pPr>
      <w:tabs>
        <w:tab w:val="clear" w:pos="7321"/>
        <w:tab w:val="left" w:pos="0"/>
      </w:tabs>
    </w:pPr>
  </w:style>
  <w:style w:type="paragraph" w:customStyle="1" w:styleId="PI-3EMEASMCA">
    <w:name w:val="PI-3 EMEA_SMCA"/>
    <w:basedOn w:val="prastasis"/>
    <w:autoRedefine/>
    <w:uiPriority w:val="99"/>
    <w:rsid w:val="00FD5AE5"/>
    <w:pPr>
      <w:spacing w:line="220" w:lineRule="exact"/>
    </w:pPr>
    <w:rPr>
      <w:b/>
      <w:bCs/>
      <w:szCs w:val="22"/>
      <w:lang w:eastAsia="en-US"/>
    </w:rPr>
  </w:style>
  <w:style w:type="character" w:customStyle="1" w:styleId="BTbEMEASMCAChar">
    <w:name w:val="BT(b) EMEA_SMCA Char"/>
    <w:link w:val="BTbEMEASMCA"/>
    <w:uiPriority w:val="99"/>
    <w:locked/>
    <w:rsid w:val="00FD5AE5"/>
    <w:rPr>
      <w:rFonts w:ascii="Times New Roman" w:eastAsia="Times New Roman" w:hAnsi="Times New Roman" w:cs="Times New Roman"/>
      <w:b/>
      <w:noProof/>
    </w:rPr>
  </w:style>
  <w:style w:type="paragraph" w:customStyle="1" w:styleId="BTbEMEASMCA">
    <w:name w:val="BT(b) EMEA_SMCA"/>
    <w:basedOn w:val="BTEMEASMCA"/>
    <w:link w:val="BTbEMEASMCAChar"/>
    <w:autoRedefine/>
    <w:uiPriority w:val="99"/>
    <w:rsid w:val="00FD5AE5"/>
    <w:rPr>
      <w:b/>
    </w:rPr>
  </w:style>
  <w:style w:type="paragraph" w:customStyle="1" w:styleId="BTuEMEASMCA">
    <w:name w:val="BT(u) EMEA_SMCA"/>
    <w:basedOn w:val="BTEMEASMCA"/>
    <w:autoRedefine/>
    <w:uiPriority w:val="99"/>
    <w:rsid w:val="00FD5AE5"/>
    <w:rPr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5A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5429</Words>
  <Characters>3096</Characters>
  <Application>Microsoft Office Word</Application>
  <DocSecurity>0</DocSecurity>
  <Lines>25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2019-04-11T10:33:00Z</dcterms:created>
  <dcterms:modified xsi:type="dcterms:W3CDTF">2019-04-11T10:34:00Z</dcterms:modified>
</cp:coreProperties>
</file>