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33" w:rsidRPr="00BE2533" w:rsidRDefault="00962069" w:rsidP="00BE2533">
      <w:pPr>
        <w:tabs>
          <w:tab w:val="left" w:pos="567"/>
        </w:tabs>
        <w:jc w:val="center"/>
        <w:rPr>
          <w:b/>
          <w:sz w:val="22"/>
          <w:szCs w:val="22"/>
        </w:rPr>
      </w:pPr>
      <w:bookmarkStart w:id="0" w:name="_GoBack"/>
      <w:r w:rsidRPr="00BE2533">
        <w:rPr>
          <w:sz w:val="22"/>
          <w:szCs w:val="22"/>
        </w:rPr>
        <w:t xml:space="preserve"> </w:t>
      </w:r>
      <w:r w:rsidR="00BE2533" w:rsidRPr="00BE2533">
        <w:rPr>
          <w:b/>
          <w:sz w:val="22"/>
          <w:szCs w:val="22"/>
        </w:rPr>
        <w:t>Pakuotės lapelis:</w:t>
      </w:r>
      <w:r w:rsidR="00BE2533" w:rsidRPr="00BE2533">
        <w:rPr>
          <w:b/>
          <w:bCs/>
          <w:iCs/>
          <w:sz w:val="22"/>
          <w:szCs w:val="22"/>
        </w:rPr>
        <w:t xml:space="preserve"> </w:t>
      </w:r>
      <w:r w:rsidR="00BE2533" w:rsidRPr="00BE2533">
        <w:rPr>
          <w:b/>
          <w:sz w:val="22"/>
          <w:szCs w:val="22"/>
        </w:rPr>
        <w:t xml:space="preserve">informacija vartotojui </w:t>
      </w:r>
    </w:p>
    <w:p w:rsidR="00BE2533" w:rsidRPr="00BE2533" w:rsidRDefault="00BE2533" w:rsidP="00BE2533">
      <w:pPr>
        <w:tabs>
          <w:tab w:val="left" w:pos="567"/>
        </w:tabs>
        <w:jc w:val="center"/>
        <w:rPr>
          <w:b/>
          <w:sz w:val="22"/>
          <w:szCs w:val="22"/>
        </w:rPr>
      </w:pPr>
    </w:p>
    <w:p w:rsidR="00BE2533" w:rsidRPr="00BE2533" w:rsidRDefault="00BE2533" w:rsidP="00BE2533">
      <w:pPr>
        <w:tabs>
          <w:tab w:val="left" w:pos="567"/>
        </w:tabs>
        <w:jc w:val="center"/>
        <w:rPr>
          <w:b/>
          <w:sz w:val="22"/>
          <w:szCs w:val="22"/>
        </w:rPr>
      </w:pPr>
      <w:r w:rsidRPr="00BE2533">
        <w:rPr>
          <w:b/>
          <w:sz w:val="22"/>
          <w:szCs w:val="22"/>
        </w:rPr>
        <w:t>Gingium 120 mg plėvele dengtos tabletės</w:t>
      </w:r>
    </w:p>
    <w:p w:rsidR="00BE2533" w:rsidRPr="00BE2533" w:rsidRDefault="00BE2533" w:rsidP="00BE2533">
      <w:pPr>
        <w:tabs>
          <w:tab w:val="left" w:pos="567"/>
        </w:tabs>
        <w:jc w:val="center"/>
        <w:rPr>
          <w:noProof/>
          <w:color w:val="000000"/>
          <w:sz w:val="22"/>
          <w:szCs w:val="22"/>
          <w:lang w:eastAsia="x-none"/>
        </w:rPr>
      </w:pPr>
      <w:r w:rsidRPr="00BE2533">
        <w:rPr>
          <w:noProof/>
          <w:color w:val="000000"/>
          <w:sz w:val="22"/>
          <w:szCs w:val="22"/>
          <w:lang w:eastAsia="x-none"/>
        </w:rPr>
        <w:t>Rafinuotas ir kiekybiškai įvertintas ginkmedžių sausasis ekstraktas</w:t>
      </w:r>
    </w:p>
    <w:p w:rsidR="00BE2533" w:rsidRPr="00BE2533" w:rsidRDefault="00BE2533" w:rsidP="00BE2533">
      <w:pPr>
        <w:tabs>
          <w:tab w:val="left" w:pos="567"/>
        </w:tabs>
        <w:jc w:val="center"/>
        <w:rPr>
          <w:sz w:val="22"/>
          <w:szCs w:val="22"/>
        </w:rPr>
      </w:pPr>
    </w:p>
    <w:p w:rsidR="00BE2533" w:rsidRPr="00BE2533" w:rsidRDefault="00BE2533" w:rsidP="00BE2533">
      <w:pPr>
        <w:tabs>
          <w:tab w:val="left" w:pos="567"/>
        </w:tabs>
        <w:rPr>
          <w:b/>
          <w:sz w:val="22"/>
          <w:szCs w:val="22"/>
        </w:rPr>
      </w:pPr>
      <w:r w:rsidRPr="00BE2533">
        <w:rPr>
          <w:b/>
          <w:sz w:val="22"/>
          <w:szCs w:val="22"/>
        </w:rPr>
        <w:t>Atidžiai perskaitykite visą šį lapelį, prieš pradėdami vartoti šį vaistą, nes jame pateikiama Jums svarbi informacija.</w:t>
      </w:r>
    </w:p>
    <w:p w:rsidR="00BE2533" w:rsidRPr="00BE2533" w:rsidRDefault="00BE2533" w:rsidP="00BE2533">
      <w:pPr>
        <w:tabs>
          <w:tab w:val="left" w:pos="567"/>
        </w:tabs>
        <w:rPr>
          <w:sz w:val="22"/>
          <w:szCs w:val="22"/>
        </w:rPr>
      </w:pPr>
      <w:r w:rsidRPr="00BE2533">
        <w:rPr>
          <w:sz w:val="22"/>
          <w:szCs w:val="22"/>
        </w:rPr>
        <w:t>Visada vartokite šį vaistą tiksliai kaip aprašyta šiame lapelyje arba kaip nurodė gydytojas arba vaistininkas.</w:t>
      </w:r>
    </w:p>
    <w:p w:rsidR="00BE2533" w:rsidRPr="00BE2533" w:rsidRDefault="00BE2533" w:rsidP="00BE2533">
      <w:pPr>
        <w:numPr>
          <w:ilvl w:val="0"/>
          <w:numId w:val="2"/>
        </w:numPr>
        <w:tabs>
          <w:tab w:val="left" w:pos="567"/>
        </w:tabs>
        <w:rPr>
          <w:sz w:val="22"/>
          <w:szCs w:val="22"/>
        </w:rPr>
      </w:pPr>
      <w:r w:rsidRPr="00BE2533">
        <w:rPr>
          <w:sz w:val="22"/>
          <w:szCs w:val="22"/>
        </w:rPr>
        <w:t xml:space="preserve">Neišmeskite šio lapelio, nes vėl gali prireikti jį perskaityti. </w:t>
      </w:r>
    </w:p>
    <w:p w:rsidR="00BE2533" w:rsidRPr="00BE2533" w:rsidRDefault="00BE2533" w:rsidP="00BE2533">
      <w:pPr>
        <w:numPr>
          <w:ilvl w:val="0"/>
          <w:numId w:val="2"/>
        </w:numPr>
        <w:tabs>
          <w:tab w:val="left" w:pos="567"/>
        </w:tabs>
        <w:rPr>
          <w:sz w:val="22"/>
          <w:szCs w:val="22"/>
        </w:rPr>
      </w:pPr>
      <w:r w:rsidRPr="00BE2533">
        <w:rPr>
          <w:sz w:val="22"/>
          <w:szCs w:val="22"/>
        </w:rPr>
        <w:t>Jeigu norite sužinoti daugiau arba pasitarti, kreipkitės į vaistininką.</w:t>
      </w:r>
    </w:p>
    <w:p w:rsidR="00BE2533" w:rsidRPr="00BE2533" w:rsidRDefault="00BE2533" w:rsidP="00BE2533">
      <w:pPr>
        <w:numPr>
          <w:ilvl w:val="0"/>
          <w:numId w:val="2"/>
        </w:numPr>
        <w:tabs>
          <w:tab w:val="left" w:pos="567"/>
        </w:tabs>
        <w:ind w:left="567" w:hanging="567"/>
        <w:rPr>
          <w:sz w:val="22"/>
          <w:szCs w:val="22"/>
        </w:rPr>
      </w:pPr>
      <w:r w:rsidRPr="00BE2533">
        <w:rPr>
          <w:sz w:val="22"/>
          <w:szCs w:val="22"/>
        </w:rPr>
        <w:t>Jeigu pasireiškė šalutinis poveikis (net jeigu jis šiame lapelyje nenurodytas), kreipkitės į gydytoją arba vaistininką. Žr. 4 skyrių.</w:t>
      </w:r>
    </w:p>
    <w:p w:rsidR="00BE2533" w:rsidRPr="00BE2533" w:rsidRDefault="00BE2533" w:rsidP="00BE2533">
      <w:pPr>
        <w:tabs>
          <w:tab w:val="left" w:pos="567"/>
          <w:tab w:val="left" w:pos="3885"/>
        </w:tabs>
        <w:rPr>
          <w:sz w:val="22"/>
          <w:szCs w:val="22"/>
        </w:rPr>
      </w:pPr>
    </w:p>
    <w:p w:rsidR="00BE2533" w:rsidRPr="00BE2533" w:rsidRDefault="00BE2533" w:rsidP="00BE2533">
      <w:pPr>
        <w:tabs>
          <w:tab w:val="left" w:pos="567"/>
          <w:tab w:val="left" w:pos="3885"/>
        </w:tabs>
        <w:rPr>
          <w:b/>
          <w:bCs/>
          <w:sz w:val="22"/>
          <w:szCs w:val="22"/>
        </w:rPr>
      </w:pPr>
      <w:r w:rsidRPr="00BE2533">
        <w:rPr>
          <w:b/>
          <w:bCs/>
          <w:sz w:val="22"/>
          <w:szCs w:val="22"/>
        </w:rPr>
        <w:t>Apie ką rašoma šiame lapelyje?</w:t>
      </w:r>
    </w:p>
    <w:p w:rsidR="00BE2533" w:rsidRPr="00BE2533" w:rsidRDefault="00BE2533" w:rsidP="00BE2533">
      <w:pPr>
        <w:tabs>
          <w:tab w:val="left" w:pos="567"/>
        </w:tabs>
        <w:rPr>
          <w:b/>
          <w:sz w:val="22"/>
          <w:szCs w:val="22"/>
        </w:rPr>
      </w:pPr>
    </w:p>
    <w:p w:rsidR="00BE2533" w:rsidRPr="00BE2533" w:rsidRDefault="00BE2533" w:rsidP="00BE2533">
      <w:pPr>
        <w:tabs>
          <w:tab w:val="left" w:pos="567"/>
        </w:tabs>
        <w:ind w:left="540" w:hanging="540"/>
        <w:rPr>
          <w:sz w:val="22"/>
          <w:szCs w:val="22"/>
        </w:rPr>
      </w:pPr>
      <w:r w:rsidRPr="00BE2533">
        <w:rPr>
          <w:sz w:val="22"/>
          <w:szCs w:val="22"/>
        </w:rPr>
        <w:t>1.</w:t>
      </w:r>
      <w:r w:rsidRPr="00BE2533">
        <w:rPr>
          <w:sz w:val="22"/>
          <w:szCs w:val="22"/>
        </w:rPr>
        <w:tab/>
        <w:t>Kas yra Gingium ir kam jis vartojamas</w:t>
      </w:r>
    </w:p>
    <w:p w:rsidR="00BE2533" w:rsidRPr="00BE2533" w:rsidRDefault="00BE2533" w:rsidP="00BE2533">
      <w:pPr>
        <w:tabs>
          <w:tab w:val="left" w:pos="567"/>
        </w:tabs>
        <w:ind w:left="540" w:hanging="540"/>
        <w:rPr>
          <w:sz w:val="22"/>
          <w:szCs w:val="22"/>
        </w:rPr>
      </w:pPr>
      <w:r w:rsidRPr="00BE2533">
        <w:rPr>
          <w:sz w:val="22"/>
          <w:szCs w:val="22"/>
        </w:rPr>
        <w:t>2.</w:t>
      </w:r>
      <w:r w:rsidRPr="00BE2533">
        <w:rPr>
          <w:sz w:val="22"/>
          <w:szCs w:val="22"/>
        </w:rPr>
        <w:tab/>
        <w:t xml:space="preserve">Kas žinotina prieš vartojant Gingium </w:t>
      </w:r>
    </w:p>
    <w:p w:rsidR="00BE2533" w:rsidRPr="00BE2533" w:rsidRDefault="00BE2533" w:rsidP="00BE2533">
      <w:pPr>
        <w:tabs>
          <w:tab w:val="left" w:pos="567"/>
        </w:tabs>
        <w:ind w:left="540" w:hanging="540"/>
        <w:rPr>
          <w:sz w:val="22"/>
          <w:szCs w:val="22"/>
        </w:rPr>
      </w:pPr>
      <w:r w:rsidRPr="00BE2533">
        <w:rPr>
          <w:sz w:val="22"/>
          <w:szCs w:val="22"/>
        </w:rPr>
        <w:t>3.</w:t>
      </w:r>
      <w:r w:rsidRPr="00BE2533">
        <w:rPr>
          <w:sz w:val="22"/>
          <w:szCs w:val="22"/>
        </w:rPr>
        <w:tab/>
        <w:t xml:space="preserve">Kaip vartoti Gingium </w:t>
      </w:r>
    </w:p>
    <w:p w:rsidR="00BE2533" w:rsidRPr="00BE2533" w:rsidRDefault="00BE2533" w:rsidP="00BE2533">
      <w:pPr>
        <w:tabs>
          <w:tab w:val="left" w:pos="567"/>
        </w:tabs>
        <w:ind w:left="540" w:hanging="540"/>
        <w:rPr>
          <w:sz w:val="22"/>
          <w:szCs w:val="22"/>
        </w:rPr>
      </w:pPr>
      <w:r w:rsidRPr="00BE2533">
        <w:rPr>
          <w:sz w:val="22"/>
          <w:szCs w:val="22"/>
        </w:rPr>
        <w:t>4.</w:t>
      </w:r>
      <w:r w:rsidRPr="00BE2533">
        <w:rPr>
          <w:sz w:val="22"/>
          <w:szCs w:val="22"/>
        </w:rPr>
        <w:tab/>
        <w:t>Galimas šalutinis poveikis</w:t>
      </w:r>
    </w:p>
    <w:p w:rsidR="00BE2533" w:rsidRPr="00BE2533" w:rsidRDefault="00BE2533" w:rsidP="00BE2533">
      <w:pPr>
        <w:tabs>
          <w:tab w:val="left" w:pos="567"/>
        </w:tabs>
        <w:ind w:left="540" w:hanging="540"/>
        <w:rPr>
          <w:sz w:val="22"/>
          <w:szCs w:val="22"/>
        </w:rPr>
      </w:pPr>
      <w:r w:rsidRPr="00BE2533">
        <w:rPr>
          <w:sz w:val="22"/>
          <w:szCs w:val="22"/>
        </w:rPr>
        <w:t>5.</w:t>
      </w:r>
      <w:r w:rsidRPr="00BE2533">
        <w:rPr>
          <w:sz w:val="22"/>
          <w:szCs w:val="22"/>
        </w:rPr>
        <w:tab/>
        <w:t>Kaip laikyti Gingium</w:t>
      </w:r>
    </w:p>
    <w:p w:rsidR="00BE2533" w:rsidRPr="00BE2533" w:rsidRDefault="00BE2533" w:rsidP="00BE2533">
      <w:pPr>
        <w:tabs>
          <w:tab w:val="left" w:pos="567"/>
        </w:tabs>
        <w:ind w:left="567" w:hanging="567"/>
        <w:rPr>
          <w:sz w:val="22"/>
          <w:szCs w:val="22"/>
        </w:rPr>
      </w:pPr>
      <w:r w:rsidRPr="00BE2533">
        <w:rPr>
          <w:sz w:val="22"/>
          <w:szCs w:val="22"/>
        </w:rPr>
        <w:t>6.</w:t>
      </w:r>
      <w:r w:rsidRPr="00BE2533">
        <w:rPr>
          <w:sz w:val="22"/>
          <w:szCs w:val="22"/>
        </w:rPr>
        <w:tab/>
        <w:t>Pakuotės turinys ir kita informacija</w:t>
      </w:r>
    </w:p>
    <w:p w:rsidR="00BE2533" w:rsidRPr="00BE2533" w:rsidRDefault="00BE2533" w:rsidP="00BE2533">
      <w:pPr>
        <w:tabs>
          <w:tab w:val="left" w:pos="567"/>
        </w:tabs>
        <w:ind w:left="567" w:hanging="567"/>
        <w:rPr>
          <w:sz w:val="22"/>
          <w:szCs w:val="22"/>
        </w:rPr>
      </w:pPr>
    </w:p>
    <w:p w:rsidR="00BE2533" w:rsidRPr="00BE2533" w:rsidRDefault="00BE2533" w:rsidP="00BE2533">
      <w:pPr>
        <w:tabs>
          <w:tab w:val="left" w:pos="567"/>
        </w:tabs>
        <w:ind w:left="567" w:hanging="567"/>
        <w:rPr>
          <w:b/>
          <w:sz w:val="22"/>
          <w:szCs w:val="22"/>
        </w:rPr>
      </w:pPr>
    </w:p>
    <w:p w:rsidR="00BE2533" w:rsidRPr="00BE2533" w:rsidRDefault="00BE2533" w:rsidP="00BE2533">
      <w:pPr>
        <w:tabs>
          <w:tab w:val="left" w:pos="567"/>
        </w:tabs>
        <w:ind w:left="567" w:hanging="567"/>
        <w:rPr>
          <w:b/>
          <w:sz w:val="22"/>
          <w:szCs w:val="22"/>
        </w:rPr>
      </w:pPr>
      <w:r w:rsidRPr="00BE2533">
        <w:rPr>
          <w:b/>
          <w:sz w:val="22"/>
          <w:szCs w:val="22"/>
        </w:rPr>
        <w:t>1.</w:t>
      </w:r>
      <w:r w:rsidRPr="00BE2533">
        <w:rPr>
          <w:b/>
          <w:sz w:val="22"/>
          <w:szCs w:val="22"/>
        </w:rPr>
        <w:tab/>
        <w:t>Kas yra Gingium ir kam jis vartojamas</w:t>
      </w:r>
    </w:p>
    <w:p w:rsidR="00BE2533" w:rsidRPr="00BE2533" w:rsidRDefault="00BE2533" w:rsidP="00BE2533">
      <w:pPr>
        <w:tabs>
          <w:tab w:val="left" w:pos="567"/>
        </w:tabs>
        <w:rPr>
          <w:b/>
          <w:sz w:val="22"/>
          <w:szCs w:val="22"/>
        </w:rPr>
      </w:pPr>
    </w:p>
    <w:p w:rsidR="00BE2533" w:rsidRPr="00BE2533" w:rsidRDefault="00BE2533" w:rsidP="00BE2533">
      <w:pPr>
        <w:tabs>
          <w:tab w:val="left" w:pos="567"/>
        </w:tabs>
        <w:rPr>
          <w:sz w:val="22"/>
          <w:szCs w:val="22"/>
        </w:rPr>
      </w:pPr>
      <w:r w:rsidRPr="00BE2533">
        <w:rPr>
          <w:sz w:val="22"/>
          <w:szCs w:val="22"/>
        </w:rPr>
        <w:t>Gingium yra augalinis vaistas. Jo veiklioji medžiaga gaunama iš medžio – dviskiaučio ginkmedžio lapų. Gingium vartojamas jeigu esate vyresnio amžiaus ir:</w:t>
      </w:r>
    </w:p>
    <w:p w:rsidR="00BE2533" w:rsidRPr="00BE2533" w:rsidRDefault="00BE2533" w:rsidP="00BE2533">
      <w:pPr>
        <w:numPr>
          <w:ilvl w:val="0"/>
          <w:numId w:val="13"/>
        </w:numPr>
        <w:tabs>
          <w:tab w:val="left" w:pos="567"/>
        </w:tabs>
        <w:ind w:left="567"/>
        <w:rPr>
          <w:sz w:val="22"/>
          <w:szCs w:val="22"/>
          <w:lang w:eastAsia="x-none"/>
        </w:rPr>
      </w:pPr>
      <w:r w:rsidRPr="00BE2533">
        <w:rPr>
          <w:sz w:val="22"/>
          <w:szCs w:val="22"/>
          <w:lang w:eastAsia="x-none"/>
        </w:rPr>
        <w:t>Sergate lengvo ir vidutinio sunkumo smegenų kraujotakos nepakankamumu. Jo simptomai: susilpnėjusi atmintis ir dėmesio koncentracija, bloga nuotaika, spengimas ar ūžimas ausyse, svaigulys ar galvos skausmas. Gingium skiriamas šių simptomų gydymui.  Išvardinti simptomai negali būti pirminės ligos simptomai, nes juos reikia gydyti specifinėmis priemonėmis.</w:t>
      </w:r>
    </w:p>
    <w:p w:rsidR="00BE2533" w:rsidRPr="00BE2533" w:rsidRDefault="00BE2533" w:rsidP="00BE2533">
      <w:pPr>
        <w:numPr>
          <w:ilvl w:val="0"/>
          <w:numId w:val="13"/>
        </w:numPr>
        <w:tabs>
          <w:tab w:val="left" w:pos="567"/>
        </w:tabs>
        <w:ind w:left="588"/>
        <w:rPr>
          <w:sz w:val="22"/>
          <w:szCs w:val="22"/>
        </w:rPr>
      </w:pPr>
      <w:r w:rsidRPr="00BE2533">
        <w:rPr>
          <w:sz w:val="22"/>
          <w:szCs w:val="22"/>
        </w:rPr>
        <w:t>Jūs protarpiais šlubuojate (yra</w:t>
      </w:r>
      <w:r w:rsidRPr="00BE2533">
        <w:rPr>
          <w:i/>
          <w:sz w:val="22"/>
          <w:szCs w:val="22"/>
        </w:rPr>
        <w:t xml:space="preserve"> </w:t>
      </w:r>
      <w:r w:rsidRPr="00BE2533">
        <w:rPr>
          <w:sz w:val="22"/>
          <w:szCs w:val="22"/>
        </w:rPr>
        <w:t>II laipsnio periferinių arterijų užakimas pagal Fontaine). Gingium vartojamas</w:t>
      </w:r>
      <w:r w:rsidRPr="00BE2533">
        <w:rPr>
          <w:i/>
          <w:sz w:val="22"/>
          <w:szCs w:val="22"/>
        </w:rPr>
        <w:t xml:space="preserve"> </w:t>
      </w:r>
      <w:r w:rsidRPr="00BE2533">
        <w:rPr>
          <w:sz w:val="22"/>
          <w:szCs w:val="22"/>
        </w:rPr>
        <w:t>nueito be skausmo kelio ilginimui, taikant fizines ir gydomąsias priemones, ypač treniravimąsi vaikščiojant.</w:t>
      </w:r>
    </w:p>
    <w:p w:rsidR="00BE2533" w:rsidRPr="00BE2533" w:rsidRDefault="00BE2533" w:rsidP="00BE2533">
      <w:pPr>
        <w:numPr>
          <w:ilvl w:val="0"/>
          <w:numId w:val="13"/>
        </w:numPr>
        <w:tabs>
          <w:tab w:val="left" w:pos="567"/>
        </w:tabs>
        <w:ind w:left="574"/>
        <w:rPr>
          <w:sz w:val="22"/>
          <w:szCs w:val="22"/>
          <w:lang w:eastAsia="x-none"/>
        </w:rPr>
      </w:pPr>
      <w:r w:rsidRPr="00BE2533">
        <w:rPr>
          <w:sz w:val="22"/>
          <w:szCs w:val="22"/>
          <w:lang w:eastAsia="x-none"/>
        </w:rPr>
        <w:t>Jums sukasi galva ir (arba) spengia ausyse dėl kraujagyslių pažeidimo ir senatvinių pokyčių. Gingium vartojamas mažinti šiuos simptomus.</w:t>
      </w:r>
    </w:p>
    <w:p w:rsidR="00BE2533" w:rsidRPr="00BE2533" w:rsidRDefault="00BE2533" w:rsidP="00BE2533">
      <w:pPr>
        <w:tabs>
          <w:tab w:val="left" w:pos="567"/>
        </w:tabs>
        <w:ind w:left="720"/>
        <w:rPr>
          <w:sz w:val="22"/>
          <w:szCs w:val="22"/>
          <w:lang w:eastAsia="x-none"/>
        </w:rPr>
      </w:pPr>
    </w:p>
    <w:p w:rsidR="00BE2533" w:rsidRPr="00BE2533" w:rsidRDefault="00BE2533" w:rsidP="00BE2533">
      <w:pPr>
        <w:tabs>
          <w:tab w:val="left" w:pos="567"/>
        </w:tabs>
        <w:rPr>
          <w:b/>
          <w:sz w:val="22"/>
          <w:szCs w:val="22"/>
        </w:rPr>
      </w:pPr>
      <w:r w:rsidRPr="00BE2533">
        <w:rPr>
          <w:b/>
          <w:sz w:val="22"/>
          <w:szCs w:val="22"/>
        </w:rPr>
        <w:t>SVARBU!</w:t>
      </w:r>
    </w:p>
    <w:p w:rsidR="00BE2533" w:rsidRPr="00BE2533" w:rsidRDefault="00BE2533" w:rsidP="00BE2533">
      <w:pPr>
        <w:tabs>
          <w:tab w:val="left" w:pos="567"/>
        </w:tabs>
        <w:rPr>
          <w:sz w:val="22"/>
          <w:szCs w:val="22"/>
        </w:rPr>
      </w:pPr>
      <w:r w:rsidRPr="00BE2533">
        <w:rPr>
          <w:sz w:val="22"/>
          <w:szCs w:val="22"/>
        </w:rPr>
        <w:t xml:space="preserve">Dažno galvos sukimosi ir spengimo ausyse priežastį visuomet turi ištirti gydytojas. Jeigu staiga sutriko klausa ar apkurtote, </w:t>
      </w:r>
      <w:r w:rsidRPr="00BE2533">
        <w:rPr>
          <w:b/>
          <w:sz w:val="22"/>
          <w:szCs w:val="22"/>
        </w:rPr>
        <w:t>nedelsiant kreipkitės į gydytoją</w:t>
      </w:r>
      <w:r w:rsidRPr="00BE2533">
        <w:rPr>
          <w:sz w:val="22"/>
          <w:szCs w:val="22"/>
        </w:rPr>
        <w:t>.</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r w:rsidRPr="00BE2533">
        <w:rPr>
          <w:sz w:val="22"/>
          <w:szCs w:val="22"/>
        </w:rPr>
        <w:t>Jūsų organizmo atsako į šio vaisto poveikį numatyti neįmanoma.</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p>
    <w:p w:rsidR="00BE2533" w:rsidRPr="00BE2533" w:rsidRDefault="00BE2533" w:rsidP="00BE2533">
      <w:pPr>
        <w:tabs>
          <w:tab w:val="left" w:pos="567"/>
        </w:tabs>
        <w:ind w:left="567" w:hanging="567"/>
        <w:rPr>
          <w:b/>
          <w:sz w:val="22"/>
          <w:szCs w:val="22"/>
        </w:rPr>
      </w:pPr>
      <w:r w:rsidRPr="00BE2533">
        <w:rPr>
          <w:b/>
          <w:sz w:val="22"/>
          <w:szCs w:val="22"/>
        </w:rPr>
        <w:t>2.</w:t>
      </w:r>
      <w:r w:rsidRPr="00BE2533">
        <w:rPr>
          <w:b/>
          <w:sz w:val="22"/>
          <w:szCs w:val="22"/>
        </w:rPr>
        <w:tab/>
        <w:t>Kas žinotina prieš vartojant Gingium</w:t>
      </w:r>
    </w:p>
    <w:p w:rsidR="00BE2533" w:rsidRPr="00BE2533" w:rsidRDefault="00BE2533" w:rsidP="00BE2533">
      <w:pPr>
        <w:tabs>
          <w:tab w:val="left" w:pos="567"/>
        </w:tabs>
        <w:ind w:left="567" w:hanging="567"/>
        <w:rPr>
          <w:sz w:val="22"/>
          <w:szCs w:val="22"/>
        </w:rPr>
      </w:pPr>
    </w:p>
    <w:p w:rsidR="00BE2533" w:rsidRPr="00BE2533" w:rsidRDefault="00BE2533" w:rsidP="00BE2533">
      <w:pPr>
        <w:tabs>
          <w:tab w:val="left" w:pos="567"/>
        </w:tabs>
        <w:ind w:left="567" w:hanging="567"/>
        <w:rPr>
          <w:b/>
          <w:sz w:val="22"/>
          <w:szCs w:val="22"/>
        </w:rPr>
      </w:pPr>
      <w:r w:rsidRPr="00BE2533">
        <w:rPr>
          <w:b/>
          <w:sz w:val="22"/>
          <w:szCs w:val="22"/>
        </w:rPr>
        <w:t>Gingium vartoti negalima:</w:t>
      </w:r>
    </w:p>
    <w:p w:rsidR="00BE2533" w:rsidRPr="00BE2533" w:rsidRDefault="00BE2533" w:rsidP="00BE2533">
      <w:pPr>
        <w:tabs>
          <w:tab w:val="left" w:pos="567"/>
        </w:tabs>
        <w:ind w:left="567" w:hanging="567"/>
        <w:rPr>
          <w:sz w:val="22"/>
          <w:szCs w:val="22"/>
        </w:rPr>
      </w:pPr>
      <w:r w:rsidRPr="00BE2533">
        <w:rPr>
          <w:sz w:val="22"/>
          <w:szCs w:val="22"/>
        </w:rPr>
        <w:t>-</w:t>
      </w:r>
      <w:r w:rsidRPr="00BE2533">
        <w:rPr>
          <w:sz w:val="22"/>
          <w:szCs w:val="22"/>
        </w:rPr>
        <w:tab/>
        <w:t>jeigu yra alergija dviskiaučio ginkmedžio lapų ekstraktui (Gingium veiklioji medžiaga) arba bet kuriai pagalbinei šio vaisto medžiagai (jos išvardytos 6 skyriuje);</w:t>
      </w:r>
    </w:p>
    <w:p w:rsidR="00BE2533" w:rsidRPr="00BE2533" w:rsidRDefault="00BE2533" w:rsidP="00BE2533">
      <w:pPr>
        <w:numPr>
          <w:ilvl w:val="0"/>
          <w:numId w:val="14"/>
        </w:numPr>
        <w:tabs>
          <w:tab w:val="left" w:pos="567"/>
        </w:tabs>
        <w:ind w:left="567" w:hanging="567"/>
        <w:rPr>
          <w:sz w:val="22"/>
          <w:szCs w:val="22"/>
        </w:rPr>
      </w:pPr>
      <w:r w:rsidRPr="00BE2533">
        <w:rPr>
          <w:sz w:val="22"/>
          <w:szCs w:val="22"/>
        </w:rPr>
        <w:t>jeigu moteris nėščia.</w:t>
      </w:r>
    </w:p>
    <w:p w:rsidR="00BE2533" w:rsidRPr="00BE2533" w:rsidRDefault="00BE2533" w:rsidP="00BE2533">
      <w:pPr>
        <w:tabs>
          <w:tab w:val="left" w:pos="567"/>
        </w:tabs>
        <w:rPr>
          <w:b/>
          <w:sz w:val="22"/>
          <w:szCs w:val="22"/>
        </w:rPr>
      </w:pPr>
    </w:p>
    <w:p w:rsidR="00BE2533" w:rsidRPr="00BE2533" w:rsidRDefault="00BE2533" w:rsidP="00BE2533">
      <w:pPr>
        <w:tabs>
          <w:tab w:val="left" w:pos="567"/>
        </w:tabs>
        <w:rPr>
          <w:b/>
          <w:sz w:val="22"/>
          <w:szCs w:val="22"/>
        </w:rPr>
      </w:pPr>
      <w:r w:rsidRPr="00BE2533">
        <w:rPr>
          <w:b/>
          <w:sz w:val="22"/>
          <w:szCs w:val="22"/>
        </w:rPr>
        <w:t>Įspėjimai ir atsargumo priemonės</w:t>
      </w:r>
    </w:p>
    <w:p w:rsidR="00BE2533" w:rsidRPr="00BE2533" w:rsidRDefault="00BE2533" w:rsidP="00BE2533">
      <w:pPr>
        <w:tabs>
          <w:tab w:val="left" w:pos="567"/>
        </w:tabs>
        <w:rPr>
          <w:sz w:val="22"/>
          <w:szCs w:val="22"/>
        </w:rPr>
      </w:pPr>
      <w:r w:rsidRPr="00BE2533">
        <w:rPr>
          <w:sz w:val="22"/>
          <w:szCs w:val="22"/>
        </w:rPr>
        <w:t>Pasitarkite su gydytoju arba vaistininku, prieš pradėdami vartoti Gingium.</w:t>
      </w:r>
    </w:p>
    <w:p w:rsidR="00BE2533" w:rsidRPr="00BE2533" w:rsidRDefault="00BE2533" w:rsidP="00BE2533">
      <w:pPr>
        <w:numPr>
          <w:ilvl w:val="0"/>
          <w:numId w:val="15"/>
        </w:numPr>
        <w:rPr>
          <w:noProof/>
          <w:color w:val="000000"/>
          <w:kern w:val="16"/>
          <w:sz w:val="22"/>
          <w:szCs w:val="22"/>
          <w:lang w:eastAsia="x-none"/>
        </w:rPr>
      </w:pPr>
      <w:r w:rsidRPr="00BE2533">
        <w:rPr>
          <w:noProof/>
          <w:color w:val="000000"/>
          <w:kern w:val="16"/>
          <w:sz w:val="22"/>
          <w:szCs w:val="22"/>
          <w:lang w:eastAsia="x-none"/>
        </w:rPr>
        <w:t>Patologiškai padidėjusio polinkio į kraujavimą (hemoraginės diatezės) atvejais, taip pat kartu taikant gydymą antikoaguliantais, šio vaisto turi būti vartojama tik po gydytojo konsultacijos.</w:t>
      </w:r>
    </w:p>
    <w:p w:rsidR="00BE2533" w:rsidRPr="00BE2533" w:rsidRDefault="00BE2533" w:rsidP="00BE2533">
      <w:pPr>
        <w:numPr>
          <w:ilvl w:val="0"/>
          <w:numId w:val="15"/>
        </w:numPr>
        <w:rPr>
          <w:noProof/>
          <w:color w:val="000000"/>
          <w:sz w:val="22"/>
          <w:szCs w:val="22"/>
          <w:lang w:eastAsia="x-none"/>
        </w:rPr>
      </w:pPr>
      <w:r w:rsidRPr="00BE2533">
        <w:rPr>
          <w:noProof/>
          <w:color w:val="000000"/>
          <w:kern w:val="16"/>
          <w:sz w:val="22"/>
          <w:szCs w:val="22"/>
          <w:lang w:eastAsia="x-none"/>
        </w:rPr>
        <w:lastRenderedPageBreak/>
        <w:t xml:space="preserve">Kadangi yra pavienių įrodymų, kad preparatai, kuriuose yra ginkmedžio, gali didinti polinkį į kraujavimą, dėl atsargumo, prieš chirurginę operaciją šio vaisto vartojimas turi būti nutrauktas. Prašom laiku informuoti savo gydytoją, jeigu Jūs vartojate </w:t>
      </w:r>
      <w:r w:rsidRPr="00BE2533">
        <w:rPr>
          <w:noProof/>
          <w:color w:val="000000"/>
          <w:sz w:val="22"/>
          <w:szCs w:val="22"/>
          <w:lang w:eastAsia="x-none"/>
        </w:rPr>
        <w:t>ginkmedžio lapų ekstraktų tam, kad jis galėtų nuspręsti apie tolesnius veiksmus.</w:t>
      </w:r>
    </w:p>
    <w:p w:rsidR="00BE2533" w:rsidRPr="00BE2533" w:rsidRDefault="00BE2533" w:rsidP="00BE2533">
      <w:pPr>
        <w:rPr>
          <w:iCs/>
          <w:noProof/>
          <w:color w:val="000000"/>
          <w:kern w:val="16"/>
          <w:sz w:val="22"/>
          <w:szCs w:val="22"/>
          <w:lang w:eastAsia="x-none"/>
        </w:rPr>
      </w:pPr>
    </w:p>
    <w:p w:rsidR="00BE2533" w:rsidRPr="00BE2533" w:rsidRDefault="00BE2533" w:rsidP="00BE2533">
      <w:pPr>
        <w:tabs>
          <w:tab w:val="left" w:pos="567"/>
        </w:tabs>
        <w:rPr>
          <w:iCs/>
          <w:kern w:val="16"/>
          <w:sz w:val="22"/>
          <w:szCs w:val="22"/>
        </w:rPr>
      </w:pPr>
      <w:r w:rsidRPr="00BE2533">
        <w:rPr>
          <w:iCs/>
          <w:kern w:val="16"/>
          <w:sz w:val="22"/>
          <w:szCs w:val="22"/>
        </w:rPr>
        <w:t>Jeigu Jums yra nustatytas priepuolinis sutrikimas (epilepsija), prieš vartojant šio vaisto prašom pasitarti su savo gydytoju.</w:t>
      </w:r>
    </w:p>
    <w:p w:rsidR="00BE2533" w:rsidRPr="00BE2533" w:rsidRDefault="00BE2533" w:rsidP="00BE2533">
      <w:pPr>
        <w:tabs>
          <w:tab w:val="left" w:pos="567"/>
        </w:tabs>
        <w:rPr>
          <w:sz w:val="22"/>
          <w:szCs w:val="22"/>
        </w:rPr>
      </w:pPr>
    </w:p>
    <w:p w:rsidR="00BE2533" w:rsidRPr="00BE2533" w:rsidRDefault="00BE2533" w:rsidP="00BE2533">
      <w:pPr>
        <w:tabs>
          <w:tab w:val="left" w:pos="567"/>
        </w:tabs>
        <w:rPr>
          <w:iCs/>
          <w:kern w:val="16"/>
          <w:sz w:val="22"/>
          <w:szCs w:val="22"/>
        </w:rPr>
      </w:pPr>
      <w:r w:rsidRPr="00BE2533">
        <w:rPr>
          <w:iCs/>
          <w:kern w:val="16"/>
          <w:sz w:val="22"/>
          <w:szCs w:val="22"/>
        </w:rPr>
        <w:t>Dviskiaučio ginkmedžio lapų ekstraktas kol kas yra nepakankamai ištirtas, todėl depresinę būseną ir galvos skausmą, nesusijusius su silpnaprotystės sindromu, Gingium galima gydyti tik laikantis visų atsargumo priemonių. Atidžiai perskaitykite 1 skyrių „Kas yra Gingium ir kam jis vartojamas“.</w:t>
      </w:r>
    </w:p>
    <w:p w:rsidR="00BE2533" w:rsidRPr="00BE2533" w:rsidRDefault="00BE2533" w:rsidP="00BE2533">
      <w:pPr>
        <w:rPr>
          <w:iCs/>
          <w:kern w:val="16"/>
          <w:sz w:val="22"/>
          <w:szCs w:val="22"/>
        </w:rPr>
      </w:pPr>
    </w:p>
    <w:p w:rsidR="00BE2533" w:rsidRPr="00BE2533" w:rsidRDefault="00BE2533" w:rsidP="00BE2533">
      <w:pPr>
        <w:rPr>
          <w:b/>
          <w:iCs/>
          <w:kern w:val="16"/>
          <w:sz w:val="22"/>
          <w:szCs w:val="22"/>
        </w:rPr>
      </w:pPr>
      <w:r w:rsidRPr="00BE2533">
        <w:rPr>
          <w:b/>
          <w:iCs/>
          <w:kern w:val="16"/>
          <w:sz w:val="22"/>
          <w:szCs w:val="22"/>
        </w:rPr>
        <w:t>Vaikams ir paaugliams</w:t>
      </w:r>
    </w:p>
    <w:p w:rsidR="00BE2533" w:rsidRPr="00BE2533" w:rsidRDefault="00BE2533" w:rsidP="00BE2533">
      <w:pPr>
        <w:rPr>
          <w:iCs/>
          <w:kern w:val="16"/>
          <w:sz w:val="22"/>
          <w:szCs w:val="22"/>
        </w:rPr>
      </w:pPr>
      <w:r w:rsidRPr="00BE2533">
        <w:rPr>
          <w:iCs/>
          <w:kern w:val="16"/>
          <w:sz w:val="22"/>
          <w:szCs w:val="22"/>
        </w:rPr>
        <w:t>Gingium yra neskirtas vartoti jaunesniems nei 18 metų vaikams ir paaugliams. Tyrimų su šios amžiaus grupės pacientais nėra.</w:t>
      </w:r>
    </w:p>
    <w:p w:rsidR="00BE2533" w:rsidRPr="00BE2533" w:rsidRDefault="00BE2533" w:rsidP="00BE2533">
      <w:pPr>
        <w:tabs>
          <w:tab w:val="left" w:pos="567"/>
        </w:tabs>
        <w:rPr>
          <w:b/>
          <w:sz w:val="22"/>
          <w:szCs w:val="22"/>
        </w:rPr>
      </w:pPr>
    </w:p>
    <w:p w:rsidR="00BE2533" w:rsidRPr="00BE2533" w:rsidRDefault="00BE2533" w:rsidP="00BE2533">
      <w:pPr>
        <w:tabs>
          <w:tab w:val="left" w:pos="567"/>
        </w:tabs>
        <w:rPr>
          <w:b/>
          <w:i/>
          <w:sz w:val="22"/>
          <w:szCs w:val="22"/>
        </w:rPr>
      </w:pPr>
      <w:r w:rsidRPr="00BE2533">
        <w:rPr>
          <w:b/>
          <w:sz w:val="22"/>
          <w:szCs w:val="22"/>
        </w:rPr>
        <w:t>Kiti vaistai ir Gingium</w:t>
      </w:r>
    </w:p>
    <w:p w:rsidR="00BE2533" w:rsidRPr="00BE2533" w:rsidRDefault="00BE2533" w:rsidP="00BE2533">
      <w:pPr>
        <w:tabs>
          <w:tab w:val="left" w:pos="567"/>
        </w:tabs>
        <w:rPr>
          <w:sz w:val="22"/>
          <w:szCs w:val="22"/>
        </w:rPr>
      </w:pPr>
      <w:r w:rsidRPr="00BE2533">
        <w:rPr>
          <w:sz w:val="22"/>
          <w:szCs w:val="22"/>
        </w:rPr>
        <w:t xml:space="preserve">Jeigu vartojate ar neseniai vartojote kitų vaistų arba dėl to nesate tikri, apie tai pasakykite gydytojui arba vaistininkui. </w:t>
      </w:r>
    </w:p>
    <w:p w:rsidR="00BE2533" w:rsidRPr="00BE2533" w:rsidRDefault="00BE2533" w:rsidP="00BE2533">
      <w:pPr>
        <w:shd w:val="clear" w:color="auto" w:fill="FFFFFF"/>
        <w:rPr>
          <w:color w:val="000000"/>
          <w:sz w:val="22"/>
          <w:szCs w:val="22"/>
        </w:rPr>
      </w:pPr>
      <w:r w:rsidRPr="00BE2533">
        <w:rPr>
          <w:kern w:val="16"/>
          <w:sz w:val="22"/>
          <w:szCs w:val="22"/>
        </w:rPr>
        <w:t xml:space="preserve">Vartojant Gingium kartu su </w:t>
      </w:r>
      <w:r w:rsidRPr="00BE2533">
        <w:rPr>
          <w:color w:val="000000"/>
          <w:sz w:val="22"/>
          <w:szCs w:val="22"/>
        </w:rPr>
        <w:t>trombocitų agregaciją mažinančiais vaistais (pvz.,  klopidogreliu, acetilsalicilo rūgštimi ir kitais nesteroidiniais vaistais nuo uždegimo) jų poveikiui gali būti daroma įtaka.</w:t>
      </w:r>
    </w:p>
    <w:p w:rsidR="00BE2533" w:rsidRPr="00BE2533" w:rsidRDefault="00BE2533" w:rsidP="00BE2533">
      <w:pPr>
        <w:rPr>
          <w:noProof/>
          <w:color w:val="000000"/>
          <w:sz w:val="22"/>
          <w:szCs w:val="22"/>
          <w:lang w:eastAsia="x-none"/>
        </w:rPr>
      </w:pPr>
      <w:r w:rsidRPr="00BE2533">
        <w:rPr>
          <w:noProof/>
          <w:color w:val="000000"/>
          <w:sz w:val="22"/>
          <w:szCs w:val="22"/>
          <w:lang w:eastAsia="x-none"/>
        </w:rPr>
        <w:t>Gingium vartojant kartu su dabigatranu patartina laikytis atsargumo.</w:t>
      </w:r>
    </w:p>
    <w:p w:rsidR="00BE2533" w:rsidRPr="00BE2533" w:rsidRDefault="00BE2533" w:rsidP="00BE2533">
      <w:pPr>
        <w:rPr>
          <w:noProof/>
          <w:color w:val="000000"/>
          <w:sz w:val="22"/>
          <w:szCs w:val="22"/>
          <w:lang w:eastAsia="x-none"/>
        </w:rPr>
      </w:pPr>
      <w:r w:rsidRPr="00BE2533">
        <w:rPr>
          <w:sz w:val="22"/>
          <w:szCs w:val="22"/>
        </w:rPr>
        <w:t xml:space="preserve">Vartojant Gingium kartu su </w:t>
      </w:r>
      <w:r w:rsidRPr="00BE2533">
        <w:rPr>
          <w:noProof/>
          <w:color w:val="000000"/>
          <w:sz w:val="22"/>
          <w:szCs w:val="22"/>
          <w:lang w:eastAsia="x-none"/>
        </w:rPr>
        <w:t>nifedipinu keliems asmenims buvo pastebėtas padidėjęs galvos svaigimas ir karščio pylimas.</w:t>
      </w:r>
    </w:p>
    <w:p w:rsidR="00BE2533" w:rsidRPr="00BE2533" w:rsidRDefault="00BE2533" w:rsidP="00BE2533">
      <w:pPr>
        <w:rPr>
          <w:noProof/>
          <w:color w:val="000000"/>
          <w:sz w:val="22"/>
          <w:szCs w:val="22"/>
          <w:lang w:eastAsia="x-none"/>
        </w:rPr>
      </w:pPr>
      <w:r w:rsidRPr="00BE2533">
        <w:rPr>
          <w:noProof/>
          <w:color w:val="000000"/>
          <w:sz w:val="22"/>
          <w:szCs w:val="22"/>
          <w:lang w:eastAsia="x-none"/>
        </w:rPr>
        <w:t>Nerekomduojama vartoti ginkmedžio preparatų kartu su efavirenzu nes gali sumažėti efavirenzo koncentracija kraujo plazmoje.</w:t>
      </w:r>
    </w:p>
    <w:p w:rsidR="00BE2533" w:rsidRPr="00BE2533" w:rsidRDefault="00BE2533" w:rsidP="00BE2533">
      <w:pPr>
        <w:tabs>
          <w:tab w:val="left" w:pos="567"/>
        </w:tabs>
        <w:rPr>
          <w:sz w:val="22"/>
          <w:szCs w:val="22"/>
        </w:rPr>
      </w:pPr>
      <w:r w:rsidRPr="00BE2533">
        <w:rPr>
          <w:sz w:val="22"/>
          <w:szCs w:val="22"/>
        </w:rPr>
        <w:t xml:space="preserve">Jeigu vartojate Gingium ilgai, gali pasireikšti šio vaisto ir kitų kartu vartojamų vaistų, kurie slopina kraujo krešėjimą (pvz., varfarino), sąveika. </w:t>
      </w:r>
    </w:p>
    <w:p w:rsidR="00BE2533" w:rsidRPr="00BE2533" w:rsidRDefault="00BE2533" w:rsidP="00BE2533">
      <w:pPr>
        <w:tabs>
          <w:tab w:val="left" w:pos="567"/>
        </w:tabs>
        <w:rPr>
          <w:b/>
          <w:sz w:val="22"/>
          <w:szCs w:val="22"/>
        </w:rPr>
      </w:pPr>
    </w:p>
    <w:p w:rsidR="00BE2533" w:rsidRPr="00BE2533" w:rsidRDefault="00BE2533" w:rsidP="00BE2533">
      <w:pPr>
        <w:tabs>
          <w:tab w:val="left" w:pos="567"/>
        </w:tabs>
        <w:rPr>
          <w:b/>
          <w:sz w:val="22"/>
          <w:szCs w:val="22"/>
        </w:rPr>
      </w:pPr>
      <w:r w:rsidRPr="00BE2533">
        <w:rPr>
          <w:b/>
          <w:sz w:val="22"/>
          <w:szCs w:val="22"/>
        </w:rPr>
        <w:t>Nėštumas ir žindymo laikotarpis</w:t>
      </w:r>
    </w:p>
    <w:p w:rsidR="00BE2533" w:rsidRPr="00BE2533" w:rsidRDefault="00BE2533" w:rsidP="00BE2533">
      <w:pPr>
        <w:tabs>
          <w:tab w:val="left" w:pos="567"/>
        </w:tabs>
        <w:rPr>
          <w:sz w:val="22"/>
          <w:szCs w:val="22"/>
        </w:rPr>
      </w:pPr>
      <w:r w:rsidRPr="00BE2533">
        <w:rPr>
          <w:sz w:val="22"/>
          <w:szCs w:val="22"/>
        </w:rPr>
        <w:t>Jeigu esate nėščia, žindote kūdikį, manote, kad galbūt esate nėščia, arba planuojate pastoti, tai prieš vartodama šį vaistą, pasitarkite su gydytoju arba vaistininku.</w:t>
      </w:r>
    </w:p>
    <w:p w:rsidR="00BE2533" w:rsidRPr="00BE2533" w:rsidRDefault="00BE2533" w:rsidP="00BE2533">
      <w:pPr>
        <w:tabs>
          <w:tab w:val="left" w:pos="567"/>
        </w:tabs>
        <w:rPr>
          <w:sz w:val="22"/>
          <w:szCs w:val="22"/>
        </w:rPr>
      </w:pPr>
      <w:r w:rsidRPr="00BE2533">
        <w:rPr>
          <w:sz w:val="22"/>
          <w:szCs w:val="22"/>
        </w:rPr>
        <w:t>Vartoti nėštumo metu draudžiama, o žindymo laikotarpiu - nerekomenduojama.</w:t>
      </w:r>
    </w:p>
    <w:p w:rsidR="00BE2533" w:rsidRPr="00BE2533" w:rsidRDefault="00BE2533" w:rsidP="00BE2533">
      <w:pPr>
        <w:tabs>
          <w:tab w:val="left" w:pos="567"/>
        </w:tabs>
        <w:rPr>
          <w:b/>
          <w:sz w:val="22"/>
          <w:szCs w:val="22"/>
        </w:rPr>
      </w:pPr>
    </w:p>
    <w:p w:rsidR="00BE2533" w:rsidRPr="00BE2533" w:rsidRDefault="00BE2533" w:rsidP="00BE2533">
      <w:pPr>
        <w:tabs>
          <w:tab w:val="left" w:pos="567"/>
        </w:tabs>
        <w:rPr>
          <w:b/>
          <w:sz w:val="22"/>
          <w:szCs w:val="22"/>
        </w:rPr>
      </w:pPr>
      <w:r w:rsidRPr="00BE2533">
        <w:rPr>
          <w:b/>
          <w:sz w:val="22"/>
          <w:szCs w:val="22"/>
        </w:rPr>
        <w:t>Gingium sudėtyje yra laktozės,gliukozės ir natrio</w:t>
      </w:r>
    </w:p>
    <w:p w:rsidR="00BE2533" w:rsidRPr="00BE2533" w:rsidRDefault="00BE2533" w:rsidP="00BE2533">
      <w:pPr>
        <w:tabs>
          <w:tab w:val="left" w:pos="567"/>
        </w:tabs>
        <w:rPr>
          <w:sz w:val="22"/>
          <w:szCs w:val="22"/>
        </w:rPr>
      </w:pPr>
      <w:r w:rsidRPr="00BE2533">
        <w:rPr>
          <w:color w:val="000000"/>
          <w:sz w:val="22"/>
          <w:szCs w:val="22"/>
        </w:rPr>
        <w:t xml:space="preserve"> </w:t>
      </w:r>
      <w:r w:rsidRPr="00BE2533">
        <w:rPr>
          <w:sz w:val="22"/>
          <w:szCs w:val="22"/>
        </w:rPr>
        <w:t>Jeigu gydytojas Jums yra sakęs, kad netoleruojate kokių nors angliavandenių, kreipkitės į jį prieš pradėdami vartoti šį vaistą.</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r w:rsidRPr="00BE2533">
        <w:rPr>
          <w:sz w:val="22"/>
          <w:szCs w:val="22"/>
        </w:rPr>
        <w:t>Šio vaisto plėvele dengtoje tabletėje yra mažiau kaip 1 mmol (23 mg) natrio, t.y. jis beveik neturi reikšmės.</w:t>
      </w:r>
    </w:p>
    <w:p w:rsidR="00BE2533" w:rsidRPr="00BE2533" w:rsidRDefault="00BE2533" w:rsidP="00BE2533">
      <w:pPr>
        <w:tabs>
          <w:tab w:val="left" w:pos="567"/>
        </w:tabs>
        <w:rPr>
          <w:color w:val="000000"/>
          <w:sz w:val="22"/>
          <w:szCs w:val="22"/>
          <w:u w:val="single"/>
        </w:rPr>
      </w:pPr>
    </w:p>
    <w:p w:rsidR="00BE2533" w:rsidRPr="00BE2533" w:rsidRDefault="00BE2533" w:rsidP="00BE2533">
      <w:pPr>
        <w:tabs>
          <w:tab w:val="left" w:pos="567"/>
        </w:tabs>
        <w:rPr>
          <w:b/>
          <w:color w:val="000000"/>
          <w:sz w:val="22"/>
          <w:szCs w:val="22"/>
        </w:rPr>
      </w:pPr>
      <w:r w:rsidRPr="00BE2533">
        <w:rPr>
          <w:b/>
          <w:color w:val="000000"/>
          <w:sz w:val="22"/>
          <w:szCs w:val="22"/>
        </w:rPr>
        <w:t>Informacija sergantiems cukriniu diabetu</w:t>
      </w:r>
    </w:p>
    <w:p w:rsidR="00BE2533" w:rsidRPr="00BE2533" w:rsidRDefault="00BE2533" w:rsidP="00BE2533">
      <w:pPr>
        <w:tabs>
          <w:tab w:val="left" w:pos="567"/>
        </w:tabs>
        <w:rPr>
          <w:color w:val="000000"/>
          <w:sz w:val="22"/>
          <w:szCs w:val="22"/>
        </w:rPr>
      </w:pPr>
      <w:r w:rsidRPr="00BE2533">
        <w:rPr>
          <w:color w:val="000000"/>
          <w:sz w:val="22"/>
          <w:szCs w:val="22"/>
        </w:rPr>
        <w:t>Vienoje tabletėje yra 0,04 vieneto pakeičiamųjų angliavandenių.</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p>
    <w:p w:rsidR="00BE2533" w:rsidRPr="00BE2533" w:rsidRDefault="00BE2533" w:rsidP="00BE2533">
      <w:pPr>
        <w:tabs>
          <w:tab w:val="left" w:pos="567"/>
        </w:tabs>
        <w:rPr>
          <w:b/>
          <w:sz w:val="22"/>
          <w:szCs w:val="22"/>
        </w:rPr>
      </w:pPr>
      <w:r w:rsidRPr="00BE2533">
        <w:rPr>
          <w:b/>
          <w:sz w:val="22"/>
          <w:szCs w:val="22"/>
        </w:rPr>
        <w:t>3.</w:t>
      </w:r>
      <w:r w:rsidRPr="00BE2533">
        <w:rPr>
          <w:b/>
          <w:sz w:val="22"/>
          <w:szCs w:val="22"/>
        </w:rPr>
        <w:tab/>
        <w:t>Kaip vartoti Gingium</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r w:rsidRPr="00BE2533">
        <w:rPr>
          <w:sz w:val="22"/>
          <w:szCs w:val="22"/>
        </w:rPr>
        <w:t>Visada vartokite šį vaistą tiksliai kaip nurodė gydytojas arba vaistininkas. Jeigu abejojate, kreipkitės į gydytoją arba vaistininką.</w:t>
      </w:r>
    </w:p>
    <w:p w:rsidR="00BE2533" w:rsidRPr="00BE2533" w:rsidRDefault="00BE2533" w:rsidP="00BE2533">
      <w:pPr>
        <w:tabs>
          <w:tab w:val="left" w:pos="567"/>
        </w:tabs>
        <w:rPr>
          <w:sz w:val="22"/>
          <w:szCs w:val="22"/>
          <w:u w:val="single"/>
        </w:rPr>
      </w:pPr>
    </w:p>
    <w:p w:rsidR="00BE2533" w:rsidRPr="00BE2533" w:rsidRDefault="00BE2533" w:rsidP="00BE2533">
      <w:pPr>
        <w:tabs>
          <w:tab w:val="left" w:pos="567"/>
        </w:tabs>
        <w:rPr>
          <w:b/>
          <w:sz w:val="22"/>
          <w:szCs w:val="22"/>
        </w:rPr>
      </w:pPr>
      <w:r w:rsidRPr="00BE2533">
        <w:rPr>
          <w:b/>
          <w:sz w:val="22"/>
          <w:szCs w:val="22"/>
        </w:rPr>
        <w:t>Dozavimas</w:t>
      </w:r>
    </w:p>
    <w:p w:rsidR="00BE2533" w:rsidRPr="00BE2533" w:rsidRDefault="00BE2533" w:rsidP="00BE2533">
      <w:pPr>
        <w:tabs>
          <w:tab w:val="left" w:pos="567"/>
        </w:tabs>
        <w:rPr>
          <w:b/>
          <w:sz w:val="22"/>
          <w:szCs w:val="22"/>
        </w:rPr>
      </w:pPr>
      <w:r w:rsidRPr="00BE2533">
        <w:rPr>
          <w:b/>
          <w:sz w:val="22"/>
          <w:szCs w:val="22"/>
        </w:rPr>
        <w:t>Smegenų kraujotakos nepakankamumo, kraujagyslių pažeidimo ir senatvinių pokyčių simptomų gydymas</w:t>
      </w:r>
    </w:p>
    <w:p w:rsidR="00BE2533" w:rsidRPr="00BE2533" w:rsidRDefault="00BE2533" w:rsidP="00BE2533">
      <w:pPr>
        <w:tabs>
          <w:tab w:val="left" w:pos="567"/>
        </w:tabs>
        <w:rPr>
          <w:sz w:val="22"/>
          <w:szCs w:val="22"/>
        </w:rPr>
      </w:pPr>
      <w:r w:rsidRPr="00BE2533">
        <w:rPr>
          <w:sz w:val="22"/>
          <w:szCs w:val="22"/>
        </w:rPr>
        <w:t>Vartokite po 1 tabletę 1 – 2 kartus per parą (atitinka 120 – 240 mg paros dozę).</w:t>
      </w:r>
    </w:p>
    <w:p w:rsidR="00BE2533" w:rsidRPr="00BE2533" w:rsidRDefault="00BE2533" w:rsidP="00BE2533">
      <w:pPr>
        <w:tabs>
          <w:tab w:val="left" w:pos="567"/>
        </w:tabs>
        <w:rPr>
          <w:sz w:val="22"/>
          <w:szCs w:val="22"/>
          <w:u w:val="single"/>
        </w:rPr>
      </w:pPr>
    </w:p>
    <w:p w:rsidR="00BE2533" w:rsidRPr="00BE2533" w:rsidRDefault="00BE2533" w:rsidP="00BE2533">
      <w:pPr>
        <w:tabs>
          <w:tab w:val="left" w:pos="567"/>
        </w:tabs>
        <w:rPr>
          <w:b/>
          <w:sz w:val="22"/>
          <w:szCs w:val="22"/>
        </w:rPr>
      </w:pPr>
      <w:r w:rsidRPr="00BE2533">
        <w:rPr>
          <w:b/>
          <w:sz w:val="22"/>
          <w:szCs w:val="22"/>
        </w:rPr>
        <w:lastRenderedPageBreak/>
        <w:t>Be kojų skausmo nueinamo atstumo didinimas, jei sergama periferinių arterijų užakimu bei dėl kraujagyslių pažeidimo ar senatvinių pokyčių atsiradusio galvos sukimosi ir spengimo ausyse mažinimas</w:t>
      </w:r>
    </w:p>
    <w:p w:rsidR="00BE2533" w:rsidRPr="00BE2533" w:rsidRDefault="00BE2533" w:rsidP="00BE2533">
      <w:pPr>
        <w:tabs>
          <w:tab w:val="left" w:pos="567"/>
        </w:tabs>
        <w:rPr>
          <w:sz w:val="22"/>
          <w:szCs w:val="22"/>
        </w:rPr>
      </w:pPr>
      <w:r w:rsidRPr="00BE2533">
        <w:rPr>
          <w:sz w:val="22"/>
          <w:szCs w:val="22"/>
        </w:rPr>
        <w:t>Vartokite po 1 tabletę 1 kartą per parą (atitinka 120 mg paros dozę).</w:t>
      </w:r>
    </w:p>
    <w:p w:rsidR="00BE2533" w:rsidRPr="00BE2533" w:rsidRDefault="00BE2533" w:rsidP="00BE2533">
      <w:pPr>
        <w:tabs>
          <w:tab w:val="left" w:pos="567"/>
        </w:tabs>
        <w:rPr>
          <w:sz w:val="22"/>
          <w:szCs w:val="22"/>
        </w:rPr>
      </w:pPr>
    </w:p>
    <w:p w:rsidR="00BE2533" w:rsidRPr="00BE2533" w:rsidRDefault="00BE2533" w:rsidP="00BE2533">
      <w:pPr>
        <w:tabs>
          <w:tab w:val="left" w:pos="567"/>
        </w:tabs>
        <w:rPr>
          <w:b/>
          <w:sz w:val="22"/>
          <w:szCs w:val="22"/>
        </w:rPr>
      </w:pPr>
      <w:r w:rsidRPr="00BE2533">
        <w:rPr>
          <w:b/>
          <w:sz w:val="22"/>
          <w:szCs w:val="22"/>
        </w:rPr>
        <w:t>Vartojimas vaikams</w:t>
      </w:r>
    </w:p>
    <w:p w:rsidR="00BE2533" w:rsidRPr="00BE2533" w:rsidRDefault="00BE2533" w:rsidP="00BE2533">
      <w:pPr>
        <w:tabs>
          <w:tab w:val="left" w:pos="567"/>
        </w:tabs>
        <w:rPr>
          <w:sz w:val="22"/>
          <w:szCs w:val="22"/>
        </w:rPr>
      </w:pPr>
      <w:r w:rsidRPr="00BE2533">
        <w:rPr>
          <w:sz w:val="22"/>
          <w:szCs w:val="22"/>
        </w:rPr>
        <w:t>Nėra pakankamai patirties kaip šiuo vaistu gydyti vaikus, todėl vaikų, jaunesnių negu 18 metų, juo gydyti nerekomenduojama.</w:t>
      </w:r>
    </w:p>
    <w:p w:rsidR="00BE2533" w:rsidRPr="00BE2533" w:rsidRDefault="00BE2533" w:rsidP="00BE2533">
      <w:pPr>
        <w:tabs>
          <w:tab w:val="left" w:pos="567"/>
        </w:tabs>
        <w:rPr>
          <w:sz w:val="22"/>
          <w:szCs w:val="22"/>
        </w:rPr>
      </w:pPr>
    </w:p>
    <w:p w:rsidR="00BE2533" w:rsidRPr="00BE2533" w:rsidRDefault="00BE2533" w:rsidP="00BE2533">
      <w:pPr>
        <w:tabs>
          <w:tab w:val="left" w:pos="567"/>
        </w:tabs>
        <w:rPr>
          <w:b/>
          <w:sz w:val="22"/>
          <w:szCs w:val="22"/>
        </w:rPr>
      </w:pPr>
      <w:r w:rsidRPr="00BE2533">
        <w:rPr>
          <w:b/>
          <w:sz w:val="22"/>
          <w:szCs w:val="22"/>
        </w:rPr>
        <w:t>Vartojimo metodas</w:t>
      </w:r>
    </w:p>
    <w:p w:rsidR="00BE2533" w:rsidRPr="00BE2533" w:rsidRDefault="00BE2533" w:rsidP="00BE2533">
      <w:pPr>
        <w:tabs>
          <w:tab w:val="left" w:pos="567"/>
        </w:tabs>
        <w:rPr>
          <w:sz w:val="22"/>
          <w:szCs w:val="22"/>
        </w:rPr>
      </w:pPr>
      <w:r w:rsidRPr="00BE2533">
        <w:rPr>
          <w:sz w:val="22"/>
          <w:szCs w:val="22"/>
        </w:rPr>
        <w:t xml:space="preserve">Gingium vartokite po valgio, nekramtykite, užgerkite skysčiu. </w:t>
      </w:r>
    </w:p>
    <w:p w:rsidR="00BE2533" w:rsidRPr="00BE2533" w:rsidRDefault="00BE2533" w:rsidP="00BE2533">
      <w:pPr>
        <w:tabs>
          <w:tab w:val="left" w:pos="567"/>
        </w:tabs>
        <w:rPr>
          <w:sz w:val="22"/>
          <w:szCs w:val="22"/>
        </w:rPr>
      </w:pPr>
      <w:r w:rsidRPr="00BE2533">
        <w:rPr>
          <w:sz w:val="22"/>
          <w:szCs w:val="22"/>
        </w:rPr>
        <w:t>Norėdami perskelti tabletę, padėkite ją ant kieto pagrindo ir silpnai paspauskite nykščiu; tabletė skils per pusę.</w:t>
      </w:r>
    </w:p>
    <w:p w:rsidR="00BE2533" w:rsidRPr="00BE2533" w:rsidRDefault="00BE2533" w:rsidP="00BE2533">
      <w:pPr>
        <w:tabs>
          <w:tab w:val="left" w:pos="567"/>
        </w:tabs>
        <w:rPr>
          <w:sz w:val="22"/>
          <w:szCs w:val="22"/>
        </w:rPr>
      </w:pPr>
    </w:p>
    <w:p w:rsidR="00BE2533" w:rsidRPr="00BE2533" w:rsidRDefault="00BE2533" w:rsidP="00BE2533">
      <w:pPr>
        <w:tabs>
          <w:tab w:val="left" w:pos="567"/>
        </w:tabs>
        <w:rPr>
          <w:b/>
          <w:sz w:val="22"/>
          <w:szCs w:val="22"/>
        </w:rPr>
      </w:pPr>
      <w:r w:rsidRPr="00BE2533">
        <w:rPr>
          <w:b/>
          <w:sz w:val="22"/>
          <w:szCs w:val="22"/>
        </w:rPr>
        <w:t>Gydymo trukmė</w:t>
      </w:r>
    </w:p>
    <w:p w:rsidR="00BE2533" w:rsidRPr="00BE2533" w:rsidRDefault="00BE2533" w:rsidP="00BE2533">
      <w:pPr>
        <w:tabs>
          <w:tab w:val="left" w:pos="567"/>
        </w:tabs>
        <w:rPr>
          <w:sz w:val="22"/>
          <w:szCs w:val="22"/>
        </w:rPr>
      </w:pPr>
      <w:r w:rsidRPr="00BE2533">
        <w:rPr>
          <w:sz w:val="22"/>
          <w:szCs w:val="22"/>
        </w:rPr>
        <w:t xml:space="preserve">Smegenų kraujotakos nepakankamumo simptomų gydymo trukmė priklauso nuo ligos sunkumo. </w:t>
      </w:r>
    </w:p>
    <w:p w:rsidR="00BE2533" w:rsidRPr="00BE2533" w:rsidRDefault="00BE2533" w:rsidP="00BE2533">
      <w:pPr>
        <w:tabs>
          <w:tab w:val="left" w:pos="567"/>
        </w:tabs>
        <w:rPr>
          <w:sz w:val="22"/>
          <w:szCs w:val="22"/>
        </w:rPr>
      </w:pPr>
      <w:r w:rsidRPr="00BE2533">
        <w:rPr>
          <w:sz w:val="22"/>
          <w:szCs w:val="22"/>
        </w:rPr>
        <w:t>Jeigu Jūsų liga lėtinė, vaisto vartokite ne trumpiau kaip 8 savaites. Jeigu Gingium vartojate 3 mėnesius, kreipkitės į gydytoją, kad jis įvertintų, ar verta tęsti gydymą.</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r w:rsidRPr="00BE2533">
        <w:rPr>
          <w:sz w:val="22"/>
          <w:szCs w:val="22"/>
        </w:rPr>
        <w:t>Nueito be skausmo kelio pailginimui Gingium vartokite ne trumpiau kaip 6 savaites.</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r w:rsidRPr="00BE2533">
        <w:rPr>
          <w:sz w:val="22"/>
          <w:szCs w:val="22"/>
        </w:rPr>
        <w:t>Jeigu dėl kraujagyslių pažeidimo ir kitokių priežasčių galvos sukimasis bei spengimas ausyse per 6 - 8 savaites nesumažėja, vaisto ilgiau nebevartokite.</w:t>
      </w:r>
    </w:p>
    <w:p w:rsidR="00BE2533" w:rsidRPr="00BE2533" w:rsidRDefault="00BE2533" w:rsidP="00BE2533">
      <w:pPr>
        <w:tabs>
          <w:tab w:val="left" w:pos="567"/>
        </w:tabs>
        <w:rPr>
          <w:sz w:val="22"/>
          <w:szCs w:val="22"/>
          <w:u w:val="single"/>
        </w:rPr>
      </w:pPr>
    </w:p>
    <w:p w:rsidR="00BE2533" w:rsidRPr="00BE2533" w:rsidRDefault="00BE2533" w:rsidP="00BE2533">
      <w:pPr>
        <w:tabs>
          <w:tab w:val="left" w:pos="567"/>
        </w:tabs>
        <w:rPr>
          <w:b/>
          <w:sz w:val="22"/>
          <w:szCs w:val="22"/>
        </w:rPr>
      </w:pPr>
    </w:p>
    <w:p w:rsidR="00BE2533" w:rsidRPr="00BE2533" w:rsidRDefault="00BE2533" w:rsidP="00BE2533">
      <w:pPr>
        <w:tabs>
          <w:tab w:val="left" w:pos="567"/>
        </w:tabs>
        <w:rPr>
          <w:color w:val="000000"/>
          <w:sz w:val="22"/>
          <w:szCs w:val="22"/>
        </w:rPr>
      </w:pPr>
      <w:r w:rsidRPr="00BE2533">
        <w:rPr>
          <w:b/>
          <w:sz w:val="22"/>
          <w:szCs w:val="22"/>
        </w:rPr>
        <w:t>4.</w:t>
      </w:r>
      <w:r w:rsidRPr="00BE2533">
        <w:rPr>
          <w:b/>
          <w:sz w:val="22"/>
          <w:szCs w:val="22"/>
        </w:rPr>
        <w:tab/>
        <w:t>Galimas šalutinis poveikis</w:t>
      </w:r>
    </w:p>
    <w:p w:rsidR="00BE2533" w:rsidRPr="00BE2533" w:rsidRDefault="00BE2533" w:rsidP="00BE2533">
      <w:pPr>
        <w:tabs>
          <w:tab w:val="left" w:pos="567"/>
        </w:tabs>
        <w:rPr>
          <w:color w:val="000000"/>
          <w:sz w:val="22"/>
          <w:szCs w:val="22"/>
        </w:rPr>
      </w:pPr>
    </w:p>
    <w:p w:rsidR="00BE2533" w:rsidRPr="00BE2533" w:rsidRDefault="00BE2533" w:rsidP="00BE2533">
      <w:pPr>
        <w:tabs>
          <w:tab w:val="left" w:pos="567"/>
        </w:tabs>
        <w:rPr>
          <w:sz w:val="22"/>
          <w:szCs w:val="22"/>
        </w:rPr>
      </w:pPr>
      <w:r w:rsidRPr="00BE2533">
        <w:rPr>
          <w:sz w:val="22"/>
          <w:szCs w:val="22"/>
        </w:rPr>
        <w:t>Šis vaistas, kaip ir visi kiti, gali sukelti šalutinį poveikį, nors jis pasireiškia ne visiems žmonėms.</w:t>
      </w:r>
    </w:p>
    <w:p w:rsidR="00BE2533" w:rsidRPr="00BE2533" w:rsidRDefault="00BE2533" w:rsidP="00BE2533">
      <w:pPr>
        <w:tabs>
          <w:tab w:val="left" w:pos="567"/>
        </w:tabs>
        <w:rPr>
          <w:sz w:val="22"/>
          <w:szCs w:val="22"/>
        </w:rPr>
      </w:pPr>
    </w:p>
    <w:p w:rsidR="00BE2533" w:rsidRPr="00BE2533" w:rsidRDefault="00BE2533" w:rsidP="00BE2533">
      <w:pPr>
        <w:tabs>
          <w:tab w:val="left" w:pos="567"/>
        </w:tabs>
        <w:rPr>
          <w:i/>
          <w:sz w:val="22"/>
          <w:szCs w:val="22"/>
        </w:rPr>
      </w:pPr>
      <w:r w:rsidRPr="00BE2533">
        <w:rPr>
          <w:i/>
          <w:sz w:val="22"/>
          <w:szCs w:val="22"/>
        </w:rPr>
        <w:t>Labai dažnas šalutinis poveikis (gali pasireikšti daugiau kaip 1 iš 10 žmonių)</w:t>
      </w:r>
    </w:p>
    <w:p w:rsidR="00BE2533" w:rsidRPr="00BE2533" w:rsidRDefault="00BE2533" w:rsidP="00BE2533">
      <w:pPr>
        <w:tabs>
          <w:tab w:val="left" w:pos="567"/>
        </w:tabs>
        <w:rPr>
          <w:rFonts w:eastAsia="Calibri"/>
          <w:color w:val="000000"/>
          <w:sz w:val="22"/>
          <w:szCs w:val="22"/>
        </w:rPr>
      </w:pPr>
      <w:r w:rsidRPr="00BE2533">
        <w:rPr>
          <w:rFonts w:eastAsia="Calibri"/>
          <w:color w:val="000000"/>
          <w:sz w:val="22"/>
          <w:szCs w:val="22"/>
        </w:rPr>
        <w:t>Galvos skausmas.</w:t>
      </w:r>
    </w:p>
    <w:p w:rsidR="00BE2533" w:rsidRPr="00BE2533" w:rsidRDefault="00BE2533" w:rsidP="00BE2533">
      <w:pPr>
        <w:tabs>
          <w:tab w:val="left" w:pos="567"/>
        </w:tabs>
        <w:rPr>
          <w:sz w:val="22"/>
          <w:szCs w:val="22"/>
        </w:rPr>
      </w:pPr>
    </w:p>
    <w:p w:rsidR="00BE2533" w:rsidRPr="00BE2533" w:rsidRDefault="00BE2533" w:rsidP="00BE2533">
      <w:pPr>
        <w:tabs>
          <w:tab w:val="left" w:pos="567"/>
        </w:tabs>
        <w:rPr>
          <w:i/>
          <w:sz w:val="22"/>
          <w:szCs w:val="22"/>
        </w:rPr>
      </w:pPr>
      <w:r w:rsidRPr="00BE2533">
        <w:rPr>
          <w:i/>
          <w:sz w:val="22"/>
          <w:szCs w:val="22"/>
        </w:rPr>
        <w:t>Dažnas šalutinis poveikis (gali pasireikšti mažiau kaip 1 iš 10 žmonių)</w:t>
      </w:r>
    </w:p>
    <w:p w:rsidR="00BE2533" w:rsidRPr="00BE2533" w:rsidRDefault="00BE2533" w:rsidP="00BE2533">
      <w:pPr>
        <w:tabs>
          <w:tab w:val="left" w:pos="567"/>
        </w:tabs>
        <w:rPr>
          <w:rFonts w:eastAsia="Calibri"/>
          <w:color w:val="000000"/>
          <w:sz w:val="22"/>
          <w:szCs w:val="22"/>
        </w:rPr>
      </w:pPr>
      <w:r w:rsidRPr="00BE2533">
        <w:rPr>
          <w:rFonts w:eastAsia="Calibri"/>
          <w:color w:val="000000"/>
          <w:sz w:val="22"/>
          <w:szCs w:val="22"/>
        </w:rPr>
        <w:t>Galvos svaigimas, virškinimo trakto negalavimai (viduriavimas, pilvo skausmas, pykinimas, vėmimas).</w:t>
      </w:r>
    </w:p>
    <w:p w:rsidR="00BE2533" w:rsidRPr="00BE2533" w:rsidRDefault="00BE2533" w:rsidP="00BE2533">
      <w:pPr>
        <w:tabs>
          <w:tab w:val="left" w:pos="567"/>
        </w:tabs>
        <w:ind w:left="720"/>
        <w:contextualSpacing/>
        <w:rPr>
          <w:rFonts w:eastAsia="Calibri"/>
          <w:color w:val="000000"/>
          <w:sz w:val="22"/>
          <w:szCs w:val="22"/>
        </w:rPr>
      </w:pPr>
    </w:p>
    <w:p w:rsidR="00BE2533" w:rsidRPr="00BE2533" w:rsidRDefault="00BE2533" w:rsidP="00BE2533">
      <w:pPr>
        <w:tabs>
          <w:tab w:val="left" w:pos="567"/>
        </w:tabs>
        <w:rPr>
          <w:i/>
          <w:color w:val="000000"/>
          <w:sz w:val="22"/>
          <w:szCs w:val="22"/>
        </w:rPr>
      </w:pPr>
      <w:r w:rsidRPr="00BE2533">
        <w:rPr>
          <w:i/>
          <w:sz w:val="22"/>
          <w:szCs w:val="22"/>
        </w:rPr>
        <w:t>Dažnis nežinomas (negali būti įvertintas pagal turimus duomenis)</w:t>
      </w:r>
    </w:p>
    <w:p w:rsidR="00BE2533" w:rsidRPr="00BE2533" w:rsidRDefault="00BE2533" w:rsidP="00BE2533">
      <w:pPr>
        <w:tabs>
          <w:tab w:val="left" w:pos="567"/>
        </w:tabs>
        <w:rPr>
          <w:sz w:val="22"/>
          <w:szCs w:val="22"/>
        </w:rPr>
      </w:pPr>
      <w:r w:rsidRPr="00BE2533">
        <w:rPr>
          <w:color w:val="000000"/>
          <w:sz w:val="22"/>
          <w:szCs w:val="22"/>
        </w:rPr>
        <w:t xml:space="preserve">Kraujavimas </w:t>
      </w:r>
      <w:r w:rsidRPr="00BE2533">
        <w:rPr>
          <w:noProof/>
          <w:sz w:val="22"/>
          <w:szCs w:val="22"/>
        </w:rPr>
        <w:t>iš akies, nosies, smegenų ir virškinimo trakto</w:t>
      </w:r>
      <w:r w:rsidRPr="00BE2533">
        <w:rPr>
          <w:color w:val="000000"/>
          <w:sz w:val="22"/>
          <w:szCs w:val="22"/>
        </w:rPr>
        <w:t xml:space="preserve">, </w:t>
      </w:r>
      <w:r w:rsidRPr="00BE2533">
        <w:rPr>
          <w:rFonts w:eastAsia="Calibri"/>
          <w:color w:val="000000"/>
          <w:sz w:val="22"/>
          <w:szCs w:val="22"/>
        </w:rPr>
        <w:t xml:space="preserve">alerginės odos reakcijos (paraudimas, edema, niežulys, išbėrimas), padidėjusio jautrumo reakcijos ( alerginis šokas) </w:t>
      </w:r>
    </w:p>
    <w:p w:rsidR="00BE2533" w:rsidRPr="00BE2533" w:rsidRDefault="00BE2533" w:rsidP="00BE2533">
      <w:pPr>
        <w:ind w:right="-2"/>
        <w:rPr>
          <w:sz w:val="22"/>
          <w:szCs w:val="22"/>
        </w:rPr>
      </w:pPr>
    </w:p>
    <w:p w:rsidR="00BE2533" w:rsidRPr="00BE2533" w:rsidRDefault="00BE2533" w:rsidP="00BE2533">
      <w:pPr>
        <w:numPr>
          <w:ilvl w:val="12"/>
          <w:numId w:val="0"/>
        </w:numPr>
        <w:ind w:right="-2"/>
        <w:rPr>
          <w:b/>
          <w:sz w:val="22"/>
          <w:szCs w:val="22"/>
        </w:rPr>
      </w:pPr>
      <w:r w:rsidRPr="00BE2533">
        <w:rPr>
          <w:b/>
          <w:sz w:val="22"/>
          <w:szCs w:val="22"/>
        </w:rPr>
        <w:t>Pranešimas apie šalutinį poveikį</w:t>
      </w:r>
    </w:p>
    <w:p w:rsidR="00BE2533" w:rsidRPr="00BE2533" w:rsidRDefault="00BE2533" w:rsidP="00BE2533">
      <w:pPr>
        <w:numPr>
          <w:ilvl w:val="12"/>
          <w:numId w:val="0"/>
        </w:numPr>
        <w:ind w:right="-2"/>
        <w:rPr>
          <w:sz w:val="22"/>
          <w:szCs w:val="22"/>
        </w:rPr>
      </w:pPr>
      <w:r w:rsidRPr="00BE2533">
        <w:rPr>
          <w:sz w:val="22"/>
          <w:szCs w:val="22"/>
        </w:rPr>
        <w:t xml:space="preserve">Jeigu pasireiškė šalutinis poveikis, įskaitant šiame lapelyje nenurodytą, pasakykite gydytojui arba vaistininkui. </w:t>
      </w:r>
      <w:r w:rsidRPr="00BE2533">
        <w:rPr>
          <w:snapToGrid w:val="0"/>
          <w:sz w:val="22"/>
          <w:szCs w:val="22"/>
        </w:rPr>
        <w:t>Apie šalutinį poveikį taip pat galite pranešti Valstybinei vaistų kontrolės tarnybai prie Lietuvos Respublikos sveikatos apsaugos ministerijos nemokamu t</w:t>
      </w:r>
      <w:r w:rsidRPr="00BE2533">
        <w:rPr>
          <w:snapToGrid w:val="0"/>
          <w:sz w:val="22"/>
          <w:szCs w:val="22"/>
          <w:lang w:eastAsia="zh-CN"/>
        </w:rPr>
        <w:t>elefonu 8 800 73568</w:t>
      </w:r>
      <w:r w:rsidRPr="00BE2533">
        <w:rPr>
          <w:snapToGrid w:val="0"/>
          <w:sz w:val="22"/>
          <w:szCs w:val="22"/>
        </w:rPr>
        <w:t xml:space="preserve"> arba užpildyti interneto svetainėje </w:t>
      </w:r>
      <w:hyperlink r:id="rId5" w:history="1">
        <w:r w:rsidRPr="00BE2533">
          <w:rPr>
            <w:rStyle w:val="Hyperlink"/>
            <w:rFonts w:eastAsia="SimSun"/>
            <w:snapToGrid w:val="0"/>
            <w:sz w:val="22"/>
            <w:szCs w:val="22"/>
          </w:rPr>
          <w:t>www.vvkt.lt</w:t>
        </w:r>
      </w:hyperlink>
      <w:r w:rsidRPr="00BE2533">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BE2533">
        <w:rPr>
          <w:snapToGrid w:val="0"/>
          <w:sz w:val="22"/>
          <w:szCs w:val="22"/>
          <w:lang w:eastAsia="zh-CN"/>
        </w:rPr>
        <w:t xml:space="preserve">nemokamu </w:t>
      </w:r>
      <w:r w:rsidRPr="00BE2533">
        <w:rPr>
          <w:snapToGrid w:val="0"/>
          <w:sz w:val="22"/>
          <w:szCs w:val="22"/>
        </w:rPr>
        <w:t>fakso numeriu 8 800 20131</w:t>
      </w:r>
      <w:r w:rsidRPr="00BE2533">
        <w:rPr>
          <w:snapToGrid w:val="0"/>
          <w:sz w:val="22"/>
          <w:szCs w:val="22"/>
          <w:lang w:eastAsia="zh-CN"/>
        </w:rPr>
        <w:t xml:space="preserve">, </w:t>
      </w:r>
      <w:r w:rsidRPr="00BE2533">
        <w:rPr>
          <w:snapToGrid w:val="0"/>
          <w:sz w:val="22"/>
          <w:szCs w:val="22"/>
        </w:rPr>
        <w:t xml:space="preserve">el. paštu </w:t>
      </w:r>
      <w:hyperlink r:id="rId6" w:history="1">
        <w:r w:rsidRPr="00BE2533">
          <w:rPr>
            <w:rStyle w:val="Hyperlink"/>
            <w:rFonts w:eastAsia="SimSun"/>
            <w:snapToGrid w:val="0"/>
            <w:sz w:val="22"/>
            <w:szCs w:val="22"/>
          </w:rPr>
          <w:t>NepageidaujamaR@vvkt.lt</w:t>
        </w:r>
      </w:hyperlink>
      <w:r w:rsidRPr="00BE2533">
        <w:rPr>
          <w:snapToGrid w:val="0"/>
          <w:sz w:val="22"/>
          <w:szCs w:val="22"/>
        </w:rPr>
        <w:t xml:space="preserve">, taip pat per Valstybinės vaistų kontrolės tarnybos prie Lietuvos Respublikos sveikatos apsaugos ministerijos interneto svetainę (adresu </w:t>
      </w:r>
      <w:hyperlink r:id="rId7" w:history="1">
        <w:r w:rsidRPr="00BE2533">
          <w:rPr>
            <w:rStyle w:val="Hyperlink"/>
            <w:rFonts w:eastAsia="SimSun"/>
            <w:snapToGrid w:val="0"/>
            <w:sz w:val="22"/>
            <w:szCs w:val="22"/>
          </w:rPr>
          <w:t>http://www.vvkt.lt</w:t>
        </w:r>
      </w:hyperlink>
      <w:r w:rsidRPr="00BE2533">
        <w:rPr>
          <w:snapToGrid w:val="0"/>
          <w:sz w:val="22"/>
          <w:szCs w:val="22"/>
        </w:rPr>
        <w:t>). Pranešdami apie šalutinį poveikį galite mums padėti gauti daugiau informacijos apie šio vaisto saugumą.</w:t>
      </w:r>
    </w:p>
    <w:p w:rsidR="00BE2533" w:rsidRPr="00BE2533" w:rsidRDefault="00BE2533" w:rsidP="00BE2533">
      <w:pPr>
        <w:tabs>
          <w:tab w:val="left" w:pos="567"/>
        </w:tabs>
        <w:rPr>
          <w:sz w:val="22"/>
          <w:szCs w:val="22"/>
        </w:rPr>
      </w:pPr>
    </w:p>
    <w:p w:rsidR="00BE2533" w:rsidRPr="00BE2533" w:rsidRDefault="00BE2533" w:rsidP="00BE2533">
      <w:pPr>
        <w:tabs>
          <w:tab w:val="left" w:pos="567"/>
        </w:tabs>
        <w:rPr>
          <w:b/>
          <w:sz w:val="22"/>
          <w:szCs w:val="22"/>
        </w:rPr>
      </w:pPr>
    </w:p>
    <w:p w:rsidR="00BE2533" w:rsidRPr="00BE2533" w:rsidRDefault="00BE2533" w:rsidP="00BE2533">
      <w:pPr>
        <w:tabs>
          <w:tab w:val="left" w:pos="567"/>
        </w:tabs>
        <w:rPr>
          <w:b/>
          <w:sz w:val="22"/>
          <w:szCs w:val="22"/>
        </w:rPr>
      </w:pPr>
      <w:r w:rsidRPr="00BE2533">
        <w:rPr>
          <w:b/>
          <w:sz w:val="22"/>
          <w:szCs w:val="22"/>
        </w:rPr>
        <w:t>5.</w:t>
      </w:r>
      <w:r w:rsidRPr="00BE2533">
        <w:rPr>
          <w:b/>
          <w:sz w:val="22"/>
          <w:szCs w:val="22"/>
        </w:rPr>
        <w:tab/>
        <w:t>Kaip laikyti Gingium</w:t>
      </w:r>
    </w:p>
    <w:p w:rsidR="00BE2533" w:rsidRPr="00BE2533" w:rsidRDefault="00BE2533" w:rsidP="00BE2533">
      <w:pPr>
        <w:tabs>
          <w:tab w:val="left" w:pos="567"/>
        </w:tabs>
        <w:rPr>
          <w:b/>
          <w:sz w:val="22"/>
          <w:szCs w:val="22"/>
        </w:rPr>
      </w:pPr>
    </w:p>
    <w:p w:rsidR="00BE2533" w:rsidRPr="00BE2533" w:rsidRDefault="00BE2533" w:rsidP="00BE2533">
      <w:pPr>
        <w:tabs>
          <w:tab w:val="left" w:pos="567"/>
        </w:tabs>
        <w:rPr>
          <w:sz w:val="22"/>
          <w:szCs w:val="22"/>
        </w:rPr>
      </w:pPr>
      <w:r w:rsidRPr="00BE2533">
        <w:rPr>
          <w:sz w:val="22"/>
          <w:szCs w:val="22"/>
        </w:rPr>
        <w:t>Šį vaistą laikykite vaikams nepastebimoje ir nepasiekiamoje vietoje.</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r w:rsidRPr="00BE2533">
        <w:rPr>
          <w:sz w:val="22"/>
          <w:szCs w:val="22"/>
        </w:rPr>
        <w:lastRenderedPageBreak/>
        <w:t>Laikyti ne aukštesnėje kaip 30 °C temperatūroje.</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r w:rsidRPr="00BE2533">
        <w:rPr>
          <w:sz w:val="22"/>
          <w:szCs w:val="22"/>
        </w:rPr>
        <w:t>Ant dėžutės po ,,EXP“ ir lizdinės plokštelės nurodytam tinkamumo laikui pasibaigus, šio vaisto vartoti negalima. Vaistas tinkamas vartoti iki paskutinės nurodyto mėnesio dienos.</w:t>
      </w:r>
    </w:p>
    <w:p w:rsidR="00BE2533" w:rsidRPr="00BE2533" w:rsidRDefault="00BE2533" w:rsidP="00BE2533">
      <w:pPr>
        <w:tabs>
          <w:tab w:val="left" w:pos="567"/>
        </w:tabs>
        <w:rPr>
          <w:sz w:val="22"/>
          <w:szCs w:val="22"/>
        </w:rPr>
      </w:pPr>
    </w:p>
    <w:p w:rsidR="00BE2533" w:rsidRPr="00BE2533" w:rsidRDefault="00BE2533" w:rsidP="00BE2533">
      <w:pPr>
        <w:rPr>
          <w:sz w:val="22"/>
          <w:szCs w:val="22"/>
        </w:rPr>
      </w:pPr>
      <w:r w:rsidRPr="00BE2533">
        <w:rPr>
          <w:sz w:val="22"/>
          <w:szCs w:val="22"/>
        </w:rPr>
        <w:t>Vaistų negalima išmesti į kanalizaciją arba su buitinėmis atliekomis. Kaip išmesti nereikalingus vaistus, klauskite vaistininko. Šios priemonės padės apsaugoti aplinką.</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p>
    <w:p w:rsidR="00BE2533" w:rsidRPr="00BE2533" w:rsidRDefault="00BE2533" w:rsidP="00BE2533">
      <w:pPr>
        <w:tabs>
          <w:tab w:val="left" w:pos="567"/>
        </w:tabs>
        <w:outlineLvl w:val="5"/>
        <w:rPr>
          <w:b/>
          <w:bCs/>
          <w:sz w:val="22"/>
          <w:szCs w:val="22"/>
          <w:lang w:eastAsia="x-none"/>
        </w:rPr>
      </w:pPr>
      <w:r w:rsidRPr="00BE2533">
        <w:rPr>
          <w:b/>
          <w:bCs/>
          <w:sz w:val="22"/>
          <w:szCs w:val="22"/>
          <w:lang w:eastAsia="x-none"/>
        </w:rPr>
        <w:t>6.</w:t>
      </w:r>
      <w:r w:rsidRPr="00BE2533">
        <w:rPr>
          <w:b/>
          <w:bCs/>
          <w:sz w:val="22"/>
          <w:szCs w:val="22"/>
          <w:lang w:eastAsia="x-none"/>
        </w:rPr>
        <w:tab/>
        <w:t>Pakuotės turinys ir kita informacija</w:t>
      </w:r>
    </w:p>
    <w:p w:rsidR="00BE2533" w:rsidRPr="00BE2533" w:rsidRDefault="00BE2533" w:rsidP="00BE2533">
      <w:pPr>
        <w:tabs>
          <w:tab w:val="left" w:pos="567"/>
        </w:tabs>
        <w:rPr>
          <w:sz w:val="22"/>
          <w:szCs w:val="22"/>
        </w:rPr>
      </w:pPr>
    </w:p>
    <w:p w:rsidR="00BE2533" w:rsidRPr="00BE2533" w:rsidRDefault="00BE2533" w:rsidP="00BE2533">
      <w:pPr>
        <w:tabs>
          <w:tab w:val="left" w:pos="567"/>
        </w:tabs>
        <w:rPr>
          <w:b/>
          <w:sz w:val="22"/>
          <w:szCs w:val="22"/>
        </w:rPr>
      </w:pPr>
      <w:r w:rsidRPr="00BE2533">
        <w:rPr>
          <w:b/>
          <w:sz w:val="22"/>
          <w:szCs w:val="22"/>
        </w:rPr>
        <w:t>Gingium sudėtis</w:t>
      </w:r>
    </w:p>
    <w:p w:rsidR="00BE2533" w:rsidRPr="00BE2533" w:rsidRDefault="00BE2533" w:rsidP="00BE2533">
      <w:pPr>
        <w:numPr>
          <w:ilvl w:val="0"/>
          <w:numId w:val="16"/>
        </w:numPr>
        <w:tabs>
          <w:tab w:val="num" w:pos="720"/>
        </w:tabs>
        <w:ind w:left="0" w:firstLine="0"/>
        <w:rPr>
          <w:sz w:val="22"/>
          <w:szCs w:val="22"/>
        </w:rPr>
      </w:pPr>
      <w:r w:rsidRPr="00BE2533">
        <w:rPr>
          <w:sz w:val="22"/>
          <w:szCs w:val="22"/>
        </w:rPr>
        <w:t xml:space="preserve">Vienoje plėvele dengtoje tabletėje yra 120 mg </w:t>
      </w:r>
      <w:r w:rsidRPr="00BE2533">
        <w:rPr>
          <w:i/>
          <w:sz w:val="22"/>
          <w:szCs w:val="22"/>
        </w:rPr>
        <w:t>Ginkgo biloba</w:t>
      </w:r>
      <w:r w:rsidRPr="00BE2533">
        <w:rPr>
          <w:sz w:val="22"/>
          <w:szCs w:val="22"/>
        </w:rPr>
        <w:t xml:space="preserve"> L., folium (ginkmedžių lapų) rafinuoto ir kiekybiškai įvertinto sausojo ekstrakto (35-67:1), atitinkančio:</w:t>
      </w:r>
    </w:p>
    <w:p w:rsidR="00BE2533" w:rsidRPr="00BE2533" w:rsidRDefault="00BE2533" w:rsidP="00BE2533">
      <w:pPr>
        <w:tabs>
          <w:tab w:val="left" w:pos="567"/>
        </w:tabs>
        <w:rPr>
          <w:sz w:val="22"/>
          <w:szCs w:val="22"/>
        </w:rPr>
      </w:pPr>
      <w:r w:rsidRPr="00BE2533">
        <w:rPr>
          <w:sz w:val="22"/>
          <w:szCs w:val="22"/>
        </w:rPr>
        <w:t>26,4 – 32,4 mg flavonoidų, išreikštų pagal flavonų glikozidus,</w:t>
      </w:r>
    </w:p>
    <w:p w:rsidR="00BE2533" w:rsidRPr="00BE2533" w:rsidRDefault="00BE2533" w:rsidP="00BE2533">
      <w:pPr>
        <w:tabs>
          <w:tab w:val="left" w:pos="567"/>
        </w:tabs>
        <w:rPr>
          <w:sz w:val="22"/>
          <w:szCs w:val="22"/>
        </w:rPr>
      </w:pPr>
      <w:r w:rsidRPr="00BE2533">
        <w:rPr>
          <w:sz w:val="22"/>
          <w:szCs w:val="22"/>
        </w:rPr>
        <w:t>3,36 – 4,08 mg gingkolidų A, B ir C,</w:t>
      </w:r>
    </w:p>
    <w:p w:rsidR="00BE2533" w:rsidRPr="00BE2533" w:rsidRDefault="00BE2533" w:rsidP="00BE2533">
      <w:pPr>
        <w:tabs>
          <w:tab w:val="left" w:pos="567"/>
        </w:tabs>
        <w:rPr>
          <w:sz w:val="22"/>
          <w:szCs w:val="22"/>
        </w:rPr>
      </w:pPr>
      <w:r w:rsidRPr="00BE2533">
        <w:rPr>
          <w:sz w:val="22"/>
          <w:szCs w:val="22"/>
        </w:rPr>
        <w:t xml:space="preserve">3,12 – 3,84 mg bilobalido. </w:t>
      </w:r>
    </w:p>
    <w:p w:rsidR="00BE2533" w:rsidRPr="00BE2533" w:rsidRDefault="00BE2533" w:rsidP="00BE2533">
      <w:pPr>
        <w:tabs>
          <w:tab w:val="left" w:pos="567"/>
        </w:tabs>
        <w:rPr>
          <w:sz w:val="22"/>
          <w:szCs w:val="22"/>
        </w:rPr>
      </w:pPr>
      <w:r w:rsidRPr="00BE2533">
        <w:rPr>
          <w:sz w:val="22"/>
          <w:szCs w:val="22"/>
        </w:rPr>
        <w:t>Ekstrakcijos tirpiklis: 60 % (V/V) acetonas.</w:t>
      </w:r>
    </w:p>
    <w:p w:rsidR="00BE2533" w:rsidRPr="00BE2533" w:rsidRDefault="00BE2533" w:rsidP="00BE2533">
      <w:pPr>
        <w:tabs>
          <w:tab w:val="left" w:pos="567"/>
        </w:tabs>
        <w:rPr>
          <w:sz w:val="22"/>
          <w:szCs w:val="22"/>
          <w:u w:val="single"/>
        </w:rPr>
      </w:pPr>
      <w:r w:rsidRPr="00BE2533">
        <w:rPr>
          <w:sz w:val="22"/>
          <w:szCs w:val="22"/>
        </w:rPr>
        <w:t xml:space="preserve">Pagalbinės medžiagos. Tabletės branduolys: mikrokristalinė </w:t>
      </w:r>
      <w:r w:rsidRPr="00BE2533">
        <w:rPr>
          <w:color w:val="000000"/>
          <w:sz w:val="22"/>
          <w:szCs w:val="22"/>
        </w:rPr>
        <w:t>celiuliozė, laktozė monohidratas, dehidratuotas gliukozės sirupas, magnio stearatas, kukurūzų krakmolas, karboksimetilkrakmolo natrio druska, bevandenis koloidinis silicio dioksidas. Tabletės plėvelė: laktozė monohidratas, hipromeliozė, makrogolis 4000, titano dioksidas (E171), geltonasis geležies oksidas (E 172).</w:t>
      </w:r>
    </w:p>
    <w:p w:rsidR="00BE2533" w:rsidRPr="00BE2533" w:rsidRDefault="00BE2533" w:rsidP="00BE2533">
      <w:pPr>
        <w:tabs>
          <w:tab w:val="left" w:pos="567"/>
        </w:tabs>
        <w:rPr>
          <w:b/>
          <w:sz w:val="22"/>
          <w:szCs w:val="22"/>
        </w:rPr>
      </w:pPr>
    </w:p>
    <w:p w:rsidR="00BE2533" w:rsidRPr="00BE2533" w:rsidRDefault="00BE2533" w:rsidP="00BE2533">
      <w:pPr>
        <w:tabs>
          <w:tab w:val="left" w:pos="567"/>
        </w:tabs>
        <w:rPr>
          <w:sz w:val="22"/>
          <w:szCs w:val="22"/>
        </w:rPr>
      </w:pPr>
      <w:r w:rsidRPr="00BE2533">
        <w:rPr>
          <w:b/>
          <w:sz w:val="22"/>
          <w:szCs w:val="22"/>
        </w:rPr>
        <w:t>Gingium išvaizda ir kiekis pakuotėje</w:t>
      </w:r>
    </w:p>
    <w:p w:rsidR="00BE2533" w:rsidRPr="00BE2533" w:rsidRDefault="00BE2533" w:rsidP="00BE2533">
      <w:pPr>
        <w:tabs>
          <w:tab w:val="left" w:pos="567"/>
        </w:tabs>
        <w:rPr>
          <w:sz w:val="22"/>
          <w:szCs w:val="22"/>
        </w:rPr>
      </w:pPr>
      <w:r w:rsidRPr="00BE2533">
        <w:rPr>
          <w:sz w:val="22"/>
          <w:szCs w:val="22"/>
        </w:rPr>
        <w:t>Pailgos, abipus išgaubtos, geltonos ar geltonai rudos, su dėmelėmis, lygaus paviršiaus plėvele dengtos tabletės su vagele abiejose pusėse.</w:t>
      </w:r>
    </w:p>
    <w:p w:rsidR="00BE2533" w:rsidRPr="00BE2533" w:rsidRDefault="00BE2533" w:rsidP="00BE2533">
      <w:pPr>
        <w:tabs>
          <w:tab w:val="left" w:pos="567"/>
        </w:tabs>
        <w:rPr>
          <w:sz w:val="22"/>
          <w:szCs w:val="22"/>
        </w:rPr>
      </w:pPr>
      <w:r w:rsidRPr="00BE2533">
        <w:rPr>
          <w:sz w:val="22"/>
          <w:szCs w:val="22"/>
        </w:rPr>
        <w:t>Vagelė skirta tik tabletei perlaužti, kad būtų lengviau nuryti, bet ne jai padalyti į lygias dozes.</w:t>
      </w:r>
    </w:p>
    <w:p w:rsidR="00BE2533" w:rsidRPr="00BE2533" w:rsidRDefault="00BE2533" w:rsidP="00BE2533">
      <w:pPr>
        <w:tabs>
          <w:tab w:val="left" w:pos="567"/>
        </w:tabs>
        <w:rPr>
          <w:i/>
          <w:sz w:val="22"/>
          <w:szCs w:val="22"/>
        </w:rPr>
      </w:pPr>
    </w:p>
    <w:p w:rsidR="00BE2533" w:rsidRPr="00BE2533" w:rsidRDefault="00BE2533" w:rsidP="00BE2533">
      <w:pPr>
        <w:tabs>
          <w:tab w:val="left" w:pos="567"/>
        </w:tabs>
        <w:rPr>
          <w:sz w:val="22"/>
          <w:szCs w:val="22"/>
        </w:rPr>
      </w:pPr>
      <w:r w:rsidRPr="00BE2533">
        <w:rPr>
          <w:sz w:val="22"/>
          <w:szCs w:val="22"/>
        </w:rPr>
        <w:t>Gamintojo pakuotė, kurioje yra 30, 60 arba 100 plėvele dengtų tablečių.</w:t>
      </w:r>
    </w:p>
    <w:p w:rsidR="00BE2533" w:rsidRPr="00BE2533" w:rsidRDefault="00BE2533" w:rsidP="00BE2533">
      <w:pPr>
        <w:tabs>
          <w:tab w:val="left" w:pos="567"/>
        </w:tabs>
        <w:rPr>
          <w:sz w:val="22"/>
          <w:szCs w:val="22"/>
        </w:rPr>
      </w:pPr>
      <w:r w:rsidRPr="00BE2533">
        <w:rPr>
          <w:sz w:val="22"/>
          <w:szCs w:val="22"/>
        </w:rPr>
        <w:t>Gali būti tiekiamos ne visų dydžių pakuotės.</w:t>
      </w:r>
    </w:p>
    <w:p w:rsidR="00BE2533" w:rsidRPr="00BE2533" w:rsidRDefault="00BE2533" w:rsidP="00BE2533">
      <w:pPr>
        <w:tabs>
          <w:tab w:val="left" w:pos="567"/>
        </w:tabs>
        <w:rPr>
          <w:sz w:val="22"/>
          <w:szCs w:val="22"/>
        </w:rPr>
      </w:pPr>
    </w:p>
    <w:p w:rsidR="00BE2533" w:rsidRPr="00BE2533" w:rsidRDefault="00BE2533" w:rsidP="00BE2533">
      <w:pPr>
        <w:tabs>
          <w:tab w:val="left" w:pos="567"/>
          <w:tab w:val="left" w:pos="4678"/>
        </w:tabs>
        <w:rPr>
          <w:sz w:val="22"/>
          <w:szCs w:val="22"/>
        </w:rPr>
      </w:pPr>
      <w:r w:rsidRPr="00BE2533">
        <w:rPr>
          <w:b/>
          <w:sz w:val="22"/>
          <w:szCs w:val="22"/>
        </w:rPr>
        <w:t>Registruotojas ir gamintojai</w:t>
      </w:r>
    </w:p>
    <w:p w:rsidR="00BE2533" w:rsidRPr="00BE2533" w:rsidRDefault="00BE2533" w:rsidP="00BE2533">
      <w:pPr>
        <w:tabs>
          <w:tab w:val="left" w:pos="567"/>
        </w:tabs>
        <w:rPr>
          <w:sz w:val="22"/>
          <w:szCs w:val="22"/>
          <w:u w:val="single"/>
        </w:rPr>
      </w:pPr>
      <w:r w:rsidRPr="00BE2533">
        <w:rPr>
          <w:sz w:val="22"/>
          <w:szCs w:val="22"/>
          <w:u w:val="single"/>
        </w:rPr>
        <w:t>Registruotojas</w:t>
      </w:r>
    </w:p>
    <w:p w:rsidR="00BE2533" w:rsidRPr="00BE2533" w:rsidRDefault="00BE2533" w:rsidP="00BE2533">
      <w:pPr>
        <w:tabs>
          <w:tab w:val="left" w:pos="567"/>
        </w:tabs>
        <w:rPr>
          <w:sz w:val="22"/>
          <w:szCs w:val="22"/>
        </w:rPr>
      </w:pPr>
      <w:r w:rsidRPr="00BE2533">
        <w:rPr>
          <w:sz w:val="22"/>
          <w:szCs w:val="22"/>
        </w:rPr>
        <w:t xml:space="preserve">Sandoz d.d. </w:t>
      </w:r>
    </w:p>
    <w:p w:rsidR="00BE2533" w:rsidRPr="00BE2533" w:rsidRDefault="00BE2533" w:rsidP="00BE2533">
      <w:pPr>
        <w:tabs>
          <w:tab w:val="left" w:pos="567"/>
        </w:tabs>
        <w:rPr>
          <w:sz w:val="22"/>
          <w:szCs w:val="22"/>
        </w:rPr>
      </w:pPr>
      <w:r w:rsidRPr="00BE2533">
        <w:rPr>
          <w:sz w:val="22"/>
          <w:szCs w:val="22"/>
        </w:rPr>
        <w:t>Verovškova 57</w:t>
      </w:r>
    </w:p>
    <w:p w:rsidR="00BE2533" w:rsidRPr="00BE2533" w:rsidRDefault="00BE2533" w:rsidP="00BE2533">
      <w:pPr>
        <w:tabs>
          <w:tab w:val="left" w:pos="567"/>
        </w:tabs>
        <w:rPr>
          <w:sz w:val="22"/>
          <w:szCs w:val="22"/>
        </w:rPr>
      </w:pPr>
      <w:r w:rsidRPr="00BE2533">
        <w:rPr>
          <w:sz w:val="22"/>
          <w:szCs w:val="22"/>
        </w:rPr>
        <w:t>SI-1000 Ljubljana</w:t>
      </w:r>
    </w:p>
    <w:p w:rsidR="00BE2533" w:rsidRPr="00BE2533" w:rsidRDefault="00BE2533" w:rsidP="00BE2533">
      <w:pPr>
        <w:keepNext/>
        <w:tabs>
          <w:tab w:val="left" w:pos="567"/>
        </w:tabs>
        <w:outlineLvl w:val="1"/>
        <w:rPr>
          <w:sz w:val="22"/>
          <w:szCs w:val="22"/>
          <w:lang w:eastAsia="x-none"/>
        </w:rPr>
      </w:pPr>
      <w:r w:rsidRPr="00BE2533">
        <w:rPr>
          <w:sz w:val="22"/>
          <w:szCs w:val="22"/>
          <w:lang w:eastAsia="x-none"/>
        </w:rPr>
        <w:t>Slovėnija</w:t>
      </w:r>
    </w:p>
    <w:p w:rsidR="00BE2533" w:rsidRPr="00BE2533" w:rsidRDefault="00BE2533" w:rsidP="00BE2533">
      <w:pPr>
        <w:tabs>
          <w:tab w:val="left" w:pos="567"/>
        </w:tabs>
        <w:rPr>
          <w:sz w:val="22"/>
          <w:szCs w:val="22"/>
        </w:rPr>
      </w:pPr>
    </w:p>
    <w:p w:rsidR="00BE2533" w:rsidRPr="00BE2533" w:rsidRDefault="00BE2533" w:rsidP="00BE2533">
      <w:pPr>
        <w:keepNext/>
        <w:tabs>
          <w:tab w:val="left" w:pos="567"/>
        </w:tabs>
        <w:outlineLvl w:val="1"/>
        <w:rPr>
          <w:sz w:val="22"/>
          <w:szCs w:val="22"/>
          <w:u w:val="single"/>
          <w:lang w:eastAsia="x-none"/>
        </w:rPr>
      </w:pPr>
      <w:r w:rsidRPr="00BE2533">
        <w:rPr>
          <w:sz w:val="22"/>
          <w:szCs w:val="22"/>
          <w:u w:val="single"/>
          <w:lang w:eastAsia="x-none"/>
        </w:rPr>
        <w:t>Gamintojai</w:t>
      </w:r>
    </w:p>
    <w:p w:rsidR="00BE2533" w:rsidRPr="00BE2533" w:rsidRDefault="00BE2533" w:rsidP="00BE2533">
      <w:pPr>
        <w:tabs>
          <w:tab w:val="left" w:pos="567"/>
        </w:tabs>
        <w:rPr>
          <w:color w:val="000000"/>
          <w:sz w:val="22"/>
          <w:szCs w:val="22"/>
        </w:rPr>
      </w:pPr>
      <w:r w:rsidRPr="00BE2533">
        <w:rPr>
          <w:color w:val="000000"/>
          <w:sz w:val="22"/>
          <w:szCs w:val="22"/>
        </w:rPr>
        <w:t xml:space="preserve">Salutas Pharma GmbH </w:t>
      </w:r>
    </w:p>
    <w:p w:rsidR="00BE2533" w:rsidRPr="00BE2533" w:rsidRDefault="00BE2533" w:rsidP="00BE2533">
      <w:pPr>
        <w:tabs>
          <w:tab w:val="left" w:pos="567"/>
        </w:tabs>
        <w:rPr>
          <w:color w:val="000000"/>
          <w:sz w:val="22"/>
          <w:szCs w:val="22"/>
        </w:rPr>
      </w:pPr>
      <w:r w:rsidRPr="00BE2533">
        <w:rPr>
          <w:color w:val="000000"/>
          <w:sz w:val="22"/>
          <w:szCs w:val="22"/>
        </w:rPr>
        <w:t xml:space="preserve">Otto-von-Guericke-Allee 1 </w:t>
      </w:r>
    </w:p>
    <w:p w:rsidR="00BE2533" w:rsidRPr="00BE2533" w:rsidRDefault="00BE2533" w:rsidP="00BE2533">
      <w:pPr>
        <w:tabs>
          <w:tab w:val="left" w:pos="567"/>
        </w:tabs>
        <w:rPr>
          <w:color w:val="000000"/>
          <w:sz w:val="22"/>
          <w:szCs w:val="22"/>
        </w:rPr>
      </w:pPr>
      <w:r w:rsidRPr="00BE2533">
        <w:rPr>
          <w:color w:val="000000"/>
          <w:sz w:val="22"/>
          <w:szCs w:val="22"/>
        </w:rPr>
        <w:t xml:space="preserve">D-39179 Barleben </w:t>
      </w:r>
    </w:p>
    <w:p w:rsidR="00BE2533" w:rsidRPr="00BE2533" w:rsidRDefault="00BE2533" w:rsidP="00BE2533">
      <w:pPr>
        <w:tabs>
          <w:tab w:val="left" w:pos="567"/>
        </w:tabs>
        <w:rPr>
          <w:color w:val="000000"/>
          <w:sz w:val="22"/>
          <w:szCs w:val="22"/>
        </w:rPr>
      </w:pPr>
      <w:r w:rsidRPr="00BE2533">
        <w:rPr>
          <w:color w:val="000000"/>
          <w:sz w:val="22"/>
          <w:szCs w:val="22"/>
        </w:rPr>
        <w:t>Vokietija</w:t>
      </w:r>
    </w:p>
    <w:p w:rsidR="00BE2533" w:rsidRPr="00BE2533" w:rsidRDefault="00BE2533" w:rsidP="00BE2533">
      <w:pPr>
        <w:tabs>
          <w:tab w:val="left" w:pos="567"/>
        </w:tabs>
        <w:rPr>
          <w:color w:val="000000"/>
          <w:sz w:val="22"/>
          <w:szCs w:val="22"/>
          <w:highlight w:val="lightGray"/>
        </w:rPr>
      </w:pPr>
    </w:p>
    <w:p w:rsidR="00BE2533" w:rsidRPr="00BE2533" w:rsidRDefault="00BE2533" w:rsidP="00BE2533">
      <w:pPr>
        <w:tabs>
          <w:tab w:val="left" w:pos="567"/>
        </w:tabs>
        <w:rPr>
          <w:color w:val="000000"/>
          <w:sz w:val="22"/>
          <w:szCs w:val="22"/>
          <w:highlight w:val="lightGray"/>
        </w:rPr>
      </w:pPr>
      <w:r w:rsidRPr="00BE2533">
        <w:rPr>
          <w:color w:val="000000"/>
          <w:sz w:val="22"/>
          <w:szCs w:val="22"/>
          <w:highlight w:val="lightGray"/>
        </w:rPr>
        <w:t>arba</w:t>
      </w:r>
    </w:p>
    <w:p w:rsidR="00BE2533" w:rsidRPr="00BE2533" w:rsidRDefault="00BE2533" w:rsidP="00BE2533">
      <w:pPr>
        <w:tabs>
          <w:tab w:val="left" w:pos="567"/>
        </w:tabs>
        <w:rPr>
          <w:color w:val="000000"/>
          <w:sz w:val="22"/>
          <w:szCs w:val="22"/>
          <w:highlight w:val="lightGray"/>
        </w:rPr>
      </w:pPr>
    </w:p>
    <w:p w:rsidR="00BE2533" w:rsidRPr="00BE2533" w:rsidRDefault="00BE2533" w:rsidP="00BE2533">
      <w:pPr>
        <w:tabs>
          <w:tab w:val="left" w:pos="567"/>
        </w:tabs>
        <w:rPr>
          <w:color w:val="000000"/>
          <w:sz w:val="22"/>
          <w:szCs w:val="22"/>
          <w:highlight w:val="lightGray"/>
        </w:rPr>
      </w:pPr>
      <w:r w:rsidRPr="00BE2533">
        <w:rPr>
          <w:color w:val="000000"/>
          <w:sz w:val="22"/>
          <w:szCs w:val="22"/>
          <w:highlight w:val="lightGray"/>
        </w:rPr>
        <w:t>LEK S.A.</w:t>
      </w:r>
    </w:p>
    <w:p w:rsidR="00BE2533" w:rsidRPr="00BE2533" w:rsidRDefault="00BE2533" w:rsidP="00BE2533">
      <w:pPr>
        <w:tabs>
          <w:tab w:val="left" w:pos="567"/>
        </w:tabs>
        <w:rPr>
          <w:color w:val="000000"/>
          <w:sz w:val="22"/>
          <w:szCs w:val="22"/>
          <w:highlight w:val="lightGray"/>
        </w:rPr>
      </w:pPr>
      <w:r w:rsidRPr="00BE2533">
        <w:rPr>
          <w:color w:val="000000"/>
          <w:sz w:val="22"/>
          <w:szCs w:val="22"/>
          <w:highlight w:val="lightGray"/>
        </w:rPr>
        <w:t xml:space="preserve">50 C Domaniewska Str. </w:t>
      </w:r>
    </w:p>
    <w:p w:rsidR="00BE2533" w:rsidRPr="00BE2533" w:rsidRDefault="00BE2533" w:rsidP="00BE2533">
      <w:pPr>
        <w:tabs>
          <w:tab w:val="left" w:pos="567"/>
        </w:tabs>
        <w:rPr>
          <w:color w:val="000000"/>
          <w:sz w:val="22"/>
          <w:szCs w:val="22"/>
        </w:rPr>
      </w:pPr>
      <w:r w:rsidRPr="00BE2533">
        <w:rPr>
          <w:color w:val="000000"/>
          <w:sz w:val="22"/>
          <w:szCs w:val="22"/>
          <w:highlight w:val="lightGray"/>
        </w:rPr>
        <w:t>02-672 Warsaw</w:t>
      </w:r>
    </w:p>
    <w:p w:rsidR="00BE2533" w:rsidRPr="00BE2533" w:rsidRDefault="00BE2533" w:rsidP="00BE2533">
      <w:pPr>
        <w:tabs>
          <w:tab w:val="left" w:pos="567"/>
        </w:tabs>
        <w:rPr>
          <w:color w:val="000000"/>
          <w:sz w:val="22"/>
          <w:szCs w:val="22"/>
        </w:rPr>
      </w:pPr>
      <w:r w:rsidRPr="00BE2533">
        <w:rPr>
          <w:color w:val="000000"/>
          <w:sz w:val="22"/>
          <w:szCs w:val="22"/>
          <w:highlight w:val="lightGray"/>
        </w:rPr>
        <w:t>Lenkija</w:t>
      </w:r>
    </w:p>
    <w:p w:rsidR="00BE2533" w:rsidRPr="00BE2533" w:rsidRDefault="00BE2533" w:rsidP="00BE2533">
      <w:pPr>
        <w:tabs>
          <w:tab w:val="left" w:pos="567"/>
        </w:tabs>
        <w:rPr>
          <w:sz w:val="22"/>
          <w:szCs w:val="22"/>
        </w:rPr>
      </w:pPr>
    </w:p>
    <w:p w:rsidR="00BE2533" w:rsidRPr="00BE2533" w:rsidRDefault="00BE2533" w:rsidP="00BE2533">
      <w:pPr>
        <w:widowControl w:val="0"/>
        <w:tabs>
          <w:tab w:val="left" w:pos="567"/>
        </w:tabs>
        <w:suppressAutoHyphens/>
        <w:rPr>
          <w:rFonts w:eastAsia="Lucida Sans Unicode"/>
          <w:sz w:val="22"/>
          <w:szCs w:val="22"/>
        </w:rPr>
      </w:pPr>
      <w:r w:rsidRPr="00BE2533">
        <w:rPr>
          <w:rFonts w:eastAsia="Lucida Sans Unicode"/>
          <w:sz w:val="22"/>
          <w:szCs w:val="22"/>
        </w:rPr>
        <w:t>Jeigu apie šį vaistą norite sužinoti daugiau, kreipkitės į vietinį registruotojo atstovą.</w:t>
      </w:r>
    </w:p>
    <w:p w:rsidR="00BE2533" w:rsidRPr="00BE2533" w:rsidRDefault="00BE2533" w:rsidP="00BE2533">
      <w:pPr>
        <w:widowControl w:val="0"/>
        <w:tabs>
          <w:tab w:val="left" w:pos="567"/>
        </w:tabs>
        <w:suppressAutoHyphens/>
        <w:rPr>
          <w:rFonts w:eastAsia="Lucida Sans Unicode"/>
          <w:sz w:val="22"/>
          <w:szCs w:val="22"/>
        </w:rPr>
      </w:pPr>
    </w:p>
    <w:p w:rsidR="00BE2533" w:rsidRPr="00BE2533" w:rsidRDefault="00BE2533" w:rsidP="00BE2533">
      <w:pPr>
        <w:tabs>
          <w:tab w:val="left" w:pos="567"/>
        </w:tabs>
        <w:rPr>
          <w:sz w:val="22"/>
          <w:szCs w:val="22"/>
        </w:rPr>
      </w:pPr>
      <w:r w:rsidRPr="00BE2533">
        <w:rPr>
          <w:sz w:val="22"/>
          <w:szCs w:val="22"/>
        </w:rPr>
        <w:t>Sandoz Pharmaceuticals d.d. filialas</w:t>
      </w:r>
    </w:p>
    <w:p w:rsidR="00BE2533" w:rsidRPr="00BE2533" w:rsidRDefault="00BE2533" w:rsidP="00BE2533">
      <w:pPr>
        <w:tabs>
          <w:tab w:val="left" w:pos="567"/>
        </w:tabs>
        <w:rPr>
          <w:sz w:val="22"/>
          <w:szCs w:val="22"/>
        </w:rPr>
      </w:pPr>
      <w:r w:rsidRPr="00BE2533">
        <w:rPr>
          <w:sz w:val="22"/>
          <w:szCs w:val="22"/>
        </w:rPr>
        <w:t>Šeimyniškių 3A</w:t>
      </w:r>
    </w:p>
    <w:p w:rsidR="00BE2533" w:rsidRPr="00BE2533" w:rsidRDefault="00BE2533" w:rsidP="00BE2533">
      <w:pPr>
        <w:tabs>
          <w:tab w:val="left" w:pos="567"/>
        </w:tabs>
        <w:rPr>
          <w:sz w:val="22"/>
          <w:szCs w:val="22"/>
        </w:rPr>
      </w:pPr>
      <w:r w:rsidRPr="00BE2533">
        <w:rPr>
          <w:sz w:val="22"/>
          <w:szCs w:val="22"/>
        </w:rPr>
        <w:lastRenderedPageBreak/>
        <w:t>LT-09312 Vilnius</w:t>
      </w:r>
    </w:p>
    <w:p w:rsidR="00BE2533" w:rsidRPr="00BE2533" w:rsidRDefault="00BE2533" w:rsidP="00BE2533">
      <w:pPr>
        <w:tabs>
          <w:tab w:val="left" w:pos="567"/>
        </w:tabs>
        <w:rPr>
          <w:sz w:val="22"/>
          <w:szCs w:val="22"/>
        </w:rPr>
      </w:pPr>
      <w:r w:rsidRPr="00BE2533">
        <w:rPr>
          <w:sz w:val="22"/>
          <w:szCs w:val="22"/>
        </w:rPr>
        <w:t>Tel. 370 5 2636 037</w:t>
      </w:r>
    </w:p>
    <w:p w:rsidR="00BE2533" w:rsidRPr="00BE2533" w:rsidRDefault="00BE2533" w:rsidP="00BE2533">
      <w:pPr>
        <w:rPr>
          <w:sz w:val="22"/>
          <w:szCs w:val="22"/>
        </w:rPr>
      </w:pPr>
      <w:r w:rsidRPr="00BE2533">
        <w:rPr>
          <w:sz w:val="22"/>
          <w:szCs w:val="22"/>
        </w:rPr>
        <w:t>Nemokama linija pacientams: +370 800 00877</w:t>
      </w:r>
    </w:p>
    <w:p w:rsidR="00BE2533" w:rsidRPr="00BE2533" w:rsidRDefault="00BE2533" w:rsidP="00BE2533">
      <w:pPr>
        <w:rPr>
          <w:sz w:val="22"/>
          <w:szCs w:val="22"/>
        </w:rPr>
      </w:pPr>
      <w:r w:rsidRPr="00BE2533">
        <w:rPr>
          <w:sz w:val="22"/>
          <w:szCs w:val="22"/>
        </w:rPr>
        <w:t>Faksas: +370 5 2636 036</w:t>
      </w:r>
    </w:p>
    <w:p w:rsidR="00BE2533" w:rsidRPr="00BE2533" w:rsidRDefault="00BE2533" w:rsidP="00BE2533">
      <w:pPr>
        <w:rPr>
          <w:sz w:val="22"/>
          <w:szCs w:val="22"/>
        </w:rPr>
      </w:pPr>
      <w:r w:rsidRPr="00BE2533">
        <w:rPr>
          <w:sz w:val="22"/>
          <w:szCs w:val="22"/>
        </w:rPr>
        <w:t>El.paštas: info.lithuania@sandoz.com</w:t>
      </w:r>
    </w:p>
    <w:p w:rsidR="00BE2533" w:rsidRPr="00BE2533" w:rsidRDefault="00BE2533" w:rsidP="00BE2533">
      <w:pPr>
        <w:tabs>
          <w:tab w:val="left" w:pos="567"/>
        </w:tabs>
        <w:rPr>
          <w:sz w:val="22"/>
          <w:szCs w:val="22"/>
        </w:rPr>
      </w:pPr>
    </w:p>
    <w:p w:rsidR="00BE2533" w:rsidRPr="00BE2533" w:rsidRDefault="00BE2533" w:rsidP="00BE2533">
      <w:pPr>
        <w:tabs>
          <w:tab w:val="left" w:pos="567"/>
        </w:tabs>
        <w:rPr>
          <w:sz w:val="22"/>
          <w:szCs w:val="22"/>
        </w:rPr>
      </w:pPr>
    </w:p>
    <w:p w:rsidR="00BE2533" w:rsidRPr="00BE2533" w:rsidRDefault="00BE2533" w:rsidP="00BE2533">
      <w:pPr>
        <w:tabs>
          <w:tab w:val="left" w:pos="567"/>
        </w:tabs>
        <w:rPr>
          <w:b/>
          <w:sz w:val="22"/>
          <w:szCs w:val="22"/>
        </w:rPr>
      </w:pPr>
      <w:r w:rsidRPr="00BE2533">
        <w:rPr>
          <w:b/>
          <w:bCs/>
          <w:sz w:val="22"/>
          <w:szCs w:val="22"/>
        </w:rPr>
        <w:t>Šis pakuotės lapelis</w:t>
      </w:r>
      <w:r w:rsidRPr="00BE2533">
        <w:rPr>
          <w:b/>
          <w:sz w:val="22"/>
          <w:szCs w:val="22"/>
        </w:rPr>
        <w:t xml:space="preserve"> paskutinį kartą peržiūrėtas 2021-01-27. </w:t>
      </w:r>
    </w:p>
    <w:p w:rsidR="00BE2533" w:rsidRPr="00BE2533" w:rsidRDefault="00BE2533" w:rsidP="00BE2533">
      <w:pPr>
        <w:tabs>
          <w:tab w:val="left" w:pos="567"/>
        </w:tabs>
        <w:ind w:left="540" w:hanging="540"/>
        <w:rPr>
          <w:sz w:val="22"/>
          <w:szCs w:val="22"/>
        </w:rPr>
      </w:pPr>
    </w:p>
    <w:p w:rsidR="00BE2533" w:rsidRPr="00BE2533" w:rsidRDefault="00BE2533" w:rsidP="00BE2533">
      <w:pPr>
        <w:tabs>
          <w:tab w:val="left" w:pos="0"/>
        </w:tabs>
        <w:rPr>
          <w:sz w:val="22"/>
          <w:szCs w:val="22"/>
        </w:rPr>
      </w:pPr>
      <w:r w:rsidRPr="00BE2533">
        <w:rPr>
          <w:sz w:val="22"/>
          <w:szCs w:val="22"/>
        </w:rPr>
        <w:t>Išsami informacija apie šį vaistą pateikiama Valstybinės vaistų kontrolės tarnybos prie Lietuvos Respublikos sveikatos apsaugos ministerijos tinklalapyje</w:t>
      </w:r>
      <w:r w:rsidRPr="00BE2533">
        <w:rPr>
          <w:i/>
          <w:sz w:val="22"/>
          <w:szCs w:val="22"/>
        </w:rPr>
        <w:t xml:space="preserve"> </w:t>
      </w:r>
      <w:hyperlink r:id="rId8" w:history="1">
        <w:r w:rsidRPr="00BE2533">
          <w:rPr>
            <w:rStyle w:val="Hyperlink"/>
            <w:sz w:val="22"/>
            <w:szCs w:val="22"/>
          </w:rPr>
          <w:t>http://www.vvkt.lt/</w:t>
        </w:r>
      </w:hyperlink>
      <w:r w:rsidRPr="00BE2533">
        <w:rPr>
          <w:sz w:val="22"/>
          <w:szCs w:val="22"/>
        </w:rPr>
        <w:t>.</w:t>
      </w:r>
    </w:p>
    <w:bookmarkEnd w:id="0"/>
    <w:p w:rsidR="0089735F" w:rsidRPr="00BE2533" w:rsidRDefault="0089735F" w:rsidP="00A51C3E">
      <w:pPr>
        <w:rPr>
          <w:sz w:val="22"/>
          <w:szCs w:val="22"/>
        </w:rPr>
      </w:pPr>
    </w:p>
    <w:sectPr w:rsidR="0089735F" w:rsidRPr="00BE25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60956A0"/>
    <w:multiLevelType w:val="hybridMultilevel"/>
    <w:tmpl w:val="02E085E8"/>
    <w:lvl w:ilvl="0" w:tplc="C0587C38">
      <w:start w:val="6"/>
      <w:numFmt w:val="bullet"/>
      <w:lvlText w:val="-"/>
      <w:lvlJc w:val="left"/>
      <w:pPr>
        <w:tabs>
          <w:tab w:val="num" w:pos="1287"/>
        </w:tabs>
        <w:ind w:left="1287" w:hanging="567"/>
      </w:pPr>
      <w:rPr>
        <w:rFonts w:ascii="Times New Roman" w:eastAsia="Times New Roman" w:hAnsi="Times New Roman" w:cs="Times New Roman"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EFA6DD1"/>
    <w:multiLevelType w:val="hybridMultilevel"/>
    <w:tmpl w:val="06C4E1A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02D85A54"/>
    <w:lvl w:ilvl="0" w:tplc="A046321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B4E79"/>
    <w:multiLevelType w:val="hybridMultilevel"/>
    <w:tmpl w:val="77A69878"/>
    <w:lvl w:ilvl="0" w:tplc="4DC26A22">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F95625"/>
    <w:multiLevelType w:val="hybridMultilevel"/>
    <w:tmpl w:val="DF2A11C6"/>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9"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5CA7126"/>
    <w:multiLevelType w:val="hybridMultilevel"/>
    <w:tmpl w:val="26FC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0CB0BB2"/>
    <w:multiLevelType w:val="hybridMultilevel"/>
    <w:tmpl w:val="D9CAC4F4"/>
    <w:lvl w:ilvl="0" w:tplc="FFFFFFFF">
      <w:start w:val="1"/>
      <w:numFmt w:val="bullet"/>
      <w:lvlText w:val="-"/>
      <w:lvlJc w:val="left"/>
      <w:pPr>
        <w:ind w:left="1440" w:hanging="360"/>
      </w:p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3"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1A417A6"/>
    <w:multiLevelType w:val="hybridMultilevel"/>
    <w:tmpl w:val="7D189B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vlJc w:val="left"/>
        <w:pPr>
          <w:ind w:left="360" w:hanging="360"/>
        </w:pPr>
        <w:rPr>
          <w:rFonts w:cs="Times New Roman"/>
        </w:rPr>
      </w:lvl>
    </w:lvlOverride>
  </w:num>
  <w:num w:numId="3">
    <w:abstractNumId w:val="8"/>
  </w:num>
  <w:num w:numId="4">
    <w:abstractNumId w:val="10"/>
  </w:num>
  <w:num w:numId="5">
    <w:abstractNumId w:val="12"/>
  </w:num>
  <w:num w:numId="6">
    <w:abstractNumId w:val="2"/>
  </w:num>
  <w:num w:numId="7">
    <w:abstractNumId w:val="13"/>
  </w:num>
  <w:num w:numId="8">
    <w:abstractNumId w:val="14"/>
  </w:num>
  <w:num w:numId="9">
    <w:abstractNumId w:val="9"/>
  </w:num>
  <w:num w:numId="10">
    <w:abstractNumId w:val="11"/>
  </w:num>
  <w:num w:numId="11">
    <w:abstractNumId w:val="6"/>
  </w:num>
  <w:num w:numId="12">
    <w:abstractNumId w:val="15"/>
  </w:num>
  <w:num w:numId="13">
    <w:abstractNumId w:val="5"/>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83"/>
    <w:rsid w:val="004D0783"/>
    <w:rsid w:val="0089735F"/>
    <w:rsid w:val="00962069"/>
    <w:rsid w:val="009C3538"/>
    <w:rsid w:val="00A51C3E"/>
    <w:rsid w:val="00BE2533"/>
    <w:rsid w:val="00D0434B"/>
    <w:rsid w:val="00D66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12C0F-39B8-4DE1-8B99-A3465E14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7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667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66761"/>
    <w:rPr>
      <w:rFonts w:ascii="Arial" w:eastAsia="Times New Roman" w:hAnsi="Arial" w:cs="Arial"/>
      <w:b/>
      <w:bCs/>
      <w:i/>
      <w:iCs/>
      <w:sz w:val="28"/>
      <w:szCs w:val="28"/>
    </w:rPr>
  </w:style>
  <w:style w:type="character" w:styleId="Hyperlink">
    <w:name w:val="Hyperlink"/>
    <w:uiPriority w:val="99"/>
    <w:semiHidden/>
    <w:unhideWhenUsed/>
    <w:rsid w:val="00D66761"/>
    <w:rPr>
      <w:color w:val="0000FF"/>
      <w:u w:val="single"/>
    </w:rPr>
  </w:style>
  <w:style w:type="paragraph" w:styleId="BodyText">
    <w:name w:val="Body Text"/>
    <w:basedOn w:val="Normal"/>
    <w:link w:val="BodyTextChar"/>
    <w:semiHidden/>
    <w:unhideWhenUsed/>
    <w:rsid w:val="00D66761"/>
    <w:pPr>
      <w:spacing w:after="120"/>
    </w:pPr>
    <w:rPr>
      <w:sz w:val="22"/>
      <w:szCs w:val="20"/>
      <w:lang w:eastAsia="lt-LT"/>
    </w:rPr>
  </w:style>
  <w:style w:type="character" w:customStyle="1" w:styleId="BodyTextChar">
    <w:name w:val="Body Text Char"/>
    <w:basedOn w:val="DefaultParagraphFont"/>
    <w:link w:val="BodyText"/>
    <w:semiHidden/>
    <w:rsid w:val="00D66761"/>
    <w:rPr>
      <w:rFonts w:ascii="Times New Roman" w:eastAsia="Times New Roman" w:hAnsi="Times New Roman" w:cs="Times New Roman"/>
      <w:szCs w:val="20"/>
      <w:lang w:eastAsia="lt-LT"/>
    </w:rPr>
  </w:style>
  <w:style w:type="paragraph" w:styleId="ListParagraph">
    <w:name w:val="List Paragraph"/>
    <w:basedOn w:val="Normal"/>
    <w:uiPriority w:val="34"/>
    <w:qFormat/>
    <w:rsid w:val="00D66761"/>
    <w:pPr>
      <w:ind w:left="720"/>
      <w:contextualSpacing/>
    </w:pPr>
  </w:style>
  <w:style w:type="paragraph" w:customStyle="1" w:styleId="PI-1EMEASMCA">
    <w:name w:val="PI-1 EMEA_SMCA"/>
    <w:basedOn w:val="Heading2"/>
    <w:autoRedefine/>
    <w:rsid w:val="00D66761"/>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link w:val="BTEMEASMCA"/>
    <w:locked/>
    <w:rsid w:val="00D66761"/>
    <w:rPr>
      <w:rFonts w:ascii="Times New Roman" w:eastAsia="Times New Roman" w:hAnsi="Times New Roman" w:cs="Times New Roman"/>
      <w:iCs/>
      <w:noProof/>
    </w:rPr>
  </w:style>
  <w:style w:type="paragraph" w:customStyle="1" w:styleId="BTEMEASMCA">
    <w:name w:val="BT EMEA_SMCA"/>
    <w:basedOn w:val="Normal"/>
    <w:link w:val="BTEMEASMCAChar"/>
    <w:autoRedefine/>
    <w:rsid w:val="00D66761"/>
    <w:rPr>
      <w:iCs/>
      <w:noProof/>
      <w:sz w:val="22"/>
      <w:szCs w:val="22"/>
    </w:rPr>
  </w:style>
  <w:style w:type="character" w:customStyle="1" w:styleId="BT-EMEASMCAChar">
    <w:name w:val="BT- EMEA_SMCA Char"/>
    <w:link w:val="BT-EMEASMCA"/>
    <w:uiPriority w:val="99"/>
    <w:locked/>
    <w:rsid w:val="00D66761"/>
    <w:rPr>
      <w:rFonts w:ascii="Times New Roman" w:eastAsia="Times New Roman" w:hAnsi="Times New Roman" w:cs="Times New Roman"/>
      <w:iCs/>
      <w:noProof/>
    </w:rPr>
  </w:style>
  <w:style w:type="paragraph" w:customStyle="1" w:styleId="BT-EMEASMCA">
    <w:name w:val="BT- EMEA_SMCA"/>
    <w:basedOn w:val="BTEMEASMCA"/>
    <w:link w:val="BT-EMEASMCAChar"/>
    <w:autoRedefine/>
    <w:uiPriority w:val="99"/>
    <w:rsid w:val="00D66761"/>
    <w:pPr>
      <w:numPr>
        <w:numId w:val="1"/>
      </w:numPr>
      <w:tabs>
        <w:tab w:val="num" w:pos="540"/>
      </w:tabs>
      <w:ind w:left="540" w:hanging="360"/>
    </w:pPr>
  </w:style>
  <w:style w:type="paragraph" w:customStyle="1" w:styleId="PI-3EMEASMCA">
    <w:name w:val="PI-3 EMEA_SMCA"/>
    <w:basedOn w:val="Normal"/>
    <w:autoRedefine/>
    <w:uiPriority w:val="99"/>
    <w:rsid w:val="00D66761"/>
    <w:pPr>
      <w:spacing w:line="220" w:lineRule="exact"/>
    </w:pPr>
    <w:rPr>
      <w:b/>
      <w:bCs/>
      <w:sz w:val="22"/>
      <w:szCs w:val="22"/>
    </w:rPr>
  </w:style>
  <w:style w:type="paragraph" w:customStyle="1" w:styleId="BTbeEMEASMCA">
    <w:name w:val="BT(be) EMEA_SMCA"/>
    <w:basedOn w:val="BTEMEASMCA"/>
    <w:autoRedefine/>
    <w:rsid w:val="00D66761"/>
    <w:pPr>
      <w:jc w:val="center"/>
    </w:pPr>
    <w:rPr>
      <w:b/>
    </w:rPr>
  </w:style>
  <w:style w:type="paragraph" w:customStyle="1" w:styleId="BTeEMEASMCA">
    <w:name w:val="BT(e) EMEA_SMCA"/>
    <w:basedOn w:val="BTEMEASMCA"/>
    <w:autoRedefine/>
    <w:rsid w:val="00D66761"/>
    <w:pPr>
      <w:jc w:val="center"/>
    </w:pPr>
  </w:style>
  <w:style w:type="paragraph" w:customStyle="1" w:styleId="DStandard">
    <w:name w:val="!DStandard"/>
    <w:rsid w:val="00D66761"/>
    <w:pPr>
      <w:spacing w:after="0" w:line="240" w:lineRule="auto"/>
    </w:pPr>
    <w:rPr>
      <w:rFonts w:ascii="Times New Roman" w:eastAsia="Times New Roman" w:hAnsi="Times New Roman" w:cs="Times New Roman"/>
      <w:sz w:val="24"/>
      <w:szCs w:val="20"/>
      <w:lang w:val="de-DE" w:eastAsia="de-DE"/>
    </w:rPr>
  </w:style>
  <w:style w:type="paragraph" w:customStyle="1" w:styleId="SPCList">
    <w:name w:val="SPC_List"/>
    <w:basedOn w:val="Normal"/>
    <w:next w:val="Normal"/>
    <w:uiPriority w:val="99"/>
    <w:rsid w:val="00D66761"/>
    <w:pPr>
      <w:ind w:left="360" w:hanging="360"/>
    </w:pPr>
    <w:rPr>
      <w:sz w:val="22"/>
      <w:szCs w:val="22"/>
      <w:lang w:val="en-GB"/>
    </w:rPr>
  </w:style>
  <w:style w:type="character" w:customStyle="1" w:styleId="hps">
    <w:name w:val="hps"/>
    <w:basedOn w:val="DefaultParagraphFont"/>
    <w:rsid w:val="00D6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47018">
      <w:bodyDiv w:val="1"/>
      <w:marLeft w:val="0"/>
      <w:marRight w:val="0"/>
      <w:marTop w:val="0"/>
      <w:marBottom w:val="0"/>
      <w:divBdr>
        <w:top w:val="none" w:sz="0" w:space="0" w:color="auto"/>
        <w:left w:val="none" w:sz="0" w:space="0" w:color="auto"/>
        <w:bottom w:val="none" w:sz="0" w:space="0" w:color="auto"/>
        <w:right w:val="none" w:sz="0" w:space="0" w:color="auto"/>
      </w:divBdr>
    </w:div>
    <w:div w:id="840973167">
      <w:bodyDiv w:val="1"/>
      <w:marLeft w:val="0"/>
      <w:marRight w:val="0"/>
      <w:marTop w:val="0"/>
      <w:marBottom w:val="0"/>
      <w:divBdr>
        <w:top w:val="none" w:sz="0" w:space="0" w:color="auto"/>
        <w:left w:val="none" w:sz="0" w:space="0" w:color="auto"/>
        <w:bottom w:val="none" w:sz="0" w:space="0" w:color="auto"/>
        <w:right w:val="none" w:sz="0" w:space="0" w:color="auto"/>
      </w:divBdr>
    </w:div>
    <w:div w:id="11620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6744</Words>
  <Characters>3845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2021-01-29T10:55:00Z</dcterms:created>
  <dcterms:modified xsi:type="dcterms:W3CDTF">2021-01-29T10:55:00Z</dcterms:modified>
</cp:coreProperties>
</file>