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39DB" w:rsidRPr="00785553" w:rsidRDefault="000A39DB" w:rsidP="000A39DB">
      <w:pPr>
        <w:tabs>
          <w:tab w:val="left" w:pos="567"/>
        </w:tabs>
        <w:spacing w:after="0" w:line="240" w:lineRule="auto"/>
        <w:jc w:val="center"/>
        <w:outlineLvl w:val="0"/>
        <w:rPr>
          <w:rFonts w:ascii="Times New Roman" w:eastAsia="Times New Roman" w:hAnsi="Times New Roman" w:cs="Times New Roman"/>
          <w:b/>
          <w:caps/>
          <w:strike/>
          <w:sz w:val="22"/>
          <w:szCs w:val="22"/>
          <w:lang w:val="lt-LT"/>
        </w:rPr>
      </w:pPr>
      <w:bookmarkStart w:id="0" w:name="_Toc129243138"/>
      <w:bookmarkStart w:id="1" w:name="_Toc129243263"/>
      <w:r w:rsidRPr="00785553">
        <w:rPr>
          <w:rFonts w:ascii="Times New Roman" w:eastAsia="Times New Roman" w:hAnsi="Times New Roman" w:cs="Times New Roman"/>
          <w:b/>
          <w:sz w:val="22"/>
          <w:szCs w:val="22"/>
          <w:lang w:val="lt-LT"/>
        </w:rPr>
        <w:t xml:space="preserve">Pakuotės lapelis: informacija </w:t>
      </w:r>
      <w:bookmarkEnd w:id="0"/>
      <w:bookmarkEnd w:id="1"/>
      <w:r>
        <w:rPr>
          <w:rFonts w:ascii="Times New Roman" w:eastAsia="Times New Roman" w:hAnsi="Times New Roman" w:cs="Times New Roman"/>
          <w:b/>
          <w:sz w:val="22"/>
          <w:szCs w:val="22"/>
          <w:lang w:val="lt-LT"/>
        </w:rPr>
        <w:t>pacientui</w:t>
      </w:r>
    </w:p>
    <w:p w:rsidR="000A39DB" w:rsidRPr="00785553" w:rsidRDefault="000A39DB" w:rsidP="000A39DB">
      <w:pPr>
        <w:spacing w:after="0" w:line="240" w:lineRule="auto"/>
        <w:jc w:val="center"/>
        <w:rPr>
          <w:rFonts w:ascii="Times New Roman" w:eastAsia="Times New Roman" w:hAnsi="Times New Roman" w:cs="Times New Roman"/>
          <w:sz w:val="22"/>
          <w:szCs w:val="22"/>
          <w:lang w:val="lt-LT"/>
        </w:rPr>
      </w:pPr>
    </w:p>
    <w:p w:rsidR="000A39DB" w:rsidRPr="00785553" w:rsidRDefault="000A39DB" w:rsidP="000A39DB">
      <w:pPr>
        <w:keepNext/>
        <w:spacing w:after="0" w:line="240" w:lineRule="auto"/>
        <w:jc w:val="center"/>
        <w:outlineLvl w:val="1"/>
        <w:rPr>
          <w:rFonts w:ascii="Times New Roman" w:eastAsia="Times New Roman" w:hAnsi="Times New Roman" w:cs="Times New Roman"/>
          <w:b/>
          <w:sz w:val="22"/>
          <w:szCs w:val="22"/>
          <w:lang w:val="lt-LT"/>
        </w:rPr>
      </w:pPr>
      <w:proofErr w:type="spellStart"/>
      <w:r w:rsidRPr="00785553">
        <w:rPr>
          <w:rFonts w:ascii="Times New Roman" w:eastAsia="Times New Roman" w:hAnsi="Times New Roman" w:cs="Times New Roman"/>
          <w:b/>
          <w:sz w:val="22"/>
          <w:szCs w:val="22"/>
          <w:lang w:val="lt-LT"/>
        </w:rPr>
        <w:t>Tobrex</w:t>
      </w:r>
      <w:proofErr w:type="spellEnd"/>
      <w:r w:rsidRPr="00785553">
        <w:rPr>
          <w:rFonts w:ascii="Times New Roman" w:eastAsia="Times New Roman" w:hAnsi="Times New Roman" w:cs="Times New Roman"/>
          <w:b/>
          <w:sz w:val="22"/>
          <w:szCs w:val="22"/>
          <w:lang w:val="lt-LT"/>
        </w:rPr>
        <w:t xml:space="preserve"> 3 mg/g akių tepalas</w:t>
      </w:r>
    </w:p>
    <w:p w:rsidR="000A39DB" w:rsidRPr="00785553" w:rsidRDefault="000A39DB" w:rsidP="000A39DB">
      <w:pPr>
        <w:spacing w:after="0" w:line="240" w:lineRule="auto"/>
        <w:jc w:val="center"/>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Tobramicinas</w:t>
      </w:r>
      <w:proofErr w:type="spellEnd"/>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Atidžiai perskaitykite visą šį lapelį, prieš pradėdami vartoti vaistą, nes jame pateikiama Jums svarbi informacija.</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Neišmeskite šio lapelio, nes vėl gali prireikti jį perskaityti.</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Jeigu kiltų daugiau klausimų, kreipkitės į gydytoją arba vaistininką.</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Šis vaistas skirtas Jums, todėl kitiems žmonėms jo duoti negalima. Vaistas gali jiems pakenkti </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(net tiems, kurių ligos simptomai yra tokie patys kaip Jūsų).</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Jeigu pasireiškė šalutinis poveikis (net jeigu jis šiame lapelyje nenurodytas), kreipkitės į</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gydytoją arba vaistininką.</w:t>
      </w:r>
      <w:r w:rsidRPr="00785553">
        <w:rPr>
          <w:rFonts w:ascii="Times New Roman" w:eastAsia="Times New Roman" w:hAnsi="Times New Roman" w:cs="Times New Roman"/>
          <w:noProof/>
          <w:snapToGrid w:val="0"/>
          <w:sz w:val="22"/>
          <w:szCs w:val="22"/>
          <w:lang w:val="lt-LT"/>
        </w:rPr>
        <w:t xml:space="preserve"> </w:t>
      </w:r>
      <w:r w:rsidRPr="00785553">
        <w:rPr>
          <w:rFonts w:ascii="Times New Roman" w:eastAsia="Times New Roman" w:hAnsi="Times New Roman" w:cs="Times New Roman"/>
          <w:sz w:val="22"/>
          <w:szCs w:val="22"/>
          <w:lang w:val="lt-LT"/>
        </w:rPr>
        <w:t>Žr. 4 skyrių.</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Apie ką rašoma šiame lapelyje?</w:t>
      </w:r>
    </w:p>
    <w:p w:rsidR="000A39DB" w:rsidRPr="00785553" w:rsidRDefault="000A39DB" w:rsidP="000A39DB">
      <w:pPr>
        <w:spacing w:after="0" w:line="240" w:lineRule="auto"/>
        <w:rPr>
          <w:rFonts w:ascii="Times New Roman" w:eastAsia="Times New Roman" w:hAnsi="Times New Roman" w:cs="Times New Roman"/>
          <w:b/>
          <w:sz w:val="22"/>
          <w:szCs w:val="22"/>
          <w:lang w:val="lt-LT"/>
        </w:rPr>
      </w:pP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1.</w:t>
      </w:r>
      <w:r w:rsidRPr="00785553">
        <w:rPr>
          <w:rFonts w:ascii="Times New Roman" w:eastAsia="Times New Roman" w:hAnsi="Times New Roman" w:cs="Times New Roman"/>
          <w:sz w:val="22"/>
          <w:szCs w:val="22"/>
          <w:lang w:val="lt-LT"/>
        </w:rPr>
        <w:tab/>
        <w:t xml:space="preserve">Kas yra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ir kam jis vartojamas</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2.</w:t>
      </w:r>
      <w:r w:rsidRPr="00785553">
        <w:rPr>
          <w:rFonts w:ascii="Times New Roman" w:eastAsia="Times New Roman" w:hAnsi="Times New Roman" w:cs="Times New Roman"/>
          <w:sz w:val="22"/>
          <w:szCs w:val="22"/>
          <w:lang w:val="lt-LT"/>
        </w:rPr>
        <w:tab/>
        <w:t xml:space="preserve">Kas žinotina prieš vartojant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3.</w:t>
      </w:r>
      <w:r w:rsidRPr="00785553">
        <w:rPr>
          <w:rFonts w:ascii="Times New Roman" w:eastAsia="Times New Roman" w:hAnsi="Times New Roman" w:cs="Times New Roman"/>
          <w:sz w:val="22"/>
          <w:szCs w:val="22"/>
          <w:lang w:val="lt-LT"/>
        </w:rPr>
        <w:tab/>
        <w:t xml:space="preserve">Kaip vartoti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4.</w:t>
      </w:r>
      <w:r w:rsidRPr="00785553">
        <w:rPr>
          <w:rFonts w:ascii="Times New Roman" w:eastAsia="Times New Roman" w:hAnsi="Times New Roman" w:cs="Times New Roman"/>
          <w:sz w:val="22"/>
          <w:szCs w:val="22"/>
          <w:lang w:val="lt-LT"/>
        </w:rPr>
        <w:tab/>
        <w:t>Galimas šalutinis poveikis</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5.</w:t>
      </w:r>
      <w:r w:rsidRPr="00785553">
        <w:rPr>
          <w:rFonts w:ascii="Times New Roman" w:eastAsia="Times New Roman" w:hAnsi="Times New Roman" w:cs="Times New Roman"/>
          <w:sz w:val="22"/>
          <w:szCs w:val="22"/>
          <w:lang w:val="lt-LT"/>
        </w:rPr>
        <w:tab/>
        <w:t xml:space="preserve">Kaip laikyti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6.</w:t>
      </w:r>
      <w:r w:rsidRPr="00785553">
        <w:rPr>
          <w:rFonts w:ascii="Times New Roman" w:eastAsia="Times New Roman" w:hAnsi="Times New Roman" w:cs="Times New Roman"/>
          <w:sz w:val="22"/>
          <w:szCs w:val="22"/>
          <w:lang w:val="lt-LT"/>
        </w:rPr>
        <w:tab/>
        <w:t>Pakuotės turinys ir kita informacija</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keepNext/>
        <w:tabs>
          <w:tab w:val="left" w:pos="567"/>
        </w:tabs>
        <w:spacing w:after="0" w:line="240" w:lineRule="auto"/>
        <w:outlineLvl w:val="1"/>
        <w:rPr>
          <w:rFonts w:ascii="Times New Roman" w:eastAsia="Times New Roman" w:hAnsi="Times New Roman" w:cs="Times New Roman"/>
          <w:b/>
          <w:sz w:val="22"/>
          <w:szCs w:val="22"/>
          <w:lang w:val="lt-LT"/>
        </w:rPr>
      </w:pPr>
      <w:bookmarkStart w:id="2" w:name="_Toc129243139"/>
      <w:bookmarkStart w:id="3" w:name="_Toc129243264"/>
    </w:p>
    <w:p w:rsidR="000A39DB" w:rsidRPr="00785553" w:rsidRDefault="000A39DB" w:rsidP="000A39DB">
      <w:pPr>
        <w:keepNext/>
        <w:tabs>
          <w:tab w:val="left" w:pos="567"/>
        </w:tabs>
        <w:spacing w:after="0" w:line="240" w:lineRule="auto"/>
        <w:outlineLvl w:val="1"/>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1.</w:t>
      </w:r>
      <w:r w:rsidRPr="00785553">
        <w:rPr>
          <w:rFonts w:ascii="Times New Roman" w:eastAsia="Times New Roman" w:hAnsi="Times New Roman" w:cs="Times New Roman"/>
          <w:b/>
          <w:sz w:val="22"/>
          <w:szCs w:val="22"/>
          <w:lang w:val="lt-LT"/>
        </w:rPr>
        <w:tab/>
        <w:t xml:space="preserve">Kas yra </w:t>
      </w:r>
      <w:proofErr w:type="spellStart"/>
      <w:r w:rsidRPr="00785553">
        <w:rPr>
          <w:rFonts w:ascii="Times New Roman" w:eastAsia="Times New Roman" w:hAnsi="Times New Roman" w:cs="Times New Roman"/>
          <w:b/>
          <w:sz w:val="22"/>
          <w:szCs w:val="22"/>
          <w:lang w:val="lt-LT"/>
        </w:rPr>
        <w:t>Tobrex</w:t>
      </w:r>
      <w:proofErr w:type="spellEnd"/>
      <w:r w:rsidRPr="00785553">
        <w:rPr>
          <w:rFonts w:ascii="Times New Roman" w:eastAsia="Times New Roman" w:hAnsi="Times New Roman" w:cs="Times New Roman"/>
          <w:b/>
          <w:sz w:val="22"/>
          <w:szCs w:val="22"/>
          <w:lang w:val="lt-LT"/>
        </w:rPr>
        <w:t xml:space="preserve"> ir kam jis vartojamas</w:t>
      </w:r>
      <w:bookmarkEnd w:id="2"/>
      <w:bookmarkEnd w:id="3"/>
    </w:p>
    <w:p w:rsidR="000A39DB" w:rsidRPr="00785553" w:rsidRDefault="000A39DB" w:rsidP="000A39DB">
      <w:pPr>
        <w:spacing w:after="0" w:line="240" w:lineRule="auto"/>
        <w:rPr>
          <w:rFonts w:ascii="Times New Roman" w:eastAsia="Times New Roman" w:hAnsi="Times New Roman" w:cs="Times New Roman"/>
          <w:b/>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tepalas vartojamas </w:t>
      </w:r>
      <w:proofErr w:type="spellStart"/>
      <w:r w:rsidRPr="00785553">
        <w:rPr>
          <w:rFonts w:ascii="Times New Roman" w:eastAsia="Times New Roman" w:hAnsi="Times New Roman" w:cs="Times New Roman"/>
          <w:sz w:val="22"/>
          <w:szCs w:val="22"/>
          <w:lang w:val="lt-LT"/>
        </w:rPr>
        <w:t>tobramicinui</w:t>
      </w:r>
      <w:proofErr w:type="spellEnd"/>
      <w:r w:rsidRPr="00785553">
        <w:rPr>
          <w:rFonts w:ascii="Times New Roman" w:eastAsia="Times New Roman" w:hAnsi="Times New Roman" w:cs="Times New Roman"/>
          <w:sz w:val="22"/>
          <w:szCs w:val="22"/>
          <w:lang w:val="lt-LT"/>
        </w:rPr>
        <w:t xml:space="preserve"> jautrių bakterijų sukeltų akies ir jos priedinių organų (vokų, junginės, ir ašarų aparato) paviršinių infekcinių ligų gydymui suaugusiems žmonėms ir 1 metų bei vyresniems vaikams</w:t>
      </w:r>
      <w:r>
        <w:rPr>
          <w:rFonts w:ascii="Times New Roman" w:eastAsia="Times New Roman" w:hAnsi="Times New Roman" w:cs="Times New Roman"/>
          <w:sz w:val="22"/>
          <w:szCs w:val="22"/>
          <w:lang w:val="lt-LT"/>
        </w:rPr>
        <w:t xml:space="preserve"> ir paaugliams</w:t>
      </w:r>
      <w:r w:rsidRPr="00785553">
        <w:rPr>
          <w:rFonts w:ascii="Times New Roman" w:eastAsia="Times New Roman" w:hAnsi="Times New Roman" w:cs="Times New Roman"/>
          <w:sz w:val="22"/>
          <w:szCs w:val="22"/>
          <w:lang w:val="lt-LT"/>
        </w:rPr>
        <w:t xml:space="preserve">. </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yra vienas iš </w:t>
      </w:r>
      <w:proofErr w:type="spellStart"/>
      <w:r w:rsidRPr="00785553">
        <w:rPr>
          <w:rFonts w:ascii="Times New Roman" w:eastAsia="Times New Roman" w:hAnsi="Times New Roman" w:cs="Times New Roman"/>
          <w:sz w:val="22"/>
          <w:szCs w:val="22"/>
          <w:lang w:val="lt-LT"/>
        </w:rPr>
        <w:t>antiinfekcinių</w:t>
      </w:r>
      <w:proofErr w:type="spellEnd"/>
      <w:r w:rsidRPr="00785553">
        <w:rPr>
          <w:rFonts w:ascii="Times New Roman" w:eastAsia="Times New Roman" w:hAnsi="Times New Roman" w:cs="Times New Roman"/>
          <w:sz w:val="22"/>
          <w:szCs w:val="22"/>
          <w:lang w:val="lt-LT"/>
        </w:rPr>
        <w:t xml:space="preserve"> vaistų.</w:t>
      </w:r>
      <w:r w:rsidRPr="00785553">
        <w:rPr>
          <w:rFonts w:ascii="Times New Roman" w:eastAsia="Times New Roman" w:hAnsi="Times New Roman" w:cs="Times New Roman"/>
          <w:b/>
          <w:sz w:val="22"/>
          <w:szCs w:val="22"/>
          <w:lang w:val="lt-LT"/>
        </w:rPr>
        <w:t xml:space="preserve"> </w:t>
      </w:r>
      <w:r w:rsidRPr="00785553">
        <w:rPr>
          <w:rFonts w:ascii="Times New Roman" w:eastAsia="Times New Roman" w:hAnsi="Times New Roman" w:cs="Times New Roman"/>
          <w:sz w:val="22"/>
          <w:szCs w:val="22"/>
          <w:lang w:val="lt-LT"/>
        </w:rPr>
        <w:t xml:space="preserve">Šiai grupei priklauso antibiotikai (iš jų ir </w:t>
      </w:r>
      <w:proofErr w:type="spellStart"/>
      <w:r w:rsidRPr="00785553">
        <w:rPr>
          <w:rFonts w:ascii="Times New Roman" w:eastAsia="Times New Roman" w:hAnsi="Times New Roman" w:cs="Times New Roman"/>
          <w:sz w:val="22"/>
          <w:szCs w:val="22"/>
          <w:lang w:val="lt-LT"/>
        </w:rPr>
        <w:t>tobramicinas</w:t>
      </w:r>
      <w:proofErr w:type="spellEnd"/>
      <w:r w:rsidRPr="00785553">
        <w:rPr>
          <w:rFonts w:ascii="Times New Roman" w:eastAsia="Times New Roman" w:hAnsi="Times New Roman" w:cs="Times New Roman"/>
          <w:sz w:val="22"/>
          <w:szCs w:val="22"/>
          <w:lang w:val="lt-LT"/>
        </w:rPr>
        <w:t>), veikiantys daugelį mikroorganizmų, galinčių sukelti akių ligas.</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keepNext/>
        <w:tabs>
          <w:tab w:val="left" w:pos="567"/>
        </w:tabs>
        <w:spacing w:after="0" w:line="240" w:lineRule="auto"/>
        <w:outlineLvl w:val="1"/>
        <w:rPr>
          <w:rFonts w:ascii="Times New Roman" w:eastAsia="Times New Roman" w:hAnsi="Times New Roman" w:cs="Times New Roman"/>
          <w:b/>
          <w:sz w:val="22"/>
          <w:szCs w:val="22"/>
          <w:lang w:val="lt-LT"/>
        </w:rPr>
      </w:pPr>
      <w:bookmarkStart w:id="4" w:name="_Toc129243140"/>
      <w:bookmarkStart w:id="5" w:name="_Toc129243265"/>
      <w:r w:rsidRPr="00785553">
        <w:rPr>
          <w:rFonts w:ascii="Times New Roman" w:eastAsia="Times New Roman" w:hAnsi="Times New Roman" w:cs="Times New Roman"/>
          <w:b/>
          <w:sz w:val="22"/>
          <w:szCs w:val="22"/>
          <w:lang w:val="lt-LT"/>
        </w:rPr>
        <w:t>2.</w:t>
      </w:r>
      <w:r w:rsidRPr="00785553">
        <w:rPr>
          <w:rFonts w:ascii="Times New Roman" w:eastAsia="Times New Roman" w:hAnsi="Times New Roman" w:cs="Times New Roman"/>
          <w:b/>
          <w:sz w:val="22"/>
          <w:szCs w:val="22"/>
          <w:lang w:val="lt-LT"/>
        </w:rPr>
        <w:tab/>
        <w:t xml:space="preserve">Kas žinotina prieš vartojant </w:t>
      </w:r>
      <w:proofErr w:type="spellStart"/>
      <w:r w:rsidRPr="00785553">
        <w:rPr>
          <w:rFonts w:ascii="Times New Roman" w:eastAsia="Times New Roman" w:hAnsi="Times New Roman" w:cs="Times New Roman"/>
          <w:b/>
          <w:sz w:val="22"/>
          <w:szCs w:val="22"/>
          <w:lang w:val="lt-LT"/>
        </w:rPr>
        <w:t>Tobrex</w:t>
      </w:r>
      <w:bookmarkEnd w:id="4"/>
      <w:bookmarkEnd w:id="5"/>
      <w:proofErr w:type="spellEnd"/>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bCs/>
          <w:sz w:val="22"/>
          <w:szCs w:val="22"/>
          <w:lang w:val="lt-LT"/>
        </w:rPr>
      </w:pPr>
      <w:proofErr w:type="spellStart"/>
      <w:r w:rsidRPr="00785553">
        <w:rPr>
          <w:rFonts w:ascii="Times New Roman" w:eastAsia="Times New Roman" w:hAnsi="Times New Roman" w:cs="Times New Roman"/>
          <w:b/>
          <w:bCs/>
          <w:sz w:val="22"/>
          <w:szCs w:val="22"/>
          <w:lang w:val="lt-LT"/>
        </w:rPr>
        <w:t>Tobrex</w:t>
      </w:r>
      <w:proofErr w:type="spellEnd"/>
      <w:r w:rsidRPr="00785553">
        <w:rPr>
          <w:rFonts w:ascii="Times New Roman" w:eastAsia="Times New Roman" w:hAnsi="Times New Roman" w:cs="Times New Roman"/>
          <w:b/>
          <w:bCs/>
          <w:sz w:val="22"/>
          <w:szCs w:val="22"/>
          <w:lang w:val="lt-LT"/>
        </w:rPr>
        <w:t xml:space="preserve"> vartoti negalima:</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jeigu yra alergija veikliajai arba bet kuriai pagalbinei šio vaisto medžiagai (jos išvardytos 6 skyriuje);</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jeigu yra padidėjęs jautrumas kitiems </w:t>
      </w:r>
      <w:proofErr w:type="spellStart"/>
      <w:r w:rsidRPr="00785553">
        <w:rPr>
          <w:rFonts w:ascii="Times New Roman" w:eastAsia="Times New Roman" w:hAnsi="Times New Roman" w:cs="Times New Roman"/>
          <w:sz w:val="22"/>
          <w:szCs w:val="22"/>
          <w:lang w:val="lt-LT"/>
        </w:rPr>
        <w:t>aminoglikozidams</w:t>
      </w:r>
      <w:proofErr w:type="spellEnd"/>
      <w:r w:rsidRPr="00785553">
        <w:rPr>
          <w:rFonts w:ascii="Times New Roman" w:eastAsia="Times New Roman" w:hAnsi="Times New Roman" w:cs="Times New Roman"/>
          <w:sz w:val="22"/>
          <w:szCs w:val="22"/>
          <w:lang w:val="lt-LT"/>
        </w:rPr>
        <w:t xml:space="preserve"> (pvz., </w:t>
      </w:r>
      <w:proofErr w:type="spellStart"/>
      <w:r w:rsidRPr="00785553">
        <w:rPr>
          <w:rFonts w:ascii="Times New Roman" w:eastAsia="Times New Roman" w:hAnsi="Times New Roman" w:cs="Times New Roman"/>
          <w:sz w:val="22"/>
          <w:szCs w:val="22"/>
          <w:lang w:val="lt-LT"/>
        </w:rPr>
        <w:t>gentamicinui</w:t>
      </w:r>
      <w:proofErr w:type="spellEnd"/>
      <w:r w:rsidRPr="00785553">
        <w:rPr>
          <w:rFonts w:ascii="Times New Roman" w:eastAsia="Times New Roman" w:hAnsi="Times New Roman" w:cs="Times New Roman"/>
          <w:sz w:val="22"/>
          <w:szCs w:val="22"/>
          <w:lang w:val="lt-LT"/>
        </w:rPr>
        <w:t>).</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Įspėjimai ir atsargumo priemonės</w:t>
      </w:r>
    </w:p>
    <w:p w:rsidR="000A39DB" w:rsidRPr="00785553" w:rsidRDefault="000A39DB" w:rsidP="000A39DB">
      <w:pPr>
        <w:numPr>
          <w:ilvl w:val="12"/>
          <w:numId w:val="0"/>
        </w:numPr>
        <w:spacing w:after="0" w:line="240" w:lineRule="auto"/>
        <w:ind w:right="-2"/>
        <w:rPr>
          <w:rFonts w:ascii="Times New Roman" w:eastAsia="Calibri" w:hAnsi="Times New Roman" w:cs="Times New Roman"/>
          <w:sz w:val="22"/>
          <w:szCs w:val="22"/>
          <w:lang w:val="lt-LT"/>
        </w:rPr>
      </w:pPr>
      <w:r w:rsidRPr="00785553">
        <w:rPr>
          <w:rFonts w:ascii="Times New Roman" w:eastAsia="Calibri" w:hAnsi="Times New Roman" w:cs="Times New Roman"/>
          <w:noProof/>
          <w:sz w:val="22"/>
          <w:szCs w:val="22"/>
          <w:lang w:val="lt-LT"/>
        </w:rPr>
        <w:t>Pasitarkite su gydytoju arba vaistininku, prieš pradėdami vartoti Tobrex.</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785553">
        <w:rPr>
          <w:rFonts w:ascii="Times New Roman" w:eastAsia="Times New Roman" w:hAnsi="Times New Roman" w:cs="Times New Roman"/>
          <w:noProof/>
          <w:sz w:val="22"/>
          <w:szCs w:val="22"/>
          <w:lang w:val="lt-LT"/>
        </w:rPr>
        <w:t xml:space="preserve">jeigu pasireiškia alerginė reakcija į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nutraukite vaisto vartojimą ir kreipkitės į </w:t>
      </w:r>
      <w:r w:rsidRPr="00785553">
        <w:rPr>
          <w:rFonts w:ascii="Times New Roman" w:eastAsia="Times New Roman" w:hAnsi="Times New Roman" w:cs="Times New Roman"/>
          <w:noProof/>
          <w:sz w:val="22"/>
          <w:szCs w:val="22"/>
          <w:lang w:val="lt-LT"/>
        </w:rPr>
        <w:t>gydytoją. Alerginė reakcija gali būti įvairi</w:t>
      </w:r>
      <w:r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noProof/>
          <w:sz w:val="22"/>
          <w:szCs w:val="22"/>
          <w:lang w:val="lt-LT"/>
        </w:rPr>
        <w:t>nuo vietinio niežėjimo ar odos paraudimo iki sunkios alerginės reakcijos (anafilasinės reakcijos) ar sunkios odos reakcijos). Tokių alerginių reakcijų gali atsirasti ir vartojant kitokių tos pačios grupės vietinio ar sisteminio poveikio antibiotikų (aminoglikozidų);</w:t>
      </w:r>
    </w:p>
    <w:p w:rsidR="000A39DB"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jeigu kartu su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tepalu vartojate kitus antibiotikus, pasitarkite su gydytoju;</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DB427E">
        <w:rPr>
          <w:rFonts w:ascii="Times New Roman" w:eastAsia="Times New Roman" w:hAnsi="Times New Roman" w:cs="Times New Roman"/>
          <w:noProof/>
          <w:sz w:val="22"/>
          <w:szCs w:val="22"/>
          <w:lang w:val="lt-LT"/>
        </w:rPr>
        <w:t xml:space="preserve">jeigu sergate </w:t>
      </w:r>
      <w:r w:rsidRPr="0065576A">
        <w:rPr>
          <w:rFonts w:ascii="Times New Roman" w:eastAsia="Times New Roman" w:hAnsi="Times New Roman" w:cs="Times New Roman"/>
          <w:noProof/>
          <w:sz w:val="22"/>
          <w:szCs w:val="22"/>
          <w:lang w:val="lt-LT"/>
        </w:rPr>
        <w:t>ligomis, kurių metu pažeidžiamos nervų raumenų jungtys, pvz., generalizuota</w:t>
      </w:r>
      <w:r w:rsidRPr="0065576A" w:rsidDel="0065576A">
        <w:rPr>
          <w:rFonts w:ascii="Times New Roman" w:eastAsia="Times New Roman" w:hAnsi="Times New Roman" w:cs="Times New Roman"/>
          <w:noProof/>
          <w:sz w:val="22"/>
          <w:szCs w:val="22"/>
          <w:lang w:val="lt-LT"/>
        </w:rPr>
        <w:t xml:space="preserve"> </w:t>
      </w:r>
      <w:r w:rsidRPr="00DB427E">
        <w:rPr>
          <w:rFonts w:ascii="Times New Roman" w:eastAsia="Times New Roman" w:hAnsi="Times New Roman" w:cs="Times New Roman"/>
          <w:noProof/>
          <w:sz w:val="22"/>
          <w:szCs w:val="22"/>
          <w:lang w:val="lt-LT"/>
        </w:rPr>
        <w:t>m</w:t>
      </w:r>
      <w:r w:rsidRPr="00DB427E">
        <w:rPr>
          <w:rFonts w:ascii="Times New Roman" w:eastAsia="Times New Roman" w:hAnsi="Times New Roman" w:cs="Times New Roman"/>
          <w:noProof/>
          <w:sz w:val="22"/>
          <w:szCs w:val="22"/>
        </w:rPr>
        <w:t xml:space="preserve">iastenija </w:t>
      </w:r>
      <w:r w:rsidRPr="00DB427E">
        <w:rPr>
          <w:rFonts w:ascii="Times New Roman" w:eastAsia="Times New Roman" w:hAnsi="Times New Roman" w:cs="Times New Roman"/>
          <w:noProof/>
          <w:sz w:val="22"/>
          <w:szCs w:val="22"/>
          <w:lang w:val="lt-LT"/>
        </w:rPr>
        <w:t xml:space="preserve">ar Parkinsono liga, pasitarkite su gydytoju. </w:t>
      </w:r>
      <w:r>
        <w:rPr>
          <w:rFonts w:ascii="Times New Roman" w:eastAsia="Times New Roman" w:hAnsi="Times New Roman" w:cs="Times New Roman"/>
          <w:noProof/>
          <w:sz w:val="22"/>
          <w:szCs w:val="22"/>
          <w:lang w:val="lt-LT"/>
        </w:rPr>
        <w:t>Aminoglikozidų grupės</w:t>
      </w:r>
      <w:r w:rsidRPr="0065576A">
        <w:rPr>
          <w:rFonts w:ascii="Times New Roman" w:eastAsia="Times New Roman" w:hAnsi="Times New Roman" w:cs="Times New Roman"/>
          <w:noProof/>
          <w:sz w:val="22"/>
          <w:szCs w:val="22"/>
          <w:lang w:val="lt-LT"/>
        </w:rPr>
        <w:t xml:space="preserve"> </w:t>
      </w:r>
      <w:r w:rsidRPr="00DB427E">
        <w:rPr>
          <w:rFonts w:ascii="Times New Roman" w:eastAsia="Times New Roman" w:hAnsi="Times New Roman" w:cs="Times New Roman"/>
          <w:noProof/>
          <w:sz w:val="22"/>
          <w:szCs w:val="22"/>
          <w:lang w:val="lt-LT"/>
        </w:rPr>
        <w:t>antibiotikai</w:t>
      </w:r>
      <w:r w:rsidRPr="0065576A">
        <w:rPr>
          <w:rFonts w:ascii="Times New Roman" w:eastAsia="Times New Roman" w:hAnsi="Times New Roman" w:cs="Times New Roman"/>
          <w:noProof/>
          <w:sz w:val="22"/>
          <w:szCs w:val="22"/>
          <w:lang w:val="lt-LT"/>
        </w:rPr>
        <w:t xml:space="preserve">, jiems priskiriamas tobramicinas, </w:t>
      </w:r>
      <w:r w:rsidRPr="00DB427E">
        <w:rPr>
          <w:rFonts w:ascii="Times New Roman" w:eastAsia="Times New Roman" w:hAnsi="Times New Roman" w:cs="Times New Roman"/>
          <w:noProof/>
          <w:sz w:val="22"/>
          <w:szCs w:val="22"/>
          <w:lang w:val="lt-LT"/>
        </w:rPr>
        <w:t>gali sustiprinti raumenų silpnumą;</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lastRenderedPageBreak/>
        <w:t xml:space="preserve">jeigu Jūsų simptomai pasunkėja ar staiga atsinaujina. Jei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vartojate ilgai, gali padidėti akies infekcijos pavojus;</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tepalai gali lėtinti akių opų gijimą.</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Esant akių infekcijai nenešiokite kontaktinių lęšių.</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
          <w:sz w:val="22"/>
          <w:szCs w:val="22"/>
          <w:lang w:val="lt-LT"/>
        </w:rPr>
        <w:t>Vaikams ir paaugliams</w:t>
      </w: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Nevartokite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tepalo vaikams iki 1 metų.</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 xml:space="preserve">Kiti vaistai ir </w:t>
      </w:r>
      <w:proofErr w:type="spellStart"/>
      <w:r w:rsidRPr="00785553">
        <w:rPr>
          <w:rFonts w:ascii="Times New Roman" w:eastAsia="Times New Roman" w:hAnsi="Times New Roman" w:cs="Times New Roman"/>
          <w:b/>
          <w:bCs/>
          <w:sz w:val="22"/>
          <w:szCs w:val="22"/>
          <w:lang w:val="lt-LT"/>
        </w:rPr>
        <w:t>Tobrex</w:t>
      </w:r>
      <w:proofErr w:type="spellEnd"/>
    </w:p>
    <w:p w:rsidR="000A39DB"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Jeigu vartojate arba neseniai vartojote kitų vaistų</w:t>
      </w:r>
      <w:r w:rsidRPr="00785553">
        <w:rPr>
          <w:rFonts w:ascii="Times New Roman" w:eastAsia="Times New Roman" w:hAnsi="Times New Roman" w:cs="Times New Roman"/>
          <w:noProof/>
          <w:snapToGrid w:val="0"/>
          <w:sz w:val="22"/>
          <w:szCs w:val="22"/>
          <w:lang w:val="lt-LT"/>
        </w:rPr>
        <w:t xml:space="preserve"> </w:t>
      </w:r>
      <w:r w:rsidRPr="00785553">
        <w:rPr>
          <w:rFonts w:ascii="Times New Roman" w:eastAsia="Times New Roman" w:hAnsi="Times New Roman" w:cs="Times New Roman"/>
          <w:sz w:val="22"/>
          <w:szCs w:val="22"/>
          <w:lang w:val="lt-LT"/>
        </w:rPr>
        <w:t>arba dėl to nesate tikri, apie tai pasakykite gydytojui arba vaistininkui.</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Vartojant kartu su kortikosteroidais, gali būti maskuojami infekcinio susirgimo požymiai.</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Kartu vartojant kitus akių vaistus tarp vienų ir kitų vartojimo reikia daryti 10–15 minučių pertrauką.</w:t>
      </w: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tepalą vartokite paskiausiai.</w:t>
      </w:r>
    </w:p>
    <w:p w:rsidR="000A39DB" w:rsidRPr="00785553" w:rsidRDefault="000A39DB" w:rsidP="000A39DB">
      <w:pPr>
        <w:spacing w:after="0" w:line="220" w:lineRule="exact"/>
        <w:rPr>
          <w:rFonts w:ascii="Times New Roman" w:eastAsia="Times New Roman" w:hAnsi="Times New Roman" w:cs="Times New Roman"/>
          <w:b/>
          <w:bCs/>
          <w:sz w:val="22"/>
          <w:szCs w:val="22"/>
          <w:lang w:val="lt-LT"/>
        </w:rPr>
      </w:pPr>
    </w:p>
    <w:p w:rsidR="000A39DB" w:rsidRPr="00785553" w:rsidRDefault="000A39DB" w:rsidP="000A39DB">
      <w:pPr>
        <w:spacing w:after="0" w:line="220" w:lineRule="exact"/>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Nėštumas ir žindymo laikotarpis</w:t>
      </w:r>
    </w:p>
    <w:p w:rsidR="000A39DB" w:rsidRPr="00785553" w:rsidRDefault="000A39DB" w:rsidP="000A39DB">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w:t>
      </w:r>
      <w:r w:rsidRPr="00785553">
        <w:rPr>
          <w:rFonts w:ascii="Times New Roman" w:eastAsia="Times New Roman" w:hAnsi="Times New Roman" w:cs="Times New Roman"/>
          <w:noProof/>
          <w:sz w:val="22"/>
          <w:szCs w:val="22"/>
          <w:lang w:val="lt-LT"/>
        </w:rPr>
        <w:t xml:space="preserve">nėščioms moterims galima vartoti tik neabejotinai būtinu atveju. </w:t>
      </w:r>
      <w:r w:rsidRPr="00785553">
        <w:rPr>
          <w:rFonts w:ascii="Times New Roman" w:eastAsia="Times New Roman" w:hAnsi="Times New Roman" w:cs="Times New Roman"/>
          <w:sz w:val="22"/>
          <w:szCs w:val="22"/>
          <w:lang w:val="lt-LT"/>
        </w:rPr>
        <w:t>Jeigu esate nėščia, žindote kūdikį, manote, kad galbūt esate nėščia arba planuojate pastoti, tai prieš vartodama šį vaistą pasitarkite su gydytoju arba vaistininku.</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Nėštumo arba žindymo laikotarpiu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tepalo nevartokite, nebent gydytojas nuspręstų, kad vaistą vartoti reikia. </w:t>
      </w:r>
      <w:r w:rsidRPr="002C3182">
        <w:rPr>
          <w:rFonts w:ascii="Times New Roman" w:eastAsia="Times New Roman" w:hAnsi="Times New Roman" w:cs="Times New Roman"/>
          <w:sz w:val="22"/>
          <w:szCs w:val="22"/>
          <w:lang w:val="lt-LT"/>
        </w:rPr>
        <w:t>P</w:t>
      </w:r>
      <w:r w:rsidRPr="00785553">
        <w:rPr>
          <w:rFonts w:ascii="Times New Roman" w:eastAsia="Times New Roman" w:hAnsi="Times New Roman" w:cs="Times New Roman"/>
          <w:sz w:val="22"/>
          <w:szCs w:val="22"/>
          <w:lang w:val="lt-LT"/>
        </w:rPr>
        <w:t>rieš vartojant bet kokį vaistą, būtina pasitarti su gydytoju arba vaistininku.</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20" w:lineRule="exact"/>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Vairavimas ir mechanizmų valdymas</w:t>
      </w:r>
    </w:p>
    <w:p w:rsidR="000A39DB" w:rsidRPr="00785553" w:rsidRDefault="000A39DB" w:rsidP="000A39DB">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tepalas neturėtų veikti gebėjimo vairuoti ir dirbti su mechanizmais. Patepus akis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trumpai gali būti neryškus matymas. Nevairuokite ir nevaldykite mechanizmų, kol matymas nepagerės.</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keepNext/>
        <w:numPr>
          <w:ilvl w:val="0"/>
          <w:numId w:val="2"/>
        </w:numPr>
        <w:tabs>
          <w:tab w:val="clear" w:pos="720"/>
        </w:tabs>
        <w:spacing w:after="0" w:line="240" w:lineRule="auto"/>
        <w:ind w:left="540" w:hanging="540"/>
        <w:outlineLvl w:val="0"/>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 xml:space="preserve">Kaip vartoti </w:t>
      </w:r>
      <w:proofErr w:type="spellStart"/>
      <w:r w:rsidRPr="00785553">
        <w:rPr>
          <w:rFonts w:ascii="Times New Roman" w:eastAsia="Times New Roman" w:hAnsi="Times New Roman" w:cs="Times New Roman"/>
          <w:b/>
          <w:sz w:val="22"/>
          <w:szCs w:val="22"/>
          <w:lang w:val="lt-LT"/>
        </w:rPr>
        <w:t>Tobrex</w:t>
      </w:r>
      <w:proofErr w:type="spellEnd"/>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Visada vartokite šį vaistą tiksliai</w:t>
      </w:r>
      <w:r>
        <w:rPr>
          <w:rFonts w:ascii="Times New Roman" w:eastAsia="Times New Roman" w:hAnsi="Times New Roman" w:cs="Times New Roman"/>
          <w:sz w:val="22"/>
          <w:szCs w:val="22"/>
          <w:lang w:val="lt-LT"/>
        </w:rPr>
        <w:t>,</w:t>
      </w:r>
      <w:r w:rsidRPr="00785553">
        <w:rPr>
          <w:rFonts w:ascii="Times New Roman" w:eastAsia="Times New Roman" w:hAnsi="Times New Roman" w:cs="Times New Roman"/>
          <w:sz w:val="22"/>
          <w:szCs w:val="22"/>
          <w:lang w:val="lt-LT"/>
        </w:rPr>
        <w:t xml:space="preserve"> kaip nurodė gydytojas. Jeigu abejojate, kreipkitės į gydytoją arba vaistininką. </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Suaugu</w:t>
      </w:r>
      <w:r>
        <w:rPr>
          <w:rFonts w:ascii="Times New Roman" w:eastAsia="Times New Roman" w:hAnsi="Times New Roman" w:cs="Times New Roman"/>
          <w:sz w:val="22"/>
          <w:szCs w:val="22"/>
          <w:lang w:val="lt-LT"/>
        </w:rPr>
        <w:t>sie</w:t>
      </w:r>
      <w:r w:rsidRPr="00785553">
        <w:rPr>
          <w:rFonts w:ascii="Times New Roman" w:eastAsia="Times New Roman" w:hAnsi="Times New Roman" w:cs="Times New Roman"/>
          <w:sz w:val="22"/>
          <w:szCs w:val="22"/>
          <w:lang w:val="lt-LT"/>
        </w:rPr>
        <w:t>siems (taip pat senyviems žmonėms) ir vyresniems nei 1 metų vaikams</w:t>
      </w:r>
      <w:r>
        <w:rPr>
          <w:rFonts w:ascii="Times New Roman" w:eastAsia="Times New Roman" w:hAnsi="Times New Roman" w:cs="Times New Roman"/>
          <w:sz w:val="22"/>
          <w:szCs w:val="22"/>
          <w:lang w:val="lt-LT"/>
        </w:rPr>
        <w:t xml:space="preserve"> ir paaugliams</w:t>
      </w:r>
      <w:r w:rsidRPr="00785553">
        <w:rPr>
          <w:rFonts w:ascii="Times New Roman" w:eastAsia="Times New Roman" w:hAnsi="Times New Roman" w:cs="Times New Roman"/>
          <w:sz w:val="22"/>
          <w:szCs w:val="22"/>
          <w:lang w:val="lt-LT"/>
        </w:rPr>
        <w:t>.</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sz w:val="22"/>
          <w:szCs w:val="22"/>
          <w:lang w:val="lt-LT"/>
        </w:rPr>
        <w:t>Įprasta dozė yra:</w:t>
      </w:r>
      <w:r w:rsidRPr="00785553">
        <w:rPr>
          <w:rFonts w:ascii="Times New Roman" w:eastAsia="Times New Roman" w:hAnsi="Times New Roman" w:cs="Times New Roman"/>
          <w:b/>
          <w:sz w:val="22"/>
          <w:szCs w:val="22"/>
          <w:lang w:val="lt-LT"/>
        </w:rPr>
        <w:t xml:space="preserve"> </w:t>
      </w:r>
      <w:r w:rsidRPr="00785553">
        <w:rPr>
          <w:rFonts w:ascii="Times New Roman" w:eastAsia="Times New Roman" w:hAnsi="Times New Roman" w:cs="Times New Roman"/>
          <w:sz w:val="22"/>
          <w:szCs w:val="22"/>
          <w:lang w:val="lt-LT"/>
        </w:rPr>
        <w:t xml:space="preserve">nedaug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tepalo (apie 1,5 cm juostelę) išspausti į nesveikos akies arba abiejų akių junginės maišelį du </w:t>
      </w:r>
      <w:r w:rsidRPr="00785553">
        <w:rPr>
          <w:rFonts w:ascii="Times New Roman" w:eastAsia="Times New Roman" w:hAnsi="Times New Roman" w:cs="Times New Roman"/>
          <w:sz w:val="22"/>
          <w:szCs w:val="22"/>
          <w:lang w:val="lt-LT"/>
        </w:rPr>
        <w:noBreakHyphen/>
        <w:t xml:space="preserve"> tris kartus per parą.</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Vartokite po tiek, jei gydytojas nenurodė kitaip. Į abi akis vartokite tik tada, jei gydytojas taip paskyrė.</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Tepalą galima vartoti kartu su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lašais: lašus – dieną, tepalą – vakare.</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Įprastinė gydymo trukmė – 7±1 diena. Gydytojas pasakys, kaip ilgai vartoti vaistą.</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Kartu vartojant kitokių akių lašų ar tepalo, tarp jų vartojimo reikia daryti mažiausiai 5 min. pertrauką. Akių tepalą reikia vartoti paskiausiai.</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galima vartoti tik ant akių.</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Vartojimas vaikams ir paaugliams</w:t>
      </w: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1 metų ir vyresniems vaikams </w:t>
      </w:r>
      <w:r>
        <w:rPr>
          <w:rFonts w:ascii="Times New Roman" w:eastAsia="Times New Roman" w:hAnsi="Times New Roman" w:cs="Times New Roman"/>
          <w:sz w:val="22"/>
          <w:szCs w:val="22"/>
          <w:lang w:val="lt-LT"/>
        </w:rPr>
        <w:t xml:space="preserve">ir paaugliams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tepalą galima vartoti tokiomis pačiomis dozėmis, kaip ir suaugusiesiems. Šio vaisto veiksmingumas ir saugumas jaunesniems kaip 1 metų vaikams nenustatytas, duomenų nėra.</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Pacientams, kurių kepenų ir inkstų funkcija sutrikusi</w:t>
      </w: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Šių pacientų gydymas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tepalu netirtas. Akims vartojamo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sisteminė absorbcija yra labai maža. Jei tuo pačiu metu gydoma </w:t>
      </w:r>
      <w:r>
        <w:rPr>
          <w:rFonts w:ascii="Times New Roman" w:eastAsia="Times New Roman" w:hAnsi="Times New Roman" w:cs="Times New Roman"/>
          <w:sz w:val="22"/>
          <w:szCs w:val="22"/>
          <w:lang w:val="lt-LT"/>
        </w:rPr>
        <w:t>sisteminio</w:t>
      </w:r>
      <w:r w:rsidRPr="00785553">
        <w:rPr>
          <w:rFonts w:ascii="Times New Roman" w:eastAsia="Times New Roman" w:hAnsi="Times New Roman" w:cs="Times New Roman"/>
          <w:sz w:val="22"/>
          <w:szCs w:val="22"/>
          <w:lang w:val="lt-LT"/>
        </w:rPr>
        <w:t xml:space="preserve"> poveikio </w:t>
      </w:r>
      <w:proofErr w:type="spellStart"/>
      <w:r w:rsidRPr="00785553">
        <w:rPr>
          <w:rFonts w:ascii="Times New Roman" w:eastAsia="Times New Roman" w:hAnsi="Times New Roman" w:cs="Times New Roman"/>
          <w:sz w:val="22"/>
          <w:szCs w:val="22"/>
          <w:lang w:val="lt-LT"/>
        </w:rPr>
        <w:t>aminoglikozidų</w:t>
      </w:r>
      <w:proofErr w:type="spellEnd"/>
      <w:r w:rsidRPr="00785553">
        <w:rPr>
          <w:rFonts w:ascii="Times New Roman" w:eastAsia="Times New Roman" w:hAnsi="Times New Roman" w:cs="Times New Roman"/>
          <w:sz w:val="22"/>
          <w:szCs w:val="22"/>
          <w:lang w:val="lt-LT"/>
        </w:rPr>
        <w:t xml:space="preserve"> grupės antibiotikais, reikėtų matuoti bendrąją jų koncentraciją serume, kad būtų galima palaikyti tinkamą gydomąją koncentraciją.</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Pasitepus akis vaistu rekomenduojama užsimerkti ir užspausti nosinį ašarų kanalą. Tai gali sumažinti vaisto absorbciją ir </w:t>
      </w:r>
      <w:r>
        <w:rPr>
          <w:rFonts w:ascii="Times New Roman" w:eastAsia="Times New Roman" w:hAnsi="Times New Roman" w:cs="Times New Roman"/>
          <w:sz w:val="22"/>
          <w:szCs w:val="22"/>
          <w:lang w:val="lt-LT"/>
        </w:rPr>
        <w:t>sisteminį</w:t>
      </w:r>
      <w:r w:rsidRPr="00785553">
        <w:rPr>
          <w:rFonts w:ascii="Times New Roman" w:eastAsia="Times New Roman" w:hAnsi="Times New Roman" w:cs="Times New Roman"/>
          <w:sz w:val="22"/>
          <w:szCs w:val="22"/>
          <w:lang w:val="lt-LT"/>
        </w:rPr>
        <w:t xml:space="preserve"> šalutinį poveikį.</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skirtas tik Jūsų akims.</w:t>
      </w:r>
    </w:p>
    <w:p w:rsidR="000A39DB" w:rsidRDefault="000A39DB" w:rsidP="000A39DB">
      <w:pPr>
        <w:spacing w:after="0" w:line="240" w:lineRule="auto"/>
        <w:rPr>
          <w:rFonts w:ascii="Times New Roman" w:eastAsia="Times New Roman" w:hAnsi="Times New Roman" w:cs="Times New Roman"/>
          <w:b/>
          <w:sz w:val="22"/>
          <w:szCs w:val="22"/>
          <w:lang w:val="lt-LT"/>
        </w:rPr>
      </w:pPr>
    </w:p>
    <w:p w:rsidR="000A39DB" w:rsidRDefault="000A39DB" w:rsidP="000A39DB">
      <w:pPr>
        <w:spacing w:after="0" w:line="240" w:lineRule="auto"/>
        <w:rPr>
          <w:rFonts w:ascii="Times New Roman" w:eastAsia="Times New Roman" w:hAnsi="Times New Roman" w:cs="Times New Roman"/>
          <w:b/>
          <w:sz w:val="22"/>
          <w:szCs w:val="22"/>
          <w:lang w:val="lt-LT"/>
        </w:rPr>
      </w:pPr>
      <w:r w:rsidRPr="008E442D">
        <w:rPr>
          <w:rFonts w:ascii="Times New Roman" w:eastAsia="Times New Roman" w:hAnsi="Times New Roman" w:cs="Times New Roman"/>
          <w:b/>
          <w:sz w:val="22"/>
          <w:szCs w:val="22"/>
          <w:lang w:val="lt-LT"/>
        </w:rPr>
        <w:t>Vartojimo metodas</w:t>
      </w:r>
    </w:p>
    <w:p w:rsidR="000A39DB" w:rsidRPr="00785553" w:rsidRDefault="000A39DB" w:rsidP="000A39DB">
      <w:pPr>
        <w:spacing w:after="0" w:line="240" w:lineRule="auto"/>
        <w:rPr>
          <w:rFonts w:ascii="Times New Roman" w:eastAsia="Times New Roman" w:hAnsi="Times New Roman" w:cs="Times New Roman"/>
          <w:b/>
          <w:sz w:val="22"/>
          <w:szCs w:val="22"/>
          <w:lang w:val="lt-LT"/>
        </w:rPr>
      </w:pP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3"/>
        <w:gridCol w:w="1170"/>
        <w:gridCol w:w="1980"/>
      </w:tblGrid>
      <w:tr w:rsidR="000A39DB" w:rsidRPr="00785553" w:rsidTr="00651428">
        <w:trPr>
          <w:trHeight w:val="1646"/>
        </w:trPr>
        <w:tc>
          <w:tcPr>
            <w:tcW w:w="1823" w:type="dxa"/>
          </w:tcPr>
          <w:p w:rsidR="000A39DB" w:rsidRPr="00785553" w:rsidRDefault="000A39DB" w:rsidP="00651428">
            <w:pPr>
              <w:numPr>
                <w:ilvl w:val="12"/>
                <w:numId w:val="0"/>
              </w:numPr>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noProof/>
                <w:sz w:val="22"/>
                <w:szCs w:val="22"/>
                <w:lang w:val="lt-LT" w:eastAsia="lt-LT"/>
              </w:rPr>
              <w:drawing>
                <wp:inline distT="0" distB="0" distL="0" distR="0" wp14:anchorId="6D6523A9" wp14:editId="5C15EF19">
                  <wp:extent cx="1597025" cy="1023620"/>
                  <wp:effectExtent l="19050" t="0" r="3175" b="0"/>
                  <wp:docPr id="1" name="Picture 1" descr="geopend o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opend oog"/>
                          <pic:cNvPicPr>
                            <a:picLocks noChangeAspect="1" noChangeArrowheads="1"/>
                          </pic:cNvPicPr>
                        </pic:nvPicPr>
                        <pic:blipFill>
                          <a:blip r:embed="rId5" cstate="print"/>
                          <a:srcRect/>
                          <a:stretch>
                            <a:fillRect/>
                          </a:stretch>
                        </pic:blipFill>
                        <pic:spPr bwMode="auto">
                          <a:xfrm>
                            <a:off x="0" y="0"/>
                            <a:ext cx="1597025" cy="1023620"/>
                          </a:xfrm>
                          <a:prstGeom prst="rect">
                            <a:avLst/>
                          </a:prstGeom>
                          <a:noFill/>
                          <a:ln w="9525">
                            <a:noFill/>
                            <a:miter lim="800000"/>
                            <a:headEnd/>
                            <a:tailEnd/>
                          </a:ln>
                        </pic:spPr>
                      </pic:pic>
                    </a:graphicData>
                  </a:graphic>
                </wp:inline>
              </w:drawing>
            </w:r>
          </w:p>
        </w:tc>
        <w:tc>
          <w:tcPr>
            <w:tcW w:w="1170" w:type="dxa"/>
            <w:tcBorders>
              <w:top w:val="nil"/>
              <w:bottom w:val="nil"/>
            </w:tcBorders>
          </w:tcPr>
          <w:p w:rsidR="000A39DB" w:rsidRPr="00785553" w:rsidRDefault="000A39DB" w:rsidP="00651428">
            <w:pPr>
              <w:numPr>
                <w:ilvl w:val="12"/>
                <w:numId w:val="0"/>
              </w:numPr>
              <w:spacing w:after="0" w:line="240" w:lineRule="auto"/>
              <w:ind w:right="-2"/>
              <w:rPr>
                <w:rFonts w:ascii="Times New Roman" w:eastAsia="Times New Roman" w:hAnsi="Times New Roman" w:cs="Times New Roman"/>
                <w:sz w:val="22"/>
                <w:szCs w:val="22"/>
                <w:lang w:val="lt-LT"/>
              </w:rPr>
            </w:pPr>
          </w:p>
        </w:tc>
        <w:tc>
          <w:tcPr>
            <w:tcW w:w="1980" w:type="dxa"/>
          </w:tcPr>
          <w:p w:rsidR="000A39DB" w:rsidRPr="00785553" w:rsidRDefault="000A39DB" w:rsidP="00651428">
            <w:pPr>
              <w:numPr>
                <w:ilvl w:val="12"/>
                <w:numId w:val="0"/>
              </w:numPr>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noProof/>
                <w:sz w:val="22"/>
                <w:szCs w:val="22"/>
                <w:lang w:val="lt-LT" w:eastAsia="lt-LT"/>
              </w:rPr>
              <w:drawing>
                <wp:inline distT="0" distB="0" distL="0" distR="0" wp14:anchorId="508270B7" wp14:editId="372B0621">
                  <wp:extent cx="1118870" cy="873760"/>
                  <wp:effectExtent l="19050" t="0" r="5080" b="0"/>
                  <wp:docPr id="2" name="Picture 2" descr="geopend oog met 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opend oog met tube"/>
                          <pic:cNvPicPr>
                            <a:picLocks noChangeAspect="1" noChangeArrowheads="1"/>
                          </pic:cNvPicPr>
                        </pic:nvPicPr>
                        <pic:blipFill>
                          <a:blip r:embed="rId6" cstate="print"/>
                          <a:srcRect/>
                          <a:stretch>
                            <a:fillRect/>
                          </a:stretch>
                        </pic:blipFill>
                        <pic:spPr bwMode="auto">
                          <a:xfrm>
                            <a:off x="0" y="0"/>
                            <a:ext cx="1118870" cy="873760"/>
                          </a:xfrm>
                          <a:prstGeom prst="rect">
                            <a:avLst/>
                          </a:prstGeom>
                          <a:noFill/>
                          <a:ln w="9525">
                            <a:noFill/>
                            <a:miter lim="800000"/>
                            <a:headEnd/>
                            <a:tailEnd/>
                          </a:ln>
                        </pic:spPr>
                      </pic:pic>
                    </a:graphicData>
                  </a:graphic>
                </wp:inline>
              </w:drawing>
            </w:r>
          </w:p>
        </w:tc>
      </w:tr>
    </w:tbl>
    <w:p w:rsidR="000A39DB" w:rsidRPr="00785553" w:rsidRDefault="000A39DB" w:rsidP="000A39DB">
      <w:pPr>
        <w:spacing w:after="0" w:line="240" w:lineRule="atLeast"/>
        <w:rPr>
          <w:rFonts w:ascii="Times New Roman" w:eastAsia="Times New Roman" w:hAnsi="Times New Roman" w:cs="Times New Roman"/>
          <w:sz w:val="22"/>
          <w:szCs w:val="22"/>
          <w:lang w:val="lt-LT"/>
        </w:rPr>
      </w:pPr>
    </w:p>
    <w:p w:rsidR="000A39DB" w:rsidRPr="00785553" w:rsidRDefault="000A39DB" w:rsidP="000A39DB">
      <w:pPr>
        <w:spacing w:after="0" w:line="240" w:lineRule="atLeast"/>
        <w:rPr>
          <w:rFonts w:ascii="Times New Roman" w:eastAsia="Times New Roman" w:hAnsi="Times New Roman" w:cs="Times New Roman"/>
          <w:b/>
          <w:sz w:val="22"/>
          <w:szCs w:val="22"/>
          <w:lang w:val="lt-LT"/>
        </w:rPr>
      </w:pP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t>1</w:t>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t>2</w:t>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r>
      <w:r w:rsidRPr="00785553">
        <w:rPr>
          <w:rFonts w:ascii="Times New Roman" w:eastAsia="Times New Roman" w:hAnsi="Times New Roman" w:cs="Times New Roman"/>
          <w:sz w:val="22"/>
          <w:szCs w:val="22"/>
          <w:lang w:val="lt-LT"/>
        </w:rPr>
        <w:tab/>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Paimkite </w:t>
      </w: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tūbelę ir veidrodėlį.</w:t>
      </w: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Nusiplaukite rankas.</w:t>
      </w: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Atsukite tūbelės dangtelį.</w:t>
      </w: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Laikykite tūbelę nykščiu ir smiliumi.</w:t>
      </w: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Atloškite galvą. Kitos rankos smiliumi atsargiai patraukite žemyn apatinį akies voką, kad tarp jo ir akies obuolio susidarytų „kišenėlė“ (1 pav.).</w:t>
      </w: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Prikiškite tūbelės snapelį netoli akies. Naudokitės veidrodžiu, jei taip lengviau.</w:t>
      </w: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Nelieskite tūbelės galu akies, voko ar kito paviršiaus, kad neužterštumėte tepalo.</w:t>
      </w: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Lengvai paspauskite tūbelę, kad šiek tiek tepalo patektų į „kišenėlę“ tarp akies ir apatinio voko (2 pav.).</w:t>
      </w: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Atleiskite apatinį voką ir keletą kartų pamirksėkite, kad tepalas pasklistų po visą akį. Kelioms sekundėms užsimerkite, kad mažiau vaisto absorbuotųsi į organizmą.</w:t>
      </w: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Jei reikia, tokiu pačiu būdu patepkite kitą akį. </w:t>
      </w:r>
    </w:p>
    <w:p w:rsidR="000A39DB" w:rsidRPr="00785553" w:rsidRDefault="000A39DB" w:rsidP="000A39DB">
      <w:pPr>
        <w:numPr>
          <w:ilvl w:val="0"/>
          <w:numId w:val="1"/>
        </w:numPr>
        <w:tabs>
          <w:tab w:val="clear" w:pos="360"/>
          <w:tab w:val="num" w:pos="0"/>
        </w:tabs>
        <w:spacing w:after="0" w:line="240" w:lineRule="auto"/>
        <w:ind w:left="567" w:hanging="567"/>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Uždėkite ir sandariai užsukite tūbelės dangtelį.</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 nepataikėte patepti tepalo į akį, bandykite dar kartą.</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20" w:lineRule="exact"/>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 xml:space="preserve">Ką daryti pavartojus per didelę </w:t>
      </w:r>
      <w:proofErr w:type="spellStart"/>
      <w:r w:rsidRPr="00785553">
        <w:rPr>
          <w:rFonts w:ascii="Times New Roman" w:eastAsia="Times New Roman" w:hAnsi="Times New Roman" w:cs="Times New Roman"/>
          <w:b/>
          <w:bCs/>
          <w:sz w:val="22"/>
          <w:szCs w:val="22"/>
          <w:lang w:val="lt-LT"/>
        </w:rPr>
        <w:t>Tobrex</w:t>
      </w:r>
      <w:proofErr w:type="spellEnd"/>
      <w:r w:rsidRPr="00785553">
        <w:rPr>
          <w:rFonts w:ascii="Times New Roman" w:eastAsia="Times New Roman" w:hAnsi="Times New Roman" w:cs="Times New Roman"/>
          <w:b/>
          <w:bCs/>
          <w:sz w:val="22"/>
          <w:szCs w:val="22"/>
          <w:lang w:val="lt-LT"/>
        </w:rPr>
        <w:t xml:space="preserve"> dozę?</w:t>
      </w:r>
    </w:p>
    <w:p w:rsidR="000A39DB" w:rsidRPr="00785553" w:rsidRDefault="000A39DB" w:rsidP="000A39DB">
      <w:pPr>
        <w:spacing w:after="0" w:line="240" w:lineRule="auto"/>
        <w:jc w:val="both"/>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akių tepalo perteklių iš akies (akių) galima išplauti drungnu vandeniu. Daugiau vaisto netepkite, kol ateis laikas vartoti vėl.</w:t>
      </w:r>
    </w:p>
    <w:p w:rsidR="000A39DB" w:rsidRPr="00785553" w:rsidRDefault="000A39DB" w:rsidP="000A39DB">
      <w:pPr>
        <w:spacing w:after="0" w:line="220" w:lineRule="exact"/>
        <w:rPr>
          <w:rFonts w:ascii="Times New Roman" w:eastAsia="Times New Roman" w:hAnsi="Times New Roman" w:cs="Times New Roman"/>
          <w:b/>
          <w:bCs/>
          <w:sz w:val="22"/>
          <w:szCs w:val="22"/>
          <w:lang w:val="lt-LT"/>
        </w:rPr>
      </w:pPr>
    </w:p>
    <w:p w:rsidR="000A39DB" w:rsidRPr="00785553" w:rsidRDefault="000A39DB" w:rsidP="000A39DB">
      <w:pPr>
        <w:spacing w:after="0" w:line="220" w:lineRule="exact"/>
        <w:rPr>
          <w:rFonts w:ascii="Times New Roman" w:eastAsia="Times New Roman" w:hAnsi="Times New Roman" w:cs="Times New Roman"/>
          <w:b/>
          <w:bCs/>
          <w:sz w:val="22"/>
          <w:szCs w:val="22"/>
          <w:lang w:val="lt-LT"/>
        </w:rPr>
      </w:pPr>
      <w:r w:rsidRPr="00785553">
        <w:rPr>
          <w:rFonts w:ascii="Times New Roman" w:eastAsia="Times New Roman" w:hAnsi="Times New Roman" w:cs="Times New Roman"/>
          <w:b/>
          <w:bCs/>
          <w:sz w:val="22"/>
          <w:szCs w:val="22"/>
          <w:lang w:val="lt-LT"/>
        </w:rPr>
        <w:t xml:space="preserve">Pamiršus pavartoti </w:t>
      </w:r>
      <w:proofErr w:type="spellStart"/>
      <w:r w:rsidRPr="00785553">
        <w:rPr>
          <w:rFonts w:ascii="Times New Roman" w:eastAsia="Times New Roman" w:hAnsi="Times New Roman" w:cs="Times New Roman"/>
          <w:b/>
          <w:bCs/>
          <w:sz w:val="22"/>
          <w:szCs w:val="22"/>
          <w:lang w:val="lt-LT"/>
        </w:rPr>
        <w:t>Tobrex</w:t>
      </w:r>
      <w:proofErr w:type="spellEnd"/>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lastRenderedPageBreak/>
        <w:t>Pasitepkite, kai tik prisiminsite. Jei beveik atėjęs laikas vartoti vaistą kitą kartą, praleiskite užmirštąją dozę ir toliau vartokite įprastu laiku. Negalima vartoti dvigubos dozės norint kompensuoti praleistą dozę.</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 xml:space="preserve">Nustojus vartoti </w:t>
      </w:r>
      <w:proofErr w:type="spellStart"/>
      <w:r w:rsidRPr="00785553">
        <w:rPr>
          <w:rFonts w:ascii="Times New Roman" w:eastAsia="Times New Roman" w:hAnsi="Times New Roman" w:cs="Times New Roman"/>
          <w:b/>
          <w:sz w:val="22"/>
          <w:szCs w:val="22"/>
          <w:lang w:val="lt-LT"/>
        </w:rPr>
        <w:t>Tobrex</w:t>
      </w:r>
      <w:proofErr w:type="spellEnd"/>
    </w:p>
    <w:p w:rsidR="000A39DB" w:rsidRPr="00785553" w:rsidRDefault="000A39DB" w:rsidP="000A39DB">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sz w:val="22"/>
          <w:szCs w:val="22"/>
          <w:lang w:val="lt-LT"/>
        </w:rPr>
        <w:t>Jeigu kiltų daugiau klausimų dėl šio vaisto vartojimo, kreipkitės į gydytoją arba vaistininką.</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keepNext/>
        <w:tabs>
          <w:tab w:val="left" w:pos="567"/>
        </w:tabs>
        <w:spacing w:after="0" w:line="240" w:lineRule="auto"/>
        <w:outlineLvl w:val="1"/>
        <w:rPr>
          <w:rFonts w:ascii="Times New Roman" w:eastAsia="Times New Roman" w:hAnsi="Times New Roman" w:cs="Times New Roman"/>
          <w:b/>
          <w:sz w:val="22"/>
          <w:szCs w:val="22"/>
          <w:lang w:val="lt-LT"/>
        </w:rPr>
      </w:pPr>
      <w:bookmarkStart w:id="6" w:name="_Toc129243142"/>
      <w:bookmarkStart w:id="7" w:name="_Toc129243267"/>
      <w:r w:rsidRPr="00785553">
        <w:rPr>
          <w:rFonts w:ascii="Times New Roman" w:eastAsia="Times New Roman" w:hAnsi="Times New Roman" w:cs="Times New Roman"/>
          <w:b/>
          <w:sz w:val="22"/>
          <w:szCs w:val="22"/>
          <w:lang w:val="lt-LT"/>
        </w:rPr>
        <w:t>4.</w:t>
      </w:r>
      <w:r w:rsidRPr="00785553">
        <w:rPr>
          <w:rFonts w:ascii="Times New Roman" w:eastAsia="Times New Roman" w:hAnsi="Times New Roman" w:cs="Times New Roman"/>
          <w:b/>
          <w:sz w:val="22"/>
          <w:szCs w:val="22"/>
          <w:lang w:val="lt-LT"/>
        </w:rPr>
        <w:tab/>
        <w:t>Galimas šalutinis poveikis</w:t>
      </w:r>
      <w:bookmarkEnd w:id="6"/>
      <w:bookmarkEnd w:id="7"/>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Šis vaistas, kaip ir visi kiti, gali sukelti šalutinį poveikį, nors jis pasireiškia ne visiems žmonėms.</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785553" w:rsidRDefault="000A39DB" w:rsidP="000A39DB">
      <w:pPr>
        <w:autoSpaceDE w:val="0"/>
        <w:autoSpaceDN w:val="0"/>
        <w:adjustRightInd w:val="0"/>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Toliau išvardyti šalutiniai poveikiai pastebėti vartojant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 xml:space="preserve"> akių tepalą: </w:t>
      </w:r>
    </w:p>
    <w:p w:rsidR="000A39DB" w:rsidRPr="00785553" w:rsidRDefault="000A39DB" w:rsidP="000A39DB">
      <w:pPr>
        <w:tabs>
          <w:tab w:val="left" w:pos="567"/>
        </w:tabs>
        <w:spacing w:after="0" w:line="240" w:lineRule="auto"/>
        <w:rPr>
          <w:rFonts w:ascii="Times New Roman" w:eastAsia="Times New Roman" w:hAnsi="Times New Roman" w:cs="Times New Roman"/>
          <w:i/>
          <w:sz w:val="22"/>
          <w:szCs w:val="22"/>
          <w:lang w:val="lt-LT"/>
        </w:rPr>
      </w:pPr>
    </w:p>
    <w:p w:rsidR="000A39DB" w:rsidRPr="00A50B49" w:rsidRDefault="000A39DB" w:rsidP="000A39DB">
      <w:pPr>
        <w:tabs>
          <w:tab w:val="left" w:pos="567"/>
        </w:tabs>
        <w:spacing w:after="0" w:line="240" w:lineRule="auto"/>
        <w:rPr>
          <w:rFonts w:ascii="Times New Roman" w:eastAsia="Times New Roman" w:hAnsi="Times New Roman" w:cs="Times New Roman"/>
          <w:b/>
          <w:bCs/>
          <w:iCs/>
          <w:sz w:val="22"/>
          <w:szCs w:val="22"/>
          <w:lang w:val="lt-LT"/>
        </w:rPr>
      </w:pPr>
      <w:r w:rsidRPr="00A50B49">
        <w:rPr>
          <w:rFonts w:ascii="Times New Roman" w:eastAsia="Times New Roman" w:hAnsi="Times New Roman" w:cs="Times New Roman"/>
          <w:b/>
          <w:bCs/>
          <w:iCs/>
          <w:sz w:val="22"/>
          <w:szCs w:val="22"/>
          <w:lang w:val="lt-LT"/>
        </w:rPr>
        <w:t>Dažni šalutini</w:t>
      </w:r>
      <w:r>
        <w:rPr>
          <w:rFonts w:ascii="Times New Roman" w:eastAsia="Times New Roman" w:hAnsi="Times New Roman" w:cs="Times New Roman"/>
          <w:b/>
          <w:bCs/>
          <w:iCs/>
          <w:sz w:val="22"/>
          <w:szCs w:val="22"/>
          <w:lang w:val="lt-LT"/>
        </w:rPr>
        <w:t>o</w:t>
      </w:r>
      <w:r w:rsidRPr="00A50B49">
        <w:rPr>
          <w:rFonts w:ascii="Times New Roman" w:eastAsia="Times New Roman" w:hAnsi="Times New Roman" w:cs="Times New Roman"/>
          <w:b/>
          <w:bCs/>
          <w:iCs/>
          <w:sz w:val="22"/>
          <w:szCs w:val="22"/>
          <w:lang w:val="lt-LT"/>
        </w:rPr>
        <w:t xml:space="preserve"> poveiki</w:t>
      </w:r>
      <w:r>
        <w:rPr>
          <w:rFonts w:ascii="Times New Roman" w:eastAsia="Times New Roman" w:hAnsi="Times New Roman" w:cs="Times New Roman"/>
          <w:b/>
          <w:bCs/>
          <w:iCs/>
          <w:sz w:val="22"/>
          <w:szCs w:val="22"/>
          <w:lang w:val="lt-LT"/>
        </w:rPr>
        <w:t>o reiškiniai</w:t>
      </w:r>
      <w:r w:rsidRPr="00A50B49">
        <w:rPr>
          <w:rFonts w:ascii="Times New Roman" w:eastAsia="Times New Roman" w:hAnsi="Times New Roman" w:cs="Times New Roman"/>
          <w:b/>
          <w:bCs/>
          <w:iCs/>
          <w:sz w:val="22"/>
          <w:szCs w:val="22"/>
          <w:lang w:val="lt-LT"/>
        </w:rPr>
        <w:t xml:space="preserve"> (gali pasireikšti </w:t>
      </w:r>
      <w:r>
        <w:rPr>
          <w:rFonts w:ascii="Times New Roman" w:eastAsia="Times New Roman" w:hAnsi="Times New Roman" w:cs="Times New Roman"/>
          <w:b/>
          <w:bCs/>
          <w:iCs/>
          <w:sz w:val="22"/>
          <w:szCs w:val="22"/>
          <w:lang w:val="lt-LT"/>
        </w:rPr>
        <w:t xml:space="preserve">rečiau kaip </w:t>
      </w:r>
      <w:r w:rsidRPr="00A50B49">
        <w:rPr>
          <w:rFonts w:ascii="Times New Roman" w:eastAsia="Times New Roman" w:hAnsi="Times New Roman" w:cs="Times New Roman"/>
          <w:b/>
          <w:bCs/>
          <w:iCs/>
          <w:sz w:val="22"/>
          <w:szCs w:val="22"/>
          <w:lang w:val="lt-LT"/>
        </w:rPr>
        <w:t>1 iki 10</w:t>
      </w:r>
      <w:r>
        <w:rPr>
          <w:rFonts w:ascii="Times New Roman" w:eastAsia="Times New Roman" w:hAnsi="Times New Roman" w:cs="Times New Roman"/>
          <w:b/>
          <w:bCs/>
          <w:iCs/>
          <w:sz w:val="22"/>
          <w:szCs w:val="22"/>
          <w:lang w:val="lt-LT"/>
        </w:rPr>
        <w:t xml:space="preserve"> asmenų</w:t>
      </w:r>
      <w:r w:rsidRPr="00A50B49">
        <w:rPr>
          <w:rFonts w:ascii="Times New Roman" w:eastAsia="Times New Roman" w:hAnsi="Times New Roman" w:cs="Times New Roman"/>
          <w:b/>
          <w:bCs/>
          <w:iCs/>
          <w:sz w:val="22"/>
          <w:szCs w:val="22"/>
          <w:lang w:val="lt-LT"/>
        </w:rPr>
        <w:t>)</w:t>
      </w:r>
      <w:r>
        <w:rPr>
          <w:rFonts w:ascii="Times New Roman" w:eastAsia="Times New Roman" w:hAnsi="Times New Roman" w:cs="Times New Roman"/>
          <w:b/>
          <w:bCs/>
          <w:iCs/>
          <w:sz w:val="22"/>
          <w:szCs w:val="22"/>
          <w:lang w:val="lt-LT"/>
        </w:rPr>
        <w:t>:</w:t>
      </w:r>
    </w:p>
    <w:p w:rsidR="000A39DB" w:rsidRPr="00785553" w:rsidRDefault="000A39DB" w:rsidP="000A39DB">
      <w:pPr>
        <w:widowControl w:val="0"/>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sutrikimai: akies diskomfortas, akies paraudimas.</w:t>
      </w:r>
    </w:p>
    <w:p w:rsidR="000A39DB" w:rsidRPr="00785553" w:rsidRDefault="000A39DB" w:rsidP="000A39DB">
      <w:pPr>
        <w:widowControl w:val="0"/>
        <w:spacing w:after="0" w:line="240" w:lineRule="auto"/>
        <w:ind w:right="-2"/>
        <w:rPr>
          <w:rFonts w:ascii="Times New Roman" w:eastAsia="Times New Roman" w:hAnsi="Times New Roman" w:cs="Times New Roman"/>
          <w:i/>
          <w:sz w:val="22"/>
          <w:szCs w:val="22"/>
          <w:lang w:val="lt-LT"/>
        </w:rPr>
      </w:pPr>
    </w:p>
    <w:p w:rsidR="000A39DB" w:rsidRPr="00A50B49" w:rsidRDefault="000A39DB" w:rsidP="000A39DB">
      <w:pPr>
        <w:widowControl w:val="0"/>
        <w:spacing w:after="0" w:line="240" w:lineRule="auto"/>
        <w:ind w:right="-2"/>
        <w:rPr>
          <w:rFonts w:ascii="Times New Roman" w:eastAsia="Times New Roman" w:hAnsi="Times New Roman" w:cs="Times New Roman"/>
          <w:b/>
          <w:bCs/>
          <w:iCs/>
          <w:sz w:val="22"/>
          <w:szCs w:val="22"/>
          <w:lang w:val="lt-LT"/>
        </w:rPr>
      </w:pPr>
      <w:r w:rsidRPr="00A50B49">
        <w:rPr>
          <w:rFonts w:ascii="Times New Roman" w:eastAsia="Times New Roman" w:hAnsi="Times New Roman" w:cs="Times New Roman"/>
          <w:b/>
          <w:bCs/>
          <w:iCs/>
          <w:sz w:val="22"/>
          <w:szCs w:val="22"/>
          <w:lang w:val="lt-LT"/>
        </w:rPr>
        <w:t>Nedažni šalutini</w:t>
      </w:r>
      <w:r>
        <w:rPr>
          <w:rFonts w:ascii="Times New Roman" w:eastAsia="Times New Roman" w:hAnsi="Times New Roman" w:cs="Times New Roman"/>
          <w:b/>
          <w:bCs/>
          <w:iCs/>
          <w:sz w:val="22"/>
          <w:szCs w:val="22"/>
          <w:lang w:val="lt-LT"/>
        </w:rPr>
        <w:t>o</w:t>
      </w:r>
      <w:r w:rsidRPr="00A50B49">
        <w:rPr>
          <w:rFonts w:ascii="Times New Roman" w:eastAsia="Times New Roman" w:hAnsi="Times New Roman" w:cs="Times New Roman"/>
          <w:b/>
          <w:bCs/>
          <w:iCs/>
          <w:sz w:val="22"/>
          <w:szCs w:val="22"/>
          <w:lang w:val="lt-LT"/>
        </w:rPr>
        <w:t xml:space="preserve"> poveiki</w:t>
      </w:r>
      <w:r>
        <w:rPr>
          <w:rFonts w:ascii="Times New Roman" w:eastAsia="Times New Roman" w:hAnsi="Times New Roman" w:cs="Times New Roman"/>
          <w:b/>
          <w:bCs/>
          <w:iCs/>
          <w:sz w:val="22"/>
          <w:szCs w:val="22"/>
          <w:lang w:val="lt-LT"/>
        </w:rPr>
        <w:t>o reiškiniai</w:t>
      </w:r>
      <w:r w:rsidRPr="00A50B49">
        <w:rPr>
          <w:rFonts w:ascii="Times New Roman" w:eastAsia="Times New Roman" w:hAnsi="Times New Roman" w:cs="Times New Roman"/>
          <w:b/>
          <w:bCs/>
          <w:iCs/>
          <w:sz w:val="22"/>
          <w:szCs w:val="22"/>
          <w:lang w:val="lt-LT"/>
        </w:rPr>
        <w:t xml:space="preserve"> (gali pasireikšti </w:t>
      </w:r>
      <w:r>
        <w:rPr>
          <w:rFonts w:ascii="Times New Roman" w:eastAsia="Times New Roman" w:hAnsi="Times New Roman" w:cs="Times New Roman"/>
          <w:b/>
          <w:bCs/>
          <w:iCs/>
          <w:sz w:val="22"/>
          <w:szCs w:val="22"/>
          <w:lang w:val="lt-LT"/>
        </w:rPr>
        <w:t>rečiau kaip</w:t>
      </w:r>
      <w:r w:rsidRPr="00A50B49">
        <w:rPr>
          <w:rFonts w:ascii="Times New Roman" w:eastAsia="Times New Roman" w:hAnsi="Times New Roman" w:cs="Times New Roman"/>
          <w:b/>
          <w:bCs/>
          <w:iCs/>
          <w:sz w:val="22"/>
          <w:szCs w:val="22"/>
          <w:lang w:val="lt-LT"/>
        </w:rPr>
        <w:t xml:space="preserve"> 1 iki 10</w:t>
      </w:r>
      <w:r>
        <w:rPr>
          <w:rFonts w:ascii="Times New Roman" w:eastAsia="Times New Roman" w:hAnsi="Times New Roman" w:cs="Times New Roman"/>
          <w:b/>
          <w:bCs/>
          <w:iCs/>
          <w:sz w:val="22"/>
          <w:szCs w:val="22"/>
          <w:lang w:val="lt-LT"/>
        </w:rPr>
        <w:t>0 asmenų</w:t>
      </w:r>
      <w:r w:rsidRPr="00A50B49">
        <w:rPr>
          <w:rFonts w:ascii="Times New Roman" w:eastAsia="Times New Roman" w:hAnsi="Times New Roman" w:cs="Times New Roman"/>
          <w:b/>
          <w:bCs/>
          <w:iCs/>
          <w:sz w:val="22"/>
          <w:szCs w:val="22"/>
          <w:lang w:val="lt-LT"/>
        </w:rPr>
        <w:t>):</w:t>
      </w:r>
    </w:p>
    <w:p w:rsidR="000A39DB" w:rsidRDefault="000A39DB" w:rsidP="000A39DB">
      <w:pPr>
        <w:widowControl w:val="0"/>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sutrikimai: akies paviršiaus uždegimas, ragenos pažeidimas, regėjimo pablogėjimas, neryškus matymas, voko paraudimas, akies ir voko patinimas, akies skausmas, akies sausumas, išskyros iš akies, akies niežėjimas, padidėjusi ašarų gamyba.</w:t>
      </w:r>
    </w:p>
    <w:p w:rsidR="000A39DB" w:rsidRPr="00785553" w:rsidRDefault="000A39DB" w:rsidP="000A39DB">
      <w:pPr>
        <w:widowControl w:val="0"/>
        <w:spacing w:after="0" w:line="240" w:lineRule="auto"/>
        <w:ind w:right="-2"/>
        <w:rPr>
          <w:rFonts w:ascii="Times New Roman" w:eastAsia="Times New Roman" w:hAnsi="Times New Roman" w:cs="Times New Roman"/>
          <w:sz w:val="22"/>
          <w:szCs w:val="22"/>
          <w:lang w:val="lt-LT"/>
        </w:rPr>
      </w:pPr>
    </w:p>
    <w:p w:rsidR="000A39DB" w:rsidRPr="00785553" w:rsidRDefault="000A39DB" w:rsidP="000A39DB">
      <w:pPr>
        <w:widowControl w:val="0"/>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Bendrieji sutrikimai: alergija (padidėjęs jautrumas), galvos skausmas, dilgėlinė, odos uždegimas, sumažėjęs blakstienų augimas arba jų skaičius, odos pigmentacijos išnykimas, niežėjimas ir odos sausumas.</w:t>
      </w:r>
    </w:p>
    <w:p w:rsidR="000A39DB" w:rsidRPr="00785553" w:rsidRDefault="000A39DB" w:rsidP="000A39DB">
      <w:pPr>
        <w:widowControl w:val="0"/>
        <w:autoSpaceDE w:val="0"/>
        <w:autoSpaceDN w:val="0"/>
        <w:adjustRightInd w:val="0"/>
        <w:spacing w:after="0" w:line="240" w:lineRule="auto"/>
        <w:rPr>
          <w:rFonts w:ascii="Times New Roman" w:eastAsia="Times New Roman" w:hAnsi="Times New Roman" w:cs="Times New Roman"/>
          <w:i/>
          <w:sz w:val="22"/>
          <w:szCs w:val="22"/>
          <w:lang w:val="lt-LT"/>
        </w:rPr>
      </w:pPr>
    </w:p>
    <w:p w:rsidR="000A39DB" w:rsidRPr="00A50B49" w:rsidRDefault="000A39DB" w:rsidP="000A39DB">
      <w:pPr>
        <w:widowControl w:val="0"/>
        <w:autoSpaceDE w:val="0"/>
        <w:autoSpaceDN w:val="0"/>
        <w:adjustRightInd w:val="0"/>
        <w:spacing w:after="0" w:line="240" w:lineRule="auto"/>
        <w:rPr>
          <w:rFonts w:ascii="Times New Roman" w:eastAsia="Times New Roman" w:hAnsi="Times New Roman" w:cs="Times New Roman"/>
          <w:b/>
          <w:bCs/>
          <w:iCs/>
          <w:sz w:val="22"/>
          <w:szCs w:val="22"/>
          <w:lang w:val="lt-LT"/>
        </w:rPr>
      </w:pPr>
      <w:r>
        <w:rPr>
          <w:rFonts w:ascii="Times New Roman" w:eastAsia="Times New Roman" w:hAnsi="Times New Roman" w:cs="Times New Roman"/>
          <w:b/>
          <w:bCs/>
          <w:iCs/>
          <w:sz w:val="22"/>
          <w:szCs w:val="22"/>
          <w:lang w:val="lt-LT"/>
        </w:rPr>
        <w:t>Šalutinio poveikio reiškiniai, kurių d</w:t>
      </w:r>
      <w:r w:rsidRPr="00A50B49">
        <w:rPr>
          <w:rFonts w:ascii="Times New Roman" w:eastAsia="Times New Roman" w:hAnsi="Times New Roman" w:cs="Times New Roman"/>
          <w:b/>
          <w:bCs/>
          <w:iCs/>
          <w:sz w:val="22"/>
          <w:szCs w:val="22"/>
          <w:lang w:val="lt-LT"/>
        </w:rPr>
        <w:t>ažnis nežinomas (</w:t>
      </w:r>
      <w:r w:rsidRPr="00A50B49">
        <w:rPr>
          <w:rFonts w:ascii="Times New Roman" w:eastAsia="Times New Roman" w:hAnsi="Times New Roman" w:cs="Times New Roman"/>
          <w:b/>
          <w:bCs/>
          <w:iCs/>
          <w:spacing w:val="-3"/>
          <w:sz w:val="22"/>
          <w:szCs w:val="22"/>
          <w:lang w:val="lt-LT"/>
        </w:rPr>
        <w:t>negali būti apskaičiuotas pagal turimus duomenis</w:t>
      </w:r>
      <w:r w:rsidRPr="00A50B49">
        <w:rPr>
          <w:rFonts w:ascii="Times New Roman" w:eastAsia="Times New Roman" w:hAnsi="Times New Roman" w:cs="Times New Roman"/>
          <w:b/>
          <w:bCs/>
          <w:iCs/>
          <w:sz w:val="22"/>
          <w:szCs w:val="22"/>
          <w:lang w:val="lt-LT"/>
        </w:rPr>
        <w:t>):</w:t>
      </w:r>
    </w:p>
    <w:p w:rsidR="000A39DB" w:rsidRDefault="000A39DB" w:rsidP="000A39DB">
      <w:pPr>
        <w:widowControl w:val="0"/>
        <w:spacing w:after="0" w:line="240" w:lineRule="auto"/>
        <w:ind w:right="-2"/>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Akių sutrikimai: akies alergija, akies sudirginimas, voko niežėjimas.</w:t>
      </w:r>
    </w:p>
    <w:p w:rsidR="000A39DB" w:rsidRPr="00785553" w:rsidRDefault="000A39DB" w:rsidP="000A39DB">
      <w:pPr>
        <w:widowControl w:val="0"/>
        <w:spacing w:after="0" w:line="240" w:lineRule="auto"/>
        <w:ind w:right="-2"/>
        <w:rPr>
          <w:rFonts w:ascii="Times New Roman" w:eastAsia="Times New Roman" w:hAnsi="Times New Roman" w:cs="Times New Roman"/>
          <w:sz w:val="22"/>
          <w:szCs w:val="22"/>
          <w:lang w:val="lt-LT"/>
        </w:rPr>
      </w:pPr>
    </w:p>
    <w:p w:rsidR="000A39DB" w:rsidRPr="00785553" w:rsidRDefault="000A39DB" w:rsidP="000A39DB">
      <w:pPr>
        <w:widowControl w:val="0"/>
        <w:numPr>
          <w:ilvl w:val="12"/>
          <w:numId w:val="0"/>
        </w:numPr>
        <w:suppressAutoHyphens/>
        <w:spacing w:after="0" w:line="240" w:lineRule="auto"/>
        <w:ind w:right="-29"/>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Bendrieji sutrikimai: sunki alerginė reakcija, sunkios odos reakcijos (</w:t>
      </w:r>
      <w:proofErr w:type="spellStart"/>
      <w:r w:rsidRPr="00785553">
        <w:rPr>
          <w:rFonts w:ascii="Times New Roman" w:eastAsia="Times New Roman" w:hAnsi="Times New Roman" w:cs="Times New Roman"/>
          <w:sz w:val="22"/>
          <w:szCs w:val="22"/>
          <w:lang w:val="lt-LT"/>
        </w:rPr>
        <w:t>Stevens</w:t>
      </w:r>
      <w:r w:rsidRPr="00785553">
        <w:rPr>
          <w:rFonts w:ascii="Times New Roman" w:eastAsia="Times New Roman" w:hAnsi="Times New Roman" w:cs="Times New Roman"/>
          <w:sz w:val="22"/>
          <w:szCs w:val="22"/>
          <w:lang w:val="lt-LT"/>
        </w:rPr>
        <w:noBreakHyphen/>
        <w:t>Johnson</w:t>
      </w:r>
      <w:proofErr w:type="spellEnd"/>
      <w:r w:rsidRPr="00785553">
        <w:rPr>
          <w:rFonts w:ascii="Times New Roman" w:eastAsia="Times New Roman" w:hAnsi="Times New Roman" w:cs="Times New Roman"/>
          <w:sz w:val="22"/>
          <w:szCs w:val="22"/>
          <w:lang w:val="lt-LT"/>
        </w:rPr>
        <w:t xml:space="preserve"> sindromas ir daugiaformė </w:t>
      </w:r>
      <w:proofErr w:type="spellStart"/>
      <w:r w:rsidRPr="00785553">
        <w:rPr>
          <w:rFonts w:ascii="Times New Roman" w:eastAsia="Times New Roman" w:hAnsi="Times New Roman" w:cs="Times New Roman"/>
          <w:sz w:val="22"/>
          <w:szCs w:val="22"/>
          <w:lang w:val="lt-LT"/>
        </w:rPr>
        <w:t>eritema</w:t>
      </w:r>
      <w:proofErr w:type="spellEnd"/>
      <w:r w:rsidRPr="00785553">
        <w:rPr>
          <w:rFonts w:ascii="Times New Roman" w:eastAsia="Times New Roman" w:hAnsi="Times New Roman" w:cs="Times New Roman"/>
          <w:sz w:val="22"/>
          <w:szCs w:val="22"/>
          <w:lang w:val="lt-LT"/>
        </w:rPr>
        <w:t>).</w:t>
      </w:r>
    </w:p>
    <w:p w:rsidR="000A39DB" w:rsidRPr="00785553" w:rsidRDefault="000A39DB" w:rsidP="000A39DB">
      <w:pPr>
        <w:spacing w:after="0" w:line="240" w:lineRule="auto"/>
        <w:jc w:val="both"/>
        <w:rPr>
          <w:rFonts w:ascii="Times New Roman" w:eastAsia="Times New Roman" w:hAnsi="Times New Roman" w:cs="Times New Roman"/>
          <w:sz w:val="22"/>
          <w:szCs w:val="22"/>
          <w:lang w:val="lt-LT"/>
        </w:rPr>
      </w:pPr>
    </w:p>
    <w:p w:rsidR="000A39DB" w:rsidRPr="00785553" w:rsidRDefault="000A39DB" w:rsidP="000A39DB">
      <w:pPr>
        <w:tabs>
          <w:tab w:val="left" w:pos="567"/>
        </w:tabs>
        <w:spacing w:after="0" w:line="240" w:lineRule="auto"/>
        <w:rPr>
          <w:rFonts w:ascii="Times New Roman" w:eastAsia="Times New Roman" w:hAnsi="Times New Roman" w:cs="Times New Roman"/>
          <w:b/>
          <w:snapToGrid w:val="0"/>
          <w:sz w:val="22"/>
          <w:szCs w:val="22"/>
          <w:lang w:val="lt-LT"/>
        </w:rPr>
      </w:pPr>
      <w:r w:rsidRPr="00785553">
        <w:rPr>
          <w:rFonts w:ascii="Times New Roman" w:eastAsia="Times New Roman" w:hAnsi="Times New Roman" w:cs="Times New Roman"/>
          <w:b/>
          <w:noProof/>
          <w:snapToGrid w:val="0"/>
          <w:sz w:val="22"/>
          <w:szCs w:val="22"/>
          <w:lang w:val="lt-LT"/>
        </w:rPr>
        <w:t>Pranešimas apie šalutinį poveikį</w:t>
      </w:r>
    </w:p>
    <w:p w:rsidR="000A39DB" w:rsidRPr="00785553" w:rsidRDefault="000A39DB" w:rsidP="000A39DB">
      <w:pPr>
        <w:tabs>
          <w:tab w:val="left" w:pos="567"/>
        </w:tabs>
        <w:spacing w:after="0" w:line="260" w:lineRule="exact"/>
        <w:rPr>
          <w:rFonts w:ascii="Times New Roman" w:eastAsia="Times New Roman" w:hAnsi="Times New Roman" w:cs="Times New Roman"/>
          <w:sz w:val="22"/>
          <w:szCs w:val="22"/>
          <w:lang w:val="lt-LT"/>
        </w:rPr>
      </w:pPr>
      <w:r w:rsidRPr="00785553">
        <w:rPr>
          <w:rFonts w:ascii="Times New Roman" w:eastAsia="Times New Roman" w:hAnsi="Times New Roman" w:cs="Times New Roman"/>
          <w:noProof/>
          <w:snapToGrid w:val="0"/>
          <w:sz w:val="22"/>
          <w:szCs w:val="22"/>
          <w:lang w:val="lt-LT"/>
        </w:rPr>
        <w:t>Jeigu pasireiškė šalutinis poveikis, įskaitant šiame lapelyje nenurodytą, pasakykite gydytojui arba vaistininkui</w:t>
      </w:r>
      <w:r w:rsidRPr="00785553">
        <w:rPr>
          <w:rFonts w:ascii="Times New Roman" w:eastAsia="Times New Roman" w:hAnsi="Times New Roman" w:cs="Times New Roman"/>
          <w:snapToGrid w:val="0"/>
          <w:sz w:val="22"/>
          <w:szCs w:val="22"/>
          <w:lang w:val="lt-LT"/>
        </w:rPr>
        <w:t>.</w:t>
      </w:r>
      <w:r w:rsidRPr="00785553">
        <w:rPr>
          <w:rFonts w:ascii="Times New Roman" w:eastAsia="Times New Roman" w:hAnsi="Times New Roman" w:cs="Times New Roman"/>
          <w:noProof/>
          <w:snapToGrid w:val="0"/>
          <w:sz w:val="22"/>
          <w:szCs w:val="22"/>
          <w:lang w:val="lt-LT"/>
        </w:rPr>
        <w:t xml:space="preserve"> </w:t>
      </w:r>
      <w:r>
        <w:rPr>
          <w:rFonts w:ascii="Times New Roman" w:eastAsia="Times New Roman" w:hAnsi="Times New Roman" w:cs="Times New Roman"/>
          <w:noProof/>
          <w:snapToGrid w:val="0"/>
          <w:sz w:val="22"/>
          <w:szCs w:val="22"/>
          <w:lang w:val="lt-LT"/>
        </w:rPr>
        <w:t>Pranešimą a</w:t>
      </w:r>
      <w:r w:rsidRPr="00785553">
        <w:rPr>
          <w:rFonts w:ascii="Times New Roman" w:eastAsia="Times New Roman" w:hAnsi="Times New Roman" w:cs="Times New Roman"/>
          <w:noProof/>
          <w:snapToGrid w:val="0"/>
          <w:sz w:val="22"/>
          <w:szCs w:val="22"/>
          <w:lang w:val="lt-LT"/>
        </w:rPr>
        <w:t>pie šalutinį poveikį</w:t>
      </w:r>
      <w:r>
        <w:rPr>
          <w:rFonts w:ascii="Times New Roman" w:eastAsia="Times New Roman" w:hAnsi="Times New Roman" w:cs="Times New Roman"/>
          <w:noProof/>
          <w:snapToGrid w:val="0"/>
          <w:sz w:val="22"/>
          <w:szCs w:val="22"/>
          <w:lang w:val="lt-LT"/>
        </w:rPr>
        <w:t xml:space="preserve"> </w:t>
      </w:r>
      <w:r w:rsidRPr="00785553">
        <w:rPr>
          <w:rFonts w:ascii="Times New Roman" w:eastAsia="Times New Roman" w:hAnsi="Times New Roman" w:cs="Times New Roman"/>
          <w:noProof/>
          <w:snapToGrid w:val="0"/>
          <w:sz w:val="22"/>
          <w:szCs w:val="22"/>
          <w:lang w:val="lt-LT"/>
        </w:rPr>
        <w:t xml:space="preserve">galite </w:t>
      </w:r>
      <w:r>
        <w:rPr>
          <w:rFonts w:ascii="Times New Roman" w:eastAsia="Times New Roman" w:hAnsi="Times New Roman" w:cs="Times New Roman"/>
          <w:noProof/>
          <w:snapToGrid w:val="0"/>
          <w:sz w:val="22"/>
          <w:szCs w:val="22"/>
          <w:lang w:val="lt-LT"/>
        </w:rPr>
        <w:t xml:space="preserve">užpildyti ir pateikti </w:t>
      </w:r>
      <w:r w:rsidRPr="00785553">
        <w:rPr>
          <w:rFonts w:ascii="Times New Roman" w:eastAsia="Times New Roman" w:hAnsi="Times New Roman" w:cs="Times New Roman"/>
          <w:noProof/>
          <w:snapToGrid w:val="0"/>
          <w:sz w:val="22"/>
          <w:szCs w:val="22"/>
          <w:lang w:val="lt-LT"/>
        </w:rPr>
        <w:t>Valstybin</w:t>
      </w:r>
      <w:r>
        <w:rPr>
          <w:rFonts w:ascii="Times New Roman" w:eastAsia="Times New Roman" w:hAnsi="Times New Roman" w:cs="Times New Roman"/>
          <w:noProof/>
          <w:snapToGrid w:val="0"/>
          <w:sz w:val="22"/>
          <w:szCs w:val="22"/>
          <w:lang w:val="lt-LT"/>
        </w:rPr>
        <w:t>ės</w:t>
      </w:r>
      <w:r w:rsidRPr="00785553">
        <w:rPr>
          <w:rFonts w:ascii="Times New Roman" w:eastAsia="Times New Roman" w:hAnsi="Times New Roman" w:cs="Times New Roman"/>
          <w:noProof/>
          <w:snapToGrid w:val="0"/>
          <w:sz w:val="22"/>
          <w:szCs w:val="22"/>
          <w:lang w:val="lt-LT"/>
        </w:rPr>
        <w:t xml:space="preserve"> vaistų kontrolės tarnyb</w:t>
      </w:r>
      <w:r>
        <w:rPr>
          <w:rFonts w:ascii="Times New Roman" w:eastAsia="Times New Roman" w:hAnsi="Times New Roman" w:cs="Times New Roman"/>
          <w:noProof/>
          <w:snapToGrid w:val="0"/>
          <w:sz w:val="22"/>
          <w:szCs w:val="22"/>
          <w:lang w:val="lt-LT"/>
        </w:rPr>
        <w:t>os</w:t>
      </w:r>
      <w:r w:rsidRPr="00785553">
        <w:rPr>
          <w:rFonts w:ascii="Times New Roman" w:eastAsia="Times New Roman" w:hAnsi="Times New Roman" w:cs="Times New Roman"/>
          <w:noProof/>
          <w:snapToGrid w:val="0"/>
          <w:sz w:val="22"/>
          <w:szCs w:val="22"/>
          <w:lang w:val="lt-LT"/>
        </w:rPr>
        <w:t xml:space="preserve"> prie Lietuvos Respublikos sveikatos apsaugos ministerijos</w:t>
      </w:r>
      <w:r>
        <w:rPr>
          <w:rFonts w:ascii="Times New Roman" w:eastAsia="Times New Roman" w:hAnsi="Times New Roman" w:cs="Times New Roman"/>
          <w:noProof/>
          <w:snapToGrid w:val="0"/>
          <w:sz w:val="22"/>
          <w:szCs w:val="22"/>
          <w:lang w:val="lt-LT"/>
        </w:rPr>
        <w:t xml:space="preserve"> </w:t>
      </w:r>
      <w:r w:rsidRPr="00E96173">
        <w:rPr>
          <w:rFonts w:ascii="Times New Roman" w:eastAsia="Times New Roman" w:hAnsi="Times New Roman" w:cs="Times New Roman"/>
          <w:noProof/>
          <w:snapToGrid w:val="0"/>
          <w:sz w:val="22"/>
          <w:szCs w:val="22"/>
          <w:lang w:val="lt-LT"/>
        </w:rPr>
        <w:t xml:space="preserve">tinklalapyje </w:t>
      </w:r>
      <w:hyperlink r:id="rId7" w:history="1">
        <w:r w:rsidRPr="008E7327">
          <w:rPr>
            <w:rStyle w:val="Hipersaitas"/>
            <w:rFonts w:ascii="Times New Roman" w:eastAsia="Times New Roman" w:hAnsi="Times New Roman" w:cs="Times New Roman"/>
            <w:noProof/>
            <w:snapToGrid w:val="0"/>
            <w:sz w:val="22"/>
            <w:szCs w:val="22"/>
            <w:lang w:val="lt-LT"/>
          </w:rPr>
          <w:t>https://vvkt.lrv.lt/lt/</w:t>
        </w:r>
      </w:hyperlink>
      <w:r>
        <w:rPr>
          <w:rFonts w:ascii="Times New Roman" w:eastAsia="Times New Roman" w:hAnsi="Times New Roman" w:cs="Times New Roman"/>
          <w:noProof/>
          <w:snapToGrid w:val="0"/>
          <w:sz w:val="22"/>
          <w:szCs w:val="22"/>
          <w:lang w:val="lt-LT"/>
        </w:rPr>
        <w:t xml:space="preserve"> </w:t>
      </w:r>
      <w:r w:rsidRPr="00E96173">
        <w:rPr>
          <w:rFonts w:ascii="Times New Roman" w:eastAsia="Times New Roman" w:hAnsi="Times New Roman" w:cs="Times New Roman"/>
          <w:noProof/>
          <w:snapToGrid w:val="0"/>
          <w:sz w:val="22"/>
          <w:szCs w:val="22"/>
          <w:lang w:val="lt-LT"/>
        </w:rPr>
        <w:t xml:space="preserve">nurodytais būdais arba paskambinti </w:t>
      </w:r>
      <w:r w:rsidRPr="00785553">
        <w:rPr>
          <w:rFonts w:ascii="Times New Roman" w:eastAsia="Times New Roman" w:hAnsi="Times New Roman" w:cs="Times New Roman"/>
          <w:noProof/>
          <w:snapToGrid w:val="0"/>
          <w:sz w:val="22"/>
          <w:szCs w:val="22"/>
          <w:lang w:val="lt-LT"/>
        </w:rPr>
        <w:t>nemokamu telefonu 8 800 73568</w:t>
      </w:r>
      <w:r>
        <w:rPr>
          <w:rFonts w:ascii="Times New Roman" w:eastAsia="Times New Roman" w:hAnsi="Times New Roman" w:cs="Times New Roman"/>
          <w:noProof/>
          <w:snapToGrid w:val="0"/>
          <w:sz w:val="22"/>
          <w:szCs w:val="22"/>
          <w:lang w:val="lt-LT"/>
        </w:rPr>
        <w:t>.</w:t>
      </w:r>
      <w:r w:rsidRPr="00785553">
        <w:rPr>
          <w:rFonts w:ascii="Times New Roman" w:eastAsia="Times New Roman" w:hAnsi="Times New Roman" w:cs="Times New Roman"/>
          <w:noProof/>
          <w:snapToGrid w:val="0"/>
          <w:sz w:val="22"/>
          <w:szCs w:val="22"/>
          <w:lang w:val="lt-LT"/>
        </w:rPr>
        <w:t xml:space="preserve"> Pranešdami apie šalutinį poveikį galite mums padėti gauti daugiau informacijos apie šio vaisto saugumą.</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tabs>
          <w:tab w:val="left" w:pos="567"/>
        </w:tabs>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5.</w:t>
      </w:r>
      <w:r w:rsidRPr="00785553">
        <w:rPr>
          <w:rFonts w:ascii="Times New Roman" w:eastAsia="Times New Roman" w:hAnsi="Times New Roman" w:cs="Times New Roman"/>
          <w:b/>
          <w:sz w:val="22"/>
          <w:szCs w:val="22"/>
          <w:lang w:val="lt-LT"/>
        </w:rPr>
        <w:tab/>
        <w:t xml:space="preserve">Kaip laikyti </w:t>
      </w:r>
      <w:proofErr w:type="spellStart"/>
      <w:r w:rsidRPr="00785553">
        <w:rPr>
          <w:rFonts w:ascii="Times New Roman" w:eastAsia="Times New Roman" w:hAnsi="Times New Roman" w:cs="Times New Roman"/>
          <w:b/>
          <w:sz w:val="22"/>
          <w:szCs w:val="22"/>
          <w:lang w:val="lt-LT"/>
        </w:rPr>
        <w:t>Tobrex</w:t>
      </w:r>
      <w:proofErr w:type="spellEnd"/>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numPr>
          <w:ilvl w:val="12"/>
          <w:numId w:val="0"/>
        </w:numPr>
        <w:spacing w:after="0" w:line="240" w:lineRule="auto"/>
        <w:ind w:right="-2"/>
        <w:rPr>
          <w:rFonts w:ascii="Times New Roman" w:eastAsia="Times New Roman" w:hAnsi="Times New Roman" w:cs="Times New Roman"/>
          <w:snapToGrid w:val="0"/>
          <w:sz w:val="22"/>
          <w:szCs w:val="22"/>
          <w:lang w:val="lt-LT"/>
        </w:rPr>
      </w:pPr>
      <w:r w:rsidRPr="00785553">
        <w:rPr>
          <w:rFonts w:ascii="Times New Roman" w:eastAsia="Times New Roman" w:hAnsi="Times New Roman" w:cs="Times New Roman"/>
          <w:noProof/>
          <w:snapToGrid w:val="0"/>
          <w:sz w:val="22"/>
          <w:szCs w:val="22"/>
          <w:lang w:val="lt-LT"/>
        </w:rPr>
        <w:t>Šį vaistą laikykite vaikams nepastebimoje ir nepasiekiamoje vietoje.</w:t>
      </w:r>
    </w:p>
    <w:p w:rsidR="000A39DB" w:rsidRPr="00785553" w:rsidRDefault="000A39DB" w:rsidP="000A39DB">
      <w:pPr>
        <w:spacing w:after="0" w:line="240" w:lineRule="auto"/>
        <w:rPr>
          <w:rFonts w:ascii="Times New Roman" w:eastAsia="Times New Roman" w:hAnsi="Times New Roman" w:cs="Times New Roman"/>
          <w:b/>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Pirmą kartą atidarius tūbelę, vaisto tinkamumo laikas </w:t>
      </w:r>
      <w:r w:rsidRPr="00785553">
        <w:rPr>
          <w:rFonts w:ascii="Times New Roman" w:eastAsia="Times New Roman" w:hAnsi="Times New Roman" w:cs="Times New Roman"/>
          <w:sz w:val="22"/>
          <w:szCs w:val="22"/>
          <w:lang w:val="lt-LT"/>
        </w:rPr>
        <w:noBreakHyphen/>
        <w:t xml:space="preserve"> </w:t>
      </w:r>
      <w:r>
        <w:rPr>
          <w:rFonts w:ascii="Times New Roman" w:eastAsia="Times New Roman" w:hAnsi="Times New Roman" w:cs="Times New Roman"/>
          <w:sz w:val="22"/>
          <w:szCs w:val="22"/>
          <w:lang w:val="lt-LT"/>
        </w:rPr>
        <w:t>4</w:t>
      </w:r>
      <w:r w:rsidRPr="00785553">
        <w:rPr>
          <w:rFonts w:ascii="Times New Roman" w:eastAsia="Times New Roman" w:hAnsi="Times New Roman" w:cs="Times New Roman"/>
          <w:sz w:val="22"/>
          <w:szCs w:val="22"/>
          <w:lang w:val="lt-LT"/>
        </w:rPr>
        <w:t> </w:t>
      </w:r>
      <w:r>
        <w:rPr>
          <w:rFonts w:ascii="Times New Roman" w:eastAsia="Times New Roman" w:hAnsi="Times New Roman" w:cs="Times New Roman"/>
          <w:sz w:val="22"/>
          <w:szCs w:val="22"/>
          <w:lang w:val="lt-LT"/>
        </w:rPr>
        <w:t>savaitės</w:t>
      </w:r>
      <w:r w:rsidRPr="00785553">
        <w:rPr>
          <w:rFonts w:ascii="Times New Roman" w:eastAsia="Times New Roman" w:hAnsi="Times New Roman" w:cs="Times New Roman"/>
          <w:sz w:val="22"/>
          <w:szCs w:val="22"/>
          <w:lang w:val="lt-LT"/>
        </w:rPr>
        <w:t>.</w:t>
      </w: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Užsirašykite datą, kada atsukote tūbelę žemiau esančiame laukelyje: </w:t>
      </w: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Atidaryta:</w:t>
      </w:r>
    </w:p>
    <w:p w:rsidR="000A39DB" w:rsidRPr="00785553" w:rsidRDefault="000A39DB" w:rsidP="000A39DB">
      <w:pPr>
        <w:spacing w:after="0" w:line="240" w:lineRule="auto"/>
        <w:rPr>
          <w:rFonts w:ascii="Times New Roman" w:eastAsia="Times New Roman" w:hAnsi="Times New Roman" w:cs="Times New Roman"/>
          <w:b/>
          <w:sz w:val="22"/>
          <w:szCs w:val="22"/>
          <w:lang w:val="lt-LT"/>
        </w:rPr>
      </w:pPr>
    </w:p>
    <w:p w:rsidR="000A39DB"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Laikyti ne aukštesnėje kaip 25 °C temperatūroje.</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8358E8">
        <w:rPr>
          <w:rFonts w:ascii="Times New Roman" w:eastAsia="Times New Roman" w:hAnsi="Times New Roman" w:cs="Times New Roman"/>
          <w:sz w:val="22"/>
          <w:szCs w:val="22"/>
          <w:lang w:val="lt-LT"/>
        </w:rPr>
        <w:t>Negalima užšaldyti.</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Tūbelę laikyti sandarią.</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Ant dėžutės ir tūbelės po „EXP“ nurodytam tinkamumo laikui pasibaigus, šio vaisto vartoti negalima. Vaistas tinkamas vartoti iki paskutinės nurodyto mėnesio dienos.</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sz w:val="22"/>
          <w:szCs w:val="22"/>
          <w:lang w:val="lt-LT"/>
        </w:rPr>
        <w:t>Vaistų negalima išmesti į kanalizaciją arba su buitinėmis atliekomis. Kaip išmesti nereikalingus vaistus, klauskite vaistininko. Šios priemonės padės apsaugoti aplinką.</w:t>
      </w:r>
    </w:p>
    <w:p w:rsidR="000A39DB" w:rsidRPr="00785553" w:rsidRDefault="000A39DB" w:rsidP="000A39DB">
      <w:pPr>
        <w:spacing w:after="0" w:line="240" w:lineRule="auto"/>
        <w:rPr>
          <w:rFonts w:ascii="Times New Roman" w:eastAsia="Times New Roman" w:hAnsi="Times New Roman" w:cs="Times New Roman"/>
          <w:b/>
          <w:sz w:val="22"/>
          <w:szCs w:val="22"/>
          <w:lang w:val="lt-LT"/>
        </w:rPr>
      </w:pPr>
    </w:p>
    <w:p w:rsidR="000A39DB" w:rsidRPr="00785553" w:rsidRDefault="000A39DB" w:rsidP="000A39DB">
      <w:pPr>
        <w:spacing w:after="0" w:line="240" w:lineRule="auto"/>
        <w:rPr>
          <w:rFonts w:ascii="Times New Roman" w:eastAsia="Times New Roman" w:hAnsi="Times New Roman" w:cs="Times New Roman"/>
          <w:b/>
          <w:sz w:val="22"/>
          <w:szCs w:val="22"/>
          <w:lang w:val="lt-LT"/>
        </w:rPr>
      </w:pPr>
    </w:p>
    <w:p w:rsidR="000A39DB" w:rsidRPr="00785553" w:rsidRDefault="000A39DB" w:rsidP="000A39DB">
      <w:pPr>
        <w:keepNext/>
        <w:tabs>
          <w:tab w:val="left" w:pos="567"/>
        </w:tabs>
        <w:spacing w:after="0" w:line="240" w:lineRule="auto"/>
        <w:outlineLvl w:val="1"/>
        <w:rPr>
          <w:rFonts w:ascii="Times New Roman" w:eastAsia="Times New Roman" w:hAnsi="Times New Roman" w:cs="Times New Roman"/>
          <w:b/>
          <w:sz w:val="22"/>
          <w:szCs w:val="22"/>
          <w:lang w:val="lt-LT"/>
        </w:rPr>
      </w:pPr>
      <w:bookmarkStart w:id="8" w:name="_Toc129243144"/>
      <w:bookmarkStart w:id="9" w:name="_Toc129243269"/>
      <w:r w:rsidRPr="00785553">
        <w:rPr>
          <w:rFonts w:ascii="Times New Roman" w:eastAsia="Times New Roman" w:hAnsi="Times New Roman" w:cs="Times New Roman"/>
          <w:b/>
          <w:sz w:val="22"/>
          <w:szCs w:val="22"/>
          <w:lang w:val="lt-LT"/>
        </w:rPr>
        <w:t>6.</w:t>
      </w:r>
      <w:r w:rsidRPr="00785553">
        <w:rPr>
          <w:rFonts w:ascii="Times New Roman" w:eastAsia="Times New Roman" w:hAnsi="Times New Roman" w:cs="Times New Roman"/>
          <w:b/>
          <w:sz w:val="22"/>
          <w:szCs w:val="22"/>
          <w:lang w:val="lt-LT"/>
        </w:rPr>
        <w:tab/>
        <w:t>Pakuotės turinys ir kita informacija</w:t>
      </w:r>
      <w:bookmarkEnd w:id="8"/>
      <w:bookmarkEnd w:id="9"/>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b/>
          <w:bCs/>
          <w:sz w:val="22"/>
          <w:szCs w:val="22"/>
          <w:lang w:val="lt-LT"/>
        </w:rPr>
        <w:t>Tobrex</w:t>
      </w:r>
      <w:proofErr w:type="spellEnd"/>
      <w:r w:rsidRPr="00785553">
        <w:rPr>
          <w:rFonts w:ascii="Times New Roman" w:eastAsia="Times New Roman" w:hAnsi="Times New Roman" w:cs="Times New Roman"/>
          <w:b/>
          <w:bCs/>
          <w:sz w:val="22"/>
          <w:szCs w:val="22"/>
          <w:lang w:val="lt-LT"/>
        </w:rPr>
        <w:t xml:space="preserve"> sudėtis</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Veiklioji medžiaga yra </w:t>
      </w:r>
      <w:proofErr w:type="spellStart"/>
      <w:r w:rsidRPr="00785553">
        <w:rPr>
          <w:rFonts w:ascii="Times New Roman" w:eastAsia="Times New Roman" w:hAnsi="Times New Roman" w:cs="Times New Roman"/>
          <w:sz w:val="22"/>
          <w:szCs w:val="22"/>
          <w:lang w:val="lt-LT"/>
        </w:rPr>
        <w:t>tobramicinas</w:t>
      </w:r>
      <w:proofErr w:type="spellEnd"/>
      <w:r w:rsidRPr="00785553">
        <w:rPr>
          <w:rFonts w:ascii="Times New Roman" w:eastAsia="Times New Roman" w:hAnsi="Times New Roman" w:cs="Times New Roman"/>
          <w:sz w:val="22"/>
          <w:szCs w:val="22"/>
          <w:lang w:val="lt-LT"/>
        </w:rPr>
        <w:t xml:space="preserve">. Viename grame akių tepalo yra 3 mg </w:t>
      </w:r>
      <w:proofErr w:type="spellStart"/>
      <w:r w:rsidRPr="00785553">
        <w:rPr>
          <w:rFonts w:ascii="Times New Roman" w:eastAsia="Times New Roman" w:hAnsi="Times New Roman" w:cs="Times New Roman"/>
          <w:sz w:val="22"/>
          <w:szCs w:val="22"/>
          <w:lang w:val="lt-LT"/>
        </w:rPr>
        <w:t>tobramicino</w:t>
      </w:r>
      <w:proofErr w:type="spellEnd"/>
      <w:r w:rsidRPr="00785553">
        <w:rPr>
          <w:rFonts w:ascii="Times New Roman" w:eastAsia="Times New Roman" w:hAnsi="Times New Roman" w:cs="Times New Roman"/>
          <w:sz w:val="22"/>
          <w:szCs w:val="22"/>
          <w:lang w:val="lt-LT"/>
        </w:rPr>
        <w:t>.</w:t>
      </w:r>
    </w:p>
    <w:p w:rsidR="000A39DB" w:rsidRPr="00785553" w:rsidRDefault="000A39DB" w:rsidP="000A39DB">
      <w:pPr>
        <w:numPr>
          <w:ilvl w:val="0"/>
          <w:numId w:val="3"/>
        </w:numPr>
        <w:spacing w:after="0" w:line="240" w:lineRule="auto"/>
        <w:ind w:left="567" w:hanging="567"/>
        <w:contextualSpacing/>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Pagalbinės medžiagos yra </w:t>
      </w:r>
      <w:proofErr w:type="spellStart"/>
      <w:r w:rsidRPr="00785553">
        <w:rPr>
          <w:rFonts w:ascii="Times New Roman" w:eastAsia="Times New Roman" w:hAnsi="Times New Roman" w:cs="Times New Roman"/>
          <w:sz w:val="22"/>
          <w:szCs w:val="22"/>
          <w:lang w:val="lt-LT"/>
        </w:rPr>
        <w:t>chlorobutanolis</w:t>
      </w:r>
      <w:proofErr w:type="spellEnd"/>
      <w:r w:rsidRPr="00785553">
        <w:rPr>
          <w:rFonts w:ascii="Times New Roman" w:eastAsia="Times New Roman" w:hAnsi="Times New Roman" w:cs="Times New Roman"/>
          <w:sz w:val="22"/>
          <w:szCs w:val="22"/>
          <w:lang w:val="lt-LT"/>
        </w:rPr>
        <w:t>, skystasis parafinas, minkštasis baltas parafinas.</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bCs/>
          <w:sz w:val="22"/>
          <w:szCs w:val="22"/>
          <w:lang w:val="lt-LT"/>
        </w:rPr>
      </w:pPr>
      <w:proofErr w:type="spellStart"/>
      <w:r w:rsidRPr="00785553">
        <w:rPr>
          <w:rFonts w:ascii="Times New Roman" w:eastAsia="Times New Roman" w:hAnsi="Times New Roman" w:cs="Times New Roman"/>
          <w:b/>
          <w:bCs/>
          <w:sz w:val="22"/>
          <w:szCs w:val="22"/>
          <w:lang w:val="lt-LT"/>
        </w:rPr>
        <w:t>Tobrex</w:t>
      </w:r>
      <w:proofErr w:type="spellEnd"/>
      <w:r w:rsidRPr="00785553">
        <w:rPr>
          <w:rFonts w:ascii="Times New Roman" w:eastAsia="Times New Roman" w:hAnsi="Times New Roman" w:cs="Times New Roman"/>
          <w:b/>
          <w:bCs/>
          <w:sz w:val="22"/>
          <w:szCs w:val="22"/>
          <w:lang w:val="lt-LT"/>
        </w:rPr>
        <w:t xml:space="preserve"> išvaizda ir kiekis pakuotėje</w:t>
      </w:r>
    </w:p>
    <w:p w:rsidR="000A39DB" w:rsidRPr="00785553" w:rsidRDefault="000A39DB" w:rsidP="000A39DB">
      <w:pPr>
        <w:spacing w:after="0" w:line="240" w:lineRule="auto"/>
        <w:jc w:val="both"/>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Tobrex</w:t>
      </w:r>
      <w:proofErr w:type="spellEnd"/>
      <w:r w:rsidRPr="00785553">
        <w:rPr>
          <w:rFonts w:ascii="Times New Roman" w:eastAsia="Times New Roman" w:hAnsi="Times New Roman" w:cs="Times New Roman"/>
          <w:sz w:val="22"/>
          <w:szCs w:val="22"/>
          <w:lang w:val="lt-LT"/>
        </w:rPr>
        <w:t xml:space="preserve"> yra baltas arba beveik baltas homogeniškas tepalas.</w:t>
      </w:r>
    </w:p>
    <w:p w:rsidR="000A39DB" w:rsidRPr="00785553" w:rsidRDefault="000A39DB" w:rsidP="000A39DB">
      <w:pPr>
        <w:spacing w:after="0" w:line="240" w:lineRule="auto"/>
        <w:jc w:val="both"/>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Kartono dėžutėje yra viena tūbelė su plastiko snapeliu ir plastiko dangteliu, kurioje yra 3,5 g tepalo.</w:t>
      </w:r>
    </w:p>
    <w:p w:rsidR="000A39DB" w:rsidRPr="00785553" w:rsidRDefault="000A39DB" w:rsidP="000A39DB">
      <w:pPr>
        <w:spacing w:after="0" w:line="240" w:lineRule="auto"/>
        <w:rPr>
          <w:rFonts w:ascii="Times New Roman" w:eastAsia="Times New Roman" w:hAnsi="Times New Roman" w:cs="Times New Roman"/>
          <w:b/>
          <w:bCs/>
          <w:sz w:val="22"/>
          <w:szCs w:val="22"/>
          <w:lang w:val="lt-LT"/>
        </w:rPr>
      </w:pPr>
    </w:p>
    <w:p w:rsidR="000A39DB" w:rsidRPr="00785553" w:rsidRDefault="000A39DB" w:rsidP="000A39DB">
      <w:pPr>
        <w:spacing w:after="0" w:line="240" w:lineRule="auto"/>
        <w:rPr>
          <w:rFonts w:ascii="Times New Roman" w:eastAsia="Times New Roman" w:hAnsi="Times New Roman" w:cs="Times New Roman"/>
          <w:b/>
          <w:sz w:val="22"/>
          <w:szCs w:val="24"/>
          <w:lang w:val="lt-LT" w:eastAsia="lt-LT"/>
        </w:rPr>
      </w:pPr>
      <w:r w:rsidRPr="00785553">
        <w:rPr>
          <w:rFonts w:ascii="Times New Roman" w:eastAsia="Times New Roman" w:hAnsi="Times New Roman" w:cs="Times New Roman"/>
          <w:b/>
          <w:sz w:val="22"/>
          <w:szCs w:val="24"/>
          <w:lang w:val="lt-LT" w:eastAsia="lt-LT"/>
        </w:rPr>
        <w:t>Registruotojas</w:t>
      </w:r>
    </w:p>
    <w:p w:rsidR="000A39DB" w:rsidRPr="00785553" w:rsidRDefault="000A39DB" w:rsidP="000A39DB">
      <w:pPr>
        <w:spacing w:after="0" w:line="240" w:lineRule="auto"/>
        <w:jc w:val="both"/>
        <w:rPr>
          <w:rFonts w:ascii="Times New Roman" w:eastAsia="Times New Roman" w:hAnsi="Times New Roman" w:cs="Times New Roman"/>
          <w:sz w:val="22"/>
          <w:szCs w:val="22"/>
          <w:lang w:val="it-IT" w:eastAsia="et-EE"/>
        </w:rPr>
      </w:pPr>
      <w:r w:rsidRPr="00785553">
        <w:rPr>
          <w:rFonts w:ascii="Times New Roman" w:eastAsia="Times New Roman" w:hAnsi="Times New Roman" w:cs="Times New Roman"/>
          <w:sz w:val="22"/>
          <w:szCs w:val="22"/>
          <w:lang w:val="it-IT" w:eastAsia="et-EE"/>
        </w:rPr>
        <w:t xml:space="preserve">SIA </w:t>
      </w:r>
      <w:r w:rsidRPr="00785553">
        <w:rPr>
          <w:rFonts w:ascii="Times New Roman" w:eastAsia="Times New Roman" w:hAnsi="Times New Roman" w:cs="Times New Roman"/>
          <w:sz w:val="22"/>
          <w:szCs w:val="22"/>
          <w:lang w:val="et-EE" w:eastAsia="et-EE"/>
        </w:rPr>
        <w:t>Novartis Baltics</w:t>
      </w:r>
    </w:p>
    <w:p w:rsidR="000A39DB" w:rsidRPr="00785553" w:rsidRDefault="000A39DB" w:rsidP="000A39DB">
      <w:pPr>
        <w:spacing w:after="0" w:line="240" w:lineRule="auto"/>
        <w:jc w:val="both"/>
        <w:rPr>
          <w:rFonts w:ascii="Times New Roman" w:eastAsia="Times New Roman" w:hAnsi="Times New Roman" w:cs="Times New Roman"/>
          <w:sz w:val="22"/>
          <w:szCs w:val="22"/>
          <w:lang w:val="it-IT" w:eastAsia="et-EE"/>
        </w:rPr>
      </w:pPr>
      <w:r w:rsidRPr="00254FB4">
        <w:rPr>
          <w:rFonts w:ascii="Times New Roman" w:eastAsia="Times New Roman" w:hAnsi="Times New Roman" w:cs="Times New Roman"/>
          <w:sz w:val="22"/>
          <w:szCs w:val="22"/>
          <w:lang w:val="it-IT" w:eastAsia="et-EE"/>
        </w:rPr>
        <w:t>Skanstes iela 25</w:t>
      </w:r>
    </w:p>
    <w:p w:rsidR="000A39DB" w:rsidRPr="00785553" w:rsidRDefault="000A39DB" w:rsidP="000A39DB">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785553">
        <w:rPr>
          <w:rFonts w:ascii="Times New Roman" w:eastAsia="Times New Roman" w:hAnsi="Times New Roman" w:cs="Times New Roman"/>
          <w:sz w:val="22"/>
          <w:szCs w:val="22"/>
          <w:lang w:val="it-IT" w:eastAsia="et-EE"/>
        </w:rPr>
        <w:t>LV-</w:t>
      </w:r>
      <w:r>
        <w:rPr>
          <w:rFonts w:ascii="Times New Roman" w:eastAsia="Times New Roman" w:hAnsi="Times New Roman" w:cs="Times New Roman"/>
          <w:sz w:val="22"/>
          <w:szCs w:val="22"/>
          <w:lang w:val="it-IT" w:eastAsia="et-EE"/>
        </w:rPr>
        <w:t>1013</w:t>
      </w:r>
      <w:r w:rsidRPr="00785553">
        <w:rPr>
          <w:rFonts w:ascii="Times New Roman" w:eastAsia="Times New Roman" w:hAnsi="Times New Roman" w:cs="Times New Roman"/>
          <w:sz w:val="22"/>
          <w:szCs w:val="22"/>
          <w:lang w:val="it-IT" w:eastAsia="et-EE"/>
        </w:rPr>
        <w:t>, R</w:t>
      </w:r>
      <w:r>
        <w:rPr>
          <w:rFonts w:ascii="Times New Roman" w:eastAsia="Times New Roman" w:hAnsi="Times New Roman" w:cs="Times New Roman"/>
          <w:sz w:val="22"/>
          <w:szCs w:val="22"/>
          <w:lang w:val="it-IT" w:eastAsia="et-EE"/>
        </w:rPr>
        <w:t>ī</w:t>
      </w:r>
      <w:r w:rsidRPr="00785553">
        <w:rPr>
          <w:rFonts w:ascii="Times New Roman" w:eastAsia="Times New Roman" w:hAnsi="Times New Roman" w:cs="Times New Roman"/>
          <w:sz w:val="22"/>
          <w:szCs w:val="22"/>
          <w:lang w:val="it-IT" w:eastAsia="et-EE"/>
        </w:rPr>
        <w:t>ga</w:t>
      </w: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it-IT" w:eastAsia="et-EE"/>
        </w:rPr>
        <w:t>Latvija</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b/>
          <w:sz w:val="22"/>
          <w:szCs w:val="22"/>
          <w:lang w:val="lt-LT"/>
        </w:rPr>
      </w:pPr>
      <w:r w:rsidRPr="00785553">
        <w:rPr>
          <w:rFonts w:ascii="Times New Roman" w:eastAsia="Times New Roman" w:hAnsi="Times New Roman" w:cs="Times New Roman"/>
          <w:b/>
          <w:sz w:val="22"/>
          <w:szCs w:val="22"/>
          <w:lang w:val="lt-LT"/>
        </w:rPr>
        <w:t>Gamintojai</w:t>
      </w:r>
    </w:p>
    <w:p w:rsidR="000A39DB" w:rsidRPr="00785553" w:rsidRDefault="000A39DB" w:rsidP="000A39DB">
      <w:pPr>
        <w:spacing w:after="0" w:line="240" w:lineRule="auto"/>
        <w:rPr>
          <w:rFonts w:ascii="Times New Roman" w:eastAsia="Times New Roman" w:hAnsi="Times New Roman" w:cs="Times New Roman"/>
          <w:sz w:val="22"/>
          <w:szCs w:val="22"/>
          <w:lang w:val="lt-LT"/>
        </w:rPr>
      </w:pPr>
      <w:proofErr w:type="spellStart"/>
      <w:r>
        <w:rPr>
          <w:rFonts w:ascii="Times New Roman" w:eastAsia="Times New Roman" w:hAnsi="Times New Roman" w:cs="Times New Roman"/>
          <w:sz w:val="22"/>
          <w:szCs w:val="22"/>
          <w:lang w:val="lt-LT"/>
        </w:rPr>
        <w:t>Novartis</w:t>
      </w:r>
      <w:proofErr w:type="spellEnd"/>
      <w:r>
        <w:rPr>
          <w:rFonts w:ascii="Times New Roman" w:eastAsia="Times New Roman" w:hAnsi="Times New Roman" w:cs="Times New Roman"/>
          <w:sz w:val="22"/>
          <w:szCs w:val="22"/>
          <w:lang w:val="lt-LT"/>
        </w:rPr>
        <w:t xml:space="preserve"> </w:t>
      </w:r>
      <w:proofErr w:type="spellStart"/>
      <w:r>
        <w:rPr>
          <w:rFonts w:ascii="Times New Roman" w:eastAsia="Times New Roman" w:hAnsi="Times New Roman" w:cs="Times New Roman"/>
          <w:sz w:val="22"/>
          <w:szCs w:val="22"/>
          <w:lang w:val="lt-LT"/>
        </w:rPr>
        <w:t>Manufacturing</w:t>
      </w:r>
      <w:proofErr w:type="spellEnd"/>
      <w:r>
        <w:rPr>
          <w:rFonts w:ascii="Times New Roman" w:eastAsia="Times New Roman" w:hAnsi="Times New Roman" w:cs="Times New Roman"/>
          <w:sz w:val="22"/>
          <w:szCs w:val="22"/>
          <w:lang w:val="lt-LT"/>
        </w:rPr>
        <w:t xml:space="preserve"> NV</w:t>
      </w:r>
    </w:p>
    <w:p w:rsidR="000A39DB" w:rsidRPr="00785553" w:rsidRDefault="000A39DB" w:rsidP="000A39DB">
      <w:pPr>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Rijksweg</w:t>
      </w:r>
      <w:proofErr w:type="spellEnd"/>
      <w:r w:rsidRPr="00785553">
        <w:rPr>
          <w:rFonts w:ascii="Times New Roman" w:eastAsia="Times New Roman" w:hAnsi="Times New Roman" w:cs="Times New Roman"/>
          <w:sz w:val="22"/>
          <w:szCs w:val="22"/>
          <w:lang w:val="lt-LT"/>
        </w:rPr>
        <w:t xml:space="preserve"> 14</w:t>
      </w: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2870 </w:t>
      </w:r>
      <w:proofErr w:type="spellStart"/>
      <w:r w:rsidRPr="00785553">
        <w:rPr>
          <w:rFonts w:ascii="Times New Roman" w:eastAsia="Times New Roman" w:hAnsi="Times New Roman" w:cs="Times New Roman"/>
          <w:sz w:val="22"/>
          <w:szCs w:val="22"/>
          <w:lang w:val="lt-LT"/>
        </w:rPr>
        <w:t>Puurs</w:t>
      </w:r>
      <w:r>
        <w:rPr>
          <w:rFonts w:ascii="Times New Roman" w:eastAsia="Times New Roman" w:hAnsi="Times New Roman" w:cs="Times New Roman"/>
          <w:sz w:val="22"/>
          <w:szCs w:val="22"/>
          <w:lang w:val="lt-LT"/>
        </w:rPr>
        <w:t>-Sint-Amands</w:t>
      </w:r>
      <w:proofErr w:type="spellEnd"/>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 xml:space="preserve">Belgija </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highlight w:val="yellow"/>
          <w:lang w:val="lt-LT"/>
        </w:rPr>
      </w:pPr>
      <w:r w:rsidRPr="00785553">
        <w:rPr>
          <w:rFonts w:ascii="Times New Roman" w:eastAsia="Times New Roman" w:hAnsi="Times New Roman" w:cs="Times New Roman"/>
          <w:sz w:val="22"/>
          <w:szCs w:val="22"/>
          <w:lang w:val="lt-LT"/>
        </w:rPr>
        <w:t>arba</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highlight w:val="yellow"/>
          <w:lang w:val="lt-LT"/>
        </w:rPr>
      </w:pP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proofErr w:type="spellStart"/>
      <w:r w:rsidRPr="00195282">
        <w:rPr>
          <w:rFonts w:ascii="Times New Roman" w:eastAsia="Times New Roman" w:hAnsi="Times New Roman" w:cs="Times New Roman"/>
          <w:sz w:val="22"/>
          <w:szCs w:val="22"/>
          <w:lang w:val="lt-LT"/>
        </w:rPr>
        <w:t>Siegfried</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El</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Masnou</w:t>
      </w:r>
      <w:proofErr w:type="spellEnd"/>
      <w:r w:rsidRPr="00195282">
        <w:rPr>
          <w:rFonts w:ascii="Times New Roman" w:eastAsia="Times New Roman" w:hAnsi="Times New Roman" w:cs="Times New Roman"/>
          <w:sz w:val="22"/>
          <w:szCs w:val="22"/>
          <w:lang w:val="lt-LT"/>
        </w:rPr>
        <w:t>, S.A.</w:t>
      </w:r>
    </w:p>
    <w:p w:rsidR="000A39DB" w:rsidRDefault="000A39DB" w:rsidP="000A39DB">
      <w:pPr>
        <w:tabs>
          <w:tab w:val="left" w:pos="567"/>
        </w:tabs>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Camil</w:t>
      </w:r>
      <w:proofErr w:type="spellEnd"/>
      <w:r w:rsidRPr="00785553">
        <w:rPr>
          <w:rFonts w:ascii="Times New Roman" w:eastAsia="Times New Roman" w:hAnsi="Times New Roman" w:cs="Times New Roman"/>
          <w:sz w:val="22"/>
          <w:szCs w:val="22"/>
          <w:lang w:val="lt-LT"/>
        </w:rPr>
        <w:t xml:space="preserve"> </w:t>
      </w:r>
      <w:proofErr w:type="spellStart"/>
      <w:r w:rsidRPr="00785553">
        <w:rPr>
          <w:rFonts w:ascii="Times New Roman" w:eastAsia="Times New Roman" w:hAnsi="Times New Roman" w:cs="Times New Roman"/>
          <w:sz w:val="22"/>
          <w:szCs w:val="22"/>
          <w:lang w:val="lt-LT"/>
        </w:rPr>
        <w:t>Fabra</w:t>
      </w:r>
      <w:proofErr w:type="spellEnd"/>
      <w:r>
        <w:rPr>
          <w:rFonts w:ascii="Times New Roman" w:eastAsia="Times New Roman" w:hAnsi="Times New Roman" w:cs="Times New Roman"/>
          <w:sz w:val="22"/>
          <w:szCs w:val="22"/>
          <w:lang w:val="lt-LT"/>
        </w:rPr>
        <w:t>,</w:t>
      </w:r>
      <w:r w:rsidRPr="00785553">
        <w:rPr>
          <w:rFonts w:ascii="Times New Roman" w:eastAsia="Times New Roman" w:hAnsi="Times New Roman" w:cs="Times New Roman"/>
          <w:sz w:val="22"/>
          <w:szCs w:val="22"/>
          <w:lang w:val="lt-LT"/>
        </w:rPr>
        <w:t xml:space="preserve"> 58</w:t>
      </w:r>
    </w:p>
    <w:p w:rsidR="000A39DB" w:rsidRDefault="000A39DB" w:rsidP="000A39DB">
      <w:pPr>
        <w:tabs>
          <w:tab w:val="left" w:pos="567"/>
        </w:tabs>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 xml:space="preserve">08320 </w:t>
      </w:r>
      <w:proofErr w:type="spellStart"/>
      <w:r>
        <w:rPr>
          <w:rFonts w:ascii="Times New Roman" w:eastAsia="Times New Roman" w:hAnsi="Times New Roman" w:cs="Times New Roman"/>
          <w:sz w:val="22"/>
          <w:szCs w:val="22"/>
          <w:lang w:val="lt-LT"/>
        </w:rPr>
        <w:t>El</w:t>
      </w:r>
      <w:proofErr w:type="spellEnd"/>
      <w:r>
        <w:rPr>
          <w:rFonts w:ascii="Times New Roman" w:eastAsia="Times New Roman" w:hAnsi="Times New Roman" w:cs="Times New Roman"/>
          <w:sz w:val="22"/>
          <w:szCs w:val="22"/>
          <w:lang w:val="lt-LT"/>
        </w:rPr>
        <w:t xml:space="preserve"> </w:t>
      </w:r>
      <w:proofErr w:type="spellStart"/>
      <w:r>
        <w:rPr>
          <w:rFonts w:ascii="Times New Roman" w:eastAsia="Times New Roman" w:hAnsi="Times New Roman" w:cs="Times New Roman"/>
          <w:sz w:val="22"/>
          <w:szCs w:val="22"/>
          <w:lang w:val="lt-LT"/>
        </w:rPr>
        <w:t>Masnou</w:t>
      </w:r>
      <w:proofErr w:type="spellEnd"/>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proofErr w:type="spellStart"/>
      <w:r w:rsidRPr="00785553">
        <w:rPr>
          <w:rFonts w:ascii="Times New Roman" w:eastAsia="Times New Roman" w:hAnsi="Times New Roman" w:cs="Times New Roman"/>
          <w:sz w:val="22"/>
          <w:szCs w:val="22"/>
          <w:lang w:val="lt-LT"/>
        </w:rPr>
        <w:t>Bar</w:t>
      </w:r>
      <w:r>
        <w:rPr>
          <w:rFonts w:ascii="Times New Roman" w:eastAsia="Times New Roman" w:hAnsi="Times New Roman" w:cs="Times New Roman"/>
          <w:sz w:val="22"/>
          <w:szCs w:val="22"/>
          <w:lang w:val="lt-LT"/>
        </w:rPr>
        <w:t>c</w:t>
      </w:r>
      <w:r w:rsidRPr="00785553">
        <w:rPr>
          <w:rFonts w:ascii="Times New Roman" w:eastAsia="Times New Roman" w:hAnsi="Times New Roman" w:cs="Times New Roman"/>
          <w:sz w:val="22"/>
          <w:szCs w:val="22"/>
          <w:lang w:val="lt-LT"/>
        </w:rPr>
        <w:t>elona</w:t>
      </w:r>
      <w:proofErr w:type="spellEnd"/>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Ispanija</w:t>
      </w:r>
    </w:p>
    <w:p w:rsidR="000A39DB"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arba</w:t>
      </w:r>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proofErr w:type="spellStart"/>
      <w:r w:rsidRPr="00195282">
        <w:rPr>
          <w:rFonts w:ascii="Times New Roman" w:eastAsia="Times New Roman" w:hAnsi="Times New Roman" w:cs="Times New Roman"/>
          <w:sz w:val="22"/>
          <w:szCs w:val="22"/>
          <w:lang w:val="lt-LT"/>
        </w:rPr>
        <w:t>Novartis</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Pharma</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GmbH</w:t>
      </w:r>
      <w:proofErr w:type="spellEnd"/>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proofErr w:type="spellStart"/>
      <w:r w:rsidRPr="00195282">
        <w:rPr>
          <w:rFonts w:ascii="Times New Roman" w:eastAsia="Times New Roman" w:hAnsi="Times New Roman" w:cs="Times New Roman"/>
          <w:sz w:val="22"/>
          <w:szCs w:val="22"/>
          <w:lang w:val="lt-LT"/>
        </w:rPr>
        <w:t>Roonstrasse</w:t>
      </w:r>
      <w:proofErr w:type="spellEnd"/>
      <w:r w:rsidRPr="00195282">
        <w:rPr>
          <w:rFonts w:ascii="Times New Roman" w:eastAsia="Times New Roman" w:hAnsi="Times New Roman" w:cs="Times New Roman"/>
          <w:sz w:val="22"/>
          <w:szCs w:val="22"/>
          <w:lang w:val="lt-LT"/>
        </w:rPr>
        <w:t xml:space="preserve"> 25</w:t>
      </w:r>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 xml:space="preserve">90429 </w:t>
      </w:r>
      <w:proofErr w:type="spellStart"/>
      <w:r w:rsidRPr="00195282">
        <w:rPr>
          <w:rFonts w:ascii="Times New Roman" w:eastAsia="Times New Roman" w:hAnsi="Times New Roman" w:cs="Times New Roman"/>
          <w:sz w:val="22"/>
          <w:szCs w:val="22"/>
          <w:lang w:val="lt-LT"/>
        </w:rPr>
        <w:t>Nürnberg</w:t>
      </w:r>
      <w:proofErr w:type="spellEnd"/>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Vokietija</w:t>
      </w:r>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arba</w:t>
      </w:r>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proofErr w:type="spellStart"/>
      <w:r w:rsidRPr="00195282">
        <w:rPr>
          <w:rFonts w:ascii="Times New Roman" w:eastAsia="Times New Roman" w:hAnsi="Times New Roman" w:cs="Times New Roman"/>
          <w:sz w:val="22"/>
          <w:szCs w:val="22"/>
          <w:lang w:val="lt-LT"/>
        </w:rPr>
        <w:t>Novartis</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Farmacéutica</w:t>
      </w:r>
      <w:proofErr w:type="spellEnd"/>
      <w:r w:rsidRPr="00195282">
        <w:rPr>
          <w:rFonts w:ascii="Times New Roman" w:eastAsia="Times New Roman" w:hAnsi="Times New Roman" w:cs="Times New Roman"/>
          <w:sz w:val="22"/>
          <w:szCs w:val="22"/>
          <w:lang w:val="lt-LT"/>
        </w:rPr>
        <w:t>, S.A.</w:t>
      </w:r>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proofErr w:type="spellStart"/>
      <w:r w:rsidRPr="00195282">
        <w:rPr>
          <w:rFonts w:ascii="Times New Roman" w:eastAsia="Times New Roman" w:hAnsi="Times New Roman" w:cs="Times New Roman"/>
          <w:sz w:val="22"/>
          <w:szCs w:val="22"/>
          <w:lang w:val="lt-LT"/>
        </w:rPr>
        <w:t>Gran</w:t>
      </w:r>
      <w:proofErr w:type="spellEnd"/>
      <w:r w:rsidRPr="00195282">
        <w:rPr>
          <w:rFonts w:ascii="Times New Roman" w:eastAsia="Times New Roman" w:hAnsi="Times New Roman" w:cs="Times New Roman"/>
          <w:sz w:val="22"/>
          <w:szCs w:val="22"/>
          <w:lang w:val="lt-LT"/>
        </w:rPr>
        <w:t xml:space="preserve"> Via de les </w:t>
      </w:r>
      <w:proofErr w:type="spellStart"/>
      <w:r w:rsidRPr="00195282">
        <w:rPr>
          <w:rFonts w:ascii="Times New Roman" w:eastAsia="Times New Roman" w:hAnsi="Times New Roman" w:cs="Times New Roman"/>
          <w:sz w:val="22"/>
          <w:szCs w:val="22"/>
          <w:lang w:val="lt-LT"/>
        </w:rPr>
        <w:t>Corts</w:t>
      </w:r>
      <w:proofErr w:type="spellEnd"/>
      <w:r w:rsidRPr="00195282">
        <w:rPr>
          <w:rFonts w:ascii="Times New Roman" w:eastAsia="Times New Roman" w:hAnsi="Times New Roman" w:cs="Times New Roman"/>
          <w:sz w:val="22"/>
          <w:szCs w:val="22"/>
          <w:lang w:val="lt-LT"/>
        </w:rPr>
        <w:t xml:space="preserve"> </w:t>
      </w:r>
      <w:proofErr w:type="spellStart"/>
      <w:r w:rsidRPr="00195282">
        <w:rPr>
          <w:rFonts w:ascii="Times New Roman" w:eastAsia="Times New Roman" w:hAnsi="Times New Roman" w:cs="Times New Roman"/>
          <w:sz w:val="22"/>
          <w:szCs w:val="22"/>
          <w:lang w:val="lt-LT"/>
        </w:rPr>
        <w:t>Catalanes</w:t>
      </w:r>
      <w:proofErr w:type="spellEnd"/>
      <w:r w:rsidRPr="00195282">
        <w:rPr>
          <w:rFonts w:ascii="Times New Roman" w:eastAsia="Times New Roman" w:hAnsi="Times New Roman" w:cs="Times New Roman"/>
          <w:sz w:val="22"/>
          <w:szCs w:val="22"/>
          <w:lang w:val="lt-LT"/>
        </w:rPr>
        <w:t>, 764</w:t>
      </w:r>
    </w:p>
    <w:p w:rsidR="000A39DB" w:rsidRPr="00195282"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 xml:space="preserve">08013 </w:t>
      </w:r>
      <w:proofErr w:type="spellStart"/>
      <w:r w:rsidRPr="00195282">
        <w:rPr>
          <w:rFonts w:ascii="Times New Roman" w:eastAsia="Times New Roman" w:hAnsi="Times New Roman" w:cs="Times New Roman"/>
          <w:sz w:val="22"/>
          <w:szCs w:val="22"/>
          <w:lang w:val="lt-LT"/>
        </w:rPr>
        <w:t>Barcelona</w:t>
      </w:r>
      <w:proofErr w:type="spellEnd"/>
    </w:p>
    <w:p w:rsidR="000A39DB"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195282">
        <w:rPr>
          <w:rFonts w:ascii="Times New Roman" w:eastAsia="Times New Roman" w:hAnsi="Times New Roman" w:cs="Times New Roman"/>
          <w:sz w:val="22"/>
          <w:szCs w:val="22"/>
          <w:lang w:val="lt-LT"/>
        </w:rPr>
        <w:t>Ispanija</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sz w:val="22"/>
          <w:szCs w:val="22"/>
          <w:lang w:val="lt-LT"/>
        </w:rPr>
        <w:t>Jeigu apie šį vaistą norite sužinoti daugiau, kreipkitės į vietinį registruotojo atstovą.</w:t>
      </w:r>
    </w:p>
    <w:p w:rsidR="000A39DB" w:rsidRPr="00785553" w:rsidRDefault="000A39DB" w:rsidP="000A39DB">
      <w:pPr>
        <w:tabs>
          <w:tab w:val="left" w:pos="567"/>
        </w:tabs>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Calibri" w:hAnsi="Times New Roman" w:cs="Times New Roman"/>
          <w:sz w:val="22"/>
          <w:szCs w:val="22"/>
          <w:lang w:val="lt-LT"/>
        </w:rPr>
      </w:pPr>
      <w:r w:rsidRPr="00785553">
        <w:rPr>
          <w:rFonts w:ascii="Times New Roman" w:eastAsia="Calibri" w:hAnsi="Times New Roman" w:cs="Times New Roman"/>
          <w:sz w:val="22"/>
          <w:szCs w:val="22"/>
          <w:lang w:val="lt-LT"/>
        </w:rPr>
        <w:t xml:space="preserve">SIA </w:t>
      </w:r>
      <w:r w:rsidRPr="00785553">
        <w:rPr>
          <w:rFonts w:ascii="Times New Roman" w:eastAsia="Calibri" w:hAnsi="Times New Roman" w:cs="Times New Roman"/>
          <w:sz w:val="22"/>
          <w:szCs w:val="22"/>
          <w:lang w:val="et-EE"/>
        </w:rPr>
        <w:t>Novartis Baltics</w:t>
      </w:r>
      <w:r w:rsidRPr="00785553">
        <w:rPr>
          <w:rFonts w:ascii="Times New Roman" w:eastAsia="Calibri" w:hAnsi="Times New Roman" w:cs="Times New Roman"/>
          <w:sz w:val="22"/>
          <w:szCs w:val="22"/>
          <w:lang w:val="lt-LT"/>
        </w:rPr>
        <w:t xml:space="preserve"> Lietuvos filialas</w:t>
      </w:r>
    </w:p>
    <w:p w:rsidR="000A39DB" w:rsidRPr="00785553" w:rsidRDefault="000A39DB" w:rsidP="000A39DB">
      <w:pPr>
        <w:spacing w:after="0" w:line="240" w:lineRule="auto"/>
        <w:rPr>
          <w:rFonts w:ascii="Times New Roman" w:eastAsia="Calibri" w:hAnsi="Times New Roman" w:cs="Times New Roman"/>
          <w:bCs/>
          <w:iCs/>
          <w:sz w:val="22"/>
          <w:szCs w:val="22"/>
          <w:lang w:val="lt-LT"/>
        </w:rPr>
      </w:pPr>
      <w:r>
        <w:rPr>
          <w:rFonts w:ascii="Times New Roman" w:eastAsia="Calibri" w:hAnsi="Times New Roman" w:cs="Times New Roman"/>
          <w:bCs/>
          <w:iCs/>
          <w:sz w:val="22"/>
          <w:szCs w:val="22"/>
          <w:lang w:val="lt-LT"/>
        </w:rPr>
        <w:t>Upės g. 19-1</w:t>
      </w:r>
    </w:p>
    <w:p w:rsidR="000A39DB" w:rsidRPr="00785553" w:rsidRDefault="000A39DB" w:rsidP="000A39DB">
      <w:pPr>
        <w:spacing w:after="0" w:line="240" w:lineRule="auto"/>
        <w:rPr>
          <w:rFonts w:ascii="Times New Roman" w:eastAsia="Calibri" w:hAnsi="Times New Roman" w:cs="Times New Roman"/>
          <w:bCs/>
          <w:iCs/>
          <w:sz w:val="22"/>
          <w:szCs w:val="22"/>
          <w:lang w:val="lt-LT"/>
        </w:rPr>
      </w:pPr>
      <w:r w:rsidRPr="00785553">
        <w:rPr>
          <w:rFonts w:ascii="Times New Roman" w:eastAsia="Calibri" w:hAnsi="Times New Roman" w:cs="Times New Roman"/>
          <w:bCs/>
          <w:iCs/>
          <w:sz w:val="22"/>
          <w:szCs w:val="22"/>
          <w:lang w:val="lt-LT"/>
        </w:rPr>
        <w:t>LT-0</w:t>
      </w:r>
      <w:r>
        <w:rPr>
          <w:rFonts w:ascii="Times New Roman" w:eastAsia="Calibri" w:hAnsi="Times New Roman" w:cs="Times New Roman"/>
          <w:bCs/>
          <w:iCs/>
          <w:sz w:val="22"/>
          <w:szCs w:val="22"/>
          <w:lang w:val="lt-LT"/>
        </w:rPr>
        <w:t>8128</w:t>
      </w:r>
      <w:r w:rsidRPr="00785553">
        <w:rPr>
          <w:rFonts w:ascii="Times New Roman" w:eastAsia="Calibri" w:hAnsi="Times New Roman" w:cs="Times New Roman"/>
          <w:bCs/>
          <w:iCs/>
          <w:sz w:val="22"/>
          <w:szCs w:val="22"/>
          <w:lang w:val="lt-LT"/>
        </w:rPr>
        <w:t xml:space="preserve"> Vilnius</w:t>
      </w: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Calibri" w:hAnsi="Times New Roman" w:cs="Times New Roman"/>
          <w:bCs/>
          <w:iCs/>
          <w:sz w:val="22"/>
          <w:szCs w:val="22"/>
          <w:lang w:val="lt-LT"/>
        </w:rPr>
        <w:t>Tel. + 370</w:t>
      </w:r>
      <w:r>
        <w:rPr>
          <w:rFonts w:ascii="Times New Roman" w:eastAsia="Calibri" w:hAnsi="Times New Roman" w:cs="Times New Roman"/>
          <w:bCs/>
          <w:iCs/>
          <w:sz w:val="22"/>
          <w:szCs w:val="22"/>
          <w:lang w:val="lt-LT"/>
        </w:rPr>
        <w:t> </w:t>
      </w:r>
      <w:r w:rsidRPr="00785553">
        <w:rPr>
          <w:rFonts w:ascii="Times New Roman" w:eastAsia="Calibri" w:hAnsi="Times New Roman" w:cs="Times New Roman"/>
          <w:bCs/>
          <w:iCs/>
          <w:sz w:val="22"/>
          <w:szCs w:val="22"/>
          <w:lang w:val="lt-LT"/>
        </w:rPr>
        <w:t>5</w:t>
      </w:r>
      <w:r>
        <w:rPr>
          <w:rFonts w:ascii="Times New Roman" w:eastAsia="Calibri" w:hAnsi="Times New Roman" w:cs="Times New Roman"/>
          <w:bCs/>
          <w:iCs/>
          <w:sz w:val="22"/>
          <w:szCs w:val="22"/>
          <w:lang w:val="lt-LT"/>
        </w:rPr>
        <w:t> </w:t>
      </w:r>
      <w:r w:rsidRPr="00785553">
        <w:rPr>
          <w:rFonts w:ascii="Times New Roman" w:eastAsia="Calibri" w:hAnsi="Times New Roman" w:cs="Times New Roman"/>
          <w:bCs/>
          <w:iCs/>
          <w:sz w:val="22"/>
          <w:szCs w:val="22"/>
          <w:lang w:val="lt-LT"/>
        </w:rPr>
        <w:t>2691650</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Pr="00785553" w:rsidRDefault="000A39DB" w:rsidP="000A39DB">
      <w:pPr>
        <w:spacing w:after="0" w:line="240" w:lineRule="auto"/>
        <w:rPr>
          <w:rFonts w:ascii="Times New Roman" w:eastAsia="Times New Roman" w:hAnsi="Times New Roman" w:cs="Times New Roman"/>
          <w:sz w:val="22"/>
          <w:szCs w:val="22"/>
          <w:lang w:val="lt-LT"/>
        </w:rPr>
      </w:pPr>
      <w:r w:rsidRPr="00785553">
        <w:rPr>
          <w:rFonts w:ascii="Times New Roman" w:eastAsia="Times New Roman" w:hAnsi="Times New Roman" w:cs="Times New Roman"/>
          <w:b/>
          <w:bCs/>
          <w:sz w:val="22"/>
          <w:szCs w:val="22"/>
          <w:lang w:val="lt-LT"/>
        </w:rPr>
        <w:t>Šis pakuotės lapelis</w:t>
      </w:r>
      <w:r w:rsidRPr="00785553">
        <w:rPr>
          <w:rFonts w:ascii="Times New Roman" w:eastAsia="Times New Roman" w:hAnsi="Times New Roman" w:cs="Times New Roman"/>
          <w:b/>
          <w:sz w:val="22"/>
          <w:szCs w:val="22"/>
          <w:lang w:val="lt-LT"/>
        </w:rPr>
        <w:t xml:space="preserve"> paskutinį kartą peržiūrėtas</w:t>
      </w:r>
      <w:r>
        <w:rPr>
          <w:rFonts w:ascii="Times New Roman" w:eastAsia="Times New Roman" w:hAnsi="Times New Roman" w:cs="Times New Roman"/>
          <w:b/>
          <w:sz w:val="22"/>
          <w:szCs w:val="22"/>
          <w:lang w:val="lt-LT"/>
        </w:rPr>
        <w:t xml:space="preserve"> 2025-02-01</w:t>
      </w:r>
      <w:r w:rsidRPr="00785553">
        <w:rPr>
          <w:rFonts w:ascii="Times New Roman" w:eastAsia="Times New Roman" w:hAnsi="Times New Roman" w:cs="Times New Roman"/>
          <w:b/>
          <w:sz w:val="22"/>
          <w:szCs w:val="22"/>
          <w:lang w:val="lt-LT"/>
        </w:rPr>
        <w:t>.</w:t>
      </w:r>
    </w:p>
    <w:p w:rsidR="000A39DB" w:rsidRPr="00785553" w:rsidRDefault="000A39DB" w:rsidP="000A39DB">
      <w:pPr>
        <w:spacing w:after="0" w:line="240" w:lineRule="auto"/>
        <w:rPr>
          <w:rFonts w:ascii="Times New Roman" w:eastAsia="Times New Roman" w:hAnsi="Times New Roman" w:cs="Times New Roman"/>
          <w:sz w:val="22"/>
          <w:szCs w:val="22"/>
          <w:lang w:val="lt-LT"/>
        </w:rPr>
      </w:pPr>
    </w:p>
    <w:p w:rsidR="000A39DB" w:rsidRDefault="000A39DB" w:rsidP="000A39DB">
      <w:pPr>
        <w:spacing w:after="200" w:line="276" w:lineRule="auto"/>
        <w:rPr>
          <w:rFonts w:ascii="Times New Roman" w:eastAsia="Times New Roman" w:hAnsi="Times New Roman" w:cs="Times New Roman"/>
          <w:color w:val="0000FF"/>
          <w:sz w:val="22"/>
          <w:szCs w:val="22"/>
          <w:lang w:val="lt-LT"/>
        </w:rPr>
      </w:pPr>
      <w:r w:rsidRPr="00785553">
        <w:rPr>
          <w:rFonts w:ascii="Times New Roman" w:eastAsia="Times New Roman" w:hAnsi="Times New Roman" w:cs="Times New Roman"/>
          <w:sz w:val="22"/>
          <w:szCs w:val="22"/>
          <w:lang w:val="lt-LT"/>
        </w:rPr>
        <w:t>Išsami informacija apie šį vaistą pateikiama Valstybinės vaistų kontrolės tarnybos prie Lietuvos Respublikos sveikatos apsaugos ministerijos tinklalapyje</w:t>
      </w:r>
      <w:r w:rsidRPr="00785553">
        <w:rPr>
          <w:rFonts w:ascii="Times New Roman" w:eastAsia="Times New Roman" w:hAnsi="Times New Roman" w:cs="Times New Roman"/>
          <w:i/>
          <w:sz w:val="22"/>
          <w:szCs w:val="22"/>
          <w:lang w:val="lt-LT"/>
        </w:rPr>
        <w:t xml:space="preserve"> </w:t>
      </w:r>
      <w:hyperlink r:id="rId8" w:history="1">
        <w:r w:rsidRPr="008E7327">
          <w:rPr>
            <w:rStyle w:val="Hipersaitas"/>
            <w:rFonts w:ascii="Times New Roman" w:eastAsia="Times New Roman" w:hAnsi="Times New Roman" w:cs="Times New Roman"/>
            <w:sz w:val="22"/>
            <w:szCs w:val="22"/>
            <w:lang w:val="lt-LT"/>
          </w:rPr>
          <w:t>https://vvkt.lrv.lt/lt/</w:t>
        </w:r>
      </w:hyperlink>
      <w:r w:rsidRPr="00E96173">
        <w:rPr>
          <w:rFonts w:ascii="Times New Roman" w:eastAsia="Times New Roman" w:hAnsi="Times New Roman" w:cs="Times New Roman"/>
          <w:color w:val="0000FF"/>
          <w:sz w:val="22"/>
          <w:szCs w:val="22"/>
          <w:lang w:val="lt-LT"/>
        </w:rPr>
        <w:t>.</w:t>
      </w:r>
    </w:p>
    <w:p w:rsidR="000A39DB" w:rsidRPr="00F31F85" w:rsidRDefault="000A39DB" w:rsidP="000A39DB">
      <w:pPr>
        <w:spacing w:after="200" w:line="276" w:lineRule="auto"/>
      </w:pPr>
      <w:bookmarkStart w:id="10" w:name="_GoBack"/>
      <w:bookmarkEnd w:id="10"/>
    </w:p>
    <w:p w:rsidR="00BA6577" w:rsidRDefault="00BA6577"/>
    <w:sectPr w:rsidR="00BA6577">
      <w:headerReference w:type="default" r:id="rId9"/>
      <w:footerReference w:type="default" r:id="rId1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F18" w:rsidRDefault="000A39DB">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F18" w:rsidRDefault="000A39D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1" w15:restartNumberingAfterBreak="0">
    <w:nsid w:val="5BF47AA5"/>
    <w:multiLevelType w:val="hybridMultilevel"/>
    <w:tmpl w:val="540EEEC2"/>
    <w:lvl w:ilvl="0" w:tplc="51AA36B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21042"/>
    <w:multiLevelType w:val="hybridMultilevel"/>
    <w:tmpl w:val="FA58A592"/>
    <w:lvl w:ilvl="0" w:tplc="0807000F">
      <w:start w:val="3"/>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9DB"/>
    <w:rsid w:val="00072F85"/>
    <w:rsid w:val="000A39DB"/>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6363AE-F85E-4D2F-A70A-B8BA6F7C5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A39DB"/>
    <w:rPr>
      <w:rFonts w:ascii="Arial" w:hAnsi="Arial" w:cs="Arial"/>
      <w:sz w:val="20"/>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0A39DB"/>
    <w:rPr>
      <w:color w:val="0563C1" w:themeColor="hyperlink"/>
      <w:u w:val="single"/>
    </w:rPr>
  </w:style>
  <w:style w:type="paragraph" w:styleId="Antrats">
    <w:name w:val="header"/>
    <w:basedOn w:val="prastasis"/>
    <w:link w:val="AntratsDiagrama"/>
    <w:uiPriority w:val="99"/>
    <w:unhideWhenUsed/>
    <w:rsid w:val="000A39DB"/>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0A39DB"/>
    <w:rPr>
      <w:rFonts w:ascii="Arial" w:hAnsi="Arial" w:cs="Arial"/>
      <w:sz w:val="20"/>
      <w:szCs w:val="20"/>
      <w:lang w:val="en-US"/>
    </w:rPr>
  </w:style>
  <w:style w:type="paragraph" w:styleId="Porat">
    <w:name w:val="footer"/>
    <w:basedOn w:val="prastasis"/>
    <w:link w:val="PoratDiagrama"/>
    <w:uiPriority w:val="99"/>
    <w:unhideWhenUsed/>
    <w:rsid w:val="000A39DB"/>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0A39DB"/>
    <w:rPr>
      <w:rFonts w:ascii="Arial" w:hAnsi="Arial" w:cs="Arial"/>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6769</Words>
  <Characters>3859</Characters>
  <Application>Microsoft Office Word</Application>
  <DocSecurity>0</DocSecurity>
  <Lines>32</Lines>
  <Paragraphs>21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2025-04-04T12:32:00Z</dcterms:created>
  <dcterms:modified xsi:type="dcterms:W3CDTF">2025-04-04T12:32:00Z</dcterms:modified>
</cp:coreProperties>
</file>