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8EA" w:rsidRPr="00302E89" w:rsidRDefault="00B058EA" w:rsidP="00B058EA">
      <w:pPr>
        <w:pStyle w:val="Pagrindinistekstas"/>
        <w:spacing w:after="0"/>
        <w:jc w:val="center"/>
        <w:rPr>
          <w:b/>
          <w:szCs w:val="22"/>
        </w:rPr>
      </w:pPr>
      <w:r w:rsidRPr="00302E89">
        <w:rPr>
          <w:b/>
        </w:rPr>
        <w:t>Pakuotės lapelis:</w:t>
      </w:r>
      <w:r w:rsidRPr="00302E89">
        <w:rPr>
          <w:b/>
          <w:bCs/>
          <w:iCs/>
          <w:szCs w:val="24"/>
        </w:rPr>
        <w:t xml:space="preserve"> </w:t>
      </w:r>
      <w:r w:rsidRPr="00302E89">
        <w:rPr>
          <w:b/>
        </w:rPr>
        <w:t>informacija vartotojui</w:t>
      </w:r>
    </w:p>
    <w:p w:rsidR="00B058EA" w:rsidRPr="00302E89" w:rsidRDefault="00B058EA" w:rsidP="00B058EA">
      <w:pPr>
        <w:pStyle w:val="Pagrindinistekstas"/>
        <w:spacing w:after="0"/>
        <w:rPr>
          <w:szCs w:val="22"/>
        </w:rPr>
      </w:pPr>
    </w:p>
    <w:p w:rsidR="00B058EA" w:rsidRPr="00302E89" w:rsidRDefault="00B058EA" w:rsidP="00B058EA">
      <w:pPr>
        <w:pStyle w:val="Pagrindinistekstas"/>
        <w:spacing w:after="0"/>
        <w:jc w:val="center"/>
        <w:rPr>
          <w:b/>
          <w:szCs w:val="22"/>
        </w:rPr>
      </w:pPr>
      <w:proofErr w:type="spellStart"/>
      <w:r w:rsidRPr="00302E89">
        <w:rPr>
          <w:b/>
          <w:szCs w:val="22"/>
        </w:rPr>
        <w:t>Ambrosan</w:t>
      </w:r>
      <w:proofErr w:type="spellEnd"/>
      <w:r w:rsidRPr="00302E89">
        <w:rPr>
          <w:b/>
          <w:szCs w:val="22"/>
        </w:rPr>
        <w:t xml:space="preserve"> 30 mg tabletės</w:t>
      </w:r>
    </w:p>
    <w:p w:rsidR="00B058EA" w:rsidRPr="00302E89" w:rsidRDefault="00B058EA" w:rsidP="00B058EA">
      <w:pPr>
        <w:pStyle w:val="Pagrindinistekstas"/>
        <w:spacing w:after="0"/>
        <w:jc w:val="center"/>
        <w:rPr>
          <w:szCs w:val="22"/>
        </w:rPr>
      </w:pPr>
      <w:proofErr w:type="spellStart"/>
      <w:r w:rsidRPr="00302E89">
        <w:rPr>
          <w:szCs w:val="22"/>
        </w:rPr>
        <w:t>Ambroksolio</w:t>
      </w:r>
      <w:proofErr w:type="spellEnd"/>
      <w:r w:rsidRPr="00302E89">
        <w:rPr>
          <w:szCs w:val="22"/>
        </w:rPr>
        <w:t xml:space="preserve"> hidrochloridas</w:t>
      </w:r>
    </w:p>
    <w:p w:rsidR="00B058EA" w:rsidRPr="00302E89" w:rsidRDefault="00B058EA" w:rsidP="00B058EA">
      <w:pPr>
        <w:pStyle w:val="Pagrindinistekstas"/>
        <w:spacing w:after="0"/>
        <w:rPr>
          <w:szCs w:val="22"/>
        </w:rPr>
      </w:pPr>
    </w:p>
    <w:p w:rsidR="00B058EA" w:rsidRPr="00302E89" w:rsidRDefault="00B058EA" w:rsidP="00B058EA">
      <w:pPr>
        <w:numPr>
          <w:ilvl w:val="12"/>
          <w:numId w:val="0"/>
        </w:numPr>
        <w:rPr>
          <w:b/>
          <w:szCs w:val="24"/>
        </w:rPr>
      </w:pPr>
      <w:r w:rsidRPr="00302E89">
        <w:rPr>
          <w:b/>
          <w:szCs w:val="24"/>
        </w:rPr>
        <w:t>Atidžiai perskaitykite visą šį lapelį, prieš pradėdami vartoti šį vaistą, nes jame pateikiama Jums svarbi informacija.</w:t>
      </w:r>
    </w:p>
    <w:p w:rsidR="00B058EA" w:rsidRPr="00302E89" w:rsidRDefault="00B058EA" w:rsidP="00B058EA">
      <w:pPr>
        <w:numPr>
          <w:ilvl w:val="12"/>
          <w:numId w:val="0"/>
        </w:numPr>
        <w:rPr>
          <w:szCs w:val="24"/>
        </w:rPr>
      </w:pPr>
      <w:r w:rsidRPr="00302E89">
        <w:rPr>
          <w:szCs w:val="24"/>
        </w:rPr>
        <w:t>Visada vartokite šį vaistą tiksliai kaip aprašyta šiame lapelyje arba kaip nurodė gydytojas arba vaistininkas.</w:t>
      </w:r>
    </w:p>
    <w:p w:rsidR="00B058EA" w:rsidRPr="00302E89" w:rsidRDefault="00B058EA" w:rsidP="00B058EA">
      <w:pPr>
        <w:numPr>
          <w:ilvl w:val="0"/>
          <w:numId w:val="2"/>
        </w:numPr>
        <w:tabs>
          <w:tab w:val="left" w:pos="567"/>
        </w:tabs>
        <w:ind w:left="567" w:hanging="567"/>
        <w:rPr>
          <w:szCs w:val="24"/>
        </w:rPr>
      </w:pPr>
      <w:r w:rsidRPr="00302E89">
        <w:rPr>
          <w:szCs w:val="24"/>
        </w:rPr>
        <w:t xml:space="preserve">Neišmeskite šio lapelio, nes vėl gali prireikti jį perskaityti. </w:t>
      </w:r>
    </w:p>
    <w:p w:rsidR="00B058EA" w:rsidRPr="00302E89" w:rsidRDefault="00B058EA" w:rsidP="00B058EA">
      <w:pPr>
        <w:numPr>
          <w:ilvl w:val="0"/>
          <w:numId w:val="2"/>
        </w:numPr>
        <w:tabs>
          <w:tab w:val="left" w:pos="567"/>
        </w:tabs>
        <w:ind w:left="567" w:hanging="567"/>
        <w:rPr>
          <w:szCs w:val="24"/>
        </w:rPr>
      </w:pPr>
      <w:r w:rsidRPr="00302E89">
        <w:rPr>
          <w:szCs w:val="24"/>
        </w:rPr>
        <w:t>Jeigu norite sužinoti daugiau arba pasitarti, kreipkitės į vaistininką.</w:t>
      </w:r>
    </w:p>
    <w:p w:rsidR="00B058EA" w:rsidRPr="00302E89" w:rsidRDefault="00B058EA" w:rsidP="00B058EA">
      <w:pPr>
        <w:numPr>
          <w:ilvl w:val="0"/>
          <w:numId w:val="2"/>
        </w:numPr>
        <w:tabs>
          <w:tab w:val="left" w:pos="567"/>
        </w:tabs>
        <w:ind w:left="567" w:hanging="567"/>
        <w:rPr>
          <w:szCs w:val="24"/>
        </w:rPr>
      </w:pPr>
      <w:r w:rsidRPr="00302E89">
        <w:rPr>
          <w:szCs w:val="24"/>
        </w:rPr>
        <w:t>Jeigu pasireiškė šalutinis poveikis (net jeigu jis šiame lapelyje nenurodytas), kreipkitės į gydytoją arba vaistininką. Žr. 4 skyrių.</w:t>
      </w:r>
    </w:p>
    <w:p w:rsidR="00B058EA" w:rsidRPr="00302E89" w:rsidRDefault="00B058EA" w:rsidP="00B058EA">
      <w:pPr>
        <w:numPr>
          <w:ilvl w:val="0"/>
          <w:numId w:val="2"/>
        </w:numPr>
        <w:tabs>
          <w:tab w:val="left" w:pos="567"/>
        </w:tabs>
        <w:ind w:left="567" w:hanging="567"/>
        <w:rPr>
          <w:szCs w:val="24"/>
        </w:rPr>
      </w:pPr>
      <w:r w:rsidRPr="00302E89">
        <w:rPr>
          <w:szCs w:val="24"/>
        </w:rPr>
        <w:t>Jeigu per 5 paras Jūsų savijauta nepagerėjo arba net pablogėjo, kreipkitės į gydytoją.</w:t>
      </w:r>
    </w:p>
    <w:p w:rsidR="00B058EA" w:rsidRPr="00302E89" w:rsidRDefault="00B058EA" w:rsidP="00B058EA">
      <w:pPr>
        <w:pStyle w:val="Pagrindinistekstas"/>
        <w:spacing w:after="0"/>
        <w:rPr>
          <w:szCs w:val="22"/>
        </w:rPr>
      </w:pPr>
    </w:p>
    <w:p w:rsidR="00B058EA" w:rsidRPr="00302E89" w:rsidRDefault="00B058EA" w:rsidP="00B058EA">
      <w:pPr>
        <w:tabs>
          <w:tab w:val="left" w:pos="567"/>
        </w:tabs>
        <w:rPr>
          <w:b/>
        </w:rPr>
      </w:pPr>
      <w:r w:rsidRPr="00302E89">
        <w:rPr>
          <w:b/>
        </w:rPr>
        <w:t>Apie ką rašoma šiame lapelyje?</w:t>
      </w:r>
    </w:p>
    <w:p w:rsidR="00B058EA" w:rsidRPr="00302E89" w:rsidRDefault="00B058EA" w:rsidP="00B058EA">
      <w:pPr>
        <w:tabs>
          <w:tab w:val="left" w:pos="567"/>
        </w:tabs>
        <w:rPr>
          <w:szCs w:val="22"/>
        </w:rPr>
      </w:pPr>
    </w:p>
    <w:p w:rsidR="00B058EA" w:rsidRPr="00302E89" w:rsidRDefault="00B058EA" w:rsidP="00B058EA">
      <w:pPr>
        <w:numPr>
          <w:ilvl w:val="0"/>
          <w:numId w:val="1"/>
        </w:numPr>
        <w:tabs>
          <w:tab w:val="left" w:pos="567"/>
        </w:tabs>
        <w:ind w:hanging="900"/>
        <w:rPr>
          <w:szCs w:val="22"/>
        </w:rPr>
      </w:pPr>
      <w:r w:rsidRPr="00302E89">
        <w:rPr>
          <w:szCs w:val="22"/>
        </w:rPr>
        <w:t xml:space="preserve">Kas yra </w:t>
      </w:r>
      <w:proofErr w:type="spellStart"/>
      <w:r w:rsidRPr="00302E89">
        <w:rPr>
          <w:szCs w:val="22"/>
        </w:rPr>
        <w:t>Ambrosan</w:t>
      </w:r>
      <w:proofErr w:type="spellEnd"/>
      <w:r w:rsidRPr="00302E89">
        <w:rPr>
          <w:szCs w:val="22"/>
        </w:rPr>
        <w:t xml:space="preserve"> ir kam jis vartojamas</w:t>
      </w:r>
    </w:p>
    <w:p w:rsidR="00B058EA" w:rsidRPr="00302E89" w:rsidRDefault="00B058EA" w:rsidP="00B058EA">
      <w:pPr>
        <w:numPr>
          <w:ilvl w:val="0"/>
          <w:numId w:val="1"/>
        </w:numPr>
        <w:tabs>
          <w:tab w:val="left" w:pos="567"/>
        </w:tabs>
        <w:ind w:hanging="900"/>
        <w:rPr>
          <w:szCs w:val="22"/>
        </w:rPr>
      </w:pPr>
      <w:r w:rsidRPr="00302E89">
        <w:rPr>
          <w:szCs w:val="22"/>
        </w:rPr>
        <w:t xml:space="preserve">Kas žinotina prieš vartojant </w:t>
      </w:r>
      <w:proofErr w:type="spellStart"/>
      <w:r w:rsidRPr="00302E89">
        <w:rPr>
          <w:szCs w:val="22"/>
        </w:rPr>
        <w:t>Ambrosan</w:t>
      </w:r>
      <w:proofErr w:type="spellEnd"/>
      <w:r w:rsidRPr="00302E89">
        <w:rPr>
          <w:szCs w:val="22"/>
        </w:rPr>
        <w:t xml:space="preserve"> </w:t>
      </w:r>
    </w:p>
    <w:p w:rsidR="00B058EA" w:rsidRPr="00302E89" w:rsidRDefault="00B058EA" w:rsidP="00B058EA">
      <w:pPr>
        <w:numPr>
          <w:ilvl w:val="0"/>
          <w:numId w:val="1"/>
        </w:numPr>
        <w:tabs>
          <w:tab w:val="left" w:pos="567"/>
        </w:tabs>
        <w:ind w:hanging="900"/>
        <w:rPr>
          <w:szCs w:val="22"/>
        </w:rPr>
      </w:pPr>
      <w:r w:rsidRPr="00302E89">
        <w:rPr>
          <w:szCs w:val="22"/>
        </w:rPr>
        <w:t xml:space="preserve">Kaip vartoti </w:t>
      </w:r>
      <w:proofErr w:type="spellStart"/>
      <w:r w:rsidRPr="00302E89">
        <w:rPr>
          <w:szCs w:val="22"/>
        </w:rPr>
        <w:t>Ambrosan</w:t>
      </w:r>
      <w:proofErr w:type="spellEnd"/>
    </w:p>
    <w:p w:rsidR="00B058EA" w:rsidRPr="00302E89" w:rsidRDefault="00B058EA" w:rsidP="00B058EA">
      <w:pPr>
        <w:numPr>
          <w:ilvl w:val="0"/>
          <w:numId w:val="1"/>
        </w:numPr>
        <w:tabs>
          <w:tab w:val="left" w:pos="567"/>
        </w:tabs>
        <w:ind w:hanging="900"/>
        <w:rPr>
          <w:szCs w:val="22"/>
        </w:rPr>
      </w:pPr>
      <w:r w:rsidRPr="00302E89">
        <w:rPr>
          <w:szCs w:val="22"/>
        </w:rPr>
        <w:t>Galimas šalutinis poveikis</w:t>
      </w:r>
    </w:p>
    <w:p w:rsidR="00B058EA" w:rsidRPr="00302E89" w:rsidRDefault="00B058EA" w:rsidP="00B058EA">
      <w:pPr>
        <w:numPr>
          <w:ilvl w:val="0"/>
          <w:numId w:val="1"/>
        </w:numPr>
        <w:tabs>
          <w:tab w:val="left" w:pos="567"/>
        </w:tabs>
        <w:ind w:hanging="900"/>
        <w:rPr>
          <w:szCs w:val="22"/>
        </w:rPr>
      </w:pPr>
      <w:r w:rsidRPr="00302E89">
        <w:rPr>
          <w:szCs w:val="22"/>
        </w:rPr>
        <w:t xml:space="preserve">Kaip laikyti </w:t>
      </w:r>
      <w:proofErr w:type="spellStart"/>
      <w:r w:rsidRPr="00302E89">
        <w:rPr>
          <w:szCs w:val="22"/>
        </w:rPr>
        <w:t>Ambrosan</w:t>
      </w:r>
      <w:proofErr w:type="spellEnd"/>
      <w:r w:rsidRPr="00302E89">
        <w:rPr>
          <w:szCs w:val="22"/>
        </w:rPr>
        <w:t xml:space="preserve"> </w:t>
      </w:r>
    </w:p>
    <w:p w:rsidR="00B058EA" w:rsidRPr="00302E89" w:rsidRDefault="00B058EA" w:rsidP="00B058EA">
      <w:pPr>
        <w:numPr>
          <w:ilvl w:val="0"/>
          <w:numId w:val="1"/>
        </w:numPr>
        <w:tabs>
          <w:tab w:val="left" w:pos="567"/>
        </w:tabs>
        <w:ind w:hanging="900"/>
        <w:rPr>
          <w:szCs w:val="22"/>
        </w:rPr>
      </w:pPr>
      <w:r w:rsidRPr="00302E89">
        <w:rPr>
          <w:szCs w:val="22"/>
        </w:rPr>
        <w:t>Pakuotės turinys ir kita informacija</w:t>
      </w:r>
    </w:p>
    <w:p w:rsidR="00B058EA" w:rsidRPr="00302E89" w:rsidRDefault="00B058EA" w:rsidP="00B058EA">
      <w:pPr>
        <w:pStyle w:val="Pagrindinistekstas"/>
        <w:spacing w:after="0"/>
        <w:rPr>
          <w:szCs w:val="22"/>
        </w:rPr>
      </w:pPr>
    </w:p>
    <w:p w:rsidR="00B058EA" w:rsidRPr="00302E89" w:rsidRDefault="00B058EA" w:rsidP="00B058EA">
      <w:pPr>
        <w:pStyle w:val="Pagrindinistekstas"/>
        <w:spacing w:after="0"/>
        <w:rPr>
          <w:szCs w:val="22"/>
        </w:rPr>
      </w:pPr>
    </w:p>
    <w:p w:rsidR="00B058EA" w:rsidRPr="00302E89" w:rsidRDefault="00B058EA" w:rsidP="00B058EA">
      <w:pPr>
        <w:tabs>
          <w:tab w:val="left" w:pos="567"/>
        </w:tabs>
        <w:rPr>
          <w:szCs w:val="22"/>
        </w:rPr>
      </w:pPr>
      <w:r w:rsidRPr="00302E89">
        <w:rPr>
          <w:b/>
        </w:rPr>
        <w:t>1.</w:t>
      </w:r>
      <w:r w:rsidRPr="00302E89">
        <w:rPr>
          <w:b/>
        </w:rPr>
        <w:tab/>
        <w:t xml:space="preserve">Kas yra </w:t>
      </w:r>
      <w:proofErr w:type="spellStart"/>
      <w:r w:rsidRPr="00302E89">
        <w:rPr>
          <w:b/>
        </w:rPr>
        <w:t>Ambrosan</w:t>
      </w:r>
      <w:proofErr w:type="spellEnd"/>
      <w:r w:rsidRPr="00302E89">
        <w:rPr>
          <w:b/>
        </w:rPr>
        <w:t xml:space="preserve"> ir kam jis vartojamas</w:t>
      </w:r>
    </w:p>
    <w:p w:rsidR="00B058EA" w:rsidRPr="00302E89" w:rsidRDefault="00B058EA" w:rsidP="00B058EA">
      <w:pPr>
        <w:pStyle w:val="Antrat2"/>
        <w:ind w:left="0" w:firstLine="0"/>
      </w:pPr>
    </w:p>
    <w:p w:rsidR="00B058EA" w:rsidRPr="00302E89" w:rsidRDefault="00B058EA" w:rsidP="00B058EA">
      <w:pPr>
        <w:rPr>
          <w:szCs w:val="22"/>
        </w:rPr>
      </w:pPr>
      <w:r w:rsidRPr="00302E89">
        <w:rPr>
          <w:szCs w:val="22"/>
        </w:rPr>
        <w:t>Šis vaistas vartojamas ūminių ir lėtinių kvėpavimo takų ligų: ūminio ir pasikartojančio bronchų, gerklės ir trachėjos uždegimo, lėtinio bronchito (bronchų vamzdelių uždegimas), lėtinės obstrukcinės plaučių ligos gydymui.</w:t>
      </w:r>
    </w:p>
    <w:p w:rsidR="00B058EA" w:rsidRPr="00302E89" w:rsidRDefault="00B058EA" w:rsidP="00B058EA">
      <w:pPr>
        <w:rPr>
          <w:szCs w:val="22"/>
        </w:rPr>
      </w:pPr>
      <w:r w:rsidRPr="00302E89">
        <w:rPr>
          <w:szCs w:val="22"/>
        </w:rPr>
        <w:t xml:space="preserve"> </w:t>
      </w:r>
    </w:p>
    <w:p w:rsidR="00B058EA" w:rsidRPr="00302E89" w:rsidRDefault="00B058EA" w:rsidP="00B058EA">
      <w:pPr>
        <w:rPr>
          <w:szCs w:val="22"/>
        </w:rPr>
      </w:pPr>
      <w:r w:rsidRPr="00302E89">
        <w:rPr>
          <w:szCs w:val="22"/>
        </w:rPr>
        <w:t>Pacientai, sergantys ūminėmis kvėpavimo takų ligomis, gali vartoti šį vaistą nepasitarę su gydytoju.</w:t>
      </w:r>
    </w:p>
    <w:p w:rsidR="00B058EA" w:rsidRPr="00302E89" w:rsidRDefault="00B058EA" w:rsidP="00B058EA">
      <w:pPr>
        <w:rPr>
          <w:szCs w:val="22"/>
        </w:rPr>
      </w:pPr>
      <w:r w:rsidRPr="00302E89">
        <w:rPr>
          <w:szCs w:val="22"/>
        </w:rPr>
        <w:t>Pacientai, varginami pasikartojančių kvėpavimo takų ligų, gali vartoti šį vaistą ilgesnį laiko tarpą tik pasitarę su gydytoju.</w:t>
      </w:r>
    </w:p>
    <w:p w:rsidR="00B058EA" w:rsidRPr="00302E89" w:rsidRDefault="00B058EA" w:rsidP="00B058EA">
      <w:pPr>
        <w:rPr>
          <w:szCs w:val="22"/>
        </w:rPr>
      </w:pPr>
    </w:p>
    <w:p w:rsidR="00B058EA" w:rsidRPr="00302E89" w:rsidRDefault="00B058EA" w:rsidP="00B058EA">
      <w:pPr>
        <w:rPr>
          <w:szCs w:val="22"/>
        </w:rPr>
      </w:pPr>
      <w:r w:rsidRPr="00302E89">
        <w:rPr>
          <w:szCs w:val="22"/>
        </w:rPr>
        <w:t xml:space="preserve">Ūminės ligos dažnai yra lydimos sauso, varginančio kosulio ar net deginimo pojūčio krūtinės srityje sergant bronchitu ir užkimimo sergant laringitu. Vystantis ligoms formuojasi klampios gleivės, kurios yra palaipsniui atkosėjamos. Sergant lėtinėmis ligomis gali prasidėti abiejų tipų kosulys – sausas dirginantis ir drėgnas su gleivėmis. </w:t>
      </w:r>
    </w:p>
    <w:p w:rsidR="00B058EA" w:rsidRPr="00302E89" w:rsidRDefault="00B058EA" w:rsidP="00B058EA">
      <w:pPr>
        <w:rPr>
          <w:szCs w:val="22"/>
        </w:rPr>
      </w:pPr>
    </w:p>
    <w:p w:rsidR="00B058EA" w:rsidRPr="00302E89" w:rsidRDefault="00B058EA" w:rsidP="00B058EA">
      <w:pPr>
        <w:rPr>
          <w:szCs w:val="22"/>
        </w:rPr>
      </w:pPr>
      <w:r w:rsidRPr="00302E89">
        <w:rPr>
          <w:szCs w:val="22"/>
        </w:rPr>
        <w:t xml:space="preserve">Veiklioji </w:t>
      </w:r>
      <w:proofErr w:type="spellStart"/>
      <w:r w:rsidRPr="00302E89">
        <w:rPr>
          <w:szCs w:val="22"/>
        </w:rPr>
        <w:t>Ambrosan</w:t>
      </w:r>
      <w:proofErr w:type="spellEnd"/>
      <w:r w:rsidRPr="00302E89">
        <w:rPr>
          <w:szCs w:val="22"/>
        </w:rPr>
        <w:t xml:space="preserve"> medžiaga </w:t>
      </w:r>
      <w:proofErr w:type="spellStart"/>
      <w:r w:rsidRPr="00302E89">
        <w:rPr>
          <w:szCs w:val="22"/>
        </w:rPr>
        <w:t>ambroksolio</w:t>
      </w:r>
      <w:proofErr w:type="spellEnd"/>
      <w:r w:rsidRPr="00302E89">
        <w:rPr>
          <w:szCs w:val="22"/>
        </w:rPr>
        <w:t xml:space="preserve"> hidrochloridas didina kvėpavimo takų liaukų sekreciją, </w:t>
      </w:r>
      <w:proofErr w:type="spellStart"/>
      <w:r w:rsidRPr="00302E89">
        <w:rPr>
          <w:szCs w:val="22"/>
        </w:rPr>
        <w:t>surfaktanto</w:t>
      </w:r>
      <w:proofErr w:type="spellEnd"/>
      <w:r w:rsidRPr="00302E89">
        <w:rPr>
          <w:szCs w:val="22"/>
        </w:rPr>
        <w:t xml:space="preserve"> (medžiaga, padengianti alveolių sienelių paviršių) gamybą plaučiuose ir stimuliuoja kvėpavimo takų virpamojo epitelio žiuželių funkciją, padedančią lengviau pasišalinti sekretui. Dėl minėto poveikio sekretas lengviau pašalinamas iš kvėpavimo takų.</w:t>
      </w:r>
    </w:p>
    <w:p w:rsidR="00B058EA" w:rsidRPr="00302E89" w:rsidRDefault="00B058EA" w:rsidP="00B058EA">
      <w:pPr>
        <w:rPr>
          <w:szCs w:val="22"/>
        </w:rPr>
      </w:pPr>
    </w:p>
    <w:p w:rsidR="00B058EA" w:rsidRPr="00302E89" w:rsidRDefault="00B058EA" w:rsidP="00B058EA">
      <w:pPr>
        <w:rPr>
          <w:szCs w:val="22"/>
        </w:rPr>
      </w:pPr>
      <w:r w:rsidRPr="00302E89">
        <w:rPr>
          <w:szCs w:val="22"/>
        </w:rPr>
        <w:t xml:space="preserve">Jeigu per 5 paras Jūsų savijauta nepagerėjo arba net pablogėjo, kreipkitės į gydytoją. </w:t>
      </w:r>
    </w:p>
    <w:p w:rsidR="00B058EA" w:rsidRPr="00302E89" w:rsidRDefault="00B058EA" w:rsidP="00B058EA">
      <w:pPr>
        <w:pStyle w:val="NoSpacing1"/>
      </w:pPr>
    </w:p>
    <w:p w:rsidR="00B058EA" w:rsidRPr="00302E89" w:rsidRDefault="00B058EA" w:rsidP="00B058EA">
      <w:pPr>
        <w:pStyle w:val="Pagrindinistekstas"/>
        <w:spacing w:after="0"/>
        <w:rPr>
          <w:szCs w:val="22"/>
        </w:rPr>
      </w:pPr>
    </w:p>
    <w:p w:rsidR="00B058EA" w:rsidRPr="00302E89" w:rsidRDefault="00B058EA" w:rsidP="00B058EA">
      <w:pPr>
        <w:pStyle w:val="Antrat2"/>
      </w:pPr>
      <w:r w:rsidRPr="00302E89">
        <w:t>2.</w:t>
      </w:r>
      <w:r w:rsidRPr="00302E89">
        <w:tab/>
        <w:t xml:space="preserve">Kas žinotina prieš vartojant </w:t>
      </w:r>
      <w:proofErr w:type="spellStart"/>
      <w:r w:rsidRPr="00302E89">
        <w:t>Ambrosan</w:t>
      </w:r>
      <w:proofErr w:type="spellEnd"/>
    </w:p>
    <w:p w:rsidR="00B058EA" w:rsidRPr="00302E89" w:rsidRDefault="00B058EA" w:rsidP="00B058EA">
      <w:pPr>
        <w:pStyle w:val="Pagrindinistekstas"/>
        <w:spacing w:after="0"/>
        <w:rPr>
          <w:szCs w:val="22"/>
        </w:rPr>
      </w:pPr>
    </w:p>
    <w:p w:rsidR="00B058EA" w:rsidRPr="00302E89" w:rsidRDefault="00B058EA" w:rsidP="00B058EA">
      <w:pPr>
        <w:pStyle w:val="Antrat3"/>
      </w:pPr>
      <w:proofErr w:type="spellStart"/>
      <w:r w:rsidRPr="00302E89">
        <w:t>Ambrosan</w:t>
      </w:r>
      <w:proofErr w:type="spellEnd"/>
      <w:r w:rsidRPr="00302E89">
        <w:t xml:space="preserve"> vartoti negalima:</w:t>
      </w:r>
    </w:p>
    <w:p w:rsidR="00B058EA" w:rsidRPr="00302E89" w:rsidRDefault="00B058EA" w:rsidP="00B058EA">
      <w:pPr>
        <w:pStyle w:val="Pagrindinistekstas"/>
        <w:numPr>
          <w:ilvl w:val="0"/>
          <w:numId w:val="3"/>
        </w:numPr>
        <w:spacing w:after="0"/>
        <w:rPr>
          <w:szCs w:val="22"/>
        </w:rPr>
      </w:pPr>
      <w:r w:rsidRPr="00302E89">
        <w:rPr>
          <w:szCs w:val="22"/>
        </w:rPr>
        <w:t xml:space="preserve">jeigu yra alergija </w:t>
      </w:r>
      <w:proofErr w:type="spellStart"/>
      <w:r w:rsidRPr="00302E89">
        <w:rPr>
          <w:szCs w:val="22"/>
        </w:rPr>
        <w:t>ambroksolio</w:t>
      </w:r>
      <w:proofErr w:type="spellEnd"/>
      <w:r w:rsidRPr="00302E89">
        <w:rPr>
          <w:szCs w:val="22"/>
        </w:rPr>
        <w:t xml:space="preserve"> hidrochloridui arba bet kuriai pagalbinei </w:t>
      </w:r>
      <w:r w:rsidRPr="00302E89">
        <w:t>šio vaisto</w:t>
      </w:r>
      <w:r w:rsidRPr="00302E89">
        <w:rPr>
          <w:szCs w:val="22"/>
        </w:rPr>
        <w:t xml:space="preserve"> medžiagai (jos išvardytos 6 skyriuje);</w:t>
      </w:r>
    </w:p>
    <w:p w:rsidR="00B058EA" w:rsidRPr="00302E89" w:rsidRDefault="00B058EA" w:rsidP="00B058EA">
      <w:pPr>
        <w:pStyle w:val="Pagrindinistekstas"/>
        <w:spacing w:after="0"/>
        <w:rPr>
          <w:szCs w:val="22"/>
        </w:rPr>
      </w:pPr>
    </w:p>
    <w:p w:rsidR="00B058EA" w:rsidRPr="00302E89" w:rsidRDefault="00B058EA" w:rsidP="00B058EA">
      <w:pPr>
        <w:pStyle w:val="Antrat3"/>
        <w:ind w:left="0" w:firstLine="0"/>
      </w:pPr>
      <w:r w:rsidRPr="00302E89">
        <w:t>Įspėjimai ir atsargumo priemonės</w:t>
      </w:r>
    </w:p>
    <w:p w:rsidR="00B058EA" w:rsidRPr="00302E89" w:rsidRDefault="00B058EA" w:rsidP="00B058EA">
      <w:pPr>
        <w:rPr>
          <w:szCs w:val="22"/>
        </w:rPr>
      </w:pPr>
      <w:r w:rsidRPr="00302E89">
        <w:rPr>
          <w:szCs w:val="22"/>
        </w:rPr>
        <w:t xml:space="preserve">Pasitarkite su gydytoju arba vaistininku, prieš pradėdami vartoti </w:t>
      </w:r>
      <w:proofErr w:type="spellStart"/>
      <w:r w:rsidRPr="00302E89">
        <w:rPr>
          <w:szCs w:val="22"/>
        </w:rPr>
        <w:t>Ambrosan</w:t>
      </w:r>
      <w:proofErr w:type="spellEnd"/>
      <w:r w:rsidRPr="00302E89">
        <w:rPr>
          <w:szCs w:val="22"/>
        </w:rPr>
        <w:t>:</w:t>
      </w:r>
    </w:p>
    <w:p w:rsidR="00B058EA" w:rsidRPr="00302E89" w:rsidRDefault="00B058EA" w:rsidP="00B058EA">
      <w:pPr>
        <w:pStyle w:val="Sraopastraipa"/>
        <w:numPr>
          <w:ilvl w:val="0"/>
          <w:numId w:val="2"/>
        </w:numPr>
      </w:pPr>
      <w:r w:rsidRPr="00302E89">
        <w:rPr>
          <w:szCs w:val="22"/>
        </w:rPr>
        <w:t>jeigu Jums yra inkstų nepakankamumas arba sunki kepenų liga.</w:t>
      </w:r>
    </w:p>
    <w:p w:rsidR="00B058EA" w:rsidRPr="00302E89" w:rsidRDefault="00B058EA" w:rsidP="00B058EA">
      <w:pPr>
        <w:rPr>
          <w:szCs w:val="22"/>
        </w:rPr>
      </w:pPr>
    </w:p>
    <w:p w:rsidR="00B058EA" w:rsidRPr="00302E89" w:rsidRDefault="00B058EA" w:rsidP="00B058EA">
      <w:r w:rsidRPr="00302E89">
        <w:rPr>
          <w:szCs w:val="22"/>
        </w:rPr>
        <w:t xml:space="preserve">Nustatyti sunkių odos reakcijų, susijusių su </w:t>
      </w:r>
      <w:proofErr w:type="spellStart"/>
      <w:r w:rsidRPr="00302E89">
        <w:rPr>
          <w:szCs w:val="22"/>
        </w:rPr>
        <w:t>ambroksolio</w:t>
      </w:r>
      <w:proofErr w:type="spellEnd"/>
      <w:r w:rsidRPr="00302E89">
        <w:rPr>
          <w:szCs w:val="22"/>
        </w:rPr>
        <w:t xml:space="preserve"> hidrochlorido vartojimu, atvejai. Jeigu Jums pasireiškė odos išbėrimas (įskaitant gleivinės, pvz., burnos, gerklės, nosies, akių, lyties organų</w:t>
      </w:r>
      <w:r>
        <w:rPr>
          <w:szCs w:val="22"/>
        </w:rPr>
        <w:t xml:space="preserve"> </w:t>
      </w:r>
      <w:r w:rsidRPr="00302E89">
        <w:rPr>
          <w:szCs w:val="22"/>
        </w:rPr>
        <w:t xml:space="preserve">pažeidimus), nedelsdami nutraukite </w:t>
      </w:r>
      <w:proofErr w:type="spellStart"/>
      <w:r w:rsidRPr="00302E89">
        <w:rPr>
          <w:szCs w:val="22"/>
        </w:rPr>
        <w:t>Ambrosan</w:t>
      </w:r>
      <w:proofErr w:type="spellEnd"/>
      <w:r w:rsidRPr="00302E89">
        <w:rPr>
          <w:szCs w:val="22"/>
        </w:rPr>
        <w:t xml:space="preserve"> vartojimą ir kreipkitės į gydytoją.</w:t>
      </w:r>
    </w:p>
    <w:p w:rsidR="00B058EA" w:rsidRPr="00302E89" w:rsidRDefault="00B058EA" w:rsidP="00B058EA">
      <w:pPr>
        <w:rPr>
          <w:szCs w:val="22"/>
        </w:rPr>
      </w:pPr>
    </w:p>
    <w:p w:rsidR="00B058EA" w:rsidRPr="00302E89" w:rsidRDefault="00B058EA" w:rsidP="00B058EA">
      <w:pPr>
        <w:rPr>
          <w:b/>
          <w:bCs/>
          <w:iCs/>
          <w:szCs w:val="22"/>
        </w:rPr>
      </w:pPr>
      <w:r w:rsidRPr="00302E89">
        <w:rPr>
          <w:b/>
          <w:bCs/>
          <w:iCs/>
          <w:szCs w:val="22"/>
        </w:rPr>
        <w:t xml:space="preserve">Kiti vaistai ir </w:t>
      </w:r>
      <w:proofErr w:type="spellStart"/>
      <w:r w:rsidRPr="00302E89">
        <w:rPr>
          <w:b/>
          <w:bCs/>
          <w:iCs/>
          <w:szCs w:val="22"/>
        </w:rPr>
        <w:t>Ambrosan</w:t>
      </w:r>
      <w:proofErr w:type="spellEnd"/>
    </w:p>
    <w:p w:rsidR="00B058EA" w:rsidRPr="00302E89" w:rsidRDefault="00B058EA" w:rsidP="00B058EA">
      <w:pPr>
        <w:rPr>
          <w:szCs w:val="22"/>
        </w:rPr>
      </w:pPr>
      <w:r w:rsidRPr="00302E89">
        <w:rPr>
          <w:szCs w:val="22"/>
        </w:rPr>
        <w:t>Jeigu vartojate arba neseniai vartojote kitų vaistų</w:t>
      </w:r>
      <w:r w:rsidRPr="00302E89">
        <w:t xml:space="preserve"> </w:t>
      </w:r>
      <w:r w:rsidRPr="00302E89">
        <w:rPr>
          <w:szCs w:val="22"/>
        </w:rPr>
        <w:t xml:space="preserve">arba dėl to nesate tikri, apie tai pasakykite gydytojui arba vaistininkui. Pasakykite gydytojui, jeigu kartu vartojate antibiotikų (pvz., </w:t>
      </w:r>
      <w:proofErr w:type="spellStart"/>
      <w:r w:rsidRPr="00302E89">
        <w:rPr>
          <w:szCs w:val="22"/>
        </w:rPr>
        <w:t>amoksicilino</w:t>
      </w:r>
      <w:proofErr w:type="spellEnd"/>
      <w:r w:rsidRPr="00302E89">
        <w:rPr>
          <w:szCs w:val="22"/>
        </w:rPr>
        <w:t xml:space="preserve">, </w:t>
      </w:r>
      <w:proofErr w:type="spellStart"/>
      <w:r w:rsidRPr="00302E89">
        <w:rPr>
          <w:szCs w:val="22"/>
        </w:rPr>
        <w:t>cefuroksimo</w:t>
      </w:r>
      <w:proofErr w:type="spellEnd"/>
      <w:r w:rsidRPr="00302E89">
        <w:rPr>
          <w:szCs w:val="22"/>
        </w:rPr>
        <w:t xml:space="preserve">, </w:t>
      </w:r>
      <w:proofErr w:type="spellStart"/>
      <w:r w:rsidRPr="00302E89">
        <w:rPr>
          <w:szCs w:val="22"/>
        </w:rPr>
        <w:t>eritromicino</w:t>
      </w:r>
      <w:proofErr w:type="spellEnd"/>
      <w:r w:rsidRPr="00302E89">
        <w:rPr>
          <w:szCs w:val="22"/>
        </w:rPr>
        <w:t>).</w:t>
      </w:r>
    </w:p>
    <w:p w:rsidR="00B058EA" w:rsidRPr="00302E89" w:rsidRDefault="00B058EA" w:rsidP="00B058EA">
      <w:pPr>
        <w:rPr>
          <w:szCs w:val="22"/>
        </w:rPr>
      </w:pPr>
    </w:p>
    <w:p w:rsidR="00B058EA" w:rsidRPr="00302E89" w:rsidRDefault="00B058EA" w:rsidP="00B058EA">
      <w:pPr>
        <w:rPr>
          <w:szCs w:val="22"/>
        </w:rPr>
      </w:pPr>
      <w:bookmarkStart w:id="0" w:name="_Hlk14875802"/>
      <w:bookmarkStart w:id="1" w:name="_Hlk14875885"/>
      <w:r w:rsidRPr="00302E89">
        <w:rPr>
          <w:szCs w:val="22"/>
        </w:rPr>
        <w:t xml:space="preserve">Kartu vartojant </w:t>
      </w:r>
      <w:proofErr w:type="spellStart"/>
      <w:r w:rsidRPr="00302E89">
        <w:rPr>
          <w:szCs w:val="22"/>
        </w:rPr>
        <w:t>Ambrosan</w:t>
      </w:r>
      <w:proofErr w:type="spellEnd"/>
      <w:r w:rsidRPr="00302E89">
        <w:rPr>
          <w:szCs w:val="22"/>
        </w:rPr>
        <w:t xml:space="preserve"> ir antibiotikų (pvz., </w:t>
      </w:r>
      <w:proofErr w:type="spellStart"/>
      <w:r w:rsidRPr="00302E89">
        <w:rPr>
          <w:szCs w:val="22"/>
        </w:rPr>
        <w:t>amoksiciliną</w:t>
      </w:r>
      <w:proofErr w:type="spellEnd"/>
      <w:r w:rsidRPr="00302E89">
        <w:rPr>
          <w:szCs w:val="22"/>
        </w:rPr>
        <w:t xml:space="preserve">, </w:t>
      </w:r>
      <w:proofErr w:type="spellStart"/>
      <w:r w:rsidRPr="00302E89">
        <w:rPr>
          <w:szCs w:val="22"/>
        </w:rPr>
        <w:t>cefuroksimą</w:t>
      </w:r>
      <w:proofErr w:type="spellEnd"/>
      <w:r w:rsidRPr="00302E89">
        <w:rPr>
          <w:szCs w:val="22"/>
        </w:rPr>
        <w:t xml:space="preserve">, </w:t>
      </w:r>
      <w:proofErr w:type="spellStart"/>
      <w:r w:rsidRPr="00302E89">
        <w:rPr>
          <w:szCs w:val="22"/>
        </w:rPr>
        <w:t>eritromiciną</w:t>
      </w:r>
      <w:proofErr w:type="spellEnd"/>
      <w:r w:rsidRPr="00302E89">
        <w:rPr>
          <w:szCs w:val="22"/>
        </w:rPr>
        <w:t>) padidėja antibiotikų koncentracija sekrete, kuris susidaro kvėpavimo takuose</w:t>
      </w:r>
      <w:bookmarkEnd w:id="0"/>
      <w:r w:rsidRPr="00302E89">
        <w:rPr>
          <w:szCs w:val="22"/>
        </w:rPr>
        <w:t>- tai gali būti laikoma pageidaujamu poveikiu.</w:t>
      </w:r>
      <w:bookmarkEnd w:id="1"/>
    </w:p>
    <w:p w:rsidR="00B058EA" w:rsidRPr="00302E89" w:rsidRDefault="00B058EA" w:rsidP="00B058EA">
      <w:pPr>
        <w:rPr>
          <w:szCs w:val="22"/>
        </w:rPr>
      </w:pPr>
    </w:p>
    <w:p w:rsidR="00B058EA" w:rsidRPr="00302E89" w:rsidRDefault="00B058EA" w:rsidP="00B058EA">
      <w:pPr>
        <w:rPr>
          <w:szCs w:val="22"/>
        </w:rPr>
      </w:pPr>
      <w:r w:rsidRPr="00302E89">
        <w:rPr>
          <w:szCs w:val="22"/>
        </w:rPr>
        <w:t>Kliniškai reikšmingos nepalankios sąveikos su kitais vaistais nepastebėta.</w:t>
      </w:r>
    </w:p>
    <w:p w:rsidR="00B058EA" w:rsidRPr="00302E89" w:rsidRDefault="00B058EA" w:rsidP="00B058EA">
      <w:pPr>
        <w:rPr>
          <w:szCs w:val="22"/>
        </w:rPr>
      </w:pPr>
      <w:r w:rsidRPr="00302E89">
        <w:rPr>
          <w:szCs w:val="22"/>
        </w:rPr>
        <w:t xml:space="preserve">Kartu su kosulį slopinančiais vaistais </w:t>
      </w:r>
      <w:proofErr w:type="spellStart"/>
      <w:r w:rsidRPr="00302E89">
        <w:rPr>
          <w:szCs w:val="22"/>
        </w:rPr>
        <w:t>ambroksolio</w:t>
      </w:r>
      <w:proofErr w:type="spellEnd"/>
      <w:r w:rsidRPr="00302E89">
        <w:rPr>
          <w:szCs w:val="22"/>
        </w:rPr>
        <w:t xml:space="preserve"> hidrochlorido vartoti nerekomenduojama.</w:t>
      </w:r>
    </w:p>
    <w:p w:rsidR="00B058EA" w:rsidRPr="00302E89" w:rsidRDefault="00B058EA" w:rsidP="00B058EA">
      <w:pPr>
        <w:rPr>
          <w:szCs w:val="22"/>
        </w:rPr>
      </w:pPr>
    </w:p>
    <w:p w:rsidR="00B058EA" w:rsidRPr="00302E89" w:rsidRDefault="00B058EA" w:rsidP="00B058EA">
      <w:pPr>
        <w:rPr>
          <w:b/>
          <w:szCs w:val="22"/>
        </w:rPr>
      </w:pPr>
      <w:r w:rsidRPr="00302E89">
        <w:rPr>
          <w:b/>
          <w:szCs w:val="22"/>
        </w:rPr>
        <w:t>Nėštumas, žindymo laikotarpis ir vaisingumas</w:t>
      </w:r>
    </w:p>
    <w:p w:rsidR="00B058EA" w:rsidRPr="00302E89" w:rsidRDefault="00B058EA" w:rsidP="00B058EA">
      <w:pPr>
        <w:rPr>
          <w:b/>
          <w:szCs w:val="22"/>
        </w:rPr>
      </w:pPr>
      <w:r w:rsidRPr="00302E89">
        <w:t xml:space="preserve">Jeigu vartojate ar neseniai vartojote kitų vaistų </w:t>
      </w:r>
      <w:r w:rsidRPr="00302E89">
        <w:rPr>
          <w:szCs w:val="22"/>
        </w:rPr>
        <w:t>arba dėl to nesate tikri, apie tai</w:t>
      </w:r>
      <w:r w:rsidRPr="00302E89">
        <w:t xml:space="preserve"> pasakykite</w:t>
      </w:r>
      <w:r w:rsidRPr="00302E89">
        <w:rPr>
          <w:szCs w:val="22"/>
        </w:rPr>
        <w:t xml:space="preserve"> </w:t>
      </w:r>
      <w:r>
        <w:rPr>
          <w:szCs w:val="22"/>
        </w:rPr>
        <w:t>gydytojui</w:t>
      </w:r>
      <w:r w:rsidRPr="00302E89">
        <w:rPr>
          <w:szCs w:val="22"/>
        </w:rPr>
        <w:t xml:space="preserve"> arba vaistininku.</w:t>
      </w:r>
    </w:p>
    <w:p w:rsidR="00B058EA" w:rsidRPr="00302E89" w:rsidRDefault="00B058EA" w:rsidP="00B058EA">
      <w:pPr>
        <w:rPr>
          <w:szCs w:val="22"/>
        </w:rPr>
      </w:pPr>
    </w:p>
    <w:p w:rsidR="00B058EA" w:rsidRPr="00302E89" w:rsidRDefault="00B058EA" w:rsidP="00B058EA">
      <w:pPr>
        <w:rPr>
          <w:szCs w:val="22"/>
        </w:rPr>
      </w:pPr>
      <w:r w:rsidRPr="00302E89">
        <w:rPr>
          <w:szCs w:val="22"/>
        </w:rPr>
        <w:t xml:space="preserve">Nėštumo metu, ypač pirmųjų trijų mėnesių laikotarpiu, </w:t>
      </w:r>
      <w:proofErr w:type="spellStart"/>
      <w:r w:rsidRPr="00302E89">
        <w:rPr>
          <w:szCs w:val="22"/>
        </w:rPr>
        <w:t>Ambrosan</w:t>
      </w:r>
      <w:proofErr w:type="spellEnd"/>
      <w:r w:rsidRPr="00302E89">
        <w:rPr>
          <w:szCs w:val="22"/>
        </w:rPr>
        <w:t xml:space="preserve"> vartoti nerekomenduojama. </w:t>
      </w:r>
    </w:p>
    <w:p w:rsidR="00B058EA" w:rsidRPr="00302E89" w:rsidRDefault="00B058EA" w:rsidP="00B058EA">
      <w:pPr>
        <w:rPr>
          <w:szCs w:val="22"/>
        </w:rPr>
      </w:pPr>
    </w:p>
    <w:p w:rsidR="00B058EA" w:rsidRPr="00302E89" w:rsidRDefault="00B058EA" w:rsidP="00B058EA">
      <w:pPr>
        <w:rPr>
          <w:szCs w:val="22"/>
        </w:rPr>
      </w:pPr>
      <w:r w:rsidRPr="00302E89">
        <w:rPr>
          <w:szCs w:val="22"/>
        </w:rPr>
        <w:t xml:space="preserve">Žindyvėms </w:t>
      </w:r>
      <w:proofErr w:type="spellStart"/>
      <w:r w:rsidRPr="00302E89">
        <w:rPr>
          <w:szCs w:val="22"/>
        </w:rPr>
        <w:t>Ambrosan</w:t>
      </w:r>
      <w:proofErr w:type="spellEnd"/>
      <w:r w:rsidRPr="00302E89">
        <w:rPr>
          <w:szCs w:val="22"/>
        </w:rPr>
        <w:t xml:space="preserve"> vartoti nerekomenduojama, kadangi </w:t>
      </w:r>
      <w:proofErr w:type="spellStart"/>
      <w:r w:rsidRPr="00302E89">
        <w:rPr>
          <w:szCs w:val="22"/>
        </w:rPr>
        <w:t>ambroksolio</w:t>
      </w:r>
      <w:proofErr w:type="spellEnd"/>
      <w:r w:rsidRPr="00302E89">
        <w:rPr>
          <w:szCs w:val="22"/>
        </w:rPr>
        <w:t xml:space="preserve"> hidrochlorido išsiskiria su motinos pienu.</w:t>
      </w:r>
    </w:p>
    <w:p w:rsidR="00B058EA" w:rsidRPr="00302E89" w:rsidRDefault="00B058EA" w:rsidP="00B058EA">
      <w:pPr>
        <w:rPr>
          <w:szCs w:val="22"/>
        </w:rPr>
      </w:pPr>
    </w:p>
    <w:p w:rsidR="00B058EA" w:rsidRPr="00302E89" w:rsidRDefault="00B058EA" w:rsidP="00B058EA">
      <w:pPr>
        <w:rPr>
          <w:b/>
          <w:szCs w:val="22"/>
        </w:rPr>
      </w:pPr>
      <w:r w:rsidRPr="00302E89">
        <w:rPr>
          <w:b/>
          <w:szCs w:val="22"/>
        </w:rPr>
        <w:t>Vairavimas ir mechanizmų valdymas</w:t>
      </w:r>
    </w:p>
    <w:p w:rsidR="00B058EA" w:rsidRPr="00302E89" w:rsidRDefault="00B058EA" w:rsidP="00B058EA">
      <w:pPr>
        <w:tabs>
          <w:tab w:val="left" w:pos="567"/>
        </w:tabs>
        <w:rPr>
          <w:szCs w:val="22"/>
        </w:rPr>
      </w:pPr>
      <w:r w:rsidRPr="00302E89">
        <w:rPr>
          <w:szCs w:val="22"/>
        </w:rPr>
        <w:t>Duomenų apie poveikį gebėjimui vairuoti ir valdyti mechanizmus nėra. Poveikio gebėjimui vairuoti ir valdyti mechanizmus tyrimų neatlikta.</w:t>
      </w:r>
    </w:p>
    <w:p w:rsidR="00B058EA" w:rsidRPr="00302E89" w:rsidRDefault="00B058EA" w:rsidP="00B058EA">
      <w:pPr>
        <w:tabs>
          <w:tab w:val="left" w:pos="567"/>
        </w:tabs>
        <w:rPr>
          <w:szCs w:val="22"/>
        </w:rPr>
      </w:pPr>
    </w:p>
    <w:p w:rsidR="00B058EA" w:rsidRPr="00302E89" w:rsidRDefault="00B058EA" w:rsidP="00B058EA">
      <w:pPr>
        <w:tabs>
          <w:tab w:val="left" w:pos="567"/>
        </w:tabs>
        <w:rPr>
          <w:szCs w:val="22"/>
        </w:rPr>
      </w:pPr>
      <w:proofErr w:type="spellStart"/>
      <w:r w:rsidRPr="00302E89">
        <w:rPr>
          <w:b/>
        </w:rPr>
        <w:t>Ambrosan</w:t>
      </w:r>
      <w:proofErr w:type="spellEnd"/>
      <w:r w:rsidRPr="00302E89">
        <w:rPr>
          <w:b/>
        </w:rPr>
        <w:t xml:space="preserve"> sudėtyje yra</w:t>
      </w:r>
      <w:r>
        <w:rPr>
          <w:b/>
        </w:rPr>
        <w:t xml:space="preserve"> </w:t>
      </w:r>
      <w:r w:rsidRPr="00302E89">
        <w:rPr>
          <w:b/>
          <w:szCs w:val="22"/>
        </w:rPr>
        <w:t>laktozės</w:t>
      </w:r>
    </w:p>
    <w:p w:rsidR="00B058EA" w:rsidRPr="00302E89" w:rsidRDefault="00B058EA" w:rsidP="00B058EA">
      <w:pPr>
        <w:tabs>
          <w:tab w:val="left" w:pos="567"/>
        </w:tabs>
        <w:rPr>
          <w:szCs w:val="22"/>
        </w:rPr>
      </w:pPr>
      <w:r w:rsidRPr="00302E89">
        <w:rPr>
          <w:szCs w:val="22"/>
        </w:rPr>
        <w:t>Jeigu gydytojas Jums yra sakęs, kad netoleruojate kokių nors angliavandenių, kreipkitės į jį prieš pradėdami vartoti šį vaistą.</w:t>
      </w:r>
    </w:p>
    <w:p w:rsidR="00B058EA" w:rsidRPr="00302E89" w:rsidRDefault="00B058EA" w:rsidP="00B058EA">
      <w:pPr>
        <w:pStyle w:val="Pagrindinistekstas"/>
        <w:spacing w:after="0"/>
        <w:rPr>
          <w:szCs w:val="22"/>
        </w:rPr>
      </w:pPr>
    </w:p>
    <w:p w:rsidR="00B058EA" w:rsidRPr="00302E89" w:rsidRDefault="00B058EA" w:rsidP="00B058EA">
      <w:pPr>
        <w:pStyle w:val="Pagrindinistekstas"/>
        <w:spacing w:after="0"/>
        <w:rPr>
          <w:szCs w:val="22"/>
        </w:rPr>
      </w:pPr>
    </w:p>
    <w:p w:rsidR="00B058EA" w:rsidRPr="00302E89" w:rsidRDefault="00B058EA" w:rsidP="00B058EA">
      <w:pPr>
        <w:pStyle w:val="Antrat2"/>
      </w:pPr>
      <w:r w:rsidRPr="00302E89">
        <w:t>3.</w:t>
      </w:r>
      <w:r w:rsidRPr="00302E89">
        <w:tab/>
        <w:t xml:space="preserve">Kaip vartoti </w:t>
      </w:r>
      <w:proofErr w:type="spellStart"/>
      <w:r w:rsidRPr="00302E89">
        <w:t>Ambrosan</w:t>
      </w:r>
      <w:proofErr w:type="spellEnd"/>
    </w:p>
    <w:p w:rsidR="00B058EA" w:rsidRPr="00302E89" w:rsidRDefault="00B058EA" w:rsidP="00B058EA">
      <w:pPr>
        <w:pStyle w:val="Pagrindinistekstas"/>
        <w:spacing w:after="0"/>
        <w:rPr>
          <w:szCs w:val="22"/>
        </w:rPr>
      </w:pPr>
    </w:p>
    <w:p w:rsidR="00B058EA" w:rsidRPr="00302E89" w:rsidRDefault="00B058EA" w:rsidP="00B058EA">
      <w:pPr>
        <w:pStyle w:val="Pagrindinistekstas"/>
        <w:spacing w:after="0"/>
        <w:rPr>
          <w:szCs w:val="22"/>
        </w:rPr>
      </w:pPr>
      <w:r w:rsidRPr="00302E89">
        <w:rPr>
          <w:szCs w:val="22"/>
        </w:rPr>
        <w:t>Visada vartokite šį vaistą tiksliai kaip aprašyta šiame lapelyje arba kaip nurodė gydytojas arba vaistininkas. Jeigu abejojate, kreipkitės į gydytoją arba vaistininką.</w:t>
      </w:r>
    </w:p>
    <w:p w:rsidR="00B058EA" w:rsidRPr="00302E89" w:rsidRDefault="00B058EA" w:rsidP="00B058EA">
      <w:pPr>
        <w:pStyle w:val="Pagrindinistekstas"/>
        <w:spacing w:after="0"/>
        <w:rPr>
          <w:szCs w:val="22"/>
        </w:rPr>
      </w:pPr>
    </w:p>
    <w:p w:rsidR="00B058EA" w:rsidRPr="00302E89" w:rsidRDefault="00B058EA" w:rsidP="00B058EA">
      <w:pPr>
        <w:pStyle w:val="Pagrindinistekstas"/>
        <w:spacing w:after="0"/>
      </w:pPr>
      <w:r w:rsidRPr="00302E89">
        <w:t>Jeigu gydytojas nepaskyrė kitaip, rekomenduojama vaisto dozė yra:</w:t>
      </w:r>
    </w:p>
    <w:p w:rsidR="00B058EA" w:rsidRPr="00302E89" w:rsidRDefault="00B058EA" w:rsidP="00B058EA">
      <w:pPr>
        <w:pStyle w:val="Pagrindinistekstas"/>
        <w:spacing w:after="0"/>
        <w:rPr>
          <w:szCs w:val="22"/>
        </w:rPr>
      </w:pPr>
    </w:p>
    <w:p w:rsidR="00B058EA" w:rsidRPr="00302E89" w:rsidRDefault="00B058EA" w:rsidP="00B058EA">
      <w:pPr>
        <w:tabs>
          <w:tab w:val="left" w:pos="567"/>
        </w:tabs>
        <w:rPr>
          <w:szCs w:val="22"/>
          <w:u w:val="single"/>
        </w:rPr>
      </w:pPr>
      <w:r w:rsidRPr="00302E89">
        <w:rPr>
          <w:szCs w:val="22"/>
          <w:u w:val="single"/>
        </w:rPr>
        <w:t>Suaugusieji ir vyresni kaip 12 metų vaikai</w:t>
      </w:r>
    </w:p>
    <w:p w:rsidR="00B058EA" w:rsidRPr="00302E89" w:rsidRDefault="00B058EA" w:rsidP="00B058EA">
      <w:pPr>
        <w:tabs>
          <w:tab w:val="left" w:pos="567"/>
        </w:tabs>
        <w:rPr>
          <w:szCs w:val="22"/>
        </w:rPr>
      </w:pPr>
      <w:r w:rsidRPr="00302E89">
        <w:rPr>
          <w:szCs w:val="22"/>
        </w:rPr>
        <w:t xml:space="preserve">Gerti po 1 tabletę 3 kartus per parą. </w:t>
      </w:r>
    </w:p>
    <w:p w:rsidR="00B058EA" w:rsidRPr="00302E89" w:rsidRDefault="00B058EA" w:rsidP="00B058EA">
      <w:pPr>
        <w:tabs>
          <w:tab w:val="left" w:pos="567"/>
        </w:tabs>
        <w:rPr>
          <w:szCs w:val="22"/>
        </w:rPr>
      </w:pPr>
      <w:r w:rsidRPr="00302E89">
        <w:rPr>
          <w:szCs w:val="22"/>
        </w:rPr>
        <w:t>Gydomąjį poveikį galima padidinti vartojant 2 tabletes 2 kartus per parą.</w:t>
      </w:r>
    </w:p>
    <w:p w:rsidR="00B058EA" w:rsidRPr="00302E89" w:rsidRDefault="00B058EA" w:rsidP="00B058EA">
      <w:pPr>
        <w:tabs>
          <w:tab w:val="left" w:pos="567"/>
        </w:tabs>
        <w:rPr>
          <w:szCs w:val="22"/>
        </w:rPr>
      </w:pPr>
      <w:r w:rsidRPr="00302E89">
        <w:rPr>
          <w:szCs w:val="22"/>
        </w:rPr>
        <w:t>Tabletes galima vartoti valgio metu arba nevalgius, nuryti užgeriant skysčiu.</w:t>
      </w:r>
    </w:p>
    <w:p w:rsidR="00B058EA" w:rsidRPr="00302E89" w:rsidRDefault="00B058EA" w:rsidP="00B058EA">
      <w:pPr>
        <w:tabs>
          <w:tab w:val="left" w:pos="567"/>
        </w:tabs>
        <w:rPr>
          <w:szCs w:val="22"/>
        </w:rPr>
      </w:pPr>
    </w:p>
    <w:p w:rsidR="00B058EA" w:rsidRPr="00302E89" w:rsidRDefault="00B058EA" w:rsidP="00B058EA">
      <w:pPr>
        <w:tabs>
          <w:tab w:val="left" w:pos="567"/>
        </w:tabs>
        <w:rPr>
          <w:szCs w:val="22"/>
          <w:u w:val="single"/>
        </w:rPr>
      </w:pPr>
      <w:r w:rsidRPr="00302E89">
        <w:rPr>
          <w:szCs w:val="22"/>
          <w:u w:val="single"/>
        </w:rPr>
        <w:t>6-12 metų vaikai</w:t>
      </w:r>
    </w:p>
    <w:p w:rsidR="00B058EA" w:rsidRPr="00302E89" w:rsidRDefault="00B058EA" w:rsidP="00B058EA">
      <w:pPr>
        <w:tabs>
          <w:tab w:val="left" w:pos="567"/>
        </w:tabs>
        <w:rPr>
          <w:szCs w:val="22"/>
        </w:rPr>
      </w:pPr>
      <w:r w:rsidRPr="00302E89">
        <w:rPr>
          <w:szCs w:val="22"/>
        </w:rPr>
        <w:t xml:space="preserve">Gerti po pusę tabletės (15 mg </w:t>
      </w:r>
      <w:proofErr w:type="spellStart"/>
      <w:r w:rsidRPr="00302E89">
        <w:rPr>
          <w:szCs w:val="22"/>
        </w:rPr>
        <w:t>ambroksolio</w:t>
      </w:r>
      <w:proofErr w:type="spellEnd"/>
      <w:r w:rsidRPr="00302E89">
        <w:rPr>
          <w:szCs w:val="22"/>
        </w:rPr>
        <w:t xml:space="preserve"> hidrochlorido) 2-3 kartus per parą. Didžiausia paros dozė 45 mg </w:t>
      </w:r>
      <w:proofErr w:type="spellStart"/>
      <w:r w:rsidRPr="00302E89">
        <w:rPr>
          <w:szCs w:val="22"/>
        </w:rPr>
        <w:t>ambroksolio</w:t>
      </w:r>
      <w:proofErr w:type="spellEnd"/>
      <w:r w:rsidRPr="00302E89">
        <w:rPr>
          <w:szCs w:val="22"/>
        </w:rPr>
        <w:t xml:space="preserve"> hidrochlorido.</w:t>
      </w:r>
    </w:p>
    <w:p w:rsidR="00B058EA" w:rsidRPr="00302E89" w:rsidRDefault="00B058EA" w:rsidP="00B058EA">
      <w:pPr>
        <w:tabs>
          <w:tab w:val="left" w:pos="567"/>
        </w:tabs>
        <w:rPr>
          <w:u w:val="single"/>
        </w:rPr>
      </w:pPr>
    </w:p>
    <w:p w:rsidR="00B058EA" w:rsidRPr="00302E89" w:rsidRDefault="00B058EA" w:rsidP="00B058EA">
      <w:pPr>
        <w:rPr>
          <w:u w:val="single"/>
        </w:rPr>
      </w:pPr>
      <w:r w:rsidRPr="00302E89">
        <w:rPr>
          <w:u w:val="single"/>
        </w:rPr>
        <w:t>Jaunesni kaip 6 metų vaikai</w:t>
      </w:r>
    </w:p>
    <w:p w:rsidR="00B058EA" w:rsidRPr="00302E89" w:rsidRDefault="00B058EA" w:rsidP="00B058EA">
      <w:r w:rsidRPr="00302E89">
        <w:t>Vartoti vaikams nerekomenduojama, kadangi vaistinio preparato sudėtyje yra per didelis veikliosios medžiagos kiekis.</w:t>
      </w:r>
    </w:p>
    <w:p w:rsidR="00B058EA" w:rsidRPr="00302E89" w:rsidRDefault="00B058EA" w:rsidP="00B058EA">
      <w:pPr>
        <w:tabs>
          <w:tab w:val="left" w:pos="567"/>
        </w:tabs>
        <w:rPr>
          <w:szCs w:val="22"/>
        </w:rPr>
      </w:pPr>
    </w:p>
    <w:p w:rsidR="00B058EA" w:rsidRPr="00302E89" w:rsidRDefault="00B058EA" w:rsidP="00B058EA">
      <w:pPr>
        <w:tabs>
          <w:tab w:val="left" w:pos="567"/>
        </w:tabs>
        <w:rPr>
          <w:szCs w:val="22"/>
        </w:rPr>
      </w:pPr>
      <w:r w:rsidRPr="00302E89">
        <w:rPr>
          <w:szCs w:val="22"/>
        </w:rPr>
        <w:lastRenderedPageBreak/>
        <w:t xml:space="preserve">Gydymo </w:t>
      </w:r>
      <w:proofErr w:type="spellStart"/>
      <w:r w:rsidRPr="00302E89">
        <w:rPr>
          <w:szCs w:val="22"/>
        </w:rPr>
        <w:t>Ambrosan</w:t>
      </w:r>
      <w:proofErr w:type="spellEnd"/>
      <w:r w:rsidRPr="00302E89">
        <w:rPr>
          <w:szCs w:val="22"/>
        </w:rPr>
        <w:t xml:space="preserve"> trukmė yra nustatoma individualiai ir priklauso nuo ligos požymių ir tipo. Jeigu ūminės kvėpavimo sistemos ligos simptomai per 5 paras nepalengvėja arba pasunkėja, kreipkitės į gydytoją.</w:t>
      </w:r>
    </w:p>
    <w:p w:rsidR="00B058EA" w:rsidRPr="00302E89" w:rsidRDefault="00B058EA" w:rsidP="00B058EA"/>
    <w:p w:rsidR="00B058EA" w:rsidRPr="00302E89" w:rsidRDefault="00B058EA" w:rsidP="00B058EA">
      <w:r w:rsidRPr="00302E89">
        <w:t xml:space="preserve">Nevartokite šio vaisto ilgiau kaip 10 parų nepasitarę su gydytoju. </w:t>
      </w:r>
    </w:p>
    <w:p w:rsidR="00B058EA" w:rsidRPr="00302E89" w:rsidRDefault="00B058EA" w:rsidP="00B058EA">
      <w:r w:rsidRPr="00302E89">
        <w:t xml:space="preserve">Ilgalaikis </w:t>
      </w:r>
      <w:proofErr w:type="spellStart"/>
      <w:r w:rsidRPr="00302E89">
        <w:t>Ambrosan</w:t>
      </w:r>
      <w:proofErr w:type="spellEnd"/>
      <w:r w:rsidRPr="00302E89">
        <w:t xml:space="preserve"> vartojimas lėtinių ligų gydymui galimas tik pasitarus su gydytoju.</w:t>
      </w:r>
    </w:p>
    <w:p w:rsidR="00B058EA" w:rsidRPr="00302E89" w:rsidRDefault="00B058EA" w:rsidP="00B058EA">
      <w:pPr>
        <w:rPr>
          <w:u w:val="single"/>
        </w:rPr>
      </w:pPr>
    </w:p>
    <w:p w:rsidR="00B058EA" w:rsidRPr="00302E89" w:rsidRDefault="00B058EA" w:rsidP="00B058EA">
      <w:pPr>
        <w:pStyle w:val="Antrat3"/>
        <w:ind w:left="0" w:firstLine="0"/>
      </w:pPr>
      <w:r w:rsidRPr="00302E89">
        <w:t xml:space="preserve">Ką daryti pavartojus per didelę </w:t>
      </w:r>
      <w:proofErr w:type="spellStart"/>
      <w:r w:rsidRPr="00302E89">
        <w:t>Ambrosan</w:t>
      </w:r>
      <w:proofErr w:type="spellEnd"/>
      <w:r w:rsidRPr="00302E89">
        <w:t xml:space="preserve"> dozę?</w:t>
      </w:r>
    </w:p>
    <w:p w:rsidR="00B058EA" w:rsidRPr="00302E89" w:rsidRDefault="00B058EA" w:rsidP="00B058EA">
      <w:pPr>
        <w:pStyle w:val="Antrat3"/>
        <w:rPr>
          <w:b w:val="0"/>
          <w:spacing w:val="-3"/>
        </w:rPr>
      </w:pPr>
      <w:r w:rsidRPr="00302E89">
        <w:rPr>
          <w:b w:val="0"/>
          <w:spacing w:val="-3"/>
        </w:rPr>
        <w:t>Jeigu išgėrėte daugiau tablečių nei turėtumėte, pasitarkite su gydytoju ar vaistininku.</w:t>
      </w:r>
    </w:p>
    <w:p w:rsidR="00B058EA" w:rsidRPr="00302E89" w:rsidRDefault="00B058EA" w:rsidP="00B058EA">
      <w:pPr>
        <w:suppressAutoHyphens/>
        <w:jc w:val="both"/>
        <w:rPr>
          <w:spacing w:val="-3"/>
          <w:szCs w:val="22"/>
        </w:rPr>
      </w:pPr>
      <w:r w:rsidRPr="00302E89">
        <w:rPr>
          <w:spacing w:val="-3"/>
        </w:rPr>
        <w:t xml:space="preserve">Apie specifinius perdozavimo simptomus žmogui iki šiol pranešimų negauta. Remiantis pranešimais apie atsitiktinį perdozavimą ir (arba) vartojimo klaidas, stebėti simptomai atitinka rekomenduojamos </w:t>
      </w:r>
      <w:proofErr w:type="spellStart"/>
      <w:r w:rsidRPr="00302E89">
        <w:rPr>
          <w:spacing w:val="-3"/>
        </w:rPr>
        <w:t>Ambrosan</w:t>
      </w:r>
      <w:proofErr w:type="spellEnd"/>
      <w:r w:rsidRPr="00302E89">
        <w:rPr>
          <w:spacing w:val="-3"/>
        </w:rPr>
        <w:t xml:space="preserve"> dozės sukeliamą žinomą nepageidaujamą poveikį. Pacientui gali prireikti simptominio gydymo.</w:t>
      </w:r>
    </w:p>
    <w:p w:rsidR="00B058EA" w:rsidRPr="00302E89" w:rsidRDefault="00B058EA" w:rsidP="00B058EA">
      <w:pPr>
        <w:pStyle w:val="Pagrindinistekstas"/>
        <w:spacing w:after="0"/>
        <w:rPr>
          <w:szCs w:val="22"/>
        </w:rPr>
      </w:pPr>
    </w:p>
    <w:p w:rsidR="00B058EA" w:rsidRPr="00302E89" w:rsidRDefault="00B058EA" w:rsidP="00B058EA">
      <w:pPr>
        <w:pStyle w:val="Antrat3"/>
        <w:ind w:left="0" w:firstLine="0"/>
      </w:pPr>
      <w:r w:rsidRPr="00302E89">
        <w:t xml:space="preserve">Pamiršus pavartoti </w:t>
      </w:r>
      <w:proofErr w:type="spellStart"/>
      <w:r w:rsidRPr="00302E89">
        <w:t>Ambrosan</w:t>
      </w:r>
      <w:proofErr w:type="spellEnd"/>
    </w:p>
    <w:p w:rsidR="00B058EA" w:rsidRPr="00302E89" w:rsidRDefault="00B058EA" w:rsidP="00B058EA">
      <w:pPr>
        <w:pStyle w:val="Pagrindinistekstas"/>
        <w:spacing w:after="0"/>
        <w:rPr>
          <w:szCs w:val="22"/>
        </w:rPr>
      </w:pPr>
      <w:r w:rsidRPr="00302E89">
        <w:t>Jeigu pamiršote išgerti vieną dozę, išgerkite vos atsiminę. Negalima vartoti</w:t>
      </w:r>
      <w:r w:rsidRPr="00302E89">
        <w:rPr>
          <w:szCs w:val="22"/>
        </w:rPr>
        <w:t xml:space="preserve"> dvigubos dozės </w:t>
      </w:r>
      <w:r w:rsidRPr="00302E89">
        <w:t>norint kompensuoti praleistą dozę</w:t>
      </w:r>
      <w:r w:rsidRPr="00302E89">
        <w:rPr>
          <w:szCs w:val="22"/>
        </w:rPr>
        <w:t>. Toliau vaistą vartokite kaip įprasta.</w:t>
      </w:r>
    </w:p>
    <w:p w:rsidR="00B058EA" w:rsidRPr="00302E89" w:rsidRDefault="00B058EA" w:rsidP="00B058EA">
      <w:pPr>
        <w:pStyle w:val="Pagrindinistekstas"/>
        <w:spacing w:after="0"/>
        <w:rPr>
          <w:szCs w:val="22"/>
        </w:rPr>
      </w:pPr>
    </w:p>
    <w:p w:rsidR="00B058EA" w:rsidRPr="00302E89" w:rsidRDefault="00B058EA" w:rsidP="00B058EA">
      <w:pPr>
        <w:pStyle w:val="Antrat3"/>
        <w:ind w:left="0" w:firstLine="0"/>
      </w:pPr>
      <w:r w:rsidRPr="00302E89">
        <w:t xml:space="preserve">Nustojus vartoti </w:t>
      </w:r>
      <w:proofErr w:type="spellStart"/>
      <w:r w:rsidRPr="00302E89">
        <w:t>Ambrosan</w:t>
      </w:r>
      <w:proofErr w:type="spellEnd"/>
    </w:p>
    <w:p w:rsidR="00B058EA" w:rsidRPr="00302E89" w:rsidRDefault="00B058EA" w:rsidP="00B058EA">
      <w:pPr>
        <w:rPr>
          <w:szCs w:val="22"/>
        </w:rPr>
      </w:pPr>
      <w:proofErr w:type="spellStart"/>
      <w:r w:rsidRPr="00302E89">
        <w:t>Ambrosan</w:t>
      </w:r>
      <w:proofErr w:type="spellEnd"/>
      <w:r w:rsidRPr="00302E89">
        <w:t xml:space="preserve"> turėtų būti vartojamas, tik jeigu reikia, ir vartojimas turėtų būti nutrauktas, jeigu pajaučiamas palengvėjimas.</w:t>
      </w:r>
    </w:p>
    <w:p w:rsidR="00B058EA" w:rsidRPr="00302E89" w:rsidRDefault="00B058EA" w:rsidP="00B058EA">
      <w:pPr>
        <w:pStyle w:val="Pagrindinistekstas"/>
        <w:spacing w:after="0"/>
        <w:rPr>
          <w:szCs w:val="22"/>
        </w:rPr>
      </w:pPr>
    </w:p>
    <w:p w:rsidR="00B058EA" w:rsidRPr="00302E89" w:rsidRDefault="00B058EA" w:rsidP="00B058EA">
      <w:pPr>
        <w:pStyle w:val="Pagrindinistekstas"/>
        <w:spacing w:after="0"/>
        <w:rPr>
          <w:szCs w:val="22"/>
        </w:rPr>
      </w:pPr>
      <w:r w:rsidRPr="00302E89">
        <w:rPr>
          <w:szCs w:val="22"/>
        </w:rPr>
        <w:t>Jeigu kiltų daugiau klausimų dėl šio vaisto vartojimo, kreipkitės į gydytoją arba vaistininką.</w:t>
      </w:r>
    </w:p>
    <w:p w:rsidR="00B058EA" w:rsidRPr="00302E89" w:rsidRDefault="00B058EA" w:rsidP="00B058EA">
      <w:pPr>
        <w:pStyle w:val="Pagrindinistekstas"/>
        <w:spacing w:after="0"/>
        <w:rPr>
          <w:szCs w:val="22"/>
        </w:rPr>
      </w:pPr>
    </w:p>
    <w:p w:rsidR="00B058EA" w:rsidRPr="00302E89" w:rsidRDefault="00B058EA" w:rsidP="00B058EA">
      <w:pPr>
        <w:pStyle w:val="Pagrindinistekstas"/>
        <w:spacing w:after="0"/>
        <w:rPr>
          <w:szCs w:val="22"/>
        </w:rPr>
      </w:pPr>
    </w:p>
    <w:p w:rsidR="00B058EA" w:rsidRPr="00302E89" w:rsidRDefault="00B058EA" w:rsidP="00B058EA">
      <w:pPr>
        <w:pStyle w:val="Antrat2"/>
      </w:pPr>
      <w:r w:rsidRPr="00302E89">
        <w:t>4.</w:t>
      </w:r>
      <w:r w:rsidRPr="00302E89">
        <w:tab/>
        <w:t>Galimas šalutinis poveikis</w:t>
      </w:r>
    </w:p>
    <w:p w:rsidR="00B058EA" w:rsidRPr="00302E89" w:rsidRDefault="00B058EA" w:rsidP="00B058EA">
      <w:pPr>
        <w:rPr>
          <w:bCs/>
          <w:szCs w:val="22"/>
        </w:rPr>
      </w:pPr>
    </w:p>
    <w:p w:rsidR="00B058EA" w:rsidRPr="00302E89" w:rsidRDefault="00B058EA" w:rsidP="00B058EA">
      <w:pPr>
        <w:rPr>
          <w:szCs w:val="22"/>
        </w:rPr>
      </w:pPr>
      <w:r w:rsidRPr="00302E89">
        <w:t>Šis vaistas</w:t>
      </w:r>
      <w:r w:rsidRPr="00302E89">
        <w:rPr>
          <w:szCs w:val="22"/>
        </w:rPr>
        <w:t xml:space="preserve">, kaip ir </w:t>
      </w:r>
      <w:r w:rsidRPr="00302E89">
        <w:t xml:space="preserve">visi </w:t>
      </w:r>
      <w:r w:rsidRPr="00302E89">
        <w:rPr>
          <w:szCs w:val="22"/>
        </w:rPr>
        <w:t>kiti, gali sukelti šalutinį poveikį, nors jis pasireiškia ne visiems žmonėms.</w:t>
      </w:r>
    </w:p>
    <w:p w:rsidR="00B058EA" w:rsidRPr="00302E89" w:rsidRDefault="00B058EA" w:rsidP="00B058EA">
      <w:pPr>
        <w:rPr>
          <w:szCs w:val="22"/>
        </w:rPr>
      </w:pPr>
    </w:p>
    <w:p w:rsidR="00B058EA" w:rsidRPr="00302E89" w:rsidRDefault="00B058EA" w:rsidP="00B058EA">
      <w:pPr>
        <w:rPr>
          <w:i/>
          <w:iCs/>
          <w:szCs w:val="22"/>
        </w:rPr>
      </w:pPr>
      <w:r w:rsidRPr="00302E89">
        <w:rPr>
          <w:i/>
          <w:iCs/>
          <w:szCs w:val="22"/>
        </w:rPr>
        <w:t>Dažni (pasireiškia ne daugiau kaip 1 iš 10 pacientų):</w:t>
      </w:r>
    </w:p>
    <w:p w:rsidR="00B058EA" w:rsidRPr="00302E89" w:rsidRDefault="00B058EA" w:rsidP="00B058EA">
      <w:pPr>
        <w:rPr>
          <w:szCs w:val="22"/>
        </w:rPr>
      </w:pPr>
      <w:r w:rsidRPr="00302E89">
        <w:rPr>
          <w:szCs w:val="22"/>
        </w:rPr>
        <w:t>pykinimas.</w:t>
      </w:r>
    </w:p>
    <w:p w:rsidR="00B058EA" w:rsidRPr="00302E89" w:rsidRDefault="00B058EA" w:rsidP="00B058EA">
      <w:pPr>
        <w:rPr>
          <w:szCs w:val="22"/>
        </w:rPr>
      </w:pPr>
    </w:p>
    <w:p w:rsidR="00B058EA" w:rsidRPr="00302E89" w:rsidRDefault="00B058EA" w:rsidP="00B058EA">
      <w:pPr>
        <w:rPr>
          <w:i/>
          <w:iCs/>
          <w:szCs w:val="22"/>
        </w:rPr>
      </w:pPr>
      <w:r w:rsidRPr="00302E89">
        <w:rPr>
          <w:i/>
          <w:iCs/>
          <w:szCs w:val="22"/>
        </w:rPr>
        <w:t>Nedažni (pasireiškia ne daugiau kaip 1 iš 100 pacientų):</w:t>
      </w:r>
    </w:p>
    <w:p w:rsidR="00B058EA" w:rsidRPr="00302E89" w:rsidRDefault="00B058EA" w:rsidP="00B058EA">
      <w:pPr>
        <w:rPr>
          <w:szCs w:val="22"/>
        </w:rPr>
      </w:pPr>
      <w:r w:rsidRPr="00302E89">
        <w:rPr>
          <w:szCs w:val="22"/>
        </w:rPr>
        <w:t xml:space="preserve">viduriavimas, vėmimas, </w:t>
      </w:r>
      <w:proofErr w:type="spellStart"/>
      <w:r w:rsidRPr="00302E89">
        <w:rPr>
          <w:szCs w:val="22"/>
        </w:rPr>
        <w:t>nevirškinimas</w:t>
      </w:r>
      <w:proofErr w:type="spellEnd"/>
      <w:r w:rsidRPr="00302E89">
        <w:rPr>
          <w:szCs w:val="22"/>
        </w:rPr>
        <w:t>, pilvo skausmas.</w:t>
      </w:r>
    </w:p>
    <w:p w:rsidR="00B058EA" w:rsidRPr="00302E89" w:rsidRDefault="00B058EA" w:rsidP="00B058EA">
      <w:pPr>
        <w:rPr>
          <w:szCs w:val="22"/>
        </w:rPr>
      </w:pPr>
    </w:p>
    <w:p w:rsidR="00B058EA" w:rsidRPr="00302E89" w:rsidRDefault="00B058EA" w:rsidP="00B058EA">
      <w:pPr>
        <w:rPr>
          <w:i/>
          <w:iCs/>
          <w:szCs w:val="22"/>
        </w:rPr>
      </w:pPr>
      <w:r w:rsidRPr="00302E89">
        <w:rPr>
          <w:i/>
          <w:iCs/>
          <w:szCs w:val="22"/>
        </w:rPr>
        <w:t>Reti (pasireiškia ne daugiau kaip 1 iš 1 000 pacientų):</w:t>
      </w:r>
    </w:p>
    <w:p w:rsidR="00B058EA" w:rsidRPr="00302E89" w:rsidRDefault="00B058EA" w:rsidP="00B058EA">
      <w:pPr>
        <w:tabs>
          <w:tab w:val="left" w:pos="567"/>
        </w:tabs>
        <w:rPr>
          <w:szCs w:val="22"/>
        </w:rPr>
      </w:pPr>
      <w:r w:rsidRPr="00302E89">
        <w:rPr>
          <w:szCs w:val="22"/>
        </w:rPr>
        <w:t>padidėjusio jautrumo reakcijos, išbėrimas, dilgėlinė.</w:t>
      </w:r>
    </w:p>
    <w:p w:rsidR="00B058EA" w:rsidRPr="00302E89" w:rsidRDefault="00B058EA" w:rsidP="00B058EA">
      <w:pPr>
        <w:rPr>
          <w:szCs w:val="22"/>
        </w:rPr>
      </w:pPr>
    </w:p>
    <w:p w:rsidR="00B058EA" w:rsidRPr="00302E89" w:rsidRDefault="00B058EA" w:rsidP="00B058EA">
      <w:pPr>
        <w:rPr>
          <w:i/>
          <w:iCs/>
          <w:szCs w:val="22"/>
        </w:rPr>
      </w:pPr>
      <w:r w:rsidRPr="00302E89">
        <w:rPr>
          <w:i/>
          <w:iCs/>
          <w:szCs w:val="22"/>
        </w:rPr>
        <w:t>Dažnis nežinomas (negali būti įvertintas pagal turimus duomenis):</w:t>
      </w:r>
    </w:p>
    <w:p w:rsidR="00B058EA" w:rsidRPr="00302E89" w:rsidRDefault="00B058EA" w:rsidP="00B058EA">
      <w:pPr>
        <w:tabs>
          <w:tab w:val="left" w:pos="567"/>
        </w:tabs>
        <w:rPr>
          <w:i/>
          <w:szCs w:val="22"/>
        </w:rPr>
      </w:pPr>
      <w:r w:rsidRPr="00302E89">
        <w:t xml:space="preserve">anafilaksinės reakcijos, įskaitant anafilaksinį šoką (gyvybei pavojinga alerginė reakcija), </w:t>
      </w:r>
      <w:proofErr w:type="spellStart"/>
      <w:r w:rsidRPr="00302E89">
        <w:t>angioneurozinę</w:t>
      </w:r>
      <w:proofErr w:type="spellEnd"/>
      <w:r w:rsidRPr="00302E89">
        <w:t xml:space="preserve"> edemą (greitai besivystantis odos, gleivinės, po oda ar gleivine esančių audinių tinimas) ir niežėjimą. Sunkios nepageidaujamos poodinės reakcijos (įskaitant daugiaformę </w:t>
      </w:r>
      <w:proofErr w:type="spellStart"/>
      <w:r w:rsidRPr="00302E89">
        <w:t>eritemą</w:t>
      </w:r>
      <w:proofErr w:type="spellEnd"/>
      <w:r w:rsidRPr="00302E89">
        <w:t xml:space="preserve">, </w:t>
      </w:r>
      <w:proofErr w:type="spellStart"/>
      <w:r w:rsidRPr="00302E89">
        <w:t>Stivenso</w:t>
      </w:r>
      <w:proofErr w:type="spellEnd"/>
      <w:r w:rsidRPr="00302E89">
        <w:t xml:space="preserve">-Džonsono sindromą / toksinę epidermio </w:t>
      </w:r>
      <w:proofErr w:type="spellStart"/>
      <w:r w:rsidRPr="00302E89">
        <w:t>nekrolizę</w:t>
      </w:r>
      <w:proofErr w:type="spellEnd"/>
      <w:r w:rsidRPr="00302E89">
        <w:t xml:space="preserve"> ir ūminę </w:t>
      </w:r>
      <w:proofErr w:type="spellStart"/>
      <w:r w:rsidRPr="00302E89">
        <w:t>generalizuotą</w:t>
      </w:r>
      <w:proofErr w:type="spellEnd"/>
      <w:r w:rsidRPr="00302E89">
        <w:t xml:space="preserve"> </w:t>
      </w:r>
      <w:proofErr w:type="spellStart"/>
      <w:r w:rsidRPr="00302E89">
        <w:t>egzanteminę</w:t>
      </w:r>
      <w:proofErr w:type="spellEnd"/>
      <w:r w:rsidRPr="00302E89">
        <w:t xml:space="preserve"> </w:t>
      </w:r>
      <w:proofErr w:type="spellStart"/>
      <w:r w:rsidRPr="00302E89">
        <w:t>pustuliozę</w:t>
      </w:r>
      <w:proofErr w:type="spellEnd"/>
      <w:r w:rsidRPr="00302E89">
        <w:t>).</w:t>
      </w:r>
    </w:p>
    <w:p w:rsidR="00B058EA" w:rsidRPr="00302E89" w:rsidRDefault="00B058EA" w:rsidP="00B058EA">
      <w:pPr>
        <w:pStyle w:val="Pagrindinistekstas"/>
        <w:spacing w:after="0"/>
        <w:rPr>
          <w:szCs w:val="22"/>
        </w:rPr>
      </w:pPr>
    </w:p>
    <w:p w:rsidR="00B058EA" w:rsidRPr="00302E89" w:rsidRDefault="00B058EA" w:rsidP="00B058EA">
      <w:pPr>
        <w:rPr>
          <w:b/>
          <w:szCs w:val="24"/>
        </w:rPr>
      </w:pPr>
      <w:r w:rsidRPr="00302E89">
        <w:rPr>
          <w:b/>
          <w:szCs w:val="24"/>
        </w:rPr>
        <w:t>Pranešimas apie šalutinį poveikį</w:t>
      </w:r>
    </w:p>
    <w:p w:rsidR="00B058EA" w:rsidRPr="00302E89" w:rsidRDefault="00B058EA" w:rsidP="00B058EA">
      <w:pPr>
        <w:rPr>
          <w:szCs w:val="24"/>
        </w:rPr>
      </w:pPr>
      <w:r w:rsidRPr="00302E89">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02E89">
        <w:rPr>
          <w:lang w:eastAsia="zh-CN"/>
        </w:rPr>
        <w:t>elefonu 8 800 73568</w:t>
      </w:r>
      <w:r w:rsidRPr="00302E89">
        <w:t xml:space="preserve"> arba užpildyti interneto svetainėje </w:t>
      </w:r>
      <w:hyperlink r:id="rId5" w:history="1">
        <w:r w:rsidRPr="00302E89">
          <w:rPr>
            <w:rStyle w:val="Hipersaitas"/>
            <w:rFonts w:eastAsia="SimSun"/>
          </w:rPr>
          <w:t>www.vvkt.lt</w:t>
        </w:r>
      </w:hyperlink>
      <w:r w:rsidRPr="00302E89">
        <w:t xml:space="preserve"> esančią formą ir pateikti ją Valstybinei vaistų kontrolės tarnybai prie Lietuvos Respublikos sveikatos apsaugos ministerijos vienu iš šių būdų: raštu (adresu Žirmūnų g. 139A, LT-09120 Vilnius), </w:t>
      </w:r>
      <w:r w:rsidRPr="00302E89">
        <w:rPr>
          <w:lang w:eastAsia="zh-CN"/>
        </w:rPr>
        <w:t xml:space="preserve">nemokamu </w:t>
      </w:r>
      <w:r w:rsidRPr="00302E89">
        <w:t>fakso numeriu 8 800 20131</w:t>
      </w:r>
      <w:r w:rsidRPr="00302E89">
        <w:rPr>
          <w:lang w:eastAsia="zh-CN"/>
        </w:rPr>
        <w:t xml:space="preserve">, </w:t>
      </w:r>
      <w:r w:rsidRPr="00302E89">
        <w:t xml:space="preserve">el. paštu </w:t>
      </w:r>
      <w:hyperlink r:id="rId6" w:history="1">
        <w:r w:rsidRPr="00302E89">
          <w:rPr>
            <w:rStyle w:val="Hipersaitas"/>
            <w:rFonts w:eastAsia="SimSun"/>
          </w:rPr>
          <w:t>NepageidaujamaR@vvkt.lt</w:t>
        </w:r>
      </w:hyperlink>
      <w:r w:rsidRPr="00302E89">
        <w:t xml:space="preserve">, taip pat per Valstybinės vaistų kontrolės tarnybos prie Lietuvos Respublikos sveikatos apsaugos ministerijos interneto svetainę (adresu </w:t>
      </w:r>
      <w:hyperlink r:id="rId7" w:history="1">
        <w:r w:rsidRPr="00302E89">
          <w:rPr>
            <w:rStyle w:val="Hipersaitas"/>
            <w:rFonts w:eastAsia="SimSun"/>
          </w:rPr>
          <w:t>http://www.vvkt.lt</w:t>
        </w:r>
      </w:hyperlink>
      <w:r w:rsidRPr="00302E89">
        <w:t>). Pranešdami apie šalutinį poveikį galite mums padėti gauti daugiau informacijos apie šio vaisto saugumą.</w:t>
      </w:r>
    </w:p>
    <w:p w:rsidR="00B058EA" w:rsidRPr="00302E89" w:rsidRDefault="00B058EA" w:rsidP="00B058EA">
      <w:pPr>
        <w:rPr>
          <w:szCs w:val="24"/>
        </w:rPr>
      </w:pPr>
    </w:p>
    <w:p w:rsidR="00B058EA" w:rsidRPr="00302E89" w:rsidRDefault="00B058EA" w:rsidP="00B058EA">
      <w:pPr>
        <w:pStyle w:val="Pagrindinistekstas"/>
        <w:spacing w:after="0"/>
        <w:rPr>
          <w:b/>
          <w:szCs w:val="22"/>
        </w:rPr>
      </w:pPr>
    </w:p>
    <w:p w:rsidR="00B058EA" w:rsidRPr="00302E89" w:rsidRDefault="00B058EA" w:rsidP="00B058EA">
      <w:pPr>
        <w:pStyle w:val="Antrat2"/>
      </w:pPr>
      <w:r w:rsidRPr="00302E89">
        <w:lastRenderedPageBreak/>
        <w:t>5.</w:t>
      </w:r>
      <w:r w:rsidRPr="00302E89">
        <w:tab/>
        <w:t xml:space="preserve">Kaip laikyti </w:t>
      </w:r>
      <w:proofErr w:type="spellStart"/>
      <w:r w:rsidRPr="00302E89">
        <w:t>Ambrosan</w:t>
      </w:r>
      <w:proofErr w:type="spellEnd"/>
    </w:p>
    <w:p w:rsidR="00B058EA" w:rsidRPr="00302E89" w:rsidRDefault="00B058EA" w:rsidP="00B058EA">
      <w:pPr>
        <w:rPr>
          <w:szCs w:val="22"/>
        </w:rPr>
      </w:pPr>
    </w:p>
    <w:p w:rsidR="00B058EA" w:rsidRPr="00302E89" w:rsidRDefault="00B058EA" w:rsidP="00B058EA">
      <w:pPr>
        <w:rPr>
          <w:szCs w:val="22"/>
        </w:rPr>
      </w:pPr>
      <w:r w:rsidRPr="00302E89">
        <w:rPr>
          <w:szCs w:val="22"/>
        </w:rPr>
        <w:t>Šį vaistą laikykite vaikams nepastebimoje ir nepasiekiamoje</w:t>
      </w:r>
      <w:r w:rsidRPr="00302E89" w:rsidDel="00FD2702">
        <w:rPr>
          <w:szCs w:val="22"/>
        </w:rPr>
        <w:t xml:space="preserve"> </w:t>
      </w:r>
      <w:r w:rsidRPr="00302E89">
        <w:rPr>
          <w:szCs w:val="22"/>
        </w:rPr>
        <w:t>vietoje.</w:t>
      </w:r>
    </w:p>
    <w:p w:rsidR="00B058EA" w:rsidRPr="00302E89" w:rsidRDefault="00B058EA" w:rsidP="00B058EA">
      <w:pPr>
        <w:rPr>
          <w:szCs w:val="22"/>
        </w:rPr>
      </w:pPr>
    </w:p>
    <w:p w:rsidR="00B058EA" w:rsidRPr="00302E89" w:rsidRDefault="00B058EA" w:rsidP="00B058EA">
      <w:pPr>
        <w:rPr>
          <w:szCs w:val="22"/>
        </w:rPr>
      </w:pPr>
      <w:r w:rsidRPr="00302E89">
        <w:rPr>
          <w:szCs w:val="22"/>
        </w:rPr>
        <w:t>Laikyti ne aukštesnėje kaip 25 °C temperatūroje.</w:t>
      </w:r>
    </w:p>
    <w:p w:rsidR="00B058EA" w:rsidRPr="00302E89" w:rsidRDefault="00B058EA" w:rsidP="00B058EA">
      <w:pPr>
        <w:rPr>
          <w:szCs w:val="22"/>
        </w:rPr>
      </w:pPr>
      <w:r w:rsidRPr="00302E89">
        <w:rPr>
          <w:szCs w:val="22"/>
        </w:rPr>
        <w:t>Lizdines plokšteles laikyti gamintojo pakuotėje, kad vaistas būtų apsaugotas nuo šviesos ir drėgmės.</w:t>
      </w:r>
    </w:p>
    <w:p w:rsidR="00B058EA" w:rsidRPr="00302E89" w:rsidRDefault="00B058EA" w:rsidP="00B058EA">
      <w:pPr>
        <w:rPr>
          <w:szCs w:val="22"/>
        </w:rPr>
      </w:pPr>
    </w:p>
    <w:p w:rsidR="00B058EA" w:rsidRPr="00302E89" w:rsidRDefault="00B058EA" w:rsidP="00B058EA">
      <w:pPr>
        <w:rPr>
          <w:bCs/>
          <w:szCs w:val="22"/>
        </w:rPr>
      </w:pPr>
      <w:r w:rsidRPr="00302E89">
        <w:rPr>
          <w:szCs w:val="22"/>
        </w:rPr>
        <w:t xml:space="preserve">Ant dėžutės po „Tinka iki“ ir lizdinės plokštelės po „EXP“ nurodytam tinkamumo laikui pasibaigus, </w:t>
      </w:r>
      <w:r w:rsidRPr="00302E89">
        <w:rPr>
          <w:iCs/>
        </w:rPr>
        <w:t>šio vaisto</w:t>
      </w:r>
      <w:r w:rsidRPr="00302E89">
        <w:rPr>
          <w:szCs w:val="22"/>
        </w:rPr>
        <w:t xml:space="preserve"> vartoti negalima. </w:t>
      </w:r>
      <w:r w:rsidRPr="00302E89">
        <w:rPr>
          <w:bCs/>
          <w:szCs w:val="22"/>
        </w:rPr>
        <w:t>Vaistas tinkamas vartoti iki paskutinės nurodyto mėnesio dienos.</w:t>
      </w:r>
    </w:p>
    <w:p w:rsidR="00B058EA" w:rsidRPr="00302E89" w:rsidRDefault="00B058EA" w:rsidP="00B058EA">
      <w:pPr>
        <w:rPr>
          <w:szCs w:val="22"/>
        </w:rPr>
      </w:pPr>
    </w:p>
    <w:p w:rsidR="00B058EA" w:rsidRPr="00302E89" w:rsidRDefault="00B058EA" w:rsidP="00B058EA">
      <w:pPr>
        <w:pStyle w:val="Pagrindinistekstas"/>
        <w:spacing w:after="0"/>
        <w:rPr>
          <w:szCs w:val="22"/>
        </w:rPr>
      </w:pPr>
      <w:r w:rsidRPr="00302E89">
        <w:rPr>
          <w:szCs w:val="22"/>
        </w:rPr>
        <w:t xml:space="preserve">Vaistų negalima </w:t>
      </w:r>
      <w:r w:rsidRPr="00302E89">
        <w:t>išmesti</w:t>
      </w:r>
      <w:r w:rsidRPr="00302E89">
        <w:rPr>
          <w:szCs w:val="22"/>
        </w:rPr>
        <w:t xml:space="preserve"> į kanalizaciją arba su buitinėmis atliekomis. Kaip </w:t>
      </w:r>
      <w:r w:rsidRPr="00302E89">
        <w:t>išmesti</w:t>
      </w:r>
      <w:r w:rsidRPr="00302E89">
        <w:rPr>
          <w:szCs w:val="22"/>
        </w:rPr>
        <w:t xml:space="preserve"> nereikalingus vaistus, klauskite vaistininko. Šios priemonės padės apsaugoti aplinką.</w:t>
      </w:r>
    </w:p>
    <w:p w:rsidR="00B058EA" w:rsidRPr="00302E89" w:rsidRDefault="00B058EA" w:rsidP="00B058EA">
      <w:pPr>
        <w:pStyle w:val="Pagrindinistekstas"/>
        <w:spacing w:after="0"/>
        <w:rPr>
          <w:szCs w:val="22"/>
        </w:rPr>
      </w:pPr>
    </w:p>
    <w:p w:rsidR="00B058EA" w:rsidRPr="00302E89" w:rsidRDefault="00B058EA" w:rsidP="00B058EA">
      <w:pPr>
        <w:pStyle w:val="Pagrindinistekstas"/>
        <w:spacing w:after="0"/>
        <w:rPr>
          <w:szCs w:val="22"/>
        </w:rPr>
      </w:pPr>
    </w:p>
    <w:p w:rsidR="00B058EA" w:rsidRPr="00302E89" w:rsidRDefault="00B058EA" w:rsidP="00B058EA">
      <w:pPr>
        <w:pStyle w:val="Antrat2"/>
      </w:pPr>
      <w:r w:rsidRPr="00302E89">
        <w:t>6.</w:t>
      </w:r>
      <w:r w:rsidRPr="00302E89">
        <w:tab/>
        <w:t>Pakuotės turinys ir kita informacija</w:t>
      </w:r>
    </w:p>
    <w:p w:rsidR="00B058EA" w:rsidRPr="00302E89" w:rsidRDefault="00B058EA" w:rsidP="00B058EA">
      <w:pPr>
        <w:pStyle w:val="Pagrindinistekstas"/>
        <w:spacing w:after="0"/>
        <w:rPr>
          <w:szCs w:val="22"/>
        </w:rPr>
      </w:pPr>
    </w:p>
    <w:p w:rsidR="00B058EA" w:rsidRPr="00302E89" w:rsidRDefault="00B058EA" w:rsidP="00B058EA">
      <w:pPr>
        <w:pStyle w:val="Pagrindinistekstas"/>
        <w:spacing w:after="0"/>
        <w:rPr>
          <w:b/>
          <w:szCs w:val="22"/>
        </w:rPr>
      </w:pPr>
      <w:proofErr w:type="spellStart"/>
      <w:r w:rsidRPr="00302E89">
        <w:rPr>
          <w:b/>
          <w:szCs w:val="22"/>
        </w:rPr>
        <w:t>Ambrosan</w:t>
      </w:r>
      <w:proofErr w:type="spellEnd"/>
      <w:r w:rsidRPr="00302E89">
        <w:rPr>
          <w:b/>
          <w:szCs w:val="22"/>
        </w:rPr>
        <w:t xml:space="preserve"> sudėtis</w:t>
      </w:r>
    </w:p>
    <w:p w:rsidR="00B058EA" w:rsidRPr="00302E89" w:rsidRDefault="00B058EA" w:rsidP="00B058EA">
      <w:pPr>
        <w:suppressAutoHyphens/>
        <w:jc w:val="both"/>
        <w:rPr>
          <w:i/>
          <w:spacing w:val="-3"/>
          <w:szCs w:val="22"/>
        </w:rPr>
      </w:pPr>
      <w:r w:rsidRPr="00302E89">
        <w:rPr>
          <w:szCs w:val="22"/>
        </w:rPr>
        <w:t xml:space="preserve">Veiklioji medžiaga yra </w:t>
      </w:r>
      <w:proofErr w:type="spellStart"/>
      <w:r w:rsidRPr="00302E89">
        <w:rPr>
          <w:szCs w:val="22"/>
        </w:rPr>
        <w:t>ambroksolis</w:t>
      </w:r>
      <w:proofErr w:type="spellEnd"/>
      <w:r w:rsidRPr="00302E89">
        <w:rPr>
          <w:szCs w:val="22"/>
        </w:rPr>
        <w:t xml:space="preserve">. </w:t>
      </w:r>
      <w:r w:rsidRPr="00302E89">
        <w:rPr>
          <w:spacing w:val="-3"/>
          <w:szCs w:val="22"/>
        </w:rPr>
        <w:t xml:space="preserve">Vienoje tabletėje yra 30 mg </w:t>
      </w:r>
      <w:proofErr w:type="spellStart"/>
      <w:r w:rsidRPr="00302E89">
        <w:rPr>
          <w:spacing w:val="-3"/>
          <w:szCs w:val="22"/>
        </w:rPr>
        <w:t>ambroksolio</w:t>
      </w:r>
      <w:proofErr w:type="spellEnd"/>
      <w:r w:rsidRPr="00302E89">
        <w:rPr>
          <w:spacing w:val="-3"/>
          <w:szCs w:val="22"/>
        </w:rPr>
        <w:t xml:space="preserve"> hidrochlorido.</w:t>
      </w:r>
    </w:p>
    <w:p w:rsidR="00B058EA" w:rsidRPr="00302E89" w:rsidRDefault="00B058EA" w:rsidP="00B058EA">
      <w:pPr>
        <w:pStyle w:val="Pagrindinistekstas"/>
        <w:spacing w:after="0"/>
        <w:rPr>
          <w:szCs w:val="22"/>
        </w:rPr>
      </w:pPr>
      <w:r w:rsidRPr="00302E89">
        <w:t>Pagalbinės medžiagos yra</w:t>
      </w:r>
      <w:r w:rsidRPr="00302E89">
        <w:rPr>
          <w:szCs w:val="22"/>
        </w:rPr>
        <w:t xml:space="preserve"> laktozė </w:t>
      </w:r>
      <w:proofErr w:type="spellStart"/>
      <w:r w:rsidRPr="00302E89">
        <w:rPr>
          <w:szCs w:val="22"/>
        </w:rPr>
        <w:t>monohidratas</w:t>
      </w:r>
      <w:proofErr w:type="spellEnd"/>
      <w:r w:rsidRPr="00302E89">
        <w:rPr>
          <w:szCs w:val="22"/>
        </w:rPr>
        <w:t xml:space="preserve">, </w:t>
      </w:r>
      <w:proofErr w:type="spellStart"/>
      <w:r w:rsidRPr="00302E89">
        <w:rPr>
          <w:szCs w:val="22"/>
        </w:rPr>
        <w:t>mikrokristalinė</w:t>
      </w:r>
      <w:proofErr w:type="spellEnd"/>
      <w:r w:rsidRPr="00302E89">
        <w:rPr>
          <w:szCs w:val="22"/>
        </w:rPr>
        <w:t xml:space="preserve"> celiuliozė, </w:t>
      </w:r>
      <w:proofErr w:type="spellStart"/>
      <w:r w:rsidRPr="00302E89">
        <w:rPr>
          <w:szCs w:val="22"/>
        </w:rPr>
        <w:t>krospovidonas</w:t>
      </w:r>
      <w:proofErr w:type="spellEnd"/>
      <w:r w:rsidRPr="00302E89">
        <w:rPr>
          <w:szCs w:val="22"/>
        </w:rPr>
        <w:t xml:space="preserve">, magnio </w:t>
      </w:r>
      <w:proofErr w:type="spellStart"/>
      <w:r w:rsidRPr="00302E89">
        <w:rPr>
          <w:szCs w:val="22"/>
        </w:rPr>
        <w:t>stearatas</w:t>
      </w:r>
      <w:proofErr w:type="spellEnd"/>
      <w:r w:rsidRPr="00302E89">
        <w:rPr>
          <w:szCs w:val="22"/>
        </w:rPr>
        <w:t>.</w:t>
      </w:r>
    </w:p>
    <w:p w:rsidR="00B058EA" w:rsidRPr="00302E89" w:rsidRDefault="00B058EA" w:rsidP="00B058EA">
      <w:pPr>
        <w:pStyle w:val="Pagrindinistekstas"/>
        <w:spacing w:after="0"/>
        <w:rPr>
          <w:szCs w:val="22"/>
        </w:rPr>
      </w:pPr>
    </w:p>
    <w:p w:rsidR="00B058EA" w:rsidRPr="00302E89" w:rsidRDefault="00B058EA" w:rsidP="00B058EA">
      <w:pPr>
        <w:rPr>
          <w:b/>
          <w:szCs w:val="22"/>
        </w:rPr>
      </w:pPr>
      <w:proofErr w:type="spellStart"/>
      <w:r w:rsidRPr="00302E89">
        <w:rPr>
          <w:b/>
          <w:bCs/>
          <w:szCs w:val="22"/>
        </w:rPr>
        <w:t>Ambrosan</w:t>
      </w:r>
      <w:proofErr w:type="spellEnd"/>
      <w:r w:rsidRPr="00302E89">
        <w:rPr>
          <w:b/>
          <w:bCs/>
          <w:szCs w:val="22"/>
        </w:rPr>
        <w:t xml:space="preserve"> </w:t>
      </w:r>
      <w:r w:rsidRPr="00302E89">
        <w:rPr>
          <w:b/>
          <w:szCs w:val="22"/>
        </w:rPr>
        <w:t>išvaizda ir kiekis pakuotėje</w:t>
      </w:r>
    </w:p>
    <w:p w:rsidR="00B058EA" w:rsidRPr="00302E89" w:rsidRDefault="00B058EA" w:rsidP="00B058EA">
      <w:pPr>
        <w:pStyle w:val="NoSpacing1"/>
      </w:pPr>
      <w:proofErr w:type="spellStart"/>
      <w:r w:rsidRPr="00302E89">
        <w:t>Ambrosan</w:t>
      </w:r>
      <w:proofErr w:type="spellEnd"/>
      <w:r w:rsidRPr="00302E89">
        <w:t xml:space="preserve"> tabletės yra beveik baltos, plokščios, 9,0 mm skersmens, vienoje pusėje turinčios vagelę.</w:t>
      </w:r>
    </w:p>
    <w:p w:rsidR="00B058EA" w:rsidRPr="00302E89" w:rsidRDefault="00B058EA" w:rsidP="00B058EA">
      <w:pPr>
        <w:pStyle w:val="NoSpacing1"/>
      </w:pPr>
      <w:r w:rsidRPr="00302E89">
        <w:rPr>
          <w:rStyle w:val="st1"/>
          <w:color w:val="222222"/>
        </w:rPr>
        <w:t>Tabletę galima padalyti į lygias dozes.</w:t>
      </w:r>
    </w:p>
    <w:p w:rsidR="00B058EA" w:rsidRPr="00302E89" w:rsidRDefault="00B058EA" w:rsidP="00B058EA">
      <w:pPr>
        <w:pStyle w:val="Pagrindinistekstas"/>
        <w:spacing w:after="0"/>
        <w:jc w:val="both"/>
        <w:rPr>
          <w:szCs w:val="22"/>
        </w:rPr>
      </w:pPr>
    </w:p>
    <w:p w:rsidR="00B058EA" w:rsidRPr="00302E89" w:rsidRDefault="00B058EA" w:rsidP="00B058EA">
      <w:pPr>
        <w:pStyle w:val="Pagrindinistekstas"/>
        <w:spacing w:after="0"/>
        <w:jc w:val="both"/>
        <w:rPr>
          <w:szCs w:val="22"/>
        </w:rPr>
      </w:pPr>
      <w:r w:rsidRPr="00302E89">
        <w:rPr>
          <w:szCs w:val="22"/>
        </w:rPr>
        <w:t>Tabletės supakuotos į PVC/Al lizdinę plokštelę, kurioje yra 10 tablečių. Vienoje dėžutėje yra dvi lizdinės plokštelės.</w:t>
      </w:r>
    </w:p>
    <w:p w:rsidR="00B058EA" w:rsidRPr="00302E89" w:rsidRDefault="00B058EA" w:rsidP="00B058EA">
      <w:pPr>
        <w:pStyle w:val="NoSpacing1"/>
      </w:pPr>
    </w:p>
    <w:p w:rsidR="00B058EA" w:rsidRPr="00302E89" w:rsidRDefault="00B058EA" w:rsidP="00B058EA">
      <w:pPr>
        <w:pStyle w:val="NoSpacing1"/>
        <w:rPr>
          <w:b/>
        </w:rPr>
      </w:pPr>
      <w:r w:rsidRPr="00302E89">
        <w:rPr>
          <w:b/>
        </w:rPr>
        <w:t>Registruotojas ir gamintojas</w:t>
      </w:r>
    </w:p>
    <w:p w:rsidR="00B058EA" w:rsidRPr="00302E89" w:rsidRDefault="00B058EA" w:rsidP="00B058EA">
      <w:pPr>
        <w:suppressAutoHyphens/>
        <w:rPr>
          <w:spacing w:val="-3"/>
          <w:szCs w:val="22"/>
        </w:rPr>
      </w:pPr>
      <w:r w:rsidRPr="00302E89">
        <w:rPr>
          <w:spacing w:val="-3"/>
          <w:szCs w:val="22"/>
        </w:rPr>
        <w:t xml:space="preserve">PRO.MED.CS Praha </w:t>
      </w:r>
      <w:proofErr w:type="spellStart"/>
      <w:r w:rsidRPr="00302E89">
        <w:rPr>
          <w:spacing w:val="-3"/>
          <w:szCs w:val="22"/>
        </w:rPr>
        <w:t>a.s</w:t>
      </w:r>
      <w:proofErr w:type="spellEnd"/>
      <w:r w:rsidRPr="00302E89">
        <w:rPr>
          <w:spacing w:val="-3"/>
          <w:szCs w:val="22"/>
        </w:rPr>
        <w:t>.</w:t>
      </w:r>
    </w:p>
    <w:p w:rsidR="00B058EA" w:rsidRPr="00302E89" w:rsidRDefault="00B058EA" w:rsidP="00B058EA">
      <w:pPr>
        <w:suppressAutoHyphens/>
        <w:rPr>
          <w:spacing w:val="-3"/>
          <w:szCs w:val="22"/>
        </w:rPr>
      </w:pPr>
      <w:proofErr w:type="spellStart"/>
      <w:r w:rsidRPr="00302E89">
        <w:rPr>
          <w:spacing w:val="-3"/>
          <w:szCs w:val="22"/>
        </w:rPr>
        <w:t>Telčská</w:t>
      </w:r>
      <w:proofErr w:type="spellEnd"/>
      <w:r w:rsidRPr="00302E89">
        <w:rPr>
          <w:spacing w:val="-3"/>
          <w:szCs w:val="22"/>
        </w:rPr>
        <w:t xml:space="preserve"> 377/1, </w:t>
      </w:r>
      <w:proofErr w:type="spellStart"/>
      <w:r w:rsidRPr="00302E89">
        <w:rPr>
          <w:spacing w:val="-3"/>
          <w:szCs w:val="22"/>
        </w:rPr>
        <w:t>Michle</w:t>
      </w:r>
      <w:proofErr w:type="spellEnd"/>
      <w:r w:rsidRPr="00302E89">
        <w:rPr>
          <w:spacing w:val="-3"/>
          <w:szCs w:val="22"/>
        </w:rPr>
        <w:t xml:space="preserve">, 140 00 Praha 4, </w:t>
      </w:r>
    </w:p>
    <w:p w:rsidR="00B058EA" w:rsidRPr="00302E89" w:rsidRDefault="00B058EA" w:rsidP="00B058EA">
      <w:pPr>
        <w:suppressAutoHyphens/>
        <w:rPr>
          <w:spacing w:val="-3"/>
          <w:szCs w:val="22"/>
        </w:rPr>
      </w:pPr>
      <w:r w:rsidRPr="00302E89">
        <w:rPr>
          <w:spacing w:val="-3"/>
          <w:szCs w:val="22"/>
        </w:rPr>
        <w:t>Čekija</w:t>
      </w:r>
    </w:p>
    <w:p w:rsidR="00B058EA" w:rsidRPr="00302E89" w:rsidRDefault="00B058EA" w:rsidP="00B058EA">
      <w:pPr>
        <w:pStyle w:val="Pagrindinistekstas"/>
        <w:spacing w:after="0"/>
        <w:rPr>
          <w:szCs w:val="22"/>
        </w:rPr>
      </w:pPr>
    </w:p>
    <w:p w:rsidR="00B058EA" w:rsidRPr="00302E89" w:rsidRDefault="00B058EA" w:rsidP="00B058EA">
      <w:pPr>
        <w:rPr>
          <w:szCs w:val="22"/>
        </w:rPr>
      </w:pPr>
      <w:r w:rsidRPr="00302E89">
        <w:rPr>
          <w:szCs w:val="24"/>
        </w:rPr>
        <w:t>Jeigu apie šį vaistą norite sužinoti daugiau, kreipkitės į vietinį registruotojo atstovą</w:t>
      </w:r>
      <w:r w:rsidRPr="00302E89">
        <w:rPr>
          <w:szCs w:val="22"/>
        </w:rPr>
        <w:t>.</w:t>
      </w:r>
    </w:p>
    <w:p w:rsidR="00B058EA" w:rsidRPr="00302E89" w:rsidRDefault="00B058EA" w:rsidP="00B058EA">
      <w:pPr>
        <w:rPr>
          <w:szCs w:val="22"/>
        </w:rPr>
      </w:pPr>
    </w:p>
    <w:tbl>
      <w:tblPr>
        <w:tblW w:w="0" w:type="auto"/>
        <w:tblInd w:w="-34" w:type="dxa"/>
        <w:tblLayout w:type="fixed"/>
        <w:tblLook w:val="04A0" w:firstRow="1" w:lastRow="0" w:firstColumn="1" w:lastColumn="0" w:noHBand="0" w:noVBand="1"/>
      </w:tblPr>
      <w:tblGrid>
        <w:gridCol w:w="4570"/>
      </w:tblGrid>
      <w:tr w:rsidR="00B058EA" w:rsidRPr="00302E89" w:rsidTr="00A87871">
        <w:tc>
          <w:tcPr>
            <w:tcW w:w="4570" w:type="dxa"/>
          </w:tcPr>
          <w:p w:rsidR="00B058EA" w:rsidRPr="00302E89" w:rsidRDefault="00B058EA" w:rsidP="00A87871">
            <w:pPr>
              <w:rPr>
                <w:szCs w:val="22"/>
              </w:rPr>
            </w:pPr>
            <w:r w:rsidRPr="00302E89">
              <w:rPr>
                <w:szCs w:val="22"/>
              </w:rPr>
              <w:t xml:space="preserve">PRO.MED.CS Praha </w:t>
            </w:r>
            <w:proofErr w:type="spellStart"/>
            <w:r w:rsidRPr="00302E89">
              <w:rPr>
                <w:szCs w:val="22"/>
              </w:rPr>
              <w:t>a.s</w:t>
            </w:r>
            <w:proofErr w:type="spellEnd"/>
            <w:r w:rsidRPr="00302E89">
              <w:rPr>
                <w:szCs w:val="22"/>
              </w:rPr>
              <w:t>. atstovybė</w:t>
            </w:r>
          </w:p>
          <w:p w:rsidR="00B058EA" w:rsidRPr="00302E89" w:rsidRDefault="00B058EA" w:rsidP="00A87871">
            <w:pPr>
              <w:rPr>
                <w:szCs w:val="22"/>
              </w:rPr>
            </w:pPr>
            <w:r w:rsidRPr="00302E89">
              <w:rPr>
                <w:szCs w:val="22"/>
              </w:rPr>
              <w:t>Lukiškių g. 5</w:t>
            </w:r>
            <w:r w:rsidRPr="00302E89">
              <w:rPr>
                <w:szCs w:val="22"/>
              </w:rPr>
              <w:noBreakHyphen/>
              <w:t>205, Vilnius</w:t>
            </w:r>
          </w:p>
          <w:p w:rsidR="00B058EA" w:rsidRPr="00302E89" w:rsidRDefault="00B058EA" w:rsidP="00A87871">
            <w:pPr>
              <w:rPr>
                <w:szCs w:val="22"/>
              </w:rPr>
            </w:pPr>
            <w:r w:rsidRPr="00302E89">
              <w:rPr>
                <w:szCs w:val="22"/>
              </w:rPr>
              <w:t>Tel:  +370 5 2151008</w:t>
            </w:r>
          </w:p>
          <w:p w:rsidR="00B058EA" w:rsidRPr="00302E89" w:rsidRDefault="00B058EA" w:rsidP="00A87871">
            <w:pPr>
              <w:pStyle w:val="Pagrindinistekstas"/>
              <w:spacing w:after="0"/>
              <w:rPr>
                <w:szCs w:val="22"/>
              </w:rPr>
            </w:pPr>
          </w:p>
        </w:tc>
      </w:tr>
    </w:tbl>
    <w:p w:rsidR="00B058EA" w:rsidRPr="00302E89" w:rsidRDefault="00B058EA" w:rsidP="00B058EA">
      <w:pPr>
        <w:rPr>
          <w:b/>
          <w:szCs w:val="22"/>
        </w:rPr>
      </w:pPr>
      <w:r w:rsidRPr="00302E89">
        <w:rPr>
          <w:b/>
          <w:bCs/>
          <w:szCs w:val="22"/>
        </w:rPr>
        <w:t>Šis pakuotės lapelis</w:t>
      </w:r>
      <w:r w:rsidRPr="00302E89">
        <w:rPr>
          <w:b/>
          <w:szCs w:val="22"/>
        </w:rPr>
        <w:t xml:space="preserve"> paskutinį kartą peržiūrėtas </w:t>
      </w:r>
      <w:r>
        <w:rPr>
          <w:b/>
          <w:szCs w:val="22"/>
        </w:rPr>
        <w:t>2019-09-20.</w:t>
      </w:r>
    </w:p>
    <w:p w:rsidR="00B058EA" w:rsidRPr="00302E89" w:rsidRDefault="00B058EA" w:rsidP="00B058EA">
      <w:pPr>
        <w:tabs>
          <w:tab w:val="left" w:pos="567"/>
        </w:tabs>
        <w:rPr>
          <w:szCs w:val="22"/>
        </w:rPr>
      </w:pPr>
    </w:p>
    <w:p w:rsidR="00B058EA" w:rsidRPr="00302E89" w:rsidRDefault="00B058EA" w:rsidP="00B058EA">
      <w:pPr>
        <w:numPr>
          <w:ilvl w:val="12"/>
          <w:numId w:val="0"/>
        </w:numPr>
        <w:rPr>
          <w:szCs w:val="24"/>
        </w:rPr>
      </w:pPr>
      <w:r w:rsidRPr="00302E89">
        <w:t xml:space="preserve">Išsami informacija apie šį </w:t>
      </w:r>
      <w:r w:rsidRPr="00302E89">
        <w:rPr>
          <w:szCs w:val="24"/>
        </w:rPr>
        <w:t>vaistą</w:t>
      </w:r>
      <w:r w:rsidRPr="00302E89">
        <w:t xml:space="preserve"> pateikiama Valstybinės vaistų kontrolės tarnybos prie Lietuvos Respublikos sveikatos apsaugos ministerijos tinklalapyje</w:t>
      </w:r>
      <w:r w:rsidRPr="00302E89">
        <w:rPr>
          <w:i/>
          <w:szCs w:val="24"/>
        </w:rPr>
        <w:t xml:space="preserve"> </w:t>
      </w:r>
      <w:hyperlink r:id="rId8" w:history="1">
        <w:r w:rsidRPr="00302E89">
          <w:rPr>
            <w:rStyle w:val="Hipersaitas"/>
            <w:rFonts w:eastAsia="SimSun"/>
          </w:rPr>
          <w:t>http://www.vvkt.lt/</w:t>
        </w:r>
      </w:hyperlink>
      <w:r w:rsidRPr="00302E89">
        <w:t>.</w:t>
      </w:r>
    </w:p>
    <w:p w:rsidR="00B058EA" w:rsidRPr="00302E89" w:rsidRDefault="00B058EA" w:rsidP="00B058EA"/>
    <w:p w:rsidR="008A0034" w:rsidRDefault="008A0034">
      <w:bookmarkStart w:id="2" w:name="_GoBack"/>
      <w:bookmarkEnd w:id="2"/>
    </w:p>
    <w:sectPr w:rsidR="008A0034" w:rsidSect="0006676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1703775"/>
    <w:multiLevelType w:val="hybridMultilevel"/>
    <w:tmpl w:val="650635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C82214"/>
    <w:multiLevelType w:val="hybridMultilevel"/>
    <w:tmpl w:val="61CE8698"/>
    <w:lvl w:ilvl="0" w:tplc="D0F2862A">
      <w:start w:val="1"/>
      <w:numFmt w:val="decimal"/>
      <w:lvlText w:val="%1."/>
      <w:lvlJc w:val="left"/>
      <w:pPr>
        <w:tabs>
          <w:tab w:val="num" w:pos="900"/>
        </w:tabs>
        <w:ind w:left="900" w:hanging="54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1"/>
        <w:numFmt w:val="bullet"/>
        <w:lvlText w:val="-"/>
        <w:lvlJc w:val="left"/>
        <w:pPr>
          <w:ind w:left="360" w:hanging="360"/>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8EA"/>
    <w:rsid w:val="008A0034"/>
    <w:rsid w:val="00B058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34F37-969C-411B-98DE-1818975D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58EA"/>
    <w:pPr>
      <w:spacing w:after="0" w:line="240" w:lineRule="auto"/>
    </w:pPr>
    <w:rPr>
      <w:rFonts w:ascii="Times New Roman" w:eastAsia="Times New Roman" w:hAnsi="Times New Roman" w:cs="Times New Roman"/>
      <w:szCs w:val="20"/>
      <w:lang w:eastAsia="lt-LT"/>
    </w:rPr>
  </w:style>
  <w:style w:type="paragraph" w:styleId="Antrat2">
    <w:name w:val="heading 2"/>
    <w:basedOn w:val="prastasis"/>
    <w:next w:val="prastasis"/>
    <w:link w:val="Antrat2Diagrama"/>
    <w:autoRedefine/>
    <w:unhideWhenUsed/>
    <w:qFormat/>
    <w:rsid w:val="00B058EA"/>
    <w:pPr>
      <w:keepNext/>
      <w:ind w:left="567" w:hanging="567"/>
      <w:jc w:val="both"/>
      <w:outlineLvl w:val="1"/>
    </w:pPr>
    <w:rPr>
      <w:b/>
      <w:szCs w:val="22"/>
    </w:rPr>
  </w:style>
  <w:style w:type="paragraph" w:styleId="Antrat3">
    <w:name w:val="heading 3"/>
    <w:basedOn w:val="prastasis"/>
    <w:next w:val="prastasis"/>
    <w:link w:val="Antrat3Diagrama"/>
    <w:autoRedefine/>
    <w:unhideWhenUsed/>
    <w:qFormat/>
    <w:rsid w:val="00B058EA"/>
    <w:pPr>
      <w:keepNext/>
      <w:ind w:left="567" w:hanging="567"/>
      <w:jc w:val="both"/>
      <w:outlineLvl w:val="2"/>
    </w:pPr>
    <w:rPr>
      <w:b/>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B058EA"/>
    <w:rPr>
      <w:rFonts w:ascii="Times New Roman" w:eastAsia="Times New Roman" w:hAnsi="Times New Roman" w:cs="Times New Roman"/>
      <w:b/>
      <w:lang w:eastAsia="lt-LT"/>
    </w:rPr>
  </w:style>
  <w:style w:type="character" w:customStyle="1" w:styleId="Antrat3Diagrama">
    <w:name w:val="Antraštė 3 Diagrama"/>
    <w:basedOn w:val="Numatytasispastraiposriftas"/>
    <w:link w:val="Antrat3"/>
    <w:rsid w:val="00B058EA"/>
    <w:rPr>
      <w:rFonts w:ascii="Times New Roman" w:eastAsia="Times New Roman" w:hAnsi="Times New Roman" w:cs="Times New Roman"/>
      <w:b/>
      <w:lang w:eastAsia="lt-LT"/>
    </w:rPr>
  </w:style>
  <w:style w:type="character" w:styleId="Hipersaitas">
    <w:name w:val="Hyperlink"/>
    <w:basedOn w:val="Numatytasispastraiposriftas"/>
    <w:unhideWhenUsed/>
    <w:rsid w:val="00B058EA"/>
    <w:rPr>
      <w:rFonts w:ascii="Times New Roman" w:hAnsi="Times New Roman" w:cs="Times New Roman" w:hint="default"/>
      <w:color w:val="0000FF"/>
      <w:u w:val="single"/>
    </w:rPr>
  </w:style>
  <w:style w:type="paragraph" w:styleId="Pagrindinistekstas">
    <w:name w:val="Body Text"/>
    <w:basedOn w:val="prastasis"/>
    <w:link w:val="PagrindinistekstasDiagrama"/>
    <w:unhideWhenUsed/>
    <w:rsid w:val="00B058EA"/>
    <w:pPr>
      <w:spacing w:after="120"/>
    </w:pPr>
  </w:style>
  <w:style w:type="character" w:customStyle="1" w:styleId="PagrindinistekstasDiagrama">
    <w:name w:val="Pagrindinis tekstas Diagrama"/>
    <w:basedOn w:val="Numatytasispastraiposriftas"/>
    <w:link w:val="Pagrindinistekstas"/>
    <w:rsid w:val="00B058EA"/>
    <w:rPr>
      <w:rFonts w:ascii="Times New Roman" w:eastAsia="Times New Roman" w:hAnsi="Times New Roman" w:cs="Times New Roman"/>
      <w:szCs w:val="20"/>
      <w:lang w:eastAsia="lt-LT"/>
    </w:rPr>
  </w:style>
  <w:style w:type="paragraph" w:customStyle="1" w:styleId="NoSpacing1">
    <w:name w:val="No Spacing1"/>
    <w:rsid w:val="00B058EA"/>
    <w:pPr>
      <w:spacing w:after="0" w:line="240" w:lineRule="auto"/>
    </w:pPr>
    <w:rPr>
      <w:rFonts w:ascii="Times New Roman" w:eastAsia="Times New Roman" w:hAnsi="Times New Roman" w:cs="Times New Roman"/>
      <w:szCs w:val="20"/>
      <w:lang w:eastAsia="lt-LT"/>
    </w:rPr>
  </w:style>
  <w:style w:type="character" w:customStyle="1" w:styleId="st1">
    <w:name w:val="st1"/>
    <w:basedOn w:val="Numatytasispastraiposriftas"/>
    <w:rsid w:val="00B058EA"/>
    <w:rPr>
      <w:rFonts w:ascii="Times New Roman" w:hAnsi="Times New Roman" w:cs="Times New Roman" w:hint="default"/>
    </w:rPr>
  </w:style>
  <w:style w:type="paragraph" w:styleId="Sraopastraipa">
    <w:name w:val="List Paragraph"/>
    <w:basedOn w:val="prastasis"/>
    <w:uiPriority w:val="34"/>
    <w:qFormat/>
    <w:rsid w:val="00B05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6252</Words>
  <Characters>3564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2019-09-23T07:51:00Z</dcterms:created>
  <dcterms:modified xsi:type="dcterms:W3CDTF">2019-09-23T07:51:00Z</dcterms:modified>
</cp:coreProperties>
</file>