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1372A" w14:textId="77777777" w:rsidR="004125E7" w:rsidRPr="00C92BDF" w:rsidRDefault="004125E7" w:rsidP="004125E7">
      <w:pPr>
        <w:spacing w:after="0" w:line="240" w:lineRule="auto"/>
        <w:rPr>
          <w:rFonts w:ascii="Times New Roman" w:eastAsia="Times New Roman" w:hAnsi="Times New Roman" w:cs="Times New Roman"/>
          <w:lang w:val="en-GB" w:eastAsia="lt-LT"/>
        </w:rPr>
      </w:pPr>
      <w:bookmarkStart w:id="0" w:name="_GoBack"/>
      <w:bookmarkEnd w:id="0"/>
    </w:p>
    <w:p w14:paraId="0E7E3DB3" w14:textId="77777777" w:rsidR="004125E7" w:rsidRPr="00C92BDF" w:rsidRDefault="004125E7" w:rsidP="004125E7">
      <w:pPr>
        <w:spacing w:after="0" w:line="240" w:lineRule="auto"/>
        <w:rPr>
          <w:rFonts w:ascii="Times New Roman" w:eastAsia="Times New Roman" w:hAnsi="Times New Roman" w:cs="Times New Roman"/>
          <w:lang w:val="en-GB" w:eastAsia="lt-LT"/>
        </w:rPr>
      </w:pPr>
    </w:p>
    <w:p w14:paraId="1C11B4C0" w14:textId="77777777" w:rsidR="004125E7" w:rsidRPr="00C92BDF" w:rsidRDefault="004125E7" w:rsidP="004125E7">
      <w:pPr>
        <w:spacing w:after="0" w:line="240" w:lineRule="auto"/>
        <w:rPr>
          <w:rFonts w:ascii="Times New Roman" w:eastAsia="Times New Roman" w:hAnsi="Times New Roman" w:cs="Times New Roman"/>
          <w:lang w:val="en-GB" w:eastAsia="lt-LT"/>
        </w:rPr>
      </w:pPr>
    </w:p>
    <w:p w14:paraId="6E4FF07B" w14:textId="77777777" w:rsidR="004125E7" w:rsidRPr="00C92BDF" w:rsidRDefault="004125E7" w:rsidP="004125E7">
      <w:pPr>
        <w:spacing w:after="0" w:line="240" w:lineRule="auto"/>
        <w:rPr>
          <w:rFonts w:ascii="Times New Roman" w:eastAsia="Times New Roman" w:hAnsi="Times New Roman" w:cs="Times New Roman"/>
          <w:lang w:val="en-GB" w:eastAsia="lt-LT"/>
        </w:rPr>
      </w:pPr>
    </w:p>
    <w:p w14:paraId="0BC98A82" w14:textId="77777777" w:rsidR="004125E7" w:rsidRPr="00C92BDF" w:rsidRDefault="004125E7" w:rsidP="004125E7">
      <w:pPr>
        <w:spacing w:after="0" w:line="240" w:lineRule="auto"/>
        <w:rPr>
          <w:rFonts w:ascii="Times New Roman" w:eastAsia="Times New Roman" w:hAnsi="Times New Roman" w:cs="Times New Roman"/>
          <w:lang w:val="en-GB" w:eastAsia="lt-LT"/>
        </w:rPr>
      </w:pPr>
    </w:p>
    <w:p w14:paraId="4DD35F63" w14:textId="77777777" w:rsidR="004125E7" w:rsidRPr="00C92BDF" w:rsidRDefault="004125E7" w:rsidP="004125E7">
      <w:pPr>
        <w:spacing w:after="0" w:line="240" w:lineRule="auto"/>
        <w:rPr>
          <w:rFonts w:ascii="Times New Roman" w:eastAsia="Times New Roman" w:hAnsi="Times New Roman" w:cs="Times New Roman"/>
          <w:lang w:val="en-GB" w:eastAsia="lt-LT"/>
        </w:rPr>
      </w:pPr>
    </w:p>
    <w:p w14:paraId="40FF41B7" w14:textId="77777777" w:rsidR="004125E7" w:rsidRPr="00C92BDF" w:rsidRDefault="004125E7" w:rsidP="004125E7">
      <w:pPr>
        <w:spacing w:after="0" w:line="240" w:lineRule="auto"/>
        <w:rPr>
          <w:rFonts w:ascii="Times New Roman" w:eastAsia="Times New Roman" w:hAnsi="Times New Roman" w:cs="Times New Roman"/>
          <w:lang w:val="en-GB" w:eastAsia="lt-LT"/>
        </w:rPr>
      </w:pPr>
    </w:p>
    <w:p w14:paraId="1B88E0C6" w14:textId="77777777" w:rsidR="004125E7" w:rsidRPr="00C92BDF" w:rsidRDefault="004125E7" w:rsidP="004125E7">
      <w:pPr>
        <w:spacing w:after="0" w:line="240" w:lineRule="auto"/>
        <w:rPr>
          <w:rFonts w:ascii="Times New Roman" w:eastAsia="Times New Roman" w:hAnsi="Times New Roman" w:cs="Times New Roman"/>
          <w:lang w:val="en-GB" w:eastAsia="lt-LT"/>
        </w:rPr>
      </w:pPr>
    </w:p>
    <w:p w14:paraId="6D23D6DB" w14:textId="77777777" w:rsidR="004125E7" w:rsidRPr="00C92BDF" w:rsidRDefault="004125E7" w:rsidP="004125E7">
      <w:pPr>
        <w:spacing w:after="0" w:line="240" w:lineRule="auto"/>
        <w:rPr>
          <w:rFonts w:ascii="Times New Roman" w:eastAsia="Times New Roman" w:hAnsi="Times New Roman" w:cs="Times New Roman"/>
          <w:lang w:val="en-GB" w:eastAsia="lt-LT"/>
        </w:rPr>
      </w:pPr>
    </w:p>
    <w:p w14:paraId="12F681FA" w14:textId="77777777" w:rsidR="004125E7" w:rsidRPr="00C92BDF" w:rsidRDefault="004125E7" w:rsidP="004125E7">
      <w:pPr>
        <w:spacing w:after="0" w:line="240" w:lineRule="auto"/>
        <w:rPr>
          <w:rFonts w:ascii="Times New Roman" w:eastAsia="Times New Roman" w:hAnsi="Times New Roman" w:cs="Times New Roman"/>
          <w:lang w:val="en-GB" w:eastAsia="lt-LT"/>
        </w:rPr>
      </w:pPr>
    </w:p>
    <w:p w14:paraId="15E51563"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107227F9"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067426FF"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3108A635"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33DD011E"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4080A8C6"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22D79BB5"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447D382F"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12E13D37"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65F62E29"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3055CA2A"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66397CFB"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467C8D36"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33423D44" w14:textId="77777777" w:rsidR="004125E7" w:rsidRPr="00C92BDF" w:rsidRDefault="004125E7" w:rsidP="004125E7">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C92BDF">
        <w:rPr>
          <w:rFonts w:ascii="Times New Roman" w:eastAsia="Times New Roman" w:hAnsi="Times New Roman" w:cs="Times New Roman"/>
          <w:b/>
          <w:caps/>
          <w:lang w:val="lt-LT"/>
        </w:rPr>
        <w:t>I PRIEDAS</w:t>
      </w:r>
    </w:p>
    <w:p w14:paraId="0F351BB8"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0375164C" w14:textId="77777777" w:rsidR="004125E7" w:rsidRPr="00C92BDF" w:rsidRDefault="004125E7" w:rsidP="004125E7">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C92BDF">
        <w:rPr>
          <w:rFonts w:ascii="Times New Roman" w:eastAsia="Times New Roman" w:hAnsi="Times New Roman" w:cs="Times New Roman"/>
          <w:b/>
          <w:caps/>
          <w:lang w:val="lt-LT"/>
        </w:rPr>
        <w:t>PREPARATO CHARAKTERISTIKŲ SANTRAUKA</w:t>
      </w:r>
    </w:p>
    <w:p w14:paraId="3DE51AC8" w14:textId="77777777" w:rsidR="004125E7" w:rsidRPr="00C92BDF" w:rsidRDefault="004125E7" w:rsidP="004125E7">
      <w:pPr>
        <w:keepNext/>
        <w:tabs>
          <w:tab w:val="left" w:pos="567"/>
        </w:tabs>
        <w:spacing w:after="0" w:line="240" w:lineRule="auto"/>
        <w:outlineLvl w:val="1"/>
        <w:rPr>
          <w:rFonts w:ascii="Times New Roman" w:eastAsia="Times New Roman" w:hAnsi="Times New Roman" w:cs="Times New Roman"/>
          <w:b/>
          <w:lang w:val="lt-LT"/>
        </w:rPr>
      </w:pPr>
      <w:r w:rsidRPr="00C92BDF">
        <w:rPr>
          <w:rFonts w:ascii="Times New Roman" w:eastAsia="Times New Roman" w:hAnsi="Times New Roman" w:cs="Times New Roman"/>
          <w:b/>
          <w:lang w:val="lt-LT"/>
        </w:rPr>
        <w:br w:type="page"/>
      </w:r>
      <w:r w:rsidRPr="00C92BDF">
        <w:rPr>
          <w:rFonts w:ascii="Times New Roman" w:eastAsia="Times New Roman" w:hAnsi="Times New Roman" w:cs="Times New Roman"/>
          <w:b/>
          <w:lang w:val="lt-LT"/>
        </w:rPr>
        <w:lastRenderedPageBreak/>
        <w:t>1.</w:t>
      </w:r>
      <w:r w:rsidRPr="00C92BDF">
        <w:rPr>
          <w:rFonts w:ascii="Times New Roman" w:eastAsia="Times New Roman" w:hAnsi="Times New Roman" w:cs="Times New Roman"/>
          <w:b/>
          <w:lang w:val="lt-LT"/>
        </w:rPr>
        <w:tab/>
        <w:t>VAISTINIO PREPARATO PAVADINIMAS</w:t>
      </w:r>
    </w:p>
    <w:p w14:paraId="194134D7"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7594C8D6"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Mesar 10 mg plėvele dengtos tabletės</w:t>
      </w:r>
    </w:p>
    <w:p w14:paraId="67E9A470"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Mesar 20 mg plėvele dengtos tabletės</w:t>
      </w:r>
    </w:p>
    <w:p w14:paraId="09564FB5"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i/>
          <w:lang w:val="lt-LT"/>
        </w:rPr>
      </w:pPr>
      <w:r w:rsidRPr="00C92BDF">
        <w:rPr>
          <w:rFonts w:ascii="Times New Roman" w:eastAsia="Times New Roman" w:hAnsi="Times New Roman" w:cs="Times New Roman"/>
          <w:lang w:val="lt-LT"/>
        </w:rPr>
        <w:t>Mesar 40 mg plėvele dengtos tabletės</w:t>
      </w:r>
    </w:p>
    <w:p w14:paraId="4F3C7F43"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5EEB0322"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78E4085D" w14:textId="77777777" w:rsidR="004125E7" w:rsidRPr="00C92BDF" w:rsidRDefault="004125E7" w:rsidP="004125E7">
      <w:pPr>
        <w:keepNext/>
        <w:tabs>
          <w:tab w:val="left" w:pos="567"/>
          <w:tab w:val="left" w:pos="900"/>
        </w:tabs>
        <w:spacing w:after="0" w:line="240" w:lineRule="auto"/>
        <w:outlineLvl w:val="1"/>
        <w:rPr>
          <w:rFonts w:ascii="Times New Roman" w:eastAsia="Times New Roman" w:hAnsi="Times New Roman" w:cs="Times New Roman"/>
          <w:b/>
          <w:lang w:val="lt-LT"/>
        </w:rPr>
      </w:pPr>
      <w:r w:rsidRPr="00C92BDF">
        <w:rPr>
          <w:rFonts w:ascii="Times New Roman" w:eastAsia="Times New Roman" w:hAnsi="Times New Roman" w:cs="Times New Roman"/>
          <w:b/>
          <w:lang w:val="lt-LT"/>
        </w:rPr>
        <w:t>2.</w:t>
      </w:r>
      <w:r w:rsidRPr="00C92BDF">
        <w:rPr>
          <w:rFonts w:ascii="Times New Roman" w:eastAsia="Times New Roman" w:hAnsi="Times New Roman" w:cs="Times New Roman"/>
          <w:b/>
          <w:lang w:val="lt-LT"/>
        </w:rPr>
        <w:tab/>
        <w:t>KOKYBINĖ IR KIEKYBINĖ SUDĖTIS</w:t>
      </w:r>
    </w:p>
    <w:p w14:paraId="5F21CFE5"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2F3164A0"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Kiekvienoje Mesar 10 mg plėvele dengtoje tabletėje yra 10 mg olmesartano medoksomilio.</w:t>
      </w:r>
    </w:p>
    <w:p w14:paraId="14EE1F33"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Kiekvienoje Mesar 20 mg plėvele dengtoje tabletėje yra 20 mg olmesartano medoksomilio.</w:t>
      </w:r>
    </w:p>
    <w:p w14:paraId="0E2FAF89"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Kiekvienoje Mesar 40 mg plėvele dengtoje tabletėje yra 40 mg olmesartano medoksomilio.</w:t>
      </w:r>
    </w:p>
    <w:p w14:paraId="566DE399"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50C153B3"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u w:val="single"/>
          <w:lang w:val="lt-LT"/>
        </w:rPr>
        <w:t>Pagalbinė medžiaga, kurios poveikis žinomas</w:t>
      </w:r>
      <w:r w:rsidRPr="00C92BDF">
        <w:rPr>
          <w:rFonts w:ascii="Times New Roman" w:eastAsia="Times New Roman" w:hAnsi="Times New Roman" w:cs="Times New Roman"/>
          <w:lang w:val="lt-LT"/>
        </w:rPr>
        <w:t>:</w:t>
      </w:r>
    </w:p>
    <w:p w14:paraId="23B4E22E"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Mesar 10 mg plėvele dengta tabletė: kiekvienoje plėvele dengtoje tabletėje yra 61,6 mg laktozės monohidrato.</w:t>
      </w:r>
    </w:p>
    <w:p w14:paraId="6D55C49E"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Mesar 20 mg plėvele dengta tabletė: kiekvienoje plėvele dengtoje tabletėje yra 123,2 mg laktozės monohidrato.</w:t>
      </w:r>
    </w:p>
    <w:p w14:paraId="0E64CD4C"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Mesar 40 mg plėvele dengta tabletė: kiekvienoje plėvele dengtoje tabletėje yra 246,4 mg laktozės monohidrato.</w:t>
      </w:r>
    </w:p>
    <w:p w14:paraId="4C24A5AA"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34F4486B"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Visos pagalbinės medžiagos išvardytos 6.1 skyriuje.</w:t>
      </w:r>
    </w:p>
    <w:p w14:paraId="1A8B0CA9"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6371766D"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12D914EF" w14:textId="77777777" w:rsidR="004125E7" w:rsidRPr="00C92BDF" w:rsidRDefault="004125E7" w:rsidP="004125E7">
      <w:pPr>
        <w:keepNext/>
        <w:tabs>
          <w:tab w:val="left" w:pos="567"/>
          <w:tab w:val="left" w:pos="900"/>
        </w:tabs>
        <w:spacing w:after="0" w:line="240" w:lineRule="auto"/>
        <w:outlineLvl w:val="1"/>
        <w:rPr>
          <w:rFonts w:ascii="Times New Roman" w:eastAsia="Times New Roman" w:hAnsi="Times New Roman" w:cs="Times New Roman"/>
          <w:b/>
          <w:lang w:val="lt-LT"/>
        </w:rPr>
      </w:pPr>
      <w:r w:rsidRPr="00C92BDF">
        <w:rPr>
          <w:rFonts w:ascii="Times New Roman" w:eastAsia="Times New Roman" w:hAnsi="Times New Roman" w:cs="Times New Roman"/>
          <w:b/>
          <w:lang w:val="lt-LT"/>
        </w:rPr>
        <w:t>3.</w:t>
      </w:r>
      <w:r w:rsidRPr="00C92BDF">
        <w:rPr>
          <w:rFonts w:ascii="Times New Roman" w:eastAsia="Times New Roman" w:hAnsi="Times New Roman" w:cs="Times New Roman"/>
          <w:b/>
          <w:lang w:val="lt-LT"/>
        </w:rPr>
        <w:tab/>
        <w:t>FARMACINĖ FORMA</w:t>
      </w:r>
    </w:p>
    <w:p w14:paraId="2D04C66E"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2B3D26E1"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Plėvele dengta tabletė.</w:t>
      </w:r>
    </w:p>
    <w:p w14:paraId="64095310"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Mesar 10 mg </w:t>
      </w:r>
      <w:r w:rsidRPr="00C92BDF">
        <w:rPr>
          <w:rFonts w:ascii="Times New Roman" w:eastAsia="Times New Roman" w:hAnsi="Times New Roman" w:cs="Times New Roman"/>
          <w:lang w:val="lt-LT"/>
        </w:rPr>
        <w:t xml:space="preserve">tabletės: baltos, apvalios plėvele dengtos tabletės, kurių </w:t>
      </w:r>
      <w:r>
        <w:rPr>
          <w:rFonts w:ascii="Times New Roman" w:eastAsia="Times New Roman" w:hAnsi="Times New Roman" w:cs="Times New Roman"/>
          <w:lang w:val="lt-LT"/>
        </w:rPr>
        <w:t>vienoje pusėje yra įspaudas C13</w:t>
      </w:r>
      <w:r w:rsidRPr="00C92BDF">
        <w:rPr>
          <w:rFonts w:ascii="Times New Roman" w:eastAsia="Times New Roman" w:hAnsi="Times New Roman" w:cs="Times New Roman"/>
          <w:lang w:val="lt-LT"/>
        </w:rPr>
        <w:t>.</w:t>
      </w:r>
    </w:p>
    <w:p w14:paraId="54C47809"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Mesar 20 mg tabletės: baltos, apvalios plėvele dengtos tabletės, kurių vienoje pusėje yra įspaudas C14.</w:t>
      </w:r>
      <w:r>
        <w:rPr>
          <w:rFonts w:ascii="Times New Roman" w:eastAsia="Times New Roman" w:hAnsi="Times New Roman" w:cs="Times New Roman"/>
          <w:lang w:val="lt-LT"/>
        </w:rPr>
        <w:t xml:space="preserve"> </w:t>
      </w:r>
      <w:r w:rsidRPr="00C92BDF">
        <w:rPr>
          <w:rFonts w:ascii="Times New Roman" w:eastAsia="Times New Roman" w:hAnsi="Times New Roman" w:cs="Times New Roman"/>
          <w:lang w:val="lt-LT"/>
        </w:rPr>
        <w:t>Mesar 40 mg tabletės: baltos, ovalios plėvele dengtos tabletės, kurių vienoje pusėje yra įspaudas C15.</w:t>
      </w:r>
    </w:p>
    <w:p w14:paraId="103DC857"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2D3B67A1"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5B0363E7" w14:textId="77777777" w:rsidR="004125E7" w:rsidRPr="00C92BDF" w:rsidRDefault="004125E7" w:rsidP="004125E7">
      <w:pPr>
        <w:keepNext/>
        <w:tabs>
          <w:tab w:val="left" w:pos="567"/>
          <w:tab w:val="left" w:pos="900"/>
        </w:tabs>
        <w:spacing w:after="0" w:line="240" w:lineRule="auto"/>
        <w:outlineLvl w:val="1"/>
        <w:rPr>
          <w:rFonts w:ascii="Times New Roman" w:eastAsia="Times New Roman" w:hAnsi="Times New Roman" w:cs="Times New Roman"/>
          <w:b/>
          <w:lang w:val="lt-LT"/>
        </w:rPr>
      </w:pPr>
      <w:r w:rsidRPr="00C92BDF">
        <w:rPr>
          <w:rFonts w:ascii="Times New Roman" w:eastAsia="Times New Roman" w:hAnsi="Times New Roman" w:cs="Times New Roman"/>
          <w:b/>
          <w:lang w:val="lt-LT"/>
        </w:rPr>
        <w:t>4.</w:t>
      </w:r>
      <w:r w:rsidRPr="00C92BDF">
        <w:rPr>
          <w:rFonts w:ascii="Times New Roman" w:eastAsia="Times New Roman" w:hAnsi="Times New Roman" w:cs="Times New Roman"/>
          <w:b/>
          <w:lang w:val="lt-LT"/>
        </w:rPr>
        <w:tab/>
        <w:t>KLINIKINĖ INFORMACIJA</w:t>
      </w:r>
    </w:p>
    <w:p w14:paraId="2C1C7BA5"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5BC043E7" w14:textId="77777777" w:rsidR="004125E7" w:rsidRPr="00C92BDF" w:rsidRDefault="004125E7" w:rsidP="004125E7">
      <w:pPr>
        <w:keepNext/>
        <w:keepLines/>
        <w:tabs>
          <w:tab w:val="left" w:pos="567"/>
          <w:tab w:val="left" w:pos="900"/>
        </w:tabs>
        <w:spacing w:after="0" w:line="240" w:lineRule="auto"/>
        <w:ind w:left="567" w:hanging="567"/>
        <w:outlineLvl w:val="2"/>
        <w:rPr>
          <w:rFonts w:ascii="Times New Roman" w:eastAsia="Times New Roman" w:hAnsi="Times New Roman" w:cs="Times New Roman"/>
          <w:b/>
          <w:kern w:val="28"/>
          <w:lang w:val="lt-LT"/>
        </w:rPr>
      </w:pPr>
      <w:r w:rsidRPr="00C92BDF">
        <w:rPr>
          <w:rFonts w:ascii="Times New Roman" w:eastAsia="Times New Roman" w:hAnsi="Times New Roman" w:cs="Times New Roman"/>
          <w:b/>
          <w:kern w:val="28"/>
          <w:lang w:val="lt-LT"/>
        </w:rPr>
        <w:t>4.1</w:t>
      </w:r>
      <w:r w:rsidRPr="00C92BDF">
        <w:rPr>
          <w:rFonts w:ascii="Times New Roman" w:eastAsia="Times New Roman" w:hAnsi="Times New Roman" w:cs="Times New Roman"/>
          <w:b/>
          <w:kern w:val="28"/>
          <w:lang w:val="lt-LT"/>
        </w:rPr>
        <w:tab/>
        <w:t>Terapinės indikacijos</w:t>
      </w:r>
    </w:p>
    <w:p w14:paraId="79F9E263"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026ED845" w14:textId="77777777" w:rsidR="004125E7"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Pirminės arterinės hipertenzijos gydymas</w:t>
      </w:r>
      <w:r>
        <w:rPr>
          <w:rFonts w:ascii="Times New Roman" w:eastAsia="Times New Roman" w:hAnsi="Times New Roman" w:cs="Times New Roman"/>
          <w:lang w:val="lt-LT"/>
        </w:rPr>
        <w:t xml:space="preserve"> suaugusiesiems</w:t>
      </w:r>
      <w:r w:rsidRPr="00C92BDF">
        <w:rPr>
          <w:rFonts w:ascii="Times New Roman" w:eastAsia="Times New Roman" w:hAnsi="Times New Roman" w:cs="Times New Roman"/>
          <w:lang w:val="lt-LT"/>
        </w:rPr>
        <w:t>.</w:t>
      </w:r>
    </w:p>
    <w:p w14:paraId="716B7C8C" w14:textId="77777777" w:rsidR="004125E7" w:rsidRPr="00E1194C" w:rsidRDefault="004125E7" w:rsidP="004125E7">
      <w:pPr>
        <w:autoSpaceDE w:val="0"/>
        <w:autoSpaceDN w:val="0"/>
        <w:spacing w:after="0" w:line="240" w:lineRule="auto"/>
        <w:rPr>
          <w:rFonts w:ascii="Times New Roman" w:eastAsia="MS Mincho" w:hAnsi="Times New Roman" w:cs="Times New Roman"/>
          <w:shd w:val="clear" w:color="auto" w:fill="FFFFFF"/>
          <w:lang w:val="lt-LT" w:eastAsia="ja-JP"/>
        </w:rPr>
      </w:pPr>
      <w:r w:rsidRPr="00E1194C">
        <w:rPr>
          <w:rFonts w:ascii="Times New Roman" w:eastAsia="MS Mincho" w:hAnsi="Times New Roman" w:cs="Times New Roman"/>
          <w:shd w:val="clear" w:color="auto" w:fill="FFFFFF"/>
          <w:lang w:val="lt-LT" w:eastAsia="ja-JP"/>
        </w:rPr>
        <w:t>Vaikų ir paauglių nuo 6 iki 18 metų, sergančių hipertenzija, gydymas</w:t>
      </w:r>
      <w:r>
        <w:rPr>
          <w:rFonts w:ascii="Times New Roman" w:eastAsia="MS Mincho" w:hAnsi="Times New Roman" w:cs="Times New Roman"/>
          <w:shd w:val="clear" w:color="auto" w:fill="FFFFFF"/>
          <w:lang w:val="lt-LT" w:eastAsia="ja-JP"/>
        </w:rPr>
        <w:t>.</w:t>
      </w:r>
    </w:p>
    <w:p w14:paraId="4395EA84"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6952AAD5"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2370A843" w14:textId="77777777" w:rsidR="004125E7" w:rsidRPr="00C92BDF" w:rsidRDefault="004125E7" w:rsidP="004125E7">
      <w:pPr>
        <w:keepNext/>
        <w:keepLines/>
        <w:tabs>
          <w:tab w:val="left" w:pos="567"/>
          <w:tab w:val="left" w:pos="900"/>
        </w:tabs>
        <w:spacing w:after="0" w:line="240" w:lineRule="auto"/>
        <w:ind w:left="567" w:hanging="567"/>
        <w:outlineLvl w:val="2"/>
        <w:rPr>
          <w:rFonts w:ascii="Times New Roman" w:eastAsia="Times New Roman" w:hAnsi="Times New Roman" w:cs="Times New Roman"/>
          <w:b/>
          <w:kern w:val="28"/>
          <w:lang w:val="lt-LT"/>
        </w:rPr>
      </w:pPr>
      <w:r w:rsidRPr="00C92BDF">
        <w:rPr>
          <w:rFonts w:ascii="Times New Roman" w:eastAsia="Times New Roman" w:hAnsi="Times New Roman" w:cs="Times New Roman"/>
          <w:b/>
          <w:kern w:val="28"/>
          <w:lang w:val="lt-LT"/>
        </w:rPr>
        <w:t>4.2</w:t>
      </w:r>
      <w:r w:rsidRPr="00C92BDF">
        <w:rPr>
          <w:rFonts w:ascii="Times New Roman" w:eastAsia="Times New Roman" w:hAnsi="Times New Roman" w:cs="Times New Roman"/>
          <w:b/>
          <w:kern w:val="28"/>
          <w:lang w:val="lt-LT"/>
        </w:rPr>
        <w:tab/>
        <w:t>Dozavimas ir vartojimo metodas</w:t>
      </w:r>
    </w:p>
    <w:p w14:paraId="33F3E7FC"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2F1779A0" w14:textId="77777777" w:rsidR="004125E7" w:rsidRPr="00C92BDF" w:rsidRDefault="004125E7" w:rsidP="004125E7">
      <w:pPr>
        <w:tabs>
          <w:tab w:val="left" w:pos="900"/>
        </w:tabs>
        <w:spacing w:after="0" w:line="240" w:lineRule="auto"/>
        <w:jc w:val="both"/>
        <w:rPr>
          <w:rFonts w:ascii="Times New Roman" w:eastAsia="Times New Roman" w:hAnsi="Times New Roman" w:cs="Times New Roman"/>
          <w:u w:val="single"/>
          <w:lang w:val="lt-LT" w:eastAsia="lt-LT"/>
        </w:rPr>
      </w:pPr>
      <w:r w:rsidRPr="00C92BDF">
        <w:rPr>
          <w:rFonts w:ascii="Times New Roman" w:eastAsia="Times New Roman" w:hAnsi="Times New Roman" w:cs="Times New Roman"/>
          <w:u w:val="single"/>
          <w:lang w:val="lt-LT" w:eastAsia="lt-LT"/>
        </w:rPr>
        <w:t>Dozavimas</w:t>
      </w:r>
    </w:p>
    <w:p w14:paraId="32A1C91D"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03AD3D26" w14:textId="77777777" w:rsidR="004125E7" w:rsidRPr="00C92BDF" w:rsidRDefault="004125E7" w:rsidP="004125E7">
      <w:pPr>
        <w:tabs>
          <w:tab w:val="left" w:pos="900"/>
        </w:tabs>
        <w:spacing w:after="0" w:line="240" w:lineRule="auto"/>
        <w:rPr>
          <w:rFonts w:ascii="Times New Roman" w:eastAsia="Times New Roman" w:hAnsi="Times New Roman" w:cs="Times New Roman"/>
          <w:i/>
          <w:iCs/>
          <w:lang w:val="lt-LT"/>
        </w:rPr>
      </w:pPr>
      <w:r w:rsidRPr="00C92BDF">
        <w:rPr>
          <w:rFonts w:ascii="Times New Roman" w:eastAsia="Times New Roman" w:hAnsi="Times New Roman" w:cs="Times New Roman"/>
          <w:i/>
          <w:iCs/>
          <w:lang w:val="lt-LT"/>
        </w:rPr>
        <w:t>Suaugusieji</w:t>
      </w:r>
    </w:p>
    <w:p w14:paraId="280F8597"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Pradinė gydymo olmesartanu medoksomiliu dozė yra 10 mg vieną kartą per parą. Jei, skyrus šią dozę, ligonio kraujospūdis netampa normalus, olmesartano medoksomilio dozė gali būti padidinta iki optimalios – 20 mg vieną kartą per parą. Jei kraujospūdį reikia dar labiau sumažinti, olmesartano medoksomilio dozę galima padidinti ne daugiau kaip iki 40 mg per parą arba prie šio vaistinio preparato papildomai skirti hidrochlorotiazido.</w:t>
      </w:r>
    </w:p>
    <w:p w14:paraId="7684C0D4"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Olmesartano medoksomilio kraujospūdį mažinantis poveikis reikšmingai stiprėja pirmąsias dvi</w:t>
      </w:r>
      <w:r w:rsidRPr="00C92BDF">
        <w:rPr>
          <w:rFonts w:ascii="Times New Roman" w:eastAsia="Times New Roman" w:hAnsi="Times New Roman" w:cs="Times New Roman"/>
          <w:color w:val="FF0000"/>
          <w:lang w:val="lt-LT"/>
        </w:rPr>
        <w:t xml:space="preserve"> </w:t>
      </w:r>
      <w:r w:rsidRPr="00C92BDF">
        <w:rPr>
          <w:rFonts w:ascii="Times New Roman" w:eastAsia="Times New Roman" w:hAnsi="Times New Roman" w:cs="Times New Roman"/>
          <w:lang w:val="lt-LT"/>
        </w:rPr>
        <w:t>gydymo savaites ir intensyviausiai reiškiasi po 8 savaičių. Tai reikia prisiminti, kai sprendžiama dėl dozės pakeitimo pacientui.</w:t>
      </w:r>
    </w:p>
    <w:p w14:paraId="5DE67016"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Siekiant padėti prisitaikyti prie vaistinio preparato, pacientui patariama jį vartoti apytikriai tuo pačiu paros metu tiek nevalgius, tiek valgant, pvz., pusryčiaujant.</w:t>
      </w:r>
    </w:p>
    <w:p w14:paraId="6C66EB8F"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4367B88C" w14:textId="77777777" w:rsidR="004125E7" w:rsidRPr="00C92BDF" w:rsidRDefault="004125E7" w:rsidP="004125E7">
      <w:pPr>
        <w:tabs>
          <w:tab w:val="left" w:pos="900"/>
        </w:tabs>
        <w:spacing w:after="0" w:line="240" w:lineRule="auto"/>
        <w:rPr>
          <w:rFonts w:ascii="Times New Roman" w:eastAsia="Times New Roman" w:hAnsi="Times New Roman" w:cs="Times New Roman"/>
          <w:i/>
          <w:iCs/>
          <w:lang w:val="lt-LT"/>
        </w:rPr>
      </w:pPr>
      <w:r w:rsidRPr="00C92BDF">
        <w:rPr>
          <w:rFonts w:ascii="Times New Roman" w:eastAsia="Times New Roman" w:hAnsi="Times New Roman" w:cs="Times New Roman"/>
          <w:i/>
          <w:iCs/>
          <w:lang w:val="lt-LT"/>
        </w:rPr>
        <w:t>Senyvi pacientai (65 metai arba vyresni)</w:t>
      </w:r>
    </w:p>
    <w:p w14:paraId="7D1FA667" w14:textId="77777777" w:rsidR="004125E7" w:rsidRPr="00C92BDF" w:rsidRDefault="004125E7" w:rsidP="004125E7">
      <w:pPr>
        <w:tabs>
          <w:tab w:val="left" w:pos="90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lastRenderedPageBreak/>
        <w:t>Senyviems pacientams dozės koreguoti nereikia (žr. žemiau apie dozavimą esant inkstų veiklos sutrikimui). Jei dozę reikia pamažu didinti iki 40 mg per parą, reikia labai atidžiai stebėti paciento kraujospūdį.</w:t>
      </w:r>
    </w:p>
    <w:p w14:paraId="423FAB90" w14:textId="77777777" w:rsidR="004125E7" w:rsidRPr="00C92BDF" w:rsidRDefault="004125E7" w:rsidP="004125E7">
      <w:pPr>
        <w:tabs>
          <w:tab w:val="left" w:pos="900"/>
        </w:tabs>
        <w:spacing w:after="0" w:line="240" w:lineRule="auto"/>
        <w:rPr>
          <w:rFonts w:ascii="Times New Roman" w:eastAsia="Times New Roman" w:hAnsi="Times New Roman" w:cs="Times New Roman"/>
          <w:lang w:val="lt-LT"/>
        </w:rPr>
      </w:pPr>
    </w:p>
    <w:p w14:paraId="1FA58DC1" w14:textId="77777777" w:rsidR="004125E7" w:rsidRPr="00C92BDF" w:rsidRDefault="004125E7" w:rsidP="004125E7">
      <w:pPr>
        <w:tabs>
          <w:tab w:val="left" w:pos="900"/>
        </w:tabs>
        <w:spacing w:after="0" w:line="240" w:lineRule="auto"/>
        <w:rPr>
          <w:rFonts w:ascii="Times New Roman" w:eastAsia="Times New Roman" w:hAnsi="Times New Roman" w:cs="Times New Roman"/>
          <w:i/>
          <w:iCs/>
          <w:lang w:val="lt-LT"/>
        </w:rPr>
      </w:pPr>
      <w:r w:rsidRPr="00C92BDF">
        <w:rPr>
          <w:rFonts w:ascii="Times New Roman" w:eastAsia="Times New Roman" w:hAnsi="Times New Roman" w:cs="Times New Roman"/>
          <w:i/>
          <w:iCs/>
          <w:lang w:val="lt-LT"/>
        </w:rPr>
        <w:t>Pacientams, kurių inkstų funkcija sutrikusi</w:t>
      </w:r>
    </w:p>
    <w:p w14:paraId="2D3BE1CF" w14:textId="77777777" w:rsidR="004125E7" w:rsidRPr="00C92BDF" w:rsidRDefault="004125E7" w:rsidP="004125E7">
      <w:pPr>
        <w:tabs>
          <w:tab w:val="left" w:pos="90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Esant lengvam ar vidutinio sunkumo inkstų veiklos sutrikimui (kreatinino klirensas 20-60 ml/min.), olmesartano medoksomilio dozė yra 20 mg vieną kartą per parą, nes apie didesnių dozių vartojimą šiai pacientų grupei nesukaupta pakankamai patyrimo. Olmesartanu medoksomiliu gydyti pacientus, kuriems yra sunkus inkstų veiklos sutrikimas (kreatinino klirensas mažiau kaip 20 ml/min.), nepatariama, nes jo vartojimo patirtis šios grupės pacientams gydyti yra per maža (žr. 4.4 ir 5.2 skyrius).</w:t>
      </w:r>
    </w:p>
    <w:p w14:paraId="6D527A9E"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1036F6FD" w14:textId="77777777" w:rsidR="004125E7" w:rsidRPr="00C92BDF" w:rsidRDefault="004125E7" w:rsidP="004125E7">
      <w:pPr>
        <w:widowControl w:val="0"/>
        <w:tabs>
          <w:tab w:val="left" w:pos="900"/>
        </w:tabs>
        <w:spacing w:after="0" w:line="240" w:lineRule="auto"/>
        <w:rPr>
          <w:rFonts w:ascii="Times New Roman" w:eastAsia="Times New Roman" w:hAnsi="Times New Roman" w:cs="Times New Roman"/>
          <w:i/>
          <w:iCs/>
          <w:lang w:val="lt-LT"/>
        </w:rPr>
      </w:pPr>
      <w:r w:rsidRPr="00C92BDF">
        <w:rPr>
          <w:rFonts w:ascii="Times New Roman" w:eastAsia="Times New Roman" w:hAnsi="Times New Roman" w:cs="Times New Roman"/>
          <w:i/>
          <w:iCs/>
          <w:lang w:val="lt-LT"/>
        </w:rPr>
        <w:t>Pacientams, kurių kepenų funkcija sutrikusi</w:t>
      </w:r>
    </w:p>
    <w:p w14:paraId="27ADF77E"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Esant lengvam kepenų veiklos sutrikimui, dozės koreguoti nereikia. Esant vidutinio sunkumo kepenų veiklos sutrikimui, iš pradžių patariama vartoti po 10 mg olmesartano medoksomilio, o didžiausia dozė neturi viršyti 20 mg vieną kartą per parą. Jei, esant kepenų veiklos sutrikimui, pacientas gydomas diuretikais ir (arba) kitais vaistiniais preparatais nuo hipertenzijos, reikia atidžiai stebėti kraujospūdį ir inkstų veiklą. Olmesartano medoksomilio vartojimo pacientams, kuriems nustatytas sunkus kepenų veiklos sutrikimas, patirties nėra, todėl šios grupės pacientų juo gydyti nerekomenduojama (žr. 4.4 ir 5.2 skyrius). Olmesartano medoksomilio negalima vartoti esant tulžies latakų obstrukcijai (žr. 4.3 skyrių).</w:t>
      </w:r>
    </w:p>
    <w:p w14:paraId="57FC5D5C"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0796824B" w14:textId="77777777" w:rsidR="004125E7" w:rsidRPr="000A1801" w:rsidRDefault="004125E7" w:rsidP="004125E7">
      <w:pPr>
        <w:tabs>
          <w:tab w:val="left" w:pos="540"/>
          <w:tab w:val="left" w:pos="2127"/>
          <w:tab w:val="left" w:pos="2977"/>
        </w:tabs>
        <w:spacing w:after="0" w:line="240" w:lineRule="auto"/>
        <w:rPr>
          <w:rFonts w:ascii="Times New Roman" w:eastAsia="Times New Roman" w:hAnsi="Times New Roman" w:cs="Times New Roman"/>
          <w:i/>
          <w:u w:val="single"/>
          <w:lang w:val="lt-LT"/>
        </w:rPr>
      </w:pPr>
      <w:r w:rsidRPr="000A1801">
        <w:rPr>
          <w:rFonts w:ascii="Times New Roman" w:eastAsia="Times New Roman" w:hAnsi="Times New Roman" w:cs="Times New Roman"/>
          <w:i/>
          <w:u w:val="single"/>
          <w:lang w:val="lt-LT"/>
        </w:rPr>
        <w:t>Vaikų populiacija</w:t>
      </w:r>
    </w:p>
    <w:p w14:paraId="341131FE" w14:textId="77777777" w:rsidR="004125E7" w:rsidRDefault="004125E7" w:rsidP="004125E7">
      <w:pPr>
        <w:tabs>
          <w:tab w:val="left" w:pos="540"/>
          <w:tab w:val="left" w:pos="2127"/>
          <w:tab w:val="left" w:pos="2977"/>
        </w:tabs>
        <w:spacing w:after="0" w:line="240" w:lineRule="auto"/>
        <w:rPr>
          <w:rFonts w:ascii="Times New Roman" w:eastAsia="Times New Roman" w:hAnsi="Times New Roman" w:cs="Times New Roman"/>
          <w:i/>
          <w:lang w:val="lt-LT"/>
        </w:rPr>
      </w:pPr>
    </w:p>
    <w:p w14:paraId="12B7A056" w14:textId="77777777" w:rsidR="004125E7" w:rsidRPr="000A1801" w:rsidRDefault="004125E7" w:rsidP="004125E7">
      <w:pPr>
        <w:autoSpaceDE w:val="0"/>
        <w:autoSpaceDN w:val="0"/>
        <w:spacing w:after="0" w:line="240" w:lineRule="auto"/>
        <w:rPr>
          <w:rFonts w:ascii="Times New Roman" w:eastAsia="MS Mincho" w:hAnsi="Times New Roman" w:cs="Times New Roman"/>
          <w:i/>
          <w:shd w:val="clear" w:color="auto" w:fill="FFFFFF"/>
          <w:lang w:val="lt-LT" w:eastAsia="ja-JP"/>
        </w:rPr>
      </w:pPr>
      <w:r w:rsidRPr="000A1801">
        <w:rPr>
          <w:rFonts w:ascii="Times New Roman" w:eastAsia="MS Mincho" w:hAnsi="Times New Roman" w:cs="Times New Roman"/>
          <w:i/>
          <w:shd w:val="clear" w:color="auto" w:fill="FFFFFF"/>
          <w:lang w:val="lt-LT" w:eastAsia="ja-JP"/>
        </w:rPr>
        <w:t>6 - 18 metų vaikai ir paaugliai</w:t>
      </w:r>
    </w:p>
    <w:p w14:paraId="298ECC86" w14:textId="77777777" w:rsidR="004125E7" w:rsidRPr="00E1194C" w:rsidRDefault="004125E7" w:rsidP="004125E7">
      <w:pPr>
        <w:autoSpaceDE w:val="0"/>
        <w:autoSpaceDN w:val="0"/>
        <w:spacing w:after="0" w:line="240" w:lineRule="auto"/>
        <w:rPr>
          <w:rFonts w:ascii="Times New Roman" w:eastAsia="MS Mincho" w:hAnsi="Times New Roman" w:cs="Times New Roman"/>
          <w:shd w:val="clear" w:color="auto" w:fill="FFFFFF"/>
          <w:lang w:val="lt-LT" w:eastAsia="ja-JP"/>
        </w:rPr>
      </w:pPr>
      <w:r w:rsidRPr="00E1194C">
        <w:rPr>
          <w:rFonts w:ascii="Times New Roman" w:eastAsia="MS Mincho" w:hAnsi="Times New Roman" w:cs="Times New Roman"/>
          <w:shd w:val="clear" w:color="auto" w:fill="FFFFFF"/>
          <w:lang w:val="lt-LT" w:eastAsia="ja-JP"/>
        </w:rPr>
        <w:t>Rekomenduojama pradinė olmesartano medoksomilio dozė nuo 6 iki</w:t>
      </w:r>
      <w:r>
        <w:rPr>
          <w:rFonts w:ascii="Times New Roman" w:eastAsia="MS Mincho" w:hAnsi="Times New Roman" w:cs="Times New Roman"/>
          <w:shd w:val="clear" w:color="auto" w:fill="FFFFFF"/>
          <w:lang w:val="lt-LT" w:eastAsia="ja-JP"/>
        </w:rPr>
        <w:t xml:space="preserve"> 18 metų vaikams yra 10 mg </w:t>
      </w:r>
      <w:r w:rsidRPr="00E1194C">
        <w:rPr>
          <w:rFonts w:ascii="Times New Roman" w:eastAsia="MS Mincho" w:hAnsi="Times New Roman" w:cs="Times New Roman"/>
          <w:shd w:val="clear" w:color="auto" w:fill="FFFFFF"/>
          <w:lang w:val="lt-LT" w:eastAsia="ja-JP"/>
        </w:rPr>
        <w:t>olmesartano medoksomilio vieną kartą per parą. Vaikams, kurių k</w:t>
      </w:r>
      <w:r>
        <w:rPr>
          <w:rFonts w:ascii="Times New Roman" w:eastAsia="MS Mincho" w:hAnsi="Times New Roman" w:cs="Times New Roman"/>
          <w:shd w:val="clear" w:color="auto" w:fill="FFFFFF"/>
          <w:lang w:val="lt-LT" w:eastAsia="ja-JP"/>
        </w:rPr>
        <w:t xml:space="preserve">raujospūdis vartojant šią dozę tinkamai </w:t>
      </w:r>
      <w:r w:rsidRPr="00E1194C">
        <w:rPr>
          <w:rFonts w:ascii="Times New Roman" w:eastAsia="MS Mincho" w:hAnsi="Times New Roman" w:cs="Times New Roman"/>
          <w:shd w:val="clear" w:color="auto" w:fill="FFFFFF"/>
          <w:lang w:val="lt-LT" w:eastAsia="ja-JP"/>
        </w:rPr>
        <w:t>nekontroliuojamas, olmesartano medoksomilio dozę galima padidinti iki 20 mg vieną kartą per parą. Jei kraujospūdį reikia mažinti papildomai, vaikams, kurių kūno svoris yra ≥ 35 kg, galima padidinti iki maksimalios 40 mg dozės. Vaikams, kurių kūno svoris &lt; 35 kg, paros dozė neturi viršyti 20 mg.</w:t>
      </w:r>
    </w:p>
    <w:p w14:paraId="6648FCE1" w14:textId="77777777" w:rsidR="004125E7" w:rsidRDefault="004125E7" w:rsidP="004125E7">
      <w:pPr>
        <w:tabs>
          <w:tab w:val="left" w:pos="540"/>
          <w:tab w:val="left" w:pos="2127"/>
          <w:tab w:val="left" w:pos="2977"/>
        </w:tabs>
        <w:spacing w:after="0" w:line="240" w:lineRule="auto"/>
        <w:rPr>
          <w:rFonts w:ascii="Times New Roman" w:eastAsia="Times New Roman" w:hAnsi="Times New Roman" w:cs="Times New Roman"/>
          <w:i/>
          <w:lang w:val="lt-LT"/>
        </w:rPr>
      </w:pPr>
    </w:p>
    <w:p w14:paraId="191A3987"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Kitos vaikų populiacijos</w:t>
      </w:r>
    </w:p>
    <w:p w14:paraId="1E1DB834"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 xml:space="preserve">Olmesartano medoksomilio saugumas ir veiksmingumas vaikams </w:t>
      </w:r>
      <w:r>
        <w:rPr>
          <w:rFonts w:ascii="Times New Roman" w:eastAsia="Times New Roman" w:hAnsi="Times New Roman" w:cs="Times New Roman"/>
          <w:lang w:val="lt-LT"/>
        </w:rPr>
        <w:t>1 - 5</w:t>
      </w:r>
      <w:r w:rsidRPr="00C92BDF">
        <w:rPr>
          <w:rFonts w:ascii="Times New Roman" w:eastAsia="Times New Roman" w:hAnsi="Times New Roman" w:cs="Times New Roman"/>
          <w:lang w:val="lt-LT"/>
        </w:rPr>
        <w:t xml:space="preserve"> metų </w:t>
      </w:r>
      <w:r>
        <w:rPr>
          <w:rFonts w:ascii="Times New Roman" w:eastAsia="Times New Roman" w:hAnsi="Times New Roman" w:cs="Times New Roman"/>
          <w:lang w:val="lt-LT"/>
        </w:rPr>
        <w:t xml:space="preserve">amžiaus dar </w:t>
      </w:r>
      <w:r w:rsidRPr="00C92BDF">
        <w:rPr>
          <w:rFonts w:ascii="Times New Roman" w:eastAsia="Times New Roman" w:hAnsi="Times New Roman" w:cs="Times New Roman"/>
          <w:lang w:val="lt-LT"/>
        </w:rPr>
        <w:t>neištirti. Esami duomenys aprašyti skyriuose 4.8</w:t>
      </w:r>
      <w:r>
        <w:rPr>
          <w:rFonts w:ascii="Times New Roman" w:eastAsia="Times New Roman" w:hAnsi="Times New Roman" w:cs="Times New Roman"/>
          <w:lang w:val="lt-LT"/>
        </w:rPr>
        <w:t xml:space="preserve"> ir</w:t>
      </w:r>
      <w:r w:rsidRPr="00C92BDF">
        <w:rPr>
          <w:rFonts w:ascii="Times New Roman" w:eastAsia="Times New Roman" w:hAnsi="Times New Roman" w:cs="Times New Roman"/>
          <w:lang w:val="lt-LT"/>
        </w:rPr>
        <w:t xml:space="preserve"> 5.1 , bet kokių nors rekomendacijų dėl dozavimo pateikti negalima. </w:t>
      </w:r>
    </w:p>
    <w:p w14:paraId="7530534B"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59F84B1F"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Mažesniems kaip 1 metų vaikams olmesartano medoksomilio neturėtų būti skiriama dėl vaisto saugumo ir duomenų šios grupės pacientams trūkumo.</w:t>
      </w:r>
    </w:p>
    <w:p w14:paraId="2566CD3D"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73DC62FE" w14:textId="77777777" w:rsidR="004125E7" w:rsidRPr="00C92BDF" w:rsidRDefault="004125E7" w:rsidP="004125E7">
      <w:pPr>
        <w:tabs>
          <w:tab w:val="left" w:pos="900"/>
        </w:tabs>
        <w:spacing w:after="0" w:line="240" w:lineRule="auto"/>
        <w:jc w:val="both"/>
        <w:rPr>
          <w:rFonts w:ascii="Times New Roman" w:eastAsia="Times New Roman" w:hAnsi="Times New Roman" w:cs="Times New Roman"/>
          <w:u w:val="single"/>
          <w:lang w:val="lt-LT" w:eastAsia="lt-LT"/>
        </w:rPr>
      </w:pPr>
      <w:r w:rsidRPr="00C92BDF">
        <w:rPr>
          <w:rFonts w:ascii="Times New Roman" w:eastAsia="Times New Roman" w:hAnsi="Times New Roman" w:cs="Times New Roman"/>
          <w:u w:val="single"/>
          <w:lang w:val="lt-LT" w:eastAsia="lt-LT"/>
        </w:rPr>
        <w:t>Vartojimo metodas</w:t>
      </w:r>
    </w:p>
    <w:p w14:paraId="68CE8F33"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Jei įmanoma, paros dozę kasdien patartina gerti tokiu pačiu paros metu, pvz., pusryčiaujant. Mesar galima gerti tiek valgant, tiek nevalgius. Tabletes nurykite nekramtytas, užsigerdami nedideliu vandens kiekiu. Tabletės neturėtų būti kramtomos.</w:t>
      </w:r>
    </w:p>
    <w:p w14:paraId="57588B24"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7ADEC854" w14:textId="77777777" w:rsidR="004125E7" w:rsidRPr="00C92BDF" w:rsidRDefault="004125E7" w:rsidP="004125E7">
      <w:pPr>
        <w:keepNext/>
        <w:keepLines/>
        <w:tabs>
          <w:tab w:val="left" w:pos="567"/>
          <w:tab w:val="left" w:pos="900"/>
        </w:tabs>
        <w:spacing w:after="0" w:line="240" w:lineRule="auto"/>
        <w:ind w:left="567" w:hanging="567"/>
        <w:outlineLvl w:val="2"/>
        <w:rPr>
          <w:rFonts w:ascii="Times New Roman" w:eastAsia="Times New Roman" w:hAnsi="Times New Roman" w:cs="Times New Roman"/>
          <w:b/>
          <w:kern w:val="28"/>
          <w:lang w:val="lt-LT"/>
        </w:rPr>
      </w:pPr>
      <w:r w:rsidRPr="00C92BDF">
        <w:rPr>
          <w:rFonts w:ascii="Times New Roman" w:eastAsia="Times New Roman" w:hAnsi="Times New Roman" w:cs="Times New Roman"/>
          <w:b/>
          <w:kern w:val="28"/>
          <w:lang w:val="lt-LT"/>
        </w:rPr>
        <w:t>4.3</w:t>
      </w:r>
      <w:r w:rsidRPr="00C92BDF">
        <w:rPr>
          <w:rFonts w:ascii="Times New Roman" w:eastAsia="Times New Roman" w:hAnsi="Times New Roman" w:cs="Times New Roman"/>
          <w:b/>
          <w:kern w:val="28"/>
          <w:lang w:val="lt-LT"/>
        </w:rPr>
        <w:tab/>
        <w:t>Kontraindikacijos</w:t>
      </w:r>
    </w:p>
    <w:p w14:paraId="4FB84011"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6A7EA843"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Padidėjęs jautrumas veikliajai arba bet kuriai 6.1 skyriuje nurodytai pagalbinei medžiagai.</w:t>
      </w:r>
    </w:p>
    <w:p w14:paraId="1809F53F"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Antras ir trečias nėštumo trimestrai (žr. 4.4 ir 4.6 skyrius).</w:t>
      </w:r>
    </w:p>
    <w:p w14:paraId="511242BC"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Tulžies latakų obstrukcija (žr. 5.2 skyrių).</w:t>
      </w:r>
    </w:p>
    <w:p w14:paraId="4496FFC3"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Pacientams, kurie serga cukriniu diabetu arba kurių inkstų funkcija sutrikusi (GFG &lt; 60 ml/min/1,73 m</w:t>
      </w:r>
      <w:r w:rsidRPr="00C92BDF">
        <w:rPr>
          <w:rFonts w:ascii="Times New Roman" w:eastAsia="Times New Roman" w:hAnsi="Times New Roman" w:cs="Times New Roman"/>
          <w:vertAlign w:val="superscript"/>
          <w:lang w:val="lt-LT"/>
        </w:rPr>
        <w:t>2</w:t>
      </w:r>
      <w:r w:rsidRPr="00C92BDF">
        <w:rPr>
          <w:rFonts w:ascii="Times New Roman" w:eastAsia="Times New Roman" w:hAnsi="Times New Roman" w:cs="Times New Roman"/>
          <w:lang w:val="lt-LT"/>
        </w:rPr>
        <w:t>), Mesar negalima vartoti kartu su preparatais, kurių sudėtyje yra aliskireno (žr. 4.5 ir 5.1 skyrius).</w:t>
      </w:r>
    </w:p>
    <w:p w14:paraId="6FDEB108"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4D3A6DE7" w14:textId="77777777" w:rsidR="004125E7" w:rsidRPr="00C92BDF" w:rsidRDefault="004125E7" w:rsidP="004125E7">
      <w:pPr>
        <w:keepNext/>
        <w:keepLines/>
        <w:tabs>
          <w:tab w:val="left" w:pos="567"/>
          <w:tab w:val="left" w:pos="900"/>
        </w:tabs>
        <w:spacing w:after="0" w:line="240" w:lineRule="auto"/>
        <w:ind w:left="567" w:hanging="567"/>
        <w:outlineLvl w:val="2"/>
        <w:rPr>
          <w:rFonts w:ascii="Times New Roman" w:eastAsia="Times New Roman" w:hAnsi="Times New Roman" w:cs="Times New Roman"/>
          <w:b/>
          <w:kern w:val="28"/>
          <w:lang w:val="lt-LT"/>
        </w:rPr>
      </w:pPr>
      <w:r w:rsidRPr="00C92BDF">
        <w:rPr>
          <w:rFonts w:ascii="Times New Roman" w:eastAsia="Times New Roman" w:hAnsi="Times New Roman" w:cs="Times New Roman"/>
          <w:b/>
          <w:kern w:val="28"/>
          <w:lang w:val="lt-LT"/>
        </w:rPr>
        <w:t>4.4</w:t>
      </w:r>
      <w:r w:rsidRPr="00C92BDF">
        <w:rPr>
          <w:rFonts w:ascii="Times New Roman" w:eastAsia="Times New Roman" w:hAnsi="Times New Roman" w:cs="Times New Roman"/>
          <w:b/>
          <w:kern w:val="28"/>
          <w:lang w:val="lt-LT"/>
        </w:rPr>
        <w:tab/>
        <w:t>Specialūs įspėjimai ir atsargumo priemonės</w:t>
      </w:r>
    </w:p>
    <w:p w14:paraId="55970345" w14:textId="77777777" w:rsidR="004125E7" w:rsidRPr="00C92BDF" w:rsidRDefault="004125E7" w:rsidP="004125E7">
      <w:pPr>
        <w:tabs>
          <w:tab w:val="left" w:pos="900"/>
        </w:tabs>
        <w:spacing w:after="0" w:line="240" w:lineRule="auto"/>
        <w:rPr>
          <w:rFonts w:ascii="Times New Roman" w:eastAsia="Times New Roman" w:hAnsi="Times New Roman" w:cs="Times New Roman"/>
          <w:lang w:val="lt-LT"/>
        </w:rPr>
      </w:pPr>
    </w:p>
    <w:p w14:paraId="1D654B6E" w14:textId="77777777" w:rsidR="004125E7" w:rsidRPr="00C92BDF" w:rsidRDefault="004125E7" w:rsidP="004125E7">
      <w:pPr>
        <w:tabs>
          <w:tab w:val="left" w:pos="900"/>
        </w:tabs>
        <w:spacing w:after="0" w:line="240" w:lineRule="auto"/>
        <w:rPr>
          <w:rFonts w:ascii="Times New Roman" w:eastAsia="Times New Roman" w:hAnsi="Times New Roman" w:cs="Times New Roman"/>
          <w:i/>
          <w:iCs/>
          <w:lang w:val="lt-LT"/>
        </w:rPr>
      </w:pPr>
      <w:r w:rsidRPr="00C92BDF">
        <w:rPr>
          <w:rFonts w:ascii="Times New Roman" w:eastAsia="Times New Roman" w:hAnsi="Times New Roman" w:cs="Times New Roman"/>
          <w:i/>
          <w:iCs/>
          <w:lang w:val="lt-LT"/>
        </w:rPr>
        <w:t>Cirkuliuojančio kraujo apimties sumažėjimas</w:t>
      </w:r>
    </w:p>
    <w:p w14:paraId="520B7AE0"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lastRenderedPageBreak/>
        <w:t>Pacientams, kurie vartoja daug diuretikų, riboja druskos kiekį maiste, viduriuoja ar vemia gali būti hipotenzijos simptomų, ypač išgėrus pirmą vaistinio preparato dozę. Todėl, prieš skiriant vartoti olmesartaną medoksomilį, reikia išgydyti minėtas būkles.</w:t>
      </w:r>
    </w:p>
    <w:p w14:paraId="1D75BAE5"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488F9CA9" w14:textId="77777777" w:rsidR="004125E7" w:rsidRPr="00C92BDF" w:rsidRDefault="004125E7" w:rsidP="004125E7">
      <w:pPr>
        <w:tabs>
          <w:tab w:val="left" w:pos="900"/>
        </w:tabs>
        <w:spacing w:after="0" w:line="240" w:lineRule="auto"/>
        <w:rPr>
          <w:rFonts w:ascii="Times New Roman" w:eastAsia="Times New Roman" w:hAnsi="Times New Roman" w:cs="Times New Roman"/>
          <w:i/>
          <w:iCs/>
          <w:lang w:val="lt-LT"/>
        </w:rPr>
      </w:pPr>
      <w:r w:rsidRPr="00C92BDF">
        <w:rPr>
          <w:rFonts w:ascii="Times New Roman" w:eastAsia="Times New Roman" w:hAnsi="Times New Roman" w:cs="Times New Roman"/>
          <w:i/>
          <w:iCs/>
          <w:lang w:val="lt-LT"/>
        </w:rPr>
        <w:t>Kitos būklės, kurių metu aktyvinama renino-angiotenzino-aldosterono sistema</w:t>
      </w:r>
    </w:p>
    <w:p w14:paraId="4879E572"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 xml:space="preserve">Pacientų, kurių kraujagyslių tonuso būklė ir inkstų funkcija ypač priklauso nuo renino-angiotenzino-aldosterono sistemos (pvz., sergančiųjų obstrukcine širdies yda ar inkstų ligomis, įskaitant inkstų arterijos stenozę), gydymas kitais šią sistemą veikiančiais vaistiniais preparatais gali sukelti staigią hipotenziją, azoto kiekio padidėjimą kraujyje, oliguriją arba, rečiau, ūminį inkstų nepakankamumą. Negalima paneigti, kad tokį poveikį gali sukelti angiotenzino II receptorių antagonistai. </w:t>
      </w:r>
    </w:p>
    <w:p w14:paraId="07642F64"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297AD52A" w14:textId="77777777" w:rsidR="004125E7" w:rsidRPr="00C92BDF" w:rsidRDefault="004125E7" w:rsidP="004125E7">
      <w:pPr>
        <w:spacing w:after="0" w:line="240" w:lineRule="auto"/>
        <w:rPr>
          <w:rFonts w:ascii="Times New Roman" w:eastAsia="Times New Roman" w:hAnsi="Times New Roman" w:cs="Times New Roman"/>
          <w:i/>
          <w:iCs/>
          <w:lang w:val="lt-LT"/>
        </w:rPr>
      </w:pPr>
      <w:r w:rsidRPr="00C92BDF">
        <w:rPr>
          <w:rFonts w:ascii="Times New Roman" w:eastAsia="Times New Roman" w:hAnsi="Times New Roman" w:cs="Times New Roman"/>
          <w:i/>
          <w:iCs/>
          <w:lang w:val="lt-LT"/>
        </w:rPr>
        <w:t>Renovaskulinė hipertenzija</w:t>
      </w:r>
    </w:p>
    <w:p w14:paraId="68506AD2"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Gydant pacientus, kuriems nustatyta abipusė inkstų arterijos stenozė ar vienintelio funkcionuojančio inksto arterijos stenozė, vaistiniais preparatais, veikiančiais renino-aldosterono sistemą, padidėja stiprios hipotenzijos ir inkstų nepakankamumo pavojus.</w:t>
      </w:r>
    </w:p>
    <w:p w14:paraId="701EEDD3"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6D96BB4D" w14:textId="77777777" w:rsidR="004125E7" w:rsidRPr="00C92BDF" w:rsidRDefault="004125E7" w:rsidP="004125E7">
      <w:pPr>
        <w:spacing w:after="0" w:line="240" w:lineRule="auto"/>
        <w:rPr>
          <w:rFonts w:ascii="Times New Roman" w:eastAsia="Times New Roman" w:hAnsi="Times New Roman" w:cs="Times New Roman"/>
          <w:i/>
          <w:iCs/>
          <w:lang w:val="lt-LT"/>
        </w:rPr>
      </w:pPr>
      <w:r w:rsidRPr="00C92BDF">
        <w:rPr>
          <w:rFonts w:ascii="Times New Roman" w:eastAsia="Times New Roman" w:hAnsi="Times New Roman" w:cs="Times New Roman"/>
          <w:i/>
          <w:iCs/>
          <w:lang w:val="lt-LT"/>
        </w:rPr>
        <w:t>Inkstų veiklos sutrikimas ir būklė po inkstų persodinimo</w:t>
      </w:r>
    </w:p>
    <w:p w14:paraId="4A9C585B"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Kai olmesartanu medoksomiliu gydomi ligoniai, kuriems nustatyta sutrikusi inkstų funkcija, patariama reguliariai kraujo serume tirti kalio ir kreatinino kiekį. Nepatariama šiuo vaistiniu preparatu gydyti pacientus, kuriems nustatytas sunkus inkstų veiklos sutrikimas (kreatinino klirensas mažesnis nei 20 ml/min.) (žr. 4.2 ir 5.2 skyrius). Ligonių, kuriems neseniai atlikta inkstų transplantacija, arba pacientų, kuriems yra labai smarkiai sutrikusi inkstų veikla (pvz., kreatinino klirensas mažesnis nei 12 ml/min.), gydymo olmesartanu medoksomiliu patirties nėra.</w:t>
      </w:r>
    </w:p>
    <w:p w14:paraId="6AF67DBD"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 xml:space="preserve"> </w:t>
      </w:r>
    </w:p>
    <w:p w14:paraId="0D429DF8" w14:textId="77777777" w:rsidR="004125E7" w:rsidRPr="00C92BDF" w:rsidRDefault="004125E7" w:rsidP="004125E7">
      <w:pPr>
        <w:spacing w:after="0" w:line="240" w:lineRule="auto"/>
        <w:rPr>
          <w:rFonts w:ascii="Times New Roman" w:eastAsia="Times New Roman" w:hAnsi="Times New Roman" w:cs="Times New Roman"/>
          <w:i/>
          <w:iCs/>
          <w:lang w:val="lt-LT"/>
        </w:rPr>
      </w:pPr>
      <w:r w:rsidRPr="00C92BDF">
        <w:rPr>
          <w:rFonts w:ascii="Times New Roman" w:eastAsia="Times New Roman" w:hAnsi="Times New Roman" w:cs="Times New Roman"/>
          <w:i/>
          <w:iCs/>
          <w:lang w:val="lt-LT"/>
        </w:rPr>
        <w:t>Kepenų veiklos sutrikimas</w:t>
      </w:r>
    </w:p>
    <w:p w14:paraId="4FB2F28F"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 xml:space="preserve">Olmesartano medoksomilio vartojimo pacientams, kuriems nustatytas sunkus kepenų veiklos sutrikimas, patirties nėra, todėl šios grupės pacientų juo gydyti nerekomenduojama (žr. 4.2 skyrių apie dozes, rekomenduojamas pacientams, kuriems nustatytas lengvas arba vidutinio sunkumo kepenų veiklos sutrikimas). </w:t>
      </w:r>
    </w:p>
    <w:p w14:paraId="1F102C05"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4A758E03" w14:textId="77777777" w:rsidR="004125E7" w:rsidRPr="00C92BDF" w:rsidRDefault="004125E7" w:rsidP="004125E7">
      <w:pPr>
        <w:spacing w:after="0" w:line="240" w:lineRule="auto"/>
        <w:rPr>
          <w:rFonts w:ascii="Times New Roman" w:eastAsia="Times New Roman" w:hAnsi="Times New Roman" w:cs="Times New Roman"/>
          <w:i/>
          <w:iCs/>
          <w:lang w:val="lt-LT"/>
        </w:rPr>
      </w:pPr>
      <w:r w:rsidRPr="00C92BDF">
        <w:rPr>
          <w:rFonts w:ascii="Times New Roman" w:eastAsia="Times New Roman" w:hAnsi="Times New Roman" w:cs="Times New Roman"/>
          <w:i/>
          <w:iCs/>
          <w:lang w:val="lt-LT"/>
        </w:rPr>
        <w:t>Hiperkalemija</w:t>
      </w:r>
    </w:p>
    <w:p w14:paraId="1AD5ECE6"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Vartojant renino, angiotenzino ir aldosterono sistemą veikiančius vaistinius preparatus gali pasireikšti hiperkalemija. Pavojaus gyvybei rizika yra didesnė senyviems pacientams, ligoniams, kuriems nustatytas inkstų nepakankamumas, cukrinis diabetas, pacientams, vartojantiems kitus vaistinius preparatus, galinčius padidinti kalio kiekį organizme, ir (arba) pacientams su gydymo metu atsiradusiomis komplikacijomis.</w:t>
      </w:r>
    </w:p>
    <w:p w14:paraId="1BEDE4EF"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Prieš nutariant vartoti kartu renino, angiotenzino ir aldosterono sistemą veikiančius vaistinius preparatus, reikia įvertinti rizikos-naudos santykį ir aptarti kitas alternatyvas (žr. skyrių „</w:t>
      </w:r>
      <w:r w:rsidRPr="00C92BDF">
        <w:rPr>
          <w:rFonts w:ascii="Times New Roman" w:eastAsia="Times New Roman" w:hAnsi="Times New Roman" w:cs="Times New Roman"/>
          <w:i/>
          <w:iCs/>
          <w:lang w:val="lt-LT"/>
        </w:rPr>
        <w:t>Dvigubas renino, angiotenzino ir aldosterono sistemos (RAAS) slopinimas</w:t>
      </w:r>
      <w:r w:rsidRPr="00C92BDF">
        <w:rPr>
          <w:rFonts w:ascii="Times New Roman" w:eastAsia="Times New Roman" w:hAnsi="Times New Roman" w:cs="Times New Roman"/>
          <w:iCs/>
          <w:lang w:val="lt-LT"/>
        </w:rPr>
        <w:t>“).</w:t>
      </w:r>
    </w:p>
    <w:p w14:paraId="10747334"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Hiperkalemijos rizikos svarbiausieji faktoriai yra:</w:t>
      </w:r>
    </w:p>
    <w:p w14:paraId="5E744537" w14:textId="77777777" w:rsidR="004125E7" w:rsidRPr="00C92BDF" w:rsidRDefault="004125E7" w:rsidP="004125E7">
      <w:pPr>
        <w:tabs>
          <w:tab w:val="left" w:pos="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cukrinis diabetas, inkstų veiklos sutrikimas ir amžius (vyresni nei 70 metų);</w:t>
      </w:r>
    </w:p>
    <w:p w14:paraId="2D903915" w14:textId="77777777" w:rsidR="004125E7" w:rsidRPr="00C92BDF" w:rsidRDefault="004125E7" w:rsidP="004125E7">
      <w:pPr>
        <w:tabs>
          <w:tab w:val="left" w:pos="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derinys su vienu ar keliais kitais renino, angiotenzino ir aldosterono sistemą veikiančiais vaistiniais preparatais ir (arba) kalio papildais. Kai kurie vaistiniai preparatai gali skatinti hiperkalemijos susidarymą: druskų pakaitalai, kuriuose yra kalio, kalį sulaikantys diuretikai, AKF inhibitoriai, angiotenzino II receptorių antagonistai, nesteroidiniai vaistiniai preparatai nuo uždegimo (įskaitant COX-2 inhibitorius), heparinas, imuninę sistemą slopinantys vaistiniai preparatai ciklosporinas arba takrolimuzas, trimetoprimas;</w:t>
      </w:r>
    </w:p>
    <w:p w14:paraId="10EA95E6" w14:textId="77777777" w:rsidR="004125E7" w:rsidRPr="00C92BDF" w:rsidRDefault="004125E7" w:rsidP="004125E7">
      <w:pPr>
        <w:tabs>
          <w:tab w:val="left" w:pos="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tokios komplikacijos, kaip skysčių netekimas, ūminis širdies nepakankamumas, metabolinė acidozė, inkstų funkcijos pablogėjimas, staigus inkstų veiklos sutrikimas (pvz., dėl infekcijos), audinių irimas (pvz., ūmi galūnių išemija, skersaruožių raumenų miolizė, sunki trauma).</w:t>
      </w:r>
    </w:p>
    <w:p w14:paraId="12856609"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Pacientams, kuriems gresia hiperkalemija, reikia kontroliuoti kalio kiekį kraujyje (žr. 4.5 skyrių).</w:t>
      </w:r>
    </w:p>
    <w:p w14:paraId="22A813B4"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2508AF38" w14:textId="77777777" w:rsidR="004125E7" w:rsidRPr="00C92BDF" w:rsidRDefault="004125E7" w:rsidP="004125E7">
      <w:pPr>
        <w:tabs>
          <w:tab w:val="left" w:pos="90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i/>
          <w:iCs/>
          <w:lang w:val="lt-LT"/>
        </w:rPr>
        <w:t xml:space="preserve">Dvigubas renino, angiotenzino ir aldosterono sistemos (RAAS) slopinimas </w:t>
      </w:r>
    </w:p>
    <w:p w14:paraId="5936AE1D"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 xml:space="preserve">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 </w:t>
      </w:r>
    </w:p>
    <w:p w14:paraId="21C28646"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lastRenderedPageBreak/>
        <w:t xml:space="preserve">Vis dėlto, jei dvigubas nuslopinimas laikomas absoliučiai būtinu, šis gydymas turi būti atliekamas tik prižiūrint specialistams ir dažnai bei atidžiai tiriant inkstų funkciją, elektrolitų koncentracijas bei kraujospūdį. </w:t>
      </w:r>
    </w:p>
    <w:p w14:paraId="3EA5E8F2"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Pacientams, sergantiems diabetine nefropatija, negalima kartu vartoti AKF inhibitorių ir angiotenzino II receptorių blokatorių.</w:t>
      </w:r>
    </w:p>
    <w:p w14:paraId="7DE66A9F"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0B954662" w14:textId="77777777" w:rsidR="004125E7" w:rsidRPr="00C92BDF" w:rsidRDefault="004125E7" w:rsidP="004125E7">
      <w:pPr>
        <w:spacing w:after="0" w:line="240" w:lineRule="auto"/>
        <w:rPr>
          <w:rFonts w:ascii="Times New Roman" w:eastAsia="Times New Roman" w:hAnsi="Times New Roman" w:cs="Times New Roman"/>
          <w:i/>
          <w:iCs/>
          <w:lang w:val="lt-LT"/>
        </w:rPr>
      </w:pPr>
      <w:r w:rsidRPr="00C92BDF">
        <w:rPr>
          <w:rFonts w:ascii="Times New Roman" w:eastAsia="Times New Roman" w:hAnsi="Times New Roman" w:cs="Times New Roman"/>
          <w:i/>
          <w:iCs/>
          <w:lang w:val="lt-LT"/>
        </w:rPr>
        <w:t>Litis</w:t>
      </w:r>
    </w:p>
    <w:p w14:paraId="78B9D160"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Gydant olmesartanu medoksomiliu, kaip ir kitais angiotenzino II receptorių antagonistais, nepatariama kartu vartoti ličio preparatų (žr. 4.5 skyrių).</w:t>
      </w:r>
    </w:p>
    <w:p w14:paraId="0BA23D6C"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6A1B214A" w14:textId="77777777" w:rsidR="004125E7" w:rsidRPr="00C92BDF" w:rsidRDefault="004125E7" w:rsidP="004125E7">
      <w:pPr>
        <w:spacing w:after="0" w:line="240" w:lineRule="auto"/>
        <w:rPr>
          <w:rFonts w:ascii="Times New Roman" w:eastAsia="Times New Roman" w:hAnsi="Times New Roman" w:cs="Times New Roman"/>
          <w:i/>
          <w:iCs/>
          <w:lang w:val="lt-LT"/>
        </w:rPr>
      </w:pPr>
      <w:r w:rsidRPr="00C92BDF">
        <w:rPr>
          <w:rFonts w:ascii="Times New Roman" w:eastAsia="Times New Roman" w:hAnsi="Times New Roman" w:cs="Times New Roman"/>
          <w:i/>
          <w:iCs/>
          <w:lang w:val="lt-LT"/>
        </w:rPr>
        <w:t>Aortos arba mitralinio vožtuvo stenozė; obstrukcinė hipertrofinė kardiomiopatija</w:t>
      </w:r>
    </w:p>
    <w:p w14:paraId="2DD8F18B"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Ypač atsargiai, kaip ir skiriant kitus kraujagysles plečiančius vaistinius preparatus, reikia gydyti pacientus, kuriems nustatyta aortos arba mitralinio vožtuvo stenozė, obstrukcinė hipertrofinė kardiomiopatija.</w:t>
      </w:r>
    </w:p>
    <w:p w14:paraId="76B73D48"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6EB6E08D" w14:textId="77777777" w:rsidR="004125E7" w:rsidRPr="00C92BDF" w:rsidRDefault="004125E7" w:rsidP="004125E7">
      <w:pPr>
        <w:spacing w:after="0" w:line="240" w:lineRule="auto"/>
        <w:rPr>
          <w:rFonts w:ascii="Times New Roman" w:eastAsia="Times New Roman" w:hAnsi="Times New Roman" w:cs="Times New Roman"/>
          <w:i/>
          <w:iCs/>
          <w:lang w:val="lt-LT"/>
        </w:rPr>
      </w:pPr>
      <w:r w:rsidRPr="00C92BDF">
        <w:rPr>
          <w:rFonts w:ascii="Times New Roman" w:eastAsia="Times New Roman" w:hAnsi="Times New Roman" w:cs="Times New Roman"/>
          <w:i/>
          <w:iCs/>
          <w:lang w:val="lt-LT"/>
        </w:rPr>
        <w:t>Pirminis aldosteronizmas</w:t>
      </w:r>
    </w:p>
    <w:p w14:paraId="78D1628D"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Pacientai, sergantys pirminiu aldosteronizmu, dažniausiai nereaguoja į kraujospūdį mažinančius vaistinius preparatus, slopinančius renino-angiotenzino sistemą. Todėl tokiems pacientams gydyti nepatariama skirti olmesartano medoksomilio.</w:t>
      </w:r>
    </w:p>
    <w:p w14:paraId="13BEB9A1"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16E41973"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i/>
          <w:lang w:val="lt-LT"/>
        </w:rPr>
      </w:pPr>
      <w:r w:rsidRPr="00C92BDF">
        <w:rPr>
          <w:rFonts w:ascii="Times New Roman" w:eastAsia="Times New Roman" w:hAnsi="Times New Roman" w:cs="Times New Roman"/>
          <w:i/>
          <w:lang w:val="lt-LT"/>
        </w:rPr>
        <w:t>Į celiakiją panaši enteropatija</w:t>
      </w:r>
    </w:p>
    <w:p w14:paraId="47B120F3"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Labai retais atvejais pacientams, vartojantiems olmesartaną, po kelių mėnesių ar metų nuo gydymo pradžios gali vystytis sunkus lėtinis viduriavimas, lydimas žymaus kūno svorio sumažėjimo. Tokių pacientų žarnų biopsijos rezultatai dažnai parodydavo žarnyno gaurelių atrofiją. Jeigu gydomam olmesartanu pacientui yra minėti požymiai, ir kitų akivaizdžių priežaščių nėra, gydymą olmesartanu reikia nedelsiant nutraukti ir gydymas neturėtų būti atnaujintas. Jei viduriavimas nepraeina per savaitę po gydymo nutraukimo, reiktų atsižvelgti į tolimesnius specialisto (pvz gastroenterologo) patarimus .</w:t>
      </w:r>
    </w:p>
    <w:p w14:paraId="7149F1C0" w14:textId="77777777" w:rsidR="004125E7" w:rsidRDefault="004125E7" w:rsidP="004125E7">
      <w:pPr>
        <w:spacing w:after="0" w:line="240" w:lineRule="auto"/>
        <w:rPr>
          <w:rFonts w:ascii="Times New Roman" w:eastAsia="Times New Roman" w:hAnsi="Times New Roman" w:cs="Times New Roman"/>
          <w:i/>
          <w:iCs/>
          <w:lang w:val="lt-LT"/>
        </w:rPr>
      </w:pPr>
    </w:p>
    <w:p w14:paraId="3CCC4D09" w14:textId="77777777" w:rsidR="00A53D1A" w:rsidRPr="00390B78" w:rsidRDefault="00A53D1A" w:rsidP="004125E7">
      <w:pPr>
        <w:spacing w:after="0" w:line="240" w:lineRule="auto"/>
        <w:rPr>
          <w:rFonts w:ascii="Times New Roman" w:hAnsi="Times New Roman" w:cs="Times New Roman"/>
          <w:i/>
          <w:lang w:val="lt-LT"/>
        </w:rPr>
      </w:pPr>
      <w:r w:rsidRPr="00390B78">
        <w:rPr>
          <w:rFonts w:ascii="Times New Roman" w:hAnsi="Times New Roman" w:cs="Times New Roman"/>
          <w:i/>
          <w:lang w:val="lt-LT"/>
        </w:rPr>
        <w:t>Žarnyno angioneurozinė edema</w:t>
      </w:r>
    </w:p>
    <w:p w14:paraId="04B41688" w14:textId="77777777" w:rsidR="00A53D1A" w:rsidRPr="00A53D1A" w:rsidRDefault="00A53D1A" w:rsidP="004125E7">
      <w:pPr>
        <w:spacing w:after="0" w:line="240" w:lineRule="auto"/>
        <w:rPr>
          <w:rFonts w:ascii="Times New Roman" w:eastAsia="Times New Roman" w:hAnsi="Times New Roman" w:cs="Times New Roman"/>
          <w:i/>
          <w:iCs/>
          <w:lang w:val="lt-LT"/>
        </w:rPr>
      </w:pPr>
      <w:r w:rsidRPr="00390B78">
        <w:rPr>
          <w:rFonts w:ascii="Times New Roman" w:hAnsi="Times New Roman" w:cs="Times New Roman"/>
          <w:lang w:val="lt-LT"/>
        </w:rPr>
        <w:t>Gauta pranešimų apie žarnyno angioneurozinės edemos atvejus, pasireiškusius pacientams, gydytiems angiotenzino II receptorių blokatoriais (įskaitant olmesartan</w:t>
      </w:r>
      <w:r>
        <w:rPr>
          <w:rFonts w:ascii="Times New Roman" w:hAnsi="Times New Roman" w:cs="Times New Roman"/>
          <w:lang w:val="lt-LT"/>
        </w:rPr>
        <w:t>ą</w:t>
      </w:r>
      <w:r w:rsidRPr="00390B78">
        <w:rPr>
          <w:rFonts w:ascii="Times New Roman" w:hAnsi="Times New Roman" w:cs="Times New Roman"/>
          <w:lang w:val="lt-LT"/>
        </w:rPr>
        <w:t xml:space="preserve"> ) (žr. 4.8 skyrių). Šiems pacientams pasireiškė pilvo skausmas, pykinimas, vėmimas ir viduriavimas. Nutraukus angiotenzino II receptorių antagonistų vartojimą, simptomai išnyko. Diagnozavus žarnyno angioneurozinę edemą, reikia nutraukti olmesartano vartojimą ir pradėti atitinkamą stebėseną, kol simptomai visiškai išnyksta.</w:t>
      </w:r>
    </w:p>
    <w:p w14:paraId="0BD12518" w14:textId="77777777" w:rsidR="00A53D1A" w:rsidRDefault="00A53D1A" w:rsidP="004125E7">
      <w:pPr>
        <w:spacing w:after="0" w:line="240" w:lineRule="auto"/>
        <w:rPr>
          <w:rFonts w:ascii="Times New Roman" w:eastAsia="Times New Roman" w:hAnsi="Times New Roman" w:cs="Times New Roman"/>
          <w:i/>
          <w:iCs/>
          <w:lang w:val="lt-LT"/>
        </w:rPr>
      </w:pPr>
    </w:p>
    <w:p w14:paraId="7188BA58" w14:textId="77777777" w:rsidR="004125E7" w:rsidRPr="00C92BDF" w:rsidRDefault="004125E7" w:rsidP="004125E7">
      <w:pPr>
        <w:spacing w:after="0" w:line="240" w:lineRule="auto"/>
        <w:rPr>
          <w:rFonts w:ascii="Times New Roman" w:eastAsia="Times New Roman" w:hAnsi="Times New Roman" w:cs="Times New Roman"/>
          <w:i/>
          <w:iCs/>
          <w:lang w:val="lt-LT"/>
        </w:rPr>
      </w:pPr>
      <w:r w:rsidRPr="00C92BDF">
        <w:rPr>
          <w:rFonts w:ascii="Times New Roman" w:eastAsia="Times New Roman" w:hAnsi="Times New Roman" w:cs="Times New Roman"/>
          <w:i/>
          <w:iCs/>
          <w:lang w:val="lt-LT"/>
        </w:rPr>
        <w:t>Etniniai ypatumai</w:t>
      </w:r>
    </w:p>
    <w:p w14:paraId="2561BDC1"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Olmesartano medoksomilio, kaip ir kitų angiotenzino II antagonistų, kraujospūdį mažinantis poveikis šiek tiek silpnesnis juodaodžiams, nes šioje populiacijoje, esant padidėjusiam kraujospūdžiui, galbūt dažniau kraujo serume pasitaiko maža renino koncentracija.</w:t>
      </w:r>
    </w:p>
    <w:p w14:paraId="31B94B4A"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2C8A15E0" w14:textId="77777777" w:rsidR="004125E7" w:rsidRPr="00C92BDF" w:rsidRDefault="004125E7" w:rsidP="004125E7">
      <w:pPr>
        <w:spacing w:after="0" w:line="240" w:lineRule="auto"/>
        <w:rPr>
          <w:rFonts w:ascii="Times New Roman" w:eastAsia="Times New Roman" w:hAnsi="Times New Roman" w:cs="Times New Roman"/>
          <w:i/>
          <w:iCs/>
          <w:lang w:val="lt-LT"/>
        </w:rPr>
      </w:pPr>
      <w:r w:rsidRPr="00C92BDF">
        <w:rPr>
          <w:rFonts w:ascii="Times New Roman" w:eastAsia="Times New Roman" w:hAnsi="Times New Roman" w:cs="Times New Roman"/>
          <w:i/>
          <w:iCs/>
          <w:lang w:val="lt-LT"/>
        </w:rPr>
        <w:t>Nėštumas</w:t>
      </w:r>
    </w:p>
    <w:p w14:paraId="4875EA7F"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Nėštumo metu negalima pradėti gydyti angiotenzino II receptorių antagonistais. Jei gydymas angiotenzino II receptorių antagonistais būtinas, planuojančioms nėštumą moterims šiuos vaistinius preparatus reikia pakeisti alternatyviais tinkamais antihipertenziniais preparatais, kurių vartojimo saugumas nėštumo metu ištirtas. Nustačius nėštumą, angiotenzino II receptorių vartojimą reikia nedelsiant nutraukti ir, prireikus, pradėti gydyti kitais vaistiniais preparatais (žr. 4.3 ir 4.6 skyrius).</w:t>
      </w:r>
    </w:p>
    <w:p w14:paraId="6EB1E5D9"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39CB9C42" w14:textId="77777777" w:rsidR="004125E7" w:rsidRPr="00C92BDF" w:rsidRDefault="004125E7" w:rsidP="004125E7">
      <w:pPr>
        <w:spacing w:after="0" w:line="240" w:lineRule="auto"/>
        <w:rPr>
          <w:rFonts w:ascii="Times New Roman" w:eastAsia="Times New Roman" w:hAnsi="Times New Roman" w:cs="Times New Roman"/>
          <w:i/>
          <w:iCs/>
          <w:lang w:val="lt-LT"/>
        </w:rPr>
      </w:pPr>
      <w:r w:rsidRPr="00C92BDF">
        <w:rPr>
          <w:rFonts w:ascii="Times New Roman" w:eastAsia="Times New Roman" w:hAnsi="Times New Roman" w:cs="Times New Roman"/>
          <w:i/>
          <w:iCs/>
          <w:lang w:val="lt-LT"/>
        </w:rPr>
        <w:t>Kiti ypatumai</w:t>
      </w:r>
    </w:p>
    <w:p w14:paraId="53367581"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Pernelyg stiprus kraujospūdžio sumažėjimas sergantiesiems išemine širdies ar smegenų liga, gydant bet kokiais kraujospūdį mažinančiais vaistiniais preparatais, gali sukelti miokardo infarktą ar insultą.</w:t>
      </w:r>
    </w:p>
    <w:p w14:paraId="6B46B46C"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128475EB"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 xml:space="preserve">Šio vaistinio preparato sudėtyje yra laktozės. Šio vaistinio preparato negalima vartoti pacientams, kuriems nustatytas retas paveldimas sutrikimas – </w:t>
      </w:r>
      <w:r w:rsidRPr="00C92BDF">
        <w:rPr>
          <w:rFonts w:ascii="Times New Roman" w:eastAsia="Times New Roman" w:hAnsi="Times New Roman" w:cs="Times New Roman"/>
          <w:i/>
          <w:lang w:val="lt-LT"/>
        </w:rPr>
        <w:t>Lapp</w:t>
      </w:r>
      <w:r w:rsidRPr="00C92BDF">
        <w:rPr>
          <w:rFonts w:ascii="Times New Roman" w:eastAsia="Times New Roman" w:hAnsi="Times New Roman" w:cs="Times New Roman"/>
          <w:lang w:val="lt-LT"/>
        </w:rPr>
        <w:t xml:space="preserve"> laktazės stygius arba gliukozės ir galaktozės malabsorbcija. </w:t>
      </w:r>
    </w:p>
    <w:p w14:paraId="7EAC7463"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38F9E6C3" w14:textId="77777777" w:rsidR="004125E7" w:rsidRPr="00C92BDF" w:rsidRDefault="004125E7" w:rsidP="004125E7">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C92BDF">
        <w:rPr>
          <w:rFonts w:ascii="Times New Roman" w:eastAsia="Times New Roman" w:hAnsi="Times New Roman" w:cs="Times New Roman"/>
          <w:b/>
          <w:kern w:val="28"/>
          <w:lang w:val="lt-LT"/>
        </w:rPr>
        <w:t>4.5</w:t>
      </w:r>
      <w:r w:rsidRPr="00C92BDF">
        <w:rPr>
          <w:rFonts w:ascii="Times New Roman" w:eastAsia="Times New Roman" w:hAnsi="Times New Roman" w:cs="Times New Roman"/>
          <w:b/>
          <w:kern w:val="28"/>
          <w:lang w:val="lt-LT"/>
        </w:rPr>
        <w:tab/>
        <w:t>Sąveika su kitais vaistiniais preparatais ir kitokia sąveika</w:t>
      </w:r>
    </w:p>
    <w:p w14:paraId="661696C9"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0BA395F5"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lastRenderedPageBreak/>
        <w:t>Kitų vaistinių preparatų įtaka olmesartano medoksomilio poveikiui</w:t>
      </w:r>
    </w:p>
    <w:p w14:paraId="1DBC91ED"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6636F43B" w14:textId="77777777" w:rsidR="004125E7" w:rsidRPr="00C92BDF" w:rsidRDefault="004125E7" w:rsidP="004125E7">
      <w:pPr>
        <w:spacing w:after="0" w:line="240" w:lineRule="auto"/>
        <w:rPr>
          <w:rFonts w:ascii="Times New Roman" w:eastAsia="Times New Roman" w:hAnsi="Times New Roman" w:cs="Times New Roman"/>
          <w:i/>
          <w:iCs/>
          <w:lang w:val="lt-LT"/>
        </w:rPr>
      </w:pPr>
      <w:r w:rsidRPr="00C92BDF">
        <w:rPr>
          <w:rFonts w:ascii="Times New Roman" w:eastAsia="Times New Roman" w:hAnsi="Times New Roman" w:cs="Times New Roman"/>
          <w:i/>
          <w:iCs/>
          <w:lang w:val="lt-LT"/>
        </w:rPr>
        <w:t>Kiti antihipertenziniai vaistiniai preparatai</w:t>
      </w:r>
    </w:p>
    <w:p w14:paraId="6544720B"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Olmesartano medoksomilio poveikį gali sustiprinti kiti kartu vartojami antihipertenziniai vaistiniai preparatai.</w:t>
      </w:r>
    </w:p>
    <w:p w14:paraId="0DD7FE72"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324904DA" w14:textId="77777777" w:rsidR="004125E7" w:rsidRPr="00C92BDF" w:rsidRDefault="004125E7" w:rsidP="004125E7">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i/>
          <w:iCs/>
          <w:lang w:val="lt-LT"/>
        </w:rPr>
        <w:t>AKF inhibitoriai, angiotenzino II receptorių blokatoriai ar aliskireno deriniai</w:t>
      </w:r>
    </w:p>
    <w:p w14:paraId="364BE3D5"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Klinikinių tyrimų duomenys parodė, kad, palyginti su vieno RAAS veikiančio vaistinio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nepakankamumą).(žr. 4.3, 4.4 ir 5.1 skyrius).</w:t>
      </w:r>
    </w:p>
    <w:p w14:paraId="1870248B"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2136AAE3" w14:textId="77777777" w:rsidR="004125E7" w:rsidRPr="00C92BDF" w:rsidRDefault="004125E7" w:rsidP="004125E7">
      <w:pPr>
        <w:spacing w:after="0" w:line="240" w:lineRule="auto"/>
        <w:rPr>
          <w:rFonts w:ascii="Times New Roman" w:eastAsia="Times New Roman" w:hAnsi="Times New Roman" w:cs="Times New Roman"/>
          <w:i/>
          <w:iCs/>
          <w:lang w:val="lt-LT"/>
        </w:rPr>
      </w:pPr>
      <w:r w:rsidRPr="00C92BDF">
        <w:rPr>
          <w:rFonts w:ascii="Times New Roman" w:eastAsia="Times New Roman" w:hAnsi="Times New Roman" w:cs="Times New Roman"/>
          <w:i/>
          <w:iCs/>
          <w:lang w:val="lt-LT"/>
        </w:rPr>
        <w:t>Kalio preparatai ir kalį organizme sulaikantys diuretikai</w:t>
      </w:r>
    </w:p>
    <w:p w14:paraId="49467765"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Įvertinant patyrimą, sukauptą gydant kitais vaistiniais preparatais, kurie veikia renino-angiotenzino sistemą, padidėjusią kalio koncentraciją kraujyje gali sukelti kartu vartojami kalio išsiskyrimą slopinantys diuretikai, kalio kiekį papildantys preparatai, druskos, kurių sudėtyje yra kalio, bei kiti vaistiniai preparatai, didinantys jo koncentraciją (pvz., heparinas) (žr. 4.4 skyrių). Todėl kartu skirti šiuos preparatus nepatariama.</w:t>
      </w:r>
    </w:p>
    <w:p w14:paraId="2F5F289F" w14:textId="77777777" w:rsidR="004125E7" w:rsidRPr="00C92BDF" w:rsidRDefault="004125E7" w:rsidP="004125E7">
      <w:pPr>
        <w:spacing w:after="0" w:line="240" w:lineRule="auto"/>
        <w:rPr>
          <w:rFonts w:ascii="Times New Roman" w:eastAsia="Times New Roman" w:hAnsi="Times New Roman" w:cs="Times New Roman"/>
          <w:i/>
          <w:iCs/>
          <w:lang w:val="lt-LT"/>
        </w:rPr>
      </w:pPr>
    </w:p>
    <w:p w14:paraId="70A627D0" w14:textId="77777777" w:rsidR="004125E7" w:rsidRPr="00C92BDF" w:rsidRDefault="004125E7" w:rsidP="004125E7">
      <w:pPr>
        <w:spacing w:after="0" w:line="240" w:lineRule="auto"/>
        <w:rPr>
          <w:rFonts w:ascii="Times New Roman" w:eastAsia="Times New Roman" w:hAnsi="Times New Roman" w:cs="Times New Roman"/>
          <w:i/>
          <w:iCs/>
          <w:lang w:val="lt-LT"/>
        </w:rPr>
      </w:pPr>
      <w:r w:rsidRPr="00C92BDF">
        <w:rPr>
          <w:rFonts w:ascii="Times New Roman" w:eastAsia="Times New Roman" w:hAnsi="Times New Roman" w:cs="Times New Roman"/>
          <w:i/>
          <w:iCs/>
          <w:lang w:val="lt-LT"/>
        </w:rPr>
        <w:t>Nesteroidiniai vaistiniai preparatai nuo uždegimo (NVNU)</w:t>
      </w:r>
    </w:p>
    <w:p w14:paraId="31523E6A"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Nesteroidinių vaistinių preparatų nuo uždegimo (tarp jų ir acetilsalicilo rūgšties, kai ji vartojama didesnėmis nei 3 g per parą dozėmis, taip pat COX-2 inhibitorių) ir angiotenzino II receptorių antagonistų inkstų glomerulų filtraciją mažinantis poveikis gali būti sinerginis. Toks bendras nesteroidinių vaistų nuo uždegimo ir angiotenzino II inhibitorių poveikis gali sukelti ūminį inkstų nepakankamumą. Todėl, pradėjus gydyti šiuo vaistiniu preparatu, patariama kontroliuoti inkstų funkciją bei skysčių balansą. Be to, skiriant šiuos vaistinius preparatus kartu, gali sumažėti angiotenzino II receptorių antagonistų antihipertenzinis poveikis, o tuo pačiu jie netenka dalies savo veiksmingumo.</w:t>
      </w:r>
    </w:p>
    <w:p w14:paraId="3B31390E"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6A66B20A" w14:textId="77777777" w:rsidR="004125E7" w:rsidRPr="00E62BE2" w:rsidRDefault="004125E7" w:rsidP="004125E7">
      <w:pPr>
        <w:spacing w:after="0" w:line="240" w:lineRule="auto"/>
        <w:jc w:val="both"/>
        <w:rPr>
          <w:rFonts w:ascii="Times New Roman" w:hAnsi="Times New Roman"/>
          <w:i/>
          <w:color w:val="000000"/>
          <w:lang w:val="sv-SE"/>
        </w:rPr>
      </w:pPr>
      <w:r w:rsidRPr="00E62BE2">
        <w:rPr>
          <w:rFonts w:ascii="Times New Roman" w:hAnsi="Times New Roman"/>
          <w:i/>
          <w:color w:val="000000"/>
          <w:lang w:val="sv-SE"/>
        </w:rPr>
        <w:t>Tulžies rūgštis surišantis vaistinis preparatas kolesevelamas</w:t>
      </w:r>
    </w:p>
    <w:p w14:paraId="00C90F51"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Vartojant olmesartaną kartu su tulžies rūgštis surišančiu vaistiniu preparatu kolesevelamo hidrochloridu, tai mažina olmesartano biologinį prieinamumą ir maksimalią plazmos koncentraciją. Jeigu olmesartanas vartojamas bent 4 val. prieš kolesevelamo hidrochloridą, minėta sąveika yra mažesnė. Todėl olmesartano medoksomilio rekomenduojama vartoti bent 4 val. prieš geriant kolesevelamo hidrochlorido (žr. 5.2 skyrių).</w:t>
      </w:r>
    </w:p>
    <w:p w14:paraId="3C5D3632"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5EF4F69A" w14:textId="77777777" w:rsidR="004125E7" w:rsidRPr="00C92BDF" w:rsidRDefault="004125E7" w:rsidP="004125E7">
      <w:pPr>
        <w:spacing w:after="0" w:line="240" w:lineRule="auto"/>
        <w:rPr>
          <w:rFonts w:ascii="Times New Roman" w:eastAsia="Times New Roman" w:hAnsi="Times New Roman" w:cs="Times New Roman"/>
          <w:i/>
          <w:iCs/>
          <w:lang w:val="lt-LT"/>
        </w:rPr>
      </w:pPr>
      <w:r w:rsidRPr="00C92BDF">
        <w:rPr>
          <w:rFonts w:ascii="Times New Roman" w:eastAsia="Times New Roman" w:hAnsi="Times New Roman" w:cs="Times New Roman"/>
          <w:i/>
          <w:iCs/>
          <w:lang w:val="lt-LT"/>
        </w:rPr>
        <w:t>Kiti vaistiniai preparatai</w:t>
      </w:r>
    </w:p>
    <w:p w14:paraId="76A56076"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Pastebėta, kad po gydymo skrandžio rūgštingumą mažinančiais vaistiniais preparatais (aliuminio magnio hidroksidu), nežymiai sumažėja olmesartano medoksomilio biologinis prieinamumas. Kartu vartojami varfarinas ir digoksinas olmesartano farmakokinetikai įtakos neturi.</w:t>
      </w:r>
    </w:p>
    <w:p w14:paraId="41728BFF"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62719CA9"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Olmesartano medoksomilio poveikis kitiems vaistiniams preparatams</w:t>
      </w:r>
    </w:p>
    <w:p w14:paraId="3B93F63B"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365A126C" w14:textId="77777777" w:rsidR="004125E7" w:rsidRPr="00C92BDF" w:rsidRDefault="004125E7" w:rsidP="004125E7">
      <w:pPr>
        <w:spacing w:after="0" w:line="240" w:lineRule="auto"/>
        <w:rPr>
          <w:rFonts w:ascii="Times New Roman" w:eastAsia="Times New Roman" w:hAnsi="Times New Roman" w:cs="Times New Roman"/>
          <w:i/>
          <w:iCs/>
          <w:lang w:val="lt-LT"/>
        </w:rPr>
      </w:pPr>
      <w:r w:rsidRPr="00C92BDF">
        <w:rPr>
          <w:rFonts w:ascii="Times New Roman" w:eastAsia="Times New Roman" w:hAnsi="Times New Roman" w:cs="Times New Roman"/>
          <w:i/>
          <w:iCs/>
          <w:lang w:val="lt-LT"/>
        </w:rPr>
        <w:t>Litis</w:t>
      </w:r>
    </w:p>
    <w:p w14:paraId="38817CAC"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Vartojant litį kartu su angiotenziną konvertuojančio fermento inhibitoriais, laikinai padidėja ličio koncentracija kraujo serume ir sustiprėja toksinis jo poveikis.</w:t>
      </w:r>
    </w:p>
    <w:p w14:paraId="5A98983E"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Todėl olmesartano medoksomilio nepatariama vartoti kartu su ličiu (žr. 4.4 skyrių). Jei toks vartojimas būtinas, reikia atidžiai kontroliuoti ličio koncentraciją kraujo serume.</w:t>
      </w:r>
    </w:p>
    <w:p w14:paraId="2B15607C"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6E234657" w14:textId="77777777" w:rsidR="004125E7" w:rsidRPr="00C92BDF" w:rsidRDefault="004125E7" w:rsidP="004125E7">
      <w:pPr>
        <w:spacing w:after="0" w:line="240" w:lineRule="auto"/>
        <w:rPr>
          <w:rFonts w:ascii="Times New Roman" w:eastAsia="Times New Roman" w:hAnsi="Times New Roman" w:cs="Times New Roman"/>
          <w:i/>
          <w:iCs/>
          <w:lang w:val="lt-LT"/>
        </w:rPr>
      </w:pPr>
      <w:r w:rsidRPr="00C92BDF">
        <w:rPr>
          <w:rFonts w:ascii="Times New Roman" w:eastAsia="Times New Roman" w:hAnsi="Times New Roman" w:cs="Times New Roman"/>
          <w:i/>
          <w:iCs/>
          <w:lang w:val="lt-LT"/>
        </w:rPr>
        <w:t>Kiti vaistiniai preparatai</w:t>
      </w:r>
    </w:p>
    <w:p w14:paraId="5A4E7AE1"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Specialiuose sveikų savanorių klinikiniuose tyrimuose tirtas varfarino, digoksino, skrandžio rūgštingumą mažinančių vaistinių preparatų (magnio aliuminio hidroksido), hidrochlorotiazido ir pravastatino poveikis. Kliniškai reikšmingos sąveikos nenustatyta, olmesartanas medoksomilis neturėjo įtakos varfarino farmakokinetinėms ir farmakodinaminėms savybėms bei digoksino farmakokinetikai.</w:t>
      </w:r>
    </w:p>
    <w:p w14:paraId="0FCCEC92"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439C66EB" w14:textId="77777777" w:rsidR="004125E7"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lastRenderedPageBreak/>
        <w:t xml:space="preserve">Tyrimais </w:t>
      </w:r>
      <w:r w:rsidRPr="00C92BDF">
        <w:rPr>
          <w:rFonts w:ascii="Times New Roman" w:eastAsia="Times New Roman" w:hAnsi="Times New Roman" w:cs="Times New Roman"/>
          <w:i/>
          <w:lang w:val="lt-LT"/>
        </w:rPr>
        <w:t xml:space="preserve">in vitro </w:t>
      </w:r>
      <w:r w:rsidRPr="00C92BDF">
        <w:rPr>
          <w:rFonts w:ascii="Times New Roman" w:eastAsia="Times New Roman" w:hAnsi="Times New Roman" w:cs="Times New Roman"/>
          <w:lang w:val="lt-LT"/>
        </w:rPr>
        <w:t xml:space="preserve">nustatyta, kad olmesartanas nepasižymi kliniškai reikšmingu slopinančiu poveikiu žmogaus citochromo P450 fermentams 1A/2, 2A6, 2C8/9, 2C19, 2D6, 2E1 ir 3A4, taip pat neveikia žiurkių citochromo P450 aktyvumo arba veikia tik nežymiai. Todėl sąveika su žinomais citochromo P450 fermentų slopintojais ir induktoriais </w:t>
      </w:r>
      <w:r w:rsidRPr="00C92BDF">
        <w:rPr>
          <w:rFonts w:ascii="Times New Roman" w:eastAsia="Times New Roman" w:hAnsi="Times New Roman" w:cs="Times New Roman"/>
          <w:i/>
          <w:lang w:val="lt-LT"/>
        </w:rPr>
        <w:t>in vivo</w:t>
      </w:r>
      <w:r w:rsidRPr="00C92BDF">
        <w:rPr>
          <w:rFonts w:ascii="Times New Roman" w:eastAsia="Times New Roman" w:hAnsi="Times New Roman" w:cs="Times New Roman"/>
          <w:lang w:val="lt-LT"/>
        </w:rPr>
        <w:t xml:space="preserve"> netirta, kliniškai reikšminga sąveika tarp olmesartano ir vaistinių preparatų, kurie metabolizuojami išvardintų citochromo P450 fermentų, mažai tikėtina.</w:t>
      </w:r>
    </w:p>
    <w:p w14:paraId="622522F4" w14:textId="77777777" w:rsidR="004125E7"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45BAE5D3" w14:textId="77777777" w:rsidR="004125E7" w:rsidRPr="000A1801" w:rsidRDefault="004125E7" w:rsidP="004125E7">
      <w:pPr>
        <w:autoSpaceDE w:val="0"/>
        <w:autoSpaceDN w:val="0"/>
        <w:spacing w:after="0" w:line="240" w:lineRule="auto"/>
        <w:rPr>
          <w:rFonts w:ascii="Times New Roman" w:eastAsia="MS Mincho" w:hAnsi="Times New Roman" w:cs="Times New Roman"/>
          <w:bCs/>
          <w:u w:val="single"/>
          <w:lang w:val="lt-LT" w:eastAsia="ja-JP"/>
        </w:rPr>
      </w:pPr>
      <w:r w:rsidRPr="000A1801">
        <w:rPr>
          <w:rFonts w:ascii="Times New Roman" w:eastAsia="MS Mincho" w:hAnsi="Times New Roman" w:cs="Times New Roman"/>
          <w:bCs/>
          <w:u w:val="single"/>
          <w:lang w:val="lt-LT" w:eastAsia="ja-JP"/>
        </w:rPr>
        <w:t>Vaikų populiacija</w:t>
      </w:r>
    </w:p>
    <w:p w14:paraId="2E0F9ACF" w14:textId="77777777" w:rsidR="004125E7" w:rsidRPr="00AB4808" w:rsidRDefault="004125E7" w:rsidP="004125E7">
      <w:pPr>
        <w:autoSpaceDE w:val="0"/>
        <w:autoSpaceDN w:val="0"/>
        <w:spacing w:after="0" w:line="240" w:lineRule="auto"/>
        <w:rPr>
          <w:rFonts w:ascii="Times New Roman" w:eastAsia="MS Mincho" w:hAnsi="Times New Roman" w:cs="Times New Roman"/>
          <w:bCs/>
          <w:lang w:val="lt-LT" w:eastAsia="ja-JP"/>
        </w:rPr>
      </w:pPr>
      <w:r w:rsidRPr="00AB4808">
        <w:rPr>
          <w:rFonts w:ascii="Times New Roman" w:eastAsia="MS Mincho" w:hAnsi="Times New Roman" w:cs="Times New Roman"/>
          <w:bCs/>
          <w:lang w:val="lt-LT" w:eastAsia="ja-JP"/>
        </w:rPr>
        <w:t xml:space="preserve">Vaisto sąveikos tyrimai atlikti tik suaugusiesiems. </w:t>
      </w:r>
    </w:p>
    <w:p w14:paraId="27B2B1CC"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AB4808">
        <w:rPr>
          <w:rFonts w:ascii="Times New Roman" w:eastAsia="MS Mincho" w:hAnsi="Times New Roman" w:cs="Times New Roman"/>
          <w:bCs/>
          <w:lang w:val="lt-LT" w:eastAsia="ja-JP"/>
        </w:rPr>
        <w:t>Ar vaistų sąveika vaikų organizme panaši į suaugusiųjų, nežinoma.</w:t>
      </w:r>
    </w:p>
    <w:p w14:paraId="0D5B943D"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0D529353" w14:textId="77777777" w:rsidR="004125E7" w:rsidRPr="00C92BDF" w:rsidRDefault="004125E7" w:rsidP="004125E7">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C92BDF">
        <w:rPr>
          <w:rFonts w:ascii="Times New Roman" w:eastAsia="Times New Roman" w:hAnsi="Times New Roman" w:cs="Times New Roman"/>
          <w:b/>
          <w:kern w:val="28"/>
          <w:lang w:val="lt-LT"/>
        </w:rPr>
        <w:t>4.6</w:t>
      </w:r>
      <w:r w:rsidRPr="00C92BDF">
        <w:rPr>
          <w:rFonts w:ascii="Times New Roman" w:eastAsia="Times New Roman" w:hAnsi="Times New Roman" w:cs="Times New Roman"/>
          <w:b/>
          <w:kern w:val="28"/>
          <w:lang w:val="lt-LT"/>
        </w:rPr>
        <w:tab/>
        <w:t>Vaisingumas, nėštumo ir žindymo laikotarpis</w:t>
      </w:r>
    </w:p>
    <w:p w14:paraId="33EA7C3E" w14:textId="77777777" w:rsidR="004125E7" w:rsidRPr="00C92BDF" w:rsidRDefault="004125E7" w:rsidP="004125E7">
      <w:pPr>
        <w:spacing w:after="0" w:line="240" w:lineRule="auto"/>
        <w:rPr>
          <w:rFonts w:ascii="Times New Roman" w:eastAsia="Times New Roman" w:hAnsi="Times New Roman" w:cs="Times New Roman"/>
          <w:i/>
          <w:lang w:val="lt-LT"/>
        </w:rPr>
      </w:pPr>
    </w:p>
    <w:p w14:paraId="45AD2CFE" w14:textId="77777777" w:rsidR="004125E7" w:rsidRPr="00C92BDF" w:rsidRDefault="004125E7" w:rsidP="004125E7">
      <w:pPr>
        <w:spacing w:after="0" w:line="240" w:lineRule="auto"/>
        <w:rPr>
          <w:rFonts w:ascii="Times New Roman" w:eastAsia="Times New Roman" w:hAnsi="Times New Roman" w:cs="Times New Roman"/>
          <w:i/>
          <w:iCs/>
          <w:lang w:val="lt-LT"/>
        </w:rPr>
      </w:pPr>
      <w:r w:rsidRPr="00C92BDF">
        <w:rPr>
          <w:rFonts w:ascii="Times New Roman" w:eastAsia="Times New Roman" w:hAnsi="Times New Roman" w:cs="Times New Roman"/>
          <w:i/>
          <w:iCs/>
          <w:lang w:val="lt-LT"/>
        </w:rPr>
        <w:t>Nėštumas</w:t>
      </w:r>
    </w:p>
    <w:p w14:paraId="1FA3D747" w14:textId="77777777" w:rsidR="004125E7" w:rsidRPr="00C92BDF" w:rsidRDefault="004125E7" w:rsidP="004125E7">
      <w:pPr>
        <w:spacing w:after="0" w:line="240" w:lineRule="auto"/>
        <w:rPr>
          <w:rFonts w:ascii="Times New Roman" w:eastAsia="Times New Roman" w:hAnsi="Times New Roman" w:cs="Times New Roman"/>
          <w:u w:val="single"/>
          <w:lang w:val="lt-LT" w:eastAsia="lt-LT"/>
        </w:rPr>
      </w:pPr>
    </w:p>
    <w:p w14:paraId="6B8691D0" w14:textId="77777777" w:rsidR="004125E7" w:rsidRPr="00C92BDF" w:rsidRDefault="004125E7" w:rsidP="004125E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lt-LT" w:eastAsia="lt-LT"/>
        </w:rPr>
      </w:pPr>
      <w:r w:rsidRPr="00C92BDF">
        <w:rPr>
          <w:rFonts w:ascii="Times New Roman" w:eastAsia="Times New Roman" w:hAnsi="Times New Roman" w:cs="Times New Roman"/>
          <w:lang w:val="lt-LT" w:eastAsia="lt-LT"/>
        </w:rPr>
        <w:t>Pirmuoju nėštumo trimestru angiotenzino II receptorių antagonistų (AIIRA) vartoti nerekomenduojama (žr. 4.4 skyrių). Antruoju ir trečiuoju nėštumo trimestrais jų vartoti draudžiama (žr. 4.3 ir 4.4 skyrius).</w:t>
      </w:r>
    </w:p>
    <w:p w14:paraId="2494BC4B" w14:textId="77777777" w:rsidR="004125E7" w:rsidRPr="00C92BDF" w:rsidRDefault="004125E7" w:rsidP="004125E7">
      <w:pPr>
        <w:spacing w:after="0" w:line="240" w:lineRule="auto"/>
        <w:rPr>
          <w:rFonts w:ascii="Times New Roman" w:eastAsia="Times New Roman" w:hAnsi="Times New Roman" w:cs="Times New Roman"/>
          <w:lang w:val="lt-LT" w:eastAsia="lt-LT"/>
        </w:rPr>
      </w:pPr>
    </w:p>
    <w:p w14:paraId="79085A17" w14:textId="77777777" w:rsidR="004125E7" w:rsidRPr="00C92BDF" w:rsidRDefault="004125E7" w:rsidP="004125E7">
      <w:pPr>
        <w:tabs>
          <w:tab w:val="left" w:pos="567"/>
        </w:tabs>
        <w:spacing w:after="0" w:line="240" w:lineRule="auto"/>
        <w:rPr>
          <w:rFonts w:ascii="Times New Roman" w:eastAsia="Times New Roman" w:hAnsi="Times New Roman" w:cs="Times New Roman"/>
          <w:lang w:val="lt-LT" w:eastAsia="lt-LT"/>
        </w:rPr>
      </w:pPr>
      <w:r w:rsidRPr="00C92BDF">
        <w:rPr>
          <w:rFonts w:ascii="Times New Roman" w:eastAsia="Times New Roman" w:hAnsi="Times New Roman" w:cs="Times New Roman"/>
          <w:lang w:val="lt-LT" w:eastAsia="lt-LT"/>
        </w:rPr>
        <w:t xml:space="preserve">Epidemiologinių tyrimų duomenys dėl pirmuoju nėštumo trimestru vartojamų AKF inhibitorių poveikio nėra galutiniai, tačiau nedidelio rizikos padidėjimo atmesti negalima. Kadangi nėra kontrolinių epidemiologinių duomenų dėl angiotenzino II receptorių antagonistų rizikos, panaši rizika gali būti ir šių vaistinių preparatų klasei. Išskyrus atvejus, kai tolesnis gydymas AIIRA yra būtinas, pastoti planuojančioms moterims juos reikia keisti kitokiais antihipertenziniais vaistiniais preparatais, kurių vartojimo nėštumo metu saugumas ištirtas. Nustačius nėštumą, AIIRA vartojimą būtina nedelsiant nutraukti ir, jei reikia, skirti kitokį tinkamą gydymą. </w:t>
      </w:r>
    </w:p>
    <w:p w14:paraId="5075242F" w14:textId="77777777" w:rsidR="004125E7" w:rsidRPr="00C92BDF" w:rsidRDefault="004125E7" w:rsidP="004125E7">
      <w:pPr>
        <w:tabs>
          <w:tab w:val="left" w:pos="567"/>
        </w:tabs>
        <w:spacing w:after="0" w:line="240" w:lineRule="auto"/>
        <w:rPr>
          <w:rFonts w:ascii="Times New Roman" w:eastAsia="Times New Roman" w:hAnsi="Times New Roman" w:cs="Times New Roman"/>
          <w:lang w:val="lt-LT" w:eastAsia="lt-LT"/>
        </w:rPr>
      </w:pPr>
    </w:p>
    <w:p w14:paraId="38F9F46B" w14:textId="77777777" w:rsidR="004125E7" w:rsidRPr="00C92BDF" w:rsidRDefault="004125E7" w:rsidP="004125E7">
      <w:pPr>
        <w:tabs>
          <w:tab w:val="left" w:pos="567"/>
        </w:tabs>
        <w:spacing w:after="0" w:line="240" w:lineRule="auto"/>
        <w:rPr>
          <w:rFonts w:ascii="Times New Roman" w:eastAsia="Times New Roman" w:hAnsi="Times New Roman" w:cs="Times New Roman"/>
          <w:lang w:val="lt-LT" w:eastAsia="lt-LT"/>
        </w:rPr>
      </w:pPr>
      <w:r w:rsidRPr="00C92BDF">
        <w:rPr>
          <w:rFonts w:ascii="Times New Roman" w:eastAsia="Times New Roman" w:hAnsi="Times New Roman" w:cs="Times New Roman"/>
          <w:lang w:val="lt-LT" w:eastAsia="lt-LT"/>
        </w:rPr>
        <w:t>Žinoma, kad antruoju arba trečiuoju nėštumo trimestrais vartojami AIIRA sukelia toksinį poveikį žmogaus vaisiui (inkstų funkcijos susilpnėjimą, oligohidramnioną, kaukolės kaulėjimo sulėtėjimą) ir naujagimiui (inkstų nepakankamumą, hipotenziją, hiperkaliemiją) (žr. 5.3 skyrių).</w:t>
      </w:r>
    </w:p>
    <w:p w14:paraId="68228270" w14:textId="77777777" w:rsidR="004125E7" w:rsidRPr="00C92BDF" w:rsidRDefault="004125E7" w:rsidP="004125E7">
      <w:pPr>
        <w:tabs>
          <w:tab w:val="left" w:pos="567"/>
        </w:tabs>
        <w:spacing w:after="0" w:line="240" w:lineRule="auto"/>
        <w:rPr>
          <w:rFonts w:ascii="Times New Roman" w:eastAsia="Times New Roman" w:hAnsi="Times New Roman" w:cs="Times New Roman"/>
          <w:lang w:val="lt-LT" w:eastAsia="lt-LT"/>
        </w:rPr>
      </w:pPr>
      <w:r w:rsidRPr="00C92BDF">
        <w:rPr>
          <w:rFonts w:ascii="Times New Roman" w:eastAsia="Times New Roman" w:hAnsi="Times New Roman" w:cs="Times New Roman"/>
          <w:lang w:val="lt-LT" w:eastAsia="lt-LT"/>
        </w:rPr>
        <w:t>Jeigu moteris antruoju arba trečiuoju nėštumo trimestru vartojo AIIRA, reikia ultragarsu sekti jos vaisiaus inkstų funkciją ir kaukolę.</w:t>
      </w:r>
    </w:p>
    <w:p w14:paraId="0EF2ED2A" w14:textId="77777777" w:rsidR="004125E7" w:rsidRPr="00C92BDF" w:rsidRDefault="004125E7" w:rsidP="004125E7">
      <w:pPr>
        <w:tabs>
          <w:tab w:val="left" w:pos="567"/>
        </w:tabs>
        <w:spacing w:after="0" w:line="240" w:lineRule="auto"/>
        <w:rPr>
          <w:rFonts w:ascii="Times New Roman" w:eastAsia="Times New Roman" w:hAnsi="Times New Roman" w:cs="Times New Roman"/>
          <w:lang w:val="lt-LT" w:eastAsia="lt-LT"/>
        </w:rPr>
      </w:pPr>
      <w:r w:rsidRPr="00C92BDF">
        <w:rPr>
          <w:rFonts w:ascii="Times New Roman" w:eastAsia="Times New Roman" w:hAnsi="Times New Roman" w:cs="Times New Roman"/>
          <w:lang w:val="lt-LT" w:eastAsia="lt-LT"/>
        </w:rPr>
        <w:t>Reikia atidžiai sekti, ar naujagimiams, kurių motinos nėštumo metu vartojo AIIRA, nepasireiškia hipotenzija (žr. 4.3 ir 4.4 skyrius).</w:t>
      </w:r>
    </w:p>
    <w:p w14:paraId="18811C02" w14:textId="77777777" w:rsidR="004125E7" w:rsidRPr="00C92BDF" w:rsidRDefault="004125E7" w:rsidP="004125E7">
      <w:pPr>
        <w:tabs>
          <w:tab w:val="left" w:pos="567"/>
        </w:tabs>
        <w:spacing w:after="0" w:line="240" w:lineRule="auto"/>
        <w:rPr>
          <w:rFonts w:ascii="Times New Roman" w:eastAsia="Times New Roman" w:hAnsi="Times New Roman" w:cs="Times New Roman"/>
          <w:lang w:val="lt-LT" w:eastAsia="lt-LT"/>
        </w:rPr>
      </w:pPr>
    </w:p>
    <w:p w14:paraId="2C1C3199" w14:textId="77777777" w:rsidR="004125E7" w:rsidRPr="00C92BDF" w:rsidRDefault="004125E7" w:rsidP="004125E7">
      <w:pPr>
        <w:spacing w:after="0" w:line="240" w:lineRule="auto"/>
        <w:rPr>
          <w:rFonts w:ascii="Times New Roman" w:eastAsia="Times New Roman" w:hAnsi="Times New Roman" w:cs="Times New Roman"/>
          <w:i/>
          <w:iCs/>
          <w:lang w:val="lt-LT"/>
        </w:rPr>
      </w:pPr>
      <w:r w:rsidRPr="00C92BDF">
        <w:rPr>
          <w:rFonts w:ascii="Times New Roman" w:eastAsia="Times New Roman" w:hAnsi="Times New Roman" w:cs="Times New Roman"/>
          <w:i/>
          <w:iCs/>
          <w:lang w:val="lt-LT"/>
        </w:rPr>
        <w:t>Žindymas</w:t>
      </w:r>
    </w:p>
    <w:p w14:paraId="50A78F40"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Tyrimais su žiurkėmis nustatyta, kad olmesartano patenka į pieną, bet nežinoma ar tai vyksta moters organizme. Kadangi nėra informacijos apie Mesar vartojimą žindymo metu, Mesar yra nerekomenduojamas, ir alternatyvus gydymas vaistu, geriau ištirtu dėl saugumo žindymo metu, yra tinkamesnis, ypač žindant naujagimius bei prieš laiką gimusius kūdikius.</w:t>
      </w:r>
    </w:p>
    <w:p w14:paraId="472F6DD4"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01954738" w14:textId="77777777" w:rsidR="004125E7" w:rsidRPr="00C92BDF" w:rsidRDefault="004125E7" w:rsidP="004125E7">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C92BDF">
        <w:rPr>
          <w:rFonts w:ascii="Times New Roman" w:eastAsia="Times New Roman" w:hAnsi="Times New Roman" w:cs="Times New Roman"/>
          <w:b/>
          <w:kern w:val="28"/>
          <w:lang w:val="lt-LT"/>
        </w:rPr>
        <w:t>4.7</w:t>
      </w:r>
      <w:r w:rsidRPr="00C92BDF">
        <w:rPr>
          <w:rFonts w:ascii="Times New Roman" w:eastAsia="Times New Roman" w:hAnsi="Times New Roman" w:cs="Times New Roman"/>
          <w:b/>
          <w:kern w:val="28"/>
          <w:lang w:val="lt-LT"/>
        </w:rPr>
        <w:tab/>
        <w:t>Poveikis gebėjimui vairuoti ir valdyti mechanizmus</w:t>
      </w:r>
    </w:p>
    <w:p w14:paraId="56D9E3B8"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0001E26A"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Mesar gebėjimą vairuoti ir valdyti mechanizmus veikia silpnai arba vidutiniškai. Vartojant vaistinius preparatus nuo padidėjusio kraujospūdžio, kartais gali atsirasti galvos svaigimas arba nuovargis, galintys sutrikdyti gebėjimą reaguoti.</w:t>
      </w:r>
    </w:p>
    <w:p w14:paraId="6357AFE8"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3604485A" w14:textId="77777777" w:rsidR="004125E7" w:rsidRPr="00C92BDF" w:rsidRDefault="004125E7" w:rsidP="004125E7">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C92BDF">
        <w:rPr>
          <w:rFonts w:ascii="Times New Roman" w:eastAsia="Times New Roman" w:hAnsi="Times New Roman" w:cs="Times New Roman"/>
          <w:b/>
          <w:kern w:val="28"/>
          <w:lang w:val="lt-LT"/>
        </w:rPr>
        <w:t>4.8</w:t>
      </w:r>
      <w:r w:rsidRPr="00C92BDF">
        <w:rPr>
          <w:rFonts w:ascii="Times New Roman" w:eastAsia="Times New Roman" w:hAnsi="Times New Roman" w:cs="Times New Roman"/>
          <w:b/>
          <w:kern w:val="28"/>
          <w:lang w:val="lt-LT"/>
        </w:rPr>
        <w:tab/>
        <w:t>Nepageidaujamas poveikis</w:t>
      </w:r>
    </w:p>
    <w:p w14:paraId="5D5869B4"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23DC0365"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Nepageidaujamų reakcijų duomenys</w:t>
      </w:r>
    </w:p>
    <w:p w14:paraId="4A7B0DD6" w14:textId="77777777" w:rsidR="004125E7" w:rsidRPr="00C92BDF" w:rsidRDefault="004125E7" w:rsidP="004125E7">
      <w:pPr>
        <w:spacing w:after="0" w:line="240" w:lineRule="auto"/>
        <w:rPr>
          <w:rFonts w:ascii="Times New Roman" w:eastAsia="Times New Roman" w:hAnsi="Times New Roman" w:cs="Times New Roman"/>
          <w:lang w:val="lt-LT" w:eastAsia="lt-LT"/>
        </w:rPr>
      </w:pPr>
      <w:r w:rsidRPr="00C92BDF">
        <w:rPr>
          <w:rFonts w:ascii="Times New Roman" w:eastAsia="Times New Roman" w:hAnsi="Times New Roman" w:cs="Times New Roman"/>
          <w:lang w:val="lt-LT" w:eastAsia="lt-LT"/>
        </w:rPr>
        <w:t>Vartojant Mesar dažniausiai pasitaikančios nepageidaujamos reakcijos yra galvos skausmas (7,7%), į gripą panašūs simptomai (4,0%) ir galvos svaigimas (3,7%).</w:t>
      </w:r>
      <w:r w:rsidRPr="00C92BDF">
        <w:rPr>
          <w:rFonts w:ascii="Times New Roman" w:eastAsia="Times New Roman" w:hAnsi="Times New Roman" w:cs="Times New Roman"/>
          <w:lang w:val="lt-LT" w:eastAsia="lt-LT"/>
        </w:rPr>
        <w:br/>
        <w:t>Placebu kontroliuojamų monoterapijos tyrimų metu, vienintelė nepageidaujama reakcija, kuri buvo susijusi su gydymu, buvo galvos svaigimas (2,5% atvejų olmesartano medoksomilio ir 0,9% placebo grupėje).</w:t>
      </w:r>
      <w:r w:rsidRPr="00C92BDF">
        <w:rPr>
          <w:rFonts w:ascii="Times New Roman" w:eastAsia="Times New Roman" w:hAnsi="Times New Roman" w:cs="Times New Roman"/>
          <w:lang w:val="lt-LT" w:eastAsia="lt-LT"/>
        </w:rPr>
        <w:br/>
      </w:r>
    </w:p>
    <w:p w14:paraId="6DCEA3E8" w14:textId="77777777" w:rsidR="004125E7" w:rsidRPr="00C92BDF" w:rsidRDefault="004125E7" w:rsidP="004125E7">
      <w:pPr>
        <w:spacing w:after="0" w:line="240" w:lineRule="auto"/>
        <w:rPr>
          <w:rFonts w:ascii="Times New Roman" w:eastAsia="Times New Roman" w:hAnsi="Times New Roman" w:cs="Times New Roman"/>
          <w:lang w:val="lt-LT" w:eastAsia="lt-LT"/>
        </w:rPr>
      </w:pPr>
      <w:r w:rsidRPr="00C92BDF">
        <w:rPr>
          <w:rFonts w:ascii="Times New Roman" w:eastAsia="Times New Roman" w:hAnsi="Times New Roman" w:cs="Times New Roman"/>
          <w:lang w:val="lt-LT" w:eastAsia="lt-LT"/>
        </w:rPr>
        <w:lastRenderedPageBreak/>
        <w:t>Olmesartano medoksomilio grupėje šiek tiek dažniau nei placebo grupėje pasireiškė hipertrigliciridemija (2 % palyginus su 1,1%) ir kreatinfosfokinazės aktyvumo padidėjimas (1,3% palyginus su 0,7%).</w:t>
      </w:r>
    </w:p>
    <w:p w14:paraId="2B72DAF7"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70470DEB"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Nepageidaujamų reakcijų lentelė</w:t>
      </w:r>
    </w:p>
    <w:p w14:paraId="70EDE88E"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Iš klinikinių tyrimų, poregistracinio saugumo tyrimų ir spontaninių pranešimų būdu gautos Mesar sukeliamos nepageidaujamos reakcijos apibendrintos žemiau pateiktoje lentelėje.</w:t>
      </w:r>
    </w:p>
    <w:p w14:paraId="71FF76E9"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7081B510"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 xml:space="preserve">Nepageidaujamo poveikio dažnis apibūdinamas taip: labai dažnas (≥1/10), </w:t>
      </w:r>
      <w:r w:rsidRPr="00C92BDF">
        <w:rPr>
          <w:rFonts w:ascii="Times New Roman" w:eastAsia="Times New Roman" w:hAnsi="Times New Roman" w:cs="Times New Roman"/>
          <w:noProof/>
          <w:lang w:val="lt-LT"/>
        </w:rPr>
        <w:t xml:space="preserve">dažnas (nuo </w:t>
      </w:r>
      <w:r w:rsidRPr="00C92BDF">
        <w:rPr>
          <w:rFonts w:ascii="Times New Roman" w:eastAsia="Times New Roman" w:hAnsi="Times New Roman" w:cs="Times New Roman"/>
          <w:lang w:val="lt-LT"/>
        </w:rPr>
        <w:t>≥</w:t>
      </w:r>
      <w:r w:rsidRPr="00C92BDF">
        <w:rPr>
          <w:rFonts w:ascii="Times New Roman" w:eastAsia="Times New Roman" w:hAnsi="Times New Roman" w:cs="Times New Roman"/>
          <w:noProof/>
          <w:lang w:val="lt-LT"/>
        </w:rPr>
        <w:t xml:space="preserve"> 1/100 iki &lt;1/10), </w:t>
      </w:r>
      <w:r w:rsidRPr="00C92BDF">
        <w:rPr>
          <w:rFonts w:ascii="Times New Roman" w:eastAsia="Times New Roman" w:hAnsi="Times New Roman" w:cs="Times New Roman"/>
          <w:lang w:val="lt-LT"/>
        </w:rPr>
        <w:t xml:space="preserve">nedažnas (nuo ≥1/1000 iki &lt;1/100), retas (nuo ≥1/10000 iki &lt;1/1000), </w:t>
      </w:r>
      <w:r w:rsidRPr="00C92BDF">
        <w:rPr>
          <w:rFonts w:ascii="Times New Roman" w:eastAsia="Times New Roman" w:hAnsi="Times New Roman" w:cs="Times New Roman"/>
          <w:noProof/>
          <w:lang w:val="lt-LT"/>
        </w:rPr>
        <w:t xml:space="preserve">labai retas (&lt;1/10 000); </w:t>
      </w:r>
      <w:r w:rsidRPr="00C92BDF">
        <w:rPr>
          <w:rFonts w:ascii="Times New Roman" w:eastAsia="Times New Roman" w:hAnsi="Times New Roman" w:cs="Times New Roman"/>
          <w:lang w:val="lt-LT"/>
        </w:rPr>
        <w:t>nežinomas (negali būti apskaičiuotas pagal turimus duomenis)</w:t>
      </w:r>
      <w:r w:rsidRPr="00C92BDF">
        <w:rPr>
          <w:rFonts w:ascii="Times New Roman" w:eastAsia="Times New Roman" w:hAnsi="Times New Roman" w:cs="Times New Roman"/>
          <w:noProof/>
          <w:lang w:val="lt-LT"/>
        </w:rPr>
        <w:t>.</w:t>
      </w:r>
    </w:p>
    <w:p w14:paraId="3B0C20B9"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5B502110" w14:textId="77777777" w:rsidR="004125E7" w:rsidRPr="00C92BDF" w:rsidRDefault="004125E7" w:rsidP="004125E7">
      <w:pPr>
        <w:spacing w:after="0" w:line="240" w:lineRule="auto"/>
        <w:rPr>
          <w:rFonts w:ascii="Times New Roman" w:eastAsia="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2"/>
        <w:gridCol w:w="3046"/>
        <w:gridCol w:w="3002"/>
      </w:tblGrid>
      <w:tr w:rsidR="004125E7" w:rsidRPr="00C92BDF" w14:paraId="2A614D92" w14:textId="77777777" w:rsidTr="00E62BE2">
        <w:tc>
          <w:tcPr>
            <w:tcW w:w="3095" w:type="dxa"/>
          </w:tcPr>
          <w:p w14:paraId="2C114412"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i/>
                <w:iCs/>
                <w:lang w:val="lt-LT"/>
              </w:rPr>
              <w:t>MedDRA</w:t>
            </w:r>
            <w:r w:rsidRPr="00C92BDF">
              <w:rPr>
                <w:rFonts w:ascii="Times New Roman" w:eastAsia="Times New Roman" w:hAnsi="Times New Roman" w:cs="Times New Roman"/>
                <w:lang w:val="lt-LT"/>
              </w:rPr>
              <w:t xml:space="preserve"> organų sistemų klasė</w:t>
            </w:r>
          </w:p>
          <w:p w14:paraId="2D6D378A" w14:textId="77777777" w:rsidR="004125E7" w:rsidRPr="00C92BDF" w:rsidRDefault="004125E7" w:rsidP="0053248E">
            <w:pPr>
              <w:spacing w:after="0" w:line="240" w:lineRule="auto"/>
              <w:rPr>
                <w:rFonts w:ascii="Times New Roman" w:eastAsia="Times New Roman" w:hAnsi="Times New Roman" w:cs="Times New Roman"/>
                <w:lang w:val="lt-LT"/>
              </w:rPr>
            </w:pPr>
          </w:p>
        </w:tc>
        <w:tc>
          <w:tcPr>
            <w:tcW w:w="3095" w:type="dxa"/>
          </w:tcPr>
          <w:p w14:paraId="51F86A2B"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Nepageidaujamos reakcijos</w:t>
            </w:r>
          </w:p>
        </w:tc>
        <w:tc>
          <w:tcPr>
            <w:tcW w:w="3096" w:type="dxa"/>
          </w:tcPr>
          <w:p w14:paraId="420DE6F0"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Dažnis</w:t>
            </w:r>
          </w:p>
        </w:tc>
      </w:tr>
      <w:tr w:rsidR="004125E7" w:rsidRPr="00C92BDF" w14:paraId="6B0AAF6F" w14:textId="77777777" w:rsidTr="00E62BE2">
        <w:tc>
          <w:tcPr>
            <w:tcW w:w="3095" w:type="dxa"/>
          </w:tcPr>
          <w:p w14:paraId="71E99F58"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fr-FR"/>
              </w:rPr>
              <w:t>Kraujo ir limfinės sistemos sutrikimai</w:t>
            </w:r>
          </w:p>
        </w:tc>
        <w:tc>
          <w:tcPr>
            <w:tcW w:w="3095" w:type="dxa"/>
          </w:tcPr>
          <w:p w14:paraId="2A92F3D9"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Trombocitopenija</w:t>
            </w:r>
          </w:p>
        </w:tc>
        <w:tc>
          <w:tcPr>
            <w:tcW w:w="3096" w:type="dxa"/>
          </w:tcPr>
          <w:p w14:paraId="62A18F7E"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Nedažnos</w:t>
            </w:r>
          </w:p>
        </w:tc>
      </w:tr>
      <w:tr w:rsidR="004125E7" w:rsidRPr="00C92BDF" w14:paraId="619DB2D2" w14:textId="77777777" w:rsidTr="00E62BE2">
        <w:tc>
          <w:tcPr>
            <w:tcW w:w="3095" w:type="dxa"/>
          </w:tcPr>
          <w:p w14:paraId="13F92D4A"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noProof/>
                <w:lang w:val="lt-LT"/>
              </w:rPr>
              <w:t>Imuninės sistemos sutrikimai</w:t>
            </w:r>
          </w:p>
        </w:tc>
        <w:tc>
          <w:tcPr>
            <w:tcW w:w="3095" w:type="dxa"/>
          </w:tcPr>
          <w:p w14:paraId="594B1C04"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Anafilaksinės reakcijos</w:t>
            </w:r>
          </w:p>
        </w:tc>
        <w:tc>
          <w:tcPr>
            <w:tcW w:w="3096" w:type="dxa"/>
          </w:tcPr>
          <w:p w14:paraId="317E9EC5"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Nedažnos</w:t>
            </w:r>
          </w:p>
        </w:tc>
      </w:tr>
      <w:tr w:rsidR="004125E7" w:rsidRPr="00C92BDF" w14:paraId="01C18D0B" w14:textId="77777777" w:rsidTr="00E62BE2">
        <w:tc>
          <w:tcPr>
            <w:tcW w:w="3095" w:type="dxa"/>
            <w:vMerge w:val="restart"/>
          </w:tcPr>
          <w:p w14:paraId="79E21886"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Metabolizmo ir mitybos sutrikimai</w:t>
            </w:r>
          </w:p>
        </w:tc>
        <w:tc>
          <w:tcPr>
            <w:tcW w:w="3095" w:type="dxa"/>
          </w:tcPr>
          <w:p w14:paraId="71D3BEA5"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 xml:space="preserve">Hipertrigliceridemija </w:t>
            </w:r>
          </w:p>
        </w:tc>
        <w:tc>
          <w:tcPr>
            <w:tcW w:w="3096" w:type="dxa"/>
          </w:tcPr>
          <w:p w14:paraId="6345A46B"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Dažnos</w:t>
            </w:r>
          </w:p>
        </w:tc>
      </w:tr>
      <w:tr w:rsidR="004125E7" w:rsidRPr="00C92BDF" w14:paraId="62769F8A" w14:textId="77777777" w:rsidTr="00E62BE2">
        <w:tc>
          <w:tcPr>
            <w:tcW w:w="3095" w:type="dxa"/>
            <w:vMerge/>
          </w:tcPr>
          <w:p w14:paraId="794C8F3F" w14:textId="77777777" w:rsidR="004125E7" w:rsidRPr="00C92BDF" w:rsidRDefault="004125E7" w:rsidP="0053248E">
            <w:pPr>
              <w:spacing w:after="0" w:line="240" w:lineRule="auto"/>
              <w:rPr>
                <w:rFonts w:ascii="Times New Roman" w:eastAsia="Times New Roman" w:hAnsi="Times New Roman" w:cs="Times New Roman"/>
                <w:lang w:val="lt-LT"/>
              </w:rPr>
            </w:pPr>
          </w:p>
        </w:tc>
        <w:tc>
          <w:tcPr>
            <w:tcW w:w="3095" w:type="dxa"/>
          </w:tcPr>
          <w:p w14:paraId="09206332"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Hiperurikemija</w:t>
            </w:r>
          </w:p>
        </w:tc>
        <w:tc>
          <w:tcPr>
            <w:tcW w:w="3096" w:type="dxa"/>
          </w:tcPr>
          <w:p w14:paraId="3A8A3095"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Dažnos</w:t>
            </w:r>
          </w:p>
        </w:tc>
      </w:tr>
      <w:tr w:rsidR="004125E7" w:rsidRPr="00C92BDF" w14:paraId="42F178BB" w14:textId="77777777" w:rsidTr="00E62BE2">
        <w:tc>
          <w:tcPr>
            <w:tcW w:w="3095" w:type="dxa"/>
            <w:vMerge/>
          </w:tcPr>
          <w:p w14:paraId="7BD3620C" w14:textId="77777777" w:rsidR="004125E7" w:rsidRPr="00C92BDF" w:rsidRDefault="004125E7" w:rsidP="0053248E">
            <w:pPr>
              <w:spacing w:after="0" w:line="240" w:lineRule="auto"/>
              <w:rPr>
                <w:rFonts w:ascii="Times New Roman" w:eastAsia="Times New Roman" w:hAnsi="Times New Roman" w:cs="Times New Roman"/>
                <w:lang w:val="lt-LT"/>
              </w:rPr>
            </w:pPr>
          </w:p>
        </w:tc>
        <w:tc>
          <w:tcPr>
            <w:tcW w:w="3095" w:type="dxa"/>
          </w:tcPr>
          <w:p w14:paraId="77655C4B"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Hiperkaliemija</w:t>
            </w:r>
          </w:p>
        </w:tc>
        <w:tc>
          <w:tcPr>
            <w:tcW w:w="3096" w:type="dxa"/>
          </w:tcPr>
          <w:p w14:paraId="0692A5DB"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Retos</w:t>
            </w:r>
          </w:p>
        </w:tc>
      </w:tr>
      <w:tr w:rsidR="004125E7" w:rsidRPr="00C92BDF" w14:paraId="7A319453" w14:textId="77777777" w:rsidTr="00E62BE2">
        <w:tc>
          <w:tcPr>
            <w:tcW w:w="3095" w:type="dxa"/>
            <w:vMerge w:val="restart"/>
          </w:tcPr>
          <w:p w14:paraId="44B18449"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Nervų sistemos sutrikimai</w:t>
            </w:r>
          </w:p>
        </w:tc>
        <w:tc>
          <w:tcPr>
            <w:tcW w:w="3095" w:type="dxa"/>
          </w:tcPr>
          <w:p w14:paraId="692CC300"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Svaigulys</w:t>
            </w:r>
          </w:p>
        </w:tc>
        <w:tc>
          <w:tcPr>
            <w:tcW w:w="3096" w:type="dxa"/>
          </w:tcPr>
          <w:p w14:paraId="7541D913"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Dažnos</w:t>
            </w:r>
          </w:p>
        </w:tc>
      </w:tr>
      <w:tr w:rsidR="004125E7" w:rsidRPr="00C92BDF" w14:paraId="4241A2E6" w14:textId="77777777" w:rsidTr="00E62BE2">
        <w:tc>
          <w:tcPr>
            <w:tcW w:w="3095" w:type="dxa"/>
            <w:vMerge/>
          </w:tcPr>
          <w:p w14:paraId="5B14400B" w14:textId="77777777" w:rsidR="004125E7" w:rsidRPr="00C92BDF" w:rsidRDefault="004125E7" w:rsidP="0053248E">
            <w:pPr>
              <w:spacing w:after="0" w:line="240" w:lineRule="auto"/>
              <w:rPr>
                <w:rFonts w:ascii="Times New Roman" w:eastAsia="Times New Roman" w:hAnsi="Times New Roman" w:cs="Times New Roman"/>
                <w:lang w:val="lt-LT"/>
              </w:rPr>
            </w:pPr>
          </w:p>
        </w:tc>
        <w:tc>
          <w:tcPr>
            <w:tcW w:w="3095" w:type="dxa"/>
          </w:tcPr>
          <w:p w14:paraId="32E9C4A2"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Galvos skausmas</w:t>
            </w:r>
          </w:p>
        </w:tc>
        <w:tc>
          <w:tcPr>
            <w:tcW w:w="3096" w:type="dxa"/>
          </w:tcPr>
          <w:p w14:paraId="4D293E23"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Dažnos</w:t>
            </w:r>
          </w:p>
        </w:tc>
      </w:tr>
      <w:tr w:rsidR="004125E7" w:rsidRPr="00C92BDF" w14:paraId="07E58DE7" w14:textId="77777777" w:rsidTr="00E62BE2">
        <w:tc>
          <w:tcPr>
            <w:tcW w:w="3095" w:type="dxa"/>
          </w:tcPr>
          <w:p w14:paraId="6B1337C1"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noProof/>
                <w:lang w:val="lt-LT"/>
              </w:rPr>
              <w:t>Ausų ir labirintų sutrikimai</w:t>
            </w:r>
          </w:p>
        </w:tc>
        <w:tc>
          <w:tcPr>
            <w:tcW w:w="3095" w:type="dxa"/>
          </w:tcPr>
          <w:p w14:paraId="5B4EDE06"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Galvos sukimasis (</w:t>
            </w:r>
            <w:r w:rsidRPr="00C92BDF">
              <w:rPr>
                <w:rFonts w:ascii="Times New Roman" w:eastAsia="Times New Roman" w:hAnsi="Times New Roman" w:cs="Times New Roman"/>
                <w:i/>
                <w:lang w:val="lt-LT"/>
              </w:rPr>
              <w:t>vertigo</w:t>
            </w:r>
            <w:r w:rsidRPr="00C92BDF">
              <w:rPr>
                <w:rFonts w:ascii="Times New Roman" w:eastAsia="Times New Roman" w:hAnsi="Times New Roman" w:cs="Times New Roman"/>
                <w:lang w:val="lt-LT"/>
              </w:rPr>
              <w:t>)</w:t>
            </w:r>
          </w:p>
        </w:tc>
        <w:tc>
          <w:tcPr>
            <w:tcW w:w="3096" w:type="dxa"/>
          </w:tcPr>
          <w:p w14:paraId="7BA87035"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Nedažnos</w:t>
            </w:r>
          </w:p>
        </w:tc>
      </w:tr>
      <w:tr w:rsidR="004125E7" w:rsidRPr="00C92BDF" w14:paraId="1C803F51" w14:textId="77777777" w:rsidTr="00E62BE2">
        <w:tc>
          <w:tcPr>
            <w:tcW w:w="3095" w:type="dxa"/>
          </w:tcPr>
          <w:p w14:paraId="0C819915"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Širdies sutrikimai</w:t>
            </w:r>
          </w:p>
        </w:tc>
        <w:tc>
          <w:tcPr>
            <w:tcW w:w="3095" w:type="dxa"/>
          </w:tcPr>
          <w:p w14:paraId="62DA7D03"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Krūtinės angina</w:t>
            </w:r>
          </w:p>
        </w:tc>
        <w:tc>
          <w:tcPr>
            <w:tcW w:w="3096" w:type="dxa"/>
          </w:tcPr>
          <w:p w14:paraId="72FAD9BE"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Nedažnos</w:t>
            </w:r>
          </w:p>
        </w:tc>
      </w:tr>
      <w:tr w:rsidR="004125E7" w:rsidRPr="00C92BDF" w14:paraId="31CBD75D" w14:textId="77777777" w:rsidTr="00E62BE2">
        <w:tc>
          <w:tcPr>
            <w:tcW w:w="3095" w:type="dxa"/>
          </w:tcPr>
          <w:p w14:paraId="7F09D279"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Kraujagyslių sutrikimai</w:t>
            </w:r>
          </w:p>
        </w:tc>
        <w:tc>
          <w:tcPr>
            <w:tcW w:w="3095" w:type="dxa"/>
          </w:tcPr>
          <w:p w14:paraId="36DC7A2C"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Hipotenzija</w:t>
            </w:r>
          </w:p>
        </w:tc>
        <w:tc>
          <w:tcPr>
            <w:tcW w:w="3096" w:type="dxa"/>
          </w:tcPr>
          <w:p w14:paraId="4347BA88"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Retos</w:t>
            </w:r>
          </w:p>
        </w:tc>
      </w:tr>
      <w:tr w:rsidR="004125E7" w:rsidRPr="00C92BDF" w14:paraId="757CCAF1" w14:textId="77777777" w:rsidTr="0053248E">
        <w:tc>
          <w:tcPr>
            <w:tcW w:w="3095" w:type="dxa"/>
            <w:vMerge w:val="restart"/>
          </w:tcPr>
          <w:p w14:paraId="7411CA19"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Kvėpavimo sistemos, krūtinės ląstos ir tarpuplaučio sutrikimai</w:t>
            </w:r>
          </w:p>
        </w:tc>
        <w:tc>
          <w:tcPr>
            <w:tcW w:w="3095" w:type="dxa"/>
          </w:tcPr>
          <w:p w14:paraId="69830D93"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Bronchitas</w:t>
            </w:r>
          </w:p>
        </w:tc>
        <w:tc>
          <w:tcPr>
            <w:tcW w:w="3096" w:type="dxa"/>
          </w:tcPr>
          <w:p w14:paraId="63ACC134"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Dažnos</w:t>
            </w:r>
          </w:p>
        </w:tc>
      </w:tr>
      <w:tr w:rsidR="004125E7" w:rsidRPr="00C92BDF" w14:paraId="778E99A4" w14:textId="77777777" w:rsidTr="0053248E">
        <w:tc>
          <w:tcPr>
            <w:tcW w:w="3095" w:type="dxa"/>
            <w:vMerge/>
          </w:tcPr>
          <w:p w14:paraId="4F8284B3" w14:textId="77777777" w:rsidR="004125E7" w:rsidRPr="00C92BDF" w:rsidRDefault="004125E7" w:rsidP="0053248E">
            <w:pPr>
              <w:spacing w:after="0" w:line="240" w:lineRule="auto"/>
              <w:rPr>
                <w:rFonts w:ascii="Times New Roman" w:eastAsia="Times New Roman" w:hAnsi="Times New Roman" w:cs="Times New Roman"/>
                <w:lang w:val="lt-LT"/>
              </w:rPr>
            </w:pPr>
          </w:p>
        </w:tc>
        <w:tc>
          <w:tcPr>
            <w:tcW w:w="3095" w:type="dxa"/>
          </w:tcPr>
          <w:p w14:paraId="5D299853"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Faringitas</w:t>
            </w:r>
          </w:p>
        </w:tc>
        <w:tc>
          <w:tcPr>
            <w:tcW w:w="3096" w:type="dxa"/>
          </w:tcPr>
          <w:p w14:paraId="1FC58511"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Dažnos</w:t>
            </w:r>
          </w:p>
        </w:tc>
      </w:tr>
      <w:tr w:rsidR="004125E7" w:rsidRPr="00C92BDF" w14:paraId="203D601A" w14:textId="77777777" w:rsidTr="0053248E">
        <w:tc>
          <w:tcPr>
            <w:tcW w:w="3095" w:type="dxa"/>
            <w:vMerge/>
          </w:tcPr>
          <w:p w14:paraId="34A918D2" w14:textId="77777777" w:rsidR="004125E7" w:rsidRPr="00C92BDF" w:rsidRDefault="004125E7" w:rsidP="0053248E">
            <w:pPr>
              <w:spacing w:after="0" w:line="240" w:lineRule="auto"/>
              <w:rPr>
                <w:rFonts w:ascii="Times New Roman" w:eastAsia="Times New Roman" w:hAnsi="Times New Roman" w:cs="Times New Roman"/>
                <w:lang w:val="lt-LT"/>
              </w:rPr>
            </w:pPr>
          </w:p>
        </w:tc>
        <w:tc>
          <w:tcPr>
            <w:tcW w:w="3095" w:type="dxa"/>
          </w:tcPr>
          <w:p w14:paraId="562A0E06"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Kosulys</w:t>
            </w:r>
          </w:p>
        </w:tc>
        <w:tc>
          <w:tcPr>
            <w:tcW w:w="3096" w:type="dxa"/>
          </w:tcPr>
          <w:p w14:paraId="2668DEF0"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Dažnos</w:t>
            </w:r>
          </w:p>
        </w:tc>
      </w:tr>
      <w:tr w:rsidR="004125E7" w:rsidRPr="00C92BDF" w14:paraId="4D87BD5F" w14:textId="77777777" w:rsidTr="0053248E">
        <w:tc>
          <w:tcPr>
            <w:tcW w:w="3095" w:type="dxa"/>
            <w:vMerge/>
          </w:tcPr>
          <w:p w14:paraId="6D9C80C9" w14:textId="77777777" w:rsidR="004125E7" w:rsidRPr="00C92BDF" w:rsidRDefault="004125E7" w:rsidP="0053248E">
            <w:pPr>
              <w:spacing w:after="0" w:line="240" w:lineRule="auto"/>
              <w:rPr>
                <w:rFonts w:ascii="Times New Roman" w:eastAsia="Times New Roman" w:hAnsi="Times New Roman" w:cs="Times New Roman"/>
                <w:lang w:val="lt-LT"/>
              </w:rPr>
            </w:pPr>
          </w:p>
        </w:tc>
        <w:tc>
          <w:tcPr>
            <w:tcW w:w="3095" w:type="dxa"/>
          </w:tcPr>
          <w:p w14:paraId="280599D4"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Rinitas</w:t>
            </w:r>
          </w:p>
        </w:tc>
        <w:tc>
          <w:tcPr>
            <w:tcW w:w="3096" w:type="dxa"/>
          </w:tcPr>
          <w:p w14:paraId="79EB28C3"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Dažnos</w:t>
            </w:r>
          </w:p>
        </w:tc>
      </w:tr>
      <w:tr w:rsidR="004125E7" w:rsidRPr="00C92BDF" w14:paraId="7B897CBE" w14:textId="77777777" w:rsidTr="0053248E">
        <w:tc>
          <w:tcPr>
            <w:tcW w:w="3095" w:type="dxa"/>
            <w:vMerge w:val="restart"/>
          </w:tcPr>
          <w:p w14:paraId="6B78BB27"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Virškinimo trakto sutrikimai</w:t>
            </w:r>
          </w:p>
        </w:tc>
        <w:tc>
          <w:tcPr>
            <w:tcW w:w="3095" w:type="dxa"/>
          </w:tcPr>
          <w:p w14:paraId="11B0B89D"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Gastroenteritas</w:t>
            </w:r>
          </w:p>
        </w:tc>
        <w:tc>
          <w:tcPr>
            <w:tcW w:w="3096" w:type="dxa"/>
          </w:tcPr>
          <w:p w14:paraId="43A712D0"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Dažnos</w:t>
            </w:r>
          </w:p>
        </w:tc>
      </w:tr>
      <w:tr w:rsidR="004125E7" w:rsidRPr="00C92BDF" w14:paraId="1889C1CD" w14:textId="77777777" w:rsidTr="0053248E">
        <w:tc>
          <w:tcPr>
            <w:tcW w:w="3095" w:type="dxa"/>
            <w:vMerge/>
          </w:tcPr>
          <w:p w14:paraId="6483744A" w14:textId="77777777" w:rsidR="004125E7" w:rsidRPr="00C92BDF" w:rsidRDefault="004125E7" w:rsidP="0053248E">
            <w:pPr>
              <w:spacing w:after="0" w:line="240" w:lineRule="auto"/>
              <w:rPr>
                <w:rFonts w:ascii="Times New Roman" w:eastAsia="Times New Roman" w:hAnsi="Times New Roman" w:cs="Times New Roman"/>
                <w:lang w:val="lt-LT"/>
              </w:rPr>
            </w:pPr>
          </w:p>
        </w:tc>
        <w:tc>
          <w:tcPr>
            <w:tcW w:w="3095" w:type="dxa"/>
          </w:tcPr>
          <w:p w14:paraId="2211310C"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Viduriavimas</w:t>
            </w:r>
          </w:p>
        </w:tc>
        <w:tc>
          <w:tcPr>
            <w:tcW w:w="3096" w:type="dxa"/>
          </w:tcPr>
          <w:p w14:paraId="08935DFF"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Dažnos</w:t>
            </w:r>
          </w:p>
        </w:tc>
      </w:tr>
      <w:tr w:rsidR="004125E7" w:rsidRPr="00C92BDF" w14:paraId="4D17F891" w14:textId="77777777" w:rsidTr="0053248E">
        <w:tc>
          <w:tcPr>
            <w:tcW w:w="3095" w:type="dxa"/>
            <w:vMerge/>
          </w:tcPr>
          <w:p w14:paraId="77DC97DB" w14:textId="77777777" w:rsidR="004125E7" w:rsidRPr="00C92BDF" w:rsidRDefault="004125E7" w:rsidP="0053248E">
            <w:pPr>
              <w:spacing w:after="0" w:line="240" w:lineRule="auto"/>
              <w:rPr>
                <w:rFonts w:ascii="Times New Roman" w:eastAsia="Times New Roman" w:hAnsi="Times New Roman" w:cs="Times New Roman"/>
                <w:lang w:val="lt-LT"/>
              </w:rPr>
            </w:pPr>
          </w:p>
        </w:tc>
        <w:tc>
          <w:tcPr>
            <w:tcW w:w="3095" w:type="dxa"/>
          </w:tcPr>
          <w:p w14:paraId="64BAAA36"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Pilvo skausmas</w:t>
            </w:r>
          </w:p>
        </w:tc>
        <w:tc>
          <w:tcPr>
            <w:tcW w:w="3096" w:type="dxa"/>
          </w:tcPr>
          <w:p w14:paraId="6820CAFB"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Dažnos</w:t>
            </w:r>
          </w:p>
        </w:tc>
      </w:tr>
      <w:tr w:rsidR="004125E7" w:rsidRPr="00C92BDF" w14:paraId="436014F2" w14:textId="77777777" w:rsidTr="0053248E">
        <w:tc>
          <w:tcPr>
            <w:tcW w:w="3095" w:type="dxa"/>
            <w:vMerge/>
          </w:tcPr>
          <w:p w14:paraId="2BA7B668" w14:textId="77777777" w:rsidR="004125E7" w:rsidRPr="00C92BDF" w:rsidRDefault="004125E7" w:rsidP="0053248E">
            <w:pPr>
              <w:spacing w:after="0" w:line="240" w:lineRule="auto"/>
              <w:rPr>
                <w:rFonts w:ascii="Times New Roman" w:eastAsia="Times New Roman" w:hAnsi="Times New Roman" w:cs="Times New Roman"/>
                <w:lang w:val="lt-LT"/>
              </w:rPr>
            </w:pPr>
          </w:p>
        </w:tc>
        <w:tc>
          <w:tcPr>
            <w:tcW w:w="3095" w:type="dxa"/>
          </w:tcPr>
          <w:p w14:paraId="5C0D848D"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Pykinimas</w:t>
            </w:r>
          </w:p>
        </w:tc>
        <w:tc>
          <w:tcPr>
            <w:tcW w:w="3096" w:type="dxa"/>
          </w:tcPr>
          <w:p w14:paraId="0DA30E16"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Dažnos</w:t>
            </w:r>
          </w:p>
        </w:tc>
      </w:tr>
      <w:tr w:rsidR="004125E7" w:rsidRPr="00C92BDF" w14:paraId="47033A15" w14:textId="77777777" w:rsidTr="0053248E">
        <w:tc>
          <w:tcPr>
            <w:tcW w:w="3095" w:type="dxa"/>
            <w:vMerge/>
          </w:tcPr>
          <w:p w14:paraId="58104F2B" w14:textId="77777777" w:rsidR="004125E7" w:rsidRPr="00C92BDF" w:rsidRDefault="004125E7" w:rsidP="0053248E">
            <w:pPr>
              <w:spacing w:after="0" w:line="240" w:lineRule="auto"/>
              <w:rPr>
                <w:rFonts w:ascii="Times New Roman" w:eastAsia="Times New Roman" w:hAnsi="Times New Roman" w:cs="Times New Roman"/>
                <w:lang w:val="lt-LT"/>
              </w:rPr>
            </w:pPr>
          </w:p>
        </w:tc>
        <w:tc>
          <w:tcPr>
            <w:tcW w:w="3095" w:type="dxa"/>
          </w:tcPr>
          <w:p w14:paraId="04BA1ADD"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Dispepsija</w:t>
            </w:r>
          </w:p>
        </w:tc>
        <w:tc>
          <w:tcPr>
            <w:tcW w:w="3096" w:type="dxa"/>
          </w:tcPr>
          <w:p w14:paraId="72A53586"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Dažnos</w:t>
            </w:r>
          </w:p>
        </w:tc>
      </w:tr>
      <w:tr w:rsidR="004125E7" w:rsidRPr="00C92BDF" w14:paraId="33C33C4F" w14:textId="77777777" w:rsidTr="0053248E">
        <w:tc>
          <w:tcPr>
            <w:tcW w:w="3095" w:type="dxa"/>
            <w:vMerge/>
          </w:tcPr>
          <w:p w14:paraId="61D820C0" w14:textId="77777777" w:rsidR="004125E7" w:rsidRPr="00C92BDF" w:rsidRDefault="004125E7" w:rsidP="0053248E">
            <w:pPr>
              <w:spacing w:after="0" w:line="240" w:lineRule="auto"/>
              <w:rPr>
                <w:rFonts w:ascii="Times New Roman" w:eastAsia="Times New Roman" w:hAnsi="Times New Roman" w:cs="Times New Roman"/>
                <w:lang w:val="lt-LT"/>
              </w:rPr>
            </w:pPr>
          </w:p>
        </w:tc>
        <w:tc>
          <w:tcPr>
            <w:tcW w:w="3095" w:type="dxa"/>
          </w:tcPr>
          <w:p w14:paraId="3B6D5FE2"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Vėmimas</w:t>
            </w:r>
          </w:p>
        </w:tc>
        <w:tc>
          <w:tcPr>
            <w:tcW w:w="3096" w:type="dxa"/>
          </w:tcPr>
          <w:p w14:paraId="6E043DC9"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Nedažnos</w:t>
            </w:r>
          </w:p>
        </w:tc>
      </w:tr>
      <w:tr w:rsidR="00A53D1A" w:rsidRPr="00C92BDF" w14:paraId="528B7090" w14:textId="77777777" w:rsidTr="0053248E">
        <w:tc>
          <w:tcPr>
            <w:tcW w:w="3095" w:type="dxa"/>
            <w:vMerge/>
          </w:tcPr>
          <w:p w14:paraId="63ED78F1" w14:textId="77777777" w:rsidR="00A53D1A" w:rsidRPr="00C92BDF" w:rsidRDefault="00A53D1A" w:rsidP="0053248E">
            <w:pPr>
              <w:spacing w:after="0" w:line="240" w:lineRule="auto"/>
              <w:rPr>
                <w:rFonts w:ascii="Times New Roman" w:eastAsia="Times New Roman" w:hAnsi="Times New Roman" w:cs="Times New Roman"/>
                <w:lang w:val="lt-LT"/>
              </w:rPr>
            </w:pPr>
          </w:p>
        </w:tc>
        <w:tc>
          <w:tcPr>
            <w:tcW w:w="3095" w:type="dxa"/>
          </w:tcPr>
          <w:p w14:paraId="28459204" w14:textId="77777777" w:rsidR="00A53D1A" w:rsidRPr="00A53D1A" w:rsidRDefault="00A53D1A" w:rsidP="0053248E">
            <w:pPr>
              <w:spacing w:after="0" w:line="240" w:lineRule="auto"/>
              <w:rPr>
                <w:rFonts w:ascii="Times New Roman" w:eastAsia="Times New Roman" w:hAnsi="Times New Roman" w:cs="Times New Roman"/>
                <w:lang w:val="lt-LT"/>
              </w:rPr>
            </w:pPr>
            <w:r w:rsidRPr="00A53D1A">
              <w:rPr>
                <w:rFonts w:ascii="Times New Roman" w:hAnsi="Times New Roman" w:cs="Times New Roman"/>
              </w:rPr>
              <w:t>Žarnyno angioneurozinė edema</w:t>
            </w:r>
          </w:p>
        </w:tc>
        <w:tc>
          <w:tcPr>
            <w:tcW w:w="3096" w:type="dxa"/>
          </w:tcPr>
          <w:p w14:paraId="0FFF5C7A" w14:textId="77777777" w:rsidR="00A53D1A" w:rsidRPr="00C92BDF" w:rsidRDefault="00A53D1A" w:rsidP="0053248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Retos</w:t>
            </w:r>
          </w:p>
        </w:tc>
      </w:tr>
      <w:tr w:rsidR="004125E7" w:rsidRPr="00C92BDF" w14:paraId="180970EC" w14:textId="77777777" w:rsidTr="0053248E">
        <w:tc>
          <w:tcPr>
            <w:tcW w:w="3095" w:type="dxa"/>
            <w:vMerge/>
          </w:tcPr>
          <w:p w14:paraId="4A6A1FA6" w14:textId="77777777" w:rsidR="004125E7" w:rsidRPr="00C92BDF" w:rsidRDefault="004125E7" w:rsidP="0053248E">
            <w:pPr>
              <w:spacing w:after="0" w:line="240" w:lineRule="auto"/>
              <w:rPr>
                <w:rFonts w:ascii="Times New Roman" w:eastAsia="Times New Roman" w:hAnsi="Times New Roman" w:cs="Times New Roman"/>
                <w:lang w:val="lt-LT"/>
              </w:rPr>
            </w:pPr>
          </w:p>
        </w:tc>
        <w:tc>
          <w:tcPr>
            <w:tcW w:w="3095" w:type="dxa"/>
          </w:tcPr>
          <w:p w14:paraId="644D0D40"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Į celiakiją panaši enteropatija</w:t>
            </w:r>
          </w:p>
          <w:p w14:paraId="7B024A4E"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(žr. skyrių 4.4)</w:t>
            </w:r>
          </w:p>
        </w:tc>
        <w:tc>
          <w:tcPr>
            <w:tcW w:w="3096" w:type="dxa"/>
          </w:tcPr>
          <w:p w14:paraId="21E98E6B"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Labai retos</w:t>
            </w:r>
          </w:p>
        </w:tc>
      </w:tr>
      <w:tr w:rsidR="004125E7" w:rsidRPr="00C92BDF" w14:paraId="600996E8" w14:textId="77777777" w:rsidTr="00E62BE2">
        <w:tc>
          <w:tcPr>
            <w:tcW w:w="3095" w:type="dxa"/>
          </w:tcPr>
          <w:p w14:paraId="3D3DBD3D" w14:textId="77777777" w:rsidR="004125E7" w:rsidRPr="0034669C" w:rsidRDefault="004125E7" w:rsidP="0053248E">
            <w:pPr>
              <w:spacing w:after="0" w:line="240" w:lineRule="auto"/>
              <w:rPr>
                <w:rFonts w:ascii="Times New Roman" w:eastAsia="Times New Roman" w:hAnsi="Times New Roman" w:cs="Times New Roman"/>
                <w:lang w:val="lt-LT"/>
              </w:rPr>
            </w:pPr>
            <w:r w:rsidRPr="0034669C">
              <w:rPr>
                <w:rFonts w:ascii="Times New Roman" w:hAnsi="Times New Roman" w:cs="Times New Roman"/>
              </w:rPr>
              <w:t>Kepenų, tulžies pūslės ir latakų sutrikimai</w:t>
            </w:r>
          </w:p>
        </w:tc>
        <w:tc>
          <w:tcPr>
            <w:tcW w:w="3095" w:type="dxa"/>
          </w:tcPr>
          <w:p w14:paraId="0491AD26" w14:textId="77777777" w:rsidR="004125E7" w:rsidRPr="0034669C" w:rsidRDefault="004125E7" w:rsidP="0053248E">
            <w:pPr>
              <w:spacing w:after="0" w:line="240" w:lineRule="auto"/>
              <w:rPr>
                <w:rFonts w:ascii="Times New Roman" w:eastAsia="Times New Roman" w:hAnsi="Times New Roman" w:cs="Times New Roman"/>
                <w:lang w:val="lt-LT"/>
              </w:rPr>
            </w:pPr>
            <w:r w:rsidRPr="0034669C">
              <w:rPr>
                <w:rFonts w:ascii="Times New Roman" w:hAnsi="Times New Roman" w:cs="Times New Roman"/>
              </w:rPr>
              <w:t>Autoimuninis hepatitas*</w:t>
            </w:r>
          </w:p>
        </w:tc>
        <w:tc>
          <w:tcPr>
            <w:tcW w:w="3096" w:type="dxa"/>
          </w:tcPr>
          <w:p w14:paraId="63AC3211" w14:textId="77777777" w:rsidR="004125E7" w:rsidRPr="0034669C" w:rsidRDefault="004125E7" w:rsidP="0053248E">
            <w:pPr>
              <w:spacing w:after="0" w:line="240" w:lineRule="auto"/>
              <w:rPr>
                <w:rFonts w:ascii="Times New Roman" w:eastAsia="Times New Roman" w:hAnsi="Times New Roman" w:cs="Times New Roman"/>
                <w:lang w:val="lt-LT"/>
              </w:rPr>
            </w:pPr>
            <w:r w:rsidRPr="0034669C">
              <w:rPr>
                <w:rFonts w:ascii="Times New Roman" w:hAnsi="Times New Roman" w:cs="Times New Roman"/>
              </w:rPr>
              <w:t>Dažnis nežinomas</w:t>
            </w:r>
          </w:p>
        </w:tc>
      </w:tr>
      <w:tr w:rsidR="004125E7" w:rsidRPr="00C92BDF" w14:paraId="2564C3DC" w14:textId="77777777" w:rsidTr="00E62BE2">
        <w:tc>
          <w:tcPr>
            <w:tcW w:w="3095" w:type="dxa"/>
            <w:vMerge w:val="restart"/>
          </w:tcPr>
          <w:p w14:paraId="6AEF2F3A"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Odos ir poodinio audinio sutrikimai</w:t>
            </w:r>
          </w:p>
        </w:tc>
        <w:tc>
          <w:tcPr>
            <w:tcW w:w="3095" w:type="dxa"/>
          </w:tcPr>
          <w:p w14:paraId="74F3A1F4"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Egzantema</w:t>
            </w:r>
          </w:p>
        </w:tc>
        <w:tc>
          <w:tcPr>
            <w:tcW w:w="3096" w:type="dxa"/>
          </w:tcPr>
          <w:p w14:paraId="4198FE68"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Nedažnos</w:t>
            </w:r>
          </w:p>
        </w:tc>
      </w:tr>
      <w:tr w:rsidR="004125E7" w:rsidRPr="00C92BDF" w14:paraId="035F669F" w14:textId="77777777" w:rsidTr="00E62BE2">
        <w:tc>
          <w:tcPr>
            <w:tcW w:w="3095" w:type="dxa"/>
            <w:vMerge/>
          </w:tcPr>
          <w:p w14:paraId="25BA8DDD" w14:textId="77777777" w:rsidR="004125E7" w:rsidRPr="00C92BDF" w:rsidRDefault="004125E7" w:rsidP="0053248E">
            <w:pPr>
              <w:spacing w:after="0" w:line="240" w:lineRule="auto"/>
              <w:rPr>
                <w:rFonts w:ascii="Times New Roman" w:eastAsia="Times New Roman" w:hAnsi="Times New Roman" w:cs="Times New Roman"/>
                <w:lang w:val="lt-LT"/>
              </w:rPr>
            </w:pPr>
          </w:p>
        </w:tc>
        <w:tc>
          <w:tcPr>
            <w:tcW w:w="3095" w:type="dxa"/>
          </w:tcPr>
          <w:p w14:paraId="00E120F2"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Alerginis dermatitas</w:t>
            </w:r>
          </w:p>
        </w:tc>
        <w:tc>
          <w:tcPr>
            <w:tcW w:w="3096" w:type="dxa"/>
          </w:tcPr>
          <w:p w14:paraId="57B9863B"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Nedažnos</w:t>
            </w:r>
          </w:p>
        </w:tc>
      </w:tr>
      <w:tr w:rsidR="004125E7" w:rsidRPr="00C92BDF" w14:paraId="5E74A208" w14:textId="77777777" w:rsidTr="00E62BE2">
        <w:tc>
          <w:tcPr>
            <w:tcW w:w="3095" w:type="dxa"/>
            <w:vMerge/>
          </w:tcPr>
          <w:p w14:paraId="7DF090E3" w14:textId="77777777" w:rsidR="004125E7" w:rsidRPr="00C92BDF" w:rsidRDefault="004125E7" w:rsidP="0053248E">
            <w:pPr>
              <w:spacing w:after="0" w:line="240" w:lineRule="auto"/>
              <w:rPr>
                <w:rFonts w:ascii="Times New Roman" w:eastAsia="Times New Roman" w:hAnsi="Times New Roman" w:cs="Times New Roman"/>
                <w:lang w:val="lt-LT"/>
              </w:rPr>
            </w:pPr>
          </w:p>
        </w:tc>
        <w:tc>
          <w:tcPr>
            <w:tcW w:w="3095" w:type="dxa"/>
          </w:tcPr>
          <w:p w14:paraId="10F35E56"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Dilgėlinė</w:t>
            </w:r>
          </w:p>
        </w:tc>
        <w:tc>
          <w:tcPr>
            <w:tcW w:w="3096" w:type="dxa"/>
          </w:tcPr>
          <w:p w14:paraId="6376C51C"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Nedažnos</w:t>
            </w:r>
          </w:p>
        </w:tc>
      </w:tr>
      <w:tr w:rsidR="004125E7" w:rsidRPr="00C92BDF" w14:paraId="4EAD10DF" w14:textId="77777777" w:rsidTr="00E62BE2">
        <w:tc>
          <w:tcPr>
            <w:tcW w:w="3095" w:type="dxa"/>
            <w:vMerge/>
          </w:tcPr>
          <w:p w14:paraId="3B78E519" w14:textId="77777777" w:rsidR="004125E7" w:rsidRPr="00C92BDF" w:rsidRDefault="004125E7" w:rsidP="0053248E">
            <w:pPr>
              <w:spacing w:after="0" w:line="240" w:lineRule="auto"/>
              <w:rPr>
                <w:rFonts w:ascii="Times New Roman" w:eastAsia="Times New Roman" w:hAnsi="Times New Roman" w:cs="Times New Roman"/>
                <w:lang w:val="lt-LT"/>
              </w:rPr>
            </w:pPr>
          </w:p>
        </w:tc>
        <w:tc>
          <w:tcPr>
            <w:tcW w:w="3095" w:type="dxa"/>
          </w:tcPr>
          <w:p w14:paraId="27F9C1E8"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Išbėrimas</w:t>
            </w:r>
          </w:p>
        </w:tc>
        <w:tc>
          <w:tcPr>
            <w:tcW w:w="3096" w:type="dxa"/>
          </w:tcPr>
          <w:p w14:paraId="3390A23F"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Nedažnos</w:t>
            </w:r>
          </w:p>
        </w:tc>
      </w:tr>
      <w:tr w:rsidR="004125E7" w:rsidRPr="00C92BDF" w14:paraId="0D372FC5" w14:textId="77777777" w:rsidTr="00E62BE2">
        <w:tc>
          <w:tcPr>
            <w:tcW w:w="3095" w:type="dxa"/>
            <w:vMerge/>
          </w:tcPr>
          <w:p w14:paraId="606D0783" w14:textId="77777777" w:rsidR="004125E7" w:rsidRPr="00C92BDF" w:rsidRDefault="004125E7" w:rsidP="0053248E">
            <w:pPr>
              <w:spacing w:after="0" w:line="240" w:lineRule="auto"/>
              <w:rPr>
                <w:rFonts w:ascii="Times New Roman" w:eastAsia="Times New Roman" w:hAnsi="Times New Roman" w:cs="Times New Roman"/>
                <w:lang w:val="lt-LT"/>
              </w:rPr>
            </w:pPr>
          </w:p>
        </w:tc>
        <w:tc>
          <w:tcPr>
            <w:tcW w:w="3095" w:type="dxa"/>
          </w:tcPr>
          <w:p w14:paraId="51C617E3"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Niežulys</w:t>
            </w:r>
          </w:p>
        </w:tc>
        <w:tc>
          <w:tcPr>
            <w:tcW w:w="3096" w:type="dxa"/>
          </w:tcPr>
          <w:p w14:paraId="378F3D80"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Nedažnos</w:t>
            </w:r>
          </w:p>
        </w:tc>
      </w:tr>
      <w:tr w:rsidR="004125E7" w:rsidRPr="00C92BDF" w14:paraId="126BED0E" w14:textId="77777777" w:rsidTr="00E62BE2">
        <w:tc>
          <w:tcPr>
            <w:tcW w:w="3095" w:type="dxa"/>
            <w:vMerge/>
          </w:tcPr>
          <w:p w14:paraId="19304AFF" w14:textId="77777777" w:rsidR="004125E7" w:rsidRPr="00C92BDF" w:rsidRDefault="004125E7" w:rsidP="0053248E">
            <w:pPr>
              <w:spacing w:after="0" w:line="240" w:lineRule="auto"/>
              <w:rPr>
                <w:rFonts w:ascii="Times New Roman" w:eastAsia="Times New Roman" w:hAnsi="Times New Roman" w:cs="Times New Roman"/>
                <w:lang w:val="lt-LT"/>
              </w:rPr>
            </w:pPr>
          </w:p>
        </w:tc>
        <w:tc>
          <w:tcPr>
            <w:tcW w:w="3095" w:type="dxa"/>
          </w:tcPr>
          <w:p w14:paraId="6CB9D57A"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Angioneurozinė edema</w:t>
            </w:r>
          </w:p>
        </w:tc>
        <w:tc>
          <w:tcPr>
            <w:tcW w:w="3096" w:type="dxa"/>
          </w:tcPr>
          <w:p w14:paraId="303F960B"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Retos</w:t>
            </w:r>
          </w:p>
        </w:tc>
      </w:tr>
      <w:tr w:rsidR="004125E7" w:rsidRPr="00C92BDF" w14:paraId="06A331C2" w14:textId="77777777" w:rsidTr="00E62BE2">
        <w:tc>
          <w:tcPr>
            <w:tcW w:w="3095" w:type="dxa"/>
            <w:vMerge w:val="restart"/>
          </w:tcPr>
          <w:p w14:paraId="5171E962"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noProof/>
                <w:lang w:val="lt-LT"/>
              </w:rPr>
              <w:t>Skeleto, raumenų ir jungiamojo audinio sutrikimai</w:t>
            </w:r>
          </w:p>
        </w:tc>
        <w:tc>
          <w:tcPr>
            <w:tcW w:w="3095" w:type="dxa"/>
          </w:tcPr>
          <w:p w14:paraId="1A133064"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Artritas</w:t>
            </w:r>
          </w:p>
        </w:tc>
        <w:tc>
          <w:tcPr>
            <w:tcW w:w="3096" w:type="dxa"/>
          </w:tcPr>
          <w:p w14:paraId="6D34335C"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Dažnos</w:t>
            </w:r>
          </w:p>
        </w:tc>
      </w:tr>
      <w:tr w:rsidR="004125E7" w:rsidRPr="00C92BDF" w14:paraId="7D8B3592" w14:textId="77777777" w:rsidTr="00E62BE2">
        <w:tc>
          <w:tcPr>
            <w:tcW w:w="3095" w:type="dxa"/>
            <w:vMerge/>
          </w:tcPr>
          <w:p w14:paraId="3DB89128" w14:textId="77777777" w:rsidR="004125E7" w:rsidRPr="00C92BDF" w:rsidRDefault="004125E7" w:rsidP="0053248E">
            <w:pPr>
              <w:spacing w:after="0" w:line="240" w:lineRule="auto"/>
              <w:rPr>
                <w:rFonts w:ascii="Times New Roman" w:eastAsia="Times New Roman" w:hAnsi="Times New Roman" w:cs="Times New Roman"/>
                <w:lang w:val="lt-LT"/>
              </w:rPr>
            </w:pPr>
          </w:p>
        </w:tc>
        <w:tc>
          <w:tcPr>
            <w:tcW w:w="3095" w:type="dxa"/>
          </w:tcPr>
          <w:p w14:paraId="6CA56F6A"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Nugaros skausmas</w:t>
            </w:r>
          </w:p>
        </w:tc>
        <w:tc>
          <w:tcPr>
            <w:tcW w:w="3096" w:type="dxa"/>
          </w:tcPr>
          <w:p w14:paraId="21B02514"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Dažnos</w:t>
            </w:r>
          </w:p>
        </w:tc>
      </w:tr>
      <w:tr w:rsidR="004125E7" w:rsidRPr="00C92BDF" w14:paraId="6A9628A2" w14:textId="77777777" w:rsidTr="00E62BE2">
        <w:tc>
          <w:tcPr>
            <w:tcW w:w="3095" w:type="dxa"/>
            <w:vMerge/>
          </w:tcPr>
          <w:p w14:paraId="609322EA" w14:textId="77777777" w:rsidR="004125E7" w:rsidRPr="00C92BDF" w:rsidRDefault="004125E7" w:rsidP="0053248E">
            <w:pPr>
              <w:spacing w:after="0" w:line="240" w:lineRule="auto"/>
              <w:rPr>
                <w:rFonts w:ascii="Times New Roman" w:eastAsia="Times New Roman" w:hAnsi="Times New Roman" w:cs="Times New Roman"/>
                <w:lang w:val="lt-LT"/>
              </w:rPr>
            </w:pPr>
          </w:p>
        </w:tc>
        <w:tc>
          <w:tcPr>
            <w:tcW w:w="3095" w:type="dxa"/>
          </w:tcPr>
          <w:p w14:paraId="07AF5509"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Kaulų skausmas</w:t>
            </w:r>
          </w:p>
        </w:tc>
        <w:tc>
          <w:tcPr>
            <w:tcW w:w="3096" w:type="dxa"/>
          </w:tcPr>
          <w:p w14:paraId="6C5DEE91"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Dažnos</w:t>
            </w:r>
          </w:p>
        </w:tc>
      </w:tr>
      <w:tr w:rsidR="004125E7" w:rsidRPr="00C92BDF" w14:paraId="616C8300" w14:textId="77777777" w:rsidTr="00E62BE2">
        <w:tc>
          <w:tcPr>
            <w:tcW w:w="3095" w:type="dxa"/>
            <w:vMerge/>
          </w:tcPr>
          <w:p w14:paraId="1DA1C7B7" w14:textId="77777777" w:rsidR="004125E7" w:rsidRPr="00C92BDF" w:rsidRDefault="004125E7" w:rsidP="0053248E">
            <w:pPr>
              <w:spacing w:after="0" w:line="240" w:lineRule="auto"/>
              <w:rPr>
                <w:rFonts w:ascii="Times New Roman" w:eastAsia="Times New Roman" w:hAnsi="Times New Roman" w:cs="Times New Roman"/>
                <w:lang w:val="lt-LT"/>
              </w:rPr>
            </w:pPr>
          </w:p>
        </w:tc>
        <w:tc>
          <w:tcPr>
            <w:tcW w:w="3095" w:type="dxa"/>
          </w:tcPr>
          <w:p w14:paraId="62776A6E"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Raumenų skausmas</w:t>
            </w:r>
          </w:p>
        </w:tc>
        <w:tc>
          <w:tcPr>
            <w:tcW w:w="3096" w:type="dxa"/>
          </w:tcPr>
          <w:p w14:paraId="1A3AEB95"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Nedažnos</w:t>
            </w:r>
          </w:p>
        </w:tc>
      </w:tr>
      <w:tr w:rsidR="004125E7" w:rsidRPr="00C92BDF" w14:paraId="401B4917" w14:textId="77777777" w:rsidTr="00E62BE2">
        <w:tc>
          <w:tcPr>
            <w:tcW w:w="3095" w:type="dxa"/>
            <w:vMerge/>
          </w:tcPr>
          <w:p w14:paraId="1AEA88F8" w14:textId="77777777" w:rsidR="004125E7" w:rsidRPr="00C92BDF" w:rsidRDefault="004125E7" w:rsidP="0053248E">
            <w:pPr>
              <w:spacing w:after="0" w:line="240" w:lineRule="auto"/>
              <w:rPr>
                <w:rFonts w:ascii="Times New Roman" w:eastAsia="Times New Roman" w:hAnsi="Times New Roman" w:cs="Times New Roman"/>
                <w:lang w:val="lt-LT"/>
              </w:rPr>
            </w:pPr>
          </w:p>
        </w:tc>
        <w:tc>
          <w:tcPr>
            <w:tcW w:w="3095" w:type="dxa"/>
          </w:tcPr>
          <w:p w14:paraId="32955023"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Raumenų spazmas</w:t>
            </w:r>
          </w:p>
        </w:tc>
        <w:tc>
          <w:tcPr>
            <w:tcW w:w="3096" w:type="dxa"/>
          </w:tcPr>
          <w:p w14:paraId="2530117A"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Retos</w:t>
            </w:r>
          </w:p>
        </w:tc>
      </w:tr>
      <w:tr w:rsidR="004125E7" w:rsidRPr="00C92BDF" w14:paraId="2C354949" w14:textId="77777777" w:rsidTr="00E62BE2">
        <w:tc>
          <w:tcPr>
            <w:tcW w:w="3095" w:type="dxa"/>
            <w:vMerge w:val="restart"/>
          </w:tcPr>
          <w:p w14:paraId="71CFD40A"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Inkstų ir šlapimo takų sutrikimai</w:t>
            </w:r>
          </w:p>
        </w:tc>
        <w:tc>
          <w:tcPr>
            <w:tcW w:w="3095" w:type="dxa"/>
          </w:tcPr>
          <w:p w14:paraId="4D0677EC"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 xml:space="preserve">Hematurija </w:t>
            </w:r>
          </w:p>
        </w:tc>
        <w:tc>
          <w:tcPr>
            <w:tcW w:w="3096" w:type="dxa"/>
          </w:tcPr>
          <w:p w14:paraId="0C336EFB"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Dažnos</w:t>
            </w:r>
          </w:p>
        </w:tc>
      </w:tr>
      <w:tr w:rsidR="004125E7" w:rsidRPr="00C92BDF" w14:paraId="10DE6FAA" w14:textId="77777777" w:rsidTr="00E62BE2">
        <w:tc>
          <w:tcPr>
            <w:tcW w:w="3095" w:type="dxa"/>
            <w:vMerge/>
          </w:tcPr>
          <w:p w14:paraId="13492E8B" w14:textId="77777777" w:rsidR="004125E7" w:rsidRPr="00C92BDF" w:rsidRDefault="004125E7" w:rsidP="0053248E">
            <w:pPr>
              <w:spacing w:after="0" w:line="240" w:lineRule="auto"/>
              <w:rPr>
                <w:rFonts w:ascii="Times New Roman" w:eastAsia="Times New Roman" w:hAnsi="Times New Roman" w:cs="Times New Roman"/>
                <w:lang w:val="lt-LT"/>
              </w:rPr>
            </w:pPr>
          </w:p>
        </w:tc>
        <w:tc>
          <w:tcPr>
            <w:tcW w:w="3095" w:type="dxa"/>
          </w:tcPr>
          <w:p w14:paraId="798B46BC"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Šlapimo takų infekcija</w:t>
            </w:r>
          </w:p>
        </w:tc>
        <w:tc>
          <w:tcPr>
            <w:tcW w:w="3096" w:type="dxa"/>
          </w:tcPr>
          <w:p w14:paraId="6F259BFF"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Dažnos</w:t>
            </w:r>
          </w:p>
        </w:tc>
      </w:tr>
      <w:tr w:rsidR="004125E7" w:rsidRPr="00C92BDF" w14:paraId="158C5F35" w14:textId="77777777" w:rsidTr="00E62BE2">
        <w:tc>
          <w:tcPr>
            <w:tcW w:w="3095" w:type="dxa"/>
            <w:vMerge/>
          </w:tcPr>
          <w:p w14:paraId="406E8122" w14:textId="77777777" w:rsidR="004125E7" w:rsidRPr="00C92BDF" w:rsidRDefault="004125E7" w:rsidP="0053248E">
            <w:pPr>
              <w:spacing w:after="0" w:line="240" w:lineRule="auto"/>
              <w:rPr>
                <w:rFonts w:ascii="Times New Roman" w:eastAsia="Times New Roman" w:hAnsi="Times New Roman" w:cs="Times New Roman"/>
                <w:lang w:val="lt-LT"/>
              </w:rPr>
            </w:pPr>
          </w:p>
        </w:tc>
        <w:tc>
          <w:tcPr>
            <w:tcW w:w="3095" w:type="dxa"/>
          </w:tcPr>
          <w:p w14:paraId="6A5CCDEA"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Ūminis inkstų nepakankamumas</w:t>
            </w:r>
          </w:p>
        </w:tc>
        <w:tc>
          <w:tcPr>
            <w:tcW w:w="3096" w:type="dxa"/>
          </w:tcPr>
          <w:p w14:paraId="05547EAD"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Retos</w:t>
            </w:r>
          </w:p>
        </w:tc>
      </w:tr>
      <w:tr w:rsidR="004125E7" w:rsidRPr="00C92BDF" w14:paraId="7B4F517A" w14:textId="77777777" w:rsidTr="00E62BE2">
        <w:tc>
          <w:tcPr>
            <w:tcW w:w="3095" w:type="dxa"/>
            <w:vMerge/>
          </w:tcPr>
          <w:p w14:paraId="452D3C1C" w14:textId="77777777" w:rsidR="004125E7" w:rsidRPr="00C92BDF" w:rsidRDefault="004125E7" w:rsidP="0053248E">
            <w:pPr>
              <w:spacing w:after="0" w:line="240" w:lineRule="auto"/>
              <w:rPr>
                <w:rFonts w:ascii="Times New Roman" w:eastAsia="Times New Roman" w:hAnsi="Times New Roman" w:cs="Times New Roman"/>
                <w:lang w:val="lt-LT"/>
              </w:rPr>
            </w:pPr>
          </w:p>
        </w:tc>
        <w:tc>
          <w:tcPr>
            <w:tcW w:w="3095" w:type="dxa"/>
          </w:tcPr>
          <w:p w14:paraId="7367DF6D"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Inkstų nepakankamumas</w:t>
            </w:r>
          </w:p>
        </w:tc>
        <w:tc>
          <w:tcPr>
            <w:tcW w:w="3096" w:type="dxa"/>
          </w:tcPr>
          <w:p w14:paraId="72F34FF5"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Retos</w:t>
            </w:r>
          </w:p>
        </w:tc>
      </w:tr>
      <w:tr w:rsidR="004125E7" w:rsidRPr="00C92BDF" w14:paraId="7F42714A" w14:textId="77777777" w:rsidTr="00E62BE2">
        <w:tc>
          <w:tcPr>
            <w:tcW w:w="3095" w:type="dxa"/>
            <w:vMerge w:val="restart"/>
          </w:tcPr>
          <w:p w14:paraId="2CF5AFAE"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Bendrieji sutrikimai ir vartojimo vietos pažeidimai</w:t>
            </w:r>
          </w:p>
        </w:tc>
        <w:tc>
          <w:tcPr>
            <w:tcW w:w="3095" w:type="dxa"/>
          </w:tcPr>
          <w:p w14:paraId="68617183"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Skausmas</w:t>
            </w:r>
          </w:p>
        </w:tc>
        <w:tc>
          <w:tcPr>
            <w:tcW w:w="3096" w:type="dxa"/>
          </w:tcPr>
          <w:p w14:paraId="7D4C9D7B"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Dažnos</w:t>
            </w:r>
          </w:p>
        </w:tc>
      </w:tr>
      <w:tr w:rsidR="004125E7" w:rsidRPr="00C92BDF" w14:paraId="23FD35A5" w14:textId="77777777" w:rsidTr="00E62BE2">
        <w:tc>
          <w:tcPr>
            <w:tcW w:w="3095" w:type="dxa"/>
            <w:vMerge/>
          </w:tcPr>
          <w:p w14:paraId="33011C98" w14:textId="77777777" w:rsidR="004125E7" w:rsidRPr="00C92BDF" w:rsidRDefault="004125E7" w:rsidP="0053248E">
            <w:pPr>
              <w:spacing w:after="0" w:line="240" w:lineRule="auto"/>
              <w:rPr>
                <w:rFonts w:ascii="Times New Roman" w:eastAsia="Times New Roman" w:hAnsi="Times New Roman" w:cs="Times New Roman"/>
                <w:lang w:val="lt-LT"/>
              </w:rPr>
            </w:pPr>
          </w:p>
        </w:tc>
        <w:tc>
          <w:tcPr>
            <w:tcW w:w="3095" w:type="dxa"/>
          </w:tcPr>
          <w:p w14:paraId="4CB2BEAC"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Krūtinės skausmas</w:t>
            </w:r>
          </w:p>
        </w:tc>
        <w:tc>
          <w:tcPr>
            <w:tcW w:w="3096" w:type="dxa"/>
          </w:tcPr>
          <w:p w14:paraId="0049A2F5"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Dažnos</w:t>
            </w:r>
          </w:p>
        </w:tc>
      </w:tr>
      <w:tr w:rsidR="004125E7" w:rsidRPr="00C92BDF" w14:paraId="51EF8C10" w14:textId="77777777" w:rsidTr="00E62BE2">
        <w:tc>
          <w:tcPr>
            <w:tcW w:w="3095" w:type="dxa"/>
            <w:vMerge/>
          </w:tcPr>
          <w:p w14:paraId="43FFCDF7" w14:textId="77777777" w:rsidR="004125E7" w:rsidRPr="00C92BDF" w:rsidRDefault="004125E7" w:rsidP="0053248E">
            <w:pPr>
              <w:spacing w:after="0" w:line="240" w:lineRule="auto"/>
              <w:rPr>
                <w:rFonts w:ascii="Times New Roman" w:eastAsia="Times New Roman" w:hAnsi="Times New Roman" w:cs="Times New Roman"/>
                <w:lang w:val="lt-LT"/>
              </w:rPr>
            </w:pPr>
          </w:p>
        </w:tc>
        <w:tc>
          <w:tcPr>
            <w:tcW w:w="3095" w:type="dxa"/>
          </w:tcPr>
          <w:p w14:paraId="478D487C"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Periferinė edema</w:t>
            </w:r>
          </w:p>
        </w:tc>
        <w:tc>
          <w:tcPr>
            <w:tcW w:w="3096" w:type="dxa"/>
          </w:tcPr>
          <w:p w14:paraId="12228907"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Dažnos</w:t>
            </w:r>
          </w:p>
        </w:tc>
      </w:tr>
      <w:tr w:rsidR="004125E7" w:rsidRPr="00C92BDF" w14:paraId="6D96DF55" w14:textId="77777777" w:rsidTr="00E62BE2">
        <w:tc>
          <w:tcPr>
            <w:tcW w:w="3095" w:type="dxa"/>
            <w:vMerge/>
          </w:tcPr>
          <w:p w14:paraId="6DDD1654" w14:textId="77777777" w:rsidR="004125E7" w:rsidRPr="00C92BDF" w:rsidRDefault="004125E7" w:rsidP="0053248E">
            <w:pPr>
              <w:spacing w:after="0" w:line="240" w:lineRule="auto"/>
              <w:rPr>
                <w:rFonts w:ascii="Times New Roman" w:eastAsia="Times New Roman" w:hAnsi="Times New Roman" w:cs="Times New Roman"/>
                <w:lang w:val="lt-LT"/>
              </w:rPr>
            </w:pPr>
          </w:p>
        </w:tc>
        <w:tc>
          <w:tcPr>
            <w:tcW w:w="3095" w:type="dxa"/>
          </w:tcPr>
          <w:p w14:paraId="55AE9085"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Į gripą panašūs simptomai</w:t>
            </w:r>
          </w:p>
        </w:tc>
        <w:tc>
          <w:tcPr>
            <w:tcW w:w="3096" w:type="dxa"/>
          </w:tcPr>
          <w:p w14:paraId="24EB2FD6"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Dažnos</w:t>
            </w:r>
          </w:p>
        </w:tc>
      </w:tr>
      <w:tr w:rsidR="004125E7" w:rsidRPr="00C92BDF" w14:paraId="106FB25D" w14:textId="77777777" w:rsidTr="00E62BE2">
        <w:tc>
          <w:tcPr>
            <w:tcW w:w="3095" w:type="dxa"/>
            <w:vMerge/>
          </w:tcPr>
          <w:p w14:paraId="5002C1BB" w14:textId="77777777" w:rsidR="004125E7" w:rsidRPr="00C92BDF" w:rsidRDefault="004125E7" w:rsidP="0053248E">
            <w:pPr>
              <w:spacing w:after="0" w:line="240" w:lineRule="auto"/>
              <w:rPr>
                <w:rFonts w:ascii="Times New Roman" w:eastAsia="Times New Roman" w:hAnsi="Times New Roman" w:cs="Times New Roman"/>
                <w:lang w:val="lt-LT"/>
              </w:rPr>
            </w:pPr>
          </w:p>
        </w:tc>
        <w:tc>
          <w:tcPr>
            <w:tcW w:w="3095" w:type="dxa"/>
          </w:tcPr>
          <w:p w14:paraId="14CEF489"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Nuovargis</w:t>
            </w:r>
          </w:p>
        </w:tc>
        <w:tc>
          <w:tcPr>
            <w:tcW w:w="3096" w:type="dxa"/>
          </w:tcPr>
          <w:p w14:paraId="6287D7D3"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Dažnos</w:t>
            </w:r>
          </w:p>
        </w:tc>
      </w:tr>
      <w:tr w:rsidR="004125E7" w:rsidRPr="00C92BDF" w14:paraId="195E0698" w14:textId="77777777" w:rsidTr="00E62BE2">
        <w:tc>
          <w:tcPr>
            <w:tcW w:w="3095" w:type="dxa"/>
            <w:vMerge/>
          </w:tcPr>
          <w:p w14:paraId="281A652A" w14:textId="77777777" w:rsidR="004125E7" w:rsidRPr="00C92BDF" w:rsidRDefault="004125E7" w:rsidP="0053248E">
            <w:pPr>
              <w:spacing w:after="0" w:line="240" w:lineRule="auto"/>
              <w:rPr>
                <w:rFonts w:ascii="Times New Roman" w:eastAsia="Times New Roman" w:hAnsi="Times New Roman" w:cs="Times New Roman"/>
                <w:lang w:val="lt-LT"/>
              </w:rPr>
            </w:pPr>
          </w:p>
        </w:tc>
        <w:tc>
          <w:tcPr>
            <w:tcW w:w="3095" w:type="dxa"/>
          </w:tcPr>
          <w:p w14:paraId="17A7CBC2"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Veido patinimas</w:t>
            </w:r>
          </w:p>
        </w:tc>
        <w:tc>
          <w:tcPr>
            <w:tcW w:w="3096" w:type="dxa"/>
          </w:tcPr>
          <w:p w14:paraId="1B40A09A"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Nedažnos</w:t>
            </w:r>
          </w:p>
        </w:tc>
      </w:tr>
      <w:tr w:rsidR="004125E7" w:rsidRPr="00C92BDF" w14:paraId="26F8AB60" w14:textId="77777777" w:rsidTr="00E62BE2">
        <w:tc>
          <w:tcPr>
            <w:tcW w:w="3095" w:type="dxa"/>
            <w:vMerge/>
          </w:tcPr>
          <w:p w14:paraId="472FB61B" w14:textId="77777777" w:rsidR="004125E7" w:rsidRPr="00C92BDF" w:rsidRDefault="004125E7" w:rsidP="0053248E">
            <w:pPr>
              <w:spacing w:after="0" w:line="240" w:lineRule="auto"/>
              <w:rPr>
                <w:rFonts w:ascii="Times New Roman" w:eastAsia="Times New Roman" w:hAnsi="Times New Roman" w:cs="Times New Roman"/>
                <w:lang w:val="lt-LT"/>
              </w:rPr>
            </w:pPr>
          </w:p>
        </w:tc>
        <w:tc>
          <w:tcPr>
            <w:tcW w:w="3095" w:type="dxa"/>
          </w:tcPr>
          <w:p w14:paraId="0C6A0F31"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Astenija</w:t>
            </w:r>
          </w:p>
        </w:tc>
        <w:tc>
          <w:tcPr>
            <w:tcW w:w="3096" w:type="dxa"/>
          </w:tcPr>
          <w:p w14:paraId="5BD5750F"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Nedažnos</w:t>
            </w:r>
          </w:p>
        </w:tc>
      </w:tr>
      <w:tr w:rsidR="004125E7" w:rsidRPr="00C92BDF" w14:paraId="3CDDDB3E" w14:textId="77777777" w:rsidTr="00E62BE2">
        <w:tc>
          <w:tcPr>
            <w:tcW w:w="3095" w:type="dxa"/>
            <w:vMerge/>
          </w:tcPr>
          <w:p w14:paraId="2CD33D12" w14:textId="77777777" w:rsidR="004125E7" w:rsidRPr="00C92BDF" w:rsidRDefault="004125E7" w:rsidP="0053248E">
            <w:pPr>
              <w:spacing w:after="0" w:line="240" w:lineRule="auto"/>
              <w:rPr>
                <w:rFonts w:ascii="Times New Roman" w:eastAsia="Times New Roman" w:hAnsi="Times New Roman" w:cs="Times New Roman"/>
                <w:lang w:val="lt-LT"/>
              </w:rPr>
            </w:pPr>
          </w:p>
        </w:tc>
        <w:tc>
          <w:tcPr>
            <w:tcW w:w="3095" w:type="dxa"/>
          </w:tcPr>
          <w:p w14:paraId="3EDAA20C"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Bendras negalavimas</w:t>
            </w:r>
          </w:p>
        </w:tc>
        <w:tc>
          <w:tcPr>
            <w:tcW w:w="3096" w:type="dxa"/>
          </w:tcPr>
          <w:p w14:paraId="64877D46"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Nedažnos</w:t>
            </w:r>
          </w:p>
        </w:tc>
      </w:tr>
      <w:tr w:rsidR="004125E7" w:rsidRPr="00C92BDF" w14:paraId="7F08E6DD" w14:textId="77777777" w:rsidTr="00E62BE2">
        <w:tc>
          <w:tcPr>
            <w:tcW w:w="3095" w:type="dxa"/>
            <w:vMerge/>
          </w:tcPr>
          <w:p w14:paraId="2630BA2F" w14:textId="77777777" w:rsidR="004125E7" w:rsidRPr="00C92BDF" w:rsidRDefault="004125E7" w:rsidP="0053248E">
            <w:pPr>
              <w:spacing w:after="0" w:line="240" w:lineRule="auto"/>
              <w:rPr>
                <w:rFonts w:ascii="Times New Roman" w:eastAsia="Times New Roman" w:hAnsi="Times New Roman" w:cs="Times New Roman"/>
                <w:lang w:val="lt-LT"/>
              </w:rPr>
            </w:pPr>
          </w:p>
        </w:tc>
        <w:tc>
          <w:tcPr>
            <w:tcW w:w="3095" w:type="dxa"/>
          </w:tcPr>
          <w:p w14:paraId="36635CB0"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Letargija</w:t>
            </w:r>
          </w:p>
        </w:tc>
        <w:tc>
          <w:tcPr>
            <w:tcW w:w="3096" w:type="dxa"/>
          </w:tcPr>
          <w:p w14:paraId="1CE7ADF2"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Retos</w:t>
            </w:r>
          </w:p>
        </w:tc>
      </w:tr>
      <w:tr w:rsidR="004125E7" w:rsidRPr="00C92BDF" w14:paraId="21E7E2D2" w14:textId="77777777" w:rsidTr="00E62BE2">
        <w:tc>
          <w:tcPr>
            <w:tcW w:w="3095" w:type="dxa"/>
            <w:vMerge w:val="restart"/>
          </w:tcPr>
          <w:p w14:paraId="138DB735"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Tyrimai</w:t>
            </w:r>
          </w:p>
        </w:tc>
        <w:tc>
          <w:tcPr>
            <w:tcW w:w="3095" w:type="dxa"/>
          </w:tcPr>
          <w:p w14:paraId="3EBA16BD"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Padidėjęs kepenų fermentų aktyvumas kraujyje</w:t>
            </w:r>
          </w:p>
        </w:tc>
        <w:tc>
          <w:tcPr>
            <w:tcW w:w="3096" w:type="dxa"/>
          </w:tcPr>
          <w:p w14:paraId="04072A21"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Dažnos</w:t>
            </w:r>
          </w:p>
        </w:tc>
      </w:tr>
      <w:tr w:rsidR="004125E7" w:rsidRPr="00C92BDF" w14:paraId="5434FF1F" w14:textId="77777777" w:rsidTr="00E62BE2">
        <w:tc>
          <w:tcPr>
            <w:tcW w:w="3095" w:type="dxa"/>
            <w:vMerge/>
          </w:tcPr>
          <w:p w14:paraId="57F559EB" w14:textId="77777777" w:rsidR="004125E7" w:rsidRPr="00C92BDF" w:rsidRDefault="004125E7" w:rsidP="0053248E">
            <w:pPr>
              <w:spacing w:after="0" w:line="240" w:lineRule="auto"/>
              <w:rPr>
                <w:rFonts w:ascii="Times New Roman" w:eastAsia="Times New Roman" w:hAnsi="Times New Roman" w:cs="Times New Roman"/>
                <w:lang w:val="lt-LT"/>
              </w:rPr>
            </w:pPr>
          </w:p>
        </w:tc>
        <w:tc>
          <w:tcPr>
            <w:tcW w:w="3095" w:type="dxa"/>
          </w:tcPr>
          <w:p w14:paraId="7A877F15"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Padidėjęs urėjos kiekis kraujyje</w:t>
            </w:r>
          </w:p>
        </w:tc>
        <w:tc>
          <w:tcPr>
            <w:tcW w:w="3096" w:type="dxa"/>
          </w:tcPr>
          <w:p w14:paraId="3B234C5A"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Dažnos</w:t>
            </w:r>
          </w:p>
        </w:tc>
      </w:tr>
      <w:tr w:rsidR="004125E7" w:rsidRPr="00C92BDF" w14:paraId="7450C589" w14:textId="77777777" w:rsidTr="00E62BE2">
        <w:tc>
          <w:tcPr>
            <w:tcW w:w="3095" w:type="dxa"/>
            <w:vMerge/>
          </w:tcPr>
          <w:p w14:paraId="102C2DB8" w14:textId="77777777" w:rsidR="004125E7" w:rsidRPr="00C92BDF" w:rsidRDefault="004125E7" w:rsidP="0053248E">
            <w:pPr>
              <w:spacing w:after="0" w:line="240" w:lineRule="auto"/>
              <w:rPr>
                <w:rFonts w:ascii="Times New Roman" w:eastAsia="Times New Roman" w:hAnsi="Times New Roman" w:cs="Times New Roman"/>
                <w:lang w:val="lt-LT"/>
              </w:rPr>
            </w:pPr>
          </w:p>
        </w:tc>
        <w:tc>
          <w:tcPr>
            <w:tcW w:w="3095" w:type="dxa"/>
          </w:tcPr>
          <w:p w14:paraId="09E29D13"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 xml:space="preserve">Padidėjęs kreatinino fosfokinazės aktyvumas kraujyje </w:t>
            </w:r>
          </w:p>
        </w:tc>
        <w:tc>
          <w:tcPr>
            <w:tcW w:w="3096" w:type="dxa"/>
          </w:tcPr>
          <w:p w14:paraId="55B0A257"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Dažnos</w:t>
            </w:r>
          </w:p>
        </w:tc>
      </w:tr>
      <w:tr w:rsidR="004125E7" w:rsidRPr="00C92BDF" w14:paraId="521F8666" w14:textId="77777777" w:rsidTr="00E62BE2">
        <w:tc>
          <w:tcPr>
            <w:tcW w:w="3095" w:type="dxa"/>
            <w:vMerge/>
          </w:tcPr>
          <w:p w14:paraId="59B7021E" w14:textId="77777777" w:rsidR="004125E7" w:rsidRPr="00C92BDF" w:rsidRDefault="004125E7" w:rsidP="0053248E">
            <w:pPr>
              <w:spacing w:after="0" w:line="240" w:lineRule="auto"/>
              <w:rPr>
                <w:rFonts w:ascii="Times New Roman" w:eastAsia="Times New Roman" w:hAnsi="Times New Roman" w:cs="Times New Roman"/>
                <w:lang w:val="lt-LT"/>
              </w:rPr>
            </w:pPr>
          </w:p>
        </w:tc>
        <w:tc>
          <w:tcPr>
            <w:tcW w:w="3095" w:type="dxa"/>
          </w:tcPr>
          <w:p w14:paraId="5CD921B9"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 xml:space="preserve">Padidėjęs kreatinino kiekis kraujyje </w:t>
            </w:r>
          </w:p>
        </w:tc>
        <w:tc>
          <w:tcPr>
            <w:tcW w:w="3096" w:type="dxa"/>
          </w:tcPr>
          <w:p w14:paraId="10EF9478" w14:textId="77777777" w:rsidR="004125E7" w:rsidRPr="00C92BDF" w:rsidRDefault="004125E7" w:rsidP="0053248E">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Retos</w:t>
            </w:r>
          </w:p>
        </w:tc>
      </w:tr>
    </w:tbl>
    <w:p w14:paraId="1E73E9D9" w14:textId="77777777" w:rsidR="004125E7" w:rsidRPr="0034669C" w:rsidRDefault="004125E7" w:rsidP="004125E7">
      <w:pPr>
        <w:spacing w:after="0" w:line="240" w:lineRule="auto"/>
        <w:rPr>
          <w:rFonts w:ascii="Times New Roman" w:eastAsia="Times New Roman" w:hAnsi="Times New Roman" w:cs="Times New Roman"/>
          <w:lang w:val="lt-LT"/>
        </w:rPr>
      </w:pPr>
    </w:p>
    <w:p w14:paraId="5FDEE7CC" w14:textId="77777777" w:rsidR="004125E7" w:rsidRPr="0034669C"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E62BE2">
        <w:rPr>
          <w:rFonts w:ascii="Times New Roman" w:hAnsi="Times New Roman"/>
          <w:lang w:val="lt-LT"/>
        </w:rPr>
        <w:t>*Po vaistinio preparato pateikimo rinkai gauta pranešimų apie autoimuninio hepatito, kurio latentinis laikotarpis trunka nuo kelių mėnesių iki kelių metų, ir kuris praeina nutraukus olmesartano vartojimą, atvejus.</w:t>
      </w:r>
    </w:p>
    <w:p w14:paraId="056F5F45" w14:textId="77777777" w:rsidR="004125E7" w:rsidRPr="0034669C"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1CA68B99"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Gauta pranešimų apie pavienius rabdomiolizės atvejus, kai kartu laikinai buvo vartojami angiotenzino II receptorių inhibitoriai.</w:t>
      </w:r>
    </w:p>
    <w:p w14:paraId="3C462288"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69A78CDA" w14:textId="77777777" w:rsidR="004125E7" w:rsidRPr="00C92BDF" w:rsidRDefault="004125E7" w:rsidP="004125E7">
      <w:pPr>
        <w:spacing w:after="0" w:line="240" w:lineRule="auto"/>
        <w:rPr>
          <w:rFonts w:ascii="Times New Roman" w:eastAsia="Times New Roman" w:hAnsi="Times New Roman" w:cs="Times New Roman"/>
          <w:i/>
          <w:iCs/>
          <w:u w:val="single"/>
          <w:lang w:val="lt-LT"/>
        </w:rPr>
      </w:pPr>
      <w:r w:rsidRPr="00C92BDF">
        <w:rPr>
          <w:rFonts w:ascii="Times New Roman" w:eastAsia="Times New Roman" w:hAnsi="Times New Roman" w:cs="Times New Roman"/>
          <w:i/>
          <w:iCs/>
          <w:u w:val="single"/>
          <w:lang w:val="lt-LT"/>
        </w:rPr>
        <w:t>Papildoma informacija ypatingų grupių pacientams</w:t>
      </w:r>
    </w:p>
    <w:p w14:paraId="5BD3720B" w14:textId="77777777" w:rsidR="004125E7" w:rsidRPr="00C92BDF" w:rsidRDefault="004125E7" w:rsidP="004125E7">
      <w:pPr>
        <w:spacing w:after="0" w:line="240" w:lineRule="auto"/>
        <w:rPr>
          <w:rFonts w:ascii="Times New Roman" w:eastAsia="Times New Roman" w:hAnsi="Times New Roman" w:cs="Times New Roman"/>
          <w:i/>
          <w:iCs/>
          <w:lang w:val="lt-LT"/>
        </w:rPr>
      </w:pPr>
    </w:p>
    <w:p w14:paraId="59CAEA95" w14:textId="77777777" w:rsidR="004125E7" w:rsidRPr="00C92BDF" w:rsidRDefault="004125E7" w:rsidP="004125E7">
      <w:pPr>
        <w:spacing w:after="0" w:line="240" w:lineRule="auto"/>
        <w:rPr>
          <w:rFonts w:ascii="Times New Roman" w:eastAsia="Times New Roman" w:hAnsi="Times New Roman" w:cs="Times New Roman"/>
          <w:i/>
          <w:iCs/>
          <w:lang w:val="lt-LT"/>
        </w:rPr>
      </w:pPr>
      <w:r w:rsidRPr="00C92BDF">
        <w:rPr>
          <w:rFonts w:ascii="Times New Roman" w:eastAsia="Times New Roman" w:hAnsi="Times New Roman" w:cs="Times New Roman"/>
          <w:i/>
          <w:iCs/>
          <w:lang w:val="lt-LT"/>
        </w:rPr>
        <w:t xml:space="preserve">Vaikų populiacija </w:t>
      </w:r>
    </w:p>
    <w:p w14:paraId="5896471F" w14:textId="77777777" w:rsidR="004125E7" w:rsidRPr="00C92BDF" w:rsidRDefault="004125E7" w:rsidP="004125E7">
      <w:pPr>
        <w:spacing w:after="120" w:line="240" w:lineRule="auto"/>
        <w:rPr>
          <w:rFonts w:ascii="Times New Roman" w:eastAsia="Times New Roman" w:hAnsi="Times New Roman" w:cs="Times New Roman"/>
          <w:iCs/>
          <w:lang w:val="lt-LT"/>
        </w:rPr>
      </w:pPr>
      <w:r w:rsidRPr="00C92BDF">
        <w:rPr>
          <w:rFonts w:ascii="Times New Roman" w:eastAsia="Times New Roman" w:hAnsi="Times New Roman" w:cs="Times New Roman"/>
          <w:iCs/>
          <w:lang w:val="lt-LT"/>
        </w:rPr>
        <w:t>Olmesartano medoksomilio saugumas buvo stebėtas 2 klinikiniuose tyrimuose, kuriuose 361 dalyvavo vaikas ir paauglys nuo 1 iki 17 metų, Nors šalutinių reiškinių pobūdis ir intensyvumas buvo panašus, bet kai kurių iš jų dažnumas vaikams buvo didesnis:</w:t>
      </w:r>
    </w:p>
    <w:p w14:paraId="183346CF" w14:textId="77777777" w:rsidR="004125E7" w:rsidRPr="00C92BDF" w:rsidRDefault="004125E7" w:rsidP="004125E7">
      <w:pPr>
        <w:spacing w:after="120" w:line="240" w:lineRule="auto"/>
        <w:rPr>
          <w:rFonts w:ascii="Times New Roman" w:eastAsia="Times New Roman" w:hAnsi="Times New Roman" w:cs="Times New Roman"/>
          <w:iCs/>
          <w:lang w:val="lt-LT"/>
        </w:rPr>
      </w:pPr>
      <w:r w:rsidRPr="00C92BDF">
        <w:rPr>
          <w:rFonts w:ascii="Times New Roman" w:eastAsia="Times New Roman" w:hAnsi="Times New Roman" w:cs="Times New Roman"/>
          <w:iCs/>
          <w:lang w:val="lt-LT"/>
        </w:rPr>
        <w:t>-</w:t>
      </w:r>
      <w:r w:rsidRPr="00C92BDF">
        <w:rPr>
          <w:rFonts w:ascii="Times New Roman" w:eastAsia="Times New Roman" w:hAnsi="Times New Roman" w:cs="Times New Roman"/>
          <w:iCs/>
          <w:lang w:val="lt-LT"/>
        </w:rPr>
        <w:tab/>
        <w:t>kraujavimas iš nosies, kuris suaugusiesiems nepasitaikė, buvo gana įprastas šalutinis reiškinys (t.y. dažnumas ≥ 1/100 to &lt; 1/10).</w:t>
      </w:r>
    </w:p>
    <w:p w14:paraId="02301ED0" w14:textId="77777777" w:rsidR="004125E7" w:rsidRPr="00C92BDF" w:rsidRDefault="004125E7" w:rsidP="004125E7">
      <w:pPr>
        <w:spacing w:after="120" w:line="240" w:lineRule="auto"/>
        <w:rPr>
          <w:rFonts w:ascii="Times New Roman" w:eastAsia="Times New Roman" w:hAnsi="Times New Roman" w:cs="Times New Roman"/>
          <w:iCs/>
          <w:lang w:val="lt-LT"/>
        </w:rPr>
      </w:pPr>
      <w:r w:rsidRPr="00C92BDF">
        <w:rPr>
          <w:rFonts w:ascii="Times New Roman" w:eastAsia="Times New Roman" w:hAnsi="Times New Roman" w:cs="Times New Roman"/>
          <w:iCs/>
          <w:lang w:val="lt-LT"/>
        </w:rPr>
        <w:t>-</w:t>
      </w:r>
      <w:r w:rsidRPr="00C92BDF">
        <w:rPr>
          <w:rFonts w:ascii="Times New Roman" w:eastAsia="Times New Roman" w:hAnsi="Times New Roman" w:cs="Times New Roman"/>
          <w:iCs/>
          <w:lang w:val="lt-LT"/>
        </w:rPr>
        <w:tab/>
        <w:t xml:space="preserve">3 savaites trukusio dvigubai aklo didelės olmesartano medoksomilio dozės grupės tyrimo, kuriame dalyvavo 6-17 metų vaikai, metu, sunkaus galvos svaigimo, reikalavusio neatidėliotino gydymo, atvejų skaičius buvo beveik du kartus didesnis (nei suaugusiesiems). </w:t>
      </w:r>
    </w:p>
    <w:p w14:paraId="0B1ABA1A" w14:textId="77777777" w:rsidR="004125E7" w:rsidRPr="00C92BDF" w:rsidRDefault="004125E7" w:rsidP="004125E7">
      <w:pPr>
        <w:spacing w:after="0" w:line="240" w:lineRule="auto"/>
        <w:rPr>
          <w:rFonts w:ascii="Times New Roman" w:eastAsia="Times New Roman" w:hAnsi="Times New Roman" w:cs="Times New Roman"/>
          <w:iCs/>
          <w:lang w:val="lt-LT"/>
        </w:rPr>
      </w:pPr>
      <w:r w:rsidRPr="00C92BDF">
        <w:rPr>
          <w:rFonts w:ascii="Times New Roman" w:eastAsia="Times New Roman" w:hAnsi="Times New Roman" w:cs="Times New Roman"/>
          <w:iCs/>
          <w:lang w:val="lt-LT"/>
        </w:rPr>
        <w:t>Apskritai, olmesartano medoksomilio saugumo profilis pediatriniams pacientams, lyginant su suaugusiais, kiek nors žymiau nesiskyrė.</w:t>
      </w:r>
    </w:p>
    <w:p w14:paraId="1B623531" w14:textId="77777777" w:rsidR="004125E7" w:rsidRPr="00C92BDF" w:rsidRDefault="004125E7" w:rsidP="004125E7">
      <w:pPr>
        <w:spacing w:after="0" w:line="240" w:lineRule="auto"/>
        <w:rPr>
          <w:rFonts w:ascii="Times New Roman" w:eastAsia="Times New Roman" w:hAnsi="Times New Roman" w:cs="Times New Roman"/>
          <w:i/>
          <w:iCs/>
          <w:lang w:val="lt-LT"/>
        </w:rPr>
      </w:pPr>
    </w:p>
    <w:p w14:paraId="219F56AF" w14:textId="77777777" w:rsidR="004125E7" w:rsidRPr="00C92BDF" w:rsidRDefault="004125E7" w:rsidP="004125E7">
      <w:pPr>
        <w:spacing w:after="0" w:line="240" w:lineRule="auto"/>
        <w:rPr>
          <w:rFonts w:ascii="Times New Roman" w:eastAsia="Times New Roman" w:hAnsi="Times New Roman" w:cs="Times New Roman"/>
          <w:i/>
          <w:iCs/>
          <w:lang w:val="lt-LT"/>
        </w:rPr>
      </w:pPr>
      <w:r w:rsidRPr="00C92BDF">
        <w:rPr>
          <w:rFonts w:ascii="Times New Roman" w:eastAsia="Times New Roman" w:hAnsi="Times New Roman" w:cs="Times New Roman"/>
          <w:i/>
          <w:iCs/>
          <w:lang w:val="lt-LT"/>
        </w:rPr>
        <w:t>Senyvi pacientai (65 metų ir vyresni)</w:t>
      </w:r>
    </w:p>
    <w:p w14:paraId="78CD4383"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 xml:space="preserve">Senyviems pacientams hipotenzijos dažnis yra šiek tiek didesnis – ji pasitaiko ne retai, o nedažnai. </w:t>
      </w:r>
    </w:p>
    <w:p w14:paraId="75A3E92B"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2C35007F" w14:textId="77777777" w:rsidR="004125E7" w:rsidRPr="00C92BDF" w:rsidRDefault="004125E7" w:rsidP="004125E7">
      <w:pPr>
        <w:autoSpaceDE w:val="0"/>
        <w:autoSpaceDN w:val="0"/>
        <w:adjustRightInd w:val="0"/>
        <w:spacing w:after="0" w:line="240" w:lineRule="auto"/>
        <w:jc w:val="both"/>
        <w:rPr>
          <w:rFonts w:ascii="Times New Roman" w:eastAsia="Calibri" w:hAnsi="Times New Roman" w:cs="Times New Roman"/>
          <w:u w:val="single"/>
          <w:lang w:val="lt-LT" w:eastAsia="lt-LT"/>
        </w:rPr>
      </w:pPr>
      <w:r w:rsidRPr="00C92BDF">
        <w:rPr>
          <w:rFonts w:ascii="Times New Roman" w:eastAsia="Calibri" w:hAnsi="Times New Roman" w:cs="Times New Roman"/>
          <w:noProof/>
          <w:u w:val="single"/>
          <w:lang w:val="lt-LT" w:eastAsia="lt-LT"/>
        </w:rPr>
        <w:t>Pranešimas apie įtariamas nepageidaujamas reakcijas</w:t>
      </w:r>
    </w:p>
    <w:p w14:paraId="0860D4F1"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Calibri" w:hAnsi="Times New Roman" w:cs="Times New Roman"/>
          <w:noProof/>
          <w:lang w:val="lt-LT"/>
        </w:rPr>
        <w:t>Svarbu pranešti apie įtariamas nepageidaujamas reakcijas, pastebėtas po vaistinio preparato registracijos, nes tai leidžia nuolat stebėti vaistinio preparato naudos ir rizikos santykį.</w:t>
      </w:r>
      <w:r w:rsidRPr="00C92BDF">
        <w:rPr>
          <w:rFonts w:ascii="Times New Roman" w:eastAsia="Calibri" w:hAnsi="Times New Roman" w:cs="Times New Roman"/>
          <w:lang w:val="lt-LT"/>
        </w:rPr>
        <w:t xml:space="preserve"> </w:t>
      </w:r>
      <w:r w:rsidRPr="00C92BDF">
        <w:rPr>
          <w:rFonts w:ascii="Times New Roman" w:eastAsia="Calibri" w:hAnsi="Times New Roman" w:cs="Times New Roman"/>
          <w:noProof/>
          <w:lang w:val="lt-LT"/>
        </w:rPr>
        <w:t>Sveikatos priežiūros specialistai turi pranešti apie bet kokias įtariamas nepageidaujamas reakcijas, užpildę interneto svetainėje http://</w:t>
      </w:r>
      <w:hyperlink r:id="rId7" w:history="1">
        <w:r w:rsidRPr="00C92BDF">
          <w:rPr>
            <w:rFonts w:ascii="Times New Roman" w:eastAsia="SimSun" w:hAnsi="Times New Roman" w:cs="Times New Roman"/>
            <w:noProof/>
            <w:color w:val="0000FF"/>
            <w:lang w:val="lt-LT"/>
          </w:rPr>
          <w:t>www.vvkt.lt</w:t>
        </w:r>
      </w:hyperlink>
      <w:r w:rsidRPr="00C92BDF">
        <w:rPr>
          <w:rFonts w:ascii="Times New Roman" w:eastAsia="Calibri" w:hAnsi="Times New Roman" w:cs="Times New Roman"/>
          <w:noProof/>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C92BDF">
          <w:rPr>
            <w:rFonts w:ascii="Times New Roman" w:eastAsia="Calibri" w:hAnsi="Times New Roman" w:cs="Times New Roman"/>
            <w:noProof/>
            <w:color w:val="0000FF"/>
            <w:u w:val="single"/>
            <w:lang w:val="lt-LT"/>
          </w:rPr>
          <w:t>NepageidaujamaR@vvkt.lt</w:t>
        </w:r>
      </w:hyperlink>
      <w:r w:rsidRPr="00C92BDF">
        <w:rPr>
          <w:rFonts w:ascii="Times New Roman" w:eastAsia="Calibri" w:hAnsi="Times New Roman" w:cs="Times New Roman"/>
          <w:noProof/>
          <w:lang w:val="lt-LT"/>
        </w:rPr>
        <w:t xml:space="preserve">), per interneto svetainę (adresu </w:t>
      </w:r>
      <w:hyperlink r:id="rId9" w:history="1">
        <w:r w:rsidRPr="00C92BDF">
          <w:rPr>
            <w:rFonts w:ascii="Times New Roman" w:eastAsia="Calibri" w:hAnsi="Times New Roman" w:cs="Times New Roman"/>
            <w:noProof/>
            <w:color w:val="0000FF"/>
            <w:u w:val="single"/>
            <w:lang w:val="lt-LT"/>
          </w:rPr>
          <w:t>http://www.vvkt.lt</w:t>
        </w:r>
      </w:hyperlink>
      <w:r w:rsidRPr="00C92BDF">
        <w:rPr>
          <w:rFonts w:ascii="Times New Roman" w:eastAsia="Calibri" w:hAnsi="Times New Roman" w:cs="Times New Roman"/>
          <w:noProof/>
          <w:lang w:val="lt-LT"/>
        </w:rPr>
        <w:t>).</w:t>
      </w:r>
    </w:p>
    <w:p w14:paraId="05D5DC00"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7865932F" w14:textId="77777777" w:rsidR="004125E7" w:rsidRPr="00C92BDF" w:rsidRDefault="004125E7" w:rsidP="004125E7">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C92BDF">
        <w:rPr>
          <w:rFonts w:ascii="Times New Roman" w:eastAsia="Times New Roman" w:hAnsi="Times New Roman" w:cs="Times New Roman"/>
          <w:b/>
          <w:kern w:val="28"/>
          <w:lang w:val="lt-LT"/>
        </w:rPr>
        <w:t>4.9</w:t>
      </w:r>
      <w:r w:rsidRPr="00C92BDF">
        <w:rPr>
          <w:rFonts w:ascii="Times New Roman" w:eastAsia="Times New Roman" w:hAnsi="Times New Roman" w:cs="Times New Roman"/>
          <w:b/>
          <w:kern w:val="28"/>
          <w:lang w:val="lt-LT"/>
        </w:rPr>
        <w:tab/>
        <w:t>Perdozavimas</w:t>
      </w:r>
    </w:p>
    <w:p w14:paraId="6BCC7233"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1D45FFBF"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lastRenderedPageBreak/>
        <w:t>Duomenys apie šio vaistinio preparato perdozavimą žmonėms yra riboti. Labiausiai tikėtina, kad, jo perdozavus, pasireikš hipotenzija. Perdozavimo atveju būtina atidžiai stebėti paciento gyvybines funkcijas bei taikyti simptominio ir palaikomojo gydymo priemones.</w:t>
      </w:r>
    </w:p>
    <w:p w14:paraId="2171078C"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083B5271"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Apie olmesartano pasišalinimą iš organizmo dializės metu duomenų nėra.</w:t>
      </w:r>
    </w:p>
    <w:p w14:paraId="66D65E96"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48F7A0C5"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5EDF7E34" w14:textId="77777777" w:rsidR="004125E7" w:rsidRPr="00C92BDF" w:rsidRDefault="004125E7" w:rsidP="004125E7">
      <w:pPr>
        <w:keepNext/>
        <w:tabs>
          <w:tab w:val="left" w:pos="567"/>
        </w:tabs>
        <w:spacing w:after="0" w:line="240" w:lineRule="auto"/>
        <w:outlineLvl w:val="1"/>
        <w:rPr>
          <w:rFonts w:ascii="Times New Roman" w:eastAsia="Times New Roman" w:hAnsi="Times New Roman" w:cs="Times New Roman"/>
          <w:b/>
          <w:lang w:val="lt-LT"/>
        </w:rPr>
      </w:pPr>
      <w:r w:rsidRPr="00C92BDF">
        <w:rPr>
          <w:rFonts w:ascii="Times New Roman" w:eastAsia="Times New Roman" w:hAnsi="Times New Roman" w:cs="Times New Roman"/>
          <w:b/>
          <w:lang w:val="lt-LT"/>
        </w:rPr>
        <w:t>5.</w:t>
      </w:r>
      <w:r w:rsidRPr="00C92BDF">
        <w:rPr>
          <w:rFonts w:ascii="Times New Roman" w:eastAsia="Times New Roman" w:hAnsi="Times New Roman" w:cs="Times New Roman"/>
          <w:b/>
          <w:lang w:val="lt-LT"/>
        </w:rPr>
        <w:tab/>
        <w:t>FARMAKOLOGINĖS SAVYBĖS</w:t>
      </w:r>
    </w:p>
    <w:p w14:paraId="3EF98C86"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0690BF49" w14:textId="77777777" w:rsidR="004125E7" w:rsidRPr="00C92BDF" w:rsidRDefault="004125E7" w:rsidP="004125E7">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C92BDF">
        <w:rPr>
          <w:rFonts w:ascii="Times New Roman" w:eastAsia="Times New Roman" w:hAnsi="Times New Roman" w:cs="Times New Roman"/>
          <w:b/>
          <w:kern w:val="28"/>
          <w:lang w:val="lt-LT"/>
        </w:rPr>
        <w:t>5.1</w:t>
      </w:r>
      <w:r w:rsidRPr="00C92BDF">
        <w:rPr>
          <w:rFonts w:ascii="Times New Roman" w:eastAsia="Times New Roman" w:hAnsi="Times New Roman" w:cs="Times New Roman"/>
          <w:b/>
          <w:kern w:val="28"/>
          <w:lang w:val="lt-LT"/>
        </w:rPr>
        <w:tab/>
        <w:t>Farmakodinaminės savybės</w:t>
      </w:r>
    </w:p>
    <w:p w14:paraId="7A06F562"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7800B4B2"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Farmakoterapinė grupė – angiotenzino II receptorių antagonistai, ATC kodas - C09CA08.</w:t>
      </w:r>
    </w:p>
    <w:p w14:paraId="4E2119DB"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66E9D6E0" w14:textId="77777777" w:rsidR="004125E7" w:rsidRPr="00C92BDF" w:rsidRDefault="004125E7" w:rsidP="004125E7">
      <w:pPr>
        <w:spacing w:after="0" w:line="240" w:lineRule="auto"/>
        <w:rPr>
          <w:rFonts w:ascii="Times New Roman" w:eastAsia="Times New Roman" w:hAnsi="Times New Roman" w:cs="Times New Roman"/>
          <w:sz w:val="24"/>
          <w:szCs w:val="20"/>
          <w:lang w:val="lt-LT"/>
        </w:rPr>
      </w:pPr>
      <w:r w:rsidRPr="00C92BDF">
        <w:rPr>
          <w:rFonts w:ascii="Times New Roman" w:eastAsia="Times New Roman" w:hAnsi="Times New Roman" w:cs="Times New Roman"/>
          <w:u w:val="single"/>
          <w:lang w:val="lt-LT"/>
        </w:rPr>
        <w:t>Veikimo mechanizmas ir farmakodinaminis poveikis</w:t>
      </w:r>
    </w:p>
    <w:p w14:paraId="33E533EE"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Olmesartanas medoksomilis yra stipriai veikiantis geriamasis selektyvus angiotenzino II receptorių (AT</w:t>
      </w:r>
      <w:r w:rsidRPr="00C92BDF">
        <w:rPr>
          <w:rFonts w:ascii="Times New Roman" w:eastAsia="Times New Roman" w:hAnsi="Times New Roman" w:cs="Times New Roman"/>
          <w:vertAlign w:val="subscript"/>
          <w:lang w:val="lt-LT"/>
        </w:rPr>
        <w:t>1</w:t>
      </w:r>
      <w:r w:rsidRPr="00C92BDF">
        <w:rPr>
          <w:rFonts w:ascii="Times New Roman" w:eastAsia="Times New Roman" w:hAnsi="Times New Roman" w:cs="Times New Roman"/>
          <w:lang w:val="lt-LT"/>
        </w:rPr>
        <w:t xml:space="preserve"> tipo) antagonistas. Tikėtina, kad jis blokuoja visus per AT</w:t>
      </w:r>
      <w:r w:rsidRPr="00C92BDF">
        <w:rPr>
          <w:rFonts w:ascii="Times New Roman" w:eastAsia="Times New Roman" w:hAnsi="Times New Roman" w:cs="Times New Roman"/>
          <w:vertAlign w:val="subscript"/>
          <w:lang w:val="lt-LT"/>
        </w:rPr>
        <w:t xml:space="preserve">1 </w:t>
      </w:r>
      <w:r w:rsidRPr="00C92BDF">
        <w:rPr>
          <w:rFonts w:ascii="Times New Roman" w:eastAsia="Times New Roman" w:hAnsi="Times New Roman" w:cs="Times New Roman"/>
          <w:lang w:val="lt-LT"/>
        </w:rPr>
        <w:t>receptorių angiotenzinu II perduodamus impulsus, nesvarbu kokiu būdu ir kur sintezuojamas angiotenzinas II. Selektyvus antagonizmas angiotenzino II receptoriams(AT</w:t>
      </w:r>
      <w:r w:rsidRPr="00C92BDF">
        <w:rPr>
          <w:rFonts w:ascii="Times New Roman" w:eastAsia="Times New Roman" w:hAnsi="Times New Roman" w:cs="Times New Roman"/>
          <w:vertAlign w:val="subscript"/>
          <w:lang w:val="lt-LT"/>
        </w:rPr>
        <w:t>1</w:t>
      </w:r>
      <w:r w:rsidRPr="00C92BDF">
        <w:rPr>
          <w:rFonts w:ascii="Times New Roman" w:eastAsia="Times New Roman" w:hAnsi="Times New Roman" w:cs="Times New Roman"/>
          <w:lang w:val="lt-LT"/>
        </w:rPr>
        <w:t>) sukelia renino, angiotenzino I ir II koncentracijos padidėjimą bei nežymų aldosterono koncentracijos sumažėjimą kraujo plazmoje.</w:t>
      </w:r>
    </w:p>
    <w:p w14:paraId="7B060228"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308DAA6C"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Angiotenzinas II yra renino-angiotenzino-aldosterono sistemos hormonas, pasižymintis pirminiu poveikiu kraujagyslėms, ir yra labai svarbus veiksnys I tipo receptorių (AT</w:t>
      </w:r>
      <w:r w:rsidRPr="00C92BDF">
        <w:rPr>
          <w:rFonts w:ascii="Times New Roman" w:eastAsia="Times New Roman" w:hAnsi="Times New Roman" w:cs="Times New Roman"/>
          <w:vertAlign w:val="subscript"/>
          <w:lang w:val="lt-LT"/>
        </w:rPr>
        <w:t>1</w:t>
      </w:r>
      <w:r w:rsidRPr="00C92BDF">
        <w:rPr>
          <w:rFonts w:ascii="Times New Roman" w:eastAsia="Times New Roman" w:hAnsi="Times New Roman" w:cs="Times New Roman"/>
          <w:lang w:val="lt-LT"/>
        </w:rPr>
        <w:t>) nulemtos hipertenzijos patogenezėje.</w:t>
      </w:r>
    </w:p>
    <w:p w14:paraId="45CFCEAC"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5038635E"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u w:val="single"/>
          <w:lang w:val="lt-LT"/>
        </w:rPr>
      </w:pPr>
      <w:r w:rsidRPr="00C92BDF">
        <w:rPr>
          <w:rFonts w:ascii="Times New Roman" w:eastAsia="Times New Roman" w:hAnsi="Times New Roman" w:cs="Times New Roman"/>
          <w:u w:val="single"/>
          <w:lang w:val="lt-LT"/>
        </w:rPr>
        <w:t>Klinikinis veiksmingumas ir saugumas</w:t>
      </w:r>
    </w:p>
    <w:p w14:paraId="1E48E08C"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 xml:space="preserve">Padidėjus kraujospūdžiui, olmesartanas medoksomilis sukelia ilgalaikį arterinio kraujospūdžio sumažėjimą; jo poveikis priklauso nuo dozės. Duomenų, rodančių, kad pirmoji dozė sukelia hipotenziją, ilgalaikio vartojimo metu pagreitėja jo išsiskyrimas ar, nutraukus gydymą, pasireiškia grįžtamoji reakcija, nėra. </w:t>
      </w:r>
    </w:p>
    <w:p w14:paraId="6CDB14B4"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2BB61FEC"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Olmesartano medoksomilio vienkartinė dozė užtikrina daugiau kaip 24 valandas trunkantį veiksmingą ir tolygų kraujospūdžio sumažėjimą. Vienkartinė paros dozė sukelia panašų kraujospūdžio sumažėjimą, kaip ir padalijus ją į dvi dalis.</w:t>
      </w:r>
    </w:p>
    <w:p w14:paraId="04F3752F"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0AE33464"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Ilgalaikio gydymo metu didžiausias kraujospūdžio sumažėjimas pasiekiamas praėjus 8 savaitėms nuo gydymo pradžios, nors žymus sumažėjimas būna jau po 2 savaičių. Jo vartojant kartu su hidrochlorotiazidu, kraujospūdį mažinantis poveikis sumuojasi, o gydymas gerai toleruojamas.</w:t>
      </w:r>
    </w:p>
    <w:p w14:paraId="495D892A"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2463E9E0"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Olmesartano įtaka mirtingumui ir sergamumui dar neištirta.</w:t>
      </w:r>
    </w:p>
    <w:p w14:paraId="280FF325"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06EF91D6" w14:textId="77777777" w:rsidR="004125E7" w:rsidRPr="00C92BDF" w:rsidRDefault="004125E7" w:rsidP="004125E7">
      <w:pPr>
        <w:tabs>
          <w:tab w:val="left" w:pos="540"/>
          <w:tab w:val="left" w:pos="2127"/>
          <w:tab w:val="left" w:pos="2977"/>
        </w:tabs>
        <w:spacing w:after="0" w:line="240" w:lineRule="auto"/>
        <w:rPr>
          <w:rFonts w:ascii="Times New Roman" w:eastAsia="MS Mincho" w:hAnsi="Times New Roman" w:cs="Times New Roman"/>
          <w:lang w:val="lt-LT"/>
        </w:rPr>
      </w:pPr>
      <w:r w:rsidRPr="00C92BDF">
        <w:rPr>
          <w:rFonts w:ascii="Times New Roman" w:eastAsia="Times New Roman" w:hAnsi="Times New Roman" w:cs="Times New Roman"/>
          <w:lang w:val="lt-LT"/>
        </w:rPr>
        <w:t xml:space="preserve">Atsitiktinės atrankos olmesartano ir cukrinio diabeto mikroalbuminurijos profilaktikos klinikiniame tyrime (angl. </w:t>
      </w:r>
      <w:r w:rsidRPr="00C92BDF">
        <w:rPr>
          <w:rFonts w:ascii="Times New Roman" w:eastAsia="MS Mincho" w:hAnsi="Times New Roman" w:cs="Times New Roman"/>
          <w:i/>
          <w:lang w:val="lt-LT"/>
        </w:rPr>
        <w:t>Randomised Olmesartan and Diabetes Microalbuminuria Prevention</w:t>
      </w:r>
      <w:r w:rsidRPr="00C92BDF">
        <w:rPr>
          <w:rFonts w:ascii="Times New Roman" w:eastAsia="MS Mincho" w:hAnsi="Times New Roman" w:cs="Times New Roman"/>
          <w:lang w:val="lt-LT"/>
        </w:rPr>
        <w:t xml:space="preserve"> [ROADMAP]) dalyvavo 4447 II tipo cukriniu diabetu sergantys pacientai, kuriems nustatytas normalus albumino kiekis šlapime ir mažiausiai vienas papildomas širdies ir kraujagysliųs sistemos pažeidimų rizikos veiksnys, siekta nustatyti, ar gydymas olmesartanu gali pavėlinti mikroalbuminurijos pasireiškimo pradžios laiką. Stebint pacientus vidutiniškai 3,2 metų, jie vartojo olmesartaną arba placebo kartu su kitais vaistais nuo hipertenzijos, išskyrus AKF inhibitorius arba adrenoreceptorių blokatorius, </w:t>
      </w:r>
    </w:p>
    <w:p w14:paraId="2FBA657B" w14:textId="77777777" w:rsidR="004125E7" w:rsidRPr="00C92BDF" w:rsidRDefault="004125E7" w:rsidP="004125E7">
      <w:pPr>
        <w:tabs>
          <w:tab w:val="left" w:pos="540"/>
          <w:tab w:val="left" w:pos="2127"/>
          <w:tab w:val="left" w:pos="2977"/>
        </w:tabs>
        <w:spacing w:after="0" w:line="240" w:lineRule="auto"/>
        <w:rPr>
          <w:rFonts w:ascii="Times New Roman" w:eastAsia="MS Mincho" w:hAnsi="Times New Roman" w:cs="Times New Roman"/>
          <w:lang w:val="lt-LT"/>
        </w:rPr>
      </w:pPr>
    </w:p>
    <w:p w14:paraId="1CD3F601" w14:textId="77777777" w:rsidR="004125E7" w:rsidRPr="00C92BDF" w:rsidRDefault="004125E7" w:rsidP="004125E7">
      <w:pPr>
        <w:tabs>
          <w:tab w:val="left" w:pos="540"/>
          <w:tab w:val="left" w:pos="2127"/>
          <w:tab w:val="left" w:pos="2977"/>
        </w:tabs>
        <w:spacing w:after="0" w:line="240" w:lineRule="auto"/>
        <w:rPr>
          <w:rFonts w:ascii="Times New Roman" w:eastAsia="MS Mincho" w:hAnsi="Times New Roman" w:cs="Times New Roman"/>
          <w:lang w:val="lt-LT"/>
        </w:rPr>
      </w:pPr>
      <w:r w:rsidRPr="00C92BDF">
        <w:rPr>
          <w:rFonts w:ascii="Times New Roman" w:eastAsia="MS Mincho" w:hAnsi="Times New Roman" w:cs="Times New Roman"/>
          <w:lang w:val="lt-LT"/>
        </w:rPr>
        <w:t>Klinikinis tyrimas nustatė, kad, vertinant pagal pirminį vertinamosios baigties kriterijų - mikroalbuminurijos pasireiškimo laiką vartojant olmesartaną, - rizika sumažėjo 23 % (ŠS: 0,770; 95 % PI: 0,630-0,941; p=0,0140). Po koregavimo pagal kraujospūdžio skirtumus, panaudojant specifinius rodmenis dvigubai koduotam tyrimui, vartojant olmesartano rizika sumažėjo iki 17 % (ŠS: 0, 834; 95 % PI: 0,681-1,021; p=0,0789) pritaikant pagal AUC sistoliniam kraujospūdžiui bei 18% (ŠS: 0,823; 95 % PI: 0,672-1,008; p=0,0596) pritaikant pagal AUC diastoliniam kraujospūdžiui. Mikroalbuminurija išryškėjo 8,2 % pacientų olmesartano grupėje (178 iš 2160 vertintų pacientų) ir 9,8 % pacientų placebo grupėje (210 iš 2139).</w:t>
      </w:r>
    </w:p>
    <w:p w14:paraId="0A91416F" w14:textId="77777777" w:rsidR="004125E7" w:rsidRPr="00C92BDF" w:rsidRDefault="004125E7" w:rsidP="004125E7">
      <w:pPr>
        <w:tabs>
          <w:tab w:val="left" w:pos="540"/>
          <w:tab w:val="left" w:pos="2127"/>
          <w:tab w:val="left" w:pos="2977"/>
        </w:tabs>
        <w:spacing w:after="0" w:line="240" w:lineRule="auto"/>
        <w:rPr>
          <w:rFonts w:ascii="Times New Roman" w:eastAsia="MS Mincho" w:hAnsi="Times New Roman" w:cs="Times New Roman"/>
          <w:lang w:val="lt-LT"/>
        </w:rPr>
      </w:pPr>
    </w:p>
    <w:p w14:paraId="0187F43A" w14:textId="77777777" w:rsidR="004125E7" w:rsidRPr="00C92BDF" w:rsidRDefault="004125E7" w:rsidP="004125E7">
      <w:pPr>
        <w:tabs>
          <w:tab w:val="left" w:pos="540"/>
          <w:tab w:val="left" w:pos="2127"/>
          <w:tab w:val="left" w:pos="2977"/>
        </w:tabs>
        <w:spacing w:after="0" w:line="240" w:lineRule="auto"/>
        <w:rPr>
          <w:rFonts w:ascii="Times New Roman" w:eastAsia="MS Mincho" w:hAnsi="Times New Roman" w:cs="Times New Roman"/>
          <w:lang w:val="lt-LT"/>
        </w:rPr>
      </w:pPr>
      <w:r w:rsidRPr="00C92BDF">
        <w:rPr>
          <w:rFonts w:ascii="Times New Roman" w:eastAsia="MS Mincho" w:hAnsi="Times New Roman" w:cs="Times New Roman"/>
          <w:lang w:val="lt-LT"/>
        </w:rPr>
        <w:lastRenderedPageBreak/>
        <w:t>Nespecifiniai antriniai vertinamosios baigties kriterijai buvo inkstų ir širdies bei kraujagyslių sistemos funkcijos rodmenys. Nustatyta, kad olmesartano grupės pacientams tikrasis glomerulų filtracijos greitis (tGFG) dvigubai koduoto tyrimo periodo paskutiniojo vertinimo metu,sumažėjo nuo pradinio 85,0±17,0 iki 80,1±18,5 ml/min./1,73 m</w:t>
      </w:r>
      <w:r w:rsidRPr="00C92BDF">
        <w:rPr>
          <w:rFonts w:ascii="Times New Roman" w:eastAsia="MS Mincho" w:hAnsi="Times New Roman" w:cs="Times New Roman"/>
          <w:vertAlign w:val="superscript"/>
          <w:lang w:val="lt-LT"/>
        </w:rPr>
        <w:t>2</w:t>
      </w:r>
      <w:r w:rsidRPr="00C92BDF">
        <w:rPr>
          <w:rFonts w:ascii="Times New Roman" w:eastAsia="MS Mincho" w:hAnsi="Times New Roman" w:cs="Times New Roman"/>
          <w:lang w:val="lt-LT"/>
        </w:rPr>
        <w:t xml:space="preserve"> kūno paviršiaus, placebą vartojusių pacientų grupėje nuo 84,7±17,3 iki 83,7±18,3 ml/min./1,73 m</w:t>
      </w:r>
      <w:r w:rsidRPr="00C92BDF">
        <w:rPr>
          <w:rFonts w:ascii="Times New Roman" w:eastAsia="MS Mincho" w:hAnsi="Times New Roman" w:cs="Times New Roman"/>
          <w:vertAlign w:val="superscript"/>
          <w:lang w:val="lt-LT"/>
        </w:rPr>
        <w:t>2</w:t>
      </w:r>
      <w:r w:rsidRPr="00C92BDF">
        <w:rPr>
          <w:rFonts w:ascii="Times New Roman" w:eastAsia="MS Mincho" w:hAnsi="Times New Roman" w:cs="Times New Roman"/>
          <w:lang w:val="lt-LT"/>
        </w:rPr>
        <w:t xml:space="preserve"> kūno paviršiaus (p=0,001). Olmesartaną vartojusių pacientų grupėje tGFG sumažėjimas daugiau kaip 25 % nustatytas 19,9 % pacientų, placebą vartojusių grupėje – 11,3 %. Kai pradinis tGFG buvo ≥60 ml/min./1,73 m</w:t>
      </w:r>
      <w:r w:rsidRPr="00C92BDF">
        <w:rPr>
          <w:rFonts w:ascii="Times New Roman" w:eastAsia="MS Mincho" w:hAnsi="Times New Roman" w:cs="Times New Roman"/>
          <w:vertAlign w:val="superscript"/>
          <w:lang w:val="lt-LT"/>
        </w:rPr>
        <w:t>2</w:t>
      </w:r>
      <w:r w:rsidRPr="00C92BDF">
        <w:rPr>
          <w:rFonts w:ascii="Times New Roman" w:eastAsia="MS Mincho" w:hAnsi="Times New Roman" w:cs="Times New Roman"/>
          <w:lang w:val="lt-LT"/>
        </w:rPr>
        <w:t xml:space="preserve"> kūno paviršiaus, kitų dviejų einančių iš eilės vizitų metu mažesnis negu 60 tGFG nustatytas 7,7 % olmesartaną vartojusių pacientų bei 3,2 % placebo vartojusių pacientų. Kai pradinis tGFG buvo &lt;60 ml/min./1,73 m</w:t>
      </w:r>
      <w:r w:rsidRPr="00C92BDF">
        <w:rPr>
          <w:rFonts w:ascii="Times New Roman" w:eastAsia="MS Mincho" w:hAnsi="Times New Roman" w:cs="Times New Roman"/>
          <w:vertAlign w:val="superscript"/>
          <w:lang w:val="lt-LT"/>
        </w:rPr>
        <w:t>2</w:t>
      </w:r>
      <w:r w:rsidRPr="00C92BDF">
        <w:rPr>
          <w:rFonts w:ascii="Times New Roman" w:eastAsia="MS Mincho" w:hAnsi="Times New Roman" w:cs="Times New Roman"/>
          <w:lang w:val="lt-LT"/>
        </w:rPr>
        <w:t xml:space="preserve"> kūno paviršiaus, pablogėjimas vertinant pagal Lėtinių inkstų ligų kategorijas (angl.: </w:t>
      </w:r>
      <w:r w:rsidRPr="00C92BDF">
        <w:rPr>
          <w:rFonts w:ascii="Times New Roman" w:eastAsia="MS Mincho" w:hAnsi="Times New Roman" w:cs="Times New Roman"/>
          <w:i/>
          <w:lang w:val="lt-LT"/>
        </w:rPr>
        <w:t>Chronic Kidney Disease Category</w:t>
      </w:r>
      <w:r w:rsidRPr="00C92BDF">
        <w:rPr>
          <w:rFonts w:ascii="Times New Roman" w:eastAsia="MS Mincho" w:hAnsi="Times New Roman" w:cs="Times New Roman"/>
          <w:lang w:val="lt-LT"/>
        </w:rPr>
        <w:t>) nustatytas 0,8 % (n=17) palyginti su 0,2 % (n=7) pacientų. Baigiamoji inkstų ligos stadija neišsivystė nė vienam pacientui; abiejose grupėse du kartus padidėjęs serumo kreatinino kiekis nustatytas vienodam pacientų skaičiui (23 pacientams, maždaug 1 %).</w:t>
      </w:r>
    </w:p>
    <w:p w14:paraId="57B111B0" w14:textId="77777777" w:rsidR="004125E7" w:rsidRPr="00C92BDF" w:rsidRDefault="004125E7" w:rsidP="004125E7">
      <w:pPr>
        <w:tabs>
          <w:tab w:val="left" w:pos="540"/>
          <w:tab w:val="left" w:pos="2127"/>
          <w:tab w:val="left" w:pos="2977"/>
        </w:tabs>
        <w:spacing w:after="0" w:line="240" w:lineRule="auto"/>
        <w:rPr>
          <w:rFonts w:ascii="Times New Roman" w:eastAsia="MS Mincho" w:hAnsi="Times New Roman" w:cs="Times New Roman"/>
          <w:lang w:val="lt-LT"/>
        </w:rPr>
      </w:pPr>
      <w:r w:rsidRPr="00C92BDF">
        <w:rPr>
          <w:rFonts w:ascii="Times New Roman" w:eastAsia="MS Mincho" w:hAnsi="Times New Roman" w:cs="Times New Roman"/>
          <w:lang w:val="lt-LT"/>
        </w:rPr>
        <w:t xml:space="preserve"> </w:t>
      </w:r>
    </w:p>
    <w:p w14:paraId="3F0064C1" w14:textId="77777777" w:rsidR="004125E7" w:rsidRPr="00C92BDF" w:rsidRDefault="004125E7" w:rsidP="004125E7">
      <w:pPr>
        <w:tabs>
          <w:tab w:val="left" w:pos="540"/>
          <w:tab w:val="left" w:pos="2127"/>
          <w:tab w:val="left" w:pos="2977"/>
        </w:tabs>
        <w:spacing w:after="0" w:line="240" w:lineRule="auto"/>
        <w:rPr>
          <w:rFonts w:ascii="Times New Roman" w:eastAsia="MS Mincho" w:hAnsi="Times New Roman" w:cs="Times New Roman"/>
          <w:lang w:val="lt-LT"/>
        </w:rPr>
      </w:pPr>
      <w:r w:rsidRPr="00C92BDF">
        <w:rPr>
          <w:rFonts w:ascii="Times New Roman" w:eastAsia="MS Mincho" w:hAnsi="Times New Roman" w:cs="Times New Roman"/>
          <w:lang w:val="lt-LT"/>
        </w:rPr>
        <w:t>Širdies ir kraujagyslių sistemos sutrikimai pasireiškė vartojusiems olmesartaną 96 pacientams (4,3 %) palyginti su 94 pacientais (4,2 %), vartojusiais placebą. Mirtingumas dėl širdies ir kraujagyslių sistemos sutrikimų buvo didesnis olmesartano grupėje, palyginti su placebo grupe (15 pacientų (0,7 %) ir 3 pacientai (0,3 %)), nors mirties nesukėlusio insulto (14 pacientų (0,6 %) ir 8 pacientai (0,4 %)), mirties nesukėlusio miokardo infarkto (17 pacientų (0,8 %) ir 26 pacientai (1,2 %)) bei mirties ne dėl širdies ir kraujagyslių sutrikimų (11 pacientų (0,5 %) ir 12 pacientų (0,5 %)) dažnis buvo panašus. Bendras mirusių pacientų skaičius olmesartano grupėje buvo didesnis (26 pacientai (1,2 %) palyginti su 15 pacientų (0,7 %)); tai labiausiai susiję su didesniu mirtinų širdies ir kraujagyslių sutrikimų skaičiumi.</w:t>
      </w:r>
    </w:p>
    <w:p w14:paraId="0D2620ED" w14:textId="77777777" w:rsidR="004125E7" w:rsidRPr="00C92BDF" w:rsidRDefault="004125E7" w:rsidP="004125E7">
      <w:pPr>
        <w:spacing w:after="0" w:line="240" w:lineRule="auto"/>
        <w:rPr>
          <w:rFonts w:ascii="Times New Roman" w:eastAsia="MS Mincho" w:hAnsi="Times New Roman" w:cs="Times New Roman"/>
          <w:lang w:val="lt-LT" w:eastAsia="ja-JP"/>
        </w:rPr>
      </w:pPr>
    </w:p>
    <w:p w14:paraId="0AC9CB4A" w14:textId="77777777" w:rsidR="004125E7" w:rsidRPr="00C92BDF" w:rsidRDefault="004125E7" w:rsidP="004125E7">
      <w:pPr>
        <w:spacing w:after="0" w:line="240" w:lineRule="auto"/>
        <w:rPr>
          <w:rFonts w:ascii="Times New Roman" w:eastAsia="MS Mincho" w:hAnsi="Times New Roman" w:cs="Times New Roman"/>
          <w:lang w:val="lt-LT" w:eastAsia="ja-JP"/>
        </w:rPr>
      </w:pPr>
      <w:r w:rsidRPr="00C92BDF">
        <w:rPr>
          <w:rFonts w:ascii="Times New Roman" w:eastAsia="MS Mincho" w:hAnsi="Times New Roman" w:cs="Times New Roman"/>
          <w:lang w:val="lt-LT" w:eastAsia="ja-JP"/>
        </w:rPr>
        <w:t xml:space="preserve">Galutinės stadijos inkstų ligos dažnį sergant cukriniu diabetu mažinantis olmesartano klinikinio tyrimo (angl. </w:t>
      </w:r>
      <w:r w:rsidRPr="00C92BDF">
        <w:rPr>
          <w:rFonts w:ascii="Times New Roman" w:eastAsia="MS Mincho" w:hAnsi="Times New Roman" w:cs="Times New Roman"/>
          <w:i/>
          <w:lang w:val="lt-LT" w:eastAsia="ja-JP"/>
        </w:rPr>
        <w:t xml:space="preserve">The </w:t>
      </w:r>
      <w:r w:rsidRPr="00C92BDF">
        <w:rPr>
          <w:rFonts w:ascii="Times New Roman" w:eastAsia="Times New Roman" w:hAnsi="Times New Roman" w:cs="Times New Roman"/>
          <w:i/>
          <w:lang w:val="lt-LT" w:eastAsia="ja-JP"/>
        </w:rPr>
        <w:t>Olm</w:t>
      </w:r>
      <w:r w:rsidRPr="00C92BDF">
        <w:rPr>
          <w:rFonts w:ascii="Times New Roman" w:eastAsia="MS Mincho" w:hAnsi="Times New Roman" w:cs="Times New Roman"/>
          <w:i/>
          <w:lang w:val="lt-LT" w:eastAsia="ja-JP"/>
        </w:rPr>
        <w:t>e</w:t>
      </w:r>
      <w:r w:rsidRPr="00C92BDF">
        <w:rPr>
          <w:rFonts w:ascii="Times New Roman" w:eastAsia="Times New Roman" w:hAnsi="Times New Roman" w:cs="Times New Roman"/>
          <w:i/>
          <w:lang w:val="lt-LT" w:eastAsia="ja-JP"/>
        </w:rPr>
        <w:t>sartan Reducing Incidence of End</w:t>
      </w:r>
      <w:r w:rsidRPr="00C92BDF">
        <w:rPr>
          <w:rFonts w:ascii="Times New Roman" w:eastAsia="MS Mincho" w:hAnsi="Times New Roman" w:cs="Times New Roman"/>
          <w:i/>
          <w:lang w:val="lt-LT" w:eastAsia="ja-JP"/>
        </w:rPr>
        <w:t>-</w:t>
      </w:r>
      <w:r w:rsidRPr="00C92BDF">
        <w:rPr>
          <w:rFonts w:ascii="Times New Roman" w:eastAsia="Times New Roman" w:hAnsi="Times New Roman" w:cs="Times New Roman"/>
          <w:i/>
          <w:lang w:val="lt-LT" w:eastAsia="ja-JP"/>
        </w:rPr>
        <w:t>stage Renal Disease in Diabetic Nephropathy Trial</w:t>
      </w:r>
      <w:r w:rsidRPr="00C92BDF">
        <w:rPr>
          <w:rFonts w:ascii="Times New Roman" w:eastAsia="MS Mincho" w:hAnsi="Times New Roman" w:cs="Times New Roman"/>
          <w:lang w:val="lt-LT" w:eastAsia="ja-JP"/>
        </w:rPr>
        <w:t xml:space="preserve"> (ORIENT)) metu 577 atsitiktinai atrinktiems japonams ir kinams, sergantiems II tipo cukriniu diabetu ir akivaizdžia nefropatija, tirtas olmesartano poveikis inkstų pažeidimo ir širdies-kraujagyslių sistemos sutrikimų baigčiai. Vidutiniškai 3,1 metus trukusio stebėjimo metu pacientai buvo gydomi olmesartanu arba vartojo placebą kartu su kitais antihipertenzinisis vaistais, įskaitant AKF inhibitorius.</w:t>
      </w:r>
    </w:p>
    <w:p w14:paraId="7A888948" w14:textId="77777777" w:rsidR="004125E7" w:rsidRPr="00C92BDF" w:rsidRDefault="004125E7" w:rsidP="004125E7">
      <w:pPr>
        <w:spacing w:after="0" w:line="240" w:lineRule="auto"/>
        <w:rPr>
          <w:rFonts w:ascii="Times New Roman" w:eastAsia="MS Mincho" w:hAnsi="Times New Roman" w:cs="Times New Roman"/>
          <w:lang w:val="lt-LT" w:eastAsia="ja-JP"/>
        </w:rPr>
      </w:pPr>
    </w:p>
    <w:p w14:paraId="63078039" w14:textId="77777777" w:rsidR="004125E7" w:rsidRPr="00C92BDF" w:rsidRDefault="004125E7" w:rsidP="004125E7">
      <w:pPr>
        <w:spacing w:after="0" w:line="240" w:lineRule="auto"/>
        <w:rPr>
          <w:rFonts w:ascii="Times New Roman" w:eastAsia="MS Mincho" w:hAnsi="Times New Roman" w:cs="Times New Roman"/>
          <w:color w:val="000000"/>
          <w:lang w:val="lt-LT" w:eastAsia="ja-JP"/>
        </w:rPr>
      </w:pPr>
      <w:r w:rsidRPr="00C92BDF">
        <w:rPr>
          <w:rFonts w:ascii="Times New Roman" w:eastAsia="MS Mincho" w:hAnsi="Times New Roman" w:cs="Times New Roman"/>
          <w:lang w:val="lt-LT" w:eastAsia="ja-JP"/>
        </w:rPr>
        <w:t xml:space="preserve">Pirminė sudėtinė vertinamoji baigtis (laikas, per kurį pirmą kartą kreatinino kiekis kraujo serume padidėja du kartus, galutinės stadijos inkstų liga, mirtis dėl visų priežasčių) olmesartano grupėje pasitaikė 116 pacientų </w:t>
      </w:r>
      <w:hyperlink r:id="rId10" w:history="1">
        <w:r w:rsidRPr="00C92BDF">
          <w:rPr>
            <w:rFonts w:ascii="Times New Roman" w:eastAsia="MS Mincho" w:hAnsi="Times New Roman" w:cs="Times New Roman"/>
            <w:color w:val="000000"/>
            <w:u w:val="single"/>
            <w:lang w:val="lt-LT" w:eastAsia="ja-JP"/>
          </w:rPr>
          <w:t>41,1</w:t>
        </w:r>
      </w:hyperlink>
      <w:r w:rsidRPr="00C92BDF">
        <w:rPr>
          <w:rFonts w:ascii="Times New Roman" w:eastAsia="MS Mincho" w:hAnsi="Times New Roman" w:cs="Times New Roman"/>
          <w:lang w:val="lt-LT" w:eastAsia="ja-JP"/>
        </w:rPr>
        <w:t xml:space="preserve"> </w:t>
      </w:r>
      <w:r w:rsidRPr="00C92BDF">
        <w:rPr>
          <w:rFonts w:ascii="Times New Roman" w:eastAsia="MS Mincho" w:hAnsi="Times New Roman" w:cs="Times New Roman"/>
          <w:color w:val="000000"/>
          <w:lang w:val="lt-LT" w:eastAsia="ja-JP"/>
        </w:rPr>
        <w:t>%), 129 pacientams (45,4 %) placebo grupėje (ŠS: 0,97; 95 % PI: 0,75-1,24; p=0,791). Antrinė sudėtinė širdies ir kraujagyslių patologijos vertinamoji baigtis olmesartanu gydytų pacientų grupėje nustatyta 40 (14,2 %), placebo grupėje 53 pacientams (18,7 %). Antrinės sudėtinės širdies ir kraujagyslių patologijos vertinamosios baigties sudėtyje mirties atvejų buvo 10 (3,5 % ) olmesartano grupėje palyginti su 3 atvejais (1,1 %) placebo grupėje, bendras mirtingumas - olmesartano grupėje 19 pacientų (6,7 %) palyginti su 20 (7,0 %) placebo grupėje, mirties nesukėlęs insultas 8 pacientams (2,8 %) olmesartano grupėje palyginti su 11 pacientų (3,9 %) placebo grupėje ir mirties nesukėlęs miokardo infarktas 3 pacientams (1,1 %) olmesartano grupėje palyginti su 7 (2,5 %) placebo grupėje.</w:t>
      </w:r>
    </w:p>
    <w:p w14:paraId="31CEE84B" w14:textId="77777777" w:rsidR="004125E7" w:rsidRPr="00C92BDF" w:rsidRDefault="004125E7" w:rsidP="004125E7">
      <w:pPr>
        <w:spacing w:after="0" w:line="240" w:lineRule="auto"/>
        <w:rPr>
          <w:rFonts w:ascii="Times New Roman" w:eastAsia="MS Mincho" w:hAnsi="Times New Roman" w:cs="Times New Roman"/>
          <w:color w:val="000000"/>
          <w:lang w:val="lt-LT" w:eastAsia="ja-JP"/>
        </w:rPr>
      </w:pPr>
    </w:p>
    <w:p w14:paraId="69B25A10" w14:textId="77777777" w:rsidR="004125E7" w:rsidRPr="00C92BDF" w:rsidRDefault="004125E7" w:rsidP="004125E7">
      <w:pPr>
        <w:spacing w:after="0" w:line="240" w:lineRule="auto"/>
        <w:rPr>
          <w:rFonts w:ascii="Times New Roman" w:eastAsia="MS Mincho" w:hAnsi="Times New Roman" w:cs="Times New Roman"/>
          <w:color w:val="000000"/>
          <w:u w:val="single"/>
          <w:lang w:val="lt-LT" w:eastAsia="ja-JP"/>
        </w:rPr>
      </w:pPr>
      <w:r w:rsidRPr="00C92BDF">
        <w:rPr>
          <w:rFonts w:ascii="Times New Roman" w:eastAsia="MS Mincho" w:hAnsi="Times New Roman" w:cs="Times New Roman"/>
          <w:color w:val="000000"/>
          <w:u w:val="single"/>
          <w:lang w:val="lt-LT" w:eastAsia="ja-JP"/>
        </w:rPr>
        <w:t>Pediatrinė populiacija</w:t>
      </w:r>
    </w:p>
    <w:p w14:paraId="7A360953" w14:textId="77777777" w:rsidR="004125E7" w:rsidRPr="00C92BDF" w:rsidRDefault="004125E7" w:rsidP="004125E7">
      <w:pPr>
        <w:spacing w:after="0" w:line="240" w:lineRule="auto"/>
        <w:rPr>
          <w:rFonts w:ascii="Times New Roman" w:eastAsia="MS Mincho" w:hAnsi="Times New Roman" w:cs="Times New Roman"/>
          <w:color w:val="000000"/>
          <w:lang w:val="lt-LT" w:eastAsia="ja-JP"/>
        </w:rPr>
      </w:pPr>
      <w:r>
        <w:rPr>
          <w:rFonts w:ascii="Times New Roman" w:eastAsia="MS Mincho" w:hAnsi="Times New Roman" w:cs="Times New Roman"/>
          <w:color w:val="000000"/>
          <w:lang w:val="lt-LT" w:eastAsia="ja-JP"/>
        </w:rPr>
        <w:t>Olmesartano medoksomilio</w:t>
      </w:r>
      <w:r w:rsidRPr="00C92BDF">
        <w:rPr>
          <w:rFonts w:ascii="Times New Roman" w:eastAsia="MS Mincho" w:hAnsi="Times New Roman" w:cs="Times New Roman"/>
          <w:color w:val="000000"/>
          <w:lang w:val="lt-LT" w:eastAsia="ja-JP"/>
        </w:rPr>
        <w:t xml:space="preserve"> antihipertenzinis poveikis buvo tirtas randomizuotame, aklame, placebo kontroliuojamame tyrime, kuriame dalyvavo 6-17 metų 302 hipertenzija sergantys pacientai. Tyrimo popualiaciją sudarė 112 juodaodžių pacientų kohorta ir 190 pacientų mišri kohorta (joje buvo 38 juodaodžiai). Vyravo pirminė hipertenzija: kaip ligos priežastis ji sudarė 87 proc. Juodaodžių kohortoje ir 67 proc. Mišrioje kohortoje. </w:t>
      </w:r>
    </w:p>
    <w:p w14:paraId="0610BC7A" w14:textId="77777777" w:rsidR="004125E7" w:rsidRPr="00C92BDF" w:rsidRDefault="004125E7" w:rsidP="004125E7">
      <w:pPr>
        <w:spacing w:after="0" w:line="240" w:lineRule="auto"/>
        <w:rPr>
          <w:rFonts w:ascii="Times New Roman" w:eastAsia="MS Mincho" w:hAnsi="Times New Roman" w:cs="Times New Roman"/>
          <w:color w:val="000000"/>
          <w:lang w:val="lt-LT" w:eastAsia="ja-JP"/>
        </w:rPr>
      </w:pPr>
      <w:r w:rsidRPr="00C92BDF">
        <w:rPr>
          <w:rFonts w:ascii="Times New Roman" w:eastAsia="MS Mincho" w:hAnsi="Times New Roman" w:cs="Times New Roman"/>
          <w:color w:val="000000"/>
          <w:lang w:val="lt-LT" w:eastAsia="ja-JP"/>
        </w:rPr>
        <w:t xml:space="preserve">Pacientai, kurie svėrė nuo 20 iki (&lt;) 35 kg, buvo randomizuoti į dvi grupes: vieni gydyti 2,5 mg (maža </w:t>
      </w:r>
      <w:r>
        <w:rPr>
          <w:rFonts w:ascii="Times New Roman" w:eastAsia="MS Mincho" w:hAnsi="Times New Roman" w:cs="Times New Roman"/>
          <w:color w:val="000000"/>
          <w:lang w:val="lt-LT" w:eastAsia="ja-JP"/>
        </w:rPr>
        <w:t>olmesartano medoksomilio</w:t>
      </w:r>
      <w:r w:rsidRPr="00C92BDF">
        <w:rPr>
          <w:rFonts w:ascii="Times New Roman" w:eastAsia="MS Mincho" w:hAnsi="Times New Roman" w:cs="Times New Roman"/>
          <w:color w:val="000000"/>
          <w:lang w:val="lt-LT" w:eastAsia="ja-JP"/>
        </w:rPr>
        <w:t xml:space="preserve"> doze), kiti – didele, t.y. 40 mg paros doze, kuri buvo skiriama kartą per parą. Pacientai, kurie svėrė 35 kg arba daugiau buvo atsitiktinės atrankos būdu suskirstyti į gydytus maža </w:t>
      </w:r>
      <w:r>
        <w:rPr>
          <w:rFonts w:ascii="Times New Roman" w:eastAsia="MS Mincho" w:hAnsi="Times New Roman" w:cs="Times New Roman"/>
          <w:color w:val="000000"/>
          <w:lang w:val="lt-LT" w:eastAsia="ja-JP"/>
        </w:rPr>
        <w:t>olmesartano medoksomilio</w:t>
      </w:r>
      <w:r w:rsidRPr="00C92BDF">
        <w:rPr>
          <w:rFonts w:ascii="Times New Roman" w:eastAsia="MS Mincho" w:hAnsi="Times New Roman" w:cs="Times New Roman"/>
          <w:color w:val="000000"/>
          <w:lang w:val="lt-LT" w:eastAsia="ja-JP"/>
        </w:rPr>
        <w:t xml:space="preserve"> (2,5 mg kartą per parą) ir didele (40 mg kartą per parą). </w:t>
      </w:r>
      <w:r>
        <w:rPr>
          <w:rFonts w:ascii="Times New Roman" w:eastAsia="MS Mincho" w:hAnsi="Times New Roman" w:cs="Times New Roman"/>
          <w:color w:val="000000"/>
          <w:lang w:val="lt-LT" w:eastAsia="ja-JP"/>
        </w:rPr>
        <w:t>Olmesartanas medoksomilis</w:t>
      </w:r>
      <w:r w:rsidRPr="00C92BDF">
        <w:rPr>
          <w:rFonts w:ascii="Times New Roman" w:eastAsia="MS Mincho" w:hAnsi="Times New Roman" w:cs="Times New Roman"/>
          <w:color w:val="000000"/>
          <w:lang w:val="lt-LT" w:eastAsia="ja-JP"/>
        </w:rPr>
        <w:t xml:space="preserve"> (priklausomai nuo paciento svorio ir dozės) žymiai sumažino tiek sistolinį, tiek ir diastolinį kraujospūdį. Lyginant su pradiniais rodikliais, </w:t>
      </w:r>
      <w:r>
        <w:rPr>
          <w:rFonts w:ascii="Times New Roman" w:eastAsia="MS Mincho" w:hAnsi="Times New Roman" w:cs="Times New Roman"/>
          <w:color w:val="000000"/>
          <w:lang w:val="lt-LT" w:eastAsia="ja-JP"/>
        </w:rPr>
        <w:t>Olmesartano medoksomilio</w:t>
      </w:r>
      <w:r w:rsidRPr="00C92BDF">
        <w:rPr>
          <w:rFonts w:ascii="Times New Roman" w:eastAsia="MS Mincho" w:hAnsi="Times New Roman" w:cs="Times New Roman"/>
          <w:color w:val="000000"/>
          <w:lang w:val="lt-LT" w:eastAsia="ja-JP"/>
        </w:rPr>
        <w:t xml:space="preserve"> maža doz</w:t>
      </w:r>
      <w:r>
        <w:rPr>
          <w:rFonts w:ascii="Times New Roman" w:eastAsia="MS Mincho" w:hAnsi="Times New Roman" w:cs="Times New Roman"/>
          <w:color w:val="000000"/>
          <w:lang w:val="lt-LT" w:eastAsia="ja-JP"/>
        </w:rPr>
        <w:t>ė</w:t>
      </w:r>
      <w:r w:rsidRPr="00C92BDF">
        <w:rPr>
          <w:rFonts w:ascii="Times New Roman" w:eastAsia="MS Mincho" w:hAnsi="Times New Roman" w:cs="Times New Roman"/>
          <w:color w:val="000000"/>
          <w:lang w:val="lt-LT" w:eastAsia="ja-JP"/>
        </w:rPr>
        <w:t xml:space="preserve"> sumažino sistolinį kraujospūdį 6,6 mm Hg st., didelė – 11,9 mm Hg st. Šis (antihipertenzinis) poveikis buvo stebėtas dar 2 savaites po to, kai gydymas buvo baigtas. Tuo tarpu </w:t>
      </w:r>
      <w:r w:rsidRPr="00C92BDF">
        <w:rPr>
          <w:rFonts w:ascii="Times New Roman" w:eastAsia="MS Mincho" w:hAnsi="Times New Roman" w:cs="Times New Roman"/>
          <w:color w:val="000000"/>
          <w:lang w:val="lt-LT" w:eastAsia="ja-JP"/>
        </w:rPr>
        <w:lastRenderedPageBreak/>
        <w:t xml:space="preserve">placebo gydytoje grupės arterinis kraujospūdis statistiškai patikimai padidėjo iki buvusių rodiklių (“nutraukimo” efektas). </w:t>
      </w:r>
      <w:r>
        <w:rPr>
          <w:rFonts w:ascii="Times New Roman" w:eastAsia="MS Mincho" w:hAnsi="Times New Roman" w:cs="Times New Roman"/>
          <w:color w:val="000000"/>
          <w:lang w:val="lt-LT" w:eastAsia="ja-JP"/>
        </w:rPr>
        <w:t>Olmesartanas medoksomilis</w:t>
      </w:r>
      <w:r w:rsidRPr="00C92BDF">
        <w:rPr>
          <w:rFonts w:ascii="Times New Roman" w:eastAsia="MS Mincho" w:hAnsi="Times New Roman" w:cs="Times New Roman"/>
          <w:color w:val="000000"/>
          <w:lang w:val="lt-LT" w:eastAsia="ja-JP"/>
        </w:rPr>
        <w:t xml:space="preserve"> buvo veiksmingas gydant tiek pirminę, tiek ir antrinę (simptominę) hipertenziją</w:t>
      </w:r>
      <w:r>
        <w:rPr>
          <w:rFonts w:ascii="Times New Roman" w:eastAsia="MS Mincho" w:hAnsi="Times New Roman" w:cs="Times New Roman"/>
          <w:color w:val="000000"/>
          <w:lang w:val="lt-LT" w:eastAsia="ja-JP"/>
        </w:rPr>
        <w:t>.</w:t>
      </w:r>
      <w:r w:rsidRPr="00C92BDF">
        <w:rPr>
          <w:rFonts w:ascii="Times New Roman" w:eastAsia="MS Mincho" w:hAnsi="Times New Roman" w:cs="Times New Roman"/>
          <w:color w:val="000000"/>
          <w:lang w:val="lt-LT" w:eastAsia="ja-JP"/>
        </w:rPr>
        <w:t xml:space="preserve"> Lygiai taip pat kaip suaugusiųjų populiacijoje, juodaodžiams pacientams </w:t>
      </w:r>
      <w:r>
        <w:rPr>
          <w:rFonts w:ascii="Times New Roman" w:eastAsia="MS Mincho" w:hAnsi="Times New Roman" w:cs="Times New Roman"/>
          <w:color w:val="000000"/>
          <w:lang w:val="lt-LT" w:eastAsia="ja-JP"/>
        </w:rPr>
        <w:t>olmesartano medoksomilio</w:t>
      </w:r>
      <w:r w:rsidRPr="00C92BDF">
        <w:rPr>
          <w:rFonts w:ascii="Times New Roman" w:eastAsia="MS Mincho" w:hAnsi="Times New Roman" w:cs="Times New Roman"/>
          <w:color w:val="000000"/>
          <w:lang w:val="lt-LT" w:eastAsia="ja-JP"/>
        </w:rPr>
        <w:t xml:space="preserve"> antihipertenzinis poveikis buvo mažesnis (silpnesnis).</w:t>
      </w:r>
    </w:p>
    <w:p w14:paraId="4B1B4998" w14:textId="77777777" w:rsidR="004125E7" w:rsidRPr="00C92BDF" w:rsidRDefault="004125E7" w:rsidP="004125E7">
      <w:pPr>
        <w:spacing w:after="0" w:line="240" w:lineRule="auto"/>
        <w:rPr>
          <w:rFonts w:ascii="Times New Roman" w:eastAsia="MS Mincho" w:hAnsi="Times New Roman" w:cs="Times New Roman"/>
          <w:color w:val="000000"/>
          <w:lang w:val="lt-LT" w:eastAsia="ja-JP"/>
        </w:rPr>
      </w:pPr>
      <w:r w:rsidRPr="00C92BDF">
        <w:rPr>
          <w:rFonts w:ascii="Times New Roman" w:eastAsia="MS Mincho" w:hAnsi="Times New Roman" w:cs="Times New Roman"/>
          <w:color w:val="000000"/>
          <w:lang w:val="lt-LT" w:eastAsia="ja-JP"/>
        </w:rPr>
        <w:t>Tame pačiame tyrime atviros faz</w:t>
      </w:r>
      <w:r>
        <w:rPr>
          <w:rFonts w:ascii="Times New Roman" w:eastAsia="MS Mincho" w:hAnsi="Times New Roman" w:cs="Times New Roman"/>
          <w:color w:val="000000"/>
          <w:lang w:val="lt-LT" w:eastAsia="ja-JP"/>
        </w:rPr>
        <w:t>ė</w:t>
      </w:r>
      <w:r w:rsidRPr="00C92BDF">
        <w:rPr>
          <w:rFonts w:ascii="Times New Roman" w:eastAsia="MS Mincho" w:hAnsi="Times New Roman" w:cs="Times New Roman"/>
          <w:color w:val="000000"/>
          <w:lang w:val="lt-LT" w:eastAsia="ja-JP"/>
        </w:rPr>
        <w:t xml:space="preserve">s metu 59 1-5 metų pacientai (svoris &gt;5 kg) buvo gydyti </w:t>
      </w:r>
      <w:r>
        <w:rPr>
          <w:rFonts w:ascii="Times New Roman" w:eastAsia="MS Mincho" w:hAnsi="Times New Roman" w:cs="Times New Roman"/>
          <w:color w:val="000000"/>
          <w:lang w:val="lt-LT" w:eastAsia="ja-JP"/>
        </w:rPr>
        <w:t>olmesartanu medoksomiliu</w:t>
      </w:r>
      <w:r w:rsidRPr="00C92BDF">
        <w:rPr>
          <w:rFonts w:ascii="Times New Roman" w:eastAsia="MS Mincho" w:hAnsi="Times New Roman" w:cs="Times New Roman"/>
          <w:color w:val="000000"/>
          <w:lang w:val="lt-LT" w:eastAsia="ja-JP"/>
        </w:rPr>
        <w:t xml:space="preserve"> 0,3 mg/kg kūno svorio tris savaites; po to (jie) buvo dvigubai aklu metodu randomizuoti į 2 grupes: vieni buvo gydyti </w:t>
      </w:r>
      <w:r>
        <w:rPr>
          <w:rFonts w:ascii="Times New Roman" w:eastAsia="MS Mincho" w:hAnsi="Times New Roman" w:cs="Times New Roman"/>
          <w:color w:val="000000"/>
          <w:lang w:val="lt-LT" w:eastAsia="ja-JP"/>
        </w:rPr>
        <w:t>olmesartanu medoksomiliu</w:t>
      </w:r>
      <w:r w:rsidRPr="00C92BDF">
        <w:rPr>
          <w:rFonts w:ascii="Times New Roman" w:eastAsia="MS Mincho" w:hAnsi="Times New Roman" w:cs="Times New Roman"/>
          <w:color w:val="000000"/>
          <w:lang w:val="lt-LT" w:eastAsia="ja-JP"/>
        </w:rPr>
        <w:t xml:space="preserve">, kiti – placebo. Pasibaigus tyrimui, antrosios savaitės pabaigoje vidutinis sistolinis/diastolinis kraujospūdis </w:t>
      </w:r>
      <w:r>
        <w:rPr>
          <w:rFonts w:ascii="Times New Roman" w:eastAsia="MS Mincho" w:hAnsi="Times New Roman" w:cs="Times New Roman"/>
          <w:color w:val="000000"/>
          <w:lang w:val="lt-LT" w:eastAsia="ja-JP"/>
        </w:rPr>
        <w:t>olmesartano medoksomilio</w:t>
      </w:r>
      <w:r w:rsidRPr="00C92BDF">
        <w:rPr>
          <w:rFonts w:ascii="Times New Roman" w:eastAsia="MS Mincho" w:hAnsi="Times New Roman" w:cs="Times New Roman"/>
          <w:color w:val="000000"/>
          <w:lang w:val="lt-LT" w:eastAsia="ja-JP"/>
        </w:rPr>
        <w:t xml:space="preserve"> grupėje buvo 3,3 mm Hg st. mažesnis, tačiau skirtumas buvo statistiškai nepatikimas  (95% C.I. -2 iki 7/-1 iki 7).</w:t>
      </w:r>
    </w:p>
    <w:p w14:paraId="70E32BAD" w14:textId="77777777" w:rsidR="004125E7" w:rsidRPr="00C92BDF" w:rsidRDefault="004125E7" w:rsidP="004125E7">
      <w:pPr>
        <w:spacing w:after="0" w:line="240" w:lineRule="auto"/>
        <w:rPr>
          <w:rFonts w:ascii="Times New Roman" w:eastAsia="MS Mincho" w:hAnsi="Times New Roman" w:cs="Times New Roman"/>
          <w:color w:val="000000"/>
          <w:lang w:val="lt-LT" w:eastAsia="ja-JP"/>
        </w:rPr>
      </w:pPr>
    </w:p>
    <w:p w14:paraId="560F756C" w14:textId="77777777" w:rsidR="004125E7" w:rsidRPr="00C92BDF" w:rsidRDefault="004125E7" w:rsidP="004125E7">
      <w:pPr>
        <w:spacing w:after="0" w:line="240" w:lineRule="auto"/>
        <w:rPr>
          <w:rFonts w:ascii="Times New Roman" w:eastAsia="MS Mincho" w:hAnsi="Times New Roman" w:cs="Times New Roman"/>
          <w:color w:val="000000"/>
          <w:u w:val="single"/>
          <w:lang w:val="lt-LT" w:eastAsia="ja-JP"/>
        </w:rPr>
      </w:pPr>
      <w:r w:rsidRPr="00C92BDF">
        <w:rPr>
          <w:rFonts w:ascii="Times New Roman" w:eastAsia="MS Mincho" w:hAnsi="Times New Roman" w:cs="Times New Roman"/>
          <w:color w:val="000000"/>
          <w:u w:val="single"/>
          <w:lang w:val="lt-LT" w:eastAsia="ja-JP"/>
        </w:rPr>
        <w:t>Kita informacija</w:t>
      </w:r>
    </w:p>
    <w:p w14:paraId="2A188787" w14:textId="77777777" w:rsidR="004125E7" w:rsidRPr="00C92BDF" w:rsidRDefault="004125E7" w:rsidP="004125E7">
      <w:pPr>
        <w:spacing w:after="0" w:line="240" w:lineRule="auto"/>
        <w:rPr>
          <w:rFonts w:ascii="Times New Roman" w:eastAsia="MS Mincho" w:hAnsi="Times New Roman" w:cs="Times New Roman"/>
          <w:color w:val="000000"/>
          <w:lang w:val="lt-LT" w:eastAsia="ja-JP"/>
        </w:rPr>
      </w:pPr>
      <w:r w:rsidRPr="00C92BDF">
        <w:rPr>
          <w:rFonts w:ascii="Times New Roman" w:eastAsia="MS Mincho" w:hAnsi="Times New Roman" w:cs="Times New Roman"/>
          <w:color w:val="000000"/>
          <w:lang w:val="lt-LT" w:eastAsia="ja-JP"/>
        </w:rPr>
        <w:t>Dviem dideliais atsitiktinės atrankos, kontroliuojamais tyrimais (</w:t>
      </w:r>
      <w:r w:rsidRPr="00C92BDF">
        <w:rPr>
          <w:rFonts w:ascii="Times New Roman" w:eastAsia="MS Mincho" w:hAnsi="Times New Roman" w:cs="Times New Roman"/>
          <w:i/>
          <w:color w:val="000000"/>
          <w:lang w:val="lt-LT" w:eastAsia="ja-JP"/>
        </w:rPr>
        <w:t xml:space="preserve">ONTARGET (angl. „ONgoing Telmisartan Alone and in combination with Ramipril Global Endpoint Trial“) </w:t>
      </w:r>
      <w:r w:rsidRPr="00C92BDF">
        <w:rPr>
          <w:rFonts w:ascii="Times New Roman" w:eastAsia="MS Mincho" w:hAnsi="Times New Roman" w:cs="Times New Roman"/>
          <w:color w:val="000000"/>
          <w:lang w:val="lt-LT" w:eastAsia="ja-JP"/>
        </w:rPr>
        <w:t xml:space="preserve">ir </w:t>
      </w:r>
      <w:r w:rsidRPr="00C92BDF">
        <w:rPr>
          <w:rFonts w:ascii="Times New Roman" w:eastAsia="MS Mincho" w:hAnsi="Times New Roman" w:cs="Times New Roman"/>
          <w:i/>
          <w:color w:val="000000"/>
          <w:lang w:val="lt-LT" w:eastAsia="ja-JP"/>
        </w:rPr>
        <w:t>VA NEPHRON-D (angl. „The Veterans Affairs Nephropathy in Diabetes“))</w:t>
      </w:r>
      <w:r w:rsidRPr="00C92BDF">
        <w:rPr>
          <w:rFonts w:ascii="Times New Roman" w:eastAsia="MS Mincho" w:hAnsi="Times New Roman" w:cs="Times New Roman"/>
          <w:color w:val="000000"/>
          <w:lang w:val="lt-LT" w:eastAsia="ja-JP"/>
        </w:rPr>
        <w:t xml:space="preserve"> buvo ištirtas AKF inhibitoriaus ir angiotenzino II receptorių blokatoriaus derinio vartojimas. </w:t>
      </w:r>
    </w:p>
    <w:p w14:paraId="0A1410FA" w14:textId="77777777" w:rsidR="004125E7" w:rsidRPr="00C92BDF" w:rsidRDefault="004125E7" w:rsidP="004125E7">
      <w:pPr>
        <w:spacing w:after="0" w:line="240" w:lineRule="auto"/>
        <w:rPr>
          <w:rFonts w:ascii="Times New Roman" w:eastAsia="MS Mincho" w:hAnsi="Times New Roman" w:cs="Times New Roman"/>
          <w:color w:val="000000"/>
          <w:lang w:val="lt-LT" w:eastAsia="ja-JP"/>
        </w:rPr>
      </w:pPr>
      <w:r w:rsidRPr="00C92BDF">
        <w:rPr>
          <w:rFonts w:ascii="Times New Roman" w:eastAsia="MS Mincho" w:hAnsi="Times New Roman" w:cs="Times New Roman"/>
          <w:color w:val="000000"/>
          <w:lang w:val="lt-LT" w:eastAsia="ja-JP"/>
        </w:rPr>
        <w:t xml:space="preserve">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 </w:t>
      </w:r>
    </w:p>
    <w:p w14:paraId="3EDBEC82" w14:textId="77777777" w:rsidR="004125E7" w:rsidRPr="00C92BDF" w:rsidRDefault="004125E7" w:rsidP="004125E7">
      <w:pPr>
        <w:spacing w:after="0" w:line="240" w:lineRule="auto"/>
        <w:rPr>
          <w:rFonts w:ascii="Times New Roman" w:eastAsia="MS Mincho" w:hAnsi="Times New Roman" w:cs="Times New Roman"/>
          <w:color w:val="000000"/>
          <w:lang w:val="lt-LT" w:eastAsia="ja-JP"/>
        </w:rPr>
      </w:pPr>
      <w:r w:rsidRPr="00C92BDF">
        <w:rPr>
          <w:rFonts w:ascii="Times New Roman" w:eastAsia="MS Mincho" w:hAnsi="Times New Roman" w:cs="Times New Roman"/>
          <w:color w:val="000000"/>
          <w:lang w:val="lt-LT" w:eastAsia="ja-JP"/>
        </w:rPr>
        <w:t xml:space="preserve">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 </w:t>
      </w:r>
    </w:p>
    <w:p w14:paraId="160D1F14" w14:textId="77777777" w:rsidR="004125E7" w:rsidRPr="00C92BDF" w:rsidRDefault="004125E7" w:rsidP="004125E7">
      <w:pPr>
        <w:spacing w:after="0" w:line="240" w:lineRule="auto"/>
        <w:rPr>
          <w:rFonts w:ascii="Times New Roman" w:eastAsia="MS Mincho" w:hAnsi="Times New Roman" w:cs="Times New Roman"/>
          <w:color w:val="000000"/>
          <w:lang w:val="lt-LT" w:eastAsia="ja-JP"/>
        </w:rPr>
      </w:pPr>
      <w:r w:rsidRPr="00C92BDF">
        <w:rPr>
          <w:rFonts w:ascii="Times New Roman" w:eastAsia="MS Mincho" w:hAnsi="Times New Roman" w:cs="Times New Roman"/>
          <w:color w:val="000000"/>
          <w:lang w:val="lt-LT" w:eastAsia="ja-JP"/>
        </w:rPr>
        <w:t xml:space="preserve">Todėl pacientams, sergantiems diabetine nefropatija, negalima kartu vartoti AKF inhibitorių ir angiotenzino II receptorių blokatorių. </w:t>
      </w:r>
    </w:p>
    <w:p w14:paraId="106E12AB" w14:textId="77777777" w:rsidR="004125E7" w:rsidRPr="00C92BDF" w:rsidRDefault="004125E7" w:rsidP="004125E7">
      <w:pPr>
        <w:spacing w:after="0" w:line="240" w:lineRule="auto"/>
        <w:rPr>
          <w:rFonts w:ascii="Times New Roman" w:eastAsia="MS Mincho" w:hAnsi="Times New Roman" w:cs="Times New Roman"/>
          <w:color w:val="000000"/>
          <w:lang w:val="lt-LT" w:eastAsia="ja-JP"/>
        </w:rPr>
      </w:pPr>
      <w:r w:rsidRPr="00C92BDF">
        <w:rPr>
          <w:rFonts w:ascii="Times New Roman" w:eastAsia="MS Mincho" w:hAnsi="Times New Roman" w:cs="Times New Roman"/>
          <w:i/>
          <w:color w:val="000000"/>
          <w:lang w:val="lt-LT" w:eastAsia="ja-JP"/>
        </w:rPr>
        <w:t>ALTITUDE (angl. „Aliskiren Trial in Type 2 Diabetes Using Cardiovascular and Renal Disease Endpoints“)</w:t>
      </w:r>
      <w:r w:rsidRPr="00C92BDF">
        <w:rPr>
          <w:rFonts w:ascii="Times New Roman" w:eastAsia="MS Mincho" w:hAnsi="Times New Roman" w:cs="Times New Roman"/>
          <w:color w:val="000000"/>
          <w:lang w:val="lt-LT" w:eastAsia="ja-JP"/>
        </w:rPr>
        <w:t xml:space="preserve">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69CED9C6"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3F856EDA"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7CFA6693" w14:textId="77777777" w:rsidR="004125E7" w:rsidRPr="00C92BDF" w:rsidRDefault="004125E7" w:rsidP="004125E7">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C92BDF">
        <w:rPr>
          <w:rFonts w:ascii="Times New Roman" w:eastAsia="Times New Roman" w:hAnsi="Times New Roman" w:cs="Times New Roman"/>
          <w:b/>
          <w:kern w:val="28"/>
          <w:lang w:val="lt-LT"/>
        </w:rPr>
        <w:t>5.2</w:t>
      </w:r>
      <w:r w:rsidRPr="00C92BDF">
        <w:rPr>
          <w:rFonts w:ascii="Times New Roman" w:eastAsia="Times New Roman" w:hAnsi="Times New Roman" w:cs="Times New Roman"/>
          <w:b/>
          <w:kern w:val="28"/>
          <w:lang w:val="lt-LT"/>
        </w:rPr>
        <w:tab/>
        <w:t>Farmakokinetinės savybės</w:t>
      </w:r>
    </w:p>
    <w:p w14:paraId="2D3E1D40" w14:textId="77777777" w:rsidR="004125E7" w:rsidRPr="00C92BDF" w:rsidRDefault="004125E7" w:rsidP="004125E7">
      <w:pPr>
        <w:spacing w:after="0" w:line="240" w:lineRule="auto"/>
        <w:rPr>
          <w:rFonts w:ascii="Times New Roman" w:eastAsia="Times New Roman" w:hAnsi="Times New Roman" w:cs="Times New Roman"/>
          <w:lang w:val="lt-LT"/>
        </w:rPr>
      </w:pPr>
    </w:p>
    <w:p w14:paraId="42F4DFDD" w14:textId="77777777" w:rsidR="004125E7" w:rsidRPr="00C92BDF" w:rsidRDefault="004125E7" w:rsidP="004125E7">
      <w:pPr>
        <w:spacing w:after="0" w:line="240" w:lineRule="auto"/>
        <w:rPr>
          <w:rFonts w:ascii="Times New Roman" w:eastAsia="Times New Roman" w:hAnsi="Times New Roman" w:cs="Times New Roman"/>
          <w:sz w:val="24"/>
          <w:szCs w:val="20"/>
          <w:lang w:val="lt-LT"/>
        </w:rPr>
      </w:pPr>
      <w:r w:rsidRPr="00C92BDF">
        <w:rPr>
          <w:rFonts w:ascii="Times New Roman" w:eastAsia="Times New Roman" w:hAnsi="Times New Roman" w:cs="Times New Roman"/>
          <w:iCs/>
          <w:u w:val="single"/>
          <w:lang w:val="lt-LT"/>
        </w:rPr>
        <w:t>Absorbcija ir pasiskirstymas</w:t>
      </w:r>
    </w:p>
    <w:p w14:paraId="473D034B" w14:textId="77777777" w:rsidR="004125E7" w:rsidRPr="00C92BDF" w:rsidRDefault="004125E7" w:rsidP="004125E7">
      <w:pPr>
        <w:spacing w:after="0" w:line="240" w:lineRule="auto"/>
        <w:rPr>
          <w:rFonts w:ascii="Times New Roman" w:eastAsia="Times New Roman" w:hAnsi="Times New Roman" w:cs="Times New Roman"/>
          <w:sz w:val="24"/>
          <w:szCs w:val="20"/>
          <w:lang w:val="lt-LT"/>
        </w:rPr>
      </w:pPr>
      <w:r w:rsidRPr="00C92BDF">
        <w:rPr>
          <w:rFonts w:ascii="Times New Roman" w:eastAsia="Times New Roman" w:hAnsi="Times New Roman" w:cs="Times New Roman"/>
          <w:sz w:val="24"/>
          <w:lang w:val="lt-LT"/>
        </w:rPr>
        <w:t>Olmesartanas medoksomilis yra vaisto pirmtakas. Absorbcijos iš virškinamojo trakto metu, veikiant žarnų gleivinėse ir vartų venos kraujyje esančioms esterazėms, jis greitai virsta farmakologiškai veikliu metabolitu olmesartanu.</w:t>
      </w:r>
    </w:p>
    <w:p w14:paraId="0AB41E34"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Nepakitusio olmesartano medoksomilio ar šoninės grandinės medoksomilio kraujyje ir organizmo išskyrose nerandama. Geriamųjų tablečių pavidalu vartojamo olmesartano vidutinis biologinis prieinamumas yra 25,6 %.</w:t>
      </w:r>
    </w:p>
    <w:p w14:paraId="3AF76F15"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416D4954"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Olmesartano vidutinė maksimali koncentracija kraujo plazmoje (C</w:t>
      </w:r>
      <w:r w:rsidRPr="00C92BDF">
        <w:rPr>
          <w:rFonts w:ascii="Times New Roman" w:eastAsia="Times New Roman" w:hAnsi="Times New Roman" w:cs="Times New Roman"/>
          <w:vertAlign w:val="subscript"/>
          <w:lang w:val="lt-LT"/>
        </w:rPr>
        <w:t>max</w:t>
      </w:r>
      <w:r w:rsidRPr="00C92BDF">
        <w:rPr>
          <w:rFonts w:ascii="Times New Roman" w:eastAsia="Times New Roman" w:hAnsi="Times New Roman" w:cs="Times New Roman"/>
          <w:lang w:val="lt-LT"/>
        </w:rPr>
        <w:t>), išgėrus olmesartano medoksomilio, pasiekiama apytikriai per 2 val., koncentracija kraujo plazmoje didėja apytikriai linijiniu būdu, kai dozė didinama maždaug iki 80 mg.</w:t>
      </w:r>
    </w:p>
    <w:p w14:paraId="18A2E70C"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3C866E6F"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Olmesartano biologiniam prieinamumui maisto įtaka yra minimali, todėl olmesartanas medoksomilis gali būti vartojamas tiek valgio metu, tiek ir nevalgius.</w:t>
      </w:r>
    </w:p>
    <w:p w14:paraId="0C475F36"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291C47A7"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Olmesartano farmakokinetikoje kliniškai reikšmingo skirtumo tarp lyčių nėra.</w:t>
      </w:r>
    </w:p>
    <w:p w14:paraId="3CF58B83"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32F6031F"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 xml:space="preserve">Olmesartanas stipriai susijungia su kraujo plazmos baltymais (99,7 %), bet jo gebėjimas trikdyti kitų kartu vartojamų vaistinių medžiagų susijungimą su baltymais kliniškai mažai reikšmingas (tai </w:t>
      </w:r>
      <w:r w:rsidRPr="00C92BDF">
        <w:rPr>
          <w:rFonts w:ascii="Times New Roman" w:eastAsia="Times New Roman" w:hAnsi="Times New Roman" w:cs="Times New Roman"/>
          <w:lang w:val="lt-LT"/>
        </w:rPr>
        <w:lastRenderedPageBreak/>
        <w:t>patvirtina kliniškai mažai reikšminga olmesartano medoksomilio ir varfarino sąveika). Olmesartano susijungimas su kraujo ląstelėmis yra nereikšmingas. Sušvirkštus į veną, vidutinis pasiskirstymo tūris yra nedidelis (16-29 l).</w:t>
      </w:r>
    </w:p>
    <w:p w14:paraId="22E290A2"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68D35E8E" w14:textId="77777777" w:rsidR="004125E7" w:rsidRPr="00C92BDF" w:rsidRDefault="004125E7" w:rsidP="004125E7">
      <w:pPr>
        <w:spacing w:after="0" w:line="240" w:lineRule="auto"/>
        <w:rPr>
          <w:rFonts w:ascii="Times New Roman" w:eastAsia="Times New Roman" w:hAnsi="Times New Roman" w:cs="Times New Roman"/>
          <w:iCs/>
          <w:u w:val="single"/>
          <w:lang w:val="lt-LT"/>
        </w:rPr>
      </w:pPr>
      <w:r w:rsidRPr="00C92BDF">
        <w:rPr>
          <w:rFonts w:ascii="Times New Roman" w:eastAsia="Times New Roman" w:hAnsi="Times New Roman" w:cs="Times New Roman"/>
          <w:iCs/>
          <w:u w:val="single"/>
          <w:lang w:val="lt-LT"/>
        </w:rPr>
        <w:t>Biotransformacija ir eliminacija</w:t>
      </w:r>
    </w:p>
    <w:p w14:paraId="0FDF6746"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 xml:space="preserve">Visiškas plazmos klirensas dažniausiai buvo 1,3 l/val. (CV, 19 %) ir, palyginti su kraujotaka kepenyse (apie 90 l/val.), santykinai lėtas. Išgėrus vienkartinę žymėto </w:t>
      </w:r>
      <w:r w:rsidRPr="00C92BDF">
        <w:rPr>
          <w:rFonts w:ascii="Times New Roman" w:eastAsia="Times New Roman" w:hAnsi="Times New Roman" w:cs="Times New Roman"/>
          <w:vertAlign w:val="superscript"/>
          <w:lang w:val="lt-LT"/>
        </w:rPr>
        <w:t>14</w:t>
      </w:r>
      <w:r w:rsidRPr="00C92BDF">
        <w:rPr>
          <w:rFonts w:ascii="Times New Roman" w:eastAsia="Times New Roman" w:hAnsi="Times New Roman" w:cs="Times New Roman"/>
          <w:lang w:val="lt-LT"/>
        </w:rPr>
        <w:t>C olmesartano medoksomilio dozę, 10-16 % bendrojo radioaktyvumo išsiskyrė su šlapimu (didžiausia dalis – per 24 valandas po pavartojimo), kita dalis – su išmatomis. Įvertinus sisteminį 25,6 % prieinamumą, galima apskaičiuoti, kad rezorbuotas olmesartanas išsiskiria tiek per inkstus (apie 40 %), tiek – metabolizuojamas kepenyse ir išskiriamas su tulžimi (apie 60 %). Visa išsiskyrusi radioaktyvioji medžiaga buvo olmesartanas. Kitų svarbių metabolitų nerasta. Olmesartano enterohepatinė cirkuliacija yra nežymi. Dėl to, kad didelė olmesartano dalis iš organizmo išsiskiria su tulžimi, juo negalima gydyti pacientų, kuriems nustatytas sutrikęs tulžies latakų praeinamumas (žr. 4.3 skyrių).</w:t>
      </w:r>
    </w:p>
    <w:p w14:paraId="08899B4F"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2217E5FD"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Išgėrus keletą dozių, olmesartano terminalinis pusinės eliminacijos laikas yra 10-15 val. Pastovi koncentracija kraujo plazmoje susidaro po kelių pirmųjų dozių. Vėliau, geriant vaistinį preparatą 14 dienų, jo sankaupos nebuvo. Inkstų klirensas buvo apie 0,5-0,7  l/val., jis nepriklauso nuo dozės.</w:t>
      </w:r>
    </w:p>
    <w:p w14:paraId="09DEEEE9"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48800582"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color w:val="FF0000"/>
          <w:u w:val="single"/>
          <w:lang w:val="lt-LT"/>
        </w:rPr>
      </w:pPr>
      <w:r w:rsidRPr="00C92BDF">
        <w:rPr>
          <w:rFonts w:ascii="Times New Roman" w:eastAsia="Times New Roman" w:hAnsi="Times New Roman" w:cs="Times New Roman"/>
          <w:u w:val="single"/>
          <w:lang w:val="lt-LT"/>
        </w:rPr>
        <w:t xml:space="preserve">Farmakokinetika specialiųjų grupių ligonių organizme </w:t>
      </w:r>
    </w:p>
    <w:p w14:paraId="72603426"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6FBD9388"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i/>
          <w:lang w:val="lt-LT"/>
        </w:rPr>
      </w:pPr>
      <w:r w:rsidRPr="00C92BDF">
        <w:rPr>
          <w:rFonts w:ascii="Times New Roman" w:eastAsia="Times New Roman" w:hAnsi="Times New Roman" w:cs="Times New Roman"/>
          <w:i/>
          <w:lang w:val="lt-LT"/>
        </w:rPr>
        <w:t xml:space="preserve">Vaikų populiacija </w:t>
      </w:r>
    </w:p>
    <w:p w14:paraId="56D1C0D1"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Olmesartano farmakokinetika tirta nuo 1 iki 16 metų vaikams. Po duomenų korekcijos, atsižvelgiant į kūno svorį, olmesartano klirensas vaikų organizme buvo panašus į suaugusiųjų.</w:t>
      </w:r>
    </w:p>
    <w:p w14:paraId="47DEE7DE"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Kokių nors duomenų apie olmesartano farmakokinetiką vaikams su inkstų funkcijos sutrikimais nėra.</w:t>
      </w:r>
    </w:p>
    <w:p w14:paraId="4D721699" w14:textId="77777777" w:rsidR="004125E7" w:rsidRPr="00C92BDF" w:rsidRDefault="004125E7" w:rsidP="004125E7">
      <w:pPr>
        <w:spacing w:after="0" w:line="240" w:lineRule="auto"/>
        <w:rPr>
          <w:rFonts w:ascii="Times New Roman" w:eastAsia="Times New Roman" w:hAnsi="Times New Roman" w:cs="Times New Roman"/>
          <w:i/>
          <w:iCs/>
          <w:lang w:val="lt-LT"/>
        </w:rPr>
      </w:pPr>
      <w:r w:rsidRPr="00C92BDF">
        <w:rPr>
          <w:rFonts w:ascii="Times New Roman" w:eastAsia="Times New Roman" w:hAnsi="Times New Roman" w:cs="Times New Roman"/>
          <w:i/>
          <w:iCs/>
          <w:lang w:val="lt-LT"/>
        </w:rPr>
        <w:t>Senyvi pacientai (65 metų ir vyresni)</w:t>
      </w:r>
    </w:p>
    <w:p w14:paraId="2CD9DB74"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 xml:space="preserve">Sergančiųjų hipertenzija grupėje, esant vaisto koncentracijos kraujo plazmoje pusiausvyrai, plotas po koncentracijos ir laiko kitimo kreive (AUC) senyviems pacientams (65-75 metų) padidėja apie 35 %, dar vyresniems (daugiau kaip 75 metų) padidėja apie 44 %, palyginti su jaunesnio amžiaus pacientų grupe. Tai bent iš dalies gali būti susiję su vidutinio sunkumo inkstų funkcijos sutrikimu šioje pacientų grupėje. </w:t>
      </w:r>
    </w:p>
    <w:p w14:paraId="3CC4ABE3"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6002E686" w14:textId="77777777" w:rsidR="004125E7" w:rsidRPr="00C92BDF" w:rsidRDefault="004125E7" w:rsidP="004125E7">
      <w:pPr>
        <w:spacing w:after="0" w:line="240" w:lineRule="auto"/>
        <w:rPr>
          <w:rFonts w:ascii="Times New Roman" w:eastAsia="Times New Roman" w:hAnsi="Times New Roman" w:cs="Times New Roman"/>
          <w:i/>
          <w:iCs/>
          <w:lang w:val="lt-LT"/>
        </w:rPr>
      </w:pPr>
      <w:r w:rsidRPr="00C92BDF">
        <w:rPr>
          <w:rFonts w:ascii="Times New Roman" w:eastAsia="Times New Roman" w:hAnsi="Times New Roman" w:cs="Times New Roman"/>
          <w:i/>
          <w:iCs/>
          <w:lang w:val="lt-LT"/>
        </w:rPr>
        <w:t>Sutrikusi inkstų funkcija</w:t>
      </w:r>
    </w:p>
    <w:p w14:paraId="6A529252"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Esant vaistinio preparato koncentracijos kraujo plazmoje pusiausvyrai, plotas po vaistinio preparato koncentracijos ir laiko kitimo kreive (AUC) padidėja 62 %, kai inkstų veiklos sutrikimas nedidelis, 82 % – kai vidutinis, 179 % – kai sunkus, palyginti su sveikais kontrolinės grupės asmenimis (žr. 4.2, 4.4 skyrius).</w:t>
      </w:r>
    </w:p>
    <w:p w14:paraId="7CC4465A"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10CBE07C" w14:textId="77777777" w:rsidR="004125E7" w:rsidRPr="00C92BDF" w:rsidRDefault="004125E7" w:rsidP="004125E7">
      <w:pPr>
        <w:spacing w:after="0" w:line="240" w:lineRule="auto"/>
        <w:rPr>
          <w:rFonts w:ascii="Times New Roman" w:eastAsia="Times New Roman" w:hAnsi="Times New Roman" w:cs="Times New Roman"/>
          <w:i/>
          <w:iCs/>
          <w:lang w:val="lt-LT"/>
        </w:rPr>
      </w:pPr>
      <w:r w:rsidRPr="00C92BDF">
        <w:rPr>
          <w:rFonts w:ascii="Times New Roman" w:eastAsia="Times New Roman" w:hAnsi="Times New Roman" w:cs="Times New Roman"/>
          <w:i/>
          <w:iCs/>
          <w:lang w:val="lt-LT"/>
        </w:rPr>
        <w:t>Sutrikusi kepenų funkcija</w:t>
      </w:r>
    </w:p>
    <w:p w14:paraId="786FBD33"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 xml:space="preserve">Išgėrus olmesartano vieną kartą, jo AUC duomenys, lengvai ir vidutiniškai sutrikus kepenų veiklai, buvo 6 % ir 65 % didesni, palyginus su sveikais kontroliniais asmenimis. Nekonjuguoto olmesartano kiekis, praėjus dviem valandoms po vaistinio preparato išgėrimo, sveikiems asmenims buvo atitinkamai 0,26 %, esant lengvam kepenų veiklos sutrikimui − 0,34 %, vidutiniam kepenų veiklos sutrikimui − 0,41 %. </w:t>
      </w:r>
    </w:p>
    <w:p w14:paraId="71BA4AA8"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Po kartotinių dozių, esant vidutinio sunkumo kepenų veiklos sutrikimui, olmesartano vidutinė AUC buvo apie 65 % didesnė, palyginti su sveikais asmenimis. Olmesartano vidutinė C</w:t>
      </w:r>
      <w:r w:rsidRPr="00C92BDF">
        <w:rPr>
          <w:rFonts w:ascii="Times New Roman" w:eastAsia="Times New Roman" w:hAnsi="Times New Roman" w:cs="Times New Roman"/>
          <w:vertAlign w:val="subscript"/>
          <w:lang w:val="lt-LT"/>
        </w:rPr>
        <w:t xml:space="preserve">max </w:t>
      </w:r>
      <w:r w:rsidRPr="00C92BDF">
        <w:rPr>
          <w:rFonts w:ascii="Times New Roman" w:eastAsia="Times New Roman" w:hAnsi="Times New Roman" w:cs="Times New Roman"/>
          <w:lang w:val="lt-LT"/>
        </w:rPr>
        <w:t xml:space="preserve"> sveikiems asmenims ir pacientams su kepenų funkcijos sutrikimu buvo panaši. Olmesartano medoksomilio savybės, esant sunkiam kepenų veiklos sutrikimui, netirtos (žr. 4.2 ir 4.4 skyrius).</w:t>
      </w:r>
    </w:p>
    <w:p w14:paraId="12CEF610"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28C26E00" w14:textId="77777777" w:rsidR="004125E7" w:rsidRPr="00E62BE2" w:rsidRDefault="004125E7" w:rsidP="004125E7">
      <w:pPr>
        <w:tabs>
          <w:tab w:val="center" w:pos="4153"/>
          <w:tab w:val="right" w:pos="8306"/>
        </w:tabs>
        <w:autoSpaceDE w:val="0"/>
        <w:autoSpaceDN w:val="0"/>
        <w:spacing w:after="0" w:line="240" w:lineRule="auto"/>
        <w:jc w:val="both"/>
        <w:rPr>
          <w:rFonts w:ascii="Times New Roman" w:hAnsi="Times New Roman"/>
          <w:i/>
          <w:color w:val="000000"/>
          <w:spacing w:val="-3"/>
          <w:shd w:val="clear" w:color="auto" w:fill="FFFFFF"/>
          <w:lang w:val="sv-SE"/>
        </w:rPr>
      </w:pPr>
      <w:r w:rsidRPr="00E62BE2">
        <w:rPr>
          <w:rFonts w:ascii="Times New Roman" w:hAnsi="Times New Roman"/>
          <w:i/>
          <w:color w:val="000000"/>
          <w:spacing w:val="-3"/>
          <w:shd w:val="clear" w:color="auto" w:fill="FFFFFF"/>
          <w:lang w:val="sv-SE"/>
        </w:rPr>
        <w:t>Tulžies rūgštis surišantis vaistinis preparatas kolesevelamas</w:t>
      </w:r>
    </w:p>
    <w:p w14:paraId="4602B397"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shd w:val="clear" w:color="auto" w:fill="FFFFFF"/>
          <w:lang w:val="lt-LT"/>
        </w:rPr>
        <w:t>Kai sveiki žmonės vartojo 40 mg olmesartano medoksomilio kartu su 3750 mg kolesevelamo hidrochloridu, tai 28% sumažino maksimalią olmesartano plazmos koncentraciją ir 39% jo biologinį prieinamumą. Kai olmesartano buvo vartojama bent 4 val. prieš kolesevelamo hidrochloridą, minėta sąveika buvo mažesnė (maksimali plazmos koncentracija sumažėjo tik 4%, o biologinis prieinamumas 15%) (žr. 4.5 skyrių).</w:t>
      </w:r>
    </w:p>
    <w:p w14:paraId="70B08D88"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403286E7" w14:textId="77777777" w:rsidR="004125E7" w:rsidRPr="00C92BDF" w:rsidRDefault="004125E7" w:rsidP="004125E7">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C92BDF">
        <w:rPr>
          <w:rFonts w:ascii="Times New Roman" w:eastAsia="Times New Roman" w:hAnsi="Times New Roman" w:cs="Times New Roman"/>
          <w:b/>
          <w:kern w:val="28"/>
          <w:lang w:val="lt-LT"/>
        </w:rPr>
        <w:lastRenderedPageBreak/>
        <w:t>5.3</w:t>
      </w:r>
      <w:r w:rsidRPr="00C92BDF">
        <w:rPr>
          <w:rFonts w:ascii="Times New Roman" w:eastAsia="Times New Roman" w:hAnsi="Times New Roman" w:cs="Times New Roman"/>
          <w:b/>
          <w:kern w:val="28"/>
          <w:lang w:val="lt-LT"/>
        </w:rPr>
        <w:tab/>
        <w:t>Ikiklinikinių saugumo tyrimų duomenys</w:t>
      </w:r>
    </w:p>
    <w:p w14:paraId="6D6E265B"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35C2541D"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Toksinio kartotinių dozių tyrimais su žiurkėmis ir šunimis nustatytas olmesartano medoksomilio poveikis buvo panašus kitiems AT</w:t>
      </w:r>
      <w:r w:rsidRPr="00C92BDF">
        <w:rPr>
          <w:rFonts w:ascii="Times New Roman" w:eastAsia="Times New Roman" w:hAnsi="Times New Roman" w:cs="Times New Roman"/>
          <w:vertAlign w:val="subscript"/>
          <w:lang w:val="lt-LT"/>
        </w:rPr>
        <w:t xml:space="preserve">1 </w:t>
      </w:r>
      <w:r w:rsidRPr="00C92BDF">
        <w:rPr>
          <w:rFonts w:ascii="Times New Roman" w:eastAsia="Times New Roman" w:hAnsi="Times New Roman" w:cs="Times New Roman"/>
          <w:lang w:val="lt-LT"/>
        </w:rPr>
        <w:t>receptorių antagonistams ir AKF inhibitoriams: kraujo plazmoje padidėjo šlapalo ir kreatinino kiekis (dėl inkstų funkcijos pakitimų blokavus AT</w:t>
      </w:r>
      <w:r w:rsidRPr="00C92BDF">
        <w:rPr>
          <w:rFonts w:ascii="Times New Roman" w:eastAsia="Times New Roman" w:hAnsi="Times New Roman" w:cs="Times New Roman"/>
          <w:vertAlign w:val="subscript"/>
          <w:lang w:val="lt-LT"/>
        </w:rPr>
        <w:t xml:space="preserve">1 </w:t>
      </w:r>
      <w:r w:rsidRPr="00C92BDF">
        <w:rPr>
          <w:rFonts w:ascii="Times New Roman" w:eastAsia="Times New Roman" w:hAnsi="Times New Roman" w:cs="Times New Roman"/>
          <w:lang w:val="lt-LT"/>
        </w:rPr>
        <w:t>receptorius), sumažėjo širdies svoris, sumažėjo eritrocitų rodmenys (eritrocitų skaičius, hemoglobino kiekis, hematokrito vertė); inkstų audinio pakitimai, nustatyti histologiniais metodais (pažeistas inkstų epitelis, suplonėjusi bazinė membrana, išsiplėtę inkstų kanalėliai). Šie nepageidaujami reiškiniai, kuriuos sukėlė olmesartano medoksomilio farmakologinis poveikis, buvo nustatyti ir atliekant ikiklinikinius kitų AT</w:t>
      </w:r>
      <w:r w:rsidRPr="00C92BDF">
        <w:rPr>
          <w:rFonts w:ascii="Times New Roman" w:eastAsia="Times New Roman" w:hAnsi="Times New Roman" w:cs="Times New Roman"/>
          <w:vertAlign w:val="subscript"/>
          <w:lang w:val="lt-LT"/>
        </w:rPr>
        <w:t>1</w:t>
      </w:r>
      <w:r w:rsidRPr="00C92BDF">
        <w:rPr>
          <w:rFonts w:ascii="Times New Roman" w:eastAsia="Times New Roman" w:hAnsi="Times New Roman" w:cs="Times New Roman"/>
          <w:lang w:val="lt-LT"/>
        </w:rPr>
        <w:t xml:space="preserve"> receptorių antagonistų ir AKF inhibitorių tyrimus; juos galima sumažinti duodant kartu gerti natrio chlorido.</w:t>
      </w:r>
    </w:p>
    <w:p w14:paraId="7B21BB77"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5821C9C0"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Abiejų rūšių gyvūnams buvo nustatytas padidėjęs kraujo plazmos renino aktyvumas ir inkstų jukstaglomerulinių ląstelių hipertrofija arba hiperplazija. Manoma, kad šie pakitimai, būdingi ir kitiems AKF inhibitoriams bei AT</w:t>
      </w:r>
      <w:r w:rsidRPr="00C92BDF">
        <w:rPr>
          <w:rFonts w:ascii="Times New Roman" w:eastAsia="Times New Roman" w:hAnsi="Times New Roman" w:cs="Times New Roman"/>
          <w:vertAlign w:val="subscript"/>
          <w:lang w:val="lt-LT"/>
        </w:rPr>
        <w:t>1</w:t>
      </w:r>
      <w:r w:rsidRPr="00C92BDF">
        <w:rPr>
          <w:rFonts w:ascii="Times New Roman" w:eastAsia="Times New Roman" w:hAnsi="Times New Roman" w:cs="Times New Roman"/>
          <w:lang w:val="lt-LT"/>
        </w:rPr>
        <w:t xml:space="preserve"> receptorių antagonistams, klinikinės reikšmės neturi.</w:t>
      </w:r>
    </w:p>
    <w:p w14:paraId="2345BEF7"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45BBD901"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Kaip ir kiti AT</w:t>
      </w:r>
      <w:r w:rsidRPr="00C92BDF">
        <w:rPr>
          <w:rFonts w:ascii="Times New Roman" w:eastAsia="Times New Roman" w:hAnsi="Times New Roman" w:cs="Times New Roman"/>
          <w:vertAlign w:val="subscript"/>
          <w:lang w:val="lt-LT"/>
        </w:rPr>
        <w:t xml:space="preserve">1 </w:t>
      </w:r>
      <w:r w:rsidRPr="00C92BDF">
        <w:rPr>
          <w:rFonts w:ascii="Times New Roman" w:eastAsia="Times New Roman" w:hAnsi="Times New Roman" w:cs="Times New Roman"/>
          <w:lang w:val="lt-LT"/>
        </w:rPr>
        <w:t xml:space="preserve">receptorių antagonistai, olmesartanas medoksomilis </w:t>
      </w:r>
      <w:r w:rsidRPr="00C92BDF">
        <w:rPr>
          <w:rFonts w:ascii="Times New Roman" w:eastAsia="Times New Roman" w:hAnsi="Times New Roman" w:cs="Times New Roman"/>
          <w:i/>
          <w:lang w:val="lt-LT"/>
        </w:rPr>
        <w:t xml:space="preserve">in vitro </w:t>
      </w:r>
      <w:r w:rsidRPr="00C92BDF">
        <w:rPr>
          <w:rFonts w:ascii="Times New Roman" w:eastAsia="Times New Roman" w:hAnsi="Times New Roman" w:cs="Times New Roman"/>
          <w:lang w:val="lt-LT"/>
        </w:rPr>
        <w:t xml:space="preserve">ląstelių kultūrose chromosomų pakitimų dažnio nepadidino. Keliuose </w:t>
      </w:r>
      <w:r w:rsidRPr="00C92BDF">
        <w:rPr>
          <w:rFonts w:ascii="Times New Roman" w:eastAsia="Times New Roman" w:hAnsi="Times New Roman" w:cs="Times New Roman"/>
          <w:i/>
          <w:lang w:val="lt-LT"/>
        </w:rPr>
        <w:t>in vivo</w:t>
      </w:r>
      <w:r w:rsidRPr="00C92BDF">
        <w:rPr>
          <w:rFonts w:ascii="Times New Roman" w:eastAsia="Times New Roman" w:hAnsi="Times New Roman" w:cs="Times New Roman"/>
          <w:lang w:val="lt-LT"/>
        </w:rPr>
        <w:t xml:space="preserve"> atliktuose</w:t>
      </w:r>
      <w:r w:rsidRPr="00C92BDF">
        <w:rPr>
          <w:rFonts w:ascii="Times New Roman" w:eastAsia="Times New Roman" w:hAnsi="Times New Roman" w:cs="Times New Roman"/>
          <w:i/>
          <w:lang w:val="lt-LT"/>
        </w:rPr>
        <w:t xml:space="preserve"> </w:t>
      </w:r>
      <w:r w:rsidRPr="00C92BDF">
        <w:rPr>
          <w:rFonts w:ascii="Times New Roman" w:eastAsia="Times New Roman" w:hAnsi="Times New Roman" w:cs="Times New Roman"/>
          <w:lang w:val="lt-LT"/>
        </w:rPr>
        <w:t>tyrimuose olmesartanas medoksomilis, duodant jo gerti labai dideles dozes (iki 2000 mg/kg kūno svorio), reikšmingų pakitimų nesukėlė. Visapusiškų genotoksinio poveikio tyrimų rezultatai rodo, kad, vartojant klinikinėje praktikoje nustatytomis dozėmis, olmesartano genotoksinis poveikis mažai tikėtinas.</w:t>
      </w:r>
    </w:p>
    <w:p w14:paraId="5280DBF2"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Olmesartanas medoksomilis nepasižymi kancerogeniniu poveikiu; tai nustatyta, dvejus metus atliekant tyrimus su žiurkėmis ir 6 mėnesius su transgeninėmis pelėmis.</w:t>
      </w:r>
    </w:p>
    <w:p w14:paraId="3482B1ED"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14F090DD"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Atliekant žiurkių vaisingumo tyrimus, nustatyta, kad olmesartanas medoksomilis įtakos reprodukcijai  neturėjo, jokių teratogeninio poveikio požymių nerasta. Panašiai kaip kitiems angiotenzino II antagonistams, veikiant olmesartanui medoksomiliui, palikuonių išgyvenamumas buvo sumažėjęs, vėlyvuoju nėštumo laikotarpiu ir žindymo metu buvo nustatytas jų inkstų geldelių išsiplėtimas. Panašiai kaip ir kiti antihipertenziniai vaistai, olmesartanas medoksomilis buvo labiau toksiškas vaikingoms triušių patelėms nei vaikingoms žiurkių patelėms, bet toksinio poveikio vaisiui nenustatyta.</w:t>
      </w:r>
    </w:p>
    <w:p w14:paraId="6BF237DD" w14:textId="77777777" w:rsidR="004125E7" w:rsidRPr="00C92BDF" w:rsidRDefault="004125E7" w:rsidP="004125E7">
      <w:pPr>
        <w:spacing w:after="0" w:line="240" w:lineRule="auto"/>
        <w:rPr>
          <w:rFonts w:ascii="Times New Roman" w:eastAsia="Times New Roman" w:hAnsi="Times New Roman" w:cs="Times New Roman"/>
          <w:lang w:val="lt-LT"/>
        </w:rPr>
      </w:pPr>
    </w:p>
    <w:p w14:paraId="4656015C" w14:textId="77777777" w:rsidR="004125E7" w:rsidRPr="00C92BDF" w:rsidRDefault="004125E7" w:rsidP="004125E7">
      <w:pPr>
        <w:keepNext/>
        <w:tabs>
          <w:tab w:val="left" w:pos="567"/>
        </w:tabs>
        <w:spacing w:after="0" w:line="240" w:lineRule="auto"/>
        <w:outlineLvl w:val="1"/>
        <w:rPr>
          <w:rFonts w:ascii="Times New Roman" w:eastAsia="Times New Roman" w:hAnsi="Times New Roman" w:cs="Times New Roman"/>
          <w:b/>
          <w:lang w:val="lt-LT"/>
        </w:rPr>
      </w:pPr>
      <w:r w:rsidRPr="00C92BDF">
        <w:rPr>
          <w:rFonts w:ascii="Times New Roman" w:eastAsia="Times New Roman" w:hAnsi="Times New Roman" w:cs="Times New Roman"/>
          <w:b/>
          <w:lang w:val="lt-LT"/>
        </w:rPr>
        <w:t>6.</w:t>
      </w:r>
      <w:r w:rsidRPr="00C92BDF">
        <w:rPr>
          <w:rFonts w:ascii="Times New Roman" w:eastAsia="Times New Roman" w:hAnsi="Times New Roman" w:cs="Times New Roman"/>
          <w:b/>
          <w:lang w:val="lt-LT"/>
        </w:rPr>
        <w:tab/>
        <w:t>FARMACINĖ INFORMACIJA</w:t>
      </w:r>
    </w:p>
    <w:p w14:paraId="6C7F0BCC"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60F48818" w14:textId="77777777" w:rsidR="004125E7" w:rsidRPr="00C92BDF" w:rsidRDefault="004125E7" w:rsidP="004125E7">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C92BDF">
        <w:rPr>
          <w:rFonts w:ascii="Times New Roman" w:eastAsia="Times New Roman" w:hAnsi="Times New Roman" w:cs="Times New Roman"/>
          <w:b/>
          <w:kern w:val="28"/>
          <w:lang w:val="lt-LT"/>
        </w:rPr>
        <w:t>6.1</w:t>
      </w:r>
      <w:r w:rsidRPr="00C92BDF">
        <w:rPr>
          <w:rFonts w:ascii="Times New Roman" w:eastAsia="Times New Roman" w:hAnsi="Times New Roman" w:cs="Times New Roman"/>
          <w:b/>
          <w:kern w:val="28"/>
          <w:lang w:val="lt-LT"/>
        </w:rPr>
        <w:tab/>
        <w:t>Pagalbinių medžiagų sąrašas</w:t>
      </w:r>
    </w:p>
    <w:p w14:paraId="2015EBA5"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03FDD424"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Tabletės šerdis</w:t>
      </w:r>
    </w:p>
    <w:p w14:paraId="3BC00939"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Mikrokristalinė celiuliozė</w:t>
      </w:r>
    </w:p>
    <w:p w14:paraId="512EA6A0"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Laktozė monohidratas</w:t>
      </w:r>
    </w:p>
    <w:p w14:paraId="05BB1694"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 xml:space="preserve">Hidroksipropilceliuliozė </w:t>
      </w:r>
    </w:p>
    <w:p w14:paraId="755DE60F"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Nedaug pakeista hidroksipropilceliuliozė</w:t>
      </w:r>
    </w:p>
    <w:p w14:paraId="2E4FB36E"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Magnio stearatas</w:t>
      </w:r>
    </w:p>
    <w:p w14:paraId="42A33EAE"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0BA86A23"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Tabletės plėvelė</w:t>
      </w:r>
    </w:p>
    <w:p w14:paraId="56FC7AC8"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Titano dioksidas (E 171)</w:t>
      </w:r>
    </w:p>
    <w:p w14:paraId="2EFF4218"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Talkas</w:t>
      </w:r>
    </w:p>
    <w:p w14:paraId="11975ABA"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Hipromeliozė</w:t>
      </w:r>
    </w:p>
    <w:p w14:paraId="76805A66"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3518EA2D" w14:textId="77777777" w:rsidR="004125E7" w:rsidRPr="00C92BDF" w:rsidRDefault="004125E7" w:rsidP="004125E7">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C92BDF">
        <w:rPr>
          <w:rFonts w:ascii="Times New Roman" w:eastAsia="Times New Roman" w:hAnsi="Times New Roman" w:cs="Times New Roman"/>
          <w:b/>
          <w:kern w:val="28"/>
          <w:lang w:val="lt-LT"/>
        </w:rPr>
        <w:t>6.2</w:t>
      </w:r>
      <w:r w:rsidRPr="00C92BDF">
        <w:rPr>
          <w:rFonts w:ascii="Times New Roman" w:eastAsia="Times New Roman" w:hAnsi="Times New Roman" w:cs="Times New Roman"/>
          <w:b/>
          <w:kern w:val="28"/>
          <w:lang w:val="lt-LT"/>
        </w:rPr>
        <w:tab/>
        <w:t>Nesuderinamumas</w:t>
      </w:r>
    </w:p>
    <w:p w14:paraId="17DC8236"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017C1E7F"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Duomenys nebūtini.</w:t>
      </w:r>
    </w:p>
    <w:p w14:paraId="11AAAF8D"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5C1D7DA7" w14:textId="77777777" w:rsidR="004125E7" w:rsidRPr="00C92BDF" w:rsidRDefault="004125E7" w:rsidP="004125E7">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C92BDF">
        <w:rPr>
          <w:rFonts w:ascii="Times New Roman" w:eastAsia="Times New Roman" w:hAnsi="Times New Roman" w:cs="Times New Roman"/>
          <w:b/>
          <w:kern w:val="28"/>
          <w:lang w:val="lt-LT"/>
        </w:rPr>
        <w:t>6.3</w:t>
      </w:r>
      <w:r w:rsidRPr="00C92BDF">
        <w:rPr>
          <w:rFonts w:ascii="Times New Roman" w:eastAsia="Times New Roman" w:hAnsi="Times New Roman" w:cs="Times New Roman"/>
          <w:b/>
          <w:kern w:val="28"/>
          <w:lang w:val="lt-LT"/>
        </w:rPr>
        <w:tab/>
        <w:t>Tinkamumo laikas</w:t>
      </w:r>
    </w:p>
    <w:p w14:paraId="726A554E"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74578D90"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3 metai.</w:t>
      </w:r>
    </w:p>
    <w:p w14:paraId="5DDED3CF"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487087D6" w14:textId="77777777" w:rsidR="004125E7" w:rsidRPr="00C92BDF" w:rsidRDefault="004125E7" w:rsidP="004125E7">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C92BDF">
        <w:rPr>
          <w:rFonts w:ascii="Times New Roman" w:eastAsia="Times New Roman" w:hAnsi="Times New Roman" w:cs="Times New Roman"/>
          <w:b/>
          <w:kern w:val="28"/>
          <w:lang w:val="lt-LT"/>
        </w:rPr>
        <w:lastRenderedPageBreak/>
        <w:t>6.4</w:t>
      </w:r>
      <w:r w:rsidRPr="00C92BDF">
        <w:rPr>
          <w:rFonts w:ascii="Times New Roman" w:eastAsia="Times New Roman" w:hAnsi="Times New Roman" w:cs="Times New Roman"/>
          <w:b/>
          <w:kern w:val="28"/>
          <w:lang w:val="lt-LT"/>
        </w:rPr>
        <w:tab/>
        <w:t>Specialios laikymo sąlygos</w:t>
      </w:r>
    </w:p>
    <w:p w14:paraId="2017FC34" w14:textId="77777777" w:rsidR="004125E7" w:rsidRPr="00C92BDF" w:rsidRDefault="004125E7" w:rsidP="004125E7">
      <w:pPr>
        <w:spacing w:after="0" w:line="240" w:lineRule="auto"/>
        <w:rPr>
          <w:rFonts w:ascii="Times New Roman" w:eastAsia="Times New Roman" w:hAnsi="Times New Roman" w:cs="Times New Roman"/>
          <w:lang w:val="lt-LT"/>
        </w:rPr>
      </w:pPr>
    </w:p>
    <w:p w14:paraId="53331A1A"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Šiam vaistiniam preparatui specialių laikymo sąlygų nereikia.</w:t>
      </w:r>
    </w:p>
    <w:p w14:paraId="6A7D2EA9"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5F73F3B7" w14:textId="77777777" w:rsidR="004125E7" w:rsidRPr="00C92BDF" w:rsidRDefault="004125E7" w:rsidP="004125E7">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C92BDF">
        <w:rPr>
          <w:rFonts w:ascii="Times New Roman" w:eastAsia="Times New Roman" w:hAnsi="Times New Roman" w:cs="Times New Roman"/>
          <w:b/>
          <w:kern w:val="28"/>
          <w:lang w:val="lt-LT"/>
        </w:rPr>
        <w:t>6.5</w:t>
      </w:r>
      <w:r w:rsidRPr="00C92BDF">
        <w:rPr>
          <w:rFonts w:ascii="Times New Roman" w:eastAsia="Times New Roman" w:hAnsi="Times New Roman" w:cs="Times New Roman"/>
          <w:b/>
          <w:kern w:val="28"/>
          <w:lang w:val="lt-LT"/>
        </w:rPr>
        <w:tab/>
        <w:t>Talpyklės pobūdis ir jos turinys</w:t>
      </w:r>
    </w:p>
    <w:p w14:paraId="7E59AA03"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50DC42EE"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Lizdinė plokštelė iš laminuoto poliamido, aliuminio ir polivinilchlorido.</w:t>
      </w:r>
    </w:p>
    <w:p w14:paraId="2D007875"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 xml:space="preserve">Pakuotėje yra 14, 28, 56, arba 98 plėvele dengtos tabletės. </w:t>
      </w:r>
    </w:p>
    <w:p w14:paraId="0619EBBC"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2B754CDC"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Gali būti tiekiamos ne visų dydžių pakuotės.</w:t>
      </w:r>
    </w:p>
    <w:p w14:paraId="4E126B4A"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33AAC7C8" w14:textId="77777777" w:rsidR="004125E7" w:rsidRPr="00C92BDF" w:rsidRDefault="004125E7" w:rsidP="004125E7">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C92BDF">
        <w:rPr>
          <w:rFonts w:ascii="Times New Roman" w:eastAsia="Times New Roman" w:hAnsi="Times New Roman" w:cs="Times New Roman"/>
          <w:b/>
          <w:kern w:val="28"/>
          <w:lang w:val="lt-LT"/>
        </w:rPr>
        <w:t>6.6</w:t>
      </w:r>
      <w:r w:rsidRPr="00C92BDF">
        <w:rPr>
          <w:rFonts w:ascii="Times New Roman" w:eastAsia="Times New Roman" w:hAnsi="Times New Roman" w:cs="Times New Roman"/>
          <w:b/>
          <w:kern w:val="28"/>
          <w:lang w:val="lt-LT"/>
        </w:rPr>
        <w:tab/>
        <w:t xml:space="preserve">Specialūs reikalavimai atliekoms tvarkyti </w:t>
      </w:r>
    </w:p>
    <w:p w14:paraId="39BF0B97"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712C61B7"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Specialių reikalavimų nėra.</w:t>
      </w:r>
    </w:p>
    <w:p w14:paraId="4EAD9CB8"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756226C4"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51762AEF" w14:textId="77777777" w:rsidR="004125E7" w:rsidRPr="00C92BDF" w:rsidRDefault="004125E7" w:rsidP="004125E7">
      <w:pPr>
        <w:keepNext/>
        <w:tabs>
          <w:tab w:val="left" w:pos="567"/>
        </w:tabs>
        <w:spacing w:after="0" w:line="240" w:lineRule="auto"/>
        <w:outlineLvl w:val="1"/>
        <w:rPr>
          <w:rFonts w:ascii="Times New Roman" w:eastAsia="Times New Roman" w:hAnsi="Times New Roman" w:cs="Times New Roman"/>
          <w:b/>
          <w:lang w:val="lt-LT"/>
        </w:rPr>
      </w:pPr>
      <w:r w:rsidRPr="00C92BDF">
        <w:rPr>
          <w:rFonts w:ascii="Times New Roman" w:eastAsia="Times New Roman" w:hAnsi="Times New Roman" w:cs="Times New Roman"/>
          <w:b/>
          <w:lang w:val="lt-LT"/>
        </w:rPr>
        <w:t>7.</w:t>
      </w:r>
      <w:r w:rsidRPr="00C92BDF">
        <w:rPr>
          <w:rFonts w:ascii="Times New Roman" w:eastAsia="Times New Roman" w:hAnsi="Times New Roman" w:cs="Times New Roman"/>
          <w:b/>
          <w:lang w:val="lt-LT"/>
        </w:rPr>
        <w:tab/>
        <w:t>REGISTRUOTOJAS</w:t>
      </w:r>
    </w:p>
    <w:p w14:paraId="3D59E4DF"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3CAE14E1" w14:textId="77777777" w:rsidR="004125E7" w:rsidRPr="00C92BDF" w:rsidRDefault="004125E7" w:rsidP="004125E7">
      <w:pPr>
        <w:spacing w:after="0" w:line="240" w:lineRule="auto"/>
        <w:rPr>
          <w:rFonts w:ascii="Times New Roman" w:eastAsia="Times New Roman" w:hAnsi="Times New Roman" w:cs="Times New Roman"/>
          <w:snapToGrid w:val="0"/>
          <w:lang w:val="lt-LT" w:eastAsia="lt-LT"/>
        </w:rPr>
      </w:pPr>
      <w:r w:rsidRPr="00C92BDF">
        <w:rPr>
          <w:rFonts w:ascii="Times New Roman" w:eastAsia="Times New Roman" w:hAnsi="Times New Roman" w:cs="Times New Roman"/>
          <w:snapToGrid w:val="0"/>
          <w:lang w:val="lt-LT" w:eastAsia="lt-LT"/>
        </w:rPr>
        <w:t>Menarini International Operations Luxembourg S.A.</w:t>
      </w:r>
    </w:p>
    <w:p w14:paraId="7D63DBB8" w14:textId="77777777" w:rsidR="004125E7" w:rsidRPr="00C92BDF" w:rsidRDefault="004125E7" w:rsidP="004125E7">
      <w:pPr>
        <w:spacing w:after="0" w:line="240" w:lineRule="auto"/>
        <w:rPr>
          <w:rFonts w:ascii="Times New Roman" w:eastAsia="Times New Roman" w:hAnsi="Times New Roman" w:cs="Times New Roman"/>
          <w:snapToGrid w:val="0"/>
          <w:lang w:val="lt-LT" w:eastAsia="lt-LT"/>
        </w:rPr>
      </w:pPr>
      <w:r w:rsidRPr="00C92BDF">
        <w:rPr>
          <w:rFonts w:ascii="Times New Roman" w:eastAsia="Times New Roman" w:hAnsi="Times New Roman" w:cs="Times New Roman"/>
          <w:snapToGrid w:val="0"/>
          <w:lang w:val="lt-LT" w:eastAsia="lt-LT"/>
        </w:rPr>
        <w:t>1, Avenue de la Gare, L-1611 Luxembourg</w:t>
      </w:r>
    </w:p>
    <w:p w14:paraId="7AF115D4" w14:textId="77777777" w:rsidR="004125E7" w:rsidRPr="00C92BDF" w:rsidRDefault="004125E7" w:rsidP="004125E7">
      <w:pPr>
        <w:spacing w:after="0" w:line="240" w:lineRule="auto"/>
        <w:rPr>
          <w:rFonts w:ascii="Times New Roman" w:eastAsia="Times New Roman" w:hAnsi="Times New Roman" w:cs="Times New Roman"/>
          <w:snapToGrid w:val="0"/>
          <w:lang w:val="lt-LT" w:eastAsia="lt-LT"/>
        </w:rPr>
      </w:pPr>
      <w:r w:rsidRPr="00C92BDF">
        <w:rPr>
          <w:rFonts w:ascii="Times New Roman" w:eastAsia="Times New Roman" w:hAnsi="Times New Roman" w:cs="Times New Roman"/>
          <w:snapToGrid w:val="0"/>
          <w:lang w:val="lt-LT" w:eastAsia="lt-LT"/>
        </w:rPr>
        <w:t>Liuksemburgas</w:t>
      </w:r>
    </w:p>
    <w:p w14:paraId="0DDF6D1D"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4F69B831"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25CC14A8" w14:textId="77777777" w:rsidR="004125E7" w:rsidRPr="00C92BDF" w:rsidRDefault="004125E7" w:rsidP="004125E7">
      <w:pPr>
        <w:keepNext/>
        <w:tabs>
          <w:tab w:val="left" w:pos="567"/>
        </w:tabs>
        <w:spacing w:after="0" w:line="240" w:lineRule="auto"/>
        <w:outlineLvl w:val="1"/>
        <w:rPr>
          <w:rFonts w:ascii="Times New Roman" w:eastAsia="Times New Roman" w:hAnsi="Times New Roman" w:cs="Times New Roman"/>
          <w:b/>
          <w:lang w:val="lt-LT"/>
        </w:rPr>
      </w:pPr>
      <w:r w:rsidRPr="00C92BDF">
        <w:rPr>
          <w:rFonts w:ascii="Times New Roman" w:eastAsia="Times New Roman" w:hAnsi="Times New Roman" w:cs="Times New Roman"/>
          <w:b/>
          <w:lang w:val="lt-LT"/>
        </w:rPr>
        <w:t>8.</w:t>
      </w:r>
      <w:r w:rsidRPr="00C92BDF">
        <w:rPr>
          <w:rFonts w:ascii="Times New Roman" w:eastAsia="Times New Roman" w:hAnsi="Times New Roman" w:cs="Times New Roman"/>
          <w:b/>
          <w:lang w:val="lt-LT"/>
        </w:rPr>
        <w:tab/>
      </w:r>
      <w:r w:rsidRPr="00C92BDF">
        <w:rPr>
          <w:rFonts w:ascii="Times New Roman" w:eastAsia="Times New Roman" w:hAnsi="Times New Roman" w:cs="Times New Roman"/>
          <w:b/>
          <w:szCs w:val="20"/>
          <w:lang w:val="lt-LT"/>
        </w:rPr>
        <w:t>REGISTRACIJOS PAŽYMĖJIMO</w:t>
      </w:r>
      <w:r w:rsidRPr="00C92BDF">
        <w:rPr>
          <w:rFonts w:ascii="Times New Roman" w:eastAsia="Times New Roman" w:hAnsi="Times New Roman" w:cs="Times New Roman"/>
          <w:b/>
          <w:lang w:val="lt-LT"/>
        </w:rPr>
        <w:t>NUMERIS (-IAI)</w:t>
      </w:r>
    </w:p>
    <w:p w14:paraId="2141373E"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5DF10091" w14:textId="77777777" w:rsidR="004125E7" w:rsidRPr="00C92BDF" w:rsidRDefault="004125E7" w:rsidP="004125E7">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 xml:space="preserve">Mesar 10 mg </w:t>
      </w:r>
    </w:p>
    <w:p w14:paraId="01AF999D" w14:textId="77777777" w:rsidR="004125E7" w:rsidRPr="00C92BDF" w:rsidRDefault="004125E7" w:rsidP="004125E7">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N14 – LT/1/04/3171/001</w:t>
      </w:r>
    </w:p>
    <w:p w14:paraId="48A4D4D5" w14:textId="77777777" w:rsidR="004125E7" w:rsidRPr="00C92BDF" w:rsidRDefault="004125E7" w:rsidP="004125E7">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N28 – LT/1/04/3171/002</w:t>
      </w:r>
    </w:p>
    <w:p w14:paraId="7685BD14" w14:textId="77777777" w:rsidR="004125E7" w:rsidRPr="00C92BDF" w:rsidRDefault="004125E7" w:rsidP="004125E7">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N56 – LT/1/04/3171/003</w:t>
      </w:r>
    </w:p>
    <w:p w14:paraId="03B3A6F9" w14:textId="77777777" w:rsidR="004125E7" w:rsidRPr="00C92BDF" w:rsidRDefault="004125E7" w:rsidP="004125E7">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N98 – LT/1/04/3171/004</w:t>
      </w:r>
    </w:p>
    <w:p w14:paraId="1E1957EE" w14:textId="77777777" w:rsidR="004125E7" w:rsidRPr="00C92BDF" w:rsidRDefault="004125E7" w:rsidP="004125E7">
      <w:pPr>
        <w:spacing w:after="0" w:line="240" w:lineRule="auto"/>
        <w:rPr>
          <w:rFonts w:ascii="Times New Roman" w:eastAsia="Times New Roman" w:hAnsi="Times New Roman" w:cs="Times New Roman"/>
          <w:lang w:val="lt-LT"/>
        </w:rPr>
      </w:pPr>
    </w:p>
    <w:p w14:paraId="4D4F0526" w14:textId="77777777" w:rsidR="004125E7" w:rsidRPr="00C92BDF" w:rsidRDefault="004125E7" w:rsidP="004125E7">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 xml:space="preserve">Mesar 20 mg </w:t>
      </w:r>
    </w:p>
    <w:p w14:paraId="6B856BC7" w14:textId="77777777" w:rsidR="004125E7" w:rsidRPr="00C92BDF" w:rsidRDefault="004125E7" w:rsidP="004125E7">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N14 – LT/1/04/3171/005</w:t>
      </w:r>
    </w:p>
    <w:p w14:paraId="78849D7C" w14:textId="77777777" w:rsidR="004125E7" w:rsidRPr="00C92BDF" w:rsidRDefault="004125E7" w:rsidP="004125E7">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N28 – LT/1/04/3171/006</w:t>
      </w:r>
    </w:p>
    <w:p w14:paraId="129AA957" w14:textId="77777777" w:rsidR="004125E7" w:rsidRPr="00C92BDF" w:rsidRDefault="004125E7" w:rsidP="004125E7">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N56 – LT/1/04/3171/007</w:t>
      </w:r>
    </w:p>
    <w:p w14:paraId="525F3BDB" w14:textId="77777777" w:rsidR="004125E7" w:rsidRPr="00C92BDF" w:rsidRDefault="004125E7" w:rsidP="004125E7">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N98 – LT/1/04/3171/008</w:t>
      </w:r>
    </w:p>
    <w:p w14:paraId="2A8824D0" w14:textId="77777777" w:rsidR="004125E7" w:rsidRPr="00C92BDF" w:rsidRDefault="004125E7" w:rsidP="004125E7">
      <w:pPr>
        <w:spacing w:after="0" w:line="240" w:lineRule="auto"/>
        <w:rPr>
          <w:rFonts w:ascii="Times New Roman" w:eastAsia="Times New Roman" w:hAnsi="Times New Roman" w:cs="Times New Roman"/>
          <w:lang w:val="lt-LT"/>
        </w:rPr>
      </w:pPr>
    </w:p>
    <w:p w14:paraId="43F91AC0" w14:textId="77777777" w:rsidR="004125E7" w:rsidRPr="00C92BDF" w:rsidRDefault="004125E7" w:rsidP="004125E7">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 xml:space="preserve">Mesar 40 mg </w:t>
      </w:r>
    </w:p>
    <w:p w14:paraId="468413C3" w14:textId="77777777" w:rsidR="004125E7" w:rsidRPr="00C92BDF" w:rsidRDefault="004125E7" w:rsidP="004125E7">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N14 – LT/1/04/3171/009</w:t>
      </w:r>
    </w:p>
    <w:p w14:paraId="53F6FBC7" w14:textId="77777777" w:rsidR="004125E7" w:rsidRPr="00C92BDF" w:rsidRDefault="004125E7" w:rsidP="004125E7">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N28 – LT/1/04/3171/010</w:t>
      </w:r>
    </w:p>
    <w:p w14:paraId="4525D643" w14:textId="77777777" w:rsidR="004125E7" w:rsidRPr="00C92BDF" w:rsidRDefault="004125E7" w:rsidP="004125E7">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N56 – LT/1/04/3171/011</w:t>
      </w:r>
    </w:p>
    <w:p w14:paraId="5799A16E" w14:textId="77777777" w:rsidR="004125E7" w:rsidRPr="00C92BDF" w:rsidRDefault="004125E7" w:rsidP="004125E7">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N98 – LT/1/04/3171/012</w:t>
      </w:r>
    </w:p>
    <w:p w14:paraId="3BD2D1AD"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21C2B616"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45D03479" w14:textId="77777777" w:rsidR="004125E7" w:rsidRPr="00C92BDF" w:rsidRDefault="004125E7" w:rsidP="004125E7">
      <w:pPr>
        <w:keepNext/>
        <w:tabs>
          <w:tab w:val="left" w:pos="567"/>
        </w:tabs>
        <w:spacing w:after="0" w:line="240" w:lineRule="auto"/>
        <w:outlineLvl w:val="1"/>
        <w:rPr>
          <w:rFonts w:ascii="Times New Roman" w:eastAsia="Times New Roman" w:hAnsi="Times New Roman" w:cs="Times New Roman"/>
          <w:b/>
          <w:lang w:val="lt-LT"/>
        </w:rPr>
      </w:pPr>
      <w:r w:rsidRPr="00C92BDF">
        <w:rPr>
          <w:rFonts w:ascii="Times New Roman" w:eastAsia="Times New Roman" w:hAnsi="Times New Roman" w:cs="Times New Roman"/>
          <w:b/>
          <w:lang w:val="lt-LT"/>
        </w:rPr>
        <w:t>9.</w:t>
      </w:r>
      <w:r w:rsidRPr="00C92BDF">
        <w:rPr>
          <w:rFonts w:ascii="Times New Roman" w:eastAsia="Times New Roman" w:hAnsi="Times New Roman" w:cs="Times New Roman"/>
          <w:b/>
          <w:lang w:val="lt-LT"/>
        </w:rPr>
        <w:tab/>
      </w:r>
      <w:r w:rsidRPr="00C92BDF">
        <w:rPr>
          <w:rFonts w:ascii="Times New Roman" w:eastAsia="Times New Roman" w:hAnsi="Times New Roman" w:cs="Times New Roman"/>
          <w:b/>
          <w:szCs w:val="20"/>
          <w:lang w:val="lt-LT"/>
        </w:rPr>
        <w:t>REGISTRAVIMO / PERREGISTRAVIMO</w:t>
      </w:r>
      <w:r w:rsidRPr="00C92BDF">
        <w:rPr>
          <w:rFonts w:ascii="Times New Roman" w:eastAsia="Times New Roman" w:hAnsi="Times New Roman" w:cs="Times New Roman"/>
          <w:b/>
          <w:lang w:val="lt-LT"/>
        </w:rPr>
        <w:t xml:space="preserve"> DATA</w:t>
      </w:r>
    </w:p>
    <w:p w14:paraId="5F79CE90"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5EF64486" w14:textId="77777777" w:rsidR="004125E7" w:rsidRPr="00C92BDF" w:rsidRDefault="004125E7" w:rsidP="004125E7">
      <w:pPr>
        <w:spacing w:after="0" w:line="240" w:lineRule="auto"/>
        <w:rPr>
          <w:rFonts w:ascii="Times New Roman" w:eastAsia="Times New Roman" w:hAnsi="Times New Roman" w:cs="Times New Roman"/>
          <w:lang w:val="lt-LT" w:eastAsia="lt-LT"/>
        </w:rPr>
      </w:pPr>
      <w:r w:rsidRPr="00C92BDF">
        <w:rPr>
          <w:rFonts w:ascii="Times New Roman" w:eastAsia="Times New Roman" w:hAnsi="Times New Roman" w:cs="Times New Roman"/>
          <w:lang w:val="en-GB" w:eastAsia="lt-LT"/>
        </w:rPr>
        <w:t>Registravimo data</w:t>
      </w:r>
      <w:r w:rsidRPr="00C92BDF">
        <w:rPr>
          <w:rFonts w:ascii="Times New Roman" w:eastAsia="Times New Roman" w:hAnsi="Times New Roman" w:cs="Times New Roman"/>
          <w:lang w:val="lt-LT" w:eastAsia="lt-LT"/>
        </w:rPr>
        <w:t xml:space="preserve"> 2004 m. sausio 13 d.</w:t>
      </w:r>
    </w:p>
    <w:p w14:paraId="28AFBD32" w14:textId="77777777" w:rsidR="004125E7" w:rsidRPr="00C92BDF" w:rsidRDefault="004125E7" w:rsidP="004125E7">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sz w:val="24"/>
          <w:szCs w:val="20"/>
          <w:lang w:val="lt-LT"/>
        </w:rPr>
        <w:t>Paskutinio perregistravimo data</w:t>
      </w:r>
      <w:r>
        <w:rPr>
          <w:rFonts w:ascii="Times New Roman" w:eastAsia="Times New Roman" w:hAnsi="Times New Roman" w:cs="Times New Roman"/>
          <w:sz w:val="24"/>
          <w:szCs w:val="20"/>
          <w:lang w:val="lt-LT"/>
        </w:rPr>
        <w:t xml:space="preserve"> </w:t>
      </w:r>
      <w:r w:rsidRPr="00C92BDF">
        <w:rPr>
          <w:rFonts w:ascii="Times New Roman" w:eastAsia="Times New Roman" w:hAnsi="Times New Roman" w:cs="Times New Roman"/>
          <w:lang w:val="lt-LT"/>
        </w:rPr>
        <w:t>2013 m. sausio 10 d.</w:t>
      </w:r>
    </w:p>
    <w:p w14:paraId="78F9EBF2"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26DD9961"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1E51D876" w14:textId="77777777" w:rsidR="004125E7" w:rsidRPr="00C92BDF" w:rsidRDefault="004125E7" w:rsidP="004125E7">
      <w:pPr>
        <w:keepNext/>
        <w:tabs>
          <w:tab w:val="left" w:pos="567"/>
        </w:tabs>
        <w:spacing w:after="0" w:line="240" w:lineRule="auto"/>
        <w:outlineLvl w:val="1"/>
        <w:rPr>
          <w:rFonts w:ascii="Times New Roman" w:eastAsia="Times New Roman" w:hAnsi="Times New Roman" w:cs="Times New Roman"/>
          <w:b/>
          <w:lang w:val="lt-LT"/>
        </w:rPr>
      </w:pPr>
      <w:r w:rsidRPr="00C92BDF">
        <w:rPr>
          <w:rFonts w:ascii="Times New Roman" w:eastAsia="Times New Roman" w:hAnsi="Times New Roman" w:cs="Times New Roman"/>
          <w:b/>
          <w:lang w:val="lt-LT"/>
        </w:rPr>
        <w:t>10.</w:t>
      </w:r>
      <w:r w:rsidRPr="00C92BDF">
        <w:rPr>
          <w:rFonts w:ascii="Times New Roman" w:eastAsia="Times New Roman" w:hAnsi="Times New Roman" w:cs="Times New Roman"/>
          <w:b/>
          <w:lang w:val="lt-LT"/>
        </w:rPr>
        <w:tab/>
        <w:t>TEKSTO PERŽIŪROS DATA</w:t>
      </w:r>
    </w:p>
    <w:p w14:paraId="44E9DF83" w14:textId="77777777" w:rsidR="004125E7" w:rsidRPr="00C92BDF" w:rsidRDefault="004125E7" w:rsidP="004125E7">
      <w:pPr>
        <w:spacing w:after="0" w:line="240" w:lineRule="auto"/>
        <w:rPr>
          <w:rFonts w:ascii="Times New Roman" w:eastAsia="Times New Roman" w:hAnsi="Times New Roman" w:cs="Times New Roman"/>
          <w:lang w:val="lt-LT"/>
        </w:rPr>
      </w:pPr>
    </w:p>
    <w:p w14:paraId="5B308AB7" w14:textId="6D78BFCD"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202</w:t>
      </w:r>
      <w:r w:rsidR="00320AB7">
        <w:rPr>
          <w:rFonts w:ascii="Times New Roman" w:eastAsia="Times New Roman" w:hAnsi="Times New Roman" w:cs="Times New Roman"/>
          <w:lang w:val="lt-LT"/>
        </w:rPr>
        <w:t>5</w:t>
      </w:r>
      <w:r>
        <w:rPr>
          <w:rFonts w:ascii="Times New Roman" w:eastAsia="Times New Roman" w:hAnsi="Times New Roman" w:cs="Times New Roman"/>
          <w:lang w:val="lt-LT"/>
        </w:rPr>
        <w:t xml:space="preserve"> m. </w:t>
      </w:r>
      <w:r w:rsidR="00320AB7">
        <w:rPr>
          <w:rFonts w:ascii="Times New Roman" w:eastAsia="Times New Roman" w:hAnsi="Times New Roman" w:cs="Times New Roman"/>
          <w:lang w:val="lt-LT"/>
        </w:rPr>
        <w:t xml:space="preserve">sausio 17 </w:t>
      </w:r>
      <w:r>
        <w:rPr>
          <w:rFonts w:ascii="Times New Roman" w:eastAsia="Times New Roman" w:hAnsi="Times New Roman" w:cs="Times New Roman"/>
          <w:lang w:val="lt-LT"/>
        </w:rPr>
        <w:t>d.</w:t>
      </w:r>
    </w:p>
    <w:p w14:paraId="70467E6C"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5B6CDD4F"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color w:val="0000FF"/>
          <w:u w:val="single"/>
          <w:lang w:val="lt-LT"/>
        </w:rPr>
      </w:pPr>
      <w:r w:rsidRPr="00C92BDF">
        <w:rPr>
          <w:rFonts w:ascii="Times New Roman" w:eastAsia="Times New Roman" w:hAnsi="Times New Roman" w:cs="Times New Roman"/>
          <w:lang w:val="lt-LT"/>
        </w:rPr>
        <w:t xml:space="preserve">Išsami informacija apie šį vaistinį preparatą pateikiama Valstybinės vaistų kontrolės tarnybos prie Lietuvos Respublikos sveikatos apsaugos ministerijos tinklalapyje </w:t>
      </w:r>
      <w:hyperlink r:id="rId11" w:history="1">
        <w:r w:rsidRPr="00C92BDF">
          <w:rPr>
            <w:rFonts w:ascii="Times New Roman" w:eastAsia="Times New Roman" w:hAnsi="Times New Roman" w:cs="Times New Roman"/>
            <w:color w:val="0000FF"/>
            <w:u w:val="single"/>
            <w:lang w:val="lt-LT"/>
          </w:rPr>
          <w:t>http://www.vvkt.lt/</w:t>
        </w:r>
      </w:hyperlink>
    </w:p>
    <w:p w14:paraId="7A730513" w14:textId="77777777" w:rsidR="004125E7" w:rsidRDefault="004125E7" w:rsidP="004125E7">
      <w:pPr>
        <w:rPr>
          <w:rFonts w:ascii="Times New Roman" w:eastAsia="Times New Roman" w:hAnsi="Times New Roman" w:cs="Times New Roman"/>
          <w:color w:val="0000FF"/>
          <w:u w:val="single"/>
          <w:lang w:val="lt-LT"/>
        </w:rPr>
      </w:pPr>
      <w:r>
        <w:rPr>
          <w:rFonts w:ascii="Times New Roman" w:eastAsia="Times New Roman" w:hAnsi="Times New Roman" w:cs="Times New Roman"/>
          <w:color w:val="0000FF"/>
          <w:u w:val="single"/>
          <w:lang w:val="lt-LT"/>
        </w:rPr>
        <w:br w:type="page"/>
      </w:r>
    </w:p>
    <w:p w14:paraId="2996A0E4" w14:textId="77777777" w:rsidR="004125E7" w:rsidRPr="00C92BDF" w:rsidRDefault="004125E7" w:rsidP="004125E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2A70F64" w14:textId="77777777" w:rsidR="004125E7" w:rsidRPr="00C92BDF" w:rsidRDefault="004125E7" w:rsidP="004125E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E062A86" w14:textId="77777777" w:rsidR="004125E7" w:rsidRPr="00C92BDF" w:rsidRDefault="004125E7" w:rsidP="004125E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D9A1D30" w14:textId="77777777" w:rsidR="004125E7" w:rsidRPr="00C92BDF" w:rsidRDefault="004125E7" w:rsidP="004125E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C5E915A" w14:textId="77777777" w:rsidR="004125E7" w:rsidRPr="00C92BDF" w:rsidRDefault="004125E7" w:rsidP="004125E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2FB1E82" w14:textId="77777777" w:rsidR="004125E7" w:rsidRPr="00C92BDF" w:rsidRDefault="004125E7" w:rsidP="004125E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6CE41E2" w14:textId="77777777" w:rsidR="004125E7" w:rsidRPr="00C92BDF" w:rsidRDefault="004125E7" w:rsidP="004125E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1C26115" w14:textId="77777777" w:rsidR="004125E7" w:rsidRPr="00C92BDF" w:rsidRDefault="004125E7" w:rsidP="004125E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9131E45" w14:textId="77777777" w:rsidR="004125E7" w:rsidRPr="00C92BDF" w:rsidRDefault="004125E7" w:rsidP="004125E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D7D2D63" w14:textId="77777777" w:rsidR="004125E7" w:rsidRPr="00C92BDF" w:rsidRDefault="004125E7" w:rsidP="004125E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642ED27" w14:textId="77777777" w:rsidR="004125E7" w:rsidRPr="00C92BDF" w:rsidRDefault="004125E7" w:rsidP="004125E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90E83B" w14:textId="77777777" w:rsidR="004125E7" w:rsidRPr="00C92BDF" w:rsidRDefault="004125E7" w:rsidP="004125E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229EAF6" w14:textId="77777777" w:rsidR="004125E7" w:rsidRPr="00C92BDF" w:rsidRDefault="004125E7" w:rsidP="004125E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D27BCCD" w14:textId="77777777" w:rsidR="004125E7" w:rsidRPr="00C92BDF" w:rsidRDefault="004125E7" w:rsidP="004125E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882F1B8" w14:textId="77777777" w:rsidR="004125E7" w:rsidRPr="00C92BDF" w:rsidRDefault="004125E7" w:rsidP="004125E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27FF33D" w14:textId="77777777" w:rsidR="004125E7" w:rsidRPr="00C92BDF" w:rsidRDefault="004125E7" w:rsidP="004125E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1A34B5E" w14:textId="77777777" w:rsidR="004125E7" w:rsidRDefault="004125E7" w:rsidP="004125E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08F37AE" w14:textId="77777777" w:rsidR="004125E7" w:rsidRDefault="004125E7" w:rsidP="004125E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157E2A8" w14:textId="77777777" w:rsidR="004125E7" w:rsidRDefault="004125E7" w:rsidP="004125E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39F15B6" w14:textId="77777777" w:rsidR="004125E7" w:rsidRDefault="004125E7" w:rsidP="004125E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108FF4" w14:textId="77777777" w:rsidR="004125E7" w:rsidRDefault="004125E7" w:rsidP="004125E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B6F5D41" w14:textId="77777777" w:rsidR="004125E7" w:rsidRDefault="004125E7" w:rsidP="004125E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A5969BF" w14:textId="77777777" w:rsidR="004125E7" w:rsidRDefault="004125E7" w:rsidP="004125E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33A83DA" w14:textId="77777777" w:rsidR="004125E7" w:rsidRPr="00C92BDF" w:rsidRDefault="004125E7" w:rsidP="004125E7">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C92BDF">
        <w:rPr>
          <w:rFonts w:ascii="Times New Roman" w:eastAsia="Times New Roman" w:hAnsi="Times New Roman" w:cs="Times New Roman"/>
          <w:b/>
          <w:caps/>
          <w:lang w:val="lt-LT"/>
        </w:rPr>
        <w:t>II PRIEDAS</w:t>
      </w:r>
    </w:p>
    <w:p w14:paraId="36E11644" w14:textId="77777777" w:rsidR="004125E7" w:rsidRPr="00C92BDF" w:rsidRDefault="004125E7" w:rsidP="004125E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42000E6" w14:textId="77777777" w:rsidR="004125E7" w:rsidRPr="00C92BDF" w:rsidRDefault="004125E7" w:rsidP="004125E7">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C92BDF">
        <w:rPr>
          <w:rFonts w:ascii="Times New Roman" w:eastAsia="Times New Roman" w:hAnsi="Times New Roman" w:cs="Times New Roman"/>
          <w:b/>
          <w:caps/>
          <w:lang w:val="lt-LT"/>
        </w:rPr>
        <w:t>REGISTRACIJOS SĄLYGOS</w:t>
      </w:r>
    </w:p>
    <w:p w14:paraId="0ACF5B5D"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4FF0B02A" w14:textId="77777777" w:rsidR="004125E7" w:rsidRPr="00C92BDF" w:rsidRDefault="004125E7" w:rsidP="004125E7">
      <w:pPr>
        <w:tabs>
          <w:tab w:val="left" w:pos="1701"/>
        </w:tabs>
        <w:spacing w:after="0" w:line="240" w:lineRule="auto"/>
        <w:ind w:left="1701" w:hanging="567"/>
        <w:rPr>
          <w:rFonts w:ascii="Times New Roman" w:eastAsia="Times New Roman" w:hAnsi="Times New Roman" w:cs="Times New Roman"/>
          <w:b/>
          <w:lang w:val="lt-LT"/>
        </w:rPr>
      </w:pPr>
      <w:r w:rsidRPr="00C92BDF">
        <w:rPr>
          <w:rFonts w:ascii="Times New Roman" w:eastAsia="Times New Roman" w:hAnsi="Times New Roman" w:cs="Times New Roman"/>
          <w:b/>
          <w:lang w:val="lt-LT"/>
        </w:rPr>
        <w:t>A.</w:t>
      </w:r>
      <w:r w:rsidRPr="00C92BDF">
        <w:rPr>
          <w:rFonts w:ascii="Times New Roman" w:eastAsia="Times New Roman" w:hAnsi="Times New Roman" w:cs="Times New Roman"/>
          <w:b/>
          <w:lang w:val="lt-LT"/>
        </w:rPr>
        <w:tab/>
        <w:t>GAMINTOJAS (-AI), ATSAKINGAS (-I) UŽ SERIJŲ IŠLEIDIMĄ</w:t>
      </w:r>
    </w:p>
    <w:p w14:paraId="5FA309A2"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0CB5658B" w14:textId="77777777" w:rsidR="004125E7" w:rsidRPr="00C92BDF" w:rsidRDefault="004125E7" w:rsidP="004125E7">
      <w:pPr>
        <w:tabs>
          <w:tab w:val="left" w:pos="1701"/>
        </w:tabs>
        <w:spacing w:after="0" w:line="240" w:lineRule="auto"/>
        <w:ind w:left="1701" w:hanging="567"/>
        <w:rPr>
          <w:rFonts w:ascii="Times New Roman" w:eastAsia="Times New Roman" w:hAnsi="Times New Roman" w:cs="Times New Roman"/>
          <w:b/>
          <w:lang w:val="lt-LT"/>
        </w:rPr>
      </w:pPr>
      <w:r w:rsidRPr="00C92BDF">
        <w:rPr>
          <w:rFonts w:ascii="Times New Roman" w:eastAsia="Times New Roman" w:hAnsi="Times New Roman" w:cs="Times New Roman"/>
          <w:b/>
          <w:lang w:val="lt-LT"/>
        </w:rPr>
        <w:t>B.</w:t>
      </w:r>
      <w:r w:rsidRPr="00C92BDF">
        <w:rPr>
          <w:rFonts w:ascii="Times New Roman" w:eastAsia="Times New Roman" w:hAnsi="Times New Roman" w:cs="Times New Roman"/>
          <w:b/>
          <w:lang w:val="lt-LT"/>
        </w:rPr>
        <w:tab/>
        <w:t>TIEKIMO IR VARTOJIMO SĄLYGOS AR APRIBOJIMAI</w:t>
      </w:r>
    </w:p>
    <w:p w14:paraId="2605493C" w14:textId="77777777" w:rsidR="004125E7" w:rsidRPr="00C92BDF" w:rsidRDefault="004125E7" w:rsidP="004125E7">
      <w:pPr>
        <w:tabs>
          <w:tab w:val="left" w:pos="1701"/>
        </w:tabs>
        <w:spacing w:after="0" w:line="240" w:lineRule="auto"/>
        <w:ind w:left="1701" w:hanging="567"/>
        <w:rPr>
          <w:rFonts w:ascii="Times New Roman" w:eastAsia="Times New Roman" w:hAnsi="Times New Roman" w:cs="Times New Roman"/>
          <w:b/>
          <w:lang w:val="lt-LT"/>
        </w:rPr>
      </w:pPr>
    </w:p>
    <w:p w14:paraId="33D73E11" w14:textId="77777777" w:rsidR="004125E7" w:rsidRPr="00C92BDF" w:rsidRDefault="004125E7" w:rsidP="004125E7">
      <w:pPr>
        <w:spacing w:after="0" w:line="240" w:lineRule="auto"/>
        <w:rPr>
          <w:rFonts w:ascii="Times New Roman" w:eastAsia="Times New Roman" w:hAnsi="Times New Roman" w:cs="Times New Roman"/>
          <w:b/>
          <w:lang w:val="lt-LT"/>
        </w:rPr>
      </w:pPr>
    </w:p>
    <w:p w14:paraId="6374DFA6" w14:textId="77777777" w:rsidR="004125E7" w:rsidRPr="00C92BDF" w:rsidRDefault="004125E7" w:rsidP="004125E7">
      <w:pPr>
        <w:keepNext/>
        <w:tabs>
          <w:tab w:val="left" w:pos="567"/>
        </w:tabs>
        <w:spacing w:after="0" w:line="240" w:lineRule="auto"/>
        <w:outlineLvl w:val="1"/>
        <w:rPr>
          <w:rFonts w:ascii="Times New Roman" w:eastAsia="Times New Roman" w:hAnsi="Times New Roman" w:cs="Times New Roman"/>
          <w:b/>
          <w:lang w:val="lt-LT"/>
        </w:rPr>
      </w:pPr>
      <w:r w:rsidRPr="00C92BDF">
        <w:rPr>
          <w:rFonts w:ascii="Times New Roman" w:eastAsia="Times New Roman" w:hAnsi="Times New Roman" w:cs="Times New Roman"/>
          <w:lang w:val="lt-LT"/>
        </w:rPr>
        <w:br w:type="page"/>
      </w:r>
      <w:r w:rsidRPr="00C92BDF">
        <w:rPr>
          <w:rFonts w:ascii="Times New Roman" w:eastAsia="Times New Roman" w:hAnsi="Times New Roman" w:cs="Times New Roman"/>
          <w:b/>
          <w:lang w:val="lt-LT"/>
        </w:rPr>
        <w:lastRenderedPageBreak/>
        <w:t>A.</w:t>
      </w:r>
      <w:r w:rsidRPr="00C92BDF">
        <w:rPr>
          <w:rFonts w:ascii="Times New Roman" w:eastAsia="Times New Roman" w:hAnsi="Times New Roman" w:cs="Times New Roman"/>
          <w:b/>
          <w:lang w:val="lt-LT"/>
        </w:rPr>
        <w:tab/>
        <w:t>GAMINTOJAS (-AI), ATSAKINGAS (-I) UŽ SERIJŲ IŠLEIDIMĄ</w:t>
      </w:r>
    </w:p>
    <w:p w14:paraId="15B4DC77"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567A900E"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u w:val="single"/>
          <w:lang w:val="lt-LT"/>
        </w:rPr>
      </w:pPr>
      <w:r w:rsidRPr="00C92BDF">
        <w:rPr>
          <w:rFonts w:ascii="Times New Roman" w:eastAsia="Times New Roman" w:hAnsi="Times New Roman" w:cs="Times New Roman"/>
          <w:u w:val="single"/>
          <w:lang w:val="lt-LT"/>
        </w:rPr>
        <w:t>Gamintojų, atsakingų už serijų išleidimą, pavadinimai ir adresai</w:t>
      </w:r>
    </w:p>
    <w:p w14:paraId="36F54639"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7A93CA13" w14:textId="77777777" w:rsidR="004125E7" w:rsidRPr="00C92BDF" w:rsidRDefault="004125E7" w:rsidP="004125E7">
      <w:pPr>
        <w:spacing w:after="0" w:line="240" w:lineRule="auto"/>
        <w:rPr>
          <w:rFonts w:ascii="Times New Roman" w:eastAsia="Times New Roman" w:hAnsi="Times New Roman" w:cs="Times New Roman"/>
          <w:snapToGrid w:val="0"/>
          <w:lang w:val="lt-LT" w:eastAsia="lt-LT"/>
        </w:rPr>
      </w:pPr>
      <w:r w:rsidRPr="00C92BDF">
        <w:rPr>
          <w:rFonts w:ascii="Times New Roman" w:eastAsia="Times New Roman" w:hAnsi="Times New Roman" w:cs="Times New Roman"/>
          <w:snapToGrid w:val="0"/>
          <w:lang w:val="lt-LT" w:eastAsia="lt-LT"/>
        </w:rPr>
        <w:t xml:space="preserve">Daiichi Sankyo Europe GmbH </w:t>
      </w:r>
    </w:p>
    <w:p w14:paraId="12BC4526" w14:textId="77777777" w:rsidR="004125E7" w:rsidRPr="00C92BDF" w:rsidRDefault="004125E7" w:rsidP="004125E7">
      <w:pPr>
        <w:spacing w:after="0" w:line="240" w:lineRule="auto"/>
        <w:rPr>
          <w:rFonts w:ascii="Times New Roman" w:eastAsia="Times New Roman" w:hAnsi="Times New Roman" w:cs="Times New Roman"/>
          <w:snapToGrid w:val="0"/>
          <w:lang w:val="lt-LT" w:eastAsia="lt-LT"/>
        </w:rPr>
      </w:pPr>
      <w:r w:rsidRPr="00C92BDF">
        <w:rPr>
          <w:rFonts w:ascii="Times New Roman" w:eastAsia="Times New Roman" w:hAnsi="Times New Roman" w:cs="Times New Roman"/>
          <w:snapToGrid w:val="0"/>
          <w:lang w:val="lt-LT" w:eastAsia="lt-LT"/>
        </w:rPr>
        <w:t>Luitpoldstrasse 1, 85276 Pfaffenhofen, Vokietija</w:t>
      </w:r>
    </w:p>
    <w:p w14:paraId="5BB57B39" w14:textId="77777777" w:rsidR="004125E7" w:rsidRPr="00C92BDF" w:rsidRDefault="004125E7" w:rsidP="004125E7">
      <w:pPr>
        <w:spacing w:after="0" w:line="240" w:lineRule="auto"/>
        <w:rPr>
          <w:rFonts w:ascii="Times New Roman" w:eastAsia="Times New Roman" w:hAnsi="Times New Roman" w:cs="Times New Roman"/>
          <w:lang w:val="lt-LT"/>
        </w:rPr>
      </w:pPr>
    </w:p>
    <w:p w14:paraId="5C45314B" w14:textId="77777777" w:rsidR="004125E7" w:rsidRPr="00C92BDF" w:rsidRDefault="004125E7" w:rsidP="004125E7">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arba</w:t>
      </w:r>
    </w:p>
    <w:p w14:paraId="6580E030" w14:textId="77777777" w:rsidR="004125E7" w:rsidRPr="00C92BDF" w:rsidRDefault="004125E7" w:rsidP="004125E7">
      <w:pPr>
        <w:spacing w:after="0" w:line="240" w:lineRule="auto"/>
        <w:rPr>
          <w:rFonts w:ascii="Times New Roman" w:eastAsia="Times New Roman" w:hAnsi="Times New Roman" w:cs="Times New Roman"/>
          <w:lang w:val="lt-LT"/>
        </w:rPr>
      </w:pPr>
    </w:p>
    <w:p w14:paraId="1C257864" w14:textId="77777777" w:rsidR="004125E7" w:rsidRPr="00C92BDF" w:rsidRDefault="004125E7" w:rsidP="004125E7">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Berlin-Chemie AG</w:t>
      </w:r>
    </w:p>
    <w:p w14:paraId="64885DD5" w14:textId="77777777" w:rsidR="004125E7" w:rsidRPr="00C92BDF" w:rsidRDefault="004125E7" w:rsidP="004125E7">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Glienicker Weg 125, 12489 Berlin, Vokietija</w:t>
      </w:r>
    </w:p>
    <w:p w14:paraId="5E84957C" w14:textId="77777777" w:rsidR="004125E7" w:rsidRPr="00C92BDF" w:rsidRDefault="004125E7" w:rsidP="004125E7">
      <w:pPr>
        <w:spacing w:after="0" w:line="240" w:lineRule="auto"/>
        <w:rPr>
          <w:rFonts w:ascii="Times New Roman" w:eastAsia="Times New Roman" w:hAnsi="Times New Roman" w:cs="Times New Roman"/>
          <w:lang w:val="lt-LT"/>
        </w:rPr>
      </w:pPr>
    </w:p>
    <w:p w14:paraId="1F679F79" w14:textId="77777777" w:rsidR="004125E7" w:rsidRPr="00C92BDF" w:rsidRDefault="004125E7" w:rsidP="004125E7">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arba</w:t>
      </w:r>
    </w:p>
    <w:p w14:paraId="655DAE3C" w14:textId="77777777" w:rsidR="004125E7" w:rsidRPr="00C92BDF" w:rsidRDefault="004125E7" w:rsidP="004125E7">
      <w:pPr>
        <w:spacing w:after="0" w:line="240" w:lineRule="auto"/>
        <w:rPr>
          <w:rFonts w:ascii="Times New Roman" w:eastAsia="Times New Roman" w:hAnsi="Times New Roman" w:cs="Times New Roman"/>
          <w:lang w:val="lt-LT"/>
        </w:rPr>
      </w:pPr>
    </w:p>
    <w:p w14:paraId="55F2265C" w14:textId="77777777" w:rsidR="004125E7" w:rsidRPr="00C92BDF" w:rsidRDefault="004125E7" w:rsidP="004125E7">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Laboratorios Menarini S.A.</w:t>
      </w:r>
    </w:p>
    <w:p w14:paraId="45B68D36" w14:textId="77777777" w:rsidR="004125E7" w:rsidRPr="00C92BDF" w:rsidRDefault="004125E7" w:rsidP="004125E7">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Alfons XII, 587</w:t>
      </w:r>
    </w:p>
    <w:p w14:paraId="075418C7" w14:textId="77777777" w:rsidR="004125E7" w:rsidRPr="00C92BDF" w:rsidRDefault="004125E7" w:rsidP="004125E7">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E-08918 Badalona (Barcelona)</w:t>
      </w:r>
    </w:p>
    <w:p w14:paraId="40473AB2" w14:textId="77777777" w:rsidR="004125E7" w:rsidRDefault="004125E7" w:rsidP="004125E7">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Ispanija</w:t>
      </w:r>
    </w:p>
    <w:p w14:paraId="07A3A58B" w14:textId="77777777" w:rsidR="004125E7" w:rsidRDefault="004125E7" w:rsidP="004125E7">
      <w:pPr>
        <w:spacing w:after="0" w:line="240" w:lineRule="auto"/>
        <w:rPr>
          <w:rFonts w:ascii="Times New Roman" w:eastAsia="Times New Roman" w:hAnsi="Times New Roman" w:cs="Times New Roman"/>
          <w:lang w:val="lt-LT"/>
        </w:rPr>
      </w:pPr>
    </w:p>
    <w:p w14:paraId="2C128809" w14:textId="77777777" w:rsidR="004125E7" w:rsidRDefault="004125E7" w:rsidP="004125E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arba</w:t>
      </w:r>
    </w:p>
    <w:p w14:paraId="5DF98022" w14:textId="77777777" w:rsidR="004125E7" w:rsidRDefault="004125E7" w:rsidP="004125E7">
      <w:pPr>
        <w:spacing w:after="0" w:line="240" w:lineRule="auto"/>
        <w:rPr>
          <w:rFonts w:ascii="Times New Roman" w:eastAsia="Times New Roman" w:hAnsi="Times New Roman" w:cs="Times New Roman"/>
          <w:lang w:val="lt-LT"/>
        </w:rPr>
      </w:pPr>
    </w:p>
    <w:p w14:paraId="47B58167" w14:textId="77777777" w:rsidR="004125E7" w:rsidRPr="00E62BE2" w:rsidRDefault="004125E7" w:rsidP="004125E7">
      <w:pPr>
        <w:spacing w:after="0" w:line="240" w:lineRule="auto"/>
        <w:rPr>
          <w:rFonts w:ascii="Times New Roman" w:hAnsi="Times New Roman"/>
          <w:lang w:val="sv-SE"/>
        </w:rPr>
      </w:pPr>
      <w:r w:rsidRPr="00E62BE2">
        <w:rPr>
          <w:rFonts w:ascii="Times New Roman" w:hAnsi="Times New Roman"/>
          <w:lang w:val="sv-SE"/>
        </w:rPr>
        <w:t>Menarini - Von Heyden GmbH</w:t>
      </w:r>
    </w:p>
    <w:p w14:paraId="19321939" w14:textId="77777777" w:rsidR="004125E7" w:rsidRPr="00E62BE2" w:rsidRDefault="004125E7" w:rsidP="004125E7">
      <w:pPr>
        <w:spacing w:after="0" w:line="240" w:lineRule="auto"/>
        <w:rPr>
          <w:rFonts w:ascii="Times New Roman" w:hAnsi="Times New Roman"/>
          <w:lang w:val="sv-SE"/>
        </w:rPr>
      </w:pPr>
      <w:r w:rsidRPr="00E62BE2">
        <w:rPr>
          <w:rFonts w:ascii="Times New Roman" w:hAnsi="Times New Roman"/>
          <w:lang w:val="sv-SE"/>
        </w:rPr>
        <w:t>Leipziger Strasse 7-13</w:t>
      </w:r>
    </w:p>
    <w:p w14:paraId="31FE5A27" w14:textId="77777777" w:rsidR="004125E7" w:rsidRPr="00E62BE2" w:rsidRDefault="004125E7" w:rsidP="004125E7">
      <w:pPr>
        <w:spacing w:after="0" w:line="240" w:lineRule="auto"/>
        <w:rPr>
          <w:rFonts w:ascii="Times New Roman" w:hAnsi="Times New Roman"/>
          <w:lang w:val="sv-SE"/>
        </w:rPr>
      </w:pPr>
      <w:r w:rsidRPr="00E62BE2">
        <w:rPr>
          <w:rFonts w:ascii="Times New Roman" w:hAnsi="Times New Roman"/>
          <w:lang w:val="sv-SE"/>
        </w:rPr>
        <w:t>01097 Dresden</w:t>
      </w:r>
    </w:p>
    <w:p w14:paraId="05D557B9" w14:textId="77777777" w:rsidR="004125E7" w:rsidRPr="00C92BDF" w:rsidRDefault="004125E7" w:rsidP="004125E7">
      <w:pPr>
        <w:spacing w:after="0" w:line="240" w:lineRule="auto"/>
        <w:rPr>
          <w:rFonts w:ascii="Times New Roman" w:eastAsia="Times New Roman" w:hAnsi="Times New Roman" w:cs="Times New Roman"/>
          <w:lang w:val="lt-LT"/>
        </w:rPr>
      </w:pPr>
      <w:r w:rsidRPr="00E62BE2">
        <w:rPr>
          <w:rFonts w:ascii="Times New Roman" w:hAnsi="Times New Roman"/>
          <w:lang w:val="sv-SE"/>
        </w:rPr>
        <w:t>Vokietija</w:t>
      </w:r>
    </w:p>
    <w:p w14:paraId="6493079B" w14:textId="77777777" w:rsidR="004125E7" w:rsidRPr="00C92BDF" w:rsidRDefault="004125E7" w:rsidP="004125E7">
      <w:pPr>
        <w:spacing w:after="0" w:line="240" w:lineRule="auto"/>
        <w:rPr>
          <w:rFonts w:ascii="Times New Roman" w:eastAsia="Times New Roman" w:hAnsi="Times New Roman" w:cs="Times New Roman"/>
          <w:lang w:val="lt-LT"/>
        </w:rPr>
      </w:pPr>
    </w:p>
    <w:p w14:paraId="7797B65F" w14:textId="77777777" w:rsidR="004125E7" w:rsidRPr="00C92BDF" w:rsidRDefault="004125E7" w:rsidP="004125E7">
      <w:pPr>
        <w:spacing w:after="0" w:line="240" w:lineRule="auto"/>
        <w:rPr>
          <w:rFonts w:ascii="Times New Roman" w:eastAsia="Times New Roman" w:hAnsi="Times New Roman" w:cs="Times New Roman"/>
          <w:lang w:val="lt-LT"/>
        </w:rPr>
      </w:pPr>
    </w:p>
    <w:p w14:paraId="123C5E63" w14:textId="77777777" w:rsidR="004125E7" w:rsidRPr="00C92BDF" w:rsidRDefault="004125E7" w:rsidP="004125E7">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Su pakuote pateiktame lapelyje nurodomas gamintojo, atsakingo už konkrečios serijos išleidimą, pavadinimas ir adresas</w:t>
      </w:r>
    </w:p>
    <w:p w14:paraId="30FDC9D1" w14:textId="77777777" w:rsidR="004125E7"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13342634"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52AA531C" w14:textId="77777777" w:rsidR="004125E7" w:rsidRPr="00C92BDF" w:rsidRDefault="004125E7" w:rsidP="004125E7">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C92BDF">
        <w:rPr>
          <w:rFonts w:ascii="Times New Roman" w:eastAsia="Times New Roman" w:hAnsi="Times New Roman" w:cs="Times New Roman"/>
          <w:b/>
          <w:kern w:val="28"/>
          <w:lang w:val="lt-LT"/>
        </w:rPr>
        <w:t>B.</w:t>
      </w:r>
      <w:r w:rsidRPr="00C92BDF">
        <w:rPr>
          <w:rFonts w:ascii="Times New Roman" w:eastAsia="Times New Roman" w:hAnsi="Times New Roman" w:cs="Times New Roman"/>
          <w:b/>
          <w:kern w:val="28"/>
          <w:lang w:val="lt-LT"/>
        </w:rPr>
        <w:tab/>
        <w:t>TIEKIMO IR VARTOJIMO SĄLYGOS AR APRIBOJIMAI</w:t>
      </w:r>
    </w:p>
    <w:p w14:paraId="6B43382E"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0CCF22D7"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Receptinis vaistinis preparatas.</w:t>
      </w:r>
    </w:p>
    <w:p w14:paraId="01785BC4"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01651086"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br w:type="page"/>
      </w:r>
    </w:p>
    <w:p w14:paraId="1D379F81" w14:textId="77777777" w:rsidR="004125E7" w:rsidRPr="00C92BDF" w:rsidRDefault="004125E7" w:rsidP="004125E7">
      <w:pPr>
        <w:spacing w:after="0" w:line="240" w:lineRule="auto"/>
        <w:rPr>
          <w:rFonts w:ascii="Times New Roman" w:eastAsia="Times New Roman" w:hAnsi="Times New Roman" w:cs="Times New Roman"/>
          <w:lang w:val="lt-LT" w:eastAsia="lt-LT"/>
        </w:rPr>
      </w:pPr>
    </w:p>
    <w:p w14:paraId="79EEC706" w14:textId="77777777" w:rsidR="004125E7" w:rsidRPr="00C92BDF" w:rsidRDefault="004125E7" w:rsidP="004125E7">
      <w:pPr>
        <w:spacing w:after="0" w:line="240" w:lineRule="auto"/>
        <w:rPr>
          <w:rFonts w:ascii="Times New Roman" w:eastAsia="Times New Roman" w:hAnsi="Times New Roman" w:cs="Times New Roman"/>
          <w:lang w:val="lt-LT" w:eastAsia="lt-LT"/>
        </w:rPr>
      </w:pPr>
    </w:p>
    <w:p w14:paraId="58563AB6"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7F172E35"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37549C25"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43F6F8B4"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74AFF33E"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1D139A45"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14120F94"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13EC5152"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6BF8853D"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381C55D2"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3215190E"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6E6EF7AA"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32201CD6"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14FEFCC3"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15336F1A"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7139FD01"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58ABF0EB"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57465464"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4020652F"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35D68248"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0150E591"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1783A440" w14:textId="77777777" w:rsidR="004125E7" w:rsidRPr="00C92BDF" w:rsidRDefault="004125E7" w:rsidP="004125E7">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C92BDF">
        <w:rPr>
          <w:rFonts w:ascii="Times New Roman" w:eastAsia="Times New Roman" w:hAnsi="Times New Roman" w:cs="Times New Roman"/>
          <w:b/>
          <w:caps/>
          <w:lang w:val="lt-LT"/>
        </w:rPr>
        <w:t>III PRIEDAS</w:t>
      </w:r>
    </w:p>
    <w:p w14:paraId="3040E40C"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44797990" w14:textId="77777777" w:rsidR="004125E7" w:rsidRPr="00C92BDF" w:rsidRDefault="004125E7" w:rsidP="004125E7">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C92BDF">
        <w:rPr>
          <w:rFonts w:ascii="Times New Roman" w:eastAsia="Times New Roman" w:hAnsi="Times New Roman" w:cs="Times New Roman"/>
          <w:b/>
          <w:caps/>
          <w:lang w:val="lt-LT"/>
        </w:rPr>
        <w:t>ŽENKLINIMAS IR PAKUOTĖS LAPELIS</w:t>
      </w:r>
    </w:p>
    <w:p w14:paraId="0339594D"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br w:type="page"/>
      </w:r>
    </w:p>
    <w:p w14:paraId="4A23A1CF"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54035CF0"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201152C2"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53A0A1B6"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546896A9"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4B68BF8A"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0C88EB6D"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7BBC6359"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053C5ABA"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77713BC0"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4E0E3F11"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13965502"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0947DB70"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24BA0386"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0F25E920"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3C6D2201"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41BE4EBD"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3CDF825A"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65987A6E"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259DAF98"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2D6627B2"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430DAA76"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7E513FB0" w14:textId="77777777" w:rsidR="004125E7" w:rsidRPr="00C92BDF" w:rsidRDefault="004125E7" w:rsidP="004125E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E054671" w14:textId="77777777" w:rsidR="004125E7" w:rsidRPr="00C92BDF" w:rsidRDefault="004125E7" w:rsidP="004125E7">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C92BDF">
        <w:rPr>
          <w:rFonts w:ascii="Times New Roman" w:eastAsia="Times New Roman" w:hAnsi="Times New Roman" w:cs="Times New Roman"/>
          <w:b/>
          <w:caps/>
          <w:lang w:val="lt-LT"/>
        </w:rPr>
        <w:t>A. ŽENKLINIMAS</w:t>
      </w:r>
    </w:p>
    <w:p w14:paraId="7B6C0822"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br w:type="page"/>
      </w:r>
    </w:p>
    <w:p w14:paraId="7A80EB32" w14:textId="77777777" w:rsidR="004125E7" w:rsidRPr="00C92BDF" w:rsidRDefault="004125E7" w:rsidP="004125E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C92BDF">
        <w:rPr>
          <w:rFonts w:ascii="Times New Roman" w:eastAsia="Times New Roman" w:hAnsi="Times New Roman" w:cs="Times New Roman"/>
          <w:b/>
          <w:lang w:val="lt-LT"/>
        </w:rPr>
        <w:lastRenderedPageBreak/>
        <w:t>INFORMACIJA ANT IŠORINĖS PAKUOTĖS</w:t>
      </w:r>
    </w:p>
    <w:p w14:paraId="3ECBDE44" w14:textId="77777777" w:rsidR="004125E7" w:rsidRPr="00C92BDF" w:rsidRDefault="004125E7" w:rsidP="004125E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p>
    <w:p w14:paraId="2E1AAF58" w14:textId="77777777" w:rsidR="004125E7" w:rsidRPr="00C92BDF" w:rsidRDefault="004125E7" w:rsidP="004125E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C92BDF">
        <w:rPr>
          <w:rFonts w:ascii="Times New Roman" w:eastAsia="Times New Roman" w:hAnsi="Times New Roman" w:cs="Times New Roman"/>
          <w:b/>
          <w:lang w:val="lt-LT"/>
        </w:rPr>
        <w:t>KARTONO DĖŽUTĖ</w:t>
      </w:r>
    </w:p>
    <w:p w14:paraId="50C5983D"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476E2AC3"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686B4312" w14:textId="77777777" w:rsidR="004125E7" w:rsidRPr="00C92BDF" w:rsidRDefault="004125E7" w:rsidP="004125E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C92BDF">
        <w:rPr>
          <w:rFonts w:ascii="Times New Roman" w:eastAsia="Times New Roman" w:hAnsi="Times New Roman" w:cs="Times New Roman"/>
          <w:b/>
          <w:lang w:val="lt-LT"/>
        </w:rPr>
        <w:t>1.</w:t>
      </w:r>
      <w:r w:rsidRPr="00C92BDF">
        <w:rPr>
          <w:rFonts w:ascii="Times New Roman" w:eastAsia="Times New Roman" w:hAnsi="Times New Roman" w:cs="Times New Roman"/>
          <w:b/>
          <w:lang w:val="lt-LT"/>
        </w:rPr>
        <w:tab/>
        <w:t>VAISTINIO PREPARATO PAVADINIMAS</w:t>
      </w:r>
    </w:p>
    <w:p w14:paraId="75F8E745"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68CD4B2F"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Mesar 10 mg plėvele dengtos tabletės</w:t>
      </w:r>
    </w:p>
    <w:p w14:paraId="26CA3380"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highlight w:val="lightGray"/>
          <w:lang w:val="lt-LT"/>
        </w:rPr>
        <w:t>Mesar 20 mg plėvele dengtos tabletės</w:t>
      </w:r>
    </w:p>
    <w:p w14:paraId="36267EC8"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i/>
          <w:lang w:val="lt-LT"/>
        </w:rPr>
      </w:pPr>
      <w:r w:rsidRPr="00C92BDF">
        <w:rPr>
          <w:rFonts w:ascii="Times New Roman" w:eastAsia="Times New Roman" w:hAnsi="Times New Roman" w:cs="Times New Roman"/>
          <w:highlight w:val="darkGray"/>
          <w:lang w:val="lt-LT"/>
        </w:rPr>
        <w:t>Mesar 40 mg plėvele dengtos tabletės</w:t>
      </w:r>
    </w:p>
    <w:p w14:paraId="7DDA8ADB"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440DE959"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 xml:space="preserve">Olmesartanum medoxomilum </w:t>
      </w:r>
    </w:p>
    <w:p w14:paraId="64BDC37C"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5F01692D"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542CCA39" w14:textId="77777777" w:rsidR="004125E7" w:rsidRPr="00C92BDF" w:rsidRDefault="004125E7" w:rsidP="004125E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C92BDF">
        <w:rPr>
          <w:rFonts w:ascii="Times New Roman" w:eastAsia="Times New Roman" w:hAnsi="Times New Roman" w:cs="Times New Roman"/>
          <w:b/>
          <w:lang w:val="lt-LT"/>
        </w:rPr>
        <w:t>2.</w:t>
      </w:r>
      <w:r w:rsidRPr="00C92BDF">
        <w:rPr>
          <w:rFonts w:ascii="Times New Roman" w:eastAsia="Times New Roman" w:hAnsi="Times New Roman" w:cs="Times New Roman"/>
          <w:b/>
          <w:lang w:val="lt-LT"/>
        </w:rPr>
        <w:tab/>
        <w:t>VEIKLIOJI MEDŽIAGA IR JOS KIEKIS</w:t>
      </w:r>
    </w:p>
    <w:p w14:paraId="5556D59B"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7F4D8088"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Vienoje plėvele dengtoje tabletėje yra 10 mg olmesartano medoksomilio.</w:t>
      </w:r>
    </w:p>
    <w:p w14:paraId="5B48F0D1"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highlight w:val="lightGray"/>
          <w:lang w:val="lt-LT"/>
        </w:rPr>
        <w:t>Vienoje plėvele dengtoje tabletėje yra 20 mg olmesartano medoksomilio.</w:t>
      </w:r>
    </w:p>
    <w:p w14:paraId="184B753E"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highlight w:val="darkGray"/>
          <w:lang w:val="lt-LT"/>
        </w:rPr>
        <w:t>Vienoje plėvele dengtoje tabletėje yra 40 mg olmesartano medoksomilio.</w:t>
      </w:r>
    </w:p>
    <w:p w14:paraId="21DD93E8"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4C7FF097"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633DAB5E" w14:textId="77777777" w:rsidR="004125E7" w:rsidRPr="00C92BDF" w:rsidRDefault="004125E7" w:rsidP="004125E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C92BDF">
        <w:rPr>
          <w:rFonts w:ascii="Times New Roman" w:eastAsia="Times New Roman" w:hAnsi="Times New Roman" w:cs="Times New Roman"/>
          <w:b/>
          <w:lang w:val="lt-LT"/>
        </w:rPr>
        <w:t>3.</w:t>
      </w:r>
      <w:r w:rsidRPr="00C92BDF">
        <w:rPr>
          <w:rFonts w:ascii="Times New Roman" w:eastAsia="Times New Roman" w:hAnsi="Times New Roman" w:cs="Times New Roman"/>
          <w:b/>
          <w:lang w:val="lt-LT"/>
        </w:rPr>
        <w:tab/>
        <w:t>PAGALBINIŲ MEDŽIAGŲ SĄRAŠAS</w:t>
      </w:r>
    </w:p>
    <w:p w14:paraId="4FE41F2C"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7D8CB5A5"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Sudėtyje yra laktozės monohidrato.</w:t>
      </w:r>
    </w:p>
    <w:p w14:paraId="1A2172E7"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1041DA6B"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4964EDD2" w14:textId="77777777" w:rsidR="004125E7" w:rsidRPr="00C92BDF" w:rsidRDefault="004125E7" w:rsidP="004125E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C92BDF">
        <w:rPr>
          <w:rFonts w:ascii="Times New Roman" w:eastAsia="Times New Roman" w:hAnsi="Times New Roman" w:cs="Times New Roman"/>
          <w:b/>
          <w:lang w:val="lt-LT"/>
        </w:rPr>
        <w:t>4.</w:t>
      </w:r>
      <w:r w:rsidRPr="00C92BDF">
        <w:rPr>
          <w:rFonts w:ascii="Times New Roman" w:eastAsia="Times New Roman" w:hAnsi="Times New Roman" w:cs="Times New Roman"/>
          <w:b/>
          <w:lang w:val="lt-LT"/>
        </w:rPr>
        <w:tab/>
        <w:t>FARMACINĖ FORMA IR KIEKIS PAKUOTĖJE</w:t>
      </w:r>
    </w:p>
    <w:p w14:paraId="40047EE9"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07858086"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14 plėvele dengtų tablečių</w:t>
      </w:r>
    </w:p>
    <w:p w14:paraId="27A039EC"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highlight w:val="lightGray"/>
          <w:lang w:val="lt-LT"/>
        </w:rPr>
      </w:pPr>
      <w:r w:rsidRPr="00C92BDF">
        <w:rPr>
          <w:rFonts w:ascii="Times New Roman" w:eastAsia="Times New Roman" w:hAnsi="Times New Roman" w:cs="Times New Roman"/>
          <w:highlight w:val="lightGray"/>
          <w:lang w:val="lt-LT"/>
        </w:rPr>
        <w:t xml:space="preserve">28 plėvele dengtos tabletės </w:t>
      </w:r>
    </w:p>
    <w:p w14:paraId="48DAD0C6"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highlight w:val="lightGray"/>
          <w:lang w:val="lt-LT"/>
        </w:rPr>
      </w:pPr>
      <w:r w:rsidRPr="00C92BDF">
        <w:rPr>
          <w:rFonts w:ascii="Times New Roman" w:eastAsia="Times New Roman" w:hAnsi="Times New Roman" w:cs="Times New Roman"/>
          <w:highlight w:val="lightGray"/>
          <w:lang w:val="lt-LT"/>
        </w:rPr>
        <w:t xml:space="preserve">56 plėvele dengtos tabletės </w:t>
      </w:r>
    </w:p>
    <w:p w14:paraId="0D88250F"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highlight w:val="lightGray"/>
          <w:lang w:val="lt-LT"/>
        </w:rPr>
        <w:t>98 plėvele dengtos tabletės</w:t>
      </w:r>
      <w:r w:rsidRPr="00C92BDF">
        <w:rPr>
          <w:rFonts w:ascii="Times New Roman" w:eastAsia="Times New Roman" w:hAnsi="Times New Roman" w:cs="Times New Roman"/>
          <w:lang w:val="lt-LT"/>
        </w:rPr>
        <w:t xml:space="preserve"> </w:t>
      </w:r>
    </w:p>
    <w:p w14:paraId="3B025DDB"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64D7773E"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390679D0" w14:textId="77777777" w:rsidR="004125E7" w:rsidRPr="00C92BDF" w:rsidRDefault="004125E7" w:rsidP="004125E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C92BDF">
        <w:rPr>
          <w:rFonts w:ascii="Times New Roman" w:eastAsia="Times New Roman" w:hAnsi="Times New Roman" w:cs="Times New Roman"/>
          <w:b/>
          <w:lang w:val="lt-LT"/>
        </w:rPr>
        <w:t>5.</w:t>
      </w:r>
      <w:r w:rsidRPr="00C92BDF">
        <w:rPr>
          <w:rFonts w:ascii="Times New Roman" w:eastAsia="Times New Roman" w:hAnsi="Times New Roman" w:cs="Times New Roman"/>
          <w:b/>
          <w:lang w:val="lt-LT"/>
        </w:rPr>
        <w:tab/>
        <w:t>VARTOJIMO METODAS IR BŪDAS (-AI)</w:t>
      </w:r>
    </w:p>
    <w:p w14:paraId="487BF6CE"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56B8194C"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Vartoti per burną.</w:t>
      </w:r>
    </w:p>
    <w:p w14:paraId="6FAF57FE"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Prieš vartojimą perskaitykite pakuotės lapelį.</w:t>
      </w:r>
    </w:p>
    <w:p w14:paraId="34CF8DE1"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1982CC14"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49DBDEDA" w14:textId="77777777" w:rsidR="004125E7" w:rsidRPr="00C92BDF" w:rsidRDefault="004125E7" w:rsidP="004125E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C92BDF">
        <w:rPr>
          <w:rFonts w:ascii="Times New Roman" w:eastAsia="Times New Roman" w:hAnsi="Times New Roman" w:cs="Times New Roman"/>
          <w:b/>
          <w:lang w:val="lt-LT"/>
        </w:rPr>
        <w:t>6.</w:t>
      </w:r>
      <w:r w:rsidRPr="00C92BDF">
        <w:rPr>
          <w:rFonts w:ascii="Times New Roman" w:eastAsia="Times New Roman" w:hAnsi="Times New Roman" w:cs="Times New Roman"/>
          <w:b/>
          <w:lang w:val="lt-LT"/>
        </w:rPr>
        <w:tab/>
        <w:t>SPECIALUS ĮSPĖJIMAS, KAD VAISTINĮ PREPARATĄ BŪTINA LAIKYTI VAIKAMS NEPASTEBIMOJE IR NEPASIEKIAMOJE VIETOJE</w:t>
      </w:r>
    </w:p>
    <w:p w14:paraId="130124E5"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highlight w:val="yellow"/>
          <w:lang w:val="lt-LT"/>
        </w:rPr>
      </w:pPr>
    </w:p>
    <w:p w14:paraId="2DF1148C"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Laikyti vaikams nepastebimoje ir nepasiekiamoje vietoje.</w:t>
      </w:r>
    </w:p>
    <w:p w14:paraId="14AE10E9"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74CB6A25"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3AB413CA" w14:textId="77777777" w:rsidR="004125E7" w:rsidRPr="00C92BDF" w:rsidRDefault="004125E7" w:rsidP="004125E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C92BDF">
        <w:rPr>
          <w:rFonts w:ascii="Times New Roman" w:eastAsia="Times New Roman" w:hAnsi="Times New Roman" w:cs="Times New Roman"/>
          <w:b/>
          <w:lang w:val="lt-LT"/>
        </w:rPr>
        <w:t>7.</w:t>
      </w:r>
      <w:r w:rsidRPr="00C92BDF">
        <w:rPr>
          <w:rFonts w:ascii="Times New Roman" w:eastAsia="Times New Roman" w:hAnsi="Times New Roman" w:cs="Times New Roman"/>
          <w:b/>
          <w:lang w:val="lt-LT"/>
        </w:rPr>
        <w:tab/>
        <w:t>KITAS (-I) SPECIALUS (-ŪS) ĮSPĖJIMAS (-AI) (JEI REIKIA)</w:t>
      </w:r>
    </w:p>
    <w:p w14:paraId="2967FA16"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14F1DF55"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1E118258" w14:textId="77777777" w:rsidR="004125E7" w:rsidRPr="00C92BDF" w:rsidRDefault="004125E7" w:rsidP="004125E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C92BDF">
        <w:rPr>
          <w:rFonts w:ascii="Times New Roman" w:eastAsia="Times New Roman" w:hAnsi="Times New Roman" w:cs="Times New Roman"/>
          <w:b/>
          <w:lang w:val="lt-LT"/>
        </w:rPr>
        <w:t>8.</w:t>
      </w:r>
      <w:r w:rsidRPr="00C92BDF">
        <w:rPr>
          <w:rFonts w:ascii="Times New Roman" w:eastAsia="Times New Roman" w:hAnsi="Times New Roman" w:cs="Times New Roman"/>
          <w:b/>
          <w:lang w:val="lt-LT"/>
        </w:rPr>
        <w:tab/>
        <w:t>TINKAMUMO LAIKAS</w:t>
      </w:r>
    </w:p>
    <w:p w14:paraId="20C221DE"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529A0874"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Tinka iki {mm/MMMM}</w:t>
      </w:r>
    </w:p>
    <w:p w14:paraId="7A433CED"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00855ACB"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16F8D99E" w14:textId="77777777" w:rsidR="004125E7" w:rsidRPr="00C92BDF" w:rsidRDefault="004125E7" w:rsidP="004125E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C92BDF">
        <w:rPr>
          <w:rFonts w:ascii="Times New Roman" w:eastAsia="Times New Roman" w:hAnsi="Times New Roman" w:cs="Times New Roman"/>
          <w:b/>
          <w:lang w:val="lt-LT"/>
        </w:rPr>
        <w:t>9.</w:t>
      </w:r>
      <w:r w:rsidRPr="00C92BDF">
        <w:rPr>
          <w:rFonts w:ascii="Times New Roman" w:eastAsia="Times New Roman" w:hAnsi="Times New Roman" w:cs="Times New Roman"/>
          <w:b/>
          <w:lang w:val="lt-LT"/>
        </w:rPr>
        <w:tab/>
        <w:t>SPECIALIOS LAIKYMO SĄLYGOS</w:t>
      </w:r>
    </w:p>
    <w:p w14:paraId="63C13AE5"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06FD46E3"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3D952C9C" w14:textId="77777777" w:rsidR="004125E7" w:rsidRPr="00C92BDF" w:rsidRDefault="004125E7" w:rsidP="004125E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C92BDF">
        <w:rPr>
          <w:rFonts w:ascii="Times New Roman" w:eastAsia="Times New Roman" w:hAnsi="Times New Roman" w:cs="Times New Roman"/>
          <w:b/>
          <w:lang w:val="lt-LT"/>
        </w:rPr>
        <w:t>10.</w:t>
      </w:r>
      <w:r w:rsidRPr="00C92BDF">
        <w:rPr>
          <w:rFonts w:ascii="Times New Roman" w:eastAsia="Times New Roman" w:hAnsi="Times New Roman" w:cs="Times New Roman"/>
          <w:b/>
          <w:lang w:val="lt-LT"/>
        </w:rPr>
        <w:tab/>
        <w:t>SPECIALIOS ATSARGUMO PRIEMONĖS DĖL NESUVARTOTO VAISTINIO PREPARATO AR JO ATLIEKŲ TVARKYMO (JEI REIKIA)</w:t>
      </w:r>
    </w:p>
    <w:p w14:paraId="1EDD34B7"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273C145E"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46E6235A" w14:textId="77777777" w:rsidR="004125E7" w:rsidRPr="00C92BDF" w:rsidRDefault="004125E7" w:rsidP="004125E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C92BDF">
        <w:rPr>
          <w:rFonts w:ascii="Times New Roman" w:eastAsia="Times New Roman" w:hAnsi="Times New Roman" w:cs="Times New Roman"/>
          <w:b/>
          <w:lang w:val="lt-LT"/>
        </w:rPr>
        <w:t>11.</w:t>
      </w:r>
      <w:r w:rsidRPr="00C92BDF">
        <w:rPr>
          <w:rFonts w:ascii="Times New Roman" w:eastAsia="Times New Roman" w:hAnsi="Times New Roman" w:cs="Times New Roman"/>
          <w:b/>
          <w:lang w:val="lt-LT"/>
        </w:rPr>
        <w:tab/>
        <w:t>REGISTRUOTOJOPAVADINIMAS IR ADRESAS</w:t>
      </w:r>
    </w:p>
    <w:p w14:paraId="05E71F4C"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0EA853CB" w14:textId="77777777" w:rsidR="004125E7" w:rsidRPr="00C92BDF" w:rsidRDefault="004125E7" w:rsidP="004125E7">
      <w:pPr>
        <w:spacing w:after="0" w:line="240" w:lineRule="auto"/>
        <w:rPr>
          <w:rFonts w:ascii="Times New Roman" w:eastAsia="Times New Roman" w:hAnsi="Times New Roman" w:cs="Times New Roman"/>
          <w:snapToGrid w:val="0"/>
          <w:lang w:val="lt-LT" w:eastAsia="lt-LT"/>
        </w:rPr>
      </w:pPr>
      <w:r w:rsidRPr="00C92BDF">
        <w:rPr>
          <w:rFonts w:ascii="Times New Roman" w:eastAsia="Times New Roman" w:hAnsi="Times New Roman" w:cs="Times New Roman"/>
          <w:snapToGrid w:val="0"/>
          <w:lang w:val="lt-LT" w:eastAsia="lt-LT"/>
        </w:rPr>
        <w:t>Menarini International Operations Luxembourg S.A.</w:t>
      </w:r>
    </w:p>
    <w:p w14:paraId="6AA35A86"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snapToGrid w:val="0"/>
          <w:lang w:val="lt-LT"/>
        </w:rPr>
      </w:pPr>
      <w:r w:rsidRPr="00C92BDF">
        <w:rPr>
          <w:rFonts w:ascii="Times New Roman" w:eastAsia="Times New Roman" w:hAnsi="Times New Roman" w:cs="Times New Roman"/>
          <w:snapToGrid w:val="0"/>
          <w:lang w:val="lt-LT"/>
        </w:rPr>
        <w:t xml:space="preserve">1, Avenue de la Gare </w:t>
      </w:r>
    </w:p>
    <w:p w14:paraId="17D4C756"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snapToGrid w:val="0"/>
          <w:lang w:val="lt-LT"/>
        </w:rPr>
      </w:pPr>
      <w:r w:rsidRPr="00C92BDF">
        <w:rPr>
          <w:rFonts w:ascii="Times New Roman" w:eastAsia="Times New Roman" w:hAnsi="Times New Roman" w:cs="Times New Roman"/>
          <w:snapToGrid w:val="0"/>
          <w:lang w:val="lt-LT"/>
        </w:rPr>
        <w:t xml:space="preserve">L-1611 </w:t>
      </w:r>
      <w:r w:rsidRPr="00C92BDF">
        <w:rPr>
          <w:rFonts w:ascii="Times New Roman" w:eastAsia="Times New Roman" w:hAnsi="Times New Roman" w:cs="Times New Roman"/>
          <w:lang w:val="lt-LT"/>
        </w:rPr>
        <w:t>Luxembourg</w:t>
      </w:r>
    </w:p>
    <w:p w14:paraId="58EFDCFF"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snapToGrid w:val="0"/>
          <w:lang w:val="lt-LT"/>
        </w:rPr>
        <w:t>Liuksemburgas</w:t>
      </w:r>
      <w:r w:rsidRPr="00C92BDF">
        <w:rPr>
          <w:rFonts w:ascii="Times New Roman" w:eastAsia="Times New Roman" w:hAnsi="Times New Roman" w:cs="Times New Roman"/>
          <w:lang w:val="lt-LT"/>
        </w:rPr>
        <w:t xml:space="preserve"> </w:t>
      </w:r>
    </w:p>
    <w:p w14:paraId="04FE09AB"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20C58F3C"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5614A76B" w14:textId="77777777" w:rsidR="004125E7" w:rsidRPr="00C92BDF" w:rsidRDefault="004125E7" w:rsidP="004125E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C92BDF">
        <w:rPr>
          <w:rFonts w:ascii="Times New Roman" w:eastAsia="Times New Roman" w:hAnsi="Times New Roman" w:cs="Times New Roman"/>
          <w:b/>
          <w:lang w:val="lt-LT"/>
        </w:rPr>
        <w:t>12.</w:t>
      </w:r>
      <w:r w:rsidRPr="00C92BDF">
        <w:rPr>
          <w:rFonts w:ascii="Times New Roman" w:eastAsia="Times New Roman" w:hAnsi="Times New Roman" w:cs="Times New Roman"/>
          <w:b/>
          <w:lang w:val="lt-LT"/>
        </w:rPr>
        <w:tab/>
      </w:r>
      <w:r w:rsidRPr="00E62BE2">
        <w:rPr>
          <w:rFonts w:ascii="Times New Roman" w:hAnsi="Times New Roman"/>
          <w:b/>
          <w:lang w:val="lt-LT"/>
        </w:rPr>
        <w:t>REGISTRACIJOS PAŽYMĖJIMO</w:t>
      </w:r>
      <w:r w:rsidRPr="00C92BDF">
        <w:rPr>
          <w:rFonts w:ascii="Times New Roman" w:eastAsia="Times New Roman" w:hAnsi="Times New Roman" w:cs="Times New Roman"/>
          <w:b/>
          <w:lang w:val="lt-LT"/>
        </w:rPr>
        <w:t>NUMERIS (-IAI)</w:t>
      </w:r>
    </w:p>
    <w:p w14:paraId="71679DAB"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2F18953E" w14:textId="77777777" w:rsidR="004125E7" w:rsidRPr="00C92BDF" w:rsidRDefault="004125E7" w:rsidP="004125E7">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 xml:space="preserve">Mesar 10 mg </w:t>
      </w:r>
    </w:p>
    <w:p w14:paraId="5D22498F" w14:textId="77777777" w:rsidR="004125E7" w:rsidRPr="00C92BDF" w:rsidRDefault="004125E7" w:rsidP="004125E7">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N14 – LT/1/04/3171/001</w:t>
      </w:r>
    </w:p>
    <w:p w14:paraId="076CCB38" w14:textId="77777777" w:rsidR="004125E7" w:rsidRPr="00C92BDF" w:rsidRDefault="004125E7" w:rsidP="004125E7">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N28 – LT/1/04/3171/002</w:t>
      </w:r>
    </w:p>
    <w:p w14:paraId="73BCD5C5" w14:textId="77777777" w:rsidR="004125E7" w:rsidRPr="00C92BDF" w:rsidRDefault="004125E7" w:rsidP="004125E7">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N56 – LT/1/04/3171/003</w:t>
      </w:r>
    </w:p>
    <w:p w14:paraId="2E61C9C6" w14:textId="77777777" w:rsidR="004125E7" w:rsidRPr="00C92BDF" w:rsidRDefault="004125E7" w:rsidP="004125E7">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N98 – LT/1/04/3171/004</w:t>
      </w:r>
    </w:p>
    <w:p w14:paraId="78867749" w14:textId="77777777" w:rsidR="004125E7" w:rsidRPr="00C92BDF" w:rsidRDefault="004125E7" w:rsidP="004125E7">
      <w:pPr>
        <w:spacing w:after="0" w:line="240" w:lineRule="auto"/>
        <w:rPr>
          <w:rFonts w:ascii="Times New Roman" w:eastAsia="Times New Roman" w:hAnsi="Times New Roman" w:cs="Times New Roman"/>
          <w:lang w:val="lt-LT"/>
        </w:rPr>
      </w:pPr>
    </w:p>
    <w:p w14:paraId="599B1ADD" w14:textId="77777777" w:rsidR="004125E7" w:rsidRPr="00C92BDF" w:rsidRDefault="004125E7" w:rsidP="004125E7">
      <w:pPr>
        <w:spacing w:after="0" w:line="240" w:lineRule="auto"/>
        <w:rPr>
          <w:rFonts w:ascii="Times New Roman" w:eastAsia="Times New Roman" w:hAnsi="Times New Roman" w:cs="Times New Roman"/>
          <w:highlight w:val="lightGray"/>
          <w:lang w:val="lt-LT"/>
        </w:rPr>
      </w:pPr>
      <w:r w:rsidRPr="00C92BDF">
        <w:rPr>
          <w:rFonts w:ascii="Times New Roman" w:eastAsia="Times New Roman" w:hAnsi="Times New Roman" w:cs="Times New Roman"/>
          <w:highlight w:val="lightGray"/>
          <w:lang w:val="lt-LT"/>
        </w:rPr>
        <w:t xml:space="preserve">Mesar 20 mg </w:t>
      </w:r>
    </w:p>
    <w:p w14:paraId="2E626721" w14:textId="77777777" w:rsidR="004125E7" w:rsidRPr="00C92BDF" w:rsidRDefault="004125E7" w:rsidP="004125E7">
      <w:pPr>
        <w:spacing w:after="0" w:line="240" w:lineRule="auto"/>
        <w:rPr>
          <w:rFonts w:ascii="Times New Roman" w:eastAsia="Times New Roman" w:hAnsi="Times New Roman" w:cs="Times New Roman"/>
          <w:highlight w:val="lightGray"/>
          <w:lang w:val="lt-LT"/>
        </w:rPr>
      </w:pPr>
      <w:r w:rsidRPr="00C92BDF">
        <w:rPr>
          <w:rFonts w:ascii="Times New Roman" w:eastAsia="Times New Roman" w:hAnsi="Times New Roman" w:cs="Times New Roman"/>
          <w:highlight w:val="lightGray"/>
          <w:lang w:val="lt-LT"/>
        </w:rPr>
        <w:t>N14 – LT/1/04/3171/005</w:t>
      </w:r>
    </w:p>
    <w:p w14:paraId="101B2479" w14:textId="77777777" w:rsidR="004125E7" w:rsidRPr="00C92BDF" w:rsidRDefault="004125E7" w:rsidP="004125E7">
      <w:pPr>
        <w:spacing w:after="0" w:line="240" w:lineRule="auto"/>
        <w:rPr>
          <w:rFonts w:ascii="Times New Roman" w:eastAsia="Times New Roman" w:hAnsi="Times New Roman" w:cs="Times New Roman"/>
          <w:highlight w:val="lightGray"/>
          <w:lang w:val="lt-LT"/>
        </w:rPr>
      </w:pPr>
      <w:r w:rsidRPr="00C92BDF">
        <w:rPr>
          <w:rFonts w:ascii="Times New Roman" w:eastAsia="Times New Roman" w:hAnsi="Times New Roman" w:cs="Times New Roman"/>
          <w:highlight w:val="lightGray"/>
          <w:lang w:val="lt-LT"/>
        </w:rPr>
        <w:t>N28 – LT/1/04/3171/006</w:t>
      </w:r>
    </w:p>
    <w:p w14:paraId="7C52F45E" w14:textId="77777777" w:rsidR="004125E7" w:rsidRPr="00C92BDF" w:rsidRDefault="004125E7" w:rsidP="004125E7">
      <w:pPr>
        <w:spacing w:after="0" w:line="240" w:lineRule="auto"/>
        <w:rPr>
          <w:rFonts w:ascii="Times New Roman" w:eastAsia="Times New Roman" w:hAnsi="Times New Roman" w:cs="Times New Roman"/>
          <w:highlight w:val="lightGray"/>
          <w:lang w:val="lt-LT"/>
        </w:rPr>
      </w:pPr>
      <w:r w:rsidRPr="00C92BDF">
        <w:rPr>
          <w:rFonts w:ascii="Times New Roman" w:eastAsia="Times New Roman" w:hAnsi="Times New Roman" w:cs="Times New Roman"/>
          <w:highlight w:val="lightGray"/>
          <w:lang w:val="lt-LT"/>
        </w:rPr>
        <w:t>N56 – LT/1/04/3171/007</w:t>
      </w:r>
    </w:p>
    <w:p w14:paraId="1575C61E" w14:textId="77777777" w:rsidR="004125E7" w:rsidRPr="00C92BDF" w:rsidRDefault="004125E7" w:rsidP="004125E7">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highlight w:val="lightGray"/>
          <w:lang w:val="lt-LT"/>
        </w:rPr>
        <w:t>N98 – LT/1/04/3171/008</w:t>
      </w:r>
    </w:p>
    <w:p w14:paraId="623E2C10" w14:textId="77777777" w:rsidR="004125E7" w:rsidRPr="00C92BDF" w:rsidRDefault="004125E7" w:rsidP="004125E7">
      <w:pPr>
        <w:spacing w:after="0" w:line="240" w:lineRule="auto"/>
        <w:rPr>
          <w:rFonts w:ascii="Times New Roman" w:eastAsia="Times New Roman" w:hAnsi="Times New Roman" w:cs="Times New Roman"/>
          <w:lang w:val="lt-LT"/>
        </w:rPr>
      </w:pPr>
    </w:p>
    <w:p w14:paraId="062D4060" w14:textId="77777777" w:rsidR="004125E7" w:rsidRPr="00C92BDF" w:rsidRDefault="004125E7" w:rsidP="004125E7">
      <w:pPr>
        <w:spacing w:after="0" w:line="240" w:lineRule="auto"/>
        <w:rPr>
          <w:rFonts w:ascii="Times New Roman" w:eastAsia="Times New Roman" w:hAnsi="Times New Roman" w:cs="Times New Roman"/>
          <w:highlight w:val="darkGray"/>
          <w:lang w:val="lt-LT"/>
        </w:rPr>
      </w:pPr>
      <w:r w:rsidRPr="00C92BDF">
        <w:rPr>
          <w:rFonts w:ascii="Times New Roman" w:eastAsia="Times New Roman" w:hAnsi="Times New Roman" w:cs="Times New Roman"/>
          <w:highlight w:val="darkGray"/>
          <w:lang w:val="lt-LT"/>
        </w:rPr>
        <w:t xml:space="preserve">Mesar 40 mg </w:t>
      </w:r>
    </w:p>
    <w:p w14:paraId="110B5F32" w14:textId="77777777" w:rsidR="004125E7" w:rsidRPr="00C92BDF" w:rsidRDefault="004125E7" w:rsidP="004125E7">
      <w:pPr>
        <w:spacing w:after="0" w:line="240" w:lineRule="auto"/>
        <w:rPr>
          <w:rFonts w:ascii="Times New Roman" w:eastAsia="Times New Roman" w:hAnsi="Times New Roman" w:cs="Times New Roman"/>
          <w:highlight w:val="darkGray"/>
          <w:lang w:val="lt-LT"/>
        </w:rPr>
      </w:pPr>
      <w:r w:rsidRPr="00C92BDF">
        <w:rPr>
          <w:rFonts w:ascii="Times New Roman" w:eastAsia="Times New Roman" w:hAnsi="Times New Roman" w:cs="Times New Roman"/>
          <w:highlight w:val="darkGray"/>
          <w:lang w:val="lt-LT"/>
        </w:rPr>
        <w:t>N14 – LT/1/04/3171/009</w:t>
      </w:r>
    </w:p>
    <w:p w14:paraId="7C4FBD1A" w14:textId="77777777" w:rsidR="004125E7" w:rsidRPr="00C92BDF" w:rsidRDefault="004125E7" w:rsidP="004125E7">
      <w:pPr>
        <w:spacing w:after="0" w:line="240" w:lineRule="auto"/>
        <w:rPr>
          <w:rFonts w:ascii="Times New Roman" w:eastAsia="Times New Roman" w:hAnsi="Times New Roman" w:cs="Times New Roman"/>
          <w:highlight w:val="darkGray"/>
          <w:lang w:val="lt-LT"/>
        </w:rPr>
      </w:pPr>
      <w:r w:rsidRPr="00C92BDF">
        <w:rPr>
          <w:rFonts w:ascii="Times New Roman" w:eastAsia="Times New Roman" w:hAnsi="Times New Roman" w:cs="Times New Roman"/>
          <w:highlight w:val="darkGray"/>
          <w:lang w:val="lt-LT"/>
        </w:rPr>
        <w:t>N28 – LT/1/04/3171/010</w:t>
      </w:r>
    </w:p>
    <w:p w14:paraId="1A169AA4" w14:textId="77777777" w:rsidR="004125E7" w:rsidRPr="00C92BDF" w:rsidRDefault="004125E7" w:rsidP="004125E7">
      <w:pPr>
        <w:spacing w:after="0" w:line="240" w:lineRule="auto"/>
        <w:rPr>
          <w:rFonts w:ascii="Times New Roman" w:eastAsia="Times New Roman" w:hAnsi="Times New Roman" w:cs="Times New Roman"/>
          <w:highlight w:val="darkGray"/>
          <w:lang w:val="lt-LT"/>
        </w:rPr>
      </w:pPr>
      <w:r w:rsidRPr="00C92BDF">
        <w:rPr>
          <w:rFonts w:ascii="Times New Roman" w:eastAsia="Times New Roman" w:hAnsi="Times New Roman" w:cs="Times New Roman"/>
          <w:highlight w:val="darkGray"/>
          <w:lang w:val="lt-LT"/>
        </w:rPr>
        <w:t>N56 – LT/1/04/3171/011</w:t>
      </w:r>
    </w:p>
    <w:p w14:paraId="7037335B" w14:textId="77777777" w:rsidR="004125E7" w:rsidRPr="00C92BDF" w:rsidRDefault="004125E7" w:rsidP="004125E7">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highlight w:val="darkGray"/>
          <w:lang w:val="lt-LT"/>
        </w:rPr>
        <w:t>N98 – LT/1/04/3171/012</w:t>
      </w:r>
    </w:p>
    <w:p w14:paraId="10BA2997" w14:textId="77777777" w:rsidR="004125E7" w:rsidRPr="00C92BDF" w:rsidRDefault="004125E7" w:rsidP="004125E7">
      <w:pPr>
        <w:spacing w:after="0" w:line="240" w:lineRule="auto"/>
        <w:rPr>
          <w:rFonts w:ascii="Times New Roman" w:eastAsia="Times New Roman" w:hAnsi="Times New Roman" w:cs="Times New Roman"/>
          <w:lang w:val="lt-LT"/>
        </w:rPr>
      </w:pPr>
    </w:p>
    <w:p w14:paraId="50DA3F53"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5FBC3934" w14:textId="77777777" w:rsidR="004125E7" w:rsidRPr="00C92BDF" w:rsidRDefault="004125E7" w:rsidP="004125E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C92BDF">
        <w:rPr>
          <w:rFonts w:ascii="Times New Roman" w:eastAsia="Times New Roman" w:hAnsi="Times New Roman" w:cs="Times New Roman"/>
          <w:b/>
          <w:lang w:val="lt-LT"/>
        </w:rPr>
        <w:t>13.</w:t>
      </w:r>
      <w:r w:rsidRPr="00C92BDF">
        <w:rPr>
          <w:rFonts w:ascii="Times New Roman" w:eastAsia="Times New Roman" w:hAnsi="Times New Roman" w:cs="Times New Roman"/>
          <w:b/>
          <w:lang w:val="lt-LT"/>
        </w:rPr>
        <w:tab/>
        <w:t>SERIJOS NUMERIS</w:t>
      </w:r>
    </w:p>
    <w:p w14:paraId="52EB68DD"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2C22D27C"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Serija</w:t>
      </w:r>
    </w:p>
    <w:p w14:paraId="4EF19D9D"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26385D37"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5B5CBDE7" w14:textId="77777777" w:rsidR="004125E7" w:rsidRPr="00C92BDF" w:rsidRDefault="004125E7" w:rsidP="004125E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C92BDF">
        <w:rPr>
          <w:rFonts w:ascii="Times New Roman" w:eastAsia="Times New Roman" w:hAnsi="Times New Roman" w:cs="Times New Roman"/>
          <w:b/>
          <w:lang w:val="lt-LT"/>
        </w:rPr>
        <w:t>14.</w:t>
      </w:r>
      <w:r w:rsidRPr="00C92BDF">
        <w:rPr>
          <w:rFonts w:ascii="Times New Roman" w:eastAsia="Times New Roman" w:hAnsi="Times New Roman" w:cs="Times New Roman"/>
          <w:b/>
          <w:lang w:val="lt-LT"/>
        </w:rPr>
        <w:tab/>
        <w:t>PARDAVIMO (IŠDAVIMO) TVARKA</w:t>
      </w:r>
    </w:p>
    <w:p w14:paraId="0FEE263B"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3E3D5AB5"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Receptinis vaist</w:t>
      </w:r>
      <w:r>
        <w:rPr>
          <w:rFonts w:ascii="Times New Roman" w:eastAsia="Times New Roman" w:hAnsi="Times New Roman" w:cs="Times New Roman"/>
          <w:lang w:val="lt-LT"/>
        </w:rPr>
        <w:t>as</w:t>
      </w:r>
      <w:r w:rsidRPr="00C92BDF">
        <w:rPr>
          <w:rFonts w:ascii="Times New Roman" w:eastAsia="Times New Roman" w:hAnsi="Times New Roman" w:cs="Times New Roman"/>
          <w:lang w:val="lt-LT"/>
        </w:rPr>
        <w:t>.</w:t>
      </w:r>
    </w:p>
    <w:p w14:paraId="52CDB136"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38144E31"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7E088504" w14:textId="77777777" w:rsidR="004125E7" w:rsidRPr="00C92BDF" w:rsidRDefault="004125E7" w:rsidP="004125E7">
      <w:pPr>
        <w:pBdr>
          <w:top w:val="single" w:sz="4" w:space="1" w:color="auto"/>
          <w:left w:val="single" w:sz="4" w:space="4" w:color="auto"/>
          <w:bottom w:val="single" w:sz="4" w:space="0" w:color="auto"/>
          <w:right w:val="single" w:sz="4" w:space="4" w:color="auto"/>
        </w:pBdr>
        <w:tabs>
          <w:tab w:val="left" w:pos="540"/>
        </w:tabs>
        <w:spacing w:after="0" w:line="240" w:lineRule="auto"/>
        <w:rPr>
          <w:rFonts w:ascii="Times New Roman" w:eastAsia="Times New Roman" w:hAnsi="Times New Roman" w:cs="Times New Roman"/>
          <w:b/>
          <w:lang w:val="lt-LT"/>
        </w:rPr>
      </w:pPr>
      <w:r w:rsidRPr="00C92BDF">
        <w:rPr>
          <w:rFonts w:ascii="Times New Roman" w:eastAsia="Times New Roman" w:hAnsi="Times New Roman" w:cs="Times New Roman"/>
          <w:b/>
          <w:lang w:val="lt-LT"/>
        </w:rPr>
        <w:t>15.</w:t>
      </w:r>
      <w:r w:rsidRPr="00C92BDF">
        <w:rPr>
          <w:rFonts w:ascii="Times New Roman" w:eastAsia="Times New Roman" w:hAnsi="Times New Roman" w:cs="Times New Roman"/>
          <w:b/>
          <w:lang w:val="lt-LT"/>
        </w:rPr>
        <w:tab/>
        <w:t>VARTOJIMO INSTRUKCIJA</w:t>
      </w:r>
    </w:p>
    <w:p w14:paraId="27E3D4C7"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6A66A68A"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7F0FEA93" w14:textId="77777777" w:rsidR="004125E7" w:rsidRPr="00C92BDF" w:rsidRDefault="004125E7" w:rsidP="004125E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C92BDF">
        <w:rPr>
          <w:rFonts w:ascii="Times New Roman" w:eastAsia="Times New Roman" w:hAnsi="Times New Roman" w:cs="Times New Roman"/>
          <w:b/>
          <w:lang w:val="lt-LT"/>
        </w:rPr>
        <w:t>16.</w:t>
      </w:r>
      <w:r w:rsidRPr="00C92BDF">
        <w:rPr>
          <w:rFonts w:ascii="Times New Roman" w:eastAsia="Times New Roman" w:hAnsi="Times New Roman" w:cs="Times New Roman"/>
          <w:b/>
          <w:lang w:val="lt-LT"/>
        </w:rPr>
        <w:tab/>
        <w:t>INFORMACIJA BRAILIO RAŠTU</w:t>
      </w:r>
    </w:p>
    <w:p w14:paraId="20A6FF91"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41A72263"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Mesar 10 mg</w:t>
      </w:r>
    </w:p>
    <w:p w14:paraId="43DEF918"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highlight w:val="lightGray"/>
          <w:lang w:val="lt-LT"/>
        </w:rPr>
        <w:t>Mesar 20 mg</w:t>
      </w:r>
    </w:p>
    <w:p w14:paraId="5C06F259"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highlight w:val="darkGray"/>
          <w:lang w:val="lt-LT"/>
        </w:rPr>
        <w:t>Mesar 40 mg</w:t>
      </w:r>
    </w:p>
    <w:p w14:paraId="118C1800"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46817F68"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71019697" w14:textId="77777777" w:rsidR="004125E7" w:rsidRPr="00C92BDF" w:rsidRDefault="004125E7" w:rsidP="004125E7">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szCs w:val="24"/>
          <w:lang w:val="lt-LT"/>
        </w:rPr>
      </w:pPr>
      <w:r w:rsidRPr="00C92BDF">
        <w:rPr>
          <w:rFonts w:ascii="Times New Roman" w:eastAsia="Times New Roman" w:hAnsi="Times New Roman" w:cs="Times New Roman"/>
          <w:b/>
          <w:noProof/>
          <w:szCs w:val="24"/>
          <w:lang w:val="lt-LT"/>
        </w:rPr>
        <w:lastRenderedPageBreak/>
        <w:t>17.</w:t>
      </w:r>
      <w:r w:rsidRPr="00C92BDF">
        <w:rPr>
          <w:rFonts w:ascii="Times New Roman" w:eastAsia="Times New Roman" w:hAnsi="Times New Roman" w:cs="Times New Roman"/>
          <w:b/>
          <w:noProof/>
          <w:szCs w:val="24"/>
          <w:lang w:val="lt-LT"/>
        </w:rPr>
        <w:tab/>
        <w:t>UNIKALUS IDENTIFIKATORIUS – 2D BRŪKŠNINIS KODAS</w:t>
      </w:r>
    </w:p>
    <w:p w14:paraId="64FB0894" w14:textId="77777777" w:rsidR="004125E7" w:rsidRPr="00C92BDF" w:rsidRDefault="004125E7" w:rsidP="004125E7">
      <w:pPr>
        <w:spacing w:after="0" w:line="240" w:lineRule="auto"/>
        <w:rPr>
          <w:rFonts w:ascii="Times New Roman" w:eastAsia="Times New Roman" w:hAnsi="Times New Roman" w:cs="Times New Roman"/>
          <w:noProof/>
          <w:szCs w:val="24"/>
          <w:lang w:val="lt-LT"/>
        </w:rPr>
      </w:pPr>
    </w:p>
    <w:p w14:paraId="0D84FAFF" w14:textId="77777777" w:rsidR="004125E7" w:rsidRPr="00C92BDF" w:rsidRDefault="004125E7" w:rsidP="004125E7">
      <w:pPr>
        <w:spacing w:after="0" w:line="240" w:lineRule="auto"/>
        <w:rPr>
          <w:rFonts w:ascii="Times New Roman" w:eastAsia="Times New Roman" w:hAnsi="Times New Roman" w:cs="Times New Roman"/>
          <w:noProof/>
          <w:shd w:val="clear" w:color="auto" w:fill="CCCCCC"/>
          <w:lang w:val="lt-LT"/>
        </w:rPr>
      </w:pPr>
      <w:r w:rsidRPr="000A1801">
        <w:rPr>
          <w:rFonts w:ascii="Times New Roman" w:eastAsia="Times New Roman" w:hAnsi="Times New Roman" w:cs="Times New Roman"/>
          <w:noProof/>
          <w:szCs w:val="24"/>
          <w:highlight w:val="lightGray"/>
          <w:lang w:val="lt-LT"/>
        </w:rPr>
        <w:t>2D brūkšninis kodas su nurodytu unikaliu identifikatoriumi.</w:t>
      </w:r>
    </w:p>
    <w:p w14:paraId="419DCB53" w14:textId="77777777" w:rsidR="004125E7" w:rsidRPr="00C92BDF" w:rsidRDefault="004125E7" w:rsidP="004125E7">
      <w:pPr>
        <w:spacing w:after="0" w:line="240" w:lineRule="auto"/>
        <w:rPr>
          <w:rFonts w:ascii="Times New Roman" w:eastAsia="Times New Roman" w:hAnsi="Times New Roman" w:cs="Times New Roman"/>
          <w:noProof/>
          <w:shd w:val="clear" w:color="auto" w:fill="CCCCCC"/>
          <w:lang w:val="lt-LT"/>
        </w:rPr>
      </w:pPr>
    </w:p>
    <w:p w14:paraId="5D8DFBF4" w14:textId="77777777" w:rsidR="004125E7" w:rsidRPr="00C92BDF" w:rsidRDefault="004125E7" w:rsidP="004125E7">
      <w:pPr>
        <w:spacing w:after="0" w:line="240" w:lineRule="auto"/>
        <w:rPr>
          <w:rFonts w:ascii="Times New Roman" w:eastAsia="Times New Roman" w:hAnsi="Times New Roman" w:cs="Times New Roman"/>
          <w:noProof/>
          <w:szCs w:val="24"/>
          <w:lang w:val="lt-LT"/>
        </w:rPr>
      </w:pPr>
    </w:p>
    <w:p w14:paraId="2B07A073" w14:textId="77777777" w:rsidR="004125E7" w:rsidRPr="00C92BDF" w:rsidRDefault="004125E7" w:rsidP="004125E7">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szCs w:val="24"/>
          <w:lang w:val="lt-LT"/>
        </w:rPr>
      </w:pPr>
      <w:r w:rsidRPr="00C92BDF">
        <w:rPr>
          <w:rFonts w:ascii="Times New Roman" w:eastAsia="Times New Roman" w:hAnsi="Times New Roman" w:cs="Times New Roman"/>
          <w:b/>
          <w:noProof/>
          <w:szCs w:val="24"/>
          <w:lang w:val="lt-LT"/>
        </w:rPr>
        <w:t>18.</w:t>
      </w:r>
      <w:r w:rsidRPr="00C92BDF">
        <w:rPr>
          <w:rFonts w:ascii="Times New Roman" w:eastAsia="Times New Roman" w:hAnsi="Times New Roman" w:cs="Times New Roman"/>
          <w:b/>
          <w:noProof/>
          <w:szCs w:val="24"/>
          <w:lang w:val="lt-LT"/>
        </w:rPr>
        <w:tab/>
        <w:t>UNIKALUS IDENTIFIKATORIUS – ŽMONĖMS SUPRANTAMI DUOMENYS</w:t>
      </w:r>
    </w:p>
    <w:p w14:paraId="5EA32954" w14:textId="77777777" w:rsidR="004125E7" w:rsidRPr="00C92BDF" w:rsidRDefault="004125E7" w:rsidP="004125E7">
      <w:pPr>
        <w:spacing w:after="0" w:line="240" w:lineRule="auto"/>
        <w:rPr>
          <w:rFonts w:ascii="Times New Roman" w:eastAsia="Times New Roman" w:hAnsi="Times New Roman" w:cs="Times New Roman"/>
          <w:noProof/>
          <w:szCs w:val="24"/>
          <w:lang w:val="lt-LT"/>
        </w:rPr>
      </w:pPr>
    </w:p>
    <w:p w14:paraId="34755548" w14:textId="77777777" w:rsidR="004125E7" w:rsidRPr="00C92BDF" w:rsidRDefault="004125E7" w:rsidP="004125E7">
      <w:pPr>
        <w:spacing w:after="0" w:line="240" w:lineRule="auto"/>
        <w:rPr>
          <w:rFonts w:ascii="Times New Roman" w:eastAsia="Times New Roman" w:hAnsi="Times New Roman" w:cs="Times New Roman"/>
          <w:color w:val="008000"/>
          <w:lang w:val="lt-LT"/>
        </w:rPr>
      </w:pPr>
      <w:r w:rsidRPr="00C92BDF">
        <w:rPr>
          <w:rFonts w:ascii="Times New Roman" w:eastAsia="Times New Roman" w:hAnsi="Times New Roman" w:cs="Times New Roman"/>
          <w:szCs w:val="24"/>
          <w:lang w:val="lt-LT"/>
        </w:rPr>
        <w:t xml:space="preserve">PC: {numeris} </w:t>
      </w:r>
      <w:r w:rsidRPr="00C92BDF">
        <w:rPr>
          <w:rFonts w:ascii="Times New Roman" w:eastAsia="Times New Roman" w:hAnsi="Times New Roman" w:cs="Times New Roman"/>
          <w:color w:val="008000"/>
          <w:szCs w:val="24"/>
          <w:lang w:val="lt-LT"/>
        </w:rPr>
        <w:t>[preparato kodas]</w:t>
      </w:r>
    </w:p>
    <w:p w14:paraId="145575DD" w14:textId="77777777" w:rsidR="004125E7" w:rsidRPr="000A1801" w:rsidRDefault="004125E7" w:rsidP="004125E7">
      <w:pPr>
        <w:spacing w:after="0" w:line="240" w:lineRule="auto"/>
        <w:rPr>
          <w:rFonts w:ascii="Times New Roman" w:eastAsia="Times New Roman" w:hAnsi="Times New Roman" w:cs="Times New Roman"/>
          <w:highlight w:val="lightGray"/>
          <w:lang w:val="lt-LT"/>
        </w:rPr>
      </w:pPr>
      <w:r w:rsidRPr="000A1801">
        <w:rPr>
          <w:rFonts w:ascii="Times New Roman" w:eastAsia="Times New Roman" w:hAnsi="Times New Roman" w:cs="Times New Roman"/>
          <w:szCs w:val="24"/>
          <w:highlight w:val="lightGray"/>
          <w:lang w:val="lt-LT"/>
        </w:rPr>
        <w:t xml:space="preserve">SN: {numeris} </w:t>
      </w:r>
      <w:r w:rsidRPr="000A1801">
        <w:rPr>
          <w:rFonts w:ascii="Times New Roman" w:eastAsia="Times New Roman" w:hAnsi="Times New Roman" w:cs="Times New Roman"/>
          <w:color w:val="008000"/>
          <w:szCs w:val="24"/>
          <w:highlight w:val="lightGray"/>
          <w:lang w:val="lt-LT"/>
        </w:rPr>
        <w:t>[nuoseklusis numeris]</w:t>
      </w:r>
    </w:p>
    <w:p w14:paraId="2D97566F" w14:textId="77777777" w:rsidR="004125E7" w:rsidRPr="00C92BDF" w:rsidRDefault="004125E7" w:rsidP="004125E7">
      <w:pPr>
        <w:spacing w:after="0" w:line="240" w:lineRule="auto"/>
        <w:rPr>
          <w:rFonts w:ascii="Times New Roman" w:eastAsia="Times New Roman" w:hAnsi="Times New Roman" w:cs="Times New Roman"/>
          <w:lang w:val="lt-LT"/>
        </w:rPr>
      </w:pPr>
      <w:r w:rsidRPr="000A1801">
        <w:rPr>
          <w:rFonts w:ascii="Times New Roman" w:eastAsia="Times New Roman" w:hAnsi="Times New Roman" w:cs="Times New Roman"/>
          <w:szCs w:val="24"/>
          <w:highlight w:val="lightGray"/>
          <w:lang w:val="lt-LT"/>
        </w:rPr>
        <w:t xml:space="preserve">NN: {numeris} </w:t>
      </w:r>
      <w:r w:rsidRPr="000A1801">
        <w:rPr>
          <w:rFonts w:ascii="Times New Roman" w:eastAsia="Times New Roman" w:hAnsi="Times New Roman" w:cs="Times New Roman"/>
          <w:color w:val="008000"/>
          <w:szCs w:val="24"/>
          <w:highlight w:val="lightGray"/>
          <w:lang w:val="lt-LT"/>
        </w:rPr>
        <w:t>[nacionalinis kompensacijos rūšies kodas arba kitas nacionalinis vaistinio preparato identifikacinis numeris]</w:t>
      </w:r>
    </w:p>
    <w:p w14:paraId="21DBAE2D"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03B5C3A0"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br w:type="page"/>
      </w:r>
    </w:p>
    <w:p w14:paraId="6F1E8B57" w14:textId="77777777" w:rsidR="004125E7" w:rsidRPr="00C92BDF" w:rsidRDefault="004125E7" w:rsidP="004125E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C92BDF">
        <w:rPr>
          <w:rFonts w:ascii="Times New Roman" w:eastAsia="Times New Roman" w:hAnsi="Times New Roman" w:cs="Times New Roman"/>
          <w:b/>
          <w:lang w:val="lt-LT"/>
        </w:rPr>
        <w:lastRenderedPageBreak/>
        <w:t xml:space="preserve">MINIMALI </w:t>
      </w:r>
      <w:r w:rsidRPr="00C92BDF">
        <w:rPr>
          <w:rFonts w:ascii="Times New Roman" w:eastAsia="Times New Roman" w:hAnsi="Times New Roman" w:cs="Times New Roman"/>
          <w:b/>
          <w:caps/>
          <w:lang w:val="lt-LT"/>
        </w:rPr>
        <w:t xml:space="preserve">informacija ant </w:t>
      </w:r>
      <w:r w:rsidRPr="00C92BDF">
        <w:rPr>
          <w:rFonts w:ascii="Times New Roman" w:eastAsia="Times New Roman" w:hAnsi="Times New Roman" w:cs="Times New Roman"/>
          <w:b/>
          <w:lang w:val="lt-LT"/>
        </w:rPr>
        <w:t>LIZDINIŲ PLOKŠTELIŲ ARBA DVISLUOKSNIŲ JUOSTELIŲ</w:t>
      </w:r>
    </w:p>
    <w:p w14:paraId="01D48DFB" w14:textId="77777777" w:rsidR="004125E7" w:rsidRPr="00C92BDF" w:rsidRDefault="004125E7" w:rsidP="004125E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p>
    <w:p w14:paraId="525795F2" w14:textId="77777777" w:rsidR="004125E7" w:rsidRPr="00C92BDF" w:rsidRDefault="004125E7" w:rsidP="004125E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C92BDF">
        <w:rPr>
          <w:rFonts w:ascii="Times New Roman" w:eastAsia="Times New Roman" w:hAnsi="Times New Roman" w:cs="Times New Roman"/>
          <w:b/>
          <w:lang w:val="lt-LT"/>
        </w:rPr>
        <w:t>LIZDINĖ PLOKŠTELĖ</w:t>
      </w:r>
    </w:p>
    <w:p w14:paraId="052054DD"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446454A3"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580FCD73" w14:textId="77777777" w:rsidR="004125E7" w:rsidRPr="00C92BDF" w:rsidRDefault="004125E7" w:rsidP="004125E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C92BDF">
        <w:rPr>
          <w:rFonts w:ascii="Times New Roman" w:eastAsia="Times New Roman" w:hAnsi="Times New Roman" w:cs="Times New Roman"/>
          <w:b/>
          <w:lang w:val="lt-LT"/>
        </w:rPr>
        <w:t>1.</w:t>
      </w:r>
      <w:r w:rsidRPr="00C92BDF">
        <w:rPr>
          <w:rFonts w:ascii="Times New Roman" w:eastAsia="Times New Roman" w:hAnsi="Times New Roman" w:cs="Times New Roman"/>
          <w:b/>
          <w:lang w:val="lt-LT"/>
        </w:rPr>
        <w:tab/>
        <w:t>VAISTINIO PREPARATO PAVADINIMAS</w:t>
      </w:r>
    </w:p>
    <w:p w14:paraId="7149A59E"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31638D5E"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Mesar 10 mg plėvele dengtos tabletės</w:t>
      </w:r>
    </w:p>
    <w:p w14:paraId="53332970"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highlight w:val="lightGray"/>
          <w:lang w:val="lt-LT"/>
        </w:rPr>
        <w:t>Mesar 20 mg plėvele dengtos tabletės</w:t>
      </w:r>
    </w:p>
    <w:p w14:paraId="6CC982CE"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i/>
          <w:lang w:val="lt-LT"/>
        </w:rPr>
      </w:pPr>
      <w:r w:rsidRPr="00C92BDF">
        <w:rPr>
          <w:rFonts w:ascii="Times New Roman" w:eastAsia="Times New Roman" w:hAnsi="Times New Roman" w:cs="Times New Roman"/>
          <w:highlight w:val="darkGray"/>
          <w:lang w:val="lt-LT"/>
        </w:rPr>
        <w:t>Mesar 40 mg plėvele dengtos tabletės</w:t>
      </w:r>
    </w:p>
    <w:p w14:paraId="09ABFFDE"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268391D6"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 xml:space="preserve">Olmesartanum medoxomilum </w:t>
      </w:r>
    </w:p>
    <w:p w14:paraId="207E7C56"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2F74AE8F"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2A596A15" w14:textId="77777777" w:rsidR="004125E7" w:rsidRPr="00C92BDF" w:rsidRDefault="004125E7" w:rsidP="004125E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C92BDF">
        <w:rPr>
          <w:rFonts w:ascii="Times New Roman" w:eastAsia="Times New Roman" w:hAnsi="Times New Roman" w:cs="Times New Roman"/>
          <w:b/>
          <w:lang w:val="lt-LT"/>
        </w:rPr>
        <w:t>2.</w:t>
      </w:r>
      <w:r w:rsidRPr="00C92BDF">
        <w:rPr>
          <w:rFonts w:ascii="Times New Roman" w:eastAsia="Times New Roman" w:hAnsi="Times New Roman" w:cs="Times New Roman"/>
          <w:b/>
          <w:lang w:val="lt-LT"/>
        </w:rPr>
        <w:tab/>
        <w:t>REGISTRUOTOJO PAVADINIMAS</w:t>
      </w:r>
    </w:p>
    <w:p w14:paraId="43478211"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2955A93C" w14:textId="77777777" w:rsidR="004125E7" w:rsidRPr="00C92BDF" w:rsidRDefault="004125E7" w:rsidP="004125E7">
      <w:pPr>
        <w:spacing w:after="0" w:line="240" w:lineRule="auto"/>
        <w:rPr>
          <w:rFonts w:ascii="Times New Roman" w:eastAsia="Times New Roman" w:hAnsi="Times New Roman" w:cs="Times New Roman"/>
          <w:snapToGrid w:val="0"/>
          <w:lang w:val="pt-BR" w:eastAsia="lt-LT"/>
        </w:rPr>
      </w:pPr>
      <w:r w:rsidRPr="00C92BDF">
        <w:rPr>
          <w:rFonts w:ascii="Times New Roman" w:eastAsia="Times New Roman" w:hAnsi="Times New Roman" w:cs="Times New Roman"/>
          <w:snapToGrid w:val="0"/>
          <w:lang w:val="pt-BR" w:eastAsia="lt-LT"/>
        </w:rPr>
        <w:t>Menarini International Operations Luxembourg S.A.</w:t>
      </w:r>
    </w:p>
    <w:p w14:paraId="564A1B38"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74030490"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32D3049F" w14:textId="77777777" w:rsidR="004125E7" w:rsidRPr="00C92BDF" w:rsidRDefault="004125E7" w:rsidP="004125E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C92BDF">
        <w:rPr>
          <w:rFonts w:ascii="Times New Roman" w:eastAsia="Times New Roman" w:hAnsi="Times New Roman" w:cs="Times New Roman"/>
          <w:b/>
          <w:lang w:val="lt-LT"/>
        </w:rPr>
        <w:t>3.</w:t>
      </w:r>
      <w:r w:rsidRPr="00C92BDF">
        <w:rPr>
          <w:rFonts w:ascii="Times New Roman" w:eastAsia="Times New Roman" w:hAnsi="Times New Roman" w:cs="Times New Roman"/>
          <w:b/>
          <w:lang w:val="lt-LT"/>
        </w:rPr>
        <w:tab/>
        <w:t>TINKAMUMO LAIKAS</w:t>
      </w:r>
    </w:p>
    <w:p w14:paraId="6465086C"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13010E13"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EXP {mm/MMMM}</w:t>
      </w:r>
    </w:p>
    <w:p w14:paraId="2A85A587"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642BEF7A"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048F0772" w14:textId="77777777" w:rsidR="004125E7" w:rsidRPr="00C92BDF" w:rsidRDefault="004125E7" w:rsidP="004125E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C92BDF">
        <w:rPr>
          <w:rFonts w:ascii="Times New Roman" w:eastAsia="Times New Roman" w:hAnsi="Times New Roman" w:cs="Times New Roman"/>
          <w:b/>
          <w:lang w:val="lt-LT"/>
        </w:rPr>
        <w:t>4.</w:t>
      </w:r>
      <w:r w:rsidRPr="00C92BDF">
        <w:rPr>
          <w:rFonts w:ascii="Times New Roman" w:eastAsia="Times New Roman" w:hAnsi="Times New Roman" w:cs="Times New Roman"/>
          <w:b/>
          <w:lang w:val="lt-LT"/>
        </w:rPr>
        <w:tab/>
        <w:t>SERIJOS NUMERIS</w:t>
      </w:r>
    </w:p>
    <w:p w14:paraId="7E1D5802"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46C63C63"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Lot</w:t>
      </w:r>
    </w:p>
    <w:p w14:paraId="3E077EF4"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409E1A14"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0C5B3707" w14:textId="77777777" w:rsidR="004125E7" w:rsidRPr="00C92BDF" w:rsidRDefault="004125E7" w:rsidP="004125E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C92BDF">
        <w:rPr>
          <w:rFonts w:ascii="Times New Roman" w:eastAsia="Times New Roman" w:hAnsi="Times New Roman" w:cs="Times New Roman"/>
          <w:b/>
          <w:lang w:val="lt-LT"/>
        </w:rPr>
        <w:t>5.</w:t>
      </w:r>
      <w:r w:rsidRPr="00C92BDF">
        <w:rPr>
          <w:rFonts w:ascii="Times New Roman" w:eastAsia="Times New Roman" w:hAnsi="Times New Roman" w:cs="Times New Roman"/>
          <w:b/>
          <w:lang w:val="lt-LT"/>
        </w:rPr>
        <w:tab/>
        <w:t>KITA</w:t>
      </w:r>
    </w:p>
    <w:p w14:paraId="225ABF24"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0E639961" w14:textId="77777777" w:rsidR="004125E7" w:rsidRPr="00C92BDF" w:rsidRDefault="004125E7" w:rsidP="004125E7">
      <w:pPr>
        <w:spacing w:after="0" w:line="240" w:lineRule="auto"/>
        <w:rPr>
          <w:rFonts w:ascii="Times New Roman" w:eastAsia="Times New Roman" w:hAnsi="Times New Roman" w:cs="Times New Roman"/>
          <w:lang w:val="lt-LT" w:eastAsia="lt-LT"/>
        </w:rPr>
      </w:pPr>
      <w:r w:rsidRPr="00C92BDF">
        <w:rPr>
          <w:rFonts w:ascii="Times New Roman" w:eastAsia="Times New Roman" w:hAnsi="Times New Roman" w:cs="Times New Roman"/>
          <w:lang w:val="lt-LT" w:eastAsia="lt-LT"/>
        </w:rPr>
        <w:t xml:space="preserve">Pr →  A  →  T  →  K  →  P  →  Š  </w:t>
      </w:r>
      <w:r w:rsidRPr="00C92BDF">
        <w:rPr>
          <w:rFonts w:ascii="Times New Roman" w:eastAsia="Times New Roman" w:hAnsi="Times New Roman" w:cs="Times New Roman"/>
          <w:lang w:val="lt-LT" w:eastAsia="lt-LT"/>
        </w:rPr>
        <w:softHyphen/>
        <w:t>→  S</w:t>
      </w:r>
    </w:p>
    <w:p w14:paraId="1DFFD4CA" w14:textId="77777777" w:rsidR="004125E7" w:rsidRPr="00C92BDF" w:rsidRDefault="004125E7" w:rsidP="004125E7">
      <w:pPr>
        <w:spacing w:after="0" w:line="240" w:lineRule="auto"/>
        <w:rPr>
          <w:rFonts w:ascii="Times New Roman" w:eastAsia="Times New Roman" w:hAnsi="Times New Roman" w:cs="Times New Roman"/>
          <w:lang w:val="lt-LT" w:eastAsia="lt-LT"/>
        </w:rPr>
      </w:pPr>
      <w:r w:rsidRPr="00C92BDF">
        <w:rPr>
          <w:rFonts w:ascii="Times New Roman" w:eastAsia="Times New Roman" w:hAnsi="Times New Roman" w:cs="Times New Roman"/>
          <w:lang w:val="lt-LT" w:eastAsia="lt-LT"/>
        </w:rPr>
        <w:t xml:space="preserve">Pr →  A  →  T  →  K  →  P  →  Š  </w:t>
      </w:r>
      <w:r w:rsidRPr="00C92BDF">
        <w:rPr>
          <w:rFonts w:ascii="Times New Roman" w:eastAsia="Times New Roman" w:hAnsi="Times New Roman" w:cs="Times New Roman"/>
          <w:lang w:val="lt-LT" w:eastAsia="lt-LT"/>
        </w:rPr>
        <w:softHyphen/>
        <w:t>→  S</w:t>
      </w:r>
    </w:p>
    <w:p w14:paraId="7A9305D9" w14:textId="77777777" w:rsidR="004125E7" w:rsidRPr="00C92BDF" w:rsidRDefault="004125E7" w:rsidP="004125E7">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C92BDF">
        <w:rPr>
          <w:rFonts w:ascii="Times New Roman" w:eastAsia="Times New Roman" w:hAnsi="Times New Roman" w:cs="Times New Roman"/>
          <w:b/>
          <w:caps/>
          <w:lang w:val="lt-LT"/>
        </w:rPr>
        <w:br w:type="page"/>
      </w:r>
    </w:p>
    <w:p w14:paraId="75544612" w14:textId="77777777" w:rsidR="004125E7" w:rsidRPr="00C92BDF" w:rsidRDefault="004125E7" w:rsidP="004125E7">
      <w:pPr>
        <w:tabs>
          <w:tab w:val="left" w:pos="567"/>
        </w:tabs>
        <w:spacing w:after="0" w:line="240" w:lineRule="auto"/>
        <w:outlineLvl w:val="0"/>
        <w:rPr>
          <w:rFonts w:ascii="Times New Roman" w:eastAsia="Times New Roman" w:hAnsi="Times New Roman" w:cs="Times New Roman"/>
          <w:b/>
          <w:caps/>
          <w:lang w:val="lt-LT"/>
        </w:rPr>
      </w:pPr>
    </w:p>
    <w:p w14:paraId="3D1124A3" w14:textId="77777777" w:rsidR="004125E7" w:rsidRPr="00C92BDF" w:rsidRDefault="004125E7" w:rsidP="004125E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640B" w14:textId="77777777" w:rsidR="004125E7" w:rsidRPr="00C92BDF" w:rsidRDefault="004125E7" w:rsidP="004125E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785EA3C" w14:textId="77777777" w:rsidR="004125E7" w:rsidRPr="00C92BDF" w:rsidRDefault="004125E7" w:rsidP="004125E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77803BE" w14:textId="77777777" w:rsidR="004125E7" w:rsidRPr="00C92BDF" w:rsidRDefault="004125E7" w:rsidP="004125E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2348B49" w14:textId="77777777" w:rsidR="004125E7" w:rsidRPr="00C92BDF" w:rsidRDefault="004125E7" w:rsidP="004125E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4D01B47" w14:textId="77777777" w:rsidR="004125E7" w:rsidRPr="00C92BDF" w:rsidRDefault="004125E7" w:rsidP="004125E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EB34FA2" w14:textId="77777777" w:rsidR="004125E7" w:rsidRPr="00C92BDF" w:rsidRDefault="004125E7" w:rsidP="004125E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02C65B" w14:textId="77777777" w:rsidR="004125E7" w:rsidRPr="00C92BDF" w:rsidRDefault="004125E7" w:rsidP="004125E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58055FD" w14:textId="77777777" w:rsidR="004125E7" w:rsidRPr="00C92BDF" w:rsidRDefault="004125E7" w:rsidP="004125E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76FCF4F" w14:textId="77777777" w:rsidR="004125E7" w:rsidRPr="00C92BDF" w:rsidRDefault="004125E7" w:rsidP="004125E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770E209" w14:textId="77777777" w:rsidR="004125E7" w:rsidRPr="00C92BDF" w:rsidRDefault="004125E7" w:rsidP="004125E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09C7964" w14:textId="77777777" w:rsidR="004125E7" w:rsidRPr="00C92BDF" w:rsidRDefault="004125E7" w:rsidP="004125E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DE9D090" w14:textId="77777777" w:rsidR="004125E7" w:rsidRPr="00C92BDF" w:rsidRDefault="004125E7" w:rsidP="004125E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DF2F8FC" w14:textId="77777777" w:rsidR="004125E7" w:rsidRPr="00C92BDF" w:rsidRDefault="004125E7" w:rsidP="004125E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D4698C4" w14:textId="77777777" w:rsidR="004125E7" w:rsidRPr="00C92BDF" w:rsidRDefault="004125E7" w:rsidP="004125E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85F5A09" w14:textId="77777777" w:rsidR="004125E7" w:rsidRPr="00C92BDF" w:rsidRDefault="004125E7" w:rsidP="004125E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D0E0C5F" w14:textId="77777777" w:rsidR="004125E7" w:rsidRPr="00C92BDF" w:rsidRDefault="004125E7" w:rsidP="004125E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EFD7115" w14:textId="77777777" w:rsidR="004125E7" w:rsidRPr="00C92BDF" w:rsidRDefault="004125E7" w:rsidP="004125E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BE7DA91" w14:textId="77777777" w:rsidR="004125E7" w:rsidRPr="00C92BDF" w:rsidRDefault="004125E7" w:rsidP="004125E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8BF65" w14:textId="77777777" w:rsidR="004125E7" w:rsidRPr="00C92BDF" w:rsidRDefault="004125E7" w:rsidP="004125E7">
      <w:pPr>
        <w:tabs>
          <w:tab w:val="left" w:pos="567"/>
        </w:tabs>
        <w:spacing w:after="0" w:line="240" w:lineRule="auto"/>
        <w:jc w:val="center"/>
        <w:outlineLvl w:val="0"/>
        <w:rPr>
          <w:rFonts w:ascii="Times New Roman" w:eastAsia="Times New Roman" w:hAnsi="Times New Roman" w:cs="Times New Roman"/>
          <w:b/>
          <w:caps/>
          <w:lang w:val="lt-LT"/>
        </w:rPr>
      </w:pPr>
    </w:p>
    <w:p w14:paraId="629373E9" w14:textId="77777777" w:rsidR="004125E7" w:rsidRPr="00C92BDF" w:rsidRDefault="004125E7" w:rsidP="004125E7">
      <w:pPr>
        <w:tabs>
          <w:tab w:val="left" w:pos="567"/>
        </w:tabs>
        <w:spacing w:after="0" w:line="240" w:lineRule="auto"/>
        <w:jc w:val="center"/>
        <w:outlineLvl w:val="0"/>
        <w:rPr>
          <w:rFonts w:ascii="Times New Roman" w:eastAsia="Times New Roman" w:hAnsi="Times New Roman" w:cs="Times New Roman"/>
          <w:b/>
          <w:caps/>
          <w:lang w:val="lt-LT"/>
        </w:rPr>
      </w:pPr>
    </w:p>
    <w:p w14:paraId="4DD292FA" w14:textId="77777777" w:rsidR="004125E7" w:rsidRPr="00C92BDF" w:rsidRDefault="004125E7" w:rsidP="004125E7">
      <w:pPr>
        <w:tabs>
          <w:tab w:val="left" w:pos="567"/>
        </w:tabs>
        <w:spacing w:after="0" w:line="240" w:lineRule="auto"/>
        <w:jc w:val="center"/>
        <w:outlineLvl w:val="0"/>
        <w:rPr>
          <w:rFonts w:ascii="Times New Roman" w:eastAsia="Times New Roman" w:hAnsi="Times New Roman" w:cs="Times New Roman"/>
          <w:b/>
          <w:caps/>
          <w:lang w:val="lt-LT"/>
        </w:rPr>
      </w:pPr>
    </w:p>
    <w:p w14:paraId="225D58CA" w14:textId="77777777" w:rsidR="004125E7" w:rsidRPr="00C92BDF" w:rsidRDefault="004125E7" w:rsidP="004125E7">
      <w:pPr>
        <w:tabs>
          <w:tab w:val="left" w:pos="567"/>
        </w:tabs>
        <w:spacing w:after="0" w:line="240" w:lineRule="auto"/>
        <w:jc w:val="center"/>
        <w:outlineLvl w:val="0"/>
        <w:rPr>
          <w:rFonts w:ascii="Times New Roman" w:eastAsia="Times New Roman" w:hAnsi="Times New Roman" w:cs="Times New Roman"/>
          <w:caps/>
          <w:lang w:val="lt-LT"/>
        </w:rPr>
      </w:pPr>
      <w:r w:rsidRPr="00C92BDF">
        <w:rPr>
          <w:rFonts w:ascii="Times New Roman" w:eastAsia="Times New Roman" w:hAnsi="Times New Roman" w:cs="Times New Roman"/>
          <w:b/>
          <w:caps/>
          <w:lang w:val="lt-LT"/>
        </w:rPr>
        <w:t>B. PAKUOTĖS LAPELIS</w:t>
      </w:r>
    </w:p>
    <w:p w14:paraId="7223FA4C" w14:textId="77777777" w:rsidR="004125E7" w:rsidRPr="00C92BDF" w:rsidRDefault="004125E7" w:rsidP="004125E7">
      <w:pPr>
        <w:tabs>
          <w:tab w:val="left" w:pos="567"/>
        </w:tabs>
        <w:spacing w:after="0" w:line="240" w:lineRule="auto"/>
        <w:ind w:left="567" w:hanging="567"/>
        <w:jc w:val="center"/>
        <w:outlineLvl w:val="0"/>
        <w:rPr>
          <w:rFonts w:ascii="Times New Roman" w:eastAsia="Times New Roman" w:hAnsi="Times New Roman" w:cs="Times New Roman"/>
          <w:b/>
          <w:lang w:val="lt-LT"/>
        </w:rPr>
      </w:pPr>
      <w:r w:rsidRPr="00C92BDF">
        <w:rPr>
          <w:rFonts w:ascii="Times New Roman" w:eastAsia="Times New Roman" w:hAnsi="Times New Roman" w:cs="Times New Roman"/>
          <w:b/>
          <w:caps/>
          <w:lang w:val="lt-LT"/>
        </w:rPr>
        <w:br w:type="page"/>
      </w:r>
      <w:r w:rsidRPr="00C92BDF">
        <w:rPr>
          <w:rFonts w:ascii="Times New Roman" w:eastAsia="Times New Roman" w:hAnsi="Times New Roman" w:cs="Times New Roman"/>
          <w:b/>
          <w:lang w:val="lt-LT"/>
        </w:rPr>
        <w:lastRenderedPageBreak/>
        <w:t>Pakuotės lapelis:</w:t>
      </w:r>
      <w:r w:rsidRPr="00C92BDF">
        <w:rPr>
          <w:rFonts w:ascii="Times New Roman" w:eastAsia="Times New Roman" w:hAnsi="Times New Roman" w:cs="Times New Roman"/>
          <w:b/>
          <w:bCs/>
          <w:iCs/>
          <w:lang w:val="lt-LT"/>
        </w:rPr>
        <w:t xml:space="preserve"> </w:t>
      </w:r>
      <w:r w:rsidRPr="00C92BDF">
        <w:rPr>
          <w:rFonts w:ascii="Times New Roman" w:eastAsia="Times New Roman" w:hAnsi="Times New Roman" w:cs="Times New Roman"/>
          <w:b/>
          <w:lang w:val="lt-LT"/>
        </w:rPr>
        <w:t>informacija vartotojui</w:t>
      </w:r>
    </w:p>
    <w:p w14:paraId="6946294C" w14:textId="77777777" w:rsidR="004125E7" w:rsidRPr="00C92BDF" w:rsidRDefault="004125E7" w:rsidP="004125E7">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3AB33D5" w14:textId="77777777" w:rsidR="004125E7" w:rsidRPr="00C92BDF" w:rsidRDefault="004125E7" w:rsidP="004125E7">
      <w:pPr>
        <w:tabs>
          <w:tab w:val="left" w:pos="540"/>
          <w:tab w:val="left" w:pos="2127"/>
          <w:tab w:val="left" w:pos="2977"/>
        </w:tabs>
        <w:spacing w:after="0" w:line="240" w:lineRule="auto"/>
        <w:jc w:val="center"/>
        <w:rPr>
          <w:rFonts w:ascii="Times New Roman" w:eastAsia="Times New Roman" w:hAnsi="Times New Roman" w:cs="Times New Roman"/>
          <w:b/>
          <w:lang w:val="lt-LT"/>
        </w:rPr>
      </w:pPr>
      <w:r w:rsidRPr="00C92BDF">
        <w:rPr>
          <w:rFonts w:ascii="Times New Roman" w:eastAsia="Times New Roman" w:hAnsi="Times New Roman" w:cs="Times New Roman"/>
          <w:b/>
          <w:lang w:val="lt-LT"/>
        </w:rPr>
        <w:t>Mesar 10 mg plėvele dengtos tabletės</w:t>
      </w:r>
    </w:p>
    <w:p w14:paraId="19F04973" w14:textId="77777777" w:rsidR="004125E7" w:rsidRPr="00C92BDF" w:rsidRDefault="004125E7" w:rsidP="004125E7">
      <w:pPr>
        <w:tabs>
          <w:tab w:val="left" w:pos="540"/>
          <w:tab w:val="left" w:pos="2127"/>
          <w:tab w:val="left" w:pos="2977"/>
        </w:tabs>
        <w:spacing w:after="0" w:line="240" w:lineRule="auto"/>
        <w:jc w:val="center"/>
        <w:rPr>
          <w:rFonts w:ascii="Times New Roman" w:eastAsia="Times New Roman" w:hAnsi="Times New Roman" w:cs="Times New Roman"/>
          <w:b/>
          <w:lang w:val="lt-LT"/>
        </w:rPr>
      </w:pPr>
      <w:r w:rsidRPr="00C92BDF">
        <w:rPr>
          <w:rFonts w:ascii="Times New Roman" w:eastAsia="Times New Roman" w:hAnsi="Times New Roman" w:cs="Times New Roman"/>
          <w:b/>
          <w:lang w:val="lt-LT"/>
        </w:rPr>
        <w:t>Mesar 20 mg plėvele dengtos tabletės</w:t>
      </w:r>
    </w:p>
    <w:p w14:paraId="323E76CD" w14:textId="77777777" w:rsidR="004125E7" w:rsidRPr="00C92BDF" w:rsidRDefault="004125E7" w:rsidP="004125E7">
      <w:pPr>
        <w:tabs>
          <w:tab w:val="left" w:pos="540"/>
          <w:tab w:val="left" w:pos="2127"/>
          <w:tab w:val="left" w:pos="2977"/>
        </w:tabs>
        <w:spacing w:after="0" w:line="240" w:lineRule="auto"/>
        <w:jc w:val="center"/>
        <w:rPr>
          <w:rFonts w:ascii="Times New Roman" w:eastAsia="Times New Roman" w:hAnsi="Times New Roman" w:cs="Times New Roman"/>
          <w:b/>
          <w:lang w:val="lt-LT"/>
        </w:rPr>
      </w:pPr>
      <w:r w:rsidRPr="00C92BDF">
        <w:rPr>
          <w:rFonts w:ascii="Times New Roman" w:eastAsia="Times New Roman" w:hAnsi="Times New Roman" w:cs="Times New Roman"/>
          <w:b/>
          <w:lang w:val="lt-LT"/>
        </w:rPr>
        <w:t>Mesar 40 mg plėvele dengtos tabletės</w:t>
      </w:r>
    </w:p>
    <w:p w14:paraId="21606EE4" w14:textId="77777777" w:rsidR="004125E7" w:rsidRPr="00C92BDF" w:rsidRDefault="004125E7" w:rsidP="004125E7">
      <w:pPr>
        <w:tabs>
          <w:tab w:val="left" w:pos="540"/>
          <w:tab w:val="left" w:pos="2127"/>
          <w:tab w:val="left" w:pos="2977"/>
        </w:tabs>
        <w:spacing w:after="0" w:line="240" w:lineRule="auto"/>
        <w:jc w:val="center"/>
        <w:rPr>
          <w:rFonts w:ascii="Times New Roman" w:eastAsia="Times New Roman" w:hAnsi="Times New Roman" w:cs="Times New Roman"/>
          <w:lang w:val="lt-LT"/>
        </w:rPr>
      </w:pPr>
      <w:r w:rsidRPr="00C92BDF">
        <w:rPr>
          <w:rFonts w:ascii="Times New Roman" w:eastAsia="Times New Roman" w:hAnsi="Times New Roman" w:cs="Times New Roman"/>
          <w:lang w:val="lt-LT"/>
        </w:rPr>
        <w:t>Olmesartanas medoksomilis</w:t>
      </w:r>
    </w:p>
    <w:p w14:paraId="0B8AE132"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69EDEFC3" w14:textId="77777777" w:rsidR="004125E7" w:rsidRDefault="004125E7" w:rsidP="004125E7">
      <w:pPr>
        <w:tabs>
          <w:tab w:val="left" w:pos="540"/>
          <w:tab w:val="left" w:pos="2127"/>
          <w:tab w:val="left" w:pos="2977"/>
        </w:tabs>
        <w:spacing w:after="0" w:line="240" w:lineRule="auto"/>
        <w:rPr>
          <w:rFonts w:ascii="Times New Roman" w:eastAsia="Times New Roman" w:hAnsi="Times New Roman" w:cs="Times New Roman"/>
          <w:b/>
          <w:lang w:val="lt-LT"/>
        </w:rPr>
      </w:pPr>
      <w:r w:rsidRPr="00C92BDF">
        <w:rPr>
          <w:rFonts w:ascii="Times New Roman" w:eastAsia="Times New Roman" w:hAnsi="Times New Roman" w:cs="Times New Roman"/>
          <w:b/>
          <w:lang w:val="lt-LT"/>
        </w:rPr>
        <w:t>Atidžiai perskaitykite visą šį lapelį, prieš pradėdami vartoti vaistą, nes jame pateikiama Jums svarbi informacija.</w:t>
      </w:r>
    </w:p>
    <w:p w14:paraId="6813F94F"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b/>
          <w:lang w:val="lt-LT"/>
        </w:rPr>
      </w:pPr>
    </w:p>
    <w:p w14:paraId="615033FF" w14:textId="77777777" w:rsidR="004125E7" w:rsidRPr="00C92BDF" w:rsidRDefault="004125E7" w:rsidP="004125E7">
      <w:pPr>
        <w:tabs>
          <w:tab w:val="left" w:pos="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Neišmeskite šio lapelio, nes vėl gali prireikti jį perskaityti.</w:t>
      </w:r>
    </w:p>
    <w:p w14:paraId="5CE7B7D8" w14:textId="77777777" w:rsidR="004125E7" w:rsidRPr="00C92BDF" w:rsidRDefault="004125E7" w:rsidP="004125E7">
      <w:pPr>
        <w:tabs>
          <w:tab w:val="left" w:pos="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Jeigu kiltų daugiau klausimų, kreipkitės į gydytoją arba vaistininką.</w:t>
      </w:r>
    </w:p>
    <w:p w14:paraId="4084BD20" w14:textId="77777777" w:rsidR="004125E7" w:rsidRPr="00C92BDF" w:rsidRDefault="004125E7" w:rsidP="004125E7">
      <w:pPr>
        <w:tabs>
          <w:tab w:val="left" w:pos="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 xml:space="preserve">Šis vaistas skirtas tik Jums, todėl kitiems žmonėms jo duoti negalima. Vaistas gali jiems pakenkti (net tiems, kurių ligos </w:t>
      </w:r>
      <w:r w:rsidRPr="00C92BDF">
        <w:rPr>
          <w:rFonts w:ascii="Times New Roman" w:eastAsia="Times New Roman" w:hAnsi="Times New Roman" w:cs="Times New Roman"/>
          <w:noProof/>
          <w:szCs w:val="24"/>
          <w:lang w:val="lt-LT"/>
        </w:rPr>
        <w:t>požymiai</w:t>
      </w:r>
      <w:r w:rsidRPr="00C92BDF">
        <w:rPr>
          <w:rFonts w:ascii="Times New Roman" w:eastAsia="Times New Roman" w:hAnsi="Times New Roman" w:cs="Times New Roman"/>
          <w:lang w:val="lt-LT"/>
        </w:rPr>
        <w:t xml:space="preserve"> yra tokie patys kaip Jūsų).</w:t>
      </w:r>
    </w:p>
    <w:p w14:paraId="3F583E6E" w14:textId="77777777" w:rsidR="004125E7" w:rsidRPr="00C92BDF" w:rsidRDefault="004125E7" w:rsidP="004125E7">
      <w:pPr>
        <w:tabs>
          <w:tab w:val="left" w:pos="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Jeigu pasireiškė šalutinis poveikis (net jeigu jis šiame lapelyje nenurodytas), kreipkitės į gydytoją arba vaistininką.</w:t>
      </w:r>
      <w:r w:rsidRPr="00C92BDF">
        <w:rPr>
          <w:rFonts w:ascii="Times New Roman" w:eastAsia="Times New Roman" w:hAnsi="Times New Roman" w:cs="Times New Roman"/>
          <w:noProof/>
          <w:szCs w:val="24"/>
          <w:lang w:val="lt-LT"/>
        </w:rPr>
        <w:t xml:space="preserve"> Žr. 4 skyrių.</w:t>
      </w:r>
    </w:p>
    <w:p w14:paraId="375FD894"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73047EB4"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0E7DB089"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b/>
          <w:lang w:val="lt-LT"/>
        </w:rPr>
      </w:pPr>
      <w:r w:rsidRPr="00C92BDF">
        <w:rPr>
          <w:rFonts w:ascii="Times New Roman" w:eastAsia="Times New Roman" w:hAnsi="Times New Roman" w:cs="Times New Roman"/>
          <w:b/>
          <w:lang w:val="lt-LT"/>
        </w:rPr>
        <w:t>Apie ką rašoma šiame lapelyje?</w:t>
      </w:r>
    </w:p>
    <w:p w14:paraId="06EA360A"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b/>
          <w:lang w:val="lt-LT"/>
        </w:rPr>
      </w:pPr>
    </w:p>
    <w:p w14:paraId="6227CEEF"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1.</w:t>
      </w:r>
      <w:r w:rsidRPr="00C92BDF">
        <w:rPr>
          <w:rFonts w:ascii="Times New Roman" w:eastAsia="Times New Roman" w:hAnsi="Times New Roman" w:cs="Times New Roman"/>
          <w:lang w:val="lt-LT"/>
        </w:rPr>
        <w:tab/>
        <w:t>Kas yra Mesar ir kam jis vartojamas</w:t>
      </w:r>
    </w:p>
    <w:p w14:paraId="2C3A9498"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2.</w:t>
      </w:r>
      <w:r w:rsidRPr="00C92BDF">
        <w:rPr>
          <w:rFonts w:ascii="Times New Roman" w:eastAsia="Times New Roman" w:hAnsi="Times New Roman" w:cs="Times New Roman"/>
          <w:lang w:val="lt-LT"/>
        </w:rPr>
        <w:tab/>
        <w:t>Kas žinotina prieš vartojant Mesar</w:t>
      </w:r>
    </w:p>
    <w:p w14:paraId="5E636907"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3.</w:t>
      </w:r>
      <w:r w:rsidRPr="00C92BDF">
        <w:rPr>
          <w:rFonts w:ascii="Times New Roman" w:eastAsia="Times New Roman" w:hAnsi="Times New Roman" w:cs="Times New Roman"/>
          <w:lang w:val="lt-LT"/>
        </w:rPr>
        <w:tab/>
        <w:t>Kaip vartoti Mesar</w:t>
      </w:r>
    </w:p>
    <w:p w14:paraId="26C11B45"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4.</w:t>
      </w:r>
      <w:r w:rsidRPr="00C92BDF">
        <w:rPr>
          <w:rFonts w:ascii="Times New Roman" w:eastAsia="Times New Roman" w:hAnsi="Times New Roman" w:cs="Times New Roman"/>
          <w:lang w:val="lt-LT"/>
        </w:rPr>
        <w:tab/>
        <w:t>Galimas šalutinis poveikis</w:t>
      </w:r>
    </w:p>
    <w:p w14:paraId="593FE4DB"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5.</w:t>
      </w:r>
      <w:r w:rsidRPr="00C92BDF">
        <w:rPr>
          <w:rFonts w:ascii="Times New Roman" w:eastAsia="Times New Roman" w:hAnsi="Times New Roman" w:cs="Times New Roman"/>
          <w:lang w:val="lt-LT"/>
        </w:rPr>
        <w:tab/>
        <w:t>Kaip laikyti Mesar</w:t>
      </w:r>
    </w:p>
    <w:p w14:paraId="033B87A5"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6.</w:t>
      </w:r>
      <w:r w:rsidRPr="00C92BDF">
        <w:rPr>
          <w:rFonts w:ascii="Times New Roman" w:eastAsia="Times New Roman" w:hAnsi="Times New Roman" w:cs="Times New Roman"/>
          <w:lang w:val="lt-LT"/>
        </w:rPr>
        <w:tab/>
        <w:t>Pakuotės turinys ir kita informacija</w:t>
      </w:r>
    </w:p>
    <w:p w14:paraId="1DCF6F81"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39F561F0"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15BAF5E7" w14:textId="77777777" w:rsidR="004125E7" w:rsidRPr="00C92BDF" w:rsidRDefault="004125E7" w:rsidP="004125E7">
      <w:pPr>
        <w:keepNext/>
        <w:tabs>
          <w:tab w:val="left" w:pos="567"/>
        </w:tabs>
        <w:spacing w:after="0" w:line="240" w:lineRule="auto"/>
        <w:outlineLvl w:val="1"/>
        <w:rPr>
          <w:rFonts w:ascii="Times New Roman" w:eastAsia="Times New Roman" w:hAnsi="Times New Roman" w:cs="Times New Roman"/>
          <w:b/>
          <w:lang w:val="lt-LT"/>
        </w:rPr>
      </w:pPr>
      <w:r w:rsidRPr="00C92BDF">
        <w:rPr>
          <w:rFonts w:ascii="Times New Roman" w:eastAsia="Times New Roman" w:hAnsi="Times New Roman" w:cs="Times New Roman"/>
          <w:b/>
          <w:lang w:val="lt-LT"/>
        </w:rPr>
        <w:t>1.</w:t>
      </w:r>
      <w:r w:rsidRPr="00C92BDF">
        <w:rPr>
          <w:rFonts w:ascii="Times New Roman" w:eastAsia="Times New Roman" w:hAnsi="Times New Roman" w:cs="Times New Roman"/>
          <w:b/>
          <w:lang w:val="lt-LT"/>
        </w:rPr>
        <w:tab/>
        <w:t>Kas yra Mesar ir kam jis vartojamas</w:t>
      </w:r>
    </w:p>
    <w:p w14:paraId="40785DDC"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64B58A93"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Veiklioji Mesar medžiaga olmesartanas priklauso angiotenzino II receptorių antagonistų grupei, kurie mažina kraujospūdį atpalaiduodami kraujagysles.</w:t>
      </w:r>
    </w:p>
    <w:p w14:paraId="23921873"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36C0AE99" w14:textId="77777777" w:rsidR="004125E7" w:rsidRPr="00C92BDF" w:rsidRDefault="004125E7" w:rsidP="004125E7">
      <w:pPr>
        <w:adjustRightInd w:val="0"/>
        <w:spacing w:after="0" w:line="240" w:lineRule="auto"/>
        <w:rPr>
          <w:rFonts w:ascii="Times New Roman" w:eastAsia="Times New Roman" w:hAnsi="Times New Roman" w:cs="Times New Roman"/>
          <w:lang w:val="lt-LT" w:eastAsia="lt-LT"/>
        </w:rPr>
      </w:pPr>
      <w:r w:rsidRPr="00C92BDF">
        <w:rPr>
          <w:rFonts w:ascii="Times New Roman" w:eastAsia="Times New Roman" w:hAnsi="Times New Roman" w:cs="Times New Roman"/>
          <w:lang w:val="lt-LT" w:eastAsia="lt-LT"/>
        </w:rPr>
        <w:t xml:space="preserve">Mesar vartojamas pirminės arterinės hipertenzijos (kuriai būdingas nežinomos kilmės ilgalaikis arterinio kraujospūdžio padidėjimas, o ilgainiui gali būti pažeidžiami vidaus organai pvz., širdis, smegenys, kraujagyslės ir inkstai, didėja širdies ir kraujagyslių ligų rizika; kartais tai gali sukelti infarktą, širdies arba inkstų nepakankamumą, insultą ar apakimą) </w:t>
      </w:r>
      <w:r>
        <w:rPr>
          <w:rFonts w:ascii="Times New Roman" w:eastAsia="Times New Roman" w:hAnsi="Times New Roman" w:cs="Times New Roman"/>
          <w:lang w:val="lt-LT" w:eastAsia="lt-LT"/>
        </w:rPr>
        <w:t>suaugusiesiems, vaikams ir paaugliams nuo 6 iki 18 metų gydymui</w:t>
      </w:r>
      <w:r w:rsidRPr="00C92BDF">
        <w:rPr>
          <w:rFonts w:ascii="Times New Roman" w:eastAsia="Times New Roman" w:hAnsi="Times New Roman" w:cs="Times New Roman"/>
          <w:lang w:val="lt-LT" w:eastAsia="lt-LT"/>
        </w:rPr>
        <w:t>.</w:t>
      </w:r>
    </w:p>
    <w:p w14:paraId="18F6ED9D"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54066531"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Dažniausiai padidėjusio kraujospūdžio požymių nebūna, todėl, norint išvengti galimų pažeidimų, svarbu matuoti kraujo spaudimą.</w:t>
      </w:r>
    </w:p>
    <w:p w14:paraId="1464FBBE"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011A73EE"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6EDE2502" w14:textId="77777777" w:rsidR="004125E7" w:rsidRPr="00C92BDF" w:rsidRDefault="004125E7" w:rsidP="004125E7">
      <w:pPr>
        <w:keepNext/>
        <w:tabs>
          <w:tab w:val="left" w:pos="567"/>
        </w:tabs>
        <w:spacing w:after="0" w:line="240" w:lineRule="auto"/>
        <w:outlineLvl w:val="1"/>
        <w:rPr>
          <w:rFonts w:ascii="Times New Roman" w:eastAsia="Times New Roman" w:hAnsi="Times New Roman" w:cs="Times New Roman"/>
          <w:b/>
          <w:lang w:val="lt-LT"/>
        </w:rPr>
      </w:pPr>
      <w:r w:rsidRPr="00C92BDF">
        <w:rPr>
          <w:rFonts w:ascii="Times New Roman" w:eastAsia="Times New Roman" w:hAnsi="Times New Roman" w:cs="Times New Roman"/>
          <w:b/>
          <w:lang w:val="lt-LT"/>
        </w:rPr>
        <w:t>2.</w:t>
      </w:r>
      <w:r w:rsidRPr="00C92BDF">
        <w:rPr>
          <w:rFonts w:ascii="Times New Roman" w:eastAsia="Times New Roman" w:hAnsi="Times New Roman" w:cs="Times New Roman"/>
          <w:b/>
          <w:lang w:val="lt-LT"/>
        </w:rPr>
        <w:tab/>
        <w:t>Kas žinotina prieš vartojant Mesar</w:t>
      </w:r>
    </w:p>
    <w:p w14:paraId="5B3EBCBB"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10DB32D2" w14:textId="77777777" w:rsidR="004125E7" w:rsidRPr="00C92BDF" w:rsidRDefault="004125E7" w:rsidP="004125E7">
      <w:pPr>
        <w:spacing w:after="0" w:line="220" w:lineRule="exact"/>
        <w:rPr>
          <w:rFonts w:ascii="Times New Roman" w:eastAsia="Times New Roman" w:hAnsi="Times New Roman" w:cs="Times New Roman"/>
          <w:b/>
          <w:lang w:val="lt-LT"/>
        </w:rPr>
      </w:pPr>
      <w:r w:rsidRPr="00C92BDF">
        <w:rPr>
          <w:rFonts w:ascii="Times New Roman" w:eastAsia="Times New Roman" w:hAnsi="Times New Roman" w:cs="Times New Roman"/>
          <w:b/>
          <w:lang w:val="lt-LT"/>
        </w:rPr>
        <w:t>Mesar vartoti negalima:</w:t>
      </w:r>
    </w:p>
    <w:p w14:paraId="44395072" w14:textId="77777777" w:rsidR="004125E7" w:rsidRPr="00C92BDF" w:rsidRDefault="004125E7" w:rsidP="004125E7">
      <w:pPr>
        <w:numPr>
          <w:ilvl w:val="0"/>
          <w:numId w:val="8"/>
        </w:numPr>
        <w:tabs>
          <w:tab w:val="left" w:pos="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 xml:space="preserve">jeigu yra alergija olmesartanui medoksomiliui arba bet kuriai pagalbinei šio vaisto medžiagai (jos išvardytos 6 skyriuje); </w:t>
      </w:r>
    </w:p>
    <w:p w14:paraId="65CFFB0E" w14:textId="77777777" w:rsidR="004125E7" w:rsidRPr="00C92BDF" w:rsidRDefault="004125E7" w:rsidP="004125E7">
      <w:pPr>
        <w:numPr>
          <w:ilvl w:val="0"/>
          <w:numId w:val="8"/>
        </w:numPr>
        <w:tabs>
          <w:tab w:val="left" w:pos="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jei esate daugiau nei 3 mėnesius nėščia. Taip pat yra geriau vengti Mesar vartoti ankstyvojo nėštumo metu (žr. skyrių „Nėštumas“).</w:t>
      </w:r>
    </w:p>
    <w:p w14:paraId="76DF3986" w14:textId="77777777" w:rsidR="004125E7" w:rsidRPr="00C92BDF" w:rsidRDefault="004125E7" w:rsidP="004125E7">
      <w:pPr>
        <w:numPr>
          <w:ilvl w:val="0"/>
          <w:numId w:val="8"/>
        </w:numPr>
        <w:tabs>
          <w:tab w:val="left" w:pos="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jeigu jums yra tulžies latakų užsikimšimas (pvz. akmenimis);</w:t>
      </w:r>
    </w:p>
    <w:p w14:paraId="6CAECA08" w14:textId="77777777" w:rsidR="004125E7" w:rsidRPr="00C92BDF" w:rsidRDefault="004125E7" w:rsidP="004125E7">
      <w:pPr>
        <w:numPr>
          <w:ilvl w:val="0"/>
          <w:numId w:val="8"/>
        </w:numPr>
        <w:tabs>
          <w:tab w:val="left" w:pos="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jeigu Jūs sergate cukriniu diabetu arba Jūsų inkstų veikla sutrikusi ir Jums skirtas kraujospūdį mažinantis vaistas, kurio sudėtyje yra aliskireno.</w:t>
      </w:r>
    </w:p>
    <w:p w14:paraId="08897498" w14:textId="77777777" w:rsidR="004125E7" w:rsidRPr="00C92BDF" w:rsidRDefault="004125E7" w:rsidP="004125E7">
      <w:pPr>
        <w:tabs>
          <w:tab w:val="left" w:pos="0"/>
        </w:tabs>
        <w:spacing w:after="0" w:line="240" w:lineRule="auto"/>
        <w:rPr>
          <w:rFonts w:ascii="Times New Roman" w:eastAsia="Times New Roman" w:hAnsi="Times New Roman" w:cs="Times New Roman"/>
          <w:lang w:val="lt-LT"/>
        </w:rPr>
      </w:pPr>
    </w:p>
    <w:p w14:paraId="1C4A9D0C" w14:textId="77777777" w:rsidR="004125E7" w:rsidRPr="00C92BDF" w:rsidRDefault="004125E7" w:rsidP="004125E7">
      <w:pPr>
        <w:spacing w:after="0" w:line="220" w:lineRule="exact"/>
        <w:rPr>
          <w:rFonts w:ascii="Times New Roman" w:eastAsia="Times New Roman" w:hAnsi="Times New Roman" w:cs="Times New Roman"/>
          <w:b/>
          <w:lang w:val="lt-LT"/>
        </w:rPr>
      </w:pPr>
      <w:r w:rsidRPr="00C92BDF">
        <w:rPr>
          <w:rFonts w:ascii="Times New Roman" w:eastAsia="Times New Roman" w:hAnsi="Times New Roman" w:cs="Times New Roman"/>
          <w:b/>
          <w:noProof/>
          <w:lang w:val="lt-LT"/>
        </w:rPr>
        <w:t>Įspėjimai ir atsargumo priemonės</w:t>
      </w:r>
    </w:p>
    <w:p w14:paraId="7577A72E" w14:textId="77777777" w:rsidR="004125E7" w:rsidRPr="00C92BDF" w:rsidRDefault="004125E7" w:rsidP="004125E7">
      <w:pPr>
        <w:spacing w:after="0" w:line="220" w:lineRule="exact"/>
        <w:rPr>
          <w:rFonts w:ascii="Times New Roman" w:eastAsia="Times New Roman" w:hAnsi="Times New Roman" w:cs="Times New Roman"/>
          <w:lang w:val="lt-LT"/>
        </w:rPr>
      </w:pPr>
      <w:r w:rsidRPr="00C92BDF">
        <w:rPr>
          <w:rFonts w:ascii="Times New Roman" w:eastAsia="Times New Roman" w:hAnsi="Times New Roman" w:cs="Times New Roman"/>
          <w:lang w:val="lt-LT"/>
        </w:rPr>
        <w:t>Pasitarkite su gydytoju prieš pradėdami vartoti Mesar:</w:t>
      </w:r>
    </w:p>
    <w:p w14:paraId="0A55770A" w14:textId="77777777" w:rsidR="004125E7" w:rsidRPr="00C92BDF" w:rsidRDefault="004125E7" w:rsidP="004125E7">
      <w:pPr>
        <w:numPr>
          <w:ilvl w:val="0"/>
          <w:numId w:val="2"/>
        </w:numPr>
        <w:tabs>
          <w:tab w:val="left" w:pos="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jeigu vartojate kurį nors iš šių vaistų padidėjusiam kraujospūdžiui gydyti:</w:t>
      </w:r>
    </w:p>
    <w:p w14:paraId="0BC480B2" w14:textId="77777777" w:rsidR="004125E7" w:rsidRPr="00C92BDF" w:rsidRDefault="004125E7" w:rsidP="004125E7">
      <w:pPr>
        <w:numPr>
          <w:ilvl w:val="0"/>
          <w:numId w:val="3"/>
        </w:numPr>
        <w:tabs>
          <w:tab w:val="left" w:pos="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lastRenderedPageBreak/>
        <w:t>AKF inhibitorių (pavyzdžiui, enalaprilį, lizinoprilį, ramiprilį), ypač jei turite su diabetu susijusių inkstų sutrikimų;</w:t>
      </w:r>
    </w:p>
    <w:p w14:paraId="0C89D9C6" w14:textId="77777777" w:rsidR="004125E7" w:rsidRPr="00C92BDF" w:rsidRDefault="004125E7" w:rsidP="004125E7">
      <w:pPr>
        <w:numPr>
          <w:ilvl w:val="0"/>
          <w:numId w:val="3"/>
        </w:numPr>
        <w:tabs>
          <w:tab w:val="left" w:pos="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aliskireną.</w:t>
      </w:r>
    </w:p>
    <w:p w14:paraId="1F7441BF" w14:textId="77777777" w:rsidR="004125E7" w:rsidRPr="00C92BDF" w:rsidRDefault="004125E7" w:rsidP="004125E7">
      <w:pPr>
        <w:tabs>
          <w:tab w:val="left" w:pos="0"/>
        </w:tabs>
        <w:spacing w:after="0" w:line="240" w:lineRule="auto"/>
        <w:rPr>
          <w:rFonts w:ascii="Times New Roman" w:eastAsia="Times New Roman" w:hAnsi="Times New Roman" w:cs="Times New Roman"/>
          <w:lang w:val="lt-LT"/>
        </w:rPr>
      </w:pPr>
    </w:p>
    <w:p w14:paraId="4A0AF46F" w14:textId="77777777" w:rsidR="004125E7" w:rsidRPr="00C92BDF" w:rsidRDefault="004125E7" w:rsidP="004125E7">
      <w:pPr>
        <w:autoSpaceDE w:val="0"/>
        <w:autoSpaceDN w:val="0"/>
        <w:adjustRightInd w:val="0"/>
        <w:spacing w:after="0" w:line="240" w:lineRule="auto"/>
        <w:rPr>
          <w:rFonts w:ascii="Times New Roman" w:eastAsia="Times New Roman" w:hAnsi="Times New Roman" w:cs="Times New Roman"/>
          <w:color w:val="000000"/>
          <w:lang w:val="lt-LT"/>
        </w:rPr>
      </w:pPr>
      <w:r w:rsidRPr="00C92BDF">
        <w:rPr>
          <w:rFonts w:ascii="Times New Roman" w:eastAsia="Times New Roman" w:hAnsi="Times New Roman" w:cs="Times New Roman"/>
          <w:iCs/>
          <w:color w:val="000000"/>
          <w:lang w:val="lt-LT"/>
        </w:rPr>
        <w:t xml:space="preserve">Jūsų gydytojas gali reguliariai ištirti Jūsų inkstų funkciją, kraujospūdį ir elektrolitų (pvz., kalio) kiekį kraujyje. </w:t>
      </w:r>
    </w:p>
    <w:p w14:paraId="21501B12" w14:textId="77777777" w:rsidR="004125E7" w:rsidRPr="00C92BDF" w:rsidRDefault="004125E7" w:rsidP="004125E7">
      <w:pPr>
        <w:tabs>
          <w:tab w:val="left" w:pos="0"/>
        </w:tabs>
        <w:spacing w:after="0" w:line="240" w:lineRule="auto"/>
        <w:rPr>
          <w:rFonts w:ascii="Times New Roman" w:eastAsia="Times New Roman" w:hAnsi="Times New Roman" w:cs="Times New Roman"/>
          <w:lang w:val="lt-LT"/>
        </w:rPr>
      </w:pPr>
    </w:p>
    <w:p w14:paraId="192B45BA" w14:textId="77777777" w:rsidR="004125E7" w:rsidRPr="00C92BDF" w:rsidRDefault="004125E7" w:rsidP="004125E7">
      <w:pPr>
        <w:autoSpaceDE w:val="0"/>
        <w:autoSpaceDN w:val="0"/>
        <w:adjustRightInd w:val="0"/>
        <w:spacing w:after="0" w:line="240" w:lineRule="auto"/>
        <w:rPr>
          <w:rFonts w:ascii="Times New Roman" w:eastAsia="Times New Roman" w:hAnsi="Times New Roman" w:cs="Times New Roman"/>
          <w:color w:val="000000"/>
          <w:lang w:val="lt-LT"/>
        </w:rPr>
      </w:pPr>
      <w:r w:rsidRPr="00C92BDF">
        <w:rPr>
          <w:rFonts w:ascii="Times New Roman" w:eastAsia="Times New Roman" w:hAnsi="Times New Roman" w:cs="Times New Roman"/>
          <w:lang w:val="lt-LT"/>
        </w:rPr>
        <w:t>Taip pat žiūrėkite informaciją, pateiktą poskyryje „</w:t>
      </w:r>
      <w:r w:rsidRPr="00C92BDF">
        <w:rPr>
          <w:rFonts w:ascii="Times New Roman" w:eastAsia="Times New Roman" w:hAnsi="Times New Roman" w:cs="Times New Roman"/>
          <w:color w:val="000000"/>
          <w:lang w:val="lt-LT"/>
        </w:rPr>
        <w:t>Mesar</w:t>
      </w:r>
      <w:r w:rsidRPr="00C92BDF">
        <w:rPr>
          <w:rFonts w:ascii="Times New Roman" w:eastAsia="Times New Roman" w:hAnsi="Times New Roman" w:cs="Times New Roman"/>
          <w:lang w:val="lt-LT"/>
        </w:rPr>
        <w:t xml:space="preserve"> vartoti negalima“.</w:t>
      </w:r>
    </w:p>
    <w:p w14:paraId="2C1EAF49" w14:textId="77777777" w:rsidR="004125E7" w:rsidRPr="00C92BDF" w:rsidRDefault="004125E7" w:rsidP="004125E7">
      <w:pPr>
        <w:spacing w:after="0" w:line="220" w:lineRule="exact"/>
        <w:rPr>
          <w:rFonts w:ascii="Times New Roman" w:eastAsia="Times New Roman" w:hAnsi="Times New Roman" w:cs="Times New Roman"/>
          <w:lang w:val="lt-LT"/>
        </w:rPr>
      </w:pPr>
    </w:p>
    <w:p w14:paraId="30375EA2" w14:textId="77777777" w:rsidR="004125E7" w:rsidRPr="00C92BDF" w:rsidRDefault="004125E7" w:rsidP="004125E7">
      <w:pPr>
        <w:spacing w:after="0" w:line="220" w:lineRule="exact"/>
        <w:rPr>
          <w:rFonts w:ascii="Times New Roman" w:eastAsia="Times New Roman" w:hAnsi="Times New Roman" w:cs="Times New Roman"/>
          <w:lang w:val="lt-LT"/>
        </w:rPr>
      </w:pPr>
      <w:r w:rsidRPr="00C92BDF">
        <w:rPr>
          <w:rFonts w:ascii="Times New Roman" w:eastAsia="Times New Roman" w:hAnsi="Times New Roman" w:cs="Times New Roman"/>
          <w:b/>
          <w:bCs/>
          <w:lang w:val="lt-LT"/>
        </w:rPr>
        <w:t>Pasakykite gydytojui</w:t>
      </w:r>
      <w:r w:rsidRPr="00C92BDF">
        <w:rPr>
          <w:rFonts w:ascii="Times New Roman" w:eastAsia="Times New Roman" w:hAnsi="Times New Roman" w:cs="Times New Roman"/>
          <w:bCs/>
          <w:lang w:val="lt-LT"/>
        </w:rPr>
        <w:t>,</w:t>
      </w:r>
      <w:r w:rsidRPr="00C92BDF">
        <w:rPr>
          <w:rFonts w:ascii="Times New Roman" w:eastAsia="Times New Roman" w:hAnsi="Times New Roman" w:cs="Times New Roman"/>
          <w:b/>
          <w:lang w:val="lt-LT"/>
        </w:rPr>
        <w:t xml:space="preserve"> </w:t>
      </w:r>
      <w:r w:rsidRPr="00C92BDF">
        <w:rPr>
          <w:rFonts w:ascii="Times New Roman" w:eastAsia="Times New Roman" w:hAnsi="Times New Roman" w:cs="Times New Roman"/>
          <w:lang w:val="lt-LT"/>
        </w:rPr>
        <w:t>jei Jums nustatytas bent vienas iš šių sveikatos sutrikimų:</w:t>
      </w:r>
    </w:p>
    <w:p w14:paraId="573641E5" w14:textId="77777777" w:rsidR="004125E7" w:rsidRPr="00C92BDF" w:rsidRDefault="004125E7" w:rsidP="004125E7">
      <w:pPr>
        <w:numPr>
          <w:ilvl w:val="0"/>
          <w:numId w:val="4"/>
        </w:numPr>
        <w:tabs>
          <w:tab w:val="left" w:pos="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sutrikusi inkstų veikla;</w:t>
      </w:r>
    </w:p>
    <w:p w14:paraId="578ACE40" w14:textId="77777777" w:rsidR="004125E7" w:rsidRPr="00C92BDF" w:rsidRDefault="004125E7" w:rsidP="004125E7">
      <w:pPr>
        <w:numPr>
          <w:ilvl w:val="0"/>
          <w:numId w:val="4"/>
        </w:numPr>
        <w:tabs>
          <w:tab w:val="left" w:pos="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sergate kepenų liga;</w:t>
      </w:r>
    </w:p>
    <w:p w14:paraId="031741D9" w14:textId="77777777" w:rsidR="004125E7" w:rsidRPr="00C92BDF" w:rsidRDefault="004125E7" w:rsidP="004125E7">
      <w:pPr>
        <w:numPr>
          <w:ilvl w:val="0"/>
          <w:numId w:val="4"/>
        </w:numPr>
        <w:tabs>
          <w:tab w:val="left" w:pos="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Jums nustatytas širdies veiklos nepakankamumas arba širdies vožtuvų veiklos sutrikimai, širdies raumens pakitimai;</w:t>
      </w:r>
    </w:p>
    <w:p w14:paraId="2E45D815" w14:textId="77777777" w:rsidR="004125E7" w:rsidRPr="00C92BDF" w:rsidRDefault="004125E7" w:rsidP="004125E7">
      <w:pPr>
        <w:numPr>
          <w:ilvl w:val="0"/>
          <w:numId w:val="4"/>
        </w:numPr>
        <w:tabs>
          <w:tab w:val="left" w:pos="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stipriai vemiate, viduriuojate, vartojate didelę vaistų, skatinančių šlapimo išsiskyrimą (diuretikų), dozę arba su maistu vartojate mažai druskos;</w:t>
      </w:r>
    </w:p>
    <w:p w14:paraId="487F6497" w14:textId="77777777" w:rsidR="004125E7" w:rsidRPr="00C92BDF" w:rsidRDefault="004125E7" w:rsidP="004125E7">
      <w:pPr>
        <w:numPr>
          <w:ilvl w:val="0"/>
          <w:numId w:val="4"/>
        </w:numPr>
        <w:tabs>
          <w:tab w:val="left" w:pos="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Jūsų kraujyje yra padidėjęs kalio kiekis;</w:t>
      </w:r>
    </w:p>
    <w:p w14:paraId="5A42BFDB" w14:textId="77777777" w:rsidR="004125E7" w:rsidRPr="00C92BDF" w:rsidRDefault="004125E7" w:rsidP="004125E7">
      <w:pPr>
        <w:numPr>
          <w:ilvl w:val="0"/>
          <w:numId w:val="4"/>
        </w:numPr>
        <w:tabs>
          <w:tab w:val="left" w:pos="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Jums nustatyta antinksčių veiklos sutrikimų.</w:t>
      </w:r>
    </w:p>
    <w:p w14:paraId="4DC72DF1"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6D3A5A47"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color w:val="222222"/>
          <w:lang w:val="lt-LT"/>
        </w:rPr>
      </w:pPr>
      <w:r w:rsidRPr="00C92BDF">
        <w:rPr>
          <w:rFonts w:ascii="Times New Roman" w:eastAsia="Times New Roman" w:hAnsi="Times New Roman" w:cs="Times New Roman"/>
          <w:color w:val="222222"/>
          <w:lang w:val="lt-LT"/>
        </w:rPr>
        <w:t>Kreipkitės į gydytoją</w:t>
      </w:r>
      <w:r w:rsidRPr="00C92BDF">
        <w:rPr>
          <w:rFonts w:ascii="Times New Roman" w:eastAsia="Times New Roman" w:hAnsi="Times New Roman" w:cs="Times New Roman"/>
          <w:lang w:val="lt-LT"/>
        </w:rPr>
        <w:t xml:space="preserve">, jei atsiranda </w:t>
      </w:r>
      <w:r w:rsidRPr="00C92BDF">
        <w:rPr>
          <w:rFonts w:ascii="Times New Roman" w:eastAsia="Times New Roman" w:hAnsi="Times New Roman" w:cs="Times New Roman"/>
          <w:color w:val="222222"/>
          <w:lang w:val="lt-LT"/>
        </w:rPr>
        <w:t>viduriavimas</w:t>
      </w:r>
      <w:r w:rsidRPr="00C92BDF">
        <w:rPr>
          <w:rFonts w:ascii="Times New Roman" w:eastAsia="Times New Roman" w:hAnsi="Times New Roman" w:cs="Times New Roman"/>
          <w:lang w:val="lt-LT"/>
        </w:rPr>
        <w:t xml:space="preserve">, kuris yra </w:t>
      </w:r>
      <w:r w:rsidRPr="00C92BDF">
        <w:rPr>
          <w:rFonts w:ascii="Times New Roman" w:eastAsia="Times New Roman" w:hAnsi="Times New Roman" w:cs="Times New Roman"/>
          <w:color w:val="222222"/>
          <w:lang w:val="lt-LT"/>
        </w:rPr>
        <w:t>sunkus, nuolatinis</w:t>
      </w:r>
      <w:r w:rsidRPr="00C92BDF">
        <w:rPr>
          <w:rFonts w:ascii="Times New Roman" w:eastAsia="Times New Roman" w:hAnsi="Times New Roman" w:cs="Times New Roman"/>
          <w:lang w:val="lt-LT"/>
        </w:rPr>
        <w:t xml:space="preserve"> </w:t>
      </w:r>
      <w:r w:rsidRPr="00C92BDF">
        <w:rPr>
          <w:rFonts w:ascii="Times New Roman" w:eastAsia="Times New Roman" w:hAnsi="Times New Roman" w:cs="Times New Roman"/>
          <w:color w:val="222222"/>
          <w:lang w:val="lt-LT"/>
        </w:rPr>
        <w:t>ir sukelia staigų svorio kritimą.</w:t>
      </w:r>
      <w:r w:rsidRPr="00C92BDF">
        <w:rPr>
          <w:rFonts w:ascii="Times New Roman" w:eastAsia="Times New Roman" w:hAnsi="Times New Roman" w:cs="Times New Roman"/>
          <w:lang w:val="lt-LT"/>
        </w:rPr>
        <w:t xml:space="preserve"> </w:t>
      </w:r>
      <w:r w:rsidRPr="00C92BDF">
        <w:rPr>
          <w:rFonts w:ascii="Times New Roman" w:eastAsia="Times New Roman" w:hAnsi="Times New Roman" w:cs="Times New Roman"/>
          <w:color w:val="222222"/>
          <w:lang w:val="lt-LT"/>
        </w:rPr>
        <w:t>Jūsų gydytojas gali</w:t>
      </w:r>
      <w:r w:rsidRPr="00C92BDF">
        <w:rPr>
          <w:rFonts w:ascii="Times New Roman" w:eastAsia="Times New Roman" w:hAnsi="Times New Roman" w:cs="Times New Roman"/>
          <w:lang w:val="lt-LT"/>
        </w:rPr>
        <w:t xml:space="preserve"> </w:t>
      </w:r>
      <w:r w:rsidRPr="00C92BDF">
        <w:rPr>
          <w:rFonts w:ascii="Times New Roman" w:eastAsia="Times New Roman" w:hAnsi="Times New Roman" w:cs="Times New Roman"/>
          <w:color w:val="222222"/>
          <w:lang w:val="lt-LT"/>
        </w:rPr>
        <w:t>įvertinti jūsų</w:t>
      </w:r>
      <w:r w:rsidRPr="00C92BDF">
        <w:rPr>
          <w:rFonts w:ascii="Times New Roman" w:eastAsia="Times New Roman" w:hAnsi="Times New Roman" w:cs="Times New Roman"/>
          <w:lang w:val="lt-LT"/>
        </w:rPr>
        <w:t xml:space="preserve"> </w:t>
      </w:r>
      <w:r w:rsidRPr="00C92BDF">
        <w:rPr>
          <w:rFonts w:ascii="Times New Roman" w:eastAsia="Times New Roman" w:hAnsi="Times New Roman" w:cs="Times New Roman"/>
          <w:color w:val="222222"/>
          <w:lang w:val="lt-LT"/>
        </w:rPr>
        <w:t>simptomus</w:t>
      </w:r>
      <w:r w:rsidRPr="00C92BDF">
        <w:rPr>
          <w:rFonts w:ascii="Times New Roman" w:eastAsia="Times New Roman" w:hAnsi="Times New Roman" w:cs="Times New Roman"/>
          <w:lang w:val="lt-LT"/>
        </w:rPr>
        <w:t xml:space="preserve"> </w:t>
      </w:r>
      <w:r w:rsidRPr="00C92BDF">
        <w:rPr>
          <w:rFonts w:ascii="Times New Roman" w:eastAsia="Times New Roman" w:hAnsi="Times New Roman" w:cs="Times New Roman"/>
          <w:color w:val="222222"/>
          <w:lang w:val="lt-LT"/>
        </w:rPr>
        <w:t>ir</w:t>
      </w:r>
      <w:r w:rsidRPr="00C92BDF">
        <w:rPr>
          <w:rFonts w:ascii="Times New Roman" w:eastAsia="Times New Roman" w:hAnsi="Times New Roman" w:cs="Times New Roman"/>
          <w:lang w:val="lt-LT"/>
        </w:rPr>
        <w:t xml:space="preserve"> </w:t>
      </w:r>
      <w:r w:rsidRPr="00C92BDF">
        <w:rPr>
          <w:rFonts w:ascii="Times New Roman" w:eastAsia="Times New Roman" w:hAnsi="Times New Roman" w:cs="Times New Roman"/>
          <w:color w:val="222222"/>
          <w:lang w:val="lt-LT"/>
        </w:rPr>
        <w:t>nuspręsti, kaip</w:t>
      </w:r>
      <w:r w:rsidRPr="00C92BDF">
        <w:rPr>
          <w:rFonts w:ascii="Times New Roman" w:eastAsia="Times New Roman" w:hAnsi="Times New Roman" w:cs="Times New Roman"/>
          <w:lang w:val="lt-LT"/>
        </w:rPr>
        <w:t xml:space="preserve"> </w:t>
      </w:r>
      <w:r w:rsidRPr="00C92BDF">
        <w:rPr>
          <w:rFonts w:ascii="Times New Roman" w:eastAsia="Times New Roman" w:hAnsi="Times New Roman" w:cs="Times New Roman"/>
          <w:color w:val="222222"/>
          <w:lang w:val="lt-LT"/>
        </w:rPr>
        <w:t>tęsti kraujospūdį</w:t>
      </w:r>
      <w:r w:rsidRPr="00C92BDF">
        <w:rPr>
          <w:rFonts w:ascii="Times New Roman" w:eastAsia="Times New Roman" w:hAnsi="Times New Roman" w:cs="Times New Roman"/>
          <w:lang w:val="lt-LT"/>
        </w:rPr>
        <w:t xml:space="preserve"> mažinančio </w:t>
      </w:r>
      <w:r w:rsidRPr="00C92BDF">
        <w:rPr>
          <w:rFonts w:ascii="Times New Roman" w:eastAsia="Times New Roman" w:hAnsi="Times New Roman" w:cs="Times New Roman"/>
          <w:color w:val="222222"/>
          <w:lang w:val="lt-LT"/>
        </w:rPr>
        <w:t>vaisto vartojimą.</w:t>
      </w:r>
    </w:p>
    <w:p w14:paraId="72A64CED" w14:textId="77777777" w:rsidR="004125E7"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70E2191B" w14:textId="77777777" w:rsidR="00A53D1A" w:rsidRPr="00A53D1A" w:rsidRDefault="00A53D1A"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A53D1A">
        <w:rPr>
          <w:rFonts w:ascii="Times New Roman" w:hAnsi="Times New Roman" w:cs="Times New Roman"/>
          <w:lang w:val="lt-LT"/>
        </w:rPr>
        <w:t>Pasitarkite su gydytoju, jei pavartojus Mesar jaučiate pilvo skausmą, pykinimą, vėmimą arba viduriavimą. Dėl tolesnio gydymo nuspręs Jūsų gydytojas. Nenustokite vartoti Mesar pats.</w:t>
      </w:r>
    </w:p>
    <w:p w14:paraId="2CEA0823" w14:textId="77777777" w:rsidR="00A53D1A" w:rsidRPr="00C92BDF" w:rsidRDefault="00A53D1A"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2946ECC6"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Pacientams, kuriems yra širdies ar smegenų kraujotakos sutrikimų, kaip ir gydantis bet kokiais kitais kraujospūdį mažinančiais vaistais, pernelyg didelis kraujospūdžio sumažėjimas gali sukelti miokardo infarktą arba insultą. Todėl būtina rūpestingai kontroliuoti kraujospūdį; tai atliks gydytojas.</w:t>
      </w:r>
    </w:p>
    <w:p w14:paraId="20F63B67"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21519F3C"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Jeigu manote, kad esate (</w:t>
      </w:r>
      <w:r w:rsidRPr="00C92BDF">
        <w:rPr>
          <w:rFonts w:ascii="Times New Roman" w:eastAsia="Times New Roman" w:hAnsi="Times New Roman" w:cs="Times New Roman"/>
          <w:u w:val="single"/>
          <w:lang w:val="lt-LT"/>
        </w:rPr>
        <w:t>arba galite tapti</w:t>
      </w:r>
      <w:r w:rsidRPr="00C92BDF">
        <w:rPr>
          <w:rFonts w:ascii="Times New Roman" w:eastAsia="Times New Roman" w:hAnsi="Times New Roman" w:cs="Times New Roman"/>
          <w:lang w:val="lt-LT"/>
        </w:rPr>
        <w:t>) nėščia, turite apie tai pasakyti savo gydytojui. Ankstyvuoju nėštumo laikotarpiu Mesar vartoti nerekomenduojama. Vartojamas po trečio nėštumo mėnesio šis vaistas gali padaryti didžiulės žalos Jūsų kūdikiui, žr. skyrių “Nėštumas ir žindymo laikotarpis“.</w:t>
      </w:r>
    </w:p>
    <w:p w14:paraId="535678D8" w14:textId="77777777" w:rsidR="004125E7" w:rsidRPr="00C92BDF" w:rsidRDefault="004125E7" w:rsidP="004125E7">
      <w:pPr>
        <w:spacing w:after="0" w:line="220" w:lineRule="exact"/>
        <w:rPr>
          <w:rFonts w:ascii="Times New Roman" w:eastAsia="Times New Roman" w:hAnsi="Times New Roman" w:cs="Times New Roman"/>
          <w:b/>
          <w:lang w:val="lt-LT"/>
        </w:rPr>
      </w:pPr>
    </w:p>
    <w:p w14:paraId="3766CB37" w14:textId="77777777" w:rsidR="004125E7" w:rsidRPr="00C92BDF" w:rsidRDefault="004125E7" w:rsidP="004125E7">
      <w:pPr>
        <w:spacing w:after="0" w:line="240" w:lineRule="auto"/>
        <w:rPr>
          <w:rFonts w:ascii="Times New Roman" w:eastAsia="Times New Roman" w:hAnsi="Times New Roman" w:cs="Times New Roman"/>
          <w:bCs/>
          <w:i/>
          <w:lang w:val="lt-LT"/>
        </w:rPr>
      </w:pPr>
      <w:r w:rsidRPr="00C92BDF">
        <w:rPr>
          <w:rFonts w:ascii="Times New Roman" w:eastAsia="Times New Roman" w:hAnsi="Times New Roman" w:cs="Times New Roman"/>
          <w:bCs/>
          <w:i/>
          <w:lang w:val="lt-LT"/>
        </w:rPr>
        <w:t>Senyvi pacientai</w:t>
      </w:r>
    </w:p>
    <w:p w14:paraId="7D8EC129"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Jei Jūs esate vyresnis nei 65 metų, ir Jūsų gydytojas nusprendė padidinti olmesartano medoksomilio dozę iki 40 mg per parą, gydytojas būtinai turi reguliariai tikrinti Jūsų kraujospūdį, kad įsitikintų, jog jis nesumažėjo pernelyg stipriai.</w:t>
      </w:r>
    </w:p>
    <w:p w14:paraId="68954D55"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42C4B76E" w14:textId="77777777" w:rsidR="004125E7" w:rsidRPr="00C92BDF" w:rsidRDefault="004125E7" w:rsidP="004125E7">
      <w:pPr>
        <w:spacing w:after="0" w:line="240" w:lineRule="auto"/>
        <w:rPr>
          <w:rFonts w:ascii="Times New Roman" w:eastAsia="Times New Roman" w:hAnsi="Times New Roman" w:cs="Times New Roman"/>
          <w:bCs/>
          <w:i/>
          <w:lang w:val="lt-LT"/>
        </w:rPr>
      </w:pPr>
      <w:r w:rsidRPr="00C92BDF">
        <w:rPr>
          <w:rFonts w:ascii="Times New Roman" w:eastAsia="Times New Roman" w:hAnsi="Times New Roman" w:cs="Times New Roman"/>
          <w:bCs/>
          <w:i/>
          <w:lang w:val="lt-LT"/>
        </w:rPr>
        <w:t>Juodaodžiai pacientai</w:t>
      </w:r>
    </w:p>
    <w:p w14:paraId="0FBDD2FA"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Kaip ir vartojant kitus panašius vaistus, Mesar kraujospūdį mažinantis poveikis juodaodžiams yra šiek tiek silpnesnis.</w:t>
      </w:r>
    </w:p>
    <w:p w14:paraId="00537666"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1CF1D5AA"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b/>
          <w:lang w:val="lt-LT"/>
        </w:rPr>
      </w:pPr>
      <w:r w:rsidRPr="00C92BDF">
        <w:rPr>
          <w:rFonts w:ascii="Times New Roman" w:eastAsia="Times New Roman" w:hAnsi="Times New Roman" w:cs="Times New Roman"/>
          <w:b/>
          <w:lang w:val="lt-LT"/>
        </w:rPr>
        <w:t>Vaikams ir paaugliams</w:t>
      </w:r>
    </w:p>
    <w:p w14:paraId="049E8D7D"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Mesar</w:t>
      </w:r>
      <w:r w:rsidRPr="000A1801">
        <w:rPr>
          <w:rFonts w:ascii="Times New Roman" w:eastAsia="Times New Roman" w:hAnsi="Times New Roman" w:cs="Times New Roman"/>
          <w:lang w:val="lt-LT"/>
        </w:rPr>
        <w:t xml:space="preserve"> poveikis tirtas vaikams ir suaugusiesiems. Norint gauti daugiau informacijos, pasitarkite su gydytoju. </w:t>
      </w:r>
      <w:r>
        <w:rPr>
          <w:rFonts w:ascii="Times New Roman" w:eastAsia="Times New Roman" w:hAnsi="Times New Roman" w:cs="Times New Roman"/>
          <w:lang w:val="lt-LT"/>
        </w:rPr>
        <w:t>Mesar</w:t>
      </w:r>
      <w:r w:rsidRPr="000A1801">
        <w:rPr>
          <w:rFonts w:ascii="Times New Roman" w:eastAsia="Times New Roman" w:hAnsi="Times New Roman" w:cs="Times New Roman"/>
          <w:lang w:val="lt-LT"/>
        </w:rPr>
        <w:t xml:space="preserve"> nerekomenduojama vartoti vaikams nuo 1 iki 6 metų, draudžiama vartoti vaikams iki 1 metų, nes nėra vartojimo patyrimo.</w:t>
      </w:r>
    </w:p>
    <w:p w14:paraId="51A6B526"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03804A40" w14:textId="77777777" w:rsidR="004125E7" w:rsidRPr="00C92BDF" w:rsidRDefault="004125E7" w:rsidP="004125E7">
      <w:pPr>
        <w:spacing w:after="0" w:line="220" w:lineRule="exact"/>
        <w:rPr>
          <w:rFonts w:ascii="Times New Roman" w:eastAsia="Times New Roman" w:hAnsi="Times New Roman" w:cs="Times New Roman"/>
          <w:b/>
          <w:lang w:val="lt-LT"/>
        </w:rPr>
      </w:pPr>
      <w:r w:rsidRPr="00C92BDF">
        <w:rPr>
          <w:rFonts w:ascii="Times New Roman" w:eastAsia="Times New Roman" w:hAnsi="Times New Roman" w:cs="Times New Roman"/>
          <w:b/>
          <w:lang w:val="lt-LT"/>
        </w:rPr>
        <w:t>Kiti vaistai ir Mesar</w:t>
      </w:r>
    </w:p>
    <w:p w14:paraId="6BAD2BC0" w14:textId="77777777" w:rsidR="004125E7" w:rsidRPr="00C92BDF" w:rsidRDefault="004125E7" w:rsidP="004125E7">
      <w:pPr>
        <w:tabs>
          <w:tab w:val="left" w:pos="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Jeigu vartojate ar neseniai vartojote kitų vaistų arba dėl to nesate tikri, apie tai pasakykite gydytojui arba vaistininkui.</w:t>
      </w:r>
    </w:p>
    <w:p w14:paraId="6D744EEC" w14:textId="77777777" w:rsidR="004125E7" w:rsidRPr="00C92BDF" w:rsidRDefault="004125E7" w:rsidP="004125E7">
      <w:pPr>
        <w:tabs>
          <w:tab w:val="left" w:pos="0"/>
        </w:tabs>
        <w:spacing w:after="0" w:line="240" w:lineRule="auto"/>
        <w:rPr>
          <w:rFonts w:ascii="Times New Roman" w:eastAsia="Times New Roman" w:hAnsi="Times New Roman" w:cs="Times New Roman"/>
          <w:lang w:val="lt-LT"/>
        </w:rPr>
      </w:pPr>
    </w:p>
    <w:p w14:paraId="22049C69" w14:textId="77777777" w:rsidR="004125E7" w:rsidRPr="00C92BDF" w:rsidRDefault="004125E7" w:rsidP="004125E7">
      <w:pPr>
        <w:tabs>
          <w:tab w:val="left" w:pos="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color w:val="222222"/>
          <w:lang w:val="lt-LT"/>
        </w:rPr>
        <w:t xml:space="preserve"> Ypač svarbu pasakyti gydytojui arba vaistininkui apie bet kurį iš šių vaistų:</w:t>
      </w:r>
    </w:p>
    <w:p w14:paraId="25F1388B" w14:textId="77777777" w:rsidR="004125E7" w:rsidRPr="00C92BDF" w:rsidRDefault="004125E7" w:rsidP="004125E7">
      <w:pPr>
        <w:numPr>
          <w:ilvl w:val="0"/>
          <w:numId w:val="6"/>
        </w:numPr>
        <w:tabs>
          <w:tab w:val="left" w:pos="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kitų kraujospūdį mažinančių vaistų, nes tuomet gali sustiprėti Mesar poveikis ir gali padidėti šalutinio poveikio dažnis. Jūsų gydytojui gali tekti pakeisti Jūsų dozę ir (arba) imtis kitų atsargumo priemonių: jeigu vartojate AKF inhibitorių arba aliskireną (taip pat žiūrėkite informaciją, pateiktą poskyriuose „Mesar vartoti negalima“ ir „Įspėjimai ir atsargumo priemonės“);</w:t>
      </w:r>
    </w:p>
    <w:p w14:paraId="32130284" w14:textId="77777777" w:rsidR="004125E7" w:rsidRPr="00C92BDF" w:rsidRDefault="004125E7" w:rsidP="004125E7">
      <w:pPr>
        <w:numPr>
          <w:ilvl w:val="0"/>
          <w:numId w:val="6"/>
        </w:numPr>
        <w:tabs>
          <w:tab w:val="left" w:pos="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noProof/>
          <w:lang w:val="lt-LT"/>
        </w:rPr>
        <w:lastRenderedPageBreak/>
        <w:t>kalio papildų, druskų, kurių sudėtyje yra kalio, vaistų, kurie skatina</w:t>
      </w:r>
      <w:r w:rsidRPr="00C92BDF">
        <w:rPr>
          <w:rFonts w:ascii="Times New Roman" w:eastAsia="Times New Roman" w:hAnsi="Times New Roman" w:cs="Times New Roman"/>
          <w:lang w:val="lt-LT"/>
        </w:rPr>
        <w:t xml:space="preserve"> šlapimo išsiskyrimą (diuretikų) ar heparino (kraują skystinančio vaisto). Vartojant šiuos vaistus kartu su Mesar, Jūsų kraujyje gali padidėti kalio kiekis;</w:t>
      </w:r>
    </w:p>
    <w:p w14:paraId="1E544983" w14:textId="77777777" w:rsidR="004125E7" w:rsidRPr="00C92BDF" w:rsidRDefault="004125E7" w:rsidP="004125E7">
      <w:pPr>
        <w:numPr>
          <w:ilvl w:val="0"/>
          <w:numId w:val="6"/>
        </w:numPr>
        <w:tabs>
          <w:tab w:val="left" w:pos="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ličio preparatų (vaistų, vartojamų esant nuotaikos svyravimui, ar gydyti tam tikroms depresijos formoms), nes juos vartojant kartu su Mesar gali sustiprėti ličio toksinis poveikis. Jei būtina vartoti ličio preparatus, gydytojas paskirs ištirti ličio koncentraciją kraujo serume;</w:t>
      </w:r>
    </w:p>
    <w:p w14:paraId="2294EBFA" w14:textId="77777777" w:rsidR="004125E7" w:rsidRPr="00C92BDF" w:rsidRDefault="004125E7" w:rsidP="004125E7">
      <w:pPr>
        <w:numPr>
          <w:ilvl w:val="0"/>
          <w:numId w:val="6"/>
        </w:numPr>
        <w:tabs>
          <w:tab w:val="left" w:pos="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nesteroidinių vaistų nuo uždegimo (NVNU), vartojamų slopinti skausmui, patinimui ir kitiems uždegimo požymiams, tarp jų ir gydyti artritui, vartojant kartu su Mesar, gali padidėti inkstų nepakankamumo rizika. NVNU gali susilpninti Mesar poveikį;</w:t>
      </w:r>
    </w:p>
    <w:p w14:paraId="462D90F0" w14:textId="77777777" w:rsidR="004125E7" w:rsidRPr="00C92BDF" w:rsidRDefault="004125E7" w:rsidP="004125E7">
      <w:pPr>
        <w:numPr>
          <w:ilvl w:val="0"/>
          <w:numId w:val="6"/>
        </w:numPr>
        <w:tabs>
          <w:tab w:val="left" w:pos="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kolesevelamo hidrochlorido (vaisto, kuris mažina cholesterolio koncentraciją Jūsų kraujyje), nes Mesar poveikis gali būti silpnesnis. Jūsų gydytojas Jums patars vartoti Mesar bent 4 val. prieš geriant kolesevelamo hidrochlorido;</w:t>
      </w:r>
    </w:p>
    <w:p w14:paraId="5D1E2D17" w14:textId="77777777" w:rsidR="004125E7" w:rsidRPr="00C92BDF" w:rsidRDefault="004125E7" w:rsidP="004125E7">
      <w:pPr>
        <w:numPr>
          <w:ilvl w:val="0"/>
          <w:numId w:val="6"/>
        </w:numPr>
        <w:tabs>
          <w:tab w:val="left" w:pos="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kai kurių skrandžio rūgštingumą mažinančių vaistų (vaistų nuo rėmens ir virškinimo sutrikimų), nes gali nežymiai susilpnėti Mesar poveikis.</w:t>
      </w:r>
    </w:p>
    <w:p w14:paraId="69B4A664"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52603EC4" w14:textId="77777777" w:rsidR="004125E7" w:rsidRPr="00C92BDF" w:rsidRDefault="004125E7" w:rsidP="004125E7">
      <w:pPr>
        <w:keepNext/>
        <w:spacing w:after="0" w:line="240" w:lineRule="auto"/>
        <w:outlineLvl w:val="3"/>
        <w:rPr>
          <w:rFonts w:ascii="Times New Roman" w:eastAsia="Times New Roman" w:hAnsi="Times New Roman" w:cs="Times New Roman"/>
          <w:b/>
          <w:lang w:val="lt-LT" w:eastAsia="lt-LT"/>
        </w:rPr>
      </w:pPr>
      <w:r w:rsidRPr="00C92BDF">
        <w:rPr>
          <w:rFonts w:ascii="Times New Roman" w:eastAsia="Times New Roman" w:hAnsi="Times New Roman" w:cs="Times New Roman"/>
          <w:b/>
          <w:lang w:val="lt-LT" w:eastAsia="lt-LT"/>
        </w:rPr>
        <w:t>Mesar vartojimas su maistu ir gėrimais</w:t>
      </w:r>
    </w:p>
    <w:p w14:paraId="5154C962"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Mesar galima vartoti tiek valgant, tiek nevalgius.</w:t>
      </w:r>
    </w:p>
    <w:p w14:paraId="3CBE88D2"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7493C06B" w14:textId="77777777" w:rsidR="004125E7" w:rsidRPr="00C92BDF" w:rsidRDefault="004125E7" w:rsidP="004125E7">
      <w:pPr>
        <w:keepNext/>
        <w:spacing w:after="0" w:line="240" w:lineRule="auto"/>
        <w:outlineLvl w:val="3"/>
        <w:rPr>
          <w:rFonts w:ascii="Times New Roman" w:eastAsia="Times New Roman" w:hAnsi="Times New Roman" w:cs="Times New Roman"/>
          <w:b/>
          <w:lang w:val="lt-LT" w:eastAsia="lt-LT"/>
        </w:rPr>
      </w:pPr>
      <w:r w:rsidRPr="00C92BDF">
        <w:rPr>
          <w:rFonts w:ascii="Times New Roman" w:eastAsia="Times New Roman" w:hAnsi="Times New Roman" w:cs="Times New Roman"/>
          <w:b/>
          <w:lang w:val="lt-LT" w:eastAsia="lt-LT"/>
        </w:rPr>
        <w:t>Nėštumas</w:t>
      </w:r>
      <w:r w:rsidRPr="00C92BDF">
        <w:rPr>
          <w:rFonts w:ascii="Times New Roman" w:eastAsia="Times New Roman" w:hAnsi="Times New Roman" w:cs="Times New Roman"/>
          <w:lang w:val="lt-LT" w:eastAsia="lt-LT"/>
        </w:rPr>
        <w:t xml:space="preserve"> </w:t>
      </w:r>
      <w:r w:rsidRPr="00C92BDF">
        <w:rPr>
          <w:rFonts w:ascii="Times New Roman" w:eastAsia="Times New Roman" w:hAnsi="Times New Roman" w:cs="Times New Roman"/>
          <w:b/>
          <w:lang w:val="lt-LT" w:eastAsia="lt-LT"/>
        </w:rPr>
        <w:t>ir žindymo laikotarpis</w:t>
      </w:r>
    </w:p>
    <w:p w14:paraId="6349CACC" w14:textId="77777777" w:rsidR="004125E7" w:rsidRPr="00C92BDF" w:rsidRDefault="004125E7" w:rsidP="004125E7">
      <w:pPr>
        <w:spacing w:after="0" w:line="240" w:lineRule="auto"/>
        <w:rPr>
          <w:rFonts w:ascii="Times New Roman" w:eastAsia="Times New Roman" w:hAnsi="Times New Roman" w:cs="Times New Roman"/>
          <w:sz w:val="20"/>
          <w:lang w:val="lt-LT" w:eastAsia="lt-LT"/>
        </w:rPr>
      </w:pPr>
    </w:p>
    <w:p w14:paraId="20F5CCC0" w14:textId="77777777" w:rsidR="004125E7" w:rsidRPr="00C92BDF" w:rsidRDefault="004125E7" w:rsidP="004125E7">
      <w:pPr>
        <w:spacing w:after="0" w:line="240" w:lineRule="auto"/>
        <w:rPr>
          <w:rFonts w:ascii="Times New Roman" w:eastAsia="Times New Roman" w:hAnsi="Times New Roman" w:cs="Times New Roman"/>
          <w:sz w:val="20"/>
          <w:lang w:val="lt-LT" w:eastAsia="lt-LT"/>
        </w:rPr>
      </w:pPr>
      <w:r w:rsidRPr="00C92BDF">
        <w:rPr>
          <w:rFonts w:ascii="Times New Roman" w:eastAsia="Times New Roman" w:hAnsi="Times New Roman" w:cs="Times New Roman"/>
          <w:b/>
          <w:lang w:val="lt-LT" w:eastAsia="lt-LT"/>
        </w:rPr>
        <w:t>Nėštumas</w:t>
      </w:r>
    </w:p>
    <w:p w14:paraId="10BCB706" w14:textId="77777777" w:rsidR="004125E7" w:rsidRPr="00C92BDF" w:rsidRDefault="004125E7" w:rsidP="004125E7">
      <w:pPr>
        <w:spacing w:after="0" w:line="240" w:lineRule="auto"/>
        <w:rPr>
          <w:rFonts w:ascii="Times New Roman" w:eastAsia="Times New Roman" w:hAnsi="Times New Roman" w:cs="Times New Roman"/>
          <w:lang w:val="lt-LT" w:eastAsia="lt-LT"/>
        </w:rPr>
      </w:pPr>
      <w:r w:rsidRPr="00C92BDF">
        <w:rPr>
          <w:rFonts w:ascii="Times New Roman" w:eastAsia="Times New Roman" w:hAnsi="Times New Roman" w:cs="Times New Roman"/>
          <w:lang w:val="lt-LT" w:eastAsia="lt-LT"/>
        </w:rPr>
        <w:t>Jeigu esate nėščia, žindote kūdikį, manote, kad galbūt esate nėščia arba planuojate pastoti, tai prieš vartodama šį vaistą pasitarkite su gydytoju.</w:t>
      </w:r>
    </w:p>
    <w:p w14:paraId="32C6096B" w14:textId="77777777" w:rsidR="004125E7" w:rsidRPr="00C92BDF" w:rsidRDefault="004125E7" w:rsidP="004125E7">
      <w:pPr>
        <w:spacing w:after="0" w:line="240" w:lineRule="auto"/>
        <w:rPr>
          <w:rFonts w:ascii="Times New Roman" w:eastAsia="Times New Roman" w:hAnsi="Times New Roman" w:cs="Times New Roman"/>
          <w:lang w:val="lt-LT" w:eastAsia="lt-LT"/>
        </w:rPr>
      </w:pPr>
      <w:r w:rsidRPr="00C92BDF">
        <w:rPr>
          <w:rFonts w:ascii="Times New Roman" w:eastAsia="Times New Roman" w:hAnsi="Times New Roman" w:cs="Times New Roman"/>
          <w:lang w:val="lt-LT" w:eastAsia="lt-LT"/>
        </w:rPr>
        <w:t>Gydytojas lieps Jums nebevartoti Mesar prieš planuojant pastoti arba iš karto sužinojus apie nėštumą, ir vietoje jo paskirs kitą vaistą. Mesar yra nerekomenduojamas ankstyvojo nėštumo laikotarpiu ir negali būti vartojamas, jei esate daugiau kaip tris mėnesius nėščia, nes tuomet jis gali labai pakenkti Jūsų kūdikiui.</w:t>
      </w:r>
    </w:p>
    <w:p w14:paraId="72641619" w14:textId="77777777" w:rsidR="004125E7" w:rsidRPr="00C92BDF" w:rsidRDefault="004125E7" w:rsidP="004125E7">
      <w:pPr>
        <w:spacing w:after="0" w:line="240" w:lineRule="auto"/>
        <w:rPr>
          <w:rFonts w:ascii="Times New Roman" w:eastAsia="Times New Roman" w:hAnsi="Times New Roman" w:cs="Times New Roman"/>
          <w:lang w:val="lt-LT" w:eastAsia="lt-LT"/>
        </w:rPr>
      </w:pPr>
    </w:p>
    <w:p w14:paraId="04B0C12F" w14:textId="77777777" w:rsidR="004125E7" w:rsidRPr="00C92BDF" w:rsidRDefault="004125E7" w:rsidP="004125E7">
      <w:pPr>
        <w:spacing w:after="0" w:line="240" w:lineRule="auto"/>
        <w:rPr>
          <w:rFonts w:ascii="Times New Roman" w:eastAsia="Times New Roman" w:hAnsi="Times New Roman" w:cs="Times New Roman"/>
          <w:b/>
          <w:lang w:val="lt-LT" w:eastAsia="lt-LT"/>
        </w:rPr>
      </w:pPr>
      <w:r w:rsidRPr="00C92BDF">
        <w:rPr>
          <w:rFonts w:ascii="Times New Roman" w:eastAsia="Times New Roman" w:hAnsi="Times New Roman" w:cs="Times New Roman"/>
          <w:b/>
          <w:lang w:val="lt-LT" w:eastAsia="lt-LT"/>
        </w:rPr>
        <w:t>Žindymas</w:t>
      </w:r>
    </w:p>
    <w:p w14:paraId="0BEFE48B"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Pasakykite savo gydytojui, jei maitinate krūtimi ar ruošiatės pradėti tai daryti. Mesar nerekomenduojamas krūtimi maitinančioms motinoms; jei motina nori maitinti krūtimi, gydytojas gali paskirti kitą vaistą, ypač jei naujagimis gimė prieš laiką.</w:t>
      </w:r>
    </w:p>
    <w:p w14:paraId="0D1F7261"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0A73AA77"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noProof/>
          <w:lang w:val="lt-LT"/>
        </w:rPr>
        <w:t>Jeigu esate nėščia, žindote kūdikį, manote, kad galbūt esate nėščia, arba planuojate pastoti, tai prieš vartodama šį vaistą, pasitarkite</w:t>
      </w:r>
      <w:r w:rsidRPr="00C92BDF">
        <w:rPr>
          <w:rFonts w:ascii="Times New Roman" w:eastAsia="Times New Roman" w:hAnsi="Times New Roman" w:cs="Times New Roman"/>
          <w:lang w:val="lt-LT"/>
        </w:rPr>
        <w:t xml:space="preserve"> su gydytoju arba vaistininku.</w:t>
      </w:r>
    </w:p>
    <w:p w14:paraId="125F45B0"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6C013C17" w14:textId="77777777" w:rsidR="004125E7" w:rsidRPr="00C92BDF" w:rsidRDefault="004125E7" w:rsidP="004125E7">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C92BDF">
        <w:rPr>
          <w:rFonts w:ascii="Times New Roman" w:eastAsia="Times New Roman" w:hAnsi="Times New Roman" w:cs="Times New Roman"/>
          <w:b/>
          <w:kern w:val="28"/>
          <w:lang w:val="lt-LT"/>
        </w:rPr>
        <w:t>Vairavimas ir mechanizmų valdymas</w:t>
      </w:r>
    </w:p>
    <w:p w14:paraId="066B1F51"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Vartojant vaistus nuo padidėjusio kraujospūdžio, gali atsirasti mieguistumas ir galvos svaigimas. Nevairuokite ir nevaldykite mechanizmų, kol šie simptomai išnyks. Prieš imdamiesi minėtos veiklos pasitarkite su gydytoju.</w:t>
      </w:r>
    </w:p>
    <w:p w14:paraId="569D1BB3"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643C817C" w14:textId="77777777" w:rsidR="004125E7" w:rsidRPr="00C92BDF" w:rsidRDefault="004125E7" w:rsidP="004125E7">
      <w:pPr>
        <w:spacing w:after="0" w:line="240" w:lineRule="auto"/>
        <w:rPr>
          <w:rFonts w:ascii="Times New Roman" w:eastAsia="Times New Roman" w:hAnsi="Times New Roman" w:cs="Times New Roman"/>
          <w:b/>
          <w:bCs/>
          <w:lang w:val="lt-LT"/>
        </w:rPr>
      </w:pPr>
      <w:r w:rsidRPr="00C92BDF">
        <w:rPr>
          <w:rFonts w:ascii="Times New Roman" w:eastAsia="Times New Roman" w:hAnsi="Times New Roman" w:cs="Times New Roman"/>
          <w:b/>
          <w:lang w:val="lt-LT"/>
        </w:rPr>
        <w:t>Mesar</w:t>
      </w:r>
      <w:r w:rsidRPr="00C92BDF">
        <w:rPr>
          <w:rFonts w:ascii="Times New Roman" w:eastAsia="Times New Roman" w:hAnsi="Times New Roman" w:cs="Times New Roman"/>
          <w:b/>
          <w:bCs/>
          <w:lang w:val="lt-LT"/>
        </w:rPr>
        <w:t xml:space="preserve"> sudėtyje yra laktozės</w:t>
      </w:r>
    </w:p>
    <w:p w14:paraId="00405BA0"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Mesar sudėtyje yra laktozės (vienos iš cukraus rūšių). Jeigu gydytojas Jums yra sakęs, kad netoleruojate kokių nors angliavandenių, kreipkitės į jį prieš pradėdami vartoti šį vaistą.</w:t>
      </w:r>
    </w:p>
    <w:p w14:paraId="4007B9FB"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03769626"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776AE7FF" w14:textId="77777777" w:rsidR="004125E7" w:rsidRPr="00C92BDF" w:rsidRDefault="004125E7" w:rsidP="004125E7">
      <w:pPr>
        <w:keepNext/>
        <w:tabs>
          <w:tab w:val="left" w:pos="567"/>
        </w:tabs>
        <w:spacing w:after="0" w:line="240" w:lineRule="auto"/>
        <w:outlineLvl w:val="1"/>
        <w:rPr>
          <w:rFonts w:ascii="Times New Roman" w:eastAsia="Times New Roman" w:hAnsi="Times New Roman" w:cs="Times New Roman"/>
          <w:b/>
          <w:lang w:val="lt-LT"/>
        </w:rPr>
      </w:pPr>
      <w:r w:rsidRPr="00C92BDF">
        <w:rPr>
          <w:rFonts w:ascii="Times New Roman" w:eastAsia="Times New Roman" w:hAnsi="Times New Roman" w:cs="Times New Roman"/>
          <w:b/>
          <w:lang w:val="lt-LT"/>
        </w:rPr>
        <w:t>3.</w:t>
      </w:r>
      <w:r w:rsidRPr="00C92BDF">
        <w:rPr>
          <w:rFonts w:ascii="Times New Roman" w:eastAsia="Times New Roman" w:hAnsi="Times New Roman" w:cs="Times New Roman"/>
          <w:b/>
          <w:lang w:val="lt-LT"/>
        </w:rPr>
        <w:tab/>
        <w:t xml:space="preserve">Kaip vartoti Mesar </w:t>
      </w:r>
    </w:p>
    <w:p w14:paraId="5B532AAE"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20993798"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 xml:space="preserve">Visada vartokite šį vaistą tiksliai, kaip nurodė gydytojas. Jeigu abejojate, kreipkitės į gydytoją arba vaistininką. </w:t>
      </w:r>
    </w:p>
    <w:p w14:paraId="30F688A7"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7CE53E9D" w14:textId="77777777" w:rsidR="004125E7" w:rsidRPr="00C92BDF" w:rsidRDefault="004125E7" w:rsidP="004125E7">
      <w:pPr>
        <w:spacing w:after="0" w:line="240" w:lineRule="auto"/>
        <w:rPr>
          <w:rFonts w:ascii="Times New Roman" w:eastAsia="Times New Roman" w:hAnsi="Times New Roman" w:cs="Times New Roman"/>
          <w:bCs/>
          <w:i/>
          <w:lang w:val="lt-LT"/>
        </w:rPr>
      </w:pPr>
      <w:r w:rsidRPr="00C92BDF">
        <w:rPr>
          <w:rFonts w:ascii="Times New Roman" w:eastAsia="Times New Roman" w:hAnsi="Times New Roman" w:cs="Times New Roman"/>
          <w:bCs/>
          <w:i/>
          <w:lang w:val="lt-LT"/>
        </w:rPr>
        <w:t>Suaugusiems žmonėms</w:t>
      </w:r>
    </w:p>
    <w:p w14:paraId="01A005F9"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Rekomenduojama dozė vartojimo pradžioje yra 10 mg vieną kartą per parą. Tačiau jei Jūsų kraujospūdis lieka nenormalus, Jūsų gydytojas gali nuspręsti padidinti dozę iki 20 ar 40 mg vieną kartą per parą arba paskirti vartoti dar kitų vaistų.</w:t>
      </w:r>
    </w:p>
    <w:p w14:paraId="7311DB86" w14:textId="77777777" w:rsidR="004125E7" w:rsidRPr="00C92BDF" w:rsidRDefault="004125E7" w:rsidP="004125E7">
      <w:pPr>
        <w:tabs>
          <w:tab w:val="left" w:pos="567"/>
        </w:tabs>
        <w:spacing w:after="0" w:line="240" w:lineRule="auto"/>
        <w:rPr>
          <w:rFonts w:ascii="Times New Roman" w:eastAsia="Times New Roman" w:hAnsi="Times New Roman" w:cs="Times New Roman"/>
          <w:lang w:val="lt-LT"/>
        </w:rPr>
      </w:pPr>
    </w:p>
    <w:p w14:paraId="0F1F9B1F" w14:textId="77777777" w:rsidR="004125E7" w:rsidRPr="00C92BDF" w:rsidRDefault="004125E7" w:rsidP="004125E7">
      <w:pPr>
        <w:spacing w:after="0" w:line="240" w:lineRule="auto"/>
        <w:rPr>
          <w:rFonts w:ascii="Times New Roman" w:eastAsia="Times New Roman" w:hAnsi="Times New Roman" w:cs="Times New Roman"/>
          <w:i/>
          <w:iCs/>
          <w:lang w:val="lt-LT"/>
        </w:rPr>
      </w:pPr>
      <w:r w:rsidRPr="00C92BDF">
        <w:rPr>
          <w:rFonts w:ascii="Times New Roman" w:eastAsia="Times New Roman" w:hAnsi="Times New Roman" w:cs="Times New Roman"/>
          <w:i/>
          <w:iCs/>
          <w:lang w:val="lt-LT"/>
        </w:rPr>
        <w:t>Žmonėms, kurių inkstų veikla sutrikusi</w:t>
      </w:r>
    </w:p>
    <w:p w14:paraId="4A8EA171" w14:textId="77777777" w:rsidR="004125E7" w:rsidRPr="00C92BDF" w:rsidRDefault="004125E7" w:rsidP="004125E7">
      <w:pPr>
        <w:tabs>
          <w:tab w:val="left" w:pos="56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lastRenderedPageBreak/>
        <w:t>Jei Jums nustatyta lengva arba vidutinio sunkumo inkstų liga, Jūsų dozė negali būti didesnė nei 20 mg vieną kartą per parą.</w:t>
      </w:r>
    </w:p>
    <w:p w14:paraId="5CD45A32" w14:textId="77777777" w:rsidR="004125E7" w:rsidRPr="00C92BDF" w:rsidRDefault="004125E7" w:rsidP="004125E7">
      <w:pPr>
        <w:tabs>
          <w:tab w:val="left" w:pos="567"/>
        </w:tabs>
        <w:spacing w:after="0" w:line="240" w:lineRule="auto"/>
        <w:rPr>
          <w:rFonts w:ascii="Times New Roman" w:eastAsia="Times New Roman" w:hAnsi="Times New Roman" w:cs="Times New Roman"/>
          <w:lang w:val="lt-LT"/>
        </w:rPr>
      </w:pPr>
    </w:p>
    <w:p w14:paraId="59950A74" w14:textId="77777777" w:rsidR="004125E7" w:rsidRPr="00C92BDF" w:rsidRDefault="004125E7" w:rsidP="004125E7">
      <w:pPr>
        <w:spacing w:after="0" w:line="240" w:lineRule="auto"/>
        <w:rPr>
          <w:rFonts w:ascii="Times New Roman" w:eastAsia="Times New Roman" w:hAnsi="Times New Roman" w:cs="Times New Roman"/>
          <w:i/>
          <w:iCs/>
          <w:lang w:val="lt-LT"/>
        </w:rPr>
      </w:pPr>
      <w:r w:rsidRPr="00C92BDF">
        <w:rPr>
          <w:rFonts w:ascii="Times New Roman" w:eastAsia="Times New Roman" w:hAnsi="Times New Roman" w:cs="Times New Roman"/>
          <w:i/>
          <w:iCs/>
          <w:lang w:val="lt-LT"/>
        </w:rPr>
        <w:t>Žmonėms, kurių kepenų veikla sutrikusi</w:t>
      </w:r>
    </w:p>
    <w:p w14:paraId="45BED942" w14:textId="77777777" w:rsidR="004125E7" w:rsidRPr="00C92BDF" w:rsidRDefault="004125E7" w:rsidP="004125E7">
      <w:pPr>
        <w:tabs>
          <w:tab w:val="left" w:pos="56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Jei Jums nustatytas lengvas kepenų veiklos sutrikimas, dozės koreguoti nereikia. Jeigu vidutinio sunkumo kepenų veiklos sutrikimas, iš pradžių patariama vartoti po 10 mg, o didžiausia dozė neturi viršyti 20 mg vieną kartą per parą. Jeigu Jūs abejojate dėl savo kepenų veiklos, pasikonsultuokite su savo gydytoju prieš pradėdami vartoti olmesartano medoksomilį.</w:t>
      </w:r>
    </w:p>
    <w:p w14:paraId="45A1A001" w14:textId="77777777" w:rsidR="004125E7" w:rsidRPr="00C92BDF" w:rsidRDefault="004125E7" w:rsidP="004125E7">
      <w:pPr>
        <w:tabs>
          <w:tab w:val="left" w:pos="567"/>
        </w:tabs>
        <w:spacing w:after="0" w:line="240" w:lineRule="auto"/>
        <w:rPr>
          <w:rFonts w:ascii="Times New Roman" w:eastAsia="Times New Roman" w:hAnsi="Times New Roman" w:cs="Times New Roman"/>
          <w:lang w:val="lt-LT"/>
        </w:rPr>
      </w:pPr>
    </w:p>
    <w:p w14:paraId="648416D6" w14:textId="77777777" w:rsidR="004125E7" w:rsidRPr="006E648A" w:rsidRDefault="004125E7" w:rsidP="004125E7">
      <w:pPr>
        <w:autoSpaceDE w:val="0"/>
        <w:autoSpaceDN w:val="0"/>
        <w:spacing w:after="0" w:line="240" w:lineRule="auto"/>
        <w:rPr>
          <w:rFonts w:ascii="Times New Roman" w:eastAsia="MS Mincho" w:hAnsi="Times New Roman" w:cs="Times New Roman"/>
          <w:b/>
          <w:shd w:val="clear" w:color="auto" w:fill="FFFFFF"/>
          <w:lang w:val="lt-LT" w:eastAsia="ja-JP"/>
        </w:rPr>
      </w:pPr>
      <w:r w:rsidRPr="006E648A">
        <w:rPr>
          <w:rFonts w:ascii="Times New Roman" w:eastAsia="MS Mincho" w:hAnsi="Times New Roman" w:cs="Times New Roman"/>
          <w:b/>
          <w:shd w:val="clear" w:color="auto" w:fill="FFFFFF"/>
          <w:lang w:val="lt-LT" w:eastAsia="ja-JP"/>
        </w:rPr>
        <w:t>Vaikai ir paaugliai nuo 6 iki 18 metų</w:t>
      </w:r>
    </w:p>
    <w:p w14:paraId="3A6CECBB" w14:textId="77777777" w:rsidR="004125E7" w:rsidRPr="00C92BDF" w:rsidRDefault="004125E7" w:rsidP="004125E7">
      <w:pPr>
        <w:tabs>
          <w:tab w:val="left" w:pos="567"/>
        </w:tabs>
        <w:spacing w:after="0" w:line="240" w:lineRule="auto"/>
        <w:rPr>
          <w:rFonts w:ascii="Times New Roman" w:eastAsia="Times New Roman" w:hAnsi="Times New Roman" w:cs="Times New Roman"/>
          <w:lang w:val="lt-LT"/>
        </w:rPr>
      </w:pPr>
      <w:r w:rsidRPr="006E648A">
        <w:rPr>
          <w:rFonts w:ascii="Times New Roman" w:eastAsia="MS Mincho" w:hAnsi="Times New Roman" w:cs="Times New Roman"/>
          <w:shd w:val="clear" w:color="auto" w:fill="FFFFFF"/>
          <w:lang w:val="lt-LT" w:eastAsia="ja-JP"/>
        </w:rPr>
        <w:t xml:space="preserve">Rekomenduojama pradinė dozė yra 10 mg vieną kartą per parą. Vaikams, kurių kraujospūdis vartojant šią </w:t>
      </w:r>
      <w:r>
        <w:rPr>
          <w:rFonts w:ascii="Times New Roman" w:eastAsia="MS Mincho" w:hAnsi="Times New Roman" w:cs="Times New Roman"/>
          <w:shd w:val="clear" w:color="auto" w:fill="FFFFFF"/>
          <w:lang w:val="lt-LT" w:eastAsia="ja-JP"/>
        </w:rPr>
        <w:t>dozę tinkamai nekontroliuojamas,</w:t>
      </w:r>
      <w:r w:rsidRPr="006E648A">
        <w:rPr>
          <w:rFonts w:ascii="Times New Roman" w:eastAsia="MS Mincho" w:hAnsi="Times New Roman" w:cs="Times New Roman"/>
          <w:shd w:val="clear" w:color="auto" w:fill="FFFFFF"/>
          <w:lang w:val="lt-LT" w:eastAsia="ja-JP"/>
        </w:rPr>
        <w:t xml:space="preserve"> gydytojas gali padidinti dozę iki 20 mg arba 40 mg vieną kartą per parą. Vaikams, kurių kūno svoris &lt; 35 kg, negalima viršyti 20 mg vieną kartą per parą</w:t>
      </w:r>
      <w:r>
        <w:rPr>
          <w:rFonts w:ascii="Times New Roman" w:eastAsia="MS Mincho" w:hAnsi="Times New Roman" w:cs="Times New Roman"/>
          <w:shd w:val="clear" w:color="auto" w:fill="FFFFFF"/>
          <w:lang w:val="lt-LT" w:eastAsia="ja-JP"/>
        </w:rPr>
        <w:t xml:space="preserve"> </w:t>
      </w:r>
      <w:r w:rsidRPr="006E648A">
        <w:rPr>
          <w:rFonts w:ascii="Times New Roman" w:eastAsia="MS Mincho" w:hAnsi="Times New Roman" w:cs="Times New Roman"/>
          <w:shd w:val="clear" w:color="auto" w:fill="FFFFFF"/>
          <w:lang w:val="lt-LT" w:eastAsia="ja-JP"/>
        </w:rPr>
        <w:t>dozės.</w:t>
      </w:r>
    </w:p>
    <w:p w14:paraId="7FC2855E" w14:textId="77777777" w:rsidR="004125E7" w:rsidRPr="00C92BDF" w:rsidRDefault="004125E7" w:rsidP="004125E7">
      <w:pPr>
        <w:tabs>
          <w:tab w:val="left" w:pos="567"/>
        </w:tabs>
        <w:spacing w:after="0" w:line="240" w:lineRule="auto"/>
        <w:rPr>
          <w:rFonts w:ascii="Times New Roman" w:eastAsia="Times New Roman" w:hAnsi="Times New Roman" w:cs="Times New Roman"/>
          <w:lang w:val="lt-LT"/>
        </w:rPr>
      </w:pPr>
    </w:p>
    <w:p w14:paraId="64835345" w14:textId="77777777" w:rsidR="004125E7" w:rsidRPr="00C92BDF" w:rsidRDefault="004125E7" w:rsidP="004125E7">
      <w:pPr>
        <w:tabs>
          <w:tab w:val="left" w:pos="567"/>
        </w:tabs>
        <w:spacing w:after="0" w:line="240" w:lineRule="auto"/>
        <w:rPr>
          <w:rFonts w:ascii="Times New Roman" w:eastAsia="Times New Roman" w:hAnsi="Times New Roman" w:cs="Times New Roman"/>
          <w:u w:val="single"/>
          <w:lang w:val="lt-LT"/>
        </w:rPr>
      </w:pPr>
      <w:r w:rsidRPr="00C92BDF">
        <w:rPr>
          <w:rFonts w:ascii="Times New Roman" w:eastAsia="Times New Roman" w:hAnsi="Times New Roman" w:cs="Times New Roman"/>
          <w:u w:val="single"/>
          <w:lang w:val="lt-LT"/>
        </w:rPr>
        <w:t>Vartojimo būdas</w:t>
      </w:r>
    </w:p>
    <w:p w14:paraId="1D1E5C1B" w14:textId="77777777" w:rsidR="004125E7" w:rsidRPr="00C92BDF" w:rsidRDefault="004125E7" w:rsidP="004125E7">
      <w:pPr>
        <w:tabs>
          <w:tab w:val="left" w:pos="56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Mesar galima gerti tiek valgant, tiek nevalgius. Tabletes nurykite nekramtytas, užsigerdami nedideliu vandens kiekiu (pvz. stikline). Jei įmanoma, paros dozę kasdien patartina gerti tokiu pačiu paros metu, pvz., pusryčiaujant.</w:t>
      </w:r>
    </w:p>
    <w:p w14:paraId="30C029B6" w14:textId="77777777" w:rsidR="004125E7" w:rsidRPr="00C92BDF" w:rsidRDefault="004125E7" w:rsidP="004125E7">
      <w:pPr>
        <w:tabs>
          <w:tab w:val="left" w:pos="567"/>
        </w:tabs>
        <w:spacing w:after="0" w:line="240" w:lineRule="auto"/>
        <w:rPr>
          <w:rFonts w:ascii="Times New Roman" w:eastAsia="Times New Roman" w:hAnsi="Times New Roman" w:cs="Times New Roman"/>
          <w:lang w:val="lt-LT"/>
        </w:rPr>
      </w:pPr>
    </w:p>
    <w:p w14:paraId="570D03E8" w14:textId="77777777" w:rsidR="004125E7" w:rsidRPr="00C92BDF" w:rsidRDefault="004125E7" w:rsidP="004125E7">
      <w:pPr>
        <w:keepNext/>
        <w:tabs>
          <w:tab w:val="left" w:pos="567"/>
        </w:tabs>
        <w:spacing w:after="0" w:line="240" w:lineRule="auto"/>
        <w:outlineLvl w:val="1"/>
        <w:rPr>
          <w:rFonts w:ascii="Times New Roman" w:eastAsia="Times New Roman" w:hAnsi="Times New Roman" w:cs="Times New Roman"/>
          <w:b/>
          <w:lang w:val="lt-LT"/>
        </w:rPr>
      </w:pPr>
      <w:r w:rsidRPr="00C92BDF">
        <w:rPr>
          <w:rFonts w:ascii="Times New Roman" w:eastAsia="Times New Roman" w:hAnsi="Times New Roman" w:cs="Times New Roman"/>
          <w:b/>
          <w:lang w:val="lt-LT"/>
        </w:rPr>
        <w:t xml:space="preserve">Ką daryti </w:t>
      </w:r>
      <w:r w:rsidRPr="00C92BDF">
        <w:rPr>
          <w:rFonts w:ascii="Times New Roman" w:eastAsia="Times New Roman" w:hAnsi="Times New Roman" w:cs="Times New Roman"/>
          <w:b/>
          <w:noProof/>
          <w:lang w:val="lt-LT"/>
        </w:rPr>
        <w:t>pavartojus per didelę Mesar dozę?</w:t>
      </w:r>
    </w:p>
    <w:p w14:paraId="295BBE7D"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Jei iš karto išgėrėte daugiau Mesar tablečių negu reikia, arba jei vaisto atsitiktinai nurijo vaikas, nedelsdami kreipkitės į gydytoją arba artimiausios ligoninės skubios medicinos pagalbos skyrių. Su savimi pasiimkite vaisto pakuotę.</w:t>
      </w:r>
    </w:p>
    <w:p w14:paraId="3FA787C5"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1910598D" w14:textId="77777777" w:rsidR="004125E7" w:rsidRPr="00C92BDF" w:rsidRDefault="004125E7" w:rsidP="004125E7">
      <w:pPr>
        <w:keepNext/>
        <w:tabs>
          <w:tab w:val="left" w:pos="567"/>
        </w:tabs>
        <w:spacing w:after="0" w:line="240" w:lineRule="auto"/>
        <w:outlineLvl w:val="1"/>
        <w:rPr>
          <w:rFonts w:ascii="Times New Roman" w:eastAsia="Times New Roman" w:hAnsi="Times New Roman" w:cs="Times New Roman"/>
          <w:b/>
          <w:lang w:val="lt-LT"/>
        </w:rPr>
      </w:pPr>
      <w:r w:rsidRPr="00C92BDF">
        <w:rPr>
          <w:rFonts w:ascii="Times New Roman" w:eastAsia="Times New Roman" w:hAnsi="Times New Roman" w:cs="Times New Roman"/>
          <w:b/>
          <w:lang w:val="lt-LT"/>
        </w:rPr>
        <w:t>Pamiršus pavartoti Mesar</w:t>
      </w:r>
    </w:p>
    <w:p w14:paraId="2348268E"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 xml:space="preserve">Pamiršus pavartoti Mesar, išgerkite įprastą dozę kitą dieną įprastu laiku. </w:t>
      </w:r>
    </w:p>
    <w:p w14:paraId="21FBCF22" w14:textId="77777777" w:rsidR="004125E7" w:rsidRPr="00C92BDF" w:rsidRDefault="004125E7" w:rsidP="004125E7">
      <w:pPr>
        <w:spacing w:after="0" w:line="240" w:lineRule="auto"/>
        <w:jc w:val="both"/>
        <w:rPr>
          <w:rFonts w:ascii="Times New Roman" w:eastAsia="Times New Roman" w:hAnsi="Times New Roman" w:cs="Times New Roman"/>
          <w:lang w:val="it-IT" w:eastAsia="lt-LT"/>
        </w:rPr>
      </w:pPr>
      <w:r w:rsidRPr="00C92BDF">
        <w:rPr>
          <w:rFonts w:ascii="Times New Roman" w:eastAsia="Times New Roman" w:hAnsi="Times New Roman" w:cs="Times New Roman"/>
          <w:lang w:val="it-IT" w:eastAsia="lt-LT"/>
        </w:rPr>
        <w:t>Negalima vartoti papildomų tablečių norint kompensuoti praleistą dozę.</w:t>
      </w:r>
    </w:p>
    <w:p w14:paraId="54461202"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1F2DBB95" w14:textId="77777777" w:rsidR="004125E7" w:rsidRPr="00C92BDF" w:rsidRDefault="004125E7" w:rsidP="004125E7">
      <w:pPr>
        <w:keepNext/>
        <w:tabs>
          <w:tab w:val="left" w:pos="567"/>
        </w:tabs>
        <w:spacing w:after="0" w:line="240" w:lineRule="auto"/>
        <w:outlineLvl w:val="1"/>
        <w:rPr>
          <w:rFonts w:ascii="Times New Roman" w:eastAsia="Times New Roman" w:hAnsi="Times New Roman" w:cs="Times New Roman"/>
          <w:b/>
          <w:lang w:val="lt-LT"/>
        </w:rPr>
      </w:pPr>
      <w:r w:rsidRPr="00C92BDF">
        <w:rPr>
          <w:rFonts w:ascii="Times New Roman" w:eastAsia="Times New Roman" w:hAnsi="Times New Roman" w:cs="Times New Roman"/>
          <w:b/>
          <w:lang w:val="lt-LT"/>
        </w:rPr>
        <w:t>Nustojus vartoti Mesar</w:t>
      </w:r>
    </w:p>
    <w:p w14:paraId="38820956"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Svarbu vartoti Mesar tol, kol gydytojas nenurodys nustoti vartoti.</w:t>
      </w:r>
    </w:p>
    <w:p w14:paraId="6FAD09A5"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5C58043D"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Jeigu kiltų daugiau klausimų dėl šio vaisto vartojimo, kreipkitės į gydytoją arba vaistininką.</w:t>
      </w:r>
    </w:p>
    <w:p w14:paraId="37A77765"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2E9C325D"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3944D701" w14:textId="77777777" w:rsidR="004125E7" w:rsidRPr="00C92BDF" w:rsidRDefault="004125E7" w:rsidP="004125E7">
      <w:pPr>
        <w:keepNext/>
        <w:tabs>
          <w:tab w:val="left" w:pos="567"/>
        </w:tabs>
        <w:spacing w:after="0" w:line="240" w:lineRule="auto"/>
        <w:outlineLvl w:val="1"/>
        <w:rPr>
          <w:rFonts w:ascii="Times New Roman" w:eastAsia="Times New Roman" w:hAnsi="Times New Roman" w:cs="Times New Roman"/>
          <w:b/>
          <w:lang w:val="lt-LT"/>
        </w:rPr>
      </w:pPr>
      <w:r w:rsidRPr="00C92BDF">
        <w:rPr>
          <w:rFonts w:ascii="Times New Roman" w:eastAsia="Times New Roman" w:hAnsi="Times New Roman" w:cs="Times New Roman"/>
          <w:b/>
          <w:lang w:val="lt-LT"/>
        </w:rPr>
        <w:t>4.</w:t>
      </w:r>
      <w:r w:rsidRPr="00C92BDF">
        <w:rPr>
          <w:rFonts w:ascii="Times New Roman" w:eastAsia="Times New Roman" w:hAnsi="Times New Roman" w:cs="Times New Roman"/>
          <w:b/>
          <w:lang w:val="lt-LT"/>
        </w:rPr>
        <w:tab/>
        <w:t>Galimas šalutinis poveikis</w:t>
      </w:r>
    </w:p>
    <w:p w14:paraId="20F90434"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0C22F345"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Šis vaistas, kaip ir visi kiti, gali sukelti šalutinį poveikį, nors jis pasireiškia ne visiems žmonėms.</w:t>
      </w:r>
    </w:p>
    <w:p w14:paraId="33DB5045"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Jei jis pasireiškia, dažniausiai būna silpnas ir dėl to vaisto vartojimo nutraukti neprireikia.</w:t>
      </w:r>
    </w:p>
    <w:p w14:paraId="7FA3355D"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334329DF"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Nors pasitaiko tik nedaugeliui ligonių, toliau paminėti šalutinio poveikio požymiai gali būti sunkūs.</w:t>
      </w:r>
    </w:p>
    <w:p w14:paraId="32AA17DE"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426280E8" w14:textId="77777777" w:rsidR="004125E7" w:rsidRPr="00C92BDF" w:rsidRDefault="004125E7" w:rsidP="004125E7">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i/>
          <w:lang w:val="lt-LT"/>
        </w:rPr>
        <w:t>Retai (gali pasireikšti iki 1 iš 1000 pacientų)</w:t>
      </w:r>
      <w:r w:rsidRPr="00C92BDF">
        <w:rPr>
          <w:rFonts w:ascii="Times New Roman" w:eastAsia="Times New Roman" w:hAnsi="Times New Roman" w:cs="Times New Roman"/>
          <w:lang w:val="lt-LT"/>
        </w:rPr>
        <w:t xml:space="preserve"> pasitaiko tokios alerginės reakcijos, kurios gali pasireikšti visame kūne: gydymo Mesar metu gali atsirasti veido, burnos, liežuvio ir (arba) gerklų patinimas kartu su niežuliu ir išbėrimu. </w:t>
      </w:r>
      <w:r w:rsidRPr="00C92BDF">
        <w:rPr>
          <w:rFonts w:ascii="Times New Roman" w:eastAsia="Times New Roman" w:hAnsi="Times New Roman" w:cs="Times New Roman"/>
          <w:b/>
          <w:lang w:val="lt-LT"/>
        </w:rPr>
        <w:t>Jei taip nutiko, nutraukite Mesar vartojimą ir nedelsiant kreipkitės į gydytoją.</w:t>
      </w:r>
    </w:p>
    <w:p w14:paraId="57F81547" w14:textId="77777777" w:rsidR="004125E7" w:rsidRPr="00C92BDF" w:rsidRDefault="004125E7" w:rsidP="004125E7">
      <w:pPr>
        <w:spacing w:after="0" w:line="240" w:lineRule="auto"/>
        <w:rPr>
          <w:rFonts w:ascii="Times New Roman" w:eastAsia="Times New Roman" w:hAnsi="Times New Roman" w:cs="Times New Roman"/>
          <w:lang w:val="lt-LT"/>
        </w:rPr>
      </w:pPr>
    </w:p>
    <w:p w14:paraId="63552C31" w14:textId="77777777" w:rsidR="004125E7" w:rsidRPr="00C92BDF" w:rsidRDefault="004125E7" w:rsidP="004125E7">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bCs/>
          <w:i/>
          <w:lang w:val="lt-LT"/>
        </w:rPr>
        <w:t>Retai (gali pasireikšti iki 1 iš 1000 pacientų)</w:t>
      </w:r>
      <w:r w:rsidRPr="00C92BDF">
        <w:rPr>
          <w:rFonts w:ascii="Times New Roman" w:eastAsia="Times New Roman" w:hAnsi="Times New Roman" w:cs="Times New Roman"/>
          <w:lang w:val="lt-LT"/>
        </w:rPr>
        <w:t>,</w:t>
      </w:r>
      <w:r w:rsidRPr="00C92BDF">
        <w:rPr>
          <w:rFonts w:ascii="Times New Roman" w:eastAsia="Times New Roman" w:hAnsi="Times New Roman" w:cs="Times New Roman"/>
          <w:i/>
          <w:lang w:val="lt-LT"/>
        </w:rPr>
        <w:t xml:space="preserve"> </w:t>
      </w:r>
      <w:r w:rsidRPr="00C92BDF">
        <w:rPr>
          <w:rFonts w:ascii="Times New Roman" w:eastAsia="Times New Roman" w:hAnsi="Times New Roman" w:cs="Times New Roman"/>
          <w:lang w:val="lt-LT"/>
        </w:rPr>
        <w:t xml:space="preserve">(šiek tiek dažniau senyviems pacientams) kai kuriems jautriems asmenims Mesar gali per daug sumažinti kraujospūdį arba sukelti alerginę reakciją. Tai gali sukelti stiprų galvos svaigimą arba alpimus. </w:t>
      </w:r>
      <w:r w:rsidRPr="00C92BDF">
        <w:rPr>
          <w:rFonts w:ascii="Times New Roman" w:eastAsia="Times New Roman" w:hAnsi="Times New Roman" w:cs="Times New Roman"/>
          <w:b/>
          <w:lang w:val="lt-LT"/>
        </w:rPr>
        <w:t>Jei taip atsitiko, nutraukite Mesar vartojimą, nedelsiant kvieskite gydytoją ir atsigulkite horizontaliai.</w:t>
      </w:r>
    </w:p>
    <w:p w14:paraId="558D471D" w14:textId="77777777" w:rsidR="004125E7" w:rsidRDefault="004125E7" w:rsidP="004125E7">
      <w:pPr>
        <w:spacing w:after="0" w:line="240" w:lineRule="auto"/>
        <w:rPr>
          <w:rFonts w:ascii="Times New Roman" w:eastAsia="Times New Roman" w:hAnsi="Times New Roman" w:cs="Times New Roman"/>
          <w:lang w:val="lt-LT"/>
        </w:rPr>
      </w:pPr>
    </w:p>
    <w:p w14:paraId="27EE1248" w14:textId="77777777" w:rsidR="004125E7" w:rsidRPr="0034669C" w:rsidRDefault="004125E7" w:rsidP="004125E7">
      <w:pPr>
        <w:spacing w:after="0" w:line="240" w:lineRule="auto"/>
        <w:rPr>
          <w:rFonts w:ascii="Times New Roman" w:eastAsia="Times New Roman" w:hAnsi="Times New Roman" w:cs="Times New Roman"/>
          <w:lang w:val="lt-LT"/>
        </w:rPr>
      </w:pPr>
      <w:r w:rsidRPr="00E62BE2">
        <w:rPr>
          <w:rFonts w:ascii="Times New Roman" w:hAnsi="Times New Roman"/>
          <w:lang w:val="lt-LT"/>
        </w:rPr>
        <w:t>Dažnis nežinomas: Jeigu pagelstų Jūsų akių baltymai, patamsėtų šlapimas, imtų niežėti oda, net jei gydymą Mesar pradėjote seniau, nedelsdami kreipkitės į savo gydytoją, kuris įvertins Jūsų simptomus ir nuspręs, kaip tęsti Jūsų gydymą vaistais nuo kraujospūdžio.</w:t>
      </w:r>
    </w:p>
    <w:p w14:paraId="73401976" w14:textId="77777777" w:rsidR="004125E7" w:rsidRPr="00C92BDF" w:rsidRDefault="004125E7" w:rsidP="004125E7">
      <w:pPr>
        <w:spacing w:after="0" w:line="240" w:lineRule="auto"/>
        <w:rPr>
          <w:rFonts w:ascii="Times New Roman" w:eastAsia="Times New Roman" w:hAnsi="Times New Roman" w:cs="Times New Roman"/>
          <w:lang w:val="lt-LT"/>
        </w:rPr>
      </w:pPr>
    </w:p>
    <w:p w14:paraId="7D1DC4BE" w14:textId="77777777" w:rsidR="004125E7" w:rsidRPr="00C92BDF" w:rsidRDefault="004125E7" w:rsidP="004125E7">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Žemiau išvardyti šalutinio poveikio požymiai nustatyti vartojant Mesar.</w:t>
      </w:r>
    </w:p>
    <w:p w14:paraId="7A11970B"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0FDC821A"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i/>
          <w:lang w:val="lt-LT"/>
        </w:rPr>
      </w:pPr>
      <w:r w:rsidRPr="00C92BDF">
        <w:rPr>
          <w:rFonts w:ascii="Times New Roman" w:eastAsia="Times New Roman" w:hAnsi="Times New Roman" w:cs="Times New Roman"/>
          <w:i/>
          <w:lang w:val="lt-LT"/>
        </w:rPr>
        <w:lastRenderedPageBreak/>
        <w:t>Dažni (gali pasireikšti iki 1 iš 10 pacientų)</w:t>
      </w:r>
    </w:p>
    <w:p w14:paraId="1977D1BA"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Galvos svaigimas, galvos skausmas, pykinimas, sutrikęs virškinimas, viduriavimas, skrandžio skausmas, skrandžio ir žarnų uždegimas (gastroenteritas), nuovargis, gerklės skausmas, sloga ar užsikimšusi nosis, bronchitas, į gripą panašūs simptomai, kosulys, skausmas, krūtinės, nugaros, kaulų arba sąnarių skausmas, šlapimo takų infekcija, kulkšnių, pėdų, kojų, rankų ar plaštakų patinimas, kraujas šlapime.</w:t>
      </w:r>
    </w:p>
    <w:p w14:paraId="24B57B7A"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614EC5EB"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Pasitaiko tokių kraujo tyrimų pakitimų: riebalų kiekio kraujyje padidėjimas (hipertrigliceridemija), urėjos kiekio padidėjimas (hiperurikemija), padidėjęs urėjos kiekis kraujyje, kepenų ir raumenų funkciją atspindinčių rodmenų padidėjimas.</w:t>
      </w:r>
    </w:p>
    <w:p w14:paraId="260BB6F8"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2A76FF78"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i/>
          <w:lang w:val="lt-LT"/>
        </w:rPr>
      </w:pPr>
      <w:r w:rsidRPr="00C92BDF">
        <w:rPr>
          <w:rFonts w:ascii="Times New Roman" w:eastAsia="Times New Roman" w:hAnsi="Times New Roman" w:cs="Times New Roman"/>
          <w:i/>
          <w:lang w:val="lt-LT"/>
        </w:rPr>
        <w:t>Nedažni (gali pasireikšti iki 1 iš 100 pacientų)</w:t>
      </w:r>
    </w:p>
    <w:p w14:paraId="32335AFD" w14:textId="77777777" w:rsidR="004125E7" w:rsidRPr="00C92BDF" w:rsidRDefault="004125E7" w:rsidP="004125E7">
      <w:pPr>
        <w:spacing w:after="0" w:line="240" w:lineRule="auto"/>
        <w:rPr>
          <w:rFonts w:ascii="Times New Roman" w:eastAsia="Times New Roman" w:hAnsi="Times New Roman" w:cs="Times New Roman"/>
          <w:lang w:val="lt-LT" w:eastAsia="lt-LT"/>
        </w:rPr>
      </w:pPr>
      <w:r w:rsidRPr="00C92BDF">
        <w:rPr>
          <w:rFonts w:ascii="Times New Roman" w:eastAsia="Times New Roman" w:hAnsi="Times New Roman" w:cs="Times New Roman"/>
          <w:lang w:val="lt-LT" w:eastAsia="lt-LT"/>
        </w:rPr>
        <w:t>Greitos alerginės reakcijos, kurios gali paveikti visą organizmą ir gali sukelti kvėpavimo problemų, taip pat staigus kraujo spaudimo sumažėjimas, kuris gali sukelti net apalpimą (anafilaksinės reakcijos), veido patinimas, galvos svaigimas, vėmimas, silpnumas, bloga savijauta, raumenų skausmas, odos bėrimas, alerginis odos bėrimas, niežulys, egzantema (odos bėrimas), odos mazgeliai, krūtinės angina (skausmas arba nemalonus pojūtis krūtinėje).</w:t>
      </w:r>
    </w:p>
    <w:p w14:paraId="77365ED1"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7BE07FFE"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Kraujo tyrimuose buvo pastebėtas sumažėjęs kraujo plokštelių (trombocitų), kiekis (taip vadinamoji trombocitopenija).</w:t>
      </w:r>
    </w:p>
    <w:p w14:paraId="6E9B2E14" w14:textId="77777777" w:rsidR="004125E7" w:rsidRPr="00C92BDF" w:rsidRDefault="004125E7" w:rsidP="004125E7">
      <w:pPr>
        <w:spacing w:after="0" w:line="240" w:lineRule="auto"/>
        <w:rPr>
          <w:rFonts w:ascii="Times New Roman" w:eastAsia="Times New Roman" w:hAnsi="Times New Roman" w:cs="Times New Roman"/>
          <w:lang w:val="lt-LT" w:eastAsia="lt-LT"/>
        </w:rPr>
      </w:pPr>
    </w:p>
    <w:p w14:paraId="5243AA61"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i/>
          <w:lang w:val="lt-LT"/>
        </w:rPr>
      </w:pPr>
      <w:r w:rsidRPr="00C92BDF">
        <w:rPr>
          <w:rFonts w:ascii="Times New Roman" w:eastAsia="Times New Roman" w:hAnsi="Times New Roman" w:cs="Times New Roman"/>
          <w:i/>
          <w:lang w:val="lt-LT"/>
        </w:rPr>
        <w:t>Reti (gali pasireikšti iki 1 iš 1000 pacientų)</w:t>
      </w:r>
    </w:p>
    <w:p w14:paraId="08EC217C"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Energijos stoka, raumenų spazmai, inkstų veikos sutrikimas, inkstų nepakankamumas, kalio kiekio padidėjimas kraujyje (hiperkaliemija) ir su inkstų funkcija susijusių medžiagų kiekio padidėjimas.</w:t>
      </w:r>
    </w:p>
    <w:p w14:paraId="65CD4825" w14:textId="77777777" w:rsidR="004125E7" w:rsidRPr="00D62F27" w:rsidRDefault="00D62F27" w:rsidP="004125E7">
      <w:pPr>
        <w:tabs>
          <w:tab w:val="left" w:pos="540"/>
          <w:tab w:val="left" w:pos="2127"/>
          <w:tab w:val="left" w:pos="2977"/>
        </w:tabs>
        <w:spacing w:after="0" w:line="240" w:lineRule="auto"/>
        <w:rPr>
          <w:rFonts w:ascii="Times New Roman" w:hAnsi="Times New Roman" w:cs="Times New Roman"/>
          <w:lang w:val="lt-LT"/>
        </w:rPr>
      </w:pPr>
      <w:r w:rsidRPr="00D62F27">
        <w:rPr>
          <w:rFonts w:ascii="Times New Roman" w:hAnsi="Times New Roman" w:cs="Times New Roman"/>
          <w:lang w:val="lt-LT"/>
        </w:rPr>
        <w:t>Žarnyno angioneurozinė edema: tinimas žarnyne, pasireiškiantis tokiais simptomais kaip pilvo skausmas, pykinimas, vėmimas ir viduriavimas.</w:t>
      </w:r>
    </w:p>
    <w:p w14:paraId="0F5592D4" w14:textId="77777777" w:rsidR="00D62F27" w:rsidRPr="00D62F27" w:rsidRDefault="00D62F2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60EE8B42"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i/>
          <w:lang w:val="lt-LT"/>
        </w:rPr>
      </w:pPr>
      <w:r w:rsidRPr="00C92BDF">
        <w:rPr>
          <w:rFonts w:ascii="Times New Roman" w:eastAsia="Times New Roman" w:hAnsi="Times New Roman" w:cs="Times New Roman"/>
          <w:i/>
          <w:lang w:val="lt-LT"/>
        </w:rPr>
        <w:t>Labai reti (gali pasireikšti iki 1 iš 10000 pacientų)</w:t>
      </w:r>
    </w:p>
    <w:p w14:paraId="3A613E51"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Žarnų liga, vadinama į celiakiją panašia enteropatija.</w:t>
      </w:r>
    </w:p>
    <w:p w14:paraId="3FA06D03"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0882DFCA"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Papildomi šalutiniai poveikiai stebėti vaikams ir paaugliams</w:t>
      </w:r>
    </w:p>
    <w:p w14:paraId="1FCFF7BD"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Vaikams šalutiniai reiškiniai buvo panašūs į suaugusiųjų. Tačiau vaikams dažniau pasitaikė galvos svaigimas ir galvos skausmas, o kraujavimas iš nosies buvo įprastas šalutinis reiškinys ir nustatytas tik vaikams.</w:t>
      </w:r>
    </w:p>
    <w:p w14:paraId="085FDFB6"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6115F89F" w14:textId="77777777" w:rsidR="004125E7" w:rsidRPr="00C92BDF" w:rsidRDefault="004125E7" w:rsidP="004125E7">
      <w:pPr>
        <w:spacing w:after="0" w:line="240" w:lineRule="auto"/>
        <w:rPr>
          <w:rFonts w:ascii="Times New Roman" w:eastAsia="Times New Roman" w:hAnsi="Times New Roman" w:cs="Times New Roman"/>
          <w:b/>
          <w:noProof/>
          <w:lang w:val="lt-LT" w:eastAsia="lt-LT"/>
        </w:rPr>
      </w:pPr>
      <w:r w:rsidRPr="00C92BDF">
        <w:rPr>
          <w:rFonts w:ascii="Times New Roman" w:eastAsia="Times New Roman" w:hAnsi="Times New Roman" w:cs="Times New Roman"/>
          <w:b/>
          <w:noProof/>
          <w:lang w:val="lt-LT" w:eastAsia="lt-LT"/>
        </w:rPr>
        <w:t>Pranešimas apie šalutinį poveikį</w:t>
      </w:r>
    </w:p>
    <w:p w14:paraId="22EFCBBF"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noProof/>
          <w:lang w:val="lt-LT" w:eastAsia="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w:t>
      </w:r>
      <w:r w:rsidRPr="00E62BE2">
        <w:rPr>
          <w:rFonts w:ascii="Times New Roman" w:hAnsi="Times New Roman"/>
          <w:lang w:val="lt-LT"/>
        </w:rPr>
        <w:t>Pranešdami apie šalutinį poveikį galite mums padėti gauti daugiau informacijos apie šio vaisto saugumą.</w:t>
      </w:r>
    </w:p>
    <w:p w14:paraId="64682C03"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0B6D4FD3"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7B9C183B" w14:textId="77777777" w:rsidR="004125E7" w:rsidRPr="00C92BDF" w:rsidRDefault="004125E7" w:rsidP="004125E7">
      <w:pPr>
        <w:keepNext/>
        <w:tabs>
          <w:tab w:val="left" w:pos="567"/>
        </w:tabs>
        <w:spacing w:after="0" w:line="240" w:lineRule="auto"/>
        <w:outlineLvl w:val="1"/>
        <w:rPr>
          <w:rFonts w:ascii="Times New Roman" w:eastAsia="Times New Roman" w:hAnsi="Times New Roman" w:cs="Times New Roman"/>
          <w:b/>
          <w:lang w:val="lt-LT"/>
        </w:rPr>
      </w:pPr>
      <w:r w:rsidRPr="00C92BDF">
        <w:rPr>
          <w:rFonts w:ascii="Times New Roman" w:eastAsia="Times New Roman" w:hAnsi="Times New Roman" w:cs="Times New Roman"/>
          <w:b/>
          <w:lang w:val="lt-LT"/>
        </w:rPr>
        <w:t>5.</w:t>
      </w:r>
      <w:r w:rsidRPr="00C92BDF">
        <w:rPr>
          <w:rFonts w:ascii="Times New Roman" w:eastAsia="Times New Roman" w:hAnsi="Times New Roman" w:cs="Times New Roman"/>
          <w:b/>
          <w:lang w:val="lt-LT"/>
        </w:rPr>
        <w:tab/>
        <w:t>Kaip laikyti Mesar</w:t>
      </w:r>
    </w:p>
    <w:p w14:paraId="2E5A93AF"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63E06AFA"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Šį vaistą laikykite vaikams nepastebimoje ir nepasiekiamoje vietoje.</w:t>
      </w:r>
    </w:p>
    <w:p w14:paraId="3374E0D2"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25E1B6A0"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Šiam vaistui specialių laikymo sąlygų nereikia.</w:t>
      </w:r>
    </w:p>
    <w:p w14:paraId="5F27E5E6"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18AB973A"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 xml:space="preserve">Ant kartono dėžutės po „Tinka iki“ ir lizdinės plokštelės po „EXP“ nurodytam tinkamumo laikui pasibaigus, šio vaisto vartoti negalima. </w:t>
      </w:r>
      <w:r w:rsidRPr="00C92BDF">
        <w:rPr>
          <w:rFonts w:ascii="Times New Roman" w:eastAsia="Times New Roman" w:hAnsi="Times New Roman" w:cs="Times New Roman"/>
          <w:iCs/>
          <w:noProof/>
          <w:lang w:val="lt-LT"/>
        </w:rPr>
        <w:t>Vaistas tinkamas vartoti iki paskutinės nurodyto mėnesio dienos.</w:t>
      </w:r>
    </w:p>
    <w:p w14:paraId="09D54A6A"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56947CC7"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1983C7F2"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6F9A46BC"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0C988081" w14:textId="77777777" w:rsidR="004125E7" w:rsidRPr="00C92BDF" w:rsidRDefault="004125E7" w:rsidP="004125E7">
      <w:pPr>
        <w:keepNext/>
        <w:tabs>
          <w:tab w:val="left" w:pos="567"/>
        </w:tabs>
        <w:spacing w:after="0" w:line="240" w:lineRule="auto"/>
        <w:outlineLvl w:val="1"/>
        <w:rPr>
          <w:rFonts w:ascii="Times New Roman" w:eastAsia="Times New Roman" w:hAnsi="Times New Roman" w:cs="Times New Roman"/>
          <w:b/>
          <w:lang w:val="lt-LT"/>
        </w:rPr>
      </w:pPr>
      <w:r w:rsidRPr="00C92BDF">
        <w:rPr>
          <w:rFonts w:ascii="Times New Roman" w:eastAsia="Times New Roman" w:hAnsi="Times New Roman" w:cs="Times New Roman"/>
          <w:b/>
          <w:lang w:val="lt-LT"/>
        </w:rPr>
        <w:t>6.</w:t>
      </w:r>
      <w:r w:rsidRPr="00C92BDF">
        <w:rPr>
          <w:rFonts w:ascii="Times New Roman" w:eastAsia="Times New Roman" w:hAnsi="Times New Roman" w:cs="Times New Roman"/>
          <w:b/>
          <w:lang w:val="lt-LT"/>
        </w:rPr>
        <w:tab/>
        <w:t>Pakuotės turinys ir kita informacija</w:t>
      </w:r>
    </w:p>
    <w:p w14:paraId="51867F0C"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2FC4D351" w14:textId="77777777" w:rsidR="004125E7" w:rsidRPr="00C92BDF" w:rsidRDefault="004125E7" w:rsidP="004125E7">
      <w:pPr>
        <w:spacing w:after="0" w:line="220" w:lineRule="exact"/>
        <w:rPr>
          <w:rFonts w:ascii="Times New Roman" w:eastAsia="Times New Roman" w:hAnsi="Times New Roman" w:cs="Times New Roman"/>
          <w:b/>
          <w:lang w:val="lt-LT"/>
        </w:rPr>
      </w:pPr>
      <w:r w:rsidRPr="00C92BDF">
        <w:rPr>
          <w:rFonts w:ascii="Times New Roman" w:eastAsia="Times New Roman" w:hAnsi="Times New Roman" w:cs="Times New Roman"/>
          <w:b/>
          <w:lang w:val="lt-LT"/>
        </w:rPr>
        <w:t>Mesar sudėtis</w:t>
      </w:r>
    </w:p>
    <w:p w14:paraId="2CEB89BE" w14:textId="77777777" w:rsidR="004125E7" w:rsidRPr="00C92BDF" w:rsidRDefault="004125E7" w:rsidP="004125E7">
      <w:pPr>
        <w:tabs>
          <w:tab w:val="left" w:pos="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 xml:space="preserve">Veiklioji medžiaga yra olmesartanas medoksomilis. </w:t>
      </w:r>
    </w:p>
    <w:p w14:paraId="63100428" w14:textId="77777777" w:rsidR="004125E7" w:rsidRPr="00C92BDF" w:rsidRDefault="004125E7" w:rsidP="004125E7">
      <w:pPr>
        <w:tabs>
          <w:tab w:val="left" w:pos="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Vienoje tabletėje yra 10 mg, 20 mg arba 40 mg olmesartano medoksomilio.</w:t>
      </w:r>
    </w:p>
    <w:p w14:paraId="787C4CF7" w14:textId="77777777" w:rsidR="004125E7" w:rsidRPr="00C92BDF" w:rsidRDefault="004125E7" w:rsidP="004125E7">
      <w:pPr>
        <w:tabs>
          <w:tab w:val="left" w:pos="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Pagalbinės medžiagos tabletės šerdyje yra mikrokristalinė celiuliozė, laktozės monohidratas, hidroksipropilceliuliozė, nedaug pakeista hidroksipropilceliuliozė, magnio stearatas, tabletės plėvelėje - titano dioksidas (E171), talkas, hipromeliozė.</w:t>
      </w:r>
    </w:p>
    <w:p w14:paraId="53A1A926"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7BE2F5BC" w14:textId="77777777" w:rsidR="004125E7" w:rsidRPr="00C92BDF" w:rsidRDefault="004125E7" w:rsidP="004125E7">
      <w:pPr>
        <w:spacing w:after="0" w:line="220" w:lineRule="exact"/>
        <w:rPr>
          <w:rFonts w:ascii="Times New Roman" w:eastAsia="Times New Roman" w:hAnsi="Times New Roman" w:cs="Times New Roman"/>
          <w:b/>
          <w:lang w:val="lt-LT"/>
        </w:rPr>
      </w:pPr>
      <w:r w:rsidRPr="00C92BDF">
        <w:rPr>
          <w:rFonts w:ascii="Times New Roman" w:eastAsia="Times New Roman" w:hAnsi="Times New Roman" w:cs="Times New Roman"/>
          <w:b/>
          <w:lang w:val="lt-LT"/>
        </w:rPr>
        <w:t>Mesar išvaizda ir kiekis pakuotėje</w:t>
      </w:r>
    </w:p>
    <w:p w14:paraId="4CFA32D2"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Mesar 10 mg plėvele dengtos tabletės: baltos, apvalios plėvele dengtos tabletės, kurių vienoje pusėje yra įspaudas C13.</w:t>
      </w:r>
    </w:p>
    <w:p w14:paraId="357C7024"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Mesar 20 mg plėvele dengtos tabletės: baltos, apvalios plėvele dengtos tabletės, kurių vienoje pusėje yra įspaudas C14.</w:t>
      </w:r>
    </w:p>
    <w:p w14:paraId="01E6E45B"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Mesar 40 mg plėvele dengtos tabletės: baltos, ovalios plėvele dengtos tabletės, kurių vienoje pusėje yra įspaudas C15.</w:t>
      </w:r>
    </w:p>
    <w:p w14:paraId="11D33148"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6E164FCD"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Pakuotėje yra 14, 28, 56 arba 98 tabletės.</w:t>
      </w:r>
    </w:p>
    <w:p w14:paraId="6900689A"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4FB9C2F9"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Gali būti tiekiamos ne visų dydžių pakuotės.</w:t>
      </w:r>
    </w:p>
    <w:p w14:paraId="24799AEF"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68397972" w14:textId="77777777" w:rsidR="004125E7" w:rsidRPr="00C92BDF" w:rsidRDefault="004125E7" w:rsidP="004125E7">
      <w:pPr>
        <w:spacing w:after="0" w:line="220" w:lineRule="exact"/>
        <w:rPr>
          <w:rFonts w:ascii="Times New Roman" w:eastAsia="Times New Roman" w:hAnsi="Times New Roman" w:cs="Times New Roman"/>
          <w:b/>
          <w:lang w:val="lt-LT"/>
        </w:rPr>
      </w:pPr>
      <w:r w:rsidRPr="00C92BDF">
        <w:rPr>
          <w:rFonts w:ascii="Times New Roman" w:eastAsia="Times New Roman" w:hAnsi="Times New Roman" w:cs="Times New Roman"/>
          <w:b/>
          <w:lang w:val="lt-LT"/>
        </w:rPr>
        <w:t>Registruotojas ir gamintojas</w:t>
      </w:r>
    </w:p>
    <w:p w14:paraId="7FF4F436" w14:textId="77777777" w:rsidR="004125E7" w:rsidRPr="00C92BDF" w:rsidRDefault="004125E7" w:rsidP="004125E7">
      <w:pPr>
        <w:spacing w:after="0" w:line="240" w:lineRule="auto"/>
        <w:rPr>
          <w:rFonts w:ascii="Times New Roman" w:eastAsia="Times New Roman" w:hAnsi="Times New Roman" w:cs="Times New Roman"/>
          <w:snapToGrid w:val="0"/>
          <w:lang w:val="lt-LT" w:eastAsia="lt-LT"/>
        </w:rPr>
      </w:pPr>
      <w:r w:rsidRPr="00C92BDF">
        <w:rPr>
          <w:rFonts w:ascii="Times New Roman" w:eastAsia="Times New Roman" w:hAnsi="Times New Roman" w:cs="Times New Roman"/>
          <w:i/>
          <w:snapToGrid w:val="0"/>
          <w:lang w:val="lt-LT" w:eastAsia="lt-LT"/>
        </w:rPr>
        <w:t>Registruotojas</w:t>
      </w:r>
    </w:p>
    <w:p w14:paraId="7349A7BC" w14:textId="77777777" w:rsidR="004125E7" w:rsidRPr="00C92BDF" w:rsidRDefault="004125E7" w:rsidP="004125E7">
      <w:pPr>
        <w:spacing w:after="0" w:line="240" w:lineRule="auto"/>
        <w:rPr>
          <w:rFonts w:ascii="Times New Roman" w:eastAsia="Times New Roman" w:hAnsi="Times New Roman" w:cs="Times New Roman"/>
          <w:snapToGrid w:val="0"/>
          <w:lang w:val="lt-LT" w:eastAsia="lt-LT"/>
        </w:rPr>
      </w:pPr>
      <w:r w:rsidRPr="00C92BDF">
        <w:rPr>
          <w:rFonts w:ascii="Times New Roman" w:eastAsia="Times New Roman" w:hAnsi="Times New Roman" w:cs="Times New Roman"/>
          <w:snapToGrid w:val="0"/>
          <w:lang w:val="lt-LT" w:eastAsia="lt-LT"/>
        </w:rPr>
        <w:t>Menarini International Operations Luxembourg S.A.</w:t>
      </w:r>
    </w:p>
    <w:p w14:paraId="6BB4DBB1" w14:textId="77777777" w:rsidR="004125E7" w:rsidRPr="00C92BDF" w:rsidRDefault="004125E7" w:rsidP="004125E7">
      <w:pPr>
        <w:spacing w:after="0" w:line="240" w:lineRule="auto"/>
        <w:rPr>
          <w:rFonts w:ascii="Times New Roman" w:eastAsia="Times New Roman" w:hAnsi="Times New Roman" w:cs="Times New Roman"/>
          <w:snapToGrid w:val="0"/>
          <w:lang w:val="lt-LT" w:eastAsia="lt-LT"/>
        </w:rPr>
      </w:pPr>
      <w:r w:rsidRPr="00C92BDF">
        <w:rPr>
          <w:rFonts w:ascii="Times New Roman" w:eastAsia="Times New Roman" w:hAnsi="Times New Roman" w:cs="Times New Roman"/>
          <w:snapToGrid w:val="0"/>
          <w:lang w:val="lt-LT" w:eastAsia="lt-LT"/>
        </w:rPr>
        <w:t xml:space="preserve">1, Avenue de la Gare </w:t>
      </w:r>
    </w:p>
    <w:p w14:paraId="145D1402" w14:textId="77777777" w:rsidR="004125E7" w:rsidRPr="00C92BDF" w:rsidRDefault="004125E7" w:rsidP="004125E7">
      <w:pPr>
        <w:spacing w:after="0" w:line="240" w:lineRule="auto"/>
        <w:rPr>
          <w:rFonts w:ascii="Times New Roman" w:eastAsia="Times New Roman" w:hAnsi="Times New Roman" w:cs="Times New Roman"/>
          <w:snapToGrid w:val="0"/>
          <w:lang w:val="lt-LT" w:eastAsia="lt-LT"/>
        </w:rPr>
      </w:pPr>
      <w:r w:rsidRPr="00C92BDF">
        <w:rPr>
          <w:rFonts w:ascii="Times New Roman" w:eastAsia="Times New Roman" w:hAnsi="Times New Roman" w:cs="Times New Roman"/>
          <w:snapToGrid w:val="0"/>
          <w:lang w:val="lt-LT" w:eastAsia="lt-LT"/>
        </w:rPr>
        <w:t>L-1611 Luxembourg</w:t>
      </w:r>
    </w:p>
    <w:p w14:paraId="51D54A32" w14:textId="77777777" w:rsidR="004125E7" w:rsidRPr="00C92BDF" w:rsidRDefault="004125E7" w:rsidP="004125E7">
      <w:pPr>
        <w:spacing w:after="0" w:line="240" w:lineRule="auto"/>
        <w:rPr>
          <w:rFonts w:ascii="Times New Roman" w:eastAsia="Times New Roman" w:hAnsi="Times New Roman" w:cs="Times New Roman"/>
          <w:snapToGrid w:val="0"/>
          <w:lang w:val="lt-LT" w:eastAsia="lt-LT"/>
        </w:rPr>
      </w:pPr>
      <w:r w:rsidRPr="00C92BDF">
        <w:rPr>
          <w:rFonts w:ascii="Times New Roman" w:eastAsia="Times New Roman" w:hAnsi="Times New Roman" w:cs="Times New Roman"/>
          <w:snapToGrid w:val="0"/>
          <w:lang w:val="lt-LT" w:eastAsia="lt-LT"/>
        </w:rPr>
        <w:t>Liuksemburgas</w:t>
      </w:r>
    </w:p>
    <w:p w14:paraId="7E8C4637"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666E94F4"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i/>
          <w:lang w:val="lt-LT"/>
        </w:rPr>
      </w:pPr>
      <w:r w:rsidRPr="00C92BDF">
        <w:rPr>
          <w:rFonts w:ascii="Times New Roman" w:eastAsia="Times New Roman" w:hAnsi="Times New Roman" w:cs="Times New Roman"/>
          <w:i/>
          <w:lang w:val="lt-LT"/>
        </w:rPr>
        <w:t>Gamintojas</w:t>
      </w:r>
    </w:p>
    <w:p w14:paraId="3B5540EA" w14:textId="77777777" w:rsidR="004125E7" w:rsidRPr="00C92BDF" w:rsidRDefault="004125E7" w:rsidP="004125E7">
      <w:pPr>
        <w:spacing w:after="0" w:line="240" w:lineRule="auto"/>
        <w:rPr>
          <w:rFonts w:ascii="Times New Roman" w:eastAsia="Times New Roman" w:hAnsi="Times New Roman" w:cs="Times New Roman"/>
          <w:snapToGrid w:val="0"/>
          <w:lang w:val="lt-LT" w:eastAsia="lt-LT"/>
        </w:rPr>
      </w:pPr>
      <w:r w:rsidRPr="00C92BDF">
        <w:rPr>
          <w:rFonts w:ascii="Times New Roman" w:eastAsia="Times New Roman" w:hAnsi="Times New Roman" w:cs="Times New Roman"/>
          <w:snapToGrid w:val="0"/>
          <w:lang w:val="lt-LT" w:eastAsia="lt-LT"/>
        </w:rPr>
        <w:t xml:space="preserve">Daiichi Sankyo Europe GmbH </w:t>
      </w:r>
    </w:p>
    <w:p w14:paraId="50A8168A" w14:textId="77777777" w:rsidR="004125E7" w:rsidRPr="00C92BDF" w:rsidRDefault="004125E7" w:rsidP="004125E7">
      <w:pPr>
        <w:spacing w:after="0" w:line="240" w:lineRule="auto"/>
        <w:rPr>
          <w:rFonts w:ascii="Times New Roman" w:eastAsia="Times New Roman" w:hAnsi="Times New Roman" w:cs="Times New Roman"/>
          <w:snapToGrid w:val="0"/>
          <w:lang w:val="lt-LT" w:eastAsia="lt-LT"/>
        </w:rPr>
      </w:pPr>
      <w:r w:rsidRPr="00C92BDF">
        <w:rPr>
          <w:rFonts w:ascii="Times New Roman" w:eastAsia="Times New Roman" w:hAnsi="Times New Roman" w:cs="Times New Roman"/>
          <w:snapToGrid w:val="0"/>
          <w:lang w:val="lt-LT" w:eastAsia="lt-LT"/>
        </w:rPr>
        <w:t xml:space="preserve">Luitpoldstrasse 1 </w:t>
      </w:r>
    </w:p>
    <w:p w14:paraId="5B759B8D" w14:textId="77777777" w:rsidR="004125E7" w:rsidRPr="00C92BDF" w:rsidRDefault="004125E7" w:rsidP="004125E7">
      <w:pPr>
        <w:spacing w:after="0" w:line="240" w:lineRule="auto"/>
        <w:rPr>
          <w:rFonts w:ascii="Times New Roman" w:eastAsia="Times New Roman" w:hAnsi="Times New Roman" w:cs="Times New Roman"/>
          <w:snapToGrid w:val="0"/>
          <w:lang w:val="lt-LT" w:eastAsia="lt-LT"/>
        </w:rPr>
      </w:pPr>
      <w:r w:rsidRPr="00C92BDF">
        <w:rPr>
          <w:rFonts w:ascii="Times New Roman" w:eastAsia="Times New Roman" w:hAnsi="Times New Roman" w:cs="Times New Roman"/>
          <w:snapToGrid w:val="0"/>
          <w:lang w:val="lt-LT" w:eastAsia="lt-LT"/>
        </w:rPr>
        <w:t xml:space="preserve">85276 Pfaffenhofen </w:t>
      </w:r>
    </w:p>
    <w:p w14:paraId="49DD4DE2" w14:textId="77777777" w:rsidR="004125E7" w:rsidRPr="00C92BDF" w:rsidRDefault="004125E7" w:rsidP="004125E7">
      <w:pPr>
        <w:spacing w:after="0" w:line="240" w:lineRule="auto"/>
        <w:rPr>
          <w:rFonts w:ascii="Times New Roman" w:eastAsia="Times New Roman" w:hAnsi="Times New Roman" w:cs="Times New Roman"/>
          <w:snapToGrid w:val="0"/>
          <w:lang w:val="lt-LT" w:eastAsia="lt-LT"/>
        </w:rPr>
      </w:pPr>
      <w:r w:rsidRPr="00C92BDF">
        <w:rPr>
          <w:rFonts w:ascii="Times New Roman" w:eastAsia="Times New Roman" w:hAnsi="Times New Roman" w:cs="Times New Roman"/>
          <w:snapToGrid w:val="0"/>
          <w:lang w:val="lt-LT" w:eastAsia="lt-LT"/>
        </w:rPr>
        <w:t>Vokietija</w:t>
      </w:r>
    </w:p>
    <w:p w14:paraId="4A01B2E3" w14:textId="77777777" w:rsidR="004125E7" w:rsidRPr="00C92BDF" w:rsidRDefault="004125E7" w:rsidP="004125E7">
      <w:pPr>
        <w:spacing w:after="0" w:line="240" w:lineRule="auto"/>
        <w:rPr>
          <w:rFonts w:ascii="Times New Roman" w:eastAsia="Times New Roman" w:hAnsi="Times New Roman" w:cs="Times New Roman"/>
          <w:lang w:val="lt-LT"/>
        </w:rPr>
      </w:pPr>
    </w:p>
    <w:p w14:paraId="3E389BDC" w14:textId="77777777" w:rsidR="004125E7" w:rsidRPr="00C92BDF" w:rsidRDefault="004125E7" w:rsidP="004125E7">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arba</w:t>
      </w:r>
    </w:p>
    <w:p w14:paraId="1CC02842" w14:textId="77777777" w:rsidR="004125E7" w:rsidRPr="00C92BDF" w:rsidRDefault="004125E7" w:rsidP="004125E7">
      <w:pPr>
        <w:spacing w:after="0" w:line="240" w:lineRule="auto"/>
        <w:rPr>
          <w:rFonts w:ascii="Times New Roman" w:eastAsia="Times New Roman" w:hAnsi="Times New Roman" w:cs="Times New Roman"/>
          <w:lang w:val="lt-LT"/>
        </w:rPr>
      </w:pPr>
    </w:p>
    <w:p w14:paraId="12D51D95" w14:textId="77777777" w:rsidR="004125E7" w:rsidRPr="00C92BDF" w:rsidRDefault="004125E7" w:rsidP="004125E7">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Berlin-Chemie AG</w:t>
      </w:r>
    </w:p>
    <w:p w14:paraId="14DC9A0C" w14:textId="77777777" w:rsidR="004125E7" w:rsidRPr="00C92BDF" w:rsidRDefault="004125E7" w:rsidP="004125E7">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 xml:space="preserve">Glienicker Weg 125 </w:t>
      </w:r>
    </w:p>
    <w:p w14:paraId="6E0E8BAF" w14:textId="77777777" w:rsidR="004125E7" w:rsidRPr="00C92BDF" w:rsidRDefault="004125E7" w:rsidP="004125E7">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12489 Berlin</w:t>
      </w:r>
    </w:p>
    <w:p w14:paraId="3F11A3CC" w14:textId="77777777" w:rsidR="004125E7" w:rsidRPr="00C92BDF" w:rsidRDefault="004125E7" w:rsidP="004125E7">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Vokietija</w:t>
      </w:r>
    </w:p>
    <w:p w14:paraId="22C5A041" w14:textId="77777777" w:rsidR="004125E7" w:rsidRPr="00C92BDF" w:rsidRDefault="004125E7" w:rsidP="004125E7">
      <w:pPr>
        <w:spacing w:after="0" w:line="240" w:lineRule="auto"/>
        <w:rPr>
          <w:rFonts w:ascii="Times New Roman" w:eastAsia="Times New Roman" w:hAnsi="Times New Roman" w:cs="Times New Roman"/>
          <w:lang w:val="lt-LT"/>
        </w:rPr>
      </w:pPr>
    </w:p>
    <w:p w14:paraId="12A19A9C" w14:textId="77777777" w:rsidR="004125E7" w:rsidRPr="00C92BDF" w:rsidRDefault="004125E7" w:rsidP="004125E7">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arba</w:t>
      </w:r>
    </w:p>
    <w:p w14:paraId="5CB5009A" w14:textId="77777777" w:rsidR="004125E7" w:rsidRPr="00C92BDF" w:rsidRDefault="004125E7" w:rsidP="004125E7">
      <w:pPr>
        <w:spacing w:after="0" w:line="240" w:lineRule="auto"/>
        <w:rPr>
          <w:rFonts w:ascii="Times New Roman" w:eastAsia="Times New Roman" w:hAnsi="Times New Roman" w:cs="Times New Roman"/>
          <w:lang w:val="lt-LT"/>
        </w:rPr>
      </w:pPr>
    </w:p>
    <w:p w14:paraId="26E4FB0C" w14:textId="77777777" w:rsidR="004125E7" w:rsidRPr="00C92BDF" w:rsidRDefault="004125E7" w:rsidP="004125E7">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Laboratorios Menarini S.A.</w:t>
      </w:r>
    </w:p>
    <w:p w14:paraId="397FD2CD" w14:textId="77777777" w:rsidR="004125E7" w:rsidRPr="00C92BDF" w:rsidRDefault="004125E7" w:rsidP="004125E7">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Alfons XII, 587</w:t>
      </w:r>
    </w:p>
    <w:p w14:paraId="77C6DB56" w14:textId="77777777" w:rsidR="004125E7" w:rsidRPr="00C92BDF" w:rsidRDefault="004125E7" w:rsidP="004125E7">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E-08918 Badalona (Barcelona)</w:t>
      </w:r>
    </w:p>
    <w:p w14:paraId="22D95C6B" w14:textId="77777777" w:rsidR="004125E7" w:rsidRDefault="004125E7" w:rsidP="004125E7">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Ispanija</w:t>
      </w:r>
    </w:p>
    <w:p w14:paraId="07BB3730" w14:textId="77777777" w:rsidR="004125E7" w:rsidRDefault="004125E7" w:rsidP="004125E7">
      <w:pPr>
        <w:spacing w:after="0" w:line="240" w:lineRule="auto"/>
        <w:rPr>
          <w:rFonts w:ascii="Times New Roman" w:eastAsia="Times New Roman" w:hAnsi="Times New Roman" w:cs="Times New Roman"/>
          <w:lang w:val="lt-LT"/>
        </w:rPr>
      </w:pPr>
    </w:p>
    <w:p w14:paraId="3440D666" w14:textId="77777777" w:rsidR="004125E7" w:rsidRDefault="004125E7" w:rsidP="004125E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arba</w:t>
      </w:r>
    </w:p>
    <w:p w14:paraId="366DD61B" w14:textId="77777777" w:rsidR="004125E7" w:rsidRDefault="004125E7" w:rsidP="004125E7">
      <w:pPr>
        <w:spacing w:after="0" w:line="240" w:lineRule="auto"/>
        <w:rPr>
          <w:rFonts w:ascii="Times New Roman" w:eastAsia="Times New Roman" w:hAnsi="Times New Roman" w:cs="Times New Roman"/>
          <w:lang w:val="lt-LT"/>
        </w:rPr>
      </w:pPr>
    </w:p>
    <w:p w14:paraId="2EBB957D" w14:textId="77777777" w:rsidR="004125E7" w:rsidRPr="00E62BE2" w:rsidRDefault="004125E7" w:rsidP="004125E7">
      <w:pPr>
        <w:spacing w:after="0" w:line="240" w:lineRule="auto"/>
        <w:rPr>
          <w:rFonts w:ascii="Times New Roman" w:hAnsi="Times New Roman"/>
          <w:lang w:val="sv-SE"/>
        </w:rPr>
      </w:pPr>
      <w:r w:rsidRPr="00E62BE2">
        <w:rPr>
          <w:rFonts w:ascii="Times New Roman" w:hAnsi="Times New Roman"/>
          <w:lang w:val="sv-SE"/>
        </w:rPr>
        <w:t>Menarini - Von Heyden GmbH</w:t>
      </w:r>
    </w:p>
    <w:p w14:paraId="6D62A16B" w14:textId="77777777" w:rsidR="004125E7" w:rsidRPr="00E62BE2" w:rsidRDefault="004125E7" w:rsidP="004125E7">
      <w:pPr>
        <w:spacing w:after="0" w:line="240" w:lineRule="auto"/>
        <w:rPr>
          <w:rFonts w:ascii="Times New Roman" w:hAnsi="Times New Roman"/>
          <w:lang w:val="sv-SE"/>
        </w:rPr>
      </w:pPr>
      <w:r w:rsidRPr="00E62BE2">
        <w:rPr>
          <w:rFonts w:ascii="Times New Roman" w:hAnsi="Times New Roman"/>
          <w:lang w:val="sv-SE"/>
        </w:rPr>
        <w:t>Leipziger Strasse 7-13</w:t>
      </w:r>
    </w:p>
    <w:p w14:paraId="7BD76ADF" w14:textId="77777777" w:rsidR="004125E7" w:rsidRPr="00E62BE2" w:rsidRDefault="004125E7" w:rsidP="004125E7">
      <w:pPr>
        <w:spacing w:after="0" w:line="240" w:lineRule="auto"/>
        <w:rPr>
          <w:rFonts w:ascii="Times New Roman" w:hAnsi="Times New Roman"/>
          <w:lang w:val="sv-SE"/>
        </w:rPr>
      </w:pPr>
      <w:r w:rsidRPr="00E62BE2">
        <w:rPr>
          <w:rFonts w:ascii="Times New Roman" w:hAnsi="Times New Roman"/>
          <w:lang w:val="sv-SE"/>
        </w:rPr>
        <w:lastRenderedPageBreak/>
        <w:t>01097 Dresden</w:t>
      </w:r>
    </w:p>
    <w:p w14:paraId="122BE786" w14:textId="77777777" w:rsidR="004125E7" w:rsidRPr="00C92BDF" w:rsidRDefault="004125E7" w:rsidP="004125E7">
      <w:pPr>
        <w:spacing w:after="0" w:line="240" w:lineRule="auto"/>
        <w:rPr>
          <w:rFonts w:ascii="Times New Roman" w:eastAsia="Times New Roman" w:hAnsi="Times New Roman" w:cs="Times New Roman"/>
          <w:lang w:val="lt-LT"/>
        </w:rPr>
      </w:pPr>
      <w:r w:rsidRPr="00E62BE2">
        <w:rPr>
          <w:rFonts w:ascii="Times New Roman" w:hAnsi="Times New Roman"/>
          <w:lang w:val="sv-SE"/>
        </w:rPr>
        <w:t>Vokietija</w:t>
      </w:r>
    </w:p>
    <w:p w14:paraId="395DB28F" w14:textId="77777777" w:rsidR="004125E7"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5A97D83D"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0E4F7028"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Jeigu apie šį vaistą norite sužinoti daugiau, kreipkitės į vietinį registruotojo atstovą.</w:t>
      </w:r>
    </w:p>
    <w:p w14:paraId="188E79C3"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2CE1EF67"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UAB „Berlin Chemie Menarini Baltic“</w:t>
      </w:r>
    </w:p>
    <w:p w14:paraId="72AA19C8"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 xml:space="preserve">Jasinskio g. 16a, LT-03163 Vilnius </w:t>
      </w:r>
    </w:p>
    <w:p w14:paraId="02AC05EC"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Tel. + 370 5 269 19 47</w:t>
      </w:r>
    </w:p>
    <w:p w14:paraId="1C6BD061"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 xml:space="preserve">El.paštas </w:t>
      </w:r>
      <w:hyperlink r:id="rId12" w:history="1">
        <w:r w:rsidRPr="00C92BDF">
          <w:rPr>
            <w:rFonts w:ascii="Times New Roman" w:eastAsia="Times New Roman" w:hAnsi="Times New Roman" w:cs="Times New Roman"/>
            <w:color w:val="0000FF"/>
            <w:u w:val="single"/>
            <w:lang w:val="lt-LT"/>
          </w:rPr>
          <w:t>lt@berlin-chemie.com</w:t>
        </w:r>
      </w:hyperlink>
    </w:p>
    <w:p w14:paraId="6F25E212"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lang w:val="lt-LT"/>
        </w:rPr>
      </w:pPr>
    </w:p>
    <w:p w14:paraId="1B5EAC4D" w14:textId="4C63081E"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b/>
          <w:lang w:val="lt-LT"/>
        </w:rPr>
      </w:pPr>
      <w:r w:rsidRPr="00C92BDF">
        <w:rPr>
          <w:rFonts w:ascii="Times New Roman" w:eastAsia="Times New Roman" w:hAnsi="Times New Roman" w:cs="Times New Roman"/>
          <w:b/>
          <w:lang w:val="lt-LT"/>
        </w:rPr>
        <w:t xml:space="preserve">Šis pakuotės lapelis paskutinį kartą peržiūrėtas </w:t>
      </w:r>
      <w:r w:rsidR="00320AB7">
        <w:rPr>
          <w:rFonts w:ascii="Times New Roman" w:eastAsia="Times New Roman" w:hAnsi="Times New Roman" w:cs="Times New Roman"/>
          <w:b/>
          <w:lang w:val="lt-LT"/>
        </w:rPr>
        <w:t>2025-01-17</w:t>
      </w:r>
      <w:r>
        <w:rPr>
          <w:rFonts w:ascii="Times New Roman" w:eastAsia="Times New Roman" w:hAnsi="Times New Roman" w:cs="Times New Roman"/>
          <w:b/>
          <w:lang w:val="lt-LT"/>
        </w:rPr>
        <w:t>.</w:t>
      </w:r>
    </w:p>
    <w:p w14:paraId="1A04BED9" w14:textId="77777777" w:rsidR="004125E7" w:rsidRPr="00C92BDF" w:rsidRDefault="004125E7" w:rsidP="004125E7">
      <w:pPr>
        <w:spacing w:after="0" w:line="240" w:lineRule="auto"/>
        <w:rPr>
          <w:rFonts w:ascii="Times New Roman" w:eastAsia="Times New Roman" w:hAnsi="Times New Roman" w:cs="Times New Roman"/>
          <w:lang w:val="lt-LT" w:eastAsia="lt-LT"/>
        </w:rPr>
      </w:pPr>
    </w:p>
    <w:p w14:paraId="431A3923"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color w:val="0000FF"/>
          <w:u w:val="single"/>
          <w:lang w:val="lt-LT"/>
        </w:rPr>
      </w:pPr>
      <w:r w:rsidRPr="00C92BDF">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13" w:history="1">
        <w:r w:rsidRPr="00C92BDF">
          <w:rPr>
            <w:rFonts w:ascii="Times New Roman" w:eastAsia="Times New Roman" w:hAnsi="Times New Roman" w:cs="Times New Roman"/>
            <w:color w:val="0000FF"/>
            <w:u w:val="single"/>
            <w:lang w:val="lt-LT"/>
          </w:rPr>
          <w:t>http://www.vvkt.lt/</w:t>
        </w:r>
      </w:hyperlink>
    </w:p>
    <w:p w14:paraId="600ED74B" w14:textId="77777777" w:rsidR="004125E7" w:rsidRPr="00C92BDF" w:rsidRDefault="004125E7" w:rsidP="004125E7">
      <w:pPr>
        <w:tabs>
          <w:tab w:val="left" w:pos="540"/>
          <w:tab w:val="left" w:pos="2127"/>
          <w:tab w:val="left" w:pos="2977"/>
        </w:tabs>
        <w:spacing w:after="0" w:line="240" w:lineRule="auto"/>
        <w:rPr>
          <w:rFonts w:ascii="Times New Roman" w:eastAsia="Times New Roman" w:hAnsi="Times New Roman" w:cs="Times New Roman"/>
          <w:color w:val="0000FF"/>
          <w:u w:val="single"/>
          <w:lang w:val="lt-LT"/>
        </w:rPr>
      </w:pPr>
    </w:p>
    <w:p w14:paraId="34664172" w14:textId="77777777" w:rsidR="004125E7" w:rsidRPr="00A53D1A" w:rsidRDefault="004125E7" w:rsidP="004125E7">
      <w:pPr>
        <w:rPr>
          <w:lang w:val="lt-LT"/>
        </w:rPr>
      </w:pPr>
    </w:p>
    <w:p w14:paraId="51E98D27" w14:textId="77777777" w:rsidR="00066007" w:rsidRPr="00E62BE2" w:rsidRDefault="00066007">
      <w:pPr>
        <w:rPr>
          <w:lang w:val="lt-LT"/>
        </w:rPr>
      </w:pPr>
    </w:p>
    <w:sectPr w:rsidR="00066007" w:rsidRPr="00E62BE2" w:rsidSect="00E1194C">
      <w:headerReference w:type="default"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D09D0" w14:textId="77777777" w:rsidR="00024555" w:rsidRDefault="00024555">
      <w:pPr>
        <w:spacing w:after="0" w:line="240" w:lineRule="auto"/>
      </w:pPr>
      <w:r>
        <w:separator/>
      </w:r>
    </w:p>
  </w:endnote>
  <w:endnote w:type="continuationSeparator" w:id="0">
    <w:p w14:paraId="7123B437" w14:textId="77777777" w:rsidR="00024555" w:rsidRDefault="00024555">
      <w:pPr>
        <w:spacing w:after="0" w:line="240" w:lineRule="auto"/>
      </w:pPr>
      <w:r>
        <w:continuationSeparator/>
      </w:r>
    </w:p>
  </w:endnote>
  <w:endnote w:type="continuationNotice" w:id="1">
    <w:p w14:paraId="13D22EEF" w14:textId="77777777" w:rsidR="00024555" w:rsidRDefault="000245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altName w:val="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8E9BD" w14:textId="3D1F4E6E" w:rsidR="00E1194C" w:rsidRPr="0062379A" w:rsidRDefault="004125E7">
    <w:pPr>
      <w:pStyle w:val="Porat"/>
      <w:framePr w:wrap="auto" w:vAnchor="text" w:hAnchor="margin" w:xAlign="right" w:y="1"/>
      <w:rPr>
        <w:rStyle w:val="Puslapionumeris"/>
        <w:sz w:val="22"/>
        <w:szCs w:val="22"/>
      </w:rPr>
    </w:pPr>
    <w:r w:rsidRPr="0062379A">
      <w:rPr>
        <w:rStyle w:val="Puslapionumeris"/>
        <w:sz w:val="22"/>
        <w:szCs w:val="22"/>
      </w:rPr>
      <w:fldChar w:fldCharType="begin"/>
    </w:r>
    <w:r w:rsidRPr="0062379A">
      <w:rPr>
        <w:rStyle w:val="Puslapionumeris"/>
        <w:sz w:val="22"/>
        <w:szCs w:val="22"/>
      </w:rPr>
      <w:instrText xml:space="preserve">PAGE  </w:instrText>
    </w:r>
    <w:r w:rsidRPr="0062379A">
      <w:rPr>
        <w:rStyle w:val="Puslapionumeris"/>
        <w:sz w:val="22"/>
        <w:szCs w:val="22"/>
      </w:rPr>
      <w:fldChar w:fldCharType="separate"/>
    </w:r>
    <w:r w:rsidR="00503502">
      <w:rPr>
        <w:rStyle w:val="Puslapionumeris"/>
        <w:noProof/>
        <w:sz w:val="22"/>
        <w:szCs w:val="22"/>
      </w:rPr>
      <w:t>2</w:t>
    </w:r>
    <w:r w:rsidRPr="0062379A">
      <w:rPr>
        <w:rStyle w:val="Puslapionumeris"/>
        <w:sz w:val="22"/>
        <w:szCs w:val="22"/>
      </w:rPr>
      <w:fldChar w:fldCharType="end"/>
    </w:r>
  </w:p>
  <w:p w14:paraId="278B9F99" w14:textId="77777777" w:rsidR="00E1194C" w:rsidRDefault="00E1194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11324" w14:textId="77777777" w:rsidR="00024555" w:rsidRDefault="00024555">
      <w:pPr>
        <w:spacing w:after="0" w:line="240" w:lineRule="auto"/>
      </w:pPr>
      <w:r>
        <w:separator/>
      </w:r>
    </w:p>
  </w:footnote>
  <w:footnote w:type="continuationSeparator" w:id="0">
    <w:p w14:paraId="2B9EEF20" w14:textId="77777777" w:rsidR="00024555" w:rsidRDefault="00024555">
      <w:pPr>
        <w:spacing w:after="0" w:line="240" w:lineRule="auto"/>
      </w:pPr>
      <w:r>
        <w:continuationSeparator/>
      </w:r>
    </w:p>
  </w:footnote>
  <w:footnote w:type="continuationNotice" w:id="1">
    <w:p w14:paraId="735F8023" w14:textId="77777777" w:rsidR="00024555" w:rsidRDefault="000245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2B25E" w14:textId="77777777" w:rsidR="001345FB" w:rsidRDefault="001345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6670C"/>
    <w:multiLevelType w:val="hybridMultilevel"/>
    <w:tmpl w:val="244CC0AC"/>
    <w:lvl w:ilvl="0" w:tplc="AD32D8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DC098A"/>
    <w:multiLevelType w:val="hybridMultilevel"/>
    <w:tmpl w:val="5868EB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20023F"/>
    <w:multiLevelType w:val="singleLevel"/>
    <w:tmpl w:val="FA66E136"/>
    <w:lvl w:ilvl="0">
      <w:numFmt w:val="bullet"/>
      <w:lvlText w:val="-"/>
      <w:lvlJc w:val="left"/>
      <w:pPr>
        <w:tabs>
          <w:tab w:val="num" w:pos="420"/>
        </w:tabs>
        <w:ind w:left="420" w:hanging="360"/>
      </w:pPr>
      <w:rPr>
        <w:rFonts w:ascii="Times New Roman" w:hAnsi="Times New Roman" w:hint="default"/>
      </w:rPr>
    </w:lvl>
  </w:abstractNum>
  <w:abstractNum w:abstractNumId="3" w15:restartNumberingAfterBreak="0">
    <w:nsid w:val="23D13BFA"/>
    <w:multiLevelType w:val="hybridMultilevel"/>
    <w:tmpl w:val="32D47152"/>
    <w:lvl w:ilvl="0" w:tplc="04270001">
      <w:start w:val="1"/>
      <w:numFmt w:val="bullet"/>
      <w:lvlText w:val=""/>
      <w:lvlJc w:val="left"/>
      <w:pPr>
        <w:ind w:left="1140" w:hanging="360"/>
      </w:pPr>
      <w:rPr>
        <w:rFonts w:ascii="Symbol" w:hAnsi="Symbol"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4" w15:restartNumberingAfterBreak="0">
    <w:nsid w:val="3B0333F5"/>
    <w:multiLevelType w:val="hybridMultilevel"/>
    <w:tmpl w:val="DDF0C1D2"/>
    <w:lvl w:ilvl="0" w:tplc="C694A576">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D471605"/>
    <w:multiLevelType w:val="hybridMultilevel"/>
    <w:tmpl w:val="9A508E30"/>
    <w:lvl w:ilvl="0" w:tplc="AD32D8EE">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47857C68"/>
    <w:multiLevelType w:val="hybridMultilevel"/>
    <w:tmpl w:val="E4E85E18"/>
    <w:lvl w:ilvl="0" w:tplc="AD32D8EE">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A2D6383"/>
    <w:multiLevelType w:val="hybridMultilevel"/>
    <w:tmpl w:val="EADC9492"/>
    <w:lvl w:ilvl="0" w:tplc="087CBF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387C10"/>
    <w:multiLevelType w:val="hybridMultilevel"/>
    <w:tmpl w:val="A3429E7E"/>
    <w:lvl w:ilvl="0" w:tplc="C694A576">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6"/>
  </w:num>
  <w:num w:numId="5">
    <w:abstractNumId w:val="8"/>
  </w:num>
  <w:num w:numId="6">
    <w:abstractNumId w:val="4"/>
  </w:num>
  <w:num w:numId="7">
    <w:abstractNumId w:val="1"/>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5E7"/>
    <w:rsid w:val="000001CB"/>
    <w:rsid w:val="00024555"/>
    <w:rsid w:val="00066007"/>
    <w:rsid w:val="000A1801"/>
    <w:rsid w:val="000E0505"/>
    <w:rsid w:val="00115AB2"/>
    <w:rsid w:val="001345FB"/>
    <w:rsid w:val="00163BD1"/>
    <w:rsid w:val="001871A9"/>
    <w:rsid w:val="001D1B97"/>
    <w:rsid w:val="00320AB7"/>
    <w:rsid w:val="0034669C"/>
    <w:rsid w:val="00390B78"/>
    <w:rsid w:val="003B64E1"/>
    <w:rsid w:val="003E17F7"/>
    <w:rsid w:val="003E3222"/>
    <w:rsid w:val="0040726F"/>
    <w:rsid w:val="004125E7"/>
    <w:rsid w:val="00426C31"/>
    <w:rsid w:val="004A1F2B"/>
    <w:rsid w:val="00503502"/>
    <w:rsid w:val="00532872"/>
    <w:rsid w:val="00567EE0"/>
    <w:rsid w:val="0059696A"/>
    <w:rsid w:val="005D66B0"/>
    <w:rsid w:val="006A4906"/>
    <w:rsid w:val="006E0CE4"/>
    <w:rsid w:val="006E648A"/>
    <w:rsid w:val="00722BA2"/>
    <w:rsid w:val="00732573"/>
    <w:rsid w:val="00796416"/>
    <w:rsid w:val="007F4AA2"/>
    <w:rsid w:val="00861CAD"/>
    <w:rsid w:val="008B6929"/>
    <w:rsid w:val="008F0A1B"/>
    <w:rsid w:val="00900F54"/>
    <w:rsid w:val="00911E5A"/>
    <w:rsid w:val="00912BC4"/>
    <w:rsid w:val="00936279"/>
    <w:rsid w:val="0097761A"/>
    <w:rsid w:val="00987EF1"/>
    <w:rsid w:val="009E06ED"/>
    <w:rsid w:val="00A02F69"/>
    <w:rsid w:val="00A53D1A"/>
    <w:rsid w:val="00A87C74"/>
    <w:rsid w:val="00AB4808"/>
    <w:rsid w:val="00B00451"/>
    <w:rsid w:val="00C00916"/>
    <w:rsid w:val="00C76955"/>
    <w:rsid w:val="00C8198C"/>
    <w:rsid w:val="00C92BDF"/>
    <w:rsid w:val="00CC6924"/>
    <w:rsid w:val="00CE7067"/>
    <w:rsid w:val="00D30093"/>
    <w:rsid w:val="00D554CA"/>
    <w:rsid w:val="00D62F27"/>
    <w:rsid w:val="00E1194C"/>
    <w:rsid w:val="00E3597B"/>
    <w:rsid w:val="00E40519"/>
    <w:rsid w:val="00E42197"/>
    <w:rsid w:val="00E62BE2"/>
    <w:rsid w:val="00E95EE8"/>
    <w:rsid w:val="00EB2620"/>
    <w:rsid w:val="00EC156B"/>
    <w:rsid w:val="00F54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3A327C-A909-406C-83F0-2B43835F4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25E7"/>
  </w:style>
  <w:style w:type="paragraph" w:styleId="Antrat1">
    <w:name w:val="heading 1"/>
    <w:basedOn w:val="prastasis"/>
    <w:next w:val="prastasis"/>
    <w:link w:val="Antrat1Diagrama"/>
    <w:qFormat/>
    <w:rsid w:val="004125E7"/>
    <w:pPr>
      <w:keepNext/>
      <w:spacing w:before="240" w:after="60" w:line="240" w:lineRule="auto"/>
      <w:outlineLvl w:val="0"/>
    </w:pPr>
    <w:rPr>
      <w:rFonts w:ascii="Arial" w:eastAsia="Times New Roman" w:hAnsi="Arial" w:cs="Arial"/>
      <w:b/>
      <w:bCs/>
      <w:kern w:val="32"/>
      <w:sz w:val="32"/>
      <w:szCs w:val="32"/>
      <w:lang w:val="en-GB" w:eastAsia="lt-LT"/>
    </w:rPr>
  </w:style>
  <w:style w:type="paragraph" w:styleId="Antrat2">
    <w:name w:val="heading 2"/>
    <w:basedOn w:val="prastasis"/>
    <w:next w:val="prastasis"/>
    <w:link w:val="Antrat2Diagrama"/>
    <w:qFormat/>
    <w:rsid w:val="004125E7"/>
    <w:pPr>
      <w:keepNext/>
      <w:spacing w:before="240" w:after="60" w:line="240" w:lineRule="auto"/>
      <w:outlineLvl w:val="1"/>
    </w:pPr>
    <w:rPr>
      <w:rFonts w:ascii="Arial" w:eastAsia="Times New Roman" w:hAnsi="Arial" w:cs="Arial"/>
      <w:b/>
      <w:bCs/>
      <w:i/>
      <w:iCs/>
      <w:sz w:val="28"/>
      <w:szCs w:val="28"/>
      <w:lang w:val="en-GB" w:eastAsia="lt-LT"/>
    </w:rPr>
  </w:style>
  <w:style w:type="paragraph" w:styleId="Antrat3">
    <w:name w:val="heading 3"/>
    <w:basedOn w:val="prastasis"/>
    <w:next w:val="prastasis"/>
    <w:link w:val="Antrat3Diagrama"/>
    <w:qFormat/>
    <w:rsid w:val="004125E7"/>
    <w:pPr>
      <w:keepNext/>
      <w:spacing w:before="240" w:after="60" w:line="240" w:lineRule="auto"/>
      <w:outlineLvl w:val="2"/>
    </w:pPr>
    <w:rPr>
      <w:rFonts w:ascii="Arial" w:eastAsia="Times New Roman" w:hAnsi="Arial" w:cs="Arial"/>
      <w:b/>
      <w:bCs/>
      <w:sz w:val="26"/>
      <w:szCs w:val="26"/>
      <w:lang w:val="en-GB" w:eastAsia="lt-LT"/>
    </w:rPr>
  </w:style>
  <w:style w:type="paragraph" w:styleId="Antrat4">
    <w:name w:val="heading 4"/>
    <w:basedOn w:val="prastasis"/>
    <w:next w:val="prastasis"/>
    <w:link w:val="Antrat4Diagrama"/>
    <w:qFormat/>
    <w:rsid w:val="004125E7"/>
    <w:pPr>
      <w:keepNext/>
      <w:spacing w:after="0" w:line="240" w:lineRule="auto"/>
      <w:jc w:val="both"/>
      <w:outlineLvl w:val="3"/>
    </w:pPr>
    <w:rPr>
      <w:rFonts w:ascii="Times New Roman" w:eastAsia="Times New Roman" w:hAnsi="Times New Roman" w:cs="Times New Roman"/>
      <w:b/>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125E7"/>
    <w:rPr>
      <w:rFonts w:ascii="Arial" w:eastAsia="Times New Roman" w:hAnsi="Arial" w:cs="Arial"/>
      <w:b/>
      <w:bCs/>
      <w:kern w:val="32"/>
      <w:sz w:val="32"/>
      <w:szCs w:val="32"/>
      <w:lang w:val="en-GB" w:eastAsia="lt-LT"/>
    </w:rPr>
  </w:style>
  <w:style w:type="character" w:customStyle="1" w:styleId="Antrat2Diagrama">
    <w:name w:val="Antraštė 2 Diagrama"/>
    <w:basedOn w:val="Numatytasispastraiposriftas"/>
    <w:link w:val="Antrat2"/>
    <w:rsid w:val="004125E7"/>
    <w:rPr>
      <w:rFonts w:ascii="Arial" w:eastAsia="Times New Roman" w:hAnsi="Arial" w:cs="Arial"/>
      <w:b/>
      <w:bCs/>
      <w:i/>
      <w:iCs/>
      <w:sz w:val="28"/>
      <w:szCs w:val="28"/>
      <w:lang w:val="en-GB" w:eastAsia="lt-LT"/>
    </w:rPr>
  </w:style>
  <w:style w:type="character" w:customStyle="1" w:styleId="Antrat3Diagrama">
    <w:name w:val="Antraštė 3 Diagrama"/>
    <w:basedOn w:val="Numatytasispastraiposriftas"/>
    <w:link w:val="Antrat3"/>
    <w:rsid w:val="004125E7"/>
    <w:rPr>
      <w:rFonts w:ascii="Arial" w:eastAsia="Times New Roman" w:hAnsi="Arial" w:cs="Arial"/>
      <w:b/>
      <w:bCs/>
      <w:sz w:val="26"/>
      <w:szCs w:val="26"/>
      <w:lang w:val="en-GB" w:eastAsia="lt-LT"/>
    </w:rPr>
  </w:style>
  <w:style w:type="character" w:customStyle="1" w:styleId="Antrat4Diagrama">
    <w:name w:val="Antraštė 4 Diagrama"/>
    <w:basedOn w:val="Numatytasispastraiposriftas"/>
    <w:link w:val="Antrat4"/>
    <w:rsid w:val="004125E7"/>
    <w:rPr>
      <w:rFonts w:ascii="Times New Roman" w:eastAsia="Times New Roman" w:hAnsi="Times New Roman" w:cs="Times New Roman"/>
      <w:b/>
      <w:szCs w:val="20"/>
      <w:lang w:val="lt-LT" w:eastAsia="lt-LT"/>
    </w:rPr>
  </w:style>
  <w:style w:type="numbering" w:customStyle="1" w:styleId="NoList1">
    <w:name w:val="No List1"/>
    <w:next w:val="Sraonra"/>
    <w:uiPriority w:val="99"/>
    <w:semiHidden/>
    <w:unhideWhenUsed/>
    <w:rsid w:val="004125E7"/>
  </w:style>
  <w:style w:type="paragraph" w:customStyle="1" w:styleId="BT-EMEASMCA">
    <w:name w:val="BT- EMEA_SMCA"/>
    <w:basedOn w:val="BTEMEASMCA"/>
    <w:autoRedefine/>
    <w:rsid w:val="004125E7"/>
    <w:pPr>
      <w:tabs>
        <w:tab w:val="clear" w:pos="540"/>
        <w:tab w:val="clear" w:pos="2127"/>
        <w:tab w:val="clear" w:pos="2977"/>
        <w:tab w:val="left" w:pos="0"/>
      </w:tabs>
    </w:pPr>
  </w:style>
  <w:style w:type="paragraph" w:customStyle="1" w:styleId="BTEMEASMCA">
    <w:name w:val="BT EMEA_SMCA"/>
    <w:basedOn w:val="prastasis"/>
    <w:link w:val="BTEMEASMCAChar"/>
    <w:autoRedefine/>
    <w:rsid w:val="004125E7"/>
    <w:pPr>
      <w:tabs>
        <w:tab w:val="left" w:pos="540"/>
        <w:tab w:val="left" w:pos="2127"/>
        <w:tab w:val="left" w:pos="2977"/>
      </w:tabs>
      <w:spacing w:after="0" w:line="240" w:lineRule="auto"/>
    </w:pPr>
    <w:rPr>
      <w:rFonts w:ascii="Times New Roman" w:eastAsia="Times New Roman" w:hAnsi="Times New Roman" w:cs="Times New Roman"/>
      <w:lang w:val="lt-LT"/>
    </w:rPr>
  </w:style>
  <w:style w:type="character" w:customStyle="1" w:styleId="BTEMEASMCAChar">
    <w:name w:val="BT EMEA_SMCA Char"/>
    <w:link w:val="BTEMEASMCA"/>
    <w:locked/>
    <w:rsid w:val="004125E7"/>
    <w:rPr>
      <w:rFonts w:ascii="Times New Roman" w:eastAsia="Times New Roman" w:hAnsi="Times New Roman" w:cs="Times New Roman"/>
      <w:lang w:val="lt-LT"/>
    </w:rPr>
  </w:style>
  <w:style w:type="paragraph" w:customStyle="1" w:styleId="TTEMEASMCA">
    <w:name w:val="TT EMEA_SMCA"/>
    <w:basedOn w:val="Antrat1"/>
    <w:link w:val="TTEMEASMCAChar"/>
    <w:autoRedefine/>
    <w:rsid w:val="004125E7"/>
    <w:pPr>
      <w:keepNext w:val="0"/>
      <w:tabs>
        <w:tab w:val="left" w:pos="567"/>
      </w:tabs>
      <w:spacing w:before="0" w:after="0"/>
      <w:ind w:left="567" w:hanging="567"/>
      <w:jc w:val="center"/>
    </w:pPr>
    <w:rPr>
      <w:rFonts w:ascii="Times New Roman" w:hAnsi="Times New Roman" w:cs="Times New Roman"/>
      <w:bCs w:val="0"/>
      <w:caps/>
      <w:kern w:val="0"/>
      <w:sz w:val="22"/>
      <w:szCs w:val="20"/>
      <w:lang w:val="en-US" w:eastAsia="en-US"/>
    </w:rPr>
  </w:style>
  <w:style w:type="paragraph" w:customStyle="1" w:styleId="PI-1EMEASMCA">
    <w:name w:val="PI-1 EMEA_SMCA"/>
    <w:basedOn w:val="Antrat2"/>
    <w:autoRedefine/>
    <w:rsid w:val="004125E7"/>
    <w:pPr>
      <w:tabs>
        <w:tab w:val="left" w:pos="567"/>
      </w:tabs>
      <w:spacing w:before="0" w:after="0"/>
    </w:pPr>
    <w:rPr>
      <w:rFonts w:ascii="Times New Roman" w:hAnsi="Times New Roman" w:cs="Times New Roman"/>
      <w:bCs w:val="0"/>
      <w:i w:val="0"/>
      <w:iCs w:val="0"/>
      <w:sz w:val="22"/>
      <w:szCs w:val="20"/>
      <w:lang w:val="lt-LT" w:eastAsia="en-US"/>
    </w:rPr>
  </w:style>
  <w:style w:type="paragraph" w:customStyle="1" w:styleId="PI-2EMEASMCA">
    <w:name w:val="PI-2 EMEA_SMCA"/>
    <w:basedOn w:val="Antrat3"/>
    <w:autoRedefine/>
    <w:rsid w:val="004125E7"/>
    <w:pPr>
      <w:keepLines/>
      <w:tabs>
        <w:tab w:val="left" w:pos="567"/>
      </w:tabs>
      <w:spacing w:before="0" w:after="0"/>
      <w:ind w:left="567" w:hanging="567"/>
    </w:pPr>
    <w:rPr>
      <w:rFonts w:ascii="Times New Roman" w:hAnsi="Times New Roman" w:cs="Times New Roman"/>
      <w:bCs w:val="0"/>
      <w:kern w:val="28"/>
      <w:sz w:val="22"/>
      <w:szCs w:val="20"/>
      <w:lang w:val="lt-LT" w:eastAsia="en-US"/>
    </w:rPr>
  </w:style>
  <w:style w:type="paragraph" w:styleId="Pagrindinistekstas">
    <w:name w:val="Body Text"/>
    <w:basedOn w:val="prastasis"/>
    <w:link w:val="PagrindinistekstasDiagrama"/>
    <w:rsid w:val="004125E7"/>
    <w:pPr>
      <w:spacing w:after="120" w:line="240" w:lineRule="auto"/>
    </w:pPr>
    <w:rPr>
      <w:rFonts w:ascii="Times New Roman" w:eastAsia="Times New Roman" w:hAnsi="Times New Roman" w:cs="Times New Roman"/>
      <w:sz w:val="24"/>
      <w:szCs w:val="20"/>
      <w:lang w:val="lt-LT"/>
    </w:rPr>
  </w:style>
  <w:style w:type="character" w:customStyle="1" w:styleId="PagrindinistekstasDiagrama">
    <w:name w:val="Pagrindinis tekstas Diagrama"/>
    <w:basedOn w:val="Numatytasispastraiposriftas"/>
    <w:link w:val="Pagrindinistekstas"/>
    <w:rsid w:val="004125E7"/>
    <w:rPr>
      <w:rFonts w:ascii="Times New Roman" w:eastAsia="Times New Roman" w:hAnsi="Times New Roman" w:cs="Times New Roman"/>
      <w:sz w:val="24"/>
      <w:szCs w:val="20"/>
      <w:lang w:val="lt-LT"/>
    </w:rPr>
  </w:style>
  <w:style w:type="character" w:styleId="Hipersaitas">
    <w:name w:val="Hyperlink"/>
    <w:rsid w:val="004125E7"/>
    <w:rPr>
      <w:color w:val="0000FF"/>
      <w:u w:val="single"/>
    </w:rPr>
  </w:style>
  <w:style w:type="paragraph" w:customStyle="1" w:styleId="BTAnIIEMEASMCA">
    <w:name w:val="BT(AnII) EMEA_SMCA"/>
    <w:basedOn w:val="Debesliotekstas"/>
    <w:autoRedefine/>
    <w:rsid w:val="004125E7"/>
    <w:pPr>
      <w:tabs>
        <w:tab w:val="left" w:pos="1701"/>
      </w:tabs>
      <w:ind w:left="1701" w:hanging="567"/>
    </w:pPr>
    <w:rPr>
      <w:rFonts w:ascii="Times New Roman" w:hAnsi="Times New Roman" w:cs="Times New Roman"/>
      <w:b/>
      <w:sz w:val="22"/>
      <w:szCs w:val="20"/>
      <w:lang w:eastAsia="en-US"/>
    </w:rPr>
  </w:style>
  <w:style w:type="paragraph" w:customStyle="1" w:styleId="BTuEMEASMCA">
    <w:name w:val="BT(u) EMEA_SMCA"/>
    <w:basedOn w:val="BTEMEASMCA"/>
    <w:autoRedefine/>
    <w:rsid w:val="004125E7"/>
    <w:rPr>
      <w:u w:val="single"/>
    </w:rPr>
  </w:style>
  <w:style w:type="paragraph" w:customStyle="1" w:styleId="PI-1labEMEASMCA">
    <w:name w:val="PI-1_lab EMEA_SMCA"/>
    <w:basedOn w:val="prastasis"/>
    <w:autoRedefine/>
    <w:rsid w:val="004125E7"/>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szCs w:val="20"/>
      <w:lang w:val="en-GB"/>
    </w:rPr>
  </w:style>
  <w:style w:type="paragraph" w:customStyle="1" w:styleId="BTbeEMEASMCA">
    <w:name w:val="BT(be) EMEA_SMCA"/>
    <w:basedOn w:val="BTEMEASMCA"/>
    <w:autoRedefine/>
    <w:rsid w:val="004125E7"/>
    <w:pPr>
      <w:jc w:val="center"/>
    </w:pPr>
    <w:rPr>
      <w:b/>
    </w:rPr>
  </w:style>
  <w:style w:type="paragraph" w:customStyle="1" w:styleId="BTeEMEASMCA">
    <w:name w:val="BT(e) EMEA_SMCA"/>
    <w:basedOn w:val="BTEMEASMCA"/>
    <w:autoRedefine/>
    <w:rsid w:val="004125E7"/>
    <w:pPr>
      <w:jc w:val="center"/>
    </w:pPr>
  </w:style>
  <w:style w:type="paragraph" w:customStyle="1" w:styleId="BTbEMEASMCA">
    <w:name w:val="BT(b) EMEA_SMCA"/>
    <w:basedOn w:val="BTEMEASMCA"/>
    <w:autoRedefine/>
    <w:rsid w:val="004125E7"/>
    <w:rPr>
      <w:b/>
    </w:rPr>
  </w:style>
  <w:style w:type="paragraph" w:customStyle="1" w:styleId="PI-3EMEASMCA">
    <w:name w:val="PI-3 EMEA_SMCA"/>
    <w:basedOn w:val="prastasis"/>
    <w:autoRedefine/>
    <w:rsid w:val="004125E7"/>
    <w:pPr>
      <w:spacing w:after="0" w:line="220" w:lineRule="exact"/>
    </w:pPr>
    <w:rPr>
      <w:rFonts w:ascii="Times New Roman" w:eastAsia="Times New Roman" w:hAnsi="Times New Roman" w:cs="Times New Roman"/>
      <w:b/>
      <w:szCs w:val="20"/>
      <w:lang w:val="lt-LT"/>
    </w:rPr>
  </w:style>
  <w:style w:type="character" w:customStyle="1" w:styleId="BT-EMEASMCAChar">
    <w:name w:val="BT- EMEA_SMCA Char"/>
    <w:rsid w:val="004125E7"/>
    <w:rPr>
      <w:noProof/>
    </w:rPr>
  </w:style>
  <w:style w:type="character" w:styleId="Puslapionumeris">
    <w:name w:val="page number"/>
    <w:rsid w:val="004125E7"/>
    <w:rPr>
      <w:rFonts w:cs="Times New Roman"/>
    </w:rPr>
  </w:style>
  <w:style w:type="paragraph" w:styleId="Porat">
    <w:name w:val="footer"/>
    <w:basedOn w:val="prastasis"/>
    <w:link w:val="PoratDiagrama"/>
    <w:rsid w:val="004125E7"/>
    <w:pPr>
      <w:tabs>
        <w:tab w:val="center" w:pos="4153"/>
        <w:tab w:val="right" w:pos="8306"/>
      </w:tabs>
      <w:spacing w:after="0" w:line="240" w:lineRule="auto"/>
    </w:pPr>
    <w:rPr>
      <w:rFonts w:ascii="Times New Roman" w:eastAsia="Times New Roman" w:hAnsi="Times New Roman" w:cs="Times New Roman"/>
      <w:sz w:val="24"/>
      <w:szCs w:val="20"/>
      <w:lang w:val="lt-LT"/>
    </w:rPr>
  </w:style>
  <w:style w:type="character" w:customStyle="1" w:styleId="PoratDiagrama">
    <w:name w:val="Poraštė Diagrama"/>
    <w:basedOn w:val="Numatytasispastraiposriftas"/>
    <w:link w:val="Porat"/>
    <w:rsid w:val="004125E7"/>
    <w:rPr>
      <w:rFonts w:ascii="Times New Roman" w:eastAsia="Times New Roman" w:hAnsi="Times New Roman" w:cs="Times New Roman"/>
      <w:sz w:val="24"/>
      <w:szCs w:val="20"/>
      <w:lang w:val="lt-LT"/>
    </w:rPr>
  </w:style>
  <w:style w:type="character" w:customStyle="1" w:styleId="hps">
    <w:name w:val="hps"/>
    <w:rsid w:val="004125E7"/>
    <w:rPr>
      <w:rFonts w:cs="Times New Roman"/>
    </w:rPr>
  </w:style>
  <w:style w:type="paragraph" w:styleId="Antrats">
    <w:name w:val="header"/>
    <w:basedOn w:val="prastasis"/>
    <w:link w:val="AntratsDiagrama"/>
    <w:rsid w:val="004125E7"/>
    <w:pPr>
      <w:tabs>
        <w:tab w:val="center" w:pos="4153"/>
        <w:tab w:val="right" w:pos="8306"/>
      </w:tabs>
      <w:autoSpaceDE w:val="0"/>
      <w:autoSpaceDN w:val="0"/>
      <w:spacing w:after="0" w:line="240" w:lineRule="auto"/>
    </w:pPr>
    <w:rPr>
      <w:rFonts w:ascii="Arial" w:eastAsia="MS Mincho" w:hAnsi="Arial" w:cs="Arial"/>
      <w:sz w:val="24"/>
      <w:szCs w:val="24"/>
      <w:lang w:val="en-GB" w:eastAsia="ja-JP"/>
    </w:rPr>
  </w:style>
  <w:style w:type="character" w:customStyle="1" w:styleId="AntratsDiagrama">
    <w:name w:val="Antraštės Diagrama"/>
    <w:basedOn w:val="Numatytasispastraiposriftas"/>
    <w:link w:val="Antrats"/>
    <w:rsid w:val="004125E7"/>
    <w:rPr>
      <w:rFonts w:ascii="Arial" w:eastAsia="MS Mincho" w:hAnsi="Arial" w:cs="Arial"/>
      <w:sz w:val="24"/>
      <w:szCs w:val="24"/>
      <w:lang w:val="en-GB" w:eastAsia="ja-JP"/>
    </w:rPr>
  </w:style>
  <w:style w:type="character" w:customStyle="1" w:styleId="TTEMEASMCAChar">
    <w:name w:val="TT EMEA_SMCA Char"/>
    <w:link w:val="TTEMEASMCA"/>
    <w:locked/>
    <w:rsid w:val="004125E7"/>
    <w:rPr>
      <w:rFonts w:ascii="Times New Roman" w:eastAsia="Times New Roman" w:hAnsi="Times New Roman" w:cs="Times New Roman"/>
      <w:b/>
      <w:caps/>
      <w:szCs w:val="20"/>
    </w:rPr>
  </w:style>
  <w:style w:type="paragraph" w:styleId="Debesliotekstas">
    <w:name w:val="Balloon Text"/>
    <w:basedOn w:val="prastasis"/>
    <w:link w:val="DebesliotekstasDiagrama"/>
    <w:semiHidden/>
    <w:rsid w:val="004125E7"/>
    <w:pPr>
      <w:spacing w:after="0" w:line="240" w:lineRule="auto"/>
    </w:pPr>
    <w:rPr>
      <w:rFonts w:ascii="Tahoma" w:eastAsia="Times New Roman" w:hAnsi="Tahoma" w:cs="Tahoma"/>
      <w:sz w:val="16"/>
      <w:szCs w:val="16"/>
      <w:lang w:val="en-GB" w:eastAsia="lt-LT"/>
    </w:rPr>
  </w:style>
  <w:style w:type="character" w:customStyle="1" w:styleId="DebesliotekstasDiagrama">
    <w:name w:val="Debesėlio tekstas Diagrama"/>
    <w:basedOn w:val="Numatytasispastraiposriftas"/>
    <w:link w:val="Debesliotekstas"/>
    <w:semiHidden/>
    <w:rsid w:val="004125E7"/>
    <w:rPr>
      <w:rFonts w:ascii="Tahoma" w:eastAsia="Times New Roman" w:hAnsi="Tahoma" w:cs="Tahoma"/>
      <w:sz w:val="16"/>
      <w:szCs w:val="16"/>
      <w:lang w:val="en-GB" w:eastAsia="lt-LT"/>
    </w:rPr>
  </w:style>
  <w:style w:type="paragraph" w:customStyle="1" w:styleId="Default">
    <w:name w:val="Default"/>
    <w:rsid w:val="004125E7"/>
    <w:pPr>
      <w:autoSpaceDE w:val="0"/>
      <w:autoSpaceDN w:val="0"/>
      <w:adjustRightInd w:val="0"/>
      <w:spacing w:after="0" w:line="240" w:lineRule="auto"/>
    </w:pPr>
    <w:rPr>
      <w:rFonts w:ascii="Verdana" w:eastAsia="Times New Roman" w:hAnsi="Verdana" w:cs="Verdana"/>
      <w:color w:val="000000"/>
      <w:sz w:val="24"/>
      <w:szCs w:val="24"/>
    </w:rPr>
  </w:style>
  <w:style w:type="character" w:styleId="Komentaronuoroda">
    <w:name w:val="annotation reference"/>
    <w:basedOn w:val="Numatytasispastraiposriftas"/>
    <w:uiPriority w:val="99"/>
    <w:semiHidden/>
    <w:unhideWhenUsed/>
    <w:rsid w:val="004125E7"/>
    <w:rPr>
      <w:sz w:val="16"/>
      <w:szCs w:val="16"/>
    </w:rPr>
  </w:style>
  <w:style w:type="paragraph" w:styleId="Komentarotekstas">
    <w:name w:val="annotation text"/>
    <w:basedOn w:val="prastasis"/>
    <w:link w:val="KomentarotekstasDiagrama"/>
    <w:uiPriority w:val="99"/>
    <w:semiHidden/>
    <w:unhideWhenUsed/>
    <w:rsid w:val="004125E7"/>
    <w:pPr>
      <w:spacing w:after="0" w:line="240" w:lineRule="auto"/>
    </w:pPr>
    <w:rPr>
      <w:rFonts w:ascii="Times New Roman" w:eastAsia="Times New Roman" w:hAnsi="Times New Roman" w:cs="Times New Roman"/>
      <w:sz w:val="20"/>
      <w:szCs w:val="20"/>
      <w:lang w:val="en-GB" w:eastAsia="lt-LT"/>
    </w:rPr>
  </w:style>
  <w:style w:type="character" w:customStyle="1" w:styleId="KomentarotekstasDiagrama">
    <w:name w:val="Komentaro tekstas Diagrama"/>
    <w:basedOn w:val="Numatytasispastraiposriftas"/>
    <w:link w:val="Komentarotekstas"/>
    <w:uiPriority w:val="99"/>
    <w:semiHidden/>
    <w:rsid w:val="004125E7"/>
    <w:rPr>
      <w:rFonts w:ascii="Times New Roman" w:eastAsia="Times New Roman" w:hAnsi="Times New Roman" w:cs="Times New Roman"/>
      <w:sz w:val="20"/>
      <w:szCs w:val="20"/>
      <w:lang w:val="en-GB" w:eastAsia="lt-LT"/>
    </w:rPr>
  </w:style>
  <w:style w:type="paragraph" w:styleId="Komentarotema">
    <w:name w:val="annotation subject"/>
    <w:basedOn w:val="Komentarotekstas"/>
    <w:next w:val="Komentarotekstas"/>
    <w:link w:val="KomentarotemaDiagrama"/>
    <w:uiPriority w:val="99"/>
    <w:semiHidden/>
    <w:unhideWhenUsed/>
    <w:rsid w:val="004125E7"/>
    <w:rPr>
      <w:b/>
      <w:bCs/>
    </w:rPr>
  </w:style>
  <w:style w:type="character" w:customStyle="1" w:styleId="KomentarotemaDiagrama">
    <w:name w:val="Komentaro tema Diagrama"/>
    <w:basedOn w:val="KomentarotekstasDiagrama"/>
    <w:link w:val="Komentarotema"/>
    <w:uiPriority w:val="99"/>
    <w:semiHidden/>
    <w:rsid w:val="004125E7"/>
    <w:rPr>
      <w:rFonts w:ascii="Times New Roman" w:eastAsia="Times New Roman" w:hAnsi="Times New Roman" w:cs="Times New Roman"/>
      <w:b/>
      <w:bCs/>
      <w:sz w:val="20"/>
      <w:szCs w:val="20"/>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lt@berlin-chemie.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file:///C:\941,1"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42119</Words>
  <Characters>24008</Characters>
  <Application>Microsoft Office Word</Application>
  <DocSecurity>4</DocSecurity>
  <Lines>200</Lines>
  <Paragraphs>131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014</dc:creator>
  <cp:lastModifiedBy>Albina Burkauskaitė</cp:lastModifiedBy>
  <cp:revision>2</cp:revision>
  <dcterms:created xsi:type="dcterms:W3CDTF">2025-04-07T12:54:00Z</dcterms:created>
  <dcterms:modified xsi:type="dcterms:W3CDTF">2025-04-07T12:54:00Z</dcterms:modified>
</cp:coreProperties>
</file>