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1372A" w14:textId="77777777" w:rsidR="004125E7" w:rsidRPr="00C92BDF" w:rsidRDefault="004125E7" w:rsidP="004125E7">
      <w:pPr>
        <w:spacing w:after="0" w:line="240" w:lineRule="auto"/>
        <w:rPr>
          <w:rFonts w:ascii="Times New Roman" w:eastAsia="Times New Roman" w:hAnsi="Times New Roman" w:cs="Times New Roman"/>
          <w:lang w:val="en-GB" w:eastAsia="lt-LT"/>
        </w:rPr>
      </w:pPr>
      <w:bookmarkStart w:id="0" w:name="_GoBack"/>
      <w:bookmarkEnd w:id="0"/>
    </w:p>
    <w:p w14:paraId="0E7E3DB3"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1C11B4C0"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6E4FF07B"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0BC98A82"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4DD35F63"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40FF41B7"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1B88E0C6"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6D23D6DB"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12F681FA" w14:textId="77777777" w:rsidR="004125E7" w:rsidRPr="00C92BDF" w:rsidRDefault="004125E7" w:rsidP="004125E7">
      <w:pPr>
        <w:spacing w:after="0" w:line="240" w:lineRule="auto"/>
        <w:rPr>
          <w:rFonts w:ascii="Times New Roman" w:eastAsia="Times New Roman" w:hAnsi="Times New Roman" w:cs="Times New Roman"/>
          <w:lang w:val="en-GB" w:eastAsia="lt-LT"/>
        </w:rPr>
      </w:pPr>
    </w:p>
    <w:p w14:paraId="15E5156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07227F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67426F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108A63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3DD011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080A8C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2D79BB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47D382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2E13D3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5F62E2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055CA2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6397CF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67C8D3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3423D4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I PRIEDAS</w:t>
      </w:r>
    </w:p>
    <w:p w14:paraId="0F351BB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75164C"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PREPARATO CHARAKTERISTIKŲ SANTRAUKA</w:t>
      </w:r>
    </w:p>
    <w:p w14:paraId="3DE51AC8"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br w:type="page"/>
      </w:r>
      <w:r w:rsidRPr="00C92BDF">
        <w:rPr>
          <w:rFonts w:ascii="Times New Roman" w:eastAsia="Times New Roman" w:hAnsi="Times New Roman" w:cs="Times New Roman"/>
          <w:b/>
          <w:lang w:val="lt-LT"/>
        </w:rPr>
        <w:lastRenderedPageBreak/>
        <w:t>1.</w:t>
      </w:r>
      <w:r w:rsidRPr="00C92BDF">
        <w:rPr>
          <w:rFonts w:ascii="Times New Roman" w:eastAsia="Times New Roman" w:hAnsi="Times New Roman" w:cs="Times New Roman"/>
          <w:b/>
          <w:lang w:val="lt-LT"/>
        </w:rPr>
        <w:tab/>
        <w:t>VAISTINIO PREPARATO PAVADINIMAS</w:t>
      </w:r>
    </w:p>
    <w:p w14:paraId="194134D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594C8D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dengtos tabletės</w:t>
      </w:r>
    </w:p>
    <w:p w14:paraId="67E9A47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20 mg plėvele dengtos tabletės</w:t>
      </w:r>
    </w:p>
    <w:p w14:paraId="09564FB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lang w:val="lt-LT"/>
        </w:rPr>
        <w:t>Mesar 40 mg plėvele dengtos tabletės</w:t>
      </w:r>
    </w:p>
    <w:p w14:paraId="4F3C7F4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EEB032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8E4085D" w14:textId="77777777" w:rsidR="004125E7" w:rsidRPr="00C92BDF" w:rsidRDefault="004125E7" w:rsidP="004125E7">
      <w:pPr>
        <w:keepNext/>
        <w:tabs>
          <w:tab w:val="left" w:pos="567"/>
          <w:tab w:val="left" w:pos="900"/>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2.</w:t>
      </w:r>
      <w:r w:rsidRPr="00C92BDF">
        <w:rPr>
          <w:rFonts w:ascii="Times New Roman" w:eastAsia="Times New Roman" w:hAnsi="Times New Roman" w:cs="Times New Roman"/>
          <w:b/>
          <w:lang w:val="lt-LT"/>
        </w:rPr>
        <w:tab/>
        <w:t>KOKYBINĖ IR KIEKYBINĖ SUDĖTIS</w:t>
      </w:r>
    </w:p>
    <w:p w14:paraId="5F21CFE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F3164A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Kiekvienoje Mesar 10 mg plėvele dengtoje tabletėje yra 10 mg olmesartano medoksomilio.</w:t>
      </w:r>
    </w:p>
    <w:p w14:paraId="14EE1F3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Kiekvienoje Mesar 20 mg plėvele dengtoje tabletėje yra 20 mg olmesartano medoksomilio.</w:t>
      </w:r>
    </w:p>
    <w:p w14:paraId="0E2FAF8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Kiekvienoje Mesar 40 mg plėvele dengtoje tabletėje yra 40 mg olmesartano medoksomilio.</w:t>
      </w:r>
    </w:p>
    <w:p w14:paraId="566DE39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0C153B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u w:val="single"/>
          <w:lang w:val="lt-LT"/>
        </w:rPr>
        <w:t>Pagalbinė medžiaga, kurios poveikis žinomas</w:t>
      </w:r>
      <w:r w:rsidRPr="00C92BDF">
        <w:rPr>
          <w:rFonts w:ascii="Times New Roman" w:eastAsia="Times New Roman" w:hAnsi="Times New Roman" w:cs="Times New Roman"/>
          <w:lang w:val="lt-LT"/>
        </w:rPr>
        <w:t>:</w:t>
      </w:r>
    </w:p>
    <w:p w14:paraId="23B4E22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dengta tabletė: kiekvienoje plėvele dengtoje tabletėje yra 61,6 mg laktozės monohidrato.</w:t>
      </w:r>
    </w:p>
    <w:p w14:paraId="6D55C49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20 mg plėvele dengta tabletė: kiekvienoje plėvele dengtoje tabletėje yra 123,2 mg laktozės monohidrato.</w:t>
      </w:r>
    </w:p>
    <w:p w14:paraId="0E64CD4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40 mg plėvele dengta tabletė: kiekvienoje plėvele dengtoje tabletėje yra 246,4 mg laktozės monohidrato.</w:t>
      </w:r>
    </w:p>
    <w:p w14:paraId="4C24A5A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4F4486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Visos pagalbinės medžiagos išvardytos 6.1 skyriuje.</w:t>
      </w:r>
    </w:p>
    <w:p w14:paraId="1A8B0CA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371766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2D914EF" w14:textId="77777777" w:rsidR="004125E7" w:rsidRPr="00C92BDF" w:rsidRDefault="004125E7" w:rsidP="004125E7">
      <w:pPr>
        <w:keepNext/>
        <w:tabs>
          <w:tab w:val="left" w:pos="567"/>
          <w:tab w:val="left" w:pos="900"/>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3.</w:t>
      </w:r>
      <w:r w:rsidRPr="00C92BDF">
        <w:rPr>
          <w:rFonts w:ascii="Times New Roman" w:eastAsia="Times New Roman" w:hAnsi="Times New Roman" w:cs="Times New Roman"/>
          <w:b/>
          <w:lang w:val="lt-LT"/>
        </w:rPr>
        <w:tab/>
        <w:t>FARMACINĖ FORMA</w:t>
      </w:r>
    </w:p>
    <w:p w14:paraId="2D04C66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B3D26E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Plėvele dengta tabletė.</w:t>
      </w:r>
    </w:p>
    <w:p w14:paraId="6409531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Mesar 10 mg </w:t>
      </w:r>
      <w:r w:rsidRPr="00C92BDF">
        <w:rPr>
          <w:rFonts w:ascii="Times New Roman" w:eastAsia="Times New Roman" w:hAnsi="Times New Roman" w:cs="Times New Roman"/>
          <w:lang w:val="lt-LT"/>
        </w:rPr>
        <w:t xml:space="preserve">tabletės: baltos, apvalios plėvele dengtos tabletės, kurių </w:t>
      </w:r>
      <w:r>
        <w:rPr>
          <w:rFonts w:ascii="Times New Roman" w:eastAsia="Times New Roman" w:hAnsi="Times New Roman" w:cs="Times New Roman"/>
          <w:lang w:val="lt-LT"/>
        </w:rPr>
        <w:t>vienoje pusėje yra įspaudas C13</w:t>
      </w:r>
      <w:r w:rsidRPr="00C92BDF">
        <w:rPr>
          <w:rFonts w:ascii="Times New Roman" w:eastAsia="Times New Roman" w:hAnsi="Times New Roman" w:cs="Times New Roman"/>
          <w:lang w:val="lt-LT"/>
        </w:rPr>
        <w:t>.</w:t>
      </w:r>
    </w:p>
    <w:p w14:paraId="54C4780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20 mg tabletės: baltos, apvalios plėvele dengtos tabletės, kurių vienoje pusėje yra įspaudas C14.</w:t>
      </w:r>
      <w:r>
        <w:rPr>
          <w:rFonts w:ascii="Times New Roman" w:eastAsia="Times New Roman" w:hAnsi="Times New Roman" w:cs="Times New Roman"/>
          <w:lang w:val="lt-LT"/>
        </w:rPr>
        <w:t xml:space="preserve"> </w:t>
      </w:r>
      <w:r w:rsidRPr="00C92BDF">
        <w:rPr>
          <w:rFonts w:ascii="Times New Roman" w:eastAsia="Times New Roman" w:hAnsi="Times New Roman" w:cs="Times New Roman"/>
          <w:lang w:val="lt-LT"/>
        </w:rPr>
        <w:t>Mesar 40 mg tabletės: baltos, ovalios plėvele dengtos tabletės, kurių vienoje pusėje yra įspaudas C15.</w:t>
      </w:r>
    </w:p>
    <w:p w14:paraId="103DC85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D3B67A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B0363E7" w14:textId="77777777" w:rsidR="004125E7" w:rsidRPr="00C92BDF" w:rsidRDefault="004125E7" w:rsidP="004125E7">
      <w:pPr>
        <w:keepNext/>
        <w:tabs>
          <w:tab w:val="left" w:pos="567"/>
          <w:tab w:val="left" w:pos="900"/>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4.</w:t>
      </w:r>
      <w:r w:rsidRPr="00C92BDF">
        <w:rPr>
          <w:rFonts w:ascii="Times New Roman" w:eastAsia="Times New Roman" w:hAnsi="Times New Roman" w:cs="Times New Roman"/>
          <w:b/>
          <w:lang w:val="lt-LT"/>
        </w:rPr>
        <w:tab/>
        <w:t>KLINIKINĖ INFORMACIJA</w:t>
      </w:r>
    </w:p>
    <w:p w14:paraId="2C1C7BA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BC043E7" w14:textId="77777777" w:rsidR="004125E7" w:rsidRPr="00C92BDF" w:rsidRDefault="004125E7" w:rsidP="004125E7">
      <w:pPr>
        <w:keepNext/>
        <w:keepLines/>
        <w:tabs>
          <w:tab w:val="left" w:pos="567"/>
          <w:tab w:val="left" w:pos="900"/>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4.1</w:t>
      </w:r>
      <w:r w:rsidRPr="00C92BDF">
        <w:rPr>
          <w:rFonts w:ascii="Times New Roman" w:eastAsia="Times New Roman" w:hAnsi="Times New Roman" w:cs="Times New Roman"/>
          <w:b/>
          <w:kern w:val="28"/>
          <w:lang w:val="lt-LT"/>
        </w:rPr>
        <w:tab/>
        <w:t>Terapinės indikacijos</w:t>
      </w:r>
    </w:p>
    <w:p w14:paraId="79F9E26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26ED845"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Pirminės arterinės hipertenzijos gydymas</w:t>
      </w:r>
      <w:r>
        <w:rPr>
          <w:rFonts w:ascii="Times New Roman" w:eastAsia="Times New Roman" w:hAnsi="Times New Roman" w:cs="Times New Roman"/>
          <w:lang w:val="lt-LT"/>
        </w:rPr>
        <w:t xml:space="preserve"> suaugusiesiems</w:t>
      </w:r>
      <w:r w:rsidRPr="00C92BDF">
        <w:rPr>
          <w:rFonts w:ascii="Times New Roman" w:eastAsia="Times New Roman" w:hAnsi="Times New Roman" w:cs="Times New Roman"/>
          <w:lang w:val="lt-LT"/>
        </w:rPr>
        <w:t>.</w:t>
      </w:r>
    </w:p>
    <w:p w14:paraId="716B7C8C" w14:textId="77777777" w:rsidR="004125E7" w:rsidRPr="00E1194C" w:rsidRDefault="004125E7" w:rsidP="004125E7">
      <w:pPr>
        <w:autoSpaceDE w:val="0"/>
        <w:autoSpaceDN w:val="0"/>
        <w:spacing w:after="0" w:line="240" w:lineRule="auto"/>
        <w:rPr>
          <w:rFonts w:ascii="Times New Roman" w:eastAsia="MS Mincho" w:hAnsi="Times New Roman" w:cs="Times New Roman"/>
          <w:shd w:val="clear" w:color="auto" w:fill="FFFFFF"/>
          <w:lang w:val="lt-LT" w:eastAsia="ja-JP"/>
        </w:rPr>
      </w:pPr>
      <w:r w:rsidRPr="00E1194C">
        <w:rPr>
          <w:rFonts w:ascii="Times New Roman" w:eastAsia="MS Mincho" w:hAnsi="Times New Roman" w:cs="Times New Roman"/>
          <w:shd w:val="clear" w:color="auto" w:fill="FFFFFF"/>
          <w:lang w:val="lt-LT" w:eastAsia="ja-JP"/>
        </w:rPr>
        <w:t>Vaikų ir paauglių nuo 6 iki 18 metų, sergančių hipertenzija, gydymas</w:t>
      </w:r>
      <w:r>
        <w:rPr>
          <w:rFonts w:ascii="Times New Roman" w:eastAsia="MS Mincho" w:hAnsi="Times New Roman" w:cs="Times New Roman"/>
          <w:shd w:val="clear" w:color="auto" w:fill="FFFFFF"/>
          <w:lang w:val="lt-LT" w:eastAsia="ja-JP"/>
        </w:rPr>
        <w:t>.</w:t>
      </w:r>
    </w:p>
    <w:p w14:paraId="4395EA8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952AAD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370A843" w14:textId="77777777" w:rsidR="004125E7" w:rsidRPr="00C92BDF" w:rsidRDefault="004125E7" w:rsidP="004125E7">
      <w:pPr>
        <w:keepNext/>
        <w:keepLines/>
        <w:tabs>
          <w:tab w:val="left" w:pos="567"/>
          <w:tab w:val="left" w:pos="900"/>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4.2</w:t>
      </w:r>
      <w:r w:rsidRPr="00C92BDF">
        <w:rPr>
          <w:rFonts w:ascii="Times New Roman" w:eastAsia="Times New Roman" w:hAnsi="Times New Roman" w:cs="Times New Roman"/>
          <w:b/>
          <w:kern w:val="28"/>
          <w:lang w:val="lt-LT"/>
        </w:rPr>
        <w:tab/>
        <w:t>Dozavimas ir vartojimo metodas</w:t>
      </w:r>
    </w:p>
    <w:p w14:paraId="33F3E7F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F1779A0" w14:textId="77777777" w:rsidR="004125E7" w:rsidRPr="00C92BDF" w:rsidRDefault="004125E7" w:rsidP="004125E7">
      <w:pPr>
        <w:tabs>
          <w:tab w:val="left" w:pos="900"/>
        </w:tabs>
        <w:spacing w:after="0" w:line="240" w:lineRule="auto"/>
        <w:jc w:val="both"/>
        <w:rPr>
          <w:rFonts w:ascii="Times New Roman" w:eastAsia="Times New Roman" w:hAnsi="Times New Roman" w:cs="Times New Roman"/>
          <w:u w:val="single"/>
          <w:lang w:val="lt-LT" w:eastAsia="lt-LT"/>
        </w:rPr>
      </w:pPr>
      <w:r w:rsidRPr="00C92BDF">
        <w:rPr>
          <w:rFonts w:ascii="Times New Roman" w:eastAsia="Times New Roman" w:hAnsi="Times New Roman" w:cs="Times New Roman"/>
          <w:u w:val="single"/>
          <w:lang w:val="lt-LT" w:eastAsia="lt-LT"/>
        </w:rPr>
        <w:t>Dozavimas</w:t>
      </w:r>
    </w:p>
    <w:p w14:paraId="32A1C91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AD3D26" w14:textId="77777777" w:rsidR="004125E7" w:rsidRPr="00C92BDF" w:rsidRDefault="004125E7" w:rsidP="004125E7">
      <w:pPr>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Suaugusieji</w:t>
      </w:r>
    </w:p>
    <w:p w14:paraId="280F859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Pradinė gydymo olmesartanu medoksomiliu dozė yra 10 mg vieną kartą per parą. Jei, skyrus šią dozę, ligonio kraujospūdis netampa normalus, olmesartano medoksomilio dozė gali būti padidinta iki optimalios – 20 mg vieną kartą per parą. Jei kraujospūdį reikia dar labiau sumažinti, olmesartano medoksomilio dozę galima padidinti ne daugiau kaip iki 40 mg per parą arba prie šio vaistinio preparato papildomai skirti hidrochlorotiazido.</w:t>
      </w:r>
    </w:p>
    <w:p w14:paraId="7684C0D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medoksomilio kraujospūdį mažinantis poveikis reikšmingai stiprėja pirmąsias dvi</w:t>
      </w:r>
      <w:r w:rsidRPr="00C92BDF">
        <w:rPr>
          <w:rFonts w:ascii="Times New Roman" w:eastAsia="Times New Roman" w:hAnsi="Times New Roman" w:cs="Times New Roman"/>
          <w:color w:val="FF0000"/>
          <w:lang w:val="lt-LT"/>
        </w:rPr>
        <w:t xml:space="preserve"> </w:t>
      </w:r>
      <w:r w:rsidRPr="00C92BDF">
        <w:rPr>
          <w:rFonts w:ascii="Times New Roman" w:eastAsia="Times New Roman" w:hAnsi="Times New Roman" w:cs="Times New Roman"/>
          <w:lang w:val="lt-LT"/>
        </w:rPr>
        <w:t>gydymo savaites ir intensyviausiai reiškiasi po 8 savaičių. Tai reikia prisiminti, kai sprendžiama dėl dozės pakeitimo pacientui.</w:t>
      </w:r>
    </w:p>
    <w:p w14:paraId="5DE6701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Siekiant padėti prisitaikyti prie vaistinio preparato, pacientui patariama jį vartoti apytikriai tuo pačiu paros metu tiek nevalgius, tiek valgant, pvz., pusryčiaujant.</w:t>
      </w:r>
    </w:p>
    <w:p w14:paraId="6C66EB8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367B88C" w14:textId="77777777" w:rsidR="004125E7" w:rsidRPr="00C92BDF" w:rsidRDefault="004125E7" w:rsidP="004125E7">
      <w:pPr>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Senyvi pacientai (65 metai arba vyresni)</w:t>
      </w:r>
    </w:p>
    <w:p w14:paraId="7D1FA667" w14:textId="77777777" w:rsidR="004125E7" w:rsidRPr="00C92BDF" w:rsidRDefault="004125E7" w:rsidP="004125E7">
      <w:pPr>
        <w:tabs>
          <w:tab w:val="left" w:pos="90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Senyviems pacientams dozės koreguoti nereikia (žr. žemiau apie dozavimą esant inkstų veiklos sutrikimui). Jei dozę reikia pamažu didinti iki 40 mg per parą, reikia labai atidžiai stebėti paciento kraujospūdį.</w:t>
      </w:r>
    </w:p>
    <w:p w14:paraId="423FAB90" w14:textId="77777777" w:rsidR="004125E7" w:rsidRPr="00C92BDF" w:rsidRDefault="004125E7" w:rsidP="004125E7">
      <w:pPr>
        <w:tabs>
          <w:tab w:val="left" w:pos="900"/>
        </w:tabs>
        <w:spacing w:after="0" w:line="240" w:lineRule="auto"/>
        <w:rPr>
          <w:rFonts w:ascii="Times New Roman" w:eastAsia="Times New Roman" w:hAnsi="Times New Roman" w:cs="Times New Roman"/>
          <w:lang w:val="lt-LT"/>
        </w:rPr>
      </w:pPr>
    </w:p>
    <w:p w14:paraId="1FA58DC1" w14:textId="77777777" w:rsidR="004125E7" w:rsidRPr="00C92BDF" w:rsidRDefault="004125E7" w:rsidP="004125E7">
      <w:pPr>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Pacientams, kurių inkstų funkcija sutrikusi</w:t>
      </w:r>
    </w:p>
    <w:p w14:paraId="2D3BE1CF" w14:textId="77777777" w:rsidR="004125E7" w:rsidRPr="00C92BDF" w:rsidRDefault="004125E7" w:rsidP="004125E7">
      <w:pPr>
        <w:tabs>
          <w:tab w:val="left" w:pos="90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Esant lengvam ar vidutinio sunkumo inkstų veiklos sutrikimui (kreatinino klirensas 20-60 ml/min.), olmesartano medoksomilio dozė yra 20 mg vieną kartą per parą, nes apie didesnių dozių vartojimą šiai pacientų grupei nesukaupta pakankamai patyrimo. Olmesartanu medoksomiliu gydyti pacientus, kuriems yra sunkus inkstų veiklos sutrikimas (kreatinino klirensas mažiau kaip 20 ml/min.), nepatariama, nes jo vartojimo patirtis šios grupės pacientams gydyti yra per maža (žr. 4.4 ir 5.2 skyrius).</w:t>
      </w:r>
    </w:p>
    <w:p w14:paraId="6D527A9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036F6FD" w14:textId="77777777" w:rsidR="004125E7" w:rsidRPr="00C92BDF" w:rsidRDefault="004125E7" w:rsidP="004125E7">
      <w:pPr>
        <w:widowControl w:val="0"/>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Pacientams, kurių kepenų funkcija sutrikusi</w:t>
      </w:r>
    </w:p>
    <w:p w14:paraId="27ADF77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Esant lengvam kepenų veiklos sutrikimui, dozės koreguoti nereikia. Esant vidutinio sunkumo kepenų veiklos sutrikimui, iš pradžių patariama vartoti po 10 mg olmesartano medoksomilio, o didžiausia dozė neturi viršyti 20 mg vieną kartą per parą. Jei, esant kepenų veiklos sutrikimui, pacientas gydomas diuretikais ir (arba) kitais vaistiniais preparatais nuo hipertenzijos, reikia atidžiai stebėti kraujospūdį ir inkstų veiklą. Olmesartano medoksomilio vartojimo pacientams, kuriems nustatytas sunkus kepenų veiklos sutrikimas, patirties nėra, todėl šios grupės pacientų juo gydyti nerekomenduojama (žr. 4.4 ir 5.2 skyrius). Olmesartano medoksomilio negalima vartoti esant tulžies latakų obstrukcijai (žr. 4.3 skyrių).</w:t>
      </w:r>
    </w:p>
    <w:p w14:paraId="57FC5D5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796824B" w14:textId="77777777" w:rsidR="004125E7" w:rsidRPr="000A1801" w:rsidRDefault="004125E7" w:rsidP="004125E7">
      <w:pPr>
        <w:tabs>
          <w:tab w:val="left" w:pos="540"/>
          <w:tab w:val="left" w:pos="2127"/>
          <w:tab w:val="left" w:pos="2977"/>
        </w:tabs>
        <w:spacing w:after="0" w:line="240" w:lineRule="auto"/>
        <w:rPr>
          <w:rFonts w:ascii="Times New Roman" w:eastAsia="Times New Roman" w:hAnsi="Times New Roman" w:cs="Times New Roman"/>
          <w:i/>
          <w:u w:val="single"/>
          <w:lang w:val="lt-LT"/>
        </w:rPr>
      </w:pPr>
      <w:r w:rsidRPr="000A1801">
        <w:rPr>
          <w:rFonts w:ascii="Times New Roman" w:eastAsia="Times New Roman" w:hAnsi="Times New Roman" w:cs="Times New Roman"/>
          <w:i/>
          <w:u w:val="single"/>
          <w:lang w:val="lt-LT"/>
        </w:rPr>
        <w:t>Vaikų populiacija</w:t>
      </w:r>
    </w:p>
    <w:p w14:paraId="341131FE"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p>
    <w:p w14:paraId="12B7A056" w14:textId="77777777" w:rsidR="004125E7" w:rsidRPr="000A1801" w:rsidRDefault="004125E7" w:rsidP="004125E7">
      <w:pPr>
        <w:autoSpaceDE w:val="0"/>
        <w:autoSpaceDN w:val="0"/>
        <w:spacing w:after="0" w:line="240" w:lineRule="auto"/>
        <w:rPr>
          <w:rFonts w:ascii="Times New Roman" w:eastAsia="MS Mincho" w:hAnsi="Times New Roman" w:cs="Times New Roman"/>
          <w:i/>
          <w:shd w:val="clear" w:color="auto" w:fill="FFFFFF"/>
          <w:lang w:val="lt-LT" w:eastAsia="ja-JP"/>
        </w:rPr>
      </w:pPr>
      <w:r w:rsidRPr="000A1801">
        <w:rPr>
          <w:rFonts w:ascii="Times New Roman" w:eastAsia="MS Mincho" w:hAnsi="Times New Roman" w:cs="Times New Roman"/>
          <w:i/>
          <w:shd w:val="clear" w:color="auto" w:fill="FFFFFF"/>
          <w:lang w:val="lt-LT" w:eastAsia="ja-JP"/>
        </w:rPr>
        <w:t>6 - 18 metų vaikai ir paaugliai</w:t>
      </w:r>
    </w:p>
    <w:p w14:paraId="298ECC86" w14:textId="77777777" w:rsidR="004125E7" w:rsidRPr="00E1194C" w:rsidRDefault="004125E7" w:rsidP="004125E7">
      <w:pPr>
        <w:autoSpaceDE w:val="0"/>
        <w:autoSpaceDN w:val="0"/>
        <w:spacing w:after="0" w:line="240" w:lineRule="auto"/>
        <w:rPr>
          <w:rFonts w:ascii="Times New Roman" w:eastAsia="MS Mincho" w:hAnsi="Times New Roman" w:cs="Times New Roman"/>
          <w:shd w:val="clear" w:color="auto" w:fill="FFFFFF"/>
          <w:lang w:val="lt-LT" w:eastAsia="ja-JP"/>
        </w:rPr>
      </w:pPr>
      <w:r w:rsidRPr="00E1194C">
        <w:rPr>
          <w:rFonts w:ascii="Times New Roman" w:eastAsia="MS Mincho" w:hAnsi="Times New Roman" w:cs="Times New Roman"/>
          <w:shd w:val="clear" w:color="auto" w:fill="FFFFFF"/>
          <w:lang w:val="lt-LT" w:eastAsia="ja-JP"/>
        </w:rPr>
        <w:t>Rekomenduojama pradinė olmesartano medoksomilio dozė nuo 6 iki</w:t>
      </w:r>
      <w:r>
        <w:rPr>
          <w:rFonts w:ascii="Times New Roman" w:eastAsia="MS Mincho" w:hAnsi="Times New Roman" w:cs="Times New Roman"/>
          <w:shd w:val="clear" w:color="auto" w:fill="FFFFFF"/>
          <w:lang w:val="lt-LT" w:eastAsia="ja-JP"/>
        </w:rPr>
        <w:t xml:space="preserve"> 18 metų vaikams yra 10 mg </w:t>
      </w:r>
      <w:r w:rsidRPr="00E1194C">
        <w:rPr>
          <w:rFonts w:ascii="Times New Roman" w:eastAsia="MS Mincho" w:hAnsi="Times New Roman" w:cs="Times New Roman"/>
          <w:shd w:val="clear" w:color="auto" w:fill="FFFFFF"/>
          <w:lang w:val="lt-LT" w:eastAsia="ja-JP"/>
        </w:rPr>
        <w:t>olmesartano medoksomilio vieną kartą per parą. Vaikams, kurių k</w:t>
      </w:r>
      <w:r>
        <w:rPr>
          <w:rFonts w:ascii="Times New Roman" w:eastAsia="MS Mincho" w:hAnsi="Times New Roman" w:cs="Times New Roman"/>
          <w:shd w:val="clear" w:color="auto" w:fill="FFFFFF"/>
          <w:lang w:val="lt-LT" w:eastAsia="ja-JP"/>
        </w:rPr>
        <w:t xml:space="preserve">raujospūdis vartojant šią dozę tinkamai </w:t>
      </w:r>
      <w:r w:rsidRPr="00E1194C">
        <w:rPr>
          <w:rFonts w:ascii="Times New Roman" w:eastAsia="MS Mincho" w:hAnsi="Times New Roman" w:cs="Times New Roman"/>
          <w:shd w:val="clear" w:color="auto" w:fill="FFFFFF"/>
          <w:lang w:val="lt-LT" w:eastAsia="ja-JP"/>
        </w:rPr>
        <w:t>nekontroliuojamas, olmesartano medoksomilio dozę galima padidinti iki 20 mg vieną kartą per parą. Jei kraujospūdį reikia mažinti papildomai, vaikams, kurių kūno svoris yra ≥ 35 kg, galima padidinti iki maksimalios 40 mg dozės. Vaikams, kurių kūno svoris &lt; 35 kg, paros dozė neturi viršyti 20 mg.</w:t>
      </w:r>
    </w:p>
    <w:p w14:paraId="6648FCE1"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p>
    <w:p w14:paraId="191A398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Kitos vaikų populiacijos</w:t>
      </w:r>
    </w:p>
    <w:p w14:paraId="1E1DB83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Olmesartano medoksomilio saugumas ir veiksmingumas vaikams </w:t>
      </w:r>
      <w:r>
        <w:rPr>
          <w:rFonts w:ascii="Times New Roman" w:eastAsia="Times New Roman" w:hAnsi="Times New Roman" w:cs="Times New Roman"/>
          <w:lang w:val="lt-LT"/>
        </w:rPr>
        <w:t>1 - 5</w:t>
      </w:r>
      <w:r w:rsidRPr="00C92BDF">
        <w:rPr>
          <w:rFonts w:ascii="Times New Roman" w:eastAsia="Times New Roman" w:hAnsi="Times New Roman" w:cs="Times New Roman"/>
          <w:lang w:val="lt-LT"/>
        </w:rPr>
        <w:t xml:space="preserve"> metų </w:t>
      </w:r>
      <w:r>
        <w:rPr>
          <w:rFonts w:ascii="Times New Roman" w:eastAsia="Times New Roman" w:hAnsi="Times New Roman" w:cs="Times New Roman"/>
          <w:lang w:val="lt-LT"/>
        </w:rPr>
        <w:t xml:space="preserve">amžiaus dar </w:t>
      </w:r>
      <w:r w:rsidRPr="00C92BDF">
        <w:rPr>
          <w:rFonts w:ascii="Times New Roman" w:eastAsia="Times New Roman" w:hAnsi="Times New Roman" w:cs="Times New Roman"/>
          <w:lang w:val="lt-LT"/>
        </w:rPr>
        <w:t>neištirti. Esami duomenys aprašyti skyriuose 4.8</w:t>
      </w:r>
      <w:r>
        <w:rPr>
          <w:rFonts w:ascii="Times New Roman" w:eastAsia="Times New Roman" w:hAnsi="Times New Roman" w:cs="Times New Roman"/>
          <w:lang w:val="lt-LT"/>
        </w:rPr>
        <w:t xml:space="preserve"> ir</w:t>
      </w:r>
      <w:r w:rsidRPr="00C92BDF">
        <w:rPr>
          <w:rFonts w:ascii="Times New Roman" w:eastAsia="Times New Roman" w:hAnsi="Times New Roman" w:cs="Times New Roman"/>
          <w:lang w:val="lt-LT"/>
        </w:rPr>
        <w:t xml:space="preserve"> 5.1 , bet kokių nors rekomendacijų dėl dozavimo pateikti negalima. </w:t>
      </w:r>
    </w:p>
    <w:p w14:paraId="7530534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9F84B1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Mažesniems kaip 1 metų vaikams olmesartano medoksomilio neturėtų būti skiriama dėl vaisto saugumo ir duomenų šios grupės pacientams trūkumo.</w:t>
      </w:r>
    </w:p>
    <w:p w14:paraId="2566CD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3DC62FE" w14:textId="77777777" w:rsidR="004125E7" w:rsidRPr="00C92BDF" w:rsidRDefault="004125E7" w:rsidP="004125E7">
      <w:pPr>
        <w:tabs>
          <w:tab w:val="left" w:pos="900"/>
        </w:tabs>
        <w:spacing w:after="0" w:line="240" w:lineRule="auto"/>
        <w:jc w:val="both"/>
        <w:rPr>
          <w:rFonts w:ascii="Times New Roman" w:eastAsia="Times New Roman" w:hAnsi="Times New Roman" w:cs="Times New Roman"/>
          <w:u w:val="single"/>
          <w:lang w:val="lt-LT" w:eastAsia="lt-LT"/>
        </w:rPr>
      </w:pPr>
      <w:r w:rsidRPr="00C92BDF">
        <w:rPr>
          <w:rFonts w:ascii="Times New Roman" w:eastAsia="Times New Roman" w:hAnsi="Times New Roman" w:cs="Times New Roman"/>
          <w:u w:val="single"/>
          <w:lang w:val="lt-LT" w:eastAsia="lt-LT"/>
        </w:rPr>
        <w:t>Vartojimo metodas</w:t>
      </w:r>
    </w:p>
    <w:p w14:paraId="68CE8F3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įmanoma, paros dozę kasdien patartina gerti tokiu pačiu paros metu, pvz., pusryčiaujant. Mesar galima gerti tiek valgant, tiek nevalgius. Tabletes nurykite nekramtytas, užsigerdami nedideliu vandens kiekiu. Tabletės neturėtų būti kramtomos.</w:t>
      </w:r>
    </w:p>
    <w:p w14:paraId="57588B2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ADEC854" w14:textId="77777777" w:rsidR="004125E7" w:rsidRPr="00C92BDF" w:rsidRDefault="004125E7" w:rsidP="004125E7">
      <w:pPr>
        <w:keepNext/>
        <w:keepLines/>
        <w:tabs>
          <w:tab w:val="left" w:pos="567"/>
          <w:tab w:val="left" w:pos="900"/>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4.3</w:t>
      </w:r>
      <w:r w:rsidRPr="00C92BDF">
        <w:rPr>
          <w:rFonts w:ascii="Times New Roman" w:eastAsia="Times New Roman" w:hAnsi="Times New Roman" w:cs="Times New Roman"/>
          <w:b/>
          <w:kern w:val="28"/>
          <w:lang w:val="lt-LT"/>
        </w:rPr>
        <w:tab/>
        <w:t>Kontraindikacijos</w:t>
      </w:r>
    </w:p>
    <w:p w14:paraId="4FB8401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A7EA84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Padidėjęs jautrumas veikliajai arba bet kuriai 6.1 skyriuje nurodytai pagalbinei medžiagai.</w:t>
      </w:r>
    </w:p>
    <w:p w14:paraId="1809F53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Antras ir trečias nėštumo trimestrai (žr. 4.4 ir 4.6 skyrius).</w:t>
      </w:r>
    </w:p>
    <w:p w14:paraId="511242B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Tulžies latakų obstrukcija (žr. 5.2 skyrių).</w:t>
      </w:r>
    </w:p>
    <w:p w14:paraId="4496FFC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Pacientams, kurie serga cukriniu diabetu arba kurių inkstų funkcija sutrikusi (GFG &lt; 60 ml/min/1,73 m</w:t>
      </w:r>
      <w:r w:rsidRPr="00C92BDF">
        <w:rPr>
          <w:rFonts w:ascii="Times New Roman" w:eastAsia="Times New Roman" w:hAnsi="Times New Roman" w:cs="Times New Roman"/>
          <w:vertAlign w:val="superscript"/>
          <w:lang w:val="lt-LT"/>
        </w:rPr>
        <w:t>2</w:t>
      </w:r>
      <w:r w:rsidRPr="00C92BDF">
        <w:rPr>
          <w:rFonts w:ascii="Times New Roman" w:eastAsia="Times New Roman" w:hAnsi="Times New Roman" w:cs="Times New Roman"/>
          <w:lang w:val="lt-LT"/>
        </w:rPr>
        <w:t>), Mesar negalima vartoti kartu su preparatais, kurių sudėtyje yra aliskireno (žr. 4.5 ir 5.1 skyrius).</w:t>
      </w:r>
    </w:p>
    <w:p w14:paraId="6FDEB10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D3A6DE7" w14:textId="77777777" w:rsidR="004125E7" w:rsidRPr="00C92BDF" w:rsidRDefault="004125E7" w:rsidP="004125E7">
      <w:pPr>
        <w:keepNext/>
        <w:keepLines/>
        <w:tabs>
          <w:tab w:val="left" w:pos="567"/>
          <w:tab w:val="left" w:pos="900"/>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4.4</w:t>
      </w:r>
      <w:r w:rsidRPr="00C92BDF">
        <w:rPr>
          <w:rFonts w:ascii="Times New Roman" w:eastAsia="Times New Roman" w:hAnsi="Times New Roman" w:cs="Times New Roman"/>
          <w:b/>
          <w:kern w:val="28"/>
          <w:lang w:val="lt-LT"/>
        </w:rPr>
        <w:tab/>
        <w:t>Specialūs įspėjimai ir atsargumo priemonės</w:t>
      </w:r>
    </w:p>
    <w:p w14:paraId="55970345" w14:textId="77777777" w:rsidR="004125E7" w:rsidRPr="00C92BDF" w:rsidRDefault="004125E7" w:rsidP="004125E7">
      <w:pPr>
        <w:tabs>
          <w:tab w:val="left" w:pos="900"/>
        </w:tabs>
        <w:spacing w:after="0" w:line="240" w:lineRule="auto"/>
        <w:rPr>
          <w:rFonts w:ascii="Times New Roman" w:eastAsia="Times New Roman" w:hAnsi="Times New Roman" w:cs="Times New Roman"/>
          <w:lang w:val="lt-LT"/>
        </w:rPr>
      </w:pPr>
    </w:p>
    <w:p w14:paraId="1D654B6E" w14:textId="77777777" w:rsidR="004125E7" w:rsidRPr="00C92BDF" w:rsidRDefault="004125E7" w:rsidP="004125E7">
      <w:pPr>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Cirkuliuojančio kraujo apimties sumažėjimas</w:t>
      </w:r>
    </w:p>
    <w:p w14:paraId="520B7AE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Pacientams, kurie vartoja daug diuretikų, riboja druskos kiekį maiste, viduriuoja ar vemia gali būti hipotenzijos simptomų, ypač išgėrus pirmą vaistinio preparato dozę. Todėl, prieš skiriant vartoti olmesartaną medoksomilį, reikia išgydyti minėtas būkles.</w:t>
      </w:r>
    </w:p>
    <w:p w14:paraId="1D75BAE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88F9CA9" w14:textId="77777777" w:rsidR="004125E7" w:rsidRPr="00C92BDF" w:rsidRDefault="004125E7" w:rsidP="004125E7">
      <w:pPr>
        <w:tabs>
          <w:tab w:val="left" w:pos="900"/>
        </w:tabs>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Kitos būklės, kurių metu aktyvinama renino-angiotenzino-aldosterono sistema</w:t>
      </w:r>
    </w:p>
    <w:p w14:paraId="4879E57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Pacientų, kurių kraujagyslių tonuso būklė ir inkstų funkcija ypač priklauso nuo renino-angiotenzino-aldosterono sistemos (pvz., sergančiųjų obstrukcine širdies yda ar inkstų ligomis, įskaitant inkstų arterijos stenozę), gydymas kitais šią sistemą veikiančiais vaistiniais preparatais gali sukelti staigią hipotenziją, azoto kiekio padidėjimą kraujyje, oliguriją arba, rečiau, ūminį inkstų nepakankamumą. Negalima paneigti, kad tokį poveikį gali sukelti angiotenzino II receptorių antagonistai. </w:t>
      </w:r>
    </w:p>
    <w:p w14:paraId="07642F6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97AD52A"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Renovaskulinė hipertenzija</w:t>
      </w:r>
    </w:p>
    <w:p w14:paraId="68506AD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Gydant pacientus, kuriems nustatyta abipusė inkstų arterijos stenozė ar vienintelio funkcionuojančio inksto arterijos stenozė, vaistiniais preparatais, veikiančiais renino-aldosterono sistemą, padidėja stiprios hipotenzijos ir inkstų nepakankamumo pavojus.</w:t>
      </w:r>
    </w:p>
    <w:p w14:paraId="701EEDD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D96BB4D"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Inkstų veiklos sutrikimas ir būklė po inkstų persodinimo</w:t>
      </w:r>
    </w:p>
    <w:p w14:paraId="4A9C585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 olmesartanu medoksomiliu gydomi ligoniai, kuriems nustatyta sutrikusi inkstų funkcija, patariama reguliariai kraujo serume tirti kalio ir kreatinino kiekį. Nepatariama šiuo vaistiniu preparatu gydyti pacientus, kuriems nustatytas sunkus inkstų veiklos sutrikimas (kreatinino klirensas mažesnis nei 20 ml/min.) (žr. 4.2 ir 5.2 skyrius). Ligonių, kuriems neseniai atlikta inkstų transplantacija, arba pacientų, kuriems yra labai smarkiai sutrikusi inkstų veikla (pvz., kreatinino klirensas mažesnis nei 12 ml/min.), gydymo olmesartanu medoksomiliu patirties nėra.</w:t>
      </w:r>
    </w:p>
    <w:p w14:paraId="6AF67DB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 </w:t>
      </w:r>
    </w:p>
    <w:p w14:paraId="0D429DF8"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Kepenų veiklos sutrikimas</w:t>
      </w:r>
    </w:p>
    <w:p w14:paraId="4FB2F28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Olmesartano medoksomilio vartojimo pacientams, kuriems nustatytas sunkus kepenų veiklos sutrikimas, patirties nėra, todėl šios grupės pacientų juo gydyti nerekomenduojama (žr. 4.2 skyrių apie dozes, rekomenduojamas pacientams, kuriems nustatytas lengvas arba vidutinio sunkumo kepenų veiklos sutrikimas). </w:t>
      </w:r>
    </w:p>
    <w:p w14:paraId="1F102C0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A758E03"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Hiperkalemija</w:t>
      </w:r>
    </w:p>
    <w:p w14:paraId="1AD5ECE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Vartojant renino, angiotenzino ir aldosterono sistemą veikiančius vaistinius preparatus gali pasireikšti hiperkalemija. Pavojaus gyvybei rizika yra didesnė senyviems pacientams, ligoniams, kuriems nustatytas inkstų nepakankamumas, cukrinis diabetas, pacientams, vartojantiems kitus vaistinius preparatus, galinčius padidinti kalio kiekį organizme, ir (arba) pacientams su gydymo metu atsiradusiomis komplikacijomis.</w:t>
      </w:r>
    </w:p>
    <w:p w14:paraId="1BEDE4E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Prieš nutariant vartoti kartu renino, angiotenzino ir aldosterono sistemą veikiančius vaistinius preparatus, reikia įvertinti rizikos-naudos santykį ir aptarti kitas alternatyvas (žr. skyrių „</w:t>
      </w:r>
      <w:r w:rsidRPr="00C92BDF">
        <w:rPr>
          <w:rFonts w:ascii="Times New Roman" w:eastAsia="Times New Roman" w:hAnsi="Times New Roman" w:cs="Times New Roman"/>
          <w:i/>
          <w:iCs/>
          <w:lang w:val="lt-LT"/>
        </w:rPr>
        <w:t>Dvigubas renino, angiotenzino ir aldosterono sistemos (RAAS) slopinimas</w:t>
      </w:r>
      <w:r w:rsidRPr="00C92BDF">
        <w:rPr>
          <w:rFonts w:ascii="Times New Roman" w:eastAsia="Times New Roman" w:hAnsi="Times New Roman" w:cs="Times New Roman"/>
          <w:iCs/>
          <w:lang w:val="lt-LT"/>
        </w:rPr>
        <w:t>“).</w:t>
      </w:r>
    </w:p>
    <w:p w14:paraId="1074733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Hiperkalemijos rizikos svarbiausieji faktoriai yra:</w:t>
      </w:r>
    </w:p>
    <w:p w14:paraId="5E744537"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cukrinis diabetas, inkstų veiklos sutrikimas ir amžius (vyresni nei 70 metų);</w:t>
      </w:r>
    </w:p>
    <w:p w14:paraId="2D903915"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derinys su vienu ar keliais kitais renino, angiotenzino ir aldosterono sistemą veikiančiais vaistiniais preparatais ir (arba) kalio papildais. Kai kurie vaistiniai preparatai gali skatinti hiperkalemijos susidarymą: druskų pakaitalai, kuriuose yra kalio, kalį sulaikantys diuretikai, AKF inhibitoriai, angiotenzino II receptorių antagonistai, nesteroidiniai vaistiniai preparatai nuo uždegimo (įskaitant COX-2 inhibitorius), heparinas, imuninę sistemą slopinantys vaistiniai preparatai ciklosporinas arba takrolimuzas, trimetoprimas;</w:t>
      </w:r>
    </w:p>
    <w:p w14:paraId="10EA95E6"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tokios komplikacijos, kaip skysčių netekimas, ūminis širdies nepakankamumas, metabolinė acidozė, inkstų funkcijos pablogėjimas, staigus inkstų veiklos sutrikimas (pvz., dėl infekcijos), audinių irimas (pvz., ūmi galūnių išemija, skersaruožių raumenų miolizė, sunki trauma).</w:t>
      </w:r>
    </w:p>
    <w:p w14:paraId="1285660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Pacientams, kuriems gresia hiperkalemija, reikia kontroliuoti kalio kiekį kraujyje (žr. 4.5 skyrių).</w:t>
      </w:r>
    </w:p>
    <w:p w14:paraId="22A813B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508AF38" w14:textId="77777777" w:rsidR="004125E7" w:rsidRPr="00C92BDF" w:rsidRDefault="004125E7" w:rsidP="004125E7">
      <w:pPr>
        <w:tabs>
          <w:tab w:val="left" w:pos="90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i/>
          <w:iCs/>
          <w:lang w:val="lt-LT"/>
        </w:rPr>
        <w:t xml:space="preserve">Dvigubas renino, angiotenzino ir aldosterono sistemos (RAAS) slopinimas </w:t>
      </w:r>
    </w:p>
    <w:p w14:paraId="5936AE1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21C2864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 xml:space="preserve">Vis dėlto, jei dvigubas nuslopinimas laikomas absoliučiai būtinu, šis gydymas turi būti atliekamas tik prižiūrint specialistams ir dažnai bei atidžiai tiriant inkstų funkciją, elektrolitų koncentracijas bei kraujospūdį. </w:t>
      </w:r>
    </w:p>
    <w:p w14:paraId="3EA5E8F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Pacientams, sergantiems diabetine nefropatija, negalima kartu vartoti AKF inhibitorių ir angiotenzino II receptorių blokatorių.</w:t>
      </w:r>
    </w:p>
    <w:p w14:paraId="7DE66A9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B954662"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Litis</w:t>
      </w:r>
    </w:p>
    <w:p w14:paraId="78B9D16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Gydant olmesartanu medoksomiliu, kaip ir kitais angiotenzino II receptorių antagonistais, nepatariama kartu vartoti ličio preparatų (žr. 4.5 skyrių).</w:t>
      </w:r>
    </w:p>
    <w:p w14:paraId="0BA23D6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A1B214A"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Aortos arba mitralinio vožtuvo stenozė; obstrukcinė hipertrofinė kardiomiopatija</w:t>
      </w:r>
    </w:p>
    <w:p w14:paraId="2DD8F18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Ypač atsargiai, kaip ir skiriant kitus kraujagysles plečiančius vaistinius preparatus, reikia gydyti pacientus, kuriems nustatyta aortos arba mitralinio vožtuvo stenozė, obstrukcinė hipertrofinė kardiomiopatija.</w:t>
      </w:r>
    </w:p>
    <w:p w14:paraId="76B73D4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EB6E08D"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Pirminis aldosteronizmas</w:t>
      </w:r>
    </w:p>
    <w:p w14:paraId="78D1628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Pacientai, sergantys pirminiu aldosteronizmu, dažniausiai nereaguoja į kraujospūdį mažinančius vaistinius preparatus, slopinančius renino-angiotenzino sistemą. Todėl tokiems pacientams gydyti nepatariama skirti olmesartano medoksomilio.</w:t>
      </w:r>
    </w:p>
    <w:p w14:paraId="13BEB9A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6E4197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Į celiakiją panaši enteropatija</w:t>
      </w:r>
    </w:p>
    <w:p w14:paraId="47B120F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Labai retais atvejais pacientams, vartojantiems olmesartaną, po kelių mėnesių ar metų nuo gydymo pradžios gali vystytis sunkus lėtinis viduriavimas, lydimas žymaus kūno svorio sumažėjimo. Tokių pacientų žarnų biopsijos rezultatai dažnai parodydavo žarnyno gaurelių atrofiją. Jeigu gydomam olmesartanu pacientui yra minėti požymiai, ir kitų akivaizdžių priežaščių nėra, gydymą olmesartanu reikia nedelsiant nutraukti ir gydymas neturėtų būti atnaujintas. Jei viduriavimas nepraeina per savaitę po gydymo nutraukimo, reiktų atsižvelgti į tolimesnius specialisto (pvz gastroenterologo) patarimus .</w:t>
      </w:r>
    </w:p>
    <w:p w14:paraId="7149F1C0" w14:textId="77777777" w:rsidR="004125E7" w:rsidRDefault="004125E7" w:rsidP="004125E7">
      <w:pPr>
        <w:spacing w:after="0" w:line="240" w:lineRule="auto"/>
        <w:rPr>
          <w:rFonts w:ascii="Times New Roman" w:eastAsia="Times New Roman" w:hAnsi="Times New Roman" w:cs="Times New Roman"/>
          <w:i/>
          <w:iCs/>
          <w:lang w:val="lt-LT"/>
        </w:rPr>
      </w:pPr>
    </w:p>
    <w:p w14:paraId="3CCC4D09" w14:textId="77777777" w:rsidR="00A53D1A" w:rsidRPr="00390B78" w:rsidRDefault="00A53D1A" w:rsidP="004125E7">
      <w:pPr>
        <w:spacing w:after="0" w:line="240" w:lineRule="auto"/>
        <w:rPr>
          <w:rFonts w:ascii="Times New Roman" w:hAnsi="Times New Roman" w:cs="Times New Roman"/>
          <w:i/>
          <w:lang w:val="lt-LT"/>
        </w:rPr>
      </w:pPr>
      <w:r w:rsidRPr="00390B78">
        <w:rPr>
          <w:rFonts w:ascii="Times New Roman" w:hAnsi="Times New Roman" w:cs="Times New Roman"/>
          <w:i/>
          <w:lang w:val="lt-LT"/>
        </w:rPr>
        <w:t>Žarnyno angioneurozinė edema</w:t>
      </w:r>
    </w:p>
    <w:p w14:paraId="04B41688" w14:textId="77777777" w:rsidR="00A53D1A" w:rsidRPr="00A53D1A" w:rsidRDefault="00A53D1A" w:rsidP="004125E7">
      <w:pPr>
        <w:spacing w:after="0" w:line="240" w:lineRule="auto"/>
        <w:rPr>
          <w:rFonts w:ascii="Times New Roman" w:eastAsia="Times New Roman" w:hAnsi="Times New Roman" w:cs="Times New Roman"/>
          <w:i/>
          <w:iCs/>
          <w:lang w:val="lt-LT"/>
        </w:rPr>
      </w:pPr>
      <w:r w:rsidRPr="00390B78">
        <w:rPr>
          <w:rFonts w:ascii="Times New Roman" w:hAnsi="Times New Roman" w:cs="Times New Roman"/>
          <w:lang w:val="lt-LT"/>
        </w:rPr>
        <w:t>Gauta pranešimų apie žarnyno angioneurozinės edemos atvejus, pasireiškusius pacientams, gydytiems angiotenzino II receptorių blokatoriais (įskaitant olmesartan</w:t>
      </w:r>
      <w:r>
        <w:rPr>
          <w:rFonts w:ascii="Times New Roman" w:hAnsi="Times New Roman" w:cs="Times New Roman"/>
          <w:lang w:val="lt-LT"/>
        </w:rPr>
        <w:t>ą</w:t>
      </w:r>
      <w:r w:rsidRPr="00390B78">
        <w:rPr>
          <w:rFonts w:ascii="Times New Roman" w:hAnsi="Times New Roman" w:cs="Times New Roman"/>
          <w:lang w:val="lt-LT"/>
        </w:rPr>
        <w:t xml:space="preserve"> ) (žr. 4.8 skyrių). Šiems pacientams pasireiškė pilvo skausmas, pykinimas, vėmimas ir viduriavimas. Nutraukus angiotenzino II receptorių antagonistų vartojimą, simptomai išnyko. Diagnozavus žarnyno angioneurozinę edemą, reikia nutraukti olmesartano vartojimą ir pradėti atitinkamą stebėseną, kol simptomai visiškai išnyksta.</w:t>
      </w:r>
    </w:p>
    <w:p w14:paraId="0BD12518" w14:textId="77777777" w:rsidR="00A53D1A" w:rsidRDefault="00A53D1A" w:rsidP="004125E7">
      <w:pPr>
        <w:spacing w:after="0" w:line="240" w:lineRule="auto"/>
        <w:rPr>
          <w:rFonts w:ascii="Times New Roman" w:eastAsia="Times New Roman" w:hAnsi="Times New Roman" w:cs="Times New Roman"/>
          <w:i/>
          <w:iCs/>
          <w:lang w:val="lt-LT"/>
        </w:rPr>
      </w:pPr>
    </w:p>
    <w:p w14:paraId="7188BA58"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Etniniai ypatumai</w:t>
      </w:r>
    </w:p>
    <w:p w14:paraId="2561BDC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medoksomilio, kaip ir kitų angiotenzino II antagonistų, kraujospūdį mažinantis poveikis šiek tiek silpnesnis juodaodžiams, nes šioje populiacijoje, esant padidėjusiam kraujospūdžiui, galbūt dažniau kraujo serume pasitaiko maža renino koncentracija.</w:t>
      </w:r>
    </w:p>
    <w:p w14:paraId="31B94B4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C8A15E0"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Nėštumas</w:t>
      </w:r>
    </w:p>
    <w:p w14:paraId="4875EA7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Nėštumo metu negalima pradėti gydyti angiotenzino II receptorių antagonistais. Jei gydymas angiotenzino II receptorių antagonistais būtinas, planuojančioms nėštumą moterims šiuos vaistinius preparatus reikia pakeisti alternatyviais tinkamais antihipertenziniais preparatais, kurių vartojimo saugumas nėštumo metu ištirtas. Nustačius nėštumą, angiotenzino II receptorių vartojimą reikia nedelsiant nutraukti ir, prireikus, pradėti gydyti kitais vaistiniais preparatais (žr. 4.3 ir 4.6 skyrius).</w:t>
      </w:r>
    </w:p>
    <w:p w14:paraId="6EB1E5D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9CB9C42"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Kiti ypatumai</w:t>
      </w:r>
    </w:p>
    <w:p w14:paraId="5336758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Pernelyg stiprus kraujospūdžio sumažėjimas sergantiesiems išemine širdies ar smegenų liga, gydant bet kokiais kraujospūdį mažinančiais vaistiniais preparatais, gali sukelti miokardo infarktą ar insultą.</w:t>
      </w:r>
    </w:p>
    <w:p w14:paraId="6B46B46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28475E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Šio vaistinio preparato sudėtyje yra laktozės. Šio vaistinio preparato negalima vartoti pacientams, kuriems nustatytas retas paveldimas sutrikimas – </w:t>
      </w:r>
      <w:r w:rsidRPr="00C92BDF">
        <w:rPr>
          <w:rFonts w:ascii="Times New Roman" w:eastAsia="Times New Roman" w:hAnsi="Times New Roman" w:cs="Times New Roman"/>
          <w:i/>
          <w:lang w:val="lt-LT"/>
        </w:rPr>
        <w:t>Lapp</w:t>
      </w:r>
      <w:r w:rsidRPr="00C92BDF">
        <w:rPr>
          <w:rFonts w:ascii="Times New Roman" w:eastAsia="Times New Roman" w:hAnsi="Times New Roman" w:cs="Times New Roman"/>
          <w:lang w:val="lt-LT"/>
        </w:rPr>
        <w:t xml:space="preserve"> laktazės stygius arba gliukozės ir galaktozės malabsorbcija. </w:t>
      </w:r>
    </w:p>
    <w:p w14:paraId="7EAC746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8F9E6C3"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4.5</w:t>
      </w:r>
      <w:r w:rsidRPr="00C92BDF">
        <w:rPr>
          <w:rFonts w:ascii="Times New Roman" w:eastAsia="Times New Roman" w:hAnsi="Times New Roman" w:cs="Times New Roman"/>
          <w:b/>
          <w:kern w:val="28"/>
          <w:lang w:val="lt-LT"/>
        </w:rPr>
        <w:tab/>
        <w:t>Sąveika su kitais vaistiniais preparatais ir kitokia sąveika</w:t>
      </w:r>
    </w:p>
    <w:p w14:paraId="661696C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BA395F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Kitų vaistinių preparatų įtaka olmesartano medoksomilio poveikiui</w:t>
      </w:r>
    </w:p>
    <w:p w14:paraId="1DBC91E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636F43B"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Kiti antihipertenziniai vaistiniai preparatai</w:t>
      </w:r>
    </w:p>
    <w:p w14:paraId="6544720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medoksomilio poveikį gali sustiprinti kiti kartu vartojami antihipertenziniai vaistiniai preparatai.</w:t>
      </w:r>
    </w:p>
    <w:p w14:paraId="0DD7FE7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24904DA"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i/>
          <w:iCs/>
          <w:lang w:val="lt-LT"/>
        </w:rPr>
        <w:t>AKF inhibitoriai, angiotenzino II receptorių blokatoriai ar aliskireno deriniai</w:t>
      </w:r>
    </w:p>
    <w:p w14:paraId="364BE3D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Klinikinių tyrimų duomenys parodė, kad, palyginti su vieno RAAS veikiančio vaistinio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1870248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136AAE3"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Kalio preparatai ir kalį organizme sulaikantys diuretikai</w:t>
      </w:r>
    </w:p>
    <w:p w14:paraId="4946776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Įvertinant patyrimą, sukauptą gydant kitais vaistiniais preparatais, kurie veikia renino-angiotenzino sistemą, padidėjusią kalio koncentraciją kraujyje gali sukelti kartu vartojami kalio išsiskyrimą slopinantys diuretikai, kalio kiekį papildantys preparatai, druskos, kurių sudėtyje yra kalio, bei kiti vaistiniai preparatai, didinantys jo koncentraciją (pvz., heparinas) (žr. 4.4 skyrių). Todėl kartu skirti šiuos preparatus nepatariama.</w:t>
      </w:r>
    </w:p>
    <w:p w14:paraId="2F5F289F" w14:textId="77777777" w:rsidR="004125E7" w:rsidRPr="00C92BDF" w:rsidRDefault="004125E7" w:rsidP="004125E7">
      <w:pPr>
        <w:spacing w:after="0" w:line="240" w:lineRule="auto"/>
        <w:rPr>
          <w:rFonts w:ascii="Times New Roman" w:eastAsia="Times New Roman" w:hAnsi="Times New Roman" w:cs="Times New Roman"/>
          <w:i/>
          <w:iCs/>
          <w:lang w:val="lt-LT"/>
        </w:rPr>
      </w:pPr>
    </w:p>
    <w:p w14:paraId="70A627D0"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Nesteroidiniai vaistiniai preparatai nuo uždegimo (NVNU)</w:t>
      </w:r>
    </w:p>
    <w:p w14:paraId="31523E6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Nesteroidinių vaistinių preparatų nuo uždegimo (tarp jų ir acetilsalicilo rūgšties, kai ji vartojama didesnėmis nei 3 g per parą dozėmis, taip pat COX-2 inhibitorių) ir angiotenzino II receptorių antagonistų inkstų glomerulų filtraciją mažinantis poveikis gali būti sinerginis. Toks bendras nesteroidinių vaistų nuo uždegimo ir angiotenzino II inhibitorių poveikis gali sukelti ūminį inkstų nepakankamumą. Todėl, pradėjus gydyti šiuo vaistiniu preparatu, patariama kontroliuoti inkstų funkciją bei skysčių balansą. Be to, skiriant šiuos vaistinius preparatus kartu, gali sumažėti angiotenzino II receptorių antagonistų antihipertenzinis poveikis, o tuo pačiu jie netenka dalies savo veiksmingumo.</w:t>
      </w:r>
    </w:p>
    <w:p w14:paraId="3B31390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A66B20A" w14:textId="77777777" w:rsidR="004125E7" w:rsidRPr="00E62BE2" w:rsidRDefault="004125E7" w:rsidP="004125E7">
      <w:pPr>
        <w:spacing w:after="0" w:line="240" w:lineRule="auto"/>
        <w:jc w:val="both"/>
        <w:rPr>
          <w:rFonts w:ascii="Times New Roman" w:hAnsi="Times New Roman"/>
          <w:i/>
          <w:color w:val="000000"/>
          <w:lang w:val="sv-SE"/>
        </w:rPr>
      </w:pPr>
      <w:r w:rsidRPr="00E62BE2">
        <w:rPr>
          <w:rFonts w:ascii="Times New Roman" w:hAnsi="Times New Roman"/>
          <w:i/>
          <w:color w:val="000000"/>
          <w:lang w:val="sv-SE"/>
        </w:rPr>
        <w:t>Tulžies rūgštis surišantis vaistinis preparatas kolesevelamas</w:t>
      </w:r>
    </w:p>
    <w:p w14:paraId="00C90F5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Vartojant olmesartaną kartu su tulžies rūgštis surišančiu vaistiniu preparatu kolesevelamo hidrochloridu, tai mažina olmesartano biologinį prieinamumą ir maksimalią plazmos koncentraciją. Jeigu olmesartanas vartojamas bent 4 val. prieš kolesevelamo hidrochloridą, minėta sąveika yra mažesnė. Todėl olmesartano medoksomilio rekomenduojama vartoti bent 4 val. prieš geriant kolesevelamo hidrochlorido (žr. 5.2 skyrių).</w:t>
      </w:r>
    </w:p>
    <w:p w14:paraId="3C5D363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EF4F69A"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Kiti vaistiniai preparatai</w:t>
      </w:r>
    </w:p>
    <w:p w14:paraId="76A5607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Pastebėta, kad po gydymo skrandžio rūgštingumą mažinančiais vaistiniais preparatais (aliuminio magnio hidroksidu), nežymiai sumažėja olmesartano medoksomilio biologinis prieinamumas. Kartu vartojami varfarinas ir digoksinas olmesartano farmakokinetikai įtakos neturi.</w:t>
      </w:r>
    </w:p>
    <w:p w14:paraId="41728BF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2719CA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medoksomilio poveikis kitiems vaistiniams preparatams</w:t>
      </w:r>
    </w:p>
    <w:p w14:paraId="3B93F63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65A126C"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Litis</w:t>
      </w:r>
    </w:p>
    <w:p w14:paraId="38817CA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Vartojant litį kartu su angiotenziną konvertuojančio fermento inhibitoriais, laikinai padidėja ličio koncentracija kraujo serume ir sustiprėja toksinis jo poveikis.</w:t>
      </w:r>
    </w:p>
    <w:p w14:paraId="5A98983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Todėl olmesartano medoksomilio nepatariama vartoti kartu su ličiu (žr. 4.4 skyrių). Jei toks vartojimas būtinas, reikia atidžiai kontroliuoti ličio koncentraciją kraujo serume.</w:t>
      </w:r>
    </w:p>
    <w:p w14:paraId="2B15607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E234657"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Kiti vaistiniai preparatai</w:t>
      </w:r>
    </w:p>
    <w:p w14:paraId="5A4E7AE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Specialiuose sveikų savanorių klinikiniuose tyrimuose tirtas varfarino, digoksino, skrandžio rūgštingumą mažinančių vaistinių preparatų (magnio aliuminio hidroksido), hidrochlorotiazido ir pravastatino poveikis. Kliniškai reikšmingos sąveikos nenustatyta, olmesartanas medoksomilis neturėjo įtakos varfarino farmakokinetinėms ir farmakodinaminėms savybėms bei digoksino farmakokinetikai.</w:t>
      </w:r>
    </w:p>
    <w:p w14:paraId="0FCCEC9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39C66EB"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 xml:space="preserve">Tyrimais </w:t>
      </w:r>
      <w:r w:rsidRPr="00C92BDF">
        <w:rPr>
          <w:rFonts w:ascii="Times New Roman" w:eastAsia="Times New Roman" w:hAnsi="Times New Roman" w:cs="Times New Roman"/>
          <w:i/>
          <w:lang w:val="lt-LT"/>
        </w:rPr>
        <w:t xml:space="preserve">in vitro </w:t>
      </w:r>
      <w:r w:rsidRPr="00C92BDF">
        <w:rPr>
          <w:rFonts w:ascii="Times New Roman" w:eastAsia="Times New Roman" w:hAnsi="Times New Roman" w:cs="Times New Roman"/>
          <w:lang w:val="lt-LT"/>
        </w:rPr>
        <w:t xml:space="preserve">nustatyta, kad olmesartanas nepasižymi kliniškai reikšmingu slopinančiu poveikiu žmogaus citochromo P450 fermentams 1A/2, 2A6, 2C8/9, 2C19, 2D6, 2E1 ir 3A4, taip pat neveikia žiurkių citochromo P450 aktyvumo arba veikia tik nežymiai. Todėl sąveika su žinomais citochromo P450 fermentų slopintojais ir induktoriais </w:t>
      </w:r>
      <w:r w:rsidRPr="00C92BDF">
        <w:rPr>
          <w:rFonts w:ascii="Times New Roman" w:eastAsia="Times New Roman" w:hAnsi="Times New Roman" w:cs="Times New Roman"/>
          <w:i/>
          <w:lang w:val="lt-LT"/>
        </w:rPr>
        <w:t>in vivo</w:t>
      </w:r>
      <w:r w:rsidRPr="00C92BDF">
        <w:rPr>
          <w:rFonts w:ascii="Times New Roman" w:eastAsia="Times New Roman" w:hAnsi="Times New Roman" w:cs="Times New Roman"/>
          <w:lang w:val="lt-LT"/>
        </w:rPr>
        <w:t xml:space="preserve"> netirta, kliniškai reikšminga sąveika tarp olmesartano ir vaistinių preparatų, kurie metabolizuojami išvardintų citochromo P450 fermentų, mažai tikėtina.</w:t>
      </w:r>
    </w:p>
    <w:p w14:paraId="622522F4"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5BAE5D3" w14:textId="77777777" w:rsidR="004125E7" w:rsidRPr="000A1801" w:rsidRDefault="004125E7" w:rsidP="004125E7">
      <w:pPr>
        <w:autoSpaceDE w:val="0"/>
        <w:autoSpaceDN w:val="0"/>
        <w:spacing w:after="0" w:line="240" w:lineRule="auto"/>
        <w:rPr>
          <w:rFonts w:ascii="Times New Roman" w:eastAsia="MS Mincho" w:hAnsi="Times New Roman" w:cs="Times New Roman"/>
          <w:bCs/>
          <w:u w:val="single"/>
          <w:lang w:val="lt-LT" w:eastAsia="ja-JP"/>
        </w:rPr>
      </w:pPr>
      <w:r w:rsidRPr="000A1801">
        <w:rPr>
          <w:rFonts w:ascii="Times New Roman" w:eastAsia="MS Mincho" w:hAnsi="Times New Roman" w:cs="Times New Roman"/>
          <w:bCs/>
          <w:u w:val="single"/>
          <w:lang w:val="lt-LT" w:eastAsia="ja-JP"/>
        </w:rPr>
        <w:t>Vaikų populiacija</w:t>
      </w:r>
    </w:p>
    <w:p w14:paraId="2E0F9ACF" w14:textId="77777777" w:rsidR="004125E7" w:rsidRPr="00AB4808" w:rsidRDefault="004125E7" w:rsidP="004125E7">
      <w:pPr>
        <w:autoSpaceDE w:val="0"/>
        <w:autoSpaceDN w:val="0"/>
        <w:spacing w:after="0" w:line="240" w:lineRule="auto"/>
        <w:rPr>
          <w:rFonts w:ascii="Times New Roman" w:eastAsia="MS Mincho" w:hAnsi="Times New Roman" w:cs="Times New Roman"/>
          <w:bCs/>
          <w:lang w:val="lt-LT" w:eastAsia="ja-JP"/>
        </w:rPr>
      </w:pPr>
      <w:r w:rsidRPr="00AB4808">
        <w:rPr>
          <w:rFonts w:ascii="Times New Roman" w:eastAsia="MS Mincho" w:hAnsi="Times New Roman" w:cs="Times New Roman"/>
          <w:bCs/>
          <w:lang w:val="lt-LT" w:eastAsia="ja-JP"/>
        </w:rPr>
        <w:t xml:space="preserve">Vaisto sąveikos tyrimai atlikti tik suaugusiesiems. </w:t>
      </w:r>
    </w:p>
    <w:p w14:paraId="27B2B1C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AB4808">
        <w:rPr>
          <w:rFonts w:ascii="Times New Roman" w:eastAsia="MS Mincho" w:hAnsi="Times New Roman" w:cs="Times New Roman"/>
          <w:bCs/>
          <w:lang w:val="lt-LT" w:eastAsia="ja-JP"/>
        </w:rPr>
        <w:t>Ar vaistų sąveika vaikų organizme panaši į suaugusiųjų, nežinoma.</w:t>
      </w:r>
    </w:p>
    <w:p w14:paraId="0D5B94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D529353"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4.6</w:t>
      </w:r>
      <w:r w:rsidRPr="00C92BDF">
        <w:rPr>
          <w:rFonts w:ascii="Times New Roman" w:eastAsia="Times New Roman" w:hAnsi="Times New Roman" w:cs="Times New Roman"/>
          <w:b/>
          <w:kern w:val="28"/>
          <w:lang w:val="lt-LT"/>
        </w:rPr>
        <w:tab/>
        <w:t>Vaisingumas, nėštumo ir žindymo laikotarpis</w:t>
      </w:r>
    </w:p>
    <w:p w14:paraId="33EA7C3E" w14:textId="77777777" w:rsidR="004125E7" w:rsidRPr="00C92BDF" w:rsidRDefault="004125E7" w:rsidP="004125E7">
      <w:pPr>
        <w:spacing w:after="0" w:line="240" w:lineRule="auto"/>
        <w:rPr>
          <w:rFonts w:ascii="Times New Roman" w:eastAsia="Times New Roman" w:hAnsi="Times New Roman" w:cs="Times New Roman"/>
          <w:i/>
          <w:lang w:val="lt-LT"/>
        </w:rPr>
      </w:pPr>
    </w:p>
    <w:p w14:paraId="45AD2CFE"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Nėštumas</w:t>
      </w:r>
    </w:p>
    <w:p w14:paraId="1FA3D747" w14:textId="77777777" w:rsidR="004125E7" w:rsidRPr="00C92BDF" w:rsidRDefault="004125E7" w:rsidP="004125E7">
      <w:pPr>
        <w:spacing w:after="0" w:line="240" w:lineRule="auto"/>
        <w:rPr>
          <w:rFonts w:ascii="Times New Roman" w:eastAsia="Times New Roman" w:hAnsi="Times New Roman" w:cs="Times New Roman"/>
          <w:u w:val="single"/>
          <w:lang w:val="lt-LT" w:eastAsia="lt-LT"/>
        </w:rPr>
      </w:pPr>
    </w:p>
    <w:p w14:paraId="6B8691D0"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Pirmuoju nėštumo trimestru angiotenzino II receptorių antagonistų (AIIRA) vartoti nerekomenduojama (žr. 4.4 skyrių). Antruoju ir trečiuoju nėštumo trimestrais jų vartoti draudžiama (žr. 4.3 ir 4.4 skyrius).</w:t>
      </w:r>
    </w:p>
    <w:p w14:paraId="2494BC4B"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79085A17"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 xml:space="preserve">Epidemiologinių tyrimų duomenys dėl pirmuoju nėštumo trimestru vartojamų AKF inhibitorių poveikio nėra galutiniai, tačiau nedidelio rizikos padidėjimo atmesti negalima. Kadangi nėra kontrolinių epidemiologinių duomenų dėl angiotenzino II receptorių antagonistų rizikos, panaši rizika gali būti ir šių vaistinių preparatų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 </w:t>
      </w:r>
    </w:p>
    <w:p w14:paraId="5075242F"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p>
    <w:p w14:paraId="38F9F46B"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68228270"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Jeigu moteris antruoju arba trečiuoju nėštumo trimestru vartojo AIIRA, reikia ultragarsu sekti jos vaisiaus inkstų funkciją ir kaukolę.</w:t>
      </w:r>
    </w:p>
    <w:p w14:paraId="0EF2ED2A"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Reikia atidžiai sekti, ar naujagimiams, kurių motinos nėštumo metu vartojo AIIRA, nepasireiškia hipotenzija (žr. 4.3 ir 4.4 skyrius).</w:t>
      </w:r>
    </w:p>
    <w:p w14:paraId="18811C02"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eastAsia="lt-LT"/>
        </w:rPr>
      </w:pPr>
    </w:p>
    <w:p w14:paraId="2C1C3199"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Žindymas</w:t>
      </w:r>
    </w:p>
    <w:p w14:paraId="50A78F4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Tyrimais su žiurkėmis nustatyta, kad olmesartano patenka į pieną, bet nežinoma ar tai vyksta moters organizme. Kadangi nėra informacijos apie Mesar vartojimą žindymo metu, Mesar yra nerekomenduojamas, ir alternatyvus gydymas vaistu, geriau ištirtu dėl saugumo žindymo metu, yra tinkamesnis, ypač žindant naujagimius bei prieš laiką gimusius kūdikius.</w:t>
      </w:r>
    </w:p>
    <w:p w14:paraId="472F6DD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1954738"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4.7</w:t>
      </w:r>
      <w:r w:rsidRPr="00C92BDF">
        <w:rPr>
          <w:rFonts w:ascii="Times New Roman" w:eastAsia="Times New Roman" w:hAnsi="Times New Roman" w:cs="Times New Roman"/>
          <w:b/>
          <w:kern w:val="28"/>
          <w:lang w:val="lt-LT"/>
        </w:rPr>
        <w:tab/>
        <w:t>Poveikis gebėjimui vairuoti ir valdyti mechanizmus</w:t>
      </w:r>
    </w:p>
    <w:p w14:paraId="56D9E3B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001E26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gebėjimą vairuoti ir valdyti mechanizmus veikia silpnai arba vidutiniškai. Vartojant vaistinius preparatus nuo padidėjusio kraujospūdžio, kartais gali atsirasti galvos svaigimas arba nuovargis, galintys sutrikdyti gebėjimą reaguoti.</w:t>
      </w:r>
    </w:p>
    <w:p w14:paraId="6357AFE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604485A"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4.8</w:t>
      </w:r>
      <w:r w:rsidRPr="00C92BDF">
        <w:rPr>
          <w:rFonts w:ascii="Times New Roman" w:eastAsia="Times New Roman" w:hAnsi="Times New Roman" w:cs="Times New Roman"/>
          <w:b/>
          <w:kern w:val="28"/>
          <w:lang w:val="lt-LT"/>
        </w:rPr>
        <w:tab/>
        <w:t>Nepageidaujamas poveikis</w:t>
      </w:r>
    </w:p>
    <w:p w14:paraId="5D5869B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3DC036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Nepageidaujamų reakcijų duomenys</w:t>
      </w:r>
    </w:p>
    <w:p w14:paraId="4A7B0DD6"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Vartojant Mesar dažniausiai pasitaikančios nepageidaujamos reakcijos yra galvos skausmas (7,7%), į gripą panašūs simptomai (4,0%) ir galvos svaigimas (3,7%).</w:t>
      </w:r>
      <w:r w:rsidRPr="00C92BDF">
        <w:rPr>
          <w:rFonts w:ascii="Times New Roman" w:eastAsia="Times New Roman" w:hAnsi="Times New Roman" w:cs="Times New Roman"/>
          <w:lang w:val="lt-LT" w:eastAsia="lt-LT"/>
        </w:rPr>
        <w:br/>
        <w:t>Placebu kontroliuojamų monoterapijos tyrimų metu, vienintelė nepageidaujama reakcija, kuri buvo susijusi su gydymu, buvo galvos svaigimas (2,5% atvejų olmesartano medoksomilio ir 0,9% placebo grupėje).</w:t>
      </w:r>
      <w:r w:rsidRPr="00C92BDF">
        <w:rPr>
          <w:rFonts w:ascii="Times New Roman" w:eastAsia="Times New Roman" w:hAnsi="Times New Roman" w:cs="Times New Roman"/>
          <w:lang w:val="lt-LT" w:eastAsia="lt-LT"/>
        </w:rPr>
        <w:br/>
      </w:r>
    </w:p>
    <w:p w14:paraId="6DCEA3E8"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lastRenderedPageBreak/>
        <w:t>Olmesartano medoksomilio grupėje šiek tiek dažniau nei placebo grupėje pasireiškė hipertrigliciridemija (2 % palyginus su 1,1%) ir kreatinfosfokinazės aktyvumo padidėjimas (1,3% palyginus su 0,7%).</w:t>
      </w:r>
    </w:p>
    <w:p w14:paraId="2B72DAF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0470DE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Nepageidaujamų reakcijų lentelė</w:t>
      </w:r>
    </w:p>
    <w:p w14:paraId="70EDE88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Iš klinikinių tyrimų, poregistracinio saugumo tyrimų ir spontaninių pranešimų būdu gautos Mesar sukeliamos nepageidaujamos reakcijos apibendrintos žemiau pateiktoje lentelėje.</w:t>
      </w:r>
    </w:p>
    <w:p w14:paraId="71FF76E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081B51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Nepageidaujamo poveikio dažnis apibūdinamas taip: labai dažnas (≥1/10), </w:t>
      </w:r>
      <w:r w:rsidRPr="00C92BDF">
        <w:rPr>
          <w:rFonts w:ascii="Times New Roman" w:eastAsia="Times New Roman" w:hAnsi="Times New Roman" w:cs="Times New Roman"/>
          <w:noProof/>
          <w:lang w:val="lt-LT"/>
        </w:rPr>
        <w:t xml:space="preserve">dažnas (nuo </w:t>
      </w:r>
      <w:r w:rsidRPr="00C92BDF">
        <w:rPr>
          <w:rFonts w:ascii="Times New Roman" w:eastAsia="Times New Roman" w:hAnsi="Times New Roman" w:cs="Times New Roman"/>
          <w:lang w:val="lt-LT"/>
        </w:rPr>
        <w:t>≥</w:t>
      </w:r>
      <w:r w:rsidRPr="00C92BDF">
        <w:rPr>
          <w:rFonts w:ascii="Times New Roman" w:eastAsia="Times New Roman" w:hAnsi="Times New Roman" w:cs="Times New Roman"/>
          <w:noProof/>
          <w:lang w:val="lt-LT"/>
        </w:rPr>
        <w:t xml:space="preserve"> 1/100 iki &lt;1/10), </w:t>
      </w:r>
      <w:r w:rsidRPr="00C92BDF">
        <w:rPr>
          <w:rFonts w:ascii="Times New Roman" w:eastAsia="Times New Roman" w:hAnsi="Times New Roman" w:cs="Times New Roman"/>
          <w:lang w:val="lt-LT"/>
        </w:rPr>
        <w:t xml:space="preserve">nedažnas (nuo ≥1/1000 iki &lt;1/100), retas (nuo ≥1/10000 iki &lt;1/1000), </w:t>
      </w:r>
      <w:r w:rsidRPr="00C92BDF">
        <w:rPr>
          <w:rFonts w:ascii="Times New Roman" w:eastAsia="Times New Roman" w:hAnsi="Times New Roman" w:cs="Times New Roman"/>
          <w:noProof/>
          <w:lang w:val="lt-LT"/>
        </w:rPr>
        <w:t xml:space="preserve">labai retas (&lt;1/10 000); </w:t>
      </w:r>
      <w:r w:rsidRPr="00C92BDF">
        <w:rPr>
          <w:rFonts w:ascii="Times New Roman" w:eastAsia="Times New Roman" w:hAnsi="Times New Roman" w:cs="Times New Roman"/>
          <w:lang w:val="lt-LT"/>
        </w:rPr>
        <w:t>nežinomas (negali būti apskaičiuotas pagal turimus duomenis)</w:t>
      </w:r>
      <w:r w:rsidRPr="00C92BDF">
        <w:rPr>
          <w:rFonts w:ascii="Times New Roman" w:eastAsia="Times New Roman" w:hAnsi="Times New Roman" w:cs="Times New Roman"/>
          <w:noProof/>
          <w:lang w:val="lt-LT"/>
        </w:rPr>
        <w:t>.</w:t>
      </w:r>
    </w:p>
    <w:p w14:paraId="3B0C20B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B502110" w14:textId="77777777" w:rsidR="004125E7" w:rsidRPr="00C92BDF" w:rsidRDefault="004125E7" w:rsidP="004125E7">
      <w:pPr>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046"/>
        <w:gridCol w:w="3002"/>
      </w:tblGrid>
      <w:tr w:rsidR="004125E7" w:rsidRPr="00C92BDF" w14:paraId="2A614D92" w14:textId="77777777" w:rsidTr="00E62BE2">
        <w:tc>
          <w:tcPr>
            <w:tcW w:w="3095" w:type="dxa"/>
          </w:tcPr>
          <w:p w14:paraId="2C11441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i/>
                <w:iCs/>
                <w:lang w:val="lt-LT"/>
              </w:rPr>
              <w:t>MedDRA</w:t>
            </w:r>
            <w:r w:rsidRPr="00C92BDF">
              <w:rPr>
                <w:rFonts w:ascii="Times New Roman" w:eastAsia="Times New Roman" w:hAnsi="Times New Roman" w:cs="Times New Roman"/>
                <w:lang w:val="lt-LT"/>
              </w:rPr>
              <w:t xml:space="preserve"> organų sistemų klasė</w:t>
            </w:r>
          </w:p>
          <w:p w14:paraId="2D6D378A"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1F86A2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Nepageidaujamos reakcijos</w:t>
            </w:r>
          </w:p>
        </w:tc>
        <w:tc>
          <w:tcPr>
            <w:tcW w:w="3096" w:type="dxa"/>
          </w:tcPr>
          <w:p w14:paraId="420DE6F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Dažnis</w:t>
            </w:r>
          </w:p>
        </w:tc>
      </w:tr>
      <w:tr w:rsidR="004125E7" w:rsidRPr="00C92BDF" w14:paraId="6B0AAF6F" w14:textId="77777777" w:rsidTr="00E62BE2">
        <w:tc>
          <w:tcPr>
            <w:tcW w:w="3095" w:type="dxa"/>
          </w:tcPr>
          <w:p w14:paraId="71E99F58"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fr-FR"/>
              </w:rPr>
              <w:t>Kraujo ir limfinės sistemos sutrikimai</w:t>
            </w:r>
          </w:p>
        </w:tc>
        <w:tc>
          <w:tcPr>
            <w:tcW w:w="3095" w:type="dxa"/>
          </w:tcPr>
          <w:p w14:paraId="2A92F3D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Trombocitopenija</w:t>
            </w:r>
          </w:p>
        </w:tc>
        <w:tc>
          <w:tcPr>
            <w:tcW w:w="3096" w:type="dxa"/>
          </w:tcPr>
          <w:p w14:paraId="62A18F7E"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619DB2D2" w14:textId="77777777" w:rsidTr="00E62BE2">
        <w:tc>
          <w:tcPr>
            <w:tcW w:w="3095" w:type="dxa"/>
          </w:tcPr>
          <w:p w14:paraId="13F92D4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t>Imuninės sistemos sutrikimai</w:t>
            </w:r>
          </w:p>
        </w:tc>
        <w:tc>
          <w:tcPr>
            <w:tcW w:w="3095" w:type="dxa"/>
          </w:tcPr>
          <w:p w14:paraId="594B1C0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Anafilaksinės reakcijos</w:t>
            </w:r>
          </w:p>
        </w:tc>
        <w:tc>
          <w:tcPr>
            <w:tcW w:w="3096" w:type="dxa"/>
          </w:tcPr>
          <w:p w14:paraId="317E9EC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01C18D0B" w14:textId="77777777" w:rsidTr="00E62BE2">
        <w:tc>
          <w:tcPr>
            <w:tcW w:w="3095" w:type="dxa"/>
            <w:vMerge w:val="restart"/>
          </w:tcPr>
          <w:p w14:paraId="79E2188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Metabolizmo ir mitybos sutrikimai</w:t>
            </w:r>
          </w:p>
        </w:tc>
        <w:tc>
          <w:tcPr>
            <w:tcW w:w="3095" w:type="dxa"/>
          </w:tcPr>
          <w:p w14:paraId="71D3BEA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Hipertrigliceridemija </w:t>
            </w:r>
          </w:p>
        </w:tc>
        <w:tc>
          <w:tcPr>
            <w:tcW w:w="3096" w:type="dxa"/>
          </w:tcPr>
          <w:p w14:paraId="6345A46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62769F8A" w14:textId="77777777" w:rsidTr="00E62BE2">
        <w:tc>
          <w:tcPr>
            <w:tcW w:w="3095" w:type="dxa"/>
            <w:vMerge/>
          </w:tcPr>
          <w:p w14:paraId="794C8F3F"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920633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Hiperurikemija</w:t>
            </w:r>
          </w:p>
        </w:tc>
        <w:tc>
          <w:tcPr>
            <w:tcW w:w="3096" w:type="dxa"/>
          </w:tcPr>
          <w:p w14:paraId="3A8A309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2F178BB" w14:textId="77777777" w:rsidTr="00E62BE2">
        <w:tc>
          <w:tcPr>
            <w:tcW w:w="3095" w:type="dxa"/>
            <w:vMerge/>
          </w:tcPr>
          <w:p w14:paraId="7BD3620C"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77655C4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Hiperkaliemija</w:t>
            </w:r>
          </w:p>
        </w:tc>
        <w:tc>
          <w:tcPr>
            <w:tcW w:w="3096" w:type="dxa"/>
          </w:tcPr>
          <w:p w14:paraId="0692A5D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7A319453" w14:textId="77777777" w:rsidTr="00E62BE2">
        <w:tc>
          <w:tcPr>
            <w:tcW w:w="3095" w:type="dxa"/>
            <w:vMerge w:val="restart"/>
          </w:tcPr>
          <w:p w14:paraId="44B1844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Nervų sistemos sutrikimai</w:t>
            </w:r>
          </w:p>
        </w:tc>
        <w:tc>
          <w:tcPr>
            <w:tcW w:w="3095" w:type="dxa"/>
          </w:tcPr>
          <w:p w14:paraId="692CC30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Svaigulys</w:t>
            </w:r>
          </w:p>
        </w:tc>
        <w:tc>
          <w:tcPr>
            <w:tcW w:w="3096" w:type="dxa"/>
          </w:tcPr>
          <w:p w14:paraId="7541D91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241A2E6" w14:textId="77777777" w:rsidTr="00E62BE2">
        <w:tc>
          <w:tcPr>
            <w:tcW w:w="3095" w:type="dxa"/>
            <w:vMerge/>
          </w:tcPr>
          <w:p w14:paraId="5B14400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32E9C4A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Galvos skausmas</w:t>
            </w:r>
          </w:p>
        </w:tc>
        <w:tc>
          <w:tcPr>
            <w:tcW w:w="3096" w:type="dxa"/>
          </w:tcPr>
          <w:p w14:paraId="4D293E2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07E58DE7" w14:textId="77777777" w:rsidTr="00E62BE2">
        <w:tc>
          <w:tcPr>
            <w:tcW w:w="3095" w:type="dxa"/>
          </w:tcPr>
          <w:p w14:paraId="6B1337C1"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t>Ausų ir labirintų sutrikimai</w:t>
            </w:r>
          </w:p>
        </w:tc>
        <w:tc>
          <w:tcPr>
            <w:tcW w:w="3095" w:type="dxa"/>
          </w:tcPr>
          <w:p w14:paraId="5B4EDE0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Galvos sukimasis (</w:t>
            </w:r>
            <w:r w:rsidRPr="00C92BDF">
              <w:rPr>
                <w:rFonts w:ascii="Times New Roman" w:eastAsia="Times New Roman" w:hAnsi="Times New Roman" w:cs="Times New Roman"/>
                <w:i/>
                <w:lang w:val="lt-LT"/>
              </w:rPr>
              <w:t>vertigo</w:t>
            </w:r>
            <w:r w:rsidRPr="00C92BDF">
              <w:rPr>
                <w:rFonts w:ascii="Times New Roman" w:eastAsia="Times New Roman" w:hAnsi="Times New Roman" w:cs="Times New Roman"/>
                <w:lang w:val="lt-LT"/>
              </w:rPr>
              <w:t>)</w:t>
            </w:r>
          </w:p>
        </w:tc>
        <w:tc>
          <w:tcPr>
            <w:tcW w:w="3096" w:type="dxa"/>
          </w:tcPr>
          <w:p w14:paraId="7BA8703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1C803F51" w14:textId="77777777" w:rsidTr="00E62BE2">
        <w:tc>
          <w:tcPr>
            <w:tcW w:w="3095" w:type="dxa"/>
          </w:tcPr>
          <w:p w14:paraId="0C81991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Širdies sutrikimai</w:t>
            </w:r>
          </w:p>
        </w:tc>
        <w:tc>
          <w:tcPr>
            <w:tcW w:w="3095" w:type="dxa"/>
          </w:tcPr>
          <w:p w14:paraId="62DA7D0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Krūtinės angina</w:t>
            </w:r>
          </w:p>
        </w:tc>
        <w:tc>
          <w:tcPr>
            <w:tcW w:w="3096" w:type="dxa"/>
          </w:tcPr>
          <w:p w14:paraId="72FAD9BE"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31CBD75D" w14:textId="77777777" w:rsidTr="00E62BE2">
        <w:tc>
          <w:tcPr>
            <w:tcW w:w="3095" w:type="dxa"/>
          </w:tcPr>
          <w:p w14:paraId="7F09D27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Kraujagyslių sutrikimai</w:t>
            </w:r>
          </w:p>
        </w:tc>
        <w:tc>
          <w:tcPr>
            <w:tcW w:w="3095" w:type="dxa"/>
          </w:tcPr>
          <w:p w14:paraId="36DC7A2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Hipotenzija</w:t>
            </w:r>
          </w:p>
        </w:tc>
        <w:tc>
          <w:tcPr>
            <w:tcW w:w="3096" w:type="dxa"/>
          </w:tcPr>
          <w:p w14:paraId="4347BA88"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757CCAF1" w14:textId="77777777" w:rsidTr="0053248E">
        <w:tc>
          <w:tcPr>
            <w:tcW w:w="3095" w:type="dxa"/>
            <w:vMerge w:val="restart"/>
          </w:tcPr>
          <w:p w14:paraId="7411CA1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Kvėpavimo sistemos, krūtinės ląstos ir tarpuplaučio sutrikimai</w:t>
            </w:r>
          </w:p>
        </w:tc>
        <w:tc>
          <w:tcPr>
            <w:tcW w:w="3095" w:type="dxa"/>
          </w:tcPr>
          <w:p w14:paraId="69830D9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Bronchitas</w:t>
            </w:r>
          </w:p>
        </w:tc>
        <w:tc>
          <w:tcPr>
            <w:tcW w:w="3096" w:type="dxa"/>
          </w:tcPr>
          <w:p w14:paraId="63ACC13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778E99A4" w14:textId="77777777" w:rsidTr="0053248E">
        <w:tc>
          <w:tcPr>
            <w:tcW w:w="3095" w:type="dxa"/>
            <w:vMerge/>
          </w:tcPr>
          <w:p w14:paraId="4F8284B3"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D29985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Faringitas</w:t>
            </w:r>
          </w:p>
        </w:tc>
        <w:tc>
          <w:tcPr>
            <w:tcW w:w="3096" w:type="dxa"/>
          </w:tcPr>
          <w:p w14:paraId="1FC58511"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203D601A" w14:textId="77777777" w:rsidTr="0053248E">
        <w:tc>
          <w:tcPr>
            <w:tcW w:w="3095" w:type="dxa"/>
            <w:vMerge/>
          </w:tcPr>
          <w:p w14:paraId="34A918D2"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62A0E0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Kosulys</w:t>
            </w:r>
          </w:p>
        </w:tc>
        <w:tc>
          <w:tcPr>
            <w:tcW w:w="3096" w:type="dxa"/>
          </w:tcPr>
          <w:p w14:paraId="2668DEF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D87BD5F" w14:textId="77777777" w:rsidTr="0053248E">
        <w:tc>
          <w:tcPr>
            <w:tcW w:w="3095" w:type="dxa"/>
            <w:vMerge/>
          </w:tcPr>
          <w:p w14:paraId="6D9C80C9"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280599D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Rinitas</w:t>
            </w:r>
          </w:p>
        </w:tc>
        <w:tc>
          <w:tcPr>
            <w:tcW w:w="3096" w:type="dxa"/>
          </w:tcPr>
          <w:p w14:paraId="79EB28C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7B897CBE" w14:textId="77777777" w:rsidTr="0053248E">
        <w:tc>
          <w:tcPr>
            <w:tcW w:w="3095" w:type="dxa"/>
            <w:vMerge w:val="restart"/>
          </w:tcPr>
          <w:p w14:paraId="6B78BB27"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Virškinimo trakto sutrikimai</w:t>
            </w:r>
          </w:p>
        </w:tc>
        <w:tc>
          <w:tcPr>
            <w:tcW w:w="3095" w:type="dxa"/>
          </w:tcPr>
          <w:p w14:paraId="11B0B89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Gastroenteritas</w:t>
            </w:r>
          </w:p>
        </w:tc>
        <w:tc>
          <w:tcPr>
            <w:tcW w:w="3096" w:type="dxa"/>
          </w:tcPr>
          <w:p w14:paraId="43A712D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1889C1CD" w14:textId="77777777" w:rsidTr="0053248E">
        <w:tc>
          <w:tcPr>
            <w:tcW w:w="3095" w:type="dxa"/>
            <w:vMerge/>
          </w:tcPr>
          <w:p w14:paraId="6483744A"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2211310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Viduriavimas</w:t>
            </w:r>
          </w:p>
        </w:tc>
        <w:tc>
          <w:tcPr>
            <w:tcW w:w="3096" w:type="dxa"/>
          </w:tcPr>
          <w:p w14:paraId="08935DFF"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D17F891" w14:textId="77777777" w:rsidTr="0053248E">
        <w:tc>
          <w:tcPr>
            <w:tcW w:w="3095" w:type="dxa"/>
            <w:vMerge/>
          </w:tcPr>
          <w:p w14:paraId="77DC97D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4BAAA3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Pilvo skausmas</w:t>
            </w:r>
          </w:p>
        </w:tc>
        <w:tc>
          <w:tcPr>
            <w:tcW w:w="3096" w:type="dxa"/>
          </w:tcPr>
          <w:p w14:paraId="6820CAF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36014F2" w14:textId="77777777" w:rsidTr="0053248E">
        <w:tc>
          <w:tcPr>
            <w:tcW w:w="3095" w:type="dxa"/>
            <w:vMerge/>
          </w:tcPr>
          <w:p w14:paraId="2BA7B668"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C0D848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Pykinimas</w:t>
            </w:r>
          </w:p>
        </w:tc>
        <w:tc>
          <w:tcPr>
            <w:tcW w:w="3096" w:type="dxa"/>
          </w:tcPr>
          <w:p w14:paraId="0DA30E1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47033A15" w14:textId="77777777" w:rsidTr="0053248E">
        <w:tc>
          <w:tcPr>
            <w:tcW w:w="3095" w:type="dxa"/>
            <w:vMerge/>
          </w:tcPr>
          <w:p w14:paraId="58104F2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4BA1AD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Dispepsija</w:t>
            </w:r>
          </w:p>
        </w:tc>
        <w:tc>
          <w:tcPr>
            <w:tcW w:w="3096" w:type="dxa"/>
          </w:tcPr>
          <w:p w14:paraId="72A5358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33C33C4F" w14:textId="77777777" w:rsidTr="0053248E">
        <w:tc>
          <w:tcPr>
            <w:tcW w:w="3095" w:type="dxa"/>
            <w:vMerge/>
          </w:tcPr>
          <w:p w14:paraId="61D820C0"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3B6D5FE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Vėmimas</w:t>
            </w:r>
          </w:p>
        </w:tc>
        <w:tc>
          <w:tcPr>
            <w:tcW w:w="3096" w:type="dxa"/>
          </w:tcPr>
          <w:p w14:paraId="6E043DC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A53D1A" w:rsidRPr="00C92BDF" w14:paraId="528B7090" w14:textId="77777777" w:rsidTr="0053248E">
        <w:tc>
          <w:tcPr>
            <w:tcW w:w="3095" w:type="dxa"/>
            <w:vMerge/>
          </w:tcPr>
          <w:p w14:paraId="63ED78F1" w14:textId="77777777" w:rsidR="00A53D1A" w:rsidRPr="00C92BDF" w:rsidRDefault="00A53D1A" w:rsidP="0053248E">
            <w:pPr>
              <w:spacing w:after="0" w:line="240" w:lineRule="auto"/>
              <w:rPr>
                <w:rFonts w:ascii="Times New Roman" w:eastAsia="Times New Roman" w:hAnsi="Times New Roman" w:cs="Times New Roman"/>
                <w:lang w:val="lt-LT"/>
              </w:rPr>
            </w:pPr>
          </w:p>
        </w:tc>
        <w:tc>
          <w:tcPr>
            <w:tcW w:w="3095" w:type="dxa"/>
          </w:tcPr>
          <w:p w14:paraId="28459204" w14:textId="77777777" w:rsidR="00A53D1A" w:rsidRPr="00A53D1A" w:rsidRDefault="00A53D1A" w:rsidP="0053248E">
            <w:pPr>
              <w:spacing w:after="0" w:line="240" w:lineRule="auto"/>
              <w:rPr>
                <w:rFonts w:ascii="Times New Roman" w:eastAsia="Times New Roman" w:hAnsi="Times New Roman" w:cs="Times New Roman"/>
                <w:lang w:val="lt-LT"/>
              </w:rPr>
            </w:pPr>
            <w:r w:rsidRPr="00A53D1A">
              <w:rPr>
                <w:rFonts w:ascii="Times New Roman" w:hAnsi="Times New Roman" w:cs="Times New Roman"/>
              </w:rPr>
              <w:t>Žarnyno angioneurozinė edema</w:t>
            </w:r>
          </w:p>
        </w:tc>
        <w:tc>
          <w:tcPr>
            <w:tcW w:w="3096" w:type="dxa"/>
          </w:tcPr>
          <w:p w14:paraId="0FFF5C7A" w14:textId="77777777" w:rsidR="00A53D1A" w:rsidRPr="00C92BDF" w:rsidRDefault="00A53D1A" w:rsidP="0053248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Retos</w:t>
            </w:r>
          </w:p>
        </w:tc>
      </w:tr>
      <w:tr w:rsidR="004125E7" w:rsidRPr="00C92BDF" w14:paraId="180970EC" w14:textId="77777777" w:rsidTr="0053248E">
        <w:tc>
          <w:tcPr>
            <w:tcW w:w="3095" w:type="dxa"/>
            <w:vMerge/>
          </w:tcPr>
          <w:p w14:paraId="4A6A1FA6"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44D0D4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Į celiakiją panaši enteropatija</w:t>
            </w:r>
          </w:p>
          <w:p w14:paraId="7B024A4E"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(žr. skyrių 4.4)</w:t>
            </w:r>
          </w:p>
        </w:tc>
        <w:tc>
          <w:tcPr>
            <w:tcW w:w="3096" w:type="dxa"/>
          </w:tcPr>
          <w:p w14:paraId="21E98E6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Labai retos</w:t>
            </w:r>
          </w:p>
        </w:tc>
      </w:tr>
      <w:tr w:rsidR="004125E7" w:rsidRPr="00C92BDF" w14:paraId="600996E8" w14:textId="77777777" w:rsidTr="00E62BE2">
        <w:tc>
          <w:tcPr>
            <w:tcW w:w="3095" w:type="dxa"/>
          </w:tcPr>
          <w:p w14:paraId="3D3DBD3D" w14:textId="77777777" w:rsidR="004125E7" w:rsidRPr="0034669C" w:rsidRDefault="004125E7" w:rsidP="0053248E">
            <w:pPr>
              <w:spacing w:after="0" w:line="240" w:lineRule="auto"/>
              <w:rPr>
                <w:rFonts w:ascii="Times New Roman" w:eastAsia="Times New Roman" w:hAnsi="Times New Roman" w:cs="Times New Roman"/>
                <w:lang w:val="lt-LT"/>
              </w:rPr>
            </w:pPr>
            <w:r w:rsidRPr="0034669C">
              <w:rPr>
                <w:rFonts w:ascii="Times New Roman" w:hAnsi="Times New Roman" w:cs="Times New Roman"/>
              </w:rPr>
              <w:t>Kepenų, tulžies pūslės ir latakų sutrikimai</w:t>
            </w:r>
          </w:p>
        </w:tc>
        <w:tc>
          <w:tcPr>
            <w:tcW w:w="3095" w:type="dxa"/>
          </w:tcPr>
          <w:p w14:paraId="0491AD26" w14:textId="77777777" w:rsidR="004125E7" w:rsidRPr="0034669C" w:rsidRDefault="004125E7" w:rsidP="0053248E">
            <w:pPr>
              <w:spacing w:after="0" w:line="240" w:lineRule="auto"/>
              <w:rPr>
                <w:rFonts w:ascii="Times New Roman" w:eastAsia="Times New Roman" w:hAnsi="Times New Roman" w:cs="Times New Roman"/>
                <w:lang w:val="lt-LT"/>
              </w:rPr>
            </w:pPr>
            <w:r w:rsidRPr="0034669C">
              <w:rPr>
                <w:rFonts w:ascii="Times New Roman" w:hAnsi="Times New Roman" w:cs="Times New Roman"/>
              </w:rPr>
              <w:t>Autoimuninis hepatitas*</w:t>
            </w:r>
          </w:p>
        </w:tc>
        <w:tc>
          <w:tcPr>
            <w:tcW w:w="3096" w:type="dxa"/>
          </w:tcPr>
          <w:p w14:paraId="63AC3211" w14:textId="77777777" w:rsidR="004125E7" w:rsidRPr="0034669C" w:rsidRDefault="004125E7" w:rsidP="0053248E">
            <w:pPr>
              <w:spacing w:after="0" w:line="240" w:lineRule="auto"/>
              <w:rPr>
                <w:rFonts w:ascii="Times New Roman" w:eastAsia="Times New Roman" w:hAnsi="Times New Roman" w:cs="Times New Roman"/>
                <w:lang w:val="lt-LT"/>
              </w:rPr>
            </w:pPr>
            <w:r w:rsidRPr="0034669C">
              <w:rPr>
                <w:rFonts w:ascii="Times New Roman" w:hAnsi="Times New Roman" w:cs="Times New Roman"/>
              </w:rPr>
              <w:t>Dažnis nežinomas</w:t>
            </w:r>
          </w:p>
        </w:tc>
      </w:tr>
      <w:tr w:rsidR="004125E7" w:rsidRPr="00C92BDF" w14:paraId="2564C3DC" w14:textId="77777777" w:rsidTr="00E62BE2">
        <w:tc>
          <w:tcPr>
            <w:tcW w:w="3095" w:type="dxa"/>
            <w:vMerge w:val="restart"/>
          </w:tcPr>
          <w:p w14:paraId="6AEF2F3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Odos ir poodinio audinio sutrikimai</w:t>
            </w:r>
          </w:p>
        </w:tc>
        <w:tc>
          <w:tcPr>
            <w:tcW w:w="3095" w:type="dxa"/>
          </w:tcPr>
          <w:p w14:paraId="74F3A1F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Egzantema</w:t>
            </w:r>
          </w:p>
        </w:tc>
        <w:tc>
          <w:tcPr>
            <w:tcW w:w="3096" w:type="dxa"/>
          </w:tcPr>
          <w:p w14:paraId="4198FE68"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035F669F" w14:textId="77777777" w:rsidTr="00E62BE2">
        <w:tc>
          <w:tcPr>
            <w:tcW w:w="3095" w:type="dxa"/>
            <w:vMerge/>
          </w:tcPr>
          <w:p w14:paraId="25BA8DDD"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0E120F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Alerginis dermatitas</w:t>
            </w:r>
          </w:p>
        </w:tc>
        <w:tc>
          <w:tcPr>
            <w:tcW w:w="3096" w:type="dxa"/>
          </w:tcPr>
          <w:p w14:paraId="57B9863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5E74A208" w14:textId="77777777" w:rsidTr="00E62BE2">
        <w:tc>
          <w:tcPr>
            <w:tcW w:w="3095" w:type="dxa"/>
            <w:vMerge/>
          </w:tcPr>
          <w:p w14:paraId="7DF090E3"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10F35E5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Dilgėlinė</w:t>
            </w:r>
          </w:p>
        </w:tc>
        <w:tc>
          <w:tcPr>
            <w:tcW w:w="3096" w:type="dxa"/>
          </w:tcPr>
          <w:p w14:paraId="6376C51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4EAD10DF" w14:textId="77777777" w:rsidTr="00E62BE2">
        <w:tc>
          <w:tcPr>
            <w:tcW w:w="3095" w:type="dxa"/>
            <w:vMerge/>
          </w:tcPr>
          <w:p w14:paraId="3B78E519"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27F9C1E8"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Išbėrimas</w:t>
            </w:r>
          </w:p>
        </w:tc>
        <w:tc>
          <w:tcPr>
            <w:tcW w:w="3096" w:type="dxa"/>
          </w:tcPr>
          <w:p w14:paraId="3390A23F"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0D372FC5" w14:textId="77777777" w:rsidTr="00E62BE2">
        <w:tc>
          <w:tcPr>
            <w:tcW w:w="3095" w:type="dxa"/>
            <w:vMerge/>
          </w:tcPr>
          <w:p w14:paraId="606D0783"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1C617E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Niežulys</w:t>
            </w:r>
          </w:p>
        </w:tc>
        <w:tc>
          <w:tcPr>
            <w:tcW w:w="3096" w:type="dxa"/>
          </w:tcPr>
          <w:p w14:paraId="378F3D8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126BED0E" w14:textId="77777777" w:rsidTr="00E62BE2">
        <w:tc>
          <w:tcPr>
            <w:tcW w:w="3095" w:type="dxa"/>
            <w:vMerge/>
          </w:tcPr>
          <w:p w14:paraId="19304AFF"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CB9D57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Angioneurozinė edema</w:t>
            </w:r>
          </w:p>
        </w:tc>
        <w:tc>
          <w:tcPr>
            <w:tcW w:w="3096" w:type="dxa"/>
          </w:tcPr>
          <w:p w14:paraId="303F960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06A331C2" w14:textId="77777777" w:rsidTr="00E62BE2">
        <w:tc>
          <w:tcPr>
            <w:tcW w:w="3095" w:type="dxa"/>
            <w:vMerge w:val="restart"/>
          </w:tcPr>
          <w:p w14:paraId="5171E96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t>Skeleto, raumenų ir jungiamojo audinio sutrikimai</w:t>
            </w:r>
          </w:p>
        </w:tc>
        <w:tc>
          <w:tcPr>
            <w:tcW w:w="3095" w:type="dxa"/>
          </w:tcPr>
          <w:p w14:paraId="1A13306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Artritas</w:t>
            </w:r>
          </w:p>
        </w:tc>
        <w:tc>
          <w:tcPr>
            <w:tcW w:w="3096" w:type="dxa"/>
          </w:tcPr>
          <w:p w14:paraId="6D34335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7D8B3592" w14:textId="77777777" w:rsidTr="00E62BE2">
        <w:tc>
          <w:tcPr>
            <w:tcW w:w="3095" w:type="dxa"/>
            <w:vMerge/>
          </w:tcPr>
          <w:p w14:paraId="3DB89128"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CA56F6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Nugaros skausmas</w:t>
            </w:r>
          </w:p>
        </w:tc>
        <w:tc>
          <w:tcPr>
            <w:tcW w:w="3096" w:type="dxa"/>
          </w:tcPr>
          <w:p w14:paraId="21B02514"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6A9628A2" w14:textId="77777777" w:rsidTr="00E62BE2">
        <w:tc>
          <w:tcPr>
            <w:tcW w:w="3095" w:type="dxa"/>
            <w:vMerge/>
          </w:tcPr>
          <w:p w14:paraId="609322EA"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7AF550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Kaulų skausmas</w:t>
            </w:r>
          </w:p>
        </w:tc>
        <w:tc>
          <w:tcPr>
            <w:tcW w:w="3096" w:type="dxa"/>
          </w:tcPr>
          <w:p w14:paraId="6C5DEE91"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616C8300" w14:textId="77777777" w:rsidTr="00E62BE2">
        <w:tc>
          <w:tcPr>
            <w:tcW w:w="3095" w:type="dxa"/>
            <w:vMerge/>
          </w:tcPr>
          <w:p w14:paraId="1DA1C7B7"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2776A6E"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Raumenų skausmas</w:t>
            </w:r>
          </w:p>
        </w:tc>
        <w:tc>
          <w:tcPr>
            <w:tcW w:w="3096" w:type="dxa"/>
          </w:tcPr>
          <w:p w14:paraId="1A3AEB9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401B4917" w14:textId="77777777" w:rsidTr="00E62BE2">
        <w:tc>
          <w:tcPr>
            <w:tcW w:w="3095" w:type="dxa"/>
            <w:vMerge/>
          </w:tcPr>
          <w:p w14:paraId="1AEA88F8"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3295502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Raumenų spazmas</w:t>
            </w:r>
          </w:p>
        </w:tc>
        <w:tc>
          <w:tcPr>
            <w:tcW w:w="3096" w:type="dxa"/>
          </w:tcPr>
          <w:p w14:paraId="2530117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2C354949" w14:textId="77777777" w:rsidTr="00E62BE2">
        <w:tc>
          <w:tcPr>
            <w:tcW w:w="3095" w:type="dxa"/>
            <w:vMerge w:val="restart"/>
          </w:tcPr>
          <w:p w14:paraId="71CFD40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Inkstų ir šlapimo takų sutrikimai</w:t>
            </w:r>
          </w:p>
        </w:tc>
        <w:tc>
          <w:tcPr>
            <w:tcW w:w="3095" w:type="dxa"/>
          </w:tcPr>
          <w:p w14:paraId="4D0677E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Hematurija </w:t>
            </w:r>
          </w:p>
        </w:tc>
        <w:tc>
          <w:tcPr>
            <w:tcW w:w="3096" w:type="dxa"/>
          </w:tcPr>
          <w:p w14:paraId="0C336EF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10DE6FAA" w14:textId="77777777" w:rsidTr="00E62BE2">
        <w:tc>
          <w:tcPr>
            <w:tcW w:w="3095" w:type="dxa"/>
            <w:vMerge/>
          </w:tcPr>
          <w:p w14:paraId="13492E8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798B46B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Šlapimo takų infekcija</w:t>
            </w:r>
          </w:p>
        </w:tc>
        <w:tc>
          <w:tcPr>
            <w:tcW w:w="3096" w:type="dxa"/>
          </w:tcPr>
          <w:p w14:paraId="6F259BFF"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158C5F35" w14:textId="77777777" w:rsidTr="00E62BE2">
        <w:tc>
          <w:tcPr>
            <w:tcW w:w="3095" w:type="dxa"/>
            <w:vMerge/>
          </w:tcPr>
          <w:p w14:paraId="406E8122"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6A5CCDE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Ūminis inkstų nepakankamumas</w:t>
            </w:r>
          </w:p>
        </w:tc>
        <w:tc>
          <w:tcPr>
            <w:tcW w:w="3096" w:type="dxa"/>
          </w:tcPr>
          <w:p w14:paraId="05547EA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7B4F517A" w14:textId="77777777" w:rsidTr="00E62BE2">
        <w:tc>
          <w:tcPr>
            <w:tcW w:w="3095" w:type="dxa"/>
            <w:vMerge/>
          </w:tcPr>
          <w:p w14:paraId="452D3C1C"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7367DF6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Inkstų nepakankamumas</w:t>
            </w:r>
          </w:p>
        </w:tc>
        <w:tc>
          <w:tcPr>
            <w:tcW w:w="3096" w:type="dxa"/>
          </w:tcPr>
          <w:p w14:paraId="72F34FF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7F42714A" w14:textId="77777777" w:rsidTr="00E62BE2">
        <w:tc>
          <w:tcPr>
            <w:tcW w:w="3095" w:type="dxa"/>
            <w:vMerge w:val="restart"/>
          </w:tcPr>
          <w:p w14:paraId="2CF5AFAE"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Bendrieji sutrikimai ir vartojimo vietos pažeidimai</w:t>
            </w:r>
          </w:p>
        </w:tc>
        <w:tc>
          <w:tcPr>
            <w:tcW w:w="3095" w:type="dxa"/>
          </w:tcPr>
          <w:p w14:paraId="6861718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Skausmas</w:t>
            </w:r>
          </w:p>
        </w:tc>
        <w:tc>
          <w:tcPr>
            <w:tcW w:w="3096" w:type="dxa"/>
          </w:tcPr>
          <w:p w14:paraId="7D4C9D7B"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23FD35A5" w14:textId="77777777" w:rsidTr="00E62BE2">
        <w:tc>
          <w:tcPr>
            <w:tcW w:w="3095" w:type="dxa"/>
            <w:vMerge/>
          </w:tcPr>
          <w:p w14:paraId="33011C98"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4CB2BEA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Krūtinės skausmas</w:t>
            </w:r>
          </w:p>
        </w:tc>
        <w:tc>
          <w:tcPr>
            <w:tcW w:w="3096" w:type="dxa"/>
          </w:tcPr>
          <w:p w14:paraId="0049A2F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51EF8C10" w14:textId="77777777" w:rsidTr="00E62BE2">
        <w:tc>
          <w:tcPr>
            <w:tcW w:w="3095" w:type="dxa"/>
            <w:vMerge/>
          </w:tcPr>
          <w:p w14:paraId="43FFCDF7"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478D487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Periferinė edema</w:t>
            </w:r>
          </w:p>
        </w:tc>
        <w:tc>
          <w:tcPr>
            <w:tcW w:w="3096" w:type="dxa"/>
          </w:tcPr>
          <w:p w14:paraId="12228907"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6D96DF55" w14:textId="77777777" w:rsidTr="00E62BE2">
        <w:tc>
          <w:tcPr>
            <w:tcW w:w="3095" w:type="dxa"/>
            <w:vMerge/>
          </w:tcPr>
          <w:p w14:paraId="6DDD1654"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5AE908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Į gripą panašūs simptomai</w:t>
            </w:r>
          </w:p>
        </w:tc>
        <w:tc>
          <w:tcPr>
            <w:tcW w:w="3096" w:type="dxa"/>
          </w:tcPr>
          <w:p w14:paraId="24EB2FD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106FB25D" w14:textId="77777777" w:rsidTr="00E62BE2">
        <w:tc>
          <w:tcPr>
            <w:tcW w:w="3095" w:type="dxa"/>
            <w:vMerge/>
          </w:tcPr>
          <w:p w14:paraId="5002C1B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14CEF48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Nuovargis</w:t>
            </w:r>
          </w:p>
        </w:tc>
        <w:tc>
          <w:tcPr>
            <w:tcW w:w="3096" w:type="dxa"/>
          </w:tcPr>
          <w:p w14:paraId="6287D7D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195E0698" w14:textId="77777777" w:rsidTr="00E62BE2">
        <w:tc>
          <w:tcPr>
            <w:tcW w:w="3095" w:type="dxa"/>
            <w:vMerge/>
          </w:tcPr>
          <w:p w14:paraId="281A652A"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17A7CBC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Veido patinimas</w:t>
            </w:r>
          </w:p>
        </w:tc>
        <w:tc>
          <w:tcPr>
            <w:tcW w:w="3096" w:type="dxa"/>
          </w:tcPr>
          <w:p w14:paraId="1B40A09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26F8AB60" w14:textId="77777777" w:rsidTr="00E62BE2">
        <w:tc>
          <w:tcPr>
            <w:tcW w:w="3095" w:type="dxa"/>
            <w:vMerge/>
          </w:tcPr>
          <w:p w14:paraId="472FB61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C6A0F31"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Astenija</w:t>
            </w:r>
          </w:p>
        </w:tc>
        <w:tc>
          <w:tcPr>
            <w:tcW w:w="3096" w:type="dxa"/>
          </w:tcPr>
          <w:p w14:paraId="5BD5750F"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3CDDDB3E" w14:textId="77777777" w:rsidTr="00E62BE2">
        <w:tc>
          <w:tcPr>
            <w:tcW w:w="3095" w:type="dxa"/>
            <w:vMerge/>
          </w:tcPr>
          <w:p w14:paraId="2CD33D12"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3EDAA20C"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Bendras negalavimas</w:t>
            </w:r>
          </w:p>
        </w:tc>
        <w:tc>
          <w:tcPr>
            <w:tcW w:w="3096" w:type="dxa"/>
          </w:tcPr>
          <w:p w14:paraId="64877D46"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Nedažnos</w:t>
            </w:r>
          </w:p>
        </w:tc>
      </w:tr>
      <w:tr w:rsidR="004125E7" w:rsidRPr="00C92BDF" w14:paraId="7F08E6DD" w14:textId="77777777" w:rsidTr="00E62BE2">
        <w:tc>
          <w:tcPr>
            <w:tcW w:w="3095" w:type="dxa"/>
            <w:vMerge/>
          </w:tcPr>
          <w:p w14:paraId="2630BA2F"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36635CB0"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Letargija</w:t>
            </w:r>
          </w:p>
        </w:tc>
        <w:tc>
          <w:tcPr>
            <w:tcW w:w="3096" w:type="dxa"/>
          </w:tcPr>
          <w:p w14:paraId="1CE7ADF2"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r w:rsidR="004125E7" w:rsidRPr="00C92BDF" w14:paraId="21E7E2D2" w14:textId="77777777" w:rsidTr="00E62BE2">
        <w:tc>
          <w:tcPr>
            <w:tcW w:w="3095" w:type="dxa"/>
            <w:vMerge w:val="restart"/>
          </w:tcPr>
          <w:p w14:paraId="138DB73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Tyrimai</w:t>
            </w:r>
          </w:p>
        </w:tc>
        <w:tc>
          <w:tcPr>
            <w:tcW w:w="3095" w:type="dxa"/>
          </w:tcPr>
          <w:p w14:paraId="3EBA16BD"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Padidėjęs kepenų fermentų aktyvumas kraujyje</w:t>
            </w:r>
          </w:p>
        </w:tc>
        <w:tc>
          <w:tcPr>
            <w:tcW w:w="3096" w:type="dxa"/>
          </w:tcPr>
          <w:p w14:paraId="04072A21"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5434FF1F" w14:textId="77777777" w:rsidTr="00E62BE2">
        <w:tc>
          <w:tcPr>
            <w:tcW w:w="3095" w:type="dxa"/>
            <w:vMerge/>
          </w:tcPr>
          <w:p w14:paraId="57F559EB"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7A877F15"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Padidėjęs urėjos kiekis kraujyje</w:t>
            </w:r>
          </w:p>
        </w:tc>
        <w:tc>
          <w:tcPr>
            <w:tcW w:w="3096" w:type="dxa"/>
          </w:tcPr>
          <w:p w14:paraId="3B234C5A"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7450C589" w14:textId="77777777" w:rsidTr="00E62BE2">
        <w:tc>
          <w:tcPr>
            <w:tcW w:w="3095" w:type="dxa"/>
            <w:vMerge/>
          </w:tcPr>
          <w:p w14:paraId="102C2DB8"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09E29D13"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Padidėjęs kreatinino fosfokinazės aktyvumas kraujyje </w:t>
            </w:r>
          </w:p>
        </w:tc>
        <w:tc>
          <w:tcPr>
            <w:tcW w:w="3096" w:type="dxa"/>
          </w:tcPr>
          <w:p w14:paraId="55B0A257"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Dažnos</w:t>
            </w:r>
          </w:p>
        </w:tc>
      </w:tr>
      <w:tr w:rsidR="004125E7" w:rsidRPr="00C92BDF" w14:paraId="521F8666" w14:textId="77777777" w:rsidTr="00E62BE2">
        <w:tc>
          <w:tcPr>
            <w:tcW w:w="3095" w:type="dxa"/>
            <w:vMerge/>
          </w:tcPr>
          <w:p w14:paraId="59B7021E" w14:textId="77777777" w:rsidR="004125E7" w:rsidRPr="00C92BDF" w:rsidRDefault="004125E7" w:rsidP="0053248E">
            <w:pPr>
              <w:spacing w:after="0" w:line="240" w:lineRule="auto"/>
              <w:rPr>
                <w:rFonts w:ascii="Times New Roman" w:eastAsia="Times New Roman" w:hAnsi="Times New Roman" w:cs="Times New Roman"/>
                <w:lang w:val="lt-LT"/>
              </w:rPr>
            </w:pPr>
          </w:p>
        </w:tc>
        <w:tc>
          <w:tcPr>
            <w:tcW w:w="3095" w:type="dxa"/>
          </w:tcPr>
          <w:p w14:paraId="5CD921B9"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Padidėjęs kreatinino kiekis kraujyje </w:t>
            </w:r>
          </w:p>
        </w:tc>
        <w:tc>
          <w:tcPr>
            <w:tcW w:w="3096" w:type="dxa"/>
          </w:tcPr>
          <w:p w14:paraId="10EF9478" w14:textId="77777777" w:rsidR="004125E7" w:rsidRPr="00C92BDF" w:rsidRDefault="004125E7" w:rsidP="0053248E">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Retos</w:t>
            </w:r>
          </w:p>
        </w:tc>
      </w:tr>
    </w:tbl>
    <w:p w14:paraId="1E73E9D9" w14:textId="77777777" w:rsidR="004125E7" w:rsidRPr="0034669C" w:rsidRDefault="004125E7" w:rsidP="004125E7">
      <w:pPr>
        <w:spacing w:after="0" w:line="240" w:lineRule="auto"/>
        <w:rPr>
          <w:rFonts w:ascii="Times New Roman" w:eastAsia="Times New Roman" w:hAnsi="Times New Roman" w:cs="Times New Roman"/>
          <w:lang w:val="lt-LT"/>
        </w:rPr>
      </w:pPr>
    </w:p>
    <w:p w14:paraId="5FDEE7CC" w14:textId="77777777" w:rsidR="004125E7" w:rsidRPr="0034669C"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E62BE2">
        <w:rPr>
          <w:rFonts w:ascii="Times New Roman" w:hAnsi="Times New Roman"/>
          <w:lang w:val="lt-LT"/>
        </w:rPr>
        <w:t>*Po vaistinio preparato pateikimo rinkai gauta pranešimų apie autoimuninio hepatito, kurio latentinis laikotarpis trunka nuo kelių mėnesių iki kelių metų, ir kuris praeina nutraukus olmesartano vartojimą, atvejus.</w:t>
      </w:r>
    </w:p>
    <w:p w14:paraId="056F5F45" w14:textId="77777777" w:rsidR="004125E7" w:rsidRPr="0034669C"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CA68B9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Gauta pranešimų apie pavienius rabdomiolizės atvejus, kai kartu laikinai buvo vartojami angiotenzino II receptorių inhibitoriai.</w:t>
      </w:r>
    </w:p>
    <w:p w14:paraId="3C46228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9A78CDA" w14:textId="77777777" w:rsidR="004125E7" w:rsidRPr="00C92BDF" w:rsidRDefault="004125E7" w:rsidP="004125E7">
      <w:pPr>
        <w:spacing w:after="0" w:line="240" w:lineRule="auto"/>
        <w:rPr>
          <w:rFonts w:ascii="Times New Roman" w:eastAsia="Times New Roman" w:hAnsi="Times New Roman" w:cs="Times New Roman"/>
          <w:i/>
          <w:iCs/>
          <w:u w:val="single"/>
          <w:lang w:val="lt-LT"/>
        </w:rPr>
      </w:pPr>
      <w:r w:rsidRPr="00C92BDF">
        <w:rPr>
          <w:rFonts w:ascii="Times New Roman" w:eastAsia="Times New Roman" w:hAnsi="Times New Roman" w:cs="Times New Roman"/>
          <w:i/>
          <w:iCs/>
          <w:u w:val="single"/>
          <w:lang w:val="lt-LT"/>
        </w:rPr>
        <w:t>Papildoma informacija ypatingų grupių pacientams</w:t>
      </w:r>
    </w:p>
    <w:p w14:paraId="5BD3720B" w14:textId="77777777" w:rsidR="004125E7" w:rsidRPr="00C92BDF" w:rsidRDefault="004125E7" w:rsidP="004125E7">
      <w:pPr>
        <w:spacing w:after="0" w:line="240" w:lineRule="auto"/>
        <w:rPr>
          <w:rFonts w:ascii="Times New Roman" w:eastAsia="Times New Roman" w:hAnsi="Times New Roman" w:cs="Times New Roman"/>
          <w:i/>
          <w:iCs/>
          <w:lang w:val="lt-LT"/>
        </w:rPr>
      </w:pPr>
    </w:p>
    <w:p w14:paraId="59CAEA95"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 xml:space="preserve">Vaikų populiacija </w:t>
      </w:r>
    </w:p>
    <w:p w14:paraId="5896471F" w14:textId="77777777" w:rsidR="004125E7" w:rsidRPr="00C92BDF" w:rsidRDefault="004125E7" w:rsidP="004125E7">
      <w:pPr>
        <w:spacing w:after="120" w:line="240" w:lineRule="auto"/>
        <w:rPr>
          <w:rFonts w:ascii="Times New Roman" w:eastAsia="Times New Roman" w:hAnsi="Times New Roman" w:cs="Times New Roman"/>
          <w:iCs/>
          <w:lang w:val="lt-LT"/>
        </w:rPr>
      </w:pPr>
      <w:r w:rsidRPr="00C92BDF">
        <w:rPr>
          <w:rFonts w:ascii="Times New Roman" w:eastAsia="Times New Roman" w:hAnsi="Times New Roman" w:cs="Times New Roman"/>
          <w:iCs/>
          <w:lang w:val="lt-LT"/>
        </w:rPr>
        <w:t>Olmesartano medoksomilio saugumas buvo stebėtas 2 klinikiniuose tyrimuose, kuriuose 361 dalyvavo vaikas ir paauglys nuo 1 iki 17 metų, Nors šalutinių reiškinių pobūdis ir intensyvumas buvo panašus, bet kai kurių iš jų dažnumas vaikams buvo didesnis:</w:t>
      </w:r>
    </w:p>
    <w:p w14:paraId="183346CF" w14:textId="77777777" w:rsidR="004125E7" w:rsidRPr="00C92BDF" w:rsidRDefault="004125E7" w:rsidP="004125E7">
      <w:pPr>
        <w:spacing w:after="120" w:line="240" w:lineRule="auto"/>
        <w:rPr>
          <w:rFonts w:ascii="Times New Roman" w:eastAsia="Times New Roman" w:hAnsi="Times New Roman" w:cs="Times New Roman"/>
          <w:iCs/>
          <w:lang w:val="lt-LT"/>
        </w:rPr>
      </w:pPr>
      <w:r w:rsidRPr="00C92BDF">
        <w:rPr>
          <w:rFonts w:ascii="Times New Roman" w:eastAsia="Times New Roman" w:hAnsi="Times New Roman" w:cs="Times New Roman"/>
          <w:iCs/>
          <w:lang w:val="lt-LT"/>
        </w:rPr>
        <w:t>-</w:t>
      </w:r>
      <w:r w:rsidRPr="00C92BDF">
        <w:rPr>
          <w:rFonts w:ascii="Times New Roman" w:eastAsia="Times New Roman" w:hAnsi="Times New Roman" w:cs="Times New Roman"/>
          <w:iCs/>
          <w:lang w:val="lt-LT"/>
        </w:rPr>
        <w:tab/>
        <w:t>kraujavimas iš nosies, kuris suaugusiesiems nepasitaikė, buvo gana įprastas šalutinis reiškinys (t.y. dažnumas ≥ 1/100 to &lt; 1/10).</w:t>
      </w:r>
    </w:p>
    <w:p w14:paraId="02301ED0" w14:textId="77777777" w:rsidR="004125E7" w:rsidRPr="00C92BDF" w:rsidRDefault="004125E7" w:rsidP="004125E7">
      <w:pPr>
        <w:spacing w:after="120" w:line="240" w:lineRule="auto"/>
        <w:rPr>
          <w:rFonts w:ascii="Times New Roman" w:eastAsia="Times New Roman" w:hAnsi="Times New Roman" w:cs="Times New Roman"/>
          <w:iCs/>
          <w:lang w:val="lt-LT"/>
        </w:rPr>
      </w:pPr>
      <w:r w:rsidRPr="00C92BDF">
        <w:rPr>
          <w:rFonts w:ascii="Times New Roman" w:eastAsia="Times New Roman" w:hAnsi="Times New Roman" w:cs="Times New Roman"/>
          <w:iCs/>
          <w:lang w:val="lt-LT"/>
        </w:rPr>
        <w:t>-</w:t>
      </w:r>
      <w:r w:rsidRPr="00C92BDF">
        <w:rPr>
          <w:rFonts w:ascii="Times New Roman" w:eastAsia="Times New Roman" w:hAnsi="Times New Roman" w:cs="Times New Roman"/>
          <w:iCs/>
          <w:lang w:val="lt-LT"/>
        </w:rPr>
        <w:tab/>
        <w:t xml:space="preserve">3 savaites trukusio dvigubai aklo didelės olmesartano medoksomilio dozės grupės tyrimo, kuriame dalyvavo 6-17 metų vaikai, metu, sunkaus galvos svaigimo, reikalavusio neatidėliotino gydymo, atvejų skaičius buvo beveik du kartus didesnis (nei suaugusiesiems). </w:t>
      </w:r>
    </w:p>
    <w:p w14:paraId="0B1ABA1A" w14:textId="77777777" w:rsidR="004125E7" w:rsidRPr="00C92BDF" w:rsidRDefault="004125E7" w:rsidP="004125E7">
      <w:pPr>
        <w:spacing w:after="0" w:line="240" w:lineRule="auto"/>
        <w:rPr>
          <w:rFonts w:ascii="Times New Roman" w:eastAsia="Times New Roman" w:hAnsi="Times New Roman" w:cs="Times New Roman"/>
          <w:iCs/>
          <w:lang w:val="lt-LT"/>
        </w:rPr>
      </w:pPr>
      <w:r w:rsidRPr="00C92BDF">
        <w:rPr>
          <w:rFonts w:ascii="Times New Roman" w:eastAsia="Times New Roman" w:hAnsi="Times New Roman" w:cs="Times New Roman"/>
          <w:iCs/>
          <w:lang w:val="lt-LT"/>
        </w:rPr>
        <w:t>Apskritai, olmesartano medoksomilio saugumo profilis pediatriniams pacientams, lyginant su suaugusiais, kiek nors žymiau nesiskyrė.</w:t>
      </w:r>
    </w:p>
    <w:p w14:paraId="1B623531" w14:textId="77777777" w:rsidR="004125E7" w:rsidRPr="00C92BDF" w:rsidRDefault="004125E7" w:rsidP="004125E7">
      <w:pPr>
        <w:spacing w:after="0" w:line="240" w:lineRule="auto"/>
        <w:rPr>
          <w:rFonts w:ascii="Times New Roman" w:eastAsia="Times New Roman" w:hAnsi="Times New Roman" w:cs="Times New Roman"/>
          <w:i/>
          <w:iCs/>
          <w:lang w:val="lt-LT"/>
        </w:rPr>
      </w:pPr>
    </w:p>
    <w:p w14:paraId="219F56AF"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Senyvi pacientai (65 metų ir vyresni)</w:t>
      </w:r>
    </w:p>
    <w:p w14:paraId="78CD438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Senyviems pacientams hipotenzijos dažnis yra šiek tiek didesnis – ji pasitaiko ne retai, o nedažnai. </w:t>
      </w:r>
    </w:p>
    <w:p w14:paraId="75A3E92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C35007F" w14:textId="77777777" w:rsidR="004125E7" w:rsidRPr="00C92BDF" w:rsidRDefault="004125E7" w:rsidP="004125E7">
      <w:pPr>
        <w:autoSpaceDE w:val="0"/>
        <w:autoSpaceDN w:val="0"/>
        <w:adjustRightInd w:val="0"/>
        <w:spacing w:after="0" w:line="240" w:lineRule="auto"/>
        <w:jc w:val="both"/>
        <w:rPr>
          <w:rFonts w:ascii="Times New Roman" w:eastAsia="Calibri" w:hAnsi="Times New Roman" w:cs="Times New Roman"/>
          <w:u w:val="single"/>
          <w:lang w:val="lt-LT" w:eastAsia="lt-LT"/>
        </w:rPr>
      </w:pPr>
      <w:r w:rsidRPr="00C92BDF">
        <w:rPr>
          <w:rFonts w:ascii="Times New Roman" w:eastAsia="Calibri" w:hAnsi="Times New Roman" w:cs="Times New Roman"/>
          <w:noProof/>
          <w:u w:val="single"/>
          <w:lang w:val="lt-LT" w:eastAsia="lt-LT"/>
        </w:rPr>
        <w:t>Pranešimas apie įtariamas nepageidaujamas reakcijas</w:t>
      </w:r>
    </w:p>
    <w:p w14:paraId="0860D4F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Calibri" w:hAnsi="Times New Roman" w:cs="Times New Roman"/>
          <w:noProof/>
          <w:lang w:val="lt-LT"/>
        </w:rPr>
        <w:t>Svarbu pranešti apie įtariamas nepageidaujamas reakcijas, pastebėtas po vaistinio preparato registracijos, nes tai leidžia nuolat stebėti vaistinio preparato naudos ir rizikos santykį.</w:t>
      </w:r>
      <w:r w:rsidRPr="00C92BDF">
        <w:rPr>
          <w:rFonts w:ascii="Times New Roman" w:eastAsia="Calibri" w:hAnsi="Times New Roman" w:cs="Times New Roman"/>
          <w:lang w:val="lt-LT"/>
        </w:rPr>
        <w:t xml:space="preserve"> </w:t>
      </w:r>
      <w:r w:rsidRPr="00C92BDF">
        <w:rPr>
          <w:rFonts w:ascii="Times New Roman" w:eastAsia="Calibri" w:hAnsi="Times New Roman" w:cs="Times New Roman"/>
          <w:noProof/>
          <w:lang w:val="lt-LT"/>
        </w:rPr>
        <w:t>Sveikatos priežiūros specialistai turi pranešti apie bet kokias įtariamas nepageidaujamas reakcijas, užpildę interneto svetainėje http://</w:t>
      </w:r>
      <w:hyperlink r:id="rId7" w:history="1">
        <w:r w:rsidRPr="00C92BDF">
          <w:rPr>
            <w:rFonts w:ascii="Times New Roman" w:eastAsia="SimSun" w:hAnsi="Times New Roman" w:cs="Times New Roman"/>
            <w:noProof/>
            <w:color w:val="0000FF"/>
            <w:lang w:val="lt-LT"/>
          </w:rPr>
          <w:t>www.vvkt.lt</w:t>
        </w:r>
      </w:hyperlink>
      <w:r w:rsidRPr="00C92BDF">
        <w:rPr>
          <w:rFonts w:ascii="Times New Roman" w:eastAsia="Calibri" w:hAnsi="Times New Roman" w:cs="Times New Roman"/>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92BDF">
          <w:rPr>
            <w:rFonts w:ascii="Times New Roman" w:eastAsia="Calibri" w:hAnsi="Times New Roman" w:cs="Times New Roman"/>
            <w:noProof/>
            <w:color w:val="0000FF"/>
            <w:u w:val="single"/>
            <w:lang w:val="lt-LT"/>
          </w:rPr>
          <w:t>NepageidaujamaR@vvkt.lt</w:t>
        </w:r>
      </w:hyperlink>
      <w:r w:rsidRPr="00C92BDF">
        <w:rPr>
          <w:rFonts w:ascii="Times New Roman" w:eastAsia="Calibri" w:hAnsi="Times New Roman" w:cs="Times New Roman"/>
          <w:noProof/>
          <w:lang w:val="lt-LT"/>
        </w:rPr>
        <w:t xml:space="preserve">), per interneto svetainę (adresu </w:t>
      </w:r>
      <w:hyperlink r:id="rId9" w:history="1">
        <w:r w:rsidRPr="00C92BDF">
          <w:rPr>
            <w:rFonts w:ascii="Times New Roman" w:eastAsia="Calibri" w:hAnsi="Times New Roman" w:cs="Times New Roman"/>
            <w:noProof/>
            <w:color w:val="0000FF"/>
            <w:u w:val="single"/>
            <w:lang w:val="lt-LT"/>
          </w:rPr>
          <w:t>http://www.vvkt.lt</w:t>
        </w:r>
      </w:hyperlink>
      <w:r w:rsidRPr="00C92BDF">
        <w:rPr>
          <w:rFonts w:ascii="Times New Roman" w:eastAsia="Calibri" w:hAnsi="Times New Roman" w:cs="Times New Roman"/>
          <w:noProof/>
          <w:lang w:val="lt-LT"/>
        </w:rPr>
        <w:t>).</w:t>
      </w:r>
    </w:p>
    <w:p w14:paraId="05D5DC0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865932F"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4.9</w:t>
      </w:r>
      <w:r w:rsidRPr="00C92BDF">
        <w:rPr>
          <w:rFonts w:ascii="Times New Roman" w:eastAsia="Times New Roman" w:hAnsi="Times New Roman" w:cs="Times New Roman"/>
          <w:b/>
          <w:kern w:val="28"/>
          <w:lang w:val="lt-LT"/>
        </w:rPr>
        <w:tab/>
        <w:t>Perdozavimas</w:t>
      </w:r>
    </w:p>
    <w:p w14:paraId="6BCC723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D45FFB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Duomenys apie šio vaistinio preparato perdozavimą žmonėms yra riboti. Labiausiai tikėtina, kad, jo perdozavus, pasireikš hipotenzija. Perdozavimo atveju būtina atidžiai stebėti paciento gyvybines funkcijas bei taikyti simptominio ir palaikomojo gydymo priemones.</w:t>
      </w:r>
    </w:p>
    <w:p w14:paraId="2171078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83B527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Apie olmesartano pasišalinimą iš organizmo dializės metu duomenų nėra.</w:t>
      </w:r>
    </w:p>
    <w:p w14:paraId="66D65E9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8F7A0C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EDF7E34"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5.</w:t>
      </w:r>
      <w:r w:rsidRPr="00C92BDF">
        <w:rPr>
          <w:rFonts w:ascii="Times New Roman" w:eastAsia="Times New Roman" w:hAnsi="Times New Roman" w:cs="Times New Roman"/>
          <w:b/>
          <w:lang w:val="lt-LT"/>
        </w:rPr>
        <w:tab/>
        <w:t>FARMAKOLOGINĖS SAVYBĖS</w:t>
      </w:r>
    </w:p>
    <w:p w14:paraId="3EF98C8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690BF49"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5.1</w:t>
      </w:r>
      <w:r w:rsidRPr="00C92BDF">
        <w:rPr>
          <w:rFonts w:ascii="Times New Roman" w:eastAsia="Times New Roman" w:hAnsi="Times New Roman" w:cs="Times New Roman"/>
          <w:b/>
          <w:kern w:val="28"/>
          <w:lang w:val="lt-LT"/>
        </w:rPr>
        <w:tab/>
        <w:t>Farmakodinaminės savybės</w:t>
      </w:r>
    </w:p>
    <w:p w14:paraId="7A06F56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800B4B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Farmakoterapinė grupė – angiotenzino II receptorių antagonistai, ATC kodas - C09CA08.</w:t>
      </w:r>
    </w:p>
    <w:p w14:paraId="4E2119D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6E9D6E0" w14:textId="77777777" w:rsidR="004125E7" w:rsidRPr="00C92BDF" w:rsidRDefault="004125E7" w:rsidP="004125E7">
      <w:pPr>
        <w:spacing w:after="0" w:line="240" w:lineRule="auto"/>
        <w:rPr>
          <w:rFonts w:ascii="Times New Roman" w:eastAsia="Times New Roman" w:hAnsi="Times New Roman" w:cs="Times New Roman"/>
          <w:sz w:val="24"/>
          <w:szCs w:val="20"/>
          <w:lang w:val="lt-LT"/>
        </w:rPr>
      </w:pPr>
      <w:r w:rsidRPr="00C92BDF">
        <w:rPr>
          <w:rFonts w:ascii="Times New Roman" w:eastAsia="Times New Roman" w:hAnsi="Times New Roman" w:cs="Times New Roman"/>
          <w:u w:val="single"/>
          <w:lang w:val="lt-LT"/>
        </w:rPr>
        <w:t>Veikimo mechanizmas ir farmakodinaminis poveikis</w:t>
      </w:r>
    </w:p>
    <w:p w14:paraId="33E533E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Olmesartanas medoksomilis yra stipriai veikiantis geriamasis selektyvus angiotenzino II receptorių (AT</w:t>
      </w:r>
      <w:r w:rsidRPr="00C92BDF">
        <w:rPr>
          <w:rFonts w:ascii="Times New Roman" w:eastAsia="Times New Roman" w:hAnsi="Times New Roman" w:cs="Times New Roman"/>
          <w:vertAlign w:val="subscript"/>
          <w:lang w:val="lt-LT"/>
        </w:rPr>
        <w:t>1</w:t>
      </w:r>
      <w:r w:rsidRPr="00C92BDF">
        <w:rPr>
          <w:rFonts w:ascii="Times New Roman" w:eastAsia="Times New Roman" w:hAnsi="Times New Roman" w:cs="Times New Roman"/>
          <w:lang w:val="lt-LT"/>
        </w:rPr>
        <w:t xml:space="preserve"> tipo) antagonistas. Tikėtina, kad jis blokuoja visus per AT</w:t>
      </w:r>
      <w:r w:rsidRPr="00C92BDF">
        <w:rPr>
          <w:rFonts w:ascii="Times New Roman" w:eastAsia="Times New Roman" w:hAnsi="Times New Roman" w:cs="Times New Roman"/>
          <w:vertAlign w:val="subscript"/>
          <w:lang w:val="lt-LT"/>
        </w:rPr>
        <w:t xml:space="preserve">1 </w:t>
      </w:r>
      <w:r w:rsidRPr="00C92BDF">
        <w:rPr>
          <w:rFonts w:ascii="Times New Roman" w:eastAsia="Times New Roman" w:hAnsi="Times New Roman" w:cs="Times New Roman"/>
          <w:lang w:val="lt-LT"/>
        </w:rPr>
        <w:t>receptorių angiotenzinu II perduodamus impulsus, nesvarbu kokiu būdu ir kur sintezuojamas angiotenzinas II. Selektyvus antagonizmas angiotenzino II receptoriams(AT</w:t>
      </w:r>
      <w:r w:rsidRPr="00C92BDF">
        <w:rPr>
          <w:rFonts w:ascii="Times New Roman" w:eastAsia="Times New Roman" w:hAnsi="Times New Roman" w:cs="Times New Roman"/>
          <w:vertAlign w:val="subscript"/>
          <w:lang w:val="lt-LT"/>
        </w:rPr>
        <w:t>1</w:t>
      </w:r>
      <w:r w:rsidRPr="00C92BDF">
        <w:rPr>
          <w:rFonts w:ascii="Times New Roman" w:eastAsia="Times New Roman" w:hAnsi="Times New Roman" w:cs="Times New Roman"/>
          <w:lang w:val="lt-LT"/>
        </w:rPr>
        <w:t>) sukelia renino, angiotenzino I ir II koncentracijos padidėjimą bei nežymų aldosterono koncentracijos sumažėjimą kraujo plazmoje.</w:t>
      </w:r>
    </w:p>
    <w:p w14:paraId="7B06022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08DAA6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Angiotenzinas II yra renino-angiotenzino-aldosterono sistemos hormonas, pasižymintis pirminiu poveikiu kraujagyslėms, ir yra labai svarbus veiksnys I tipo receptorių (AT</w:t>
      </w:r>
      <w:r w:rsidRPr="00C92BDF">
        <w:rPr>
          <w:rFonts w:ascii="Times New Roman" w:eastAsia="Times New Roman" w:hAnsi="Times New Roman" w:cs="Times New Roman"/>
          <w:vertAlign w:val="subscript"/>
          <w:lang w:val="lt-LT"/>
        </w:rPr>
        <w:t>1</w:t>
      </w:r>
      <w:r w:rsidRPr="00C92BDF">
        <w:rPr>
          <w:rFonts w:ascii="Times New Roman" w:eastAsia="Times New Roman" w:hAnsi="Times New Roman" w:cs="Times New Roman"/>
          <w:lang w:val="lt-LT"/>
        </w:rPr>
        <w:t>) nulemtos hipertenzijos patogenezėje.</w:t>
      </w:r>
    </w:p>
    <w:p w14:paraId="45CFCEA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038635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u w:val="single"/>
          <w:lang w:val="lt-LT"/>
        </w:rPr>
      </w:pPr>
      <w:r w:rsidRPr="00C92BDF">
        <w:rPr>
          <w:rFonts w:ascii="Times New Roman" w:eastAsia="Times New Roman" w:hAnsi="Times New Roman" w:cs="Times New Roman"/>
          <w:u w:val="single"/>
          <w:lang w:val="lt-LT"/>
        </w:rPr>
        <w:t>Klinikinis veiksmingumas ir saugumas</w:t>
      </w:r>
    </w:p>
    <w:p w14:paraId="1E48E08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Padidėjus kraujospūdžiui, olmesartanas medoksomilis sukelia ilgalaikį arterinio kraujospūdžio sumažėjimą; jo poveikis priklauso nuo dozės. Duomenų, rodančių, kad pirmoji dozė sukelia hipotenziją, ilgalaikio vartojimo metu pagreitėja jo išsiskyrimas ar, nutraukus gydymą, pasireiškia grįžtamoji reakcija, nėra. </w:t>
      </w:r>
    </w:p>
    <w:p w14:paraId="6CDB14B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BB61FE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medoksomilio vienkartinė dozė užtikrina daugiau kaip 24 valandas trunkantį veiksmingą ir tolygų kraujospūdžio sumažėjimą. Vienkartinė paros dozė sukelia panašų kraujospūdžio sumažėjimą, kaip ir padalijus ją į dvi dalis.</w:t>
      </w:r>
    </w:p>
    <w:p w14:paraId="04F3752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AE3346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Ilgalaikio gydymo metu didžiausias kraujospūdžio sumažėjimas pasiekiamas praėjus 8 savaitėms nuo gydymo pradžios, nors žymus sumažėjimas būna jau po 2 savaičių. Jo vartojant kartu su hidrochlorotiazidu, kraujospūdį mažinantis poveikis sumuojasi, o gydymas gerai toleruojamas.</w:t>
      </w:r>
    </w:p>
    <w:p w14:paraId="495D892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463E9E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įtaka mirtingumui ir sergamumui dar neištirta.</w:t>
      </w:r>
    </w:p>
    <w:p w14:paraId="280FF32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6EF91D6"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r w:rsidRPr="00C92BDF">
        <w:rPr>
          <w:rFonts w:ascii="Times New Roman" w:eastAsia="Times New Roman" w:hAnsi="Times New Roman" w:cs="Times New Roman"/>
          <w:lang w:val="lt-LT"/>
        </w:rPr>
        <w:t xml:space="preserve">Atsitiktinės atrankos olmesartano ir cukrinio diabeto mikroalbuminurijos profilaktikos klinikiniame tyrime (angl. </w:t>
      </w:r>
      <w:r w:rsidRPr="00C92BDF">
        <w:rPr>
          <w:rFonts w:ascii="Times New Roman" w:eastAsia="MS Mincho" w:hAnsi="Times New Roman" w:cs="Times New Roman"/>
          <w:i/>
          <w:lang w:val="lt-LT"/>
        </w:rPr>
        <w:t>Randomised Olmesartan and Diabetes Microalbuminuria Prevention</w:t>
      </w:r>
      <w:r w:rsidRPr="00C92BDF">
        <w:rPr>
          <w:rFonts w:ascii="Times New Roman" w:eastAsia="MS Mincho" w:hAnsi="Times New Roman" w:cs="Times New Roman"/>
          <w:lang w:val="lt-LT"/>
        </w:rPr>
        <w:t xml:space="preserve"> [ROADMAP]) dalyvavo 4447 II tipo cukriniu diabetu sergantys pacientai, kuriems nustatytas normalus albumino kiekis šlapime ir mažiausiai vienas papildomas širdies ir kraujagysliųs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 </w:t>
      </w:r>
    </w:p>
    <w:p w14:paraId="2FBA657B"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p>
    <w:p w14:paraId="1CD3F601"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r w:rsidRPr="00C92BDF">
        <w:rPr>
          <w:rFonts w:ascii="Times New Roman" w:eastAsia="MS Mincho" w:hAnsi="Times New Roman" w:cs="Times New Roman"/>
          <w:lang w:val="lt-LT"/>
        </w:rPr>
        <w:t>Klinikinis tyrimas nustatė, kad, vertinant pagal pirminį vertinamosios baigties kriterijų - mikroalbuminurijos pasireiškimo laiką vartojant olmesartaną, - rizika sumažėjo 23 % (ŠS: 0,770; 95 % PI: 0,630-0,941; p=0,0140). Po koregavimo pagal kraujospūdžio skirtumus, panaudojant specifinius rodmenis dvigubai koduotam tyrimui, vartojant olmesartano rizika sumažėjo iki 17 % (ŠS: 0, 834; 95 % PI: 0,681-1,021; p=0,0789) pritaikant pagal AUC sistoliniam kraujospūdžiui bei 18% (ŠS: 0,823; 95 % PI: 0,672-1,008; p=0,0596) pritaikant pagal AUC diastoliniam kraujospūdžiui. Mikroalbuminurija išryškėjo 8,2 % pacientų olmesartano grupėje (178 iš 2160 vertintų pacientų) ir 9,8 % pacientų placebo grupėje (210 iš 2139).</w:t>
      </w:r>
    </w:p>
    <w:p w14:paraId="0A91416F"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p>
    <w:p w14:paraId="0187F43A"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r w:rsidRPr="00C92BDF">
        <w:rPr>
          <w:rFonts w:ascii="Times New Roman" w:eastAsia="MS Mincho" w:hAnsi="Times New Roman" w:cs="Times New Roman"/>
          <w:lang w:val="lt-LT"/>
        </w:rPr>
        <w:lastRenderedPageBreak/>
        <w:t>Nespecifiniai antriniai vertinamosios baigties kriterijai buvo inkstų ir širdies bei kraujagyslių sistemos funkcijos rodmenys. Nustatyta, kad olmesartano grupės pacientams tikrasis glomerulų filtracijos greitis (tGFG) dvigubai koduoto tyrimo periodo paskutiniojo vertinimo metu,sumažėjo nuo pradinio 85,0±17,0 iki 80,1±18,5 ml/min./1,73 m</w:t>
      </w:r>
      <w:r w:rsidRPr="00C92BDF">
        <w:rPr>
          <w:rFonts w:ascii="Times New Roman" w:eastAsia="MS Mincho" w:hAnsi="Times New Roman" w:cs="Times New Roman"/>
          <w:vertAlign w:val="superscript"/>
          <w:lang w:val="lt-LT"/>
        </w:rPr>
        <w:t>2</w:t>
      </w:r>
      <w:r w:rsidRPr="00C92BDF">
        <w:rPr>
          <w:rFonts w:ascii="Times New Roman" w:eastAsia="MS Mincho" w:hAnsi="Times New Roman" w:cs="Times New Roman"/>
          <w:lang w:val="lt-LT"/>
        </w:rPr>
        <w:t xml:space="preserve"> kūno paviršiaus, placebą vartojusių pacientų grupėje nuo 84,7±17,3 iki 83,7±18,3 ml/min./1,73 m</w:t>
      </w:r>
      <w:r w:rsidRPr="00C92BDF">
        <w:rPr>
          <w:rFonts w:ascii="Times New Roman" w:eastAsia="MS Mincho" w:hAnsi="Times New Roman" w:cs="Times New Roman"/>
          <w:vertAlign w:val="superscript"/>
          <w:lang w:val="lt-LT"/>
        </w:rPr>
        <w:t>2</w:t>
      </w:r>
      <w:r w:rsidRPr="00C92BDF">
        <w:rPr>
          <w:rFonts w:ascii="Times New Roman" w:eastAsia="MS Mincho" w:hAnsi="Times New Roman" w:cs="Times New Roman"/>
          <w:lang w:val="lt-LT"/>
        </w:rPr>
        <w:t xml:space="preserve"> kūno paviršiaus (p=0,001). Olmesartaną vartojusių pacientų grupėje tGFG sumažėjimas daugiau kaip 25 % nustatytas 19,9 % pacientų, placebą vartojusių grupėje – 11,3 %. Kai pradinis tGFG buvo ≥60 ml/min./1,73 m</w:t>
      </w:r>
      <w:r w:rsidRPr="00C92BDF">
        <w:rPr>
          <w:rFonts w:ascii="Times New Roman" w:eastAsia="MS Mincho" w:hAnsi="Times New Roman" w:cs="Times New Roman"/>
          <w:vertAlign w:val="superscript"/>
          <w:lang w:val="lt-LT"/>
        </w:rPr>
        <w:t>2</w:t>
      </w:r>
      <w:r w:rsidRPr="00C92BDF">
        <w:rPr>
          <w:rFonts w:ascii="Times New Roman" w:eastAsia="MS Mincho" w:hAnsi="Times New Roman" w:cs="Times New Roman"/>
          <w:lang w:val="lt-LT"/>
        </w:rPr>
        <w:t xml:space="preserve"> kūno paviršiaus, kitų dviejų einančių iš eilės vizitų metu mažesnis negu 60 tGFG nustatytas 7,7 % olmesartaną vartojusių pacientų bei 3,2 % placebo vartojusių pacientų. Kai pradinis tGFG buvo &lt;60 ml/min./1,73 m</w:t>
      </w:r>
      <w:r w:rsidRPr="00C92BDF">
        <w:rPr>
          <w:rFonts w:ascii="Times New Roman" w:eastAsia="MS Mincho" w:hAnsi="Times New Roman" w:cs="Times New Roman"/>
          <w:vertAlign w:val="superscript"/>
          <w:lang w:val="lt-LT"/>
        </w:rPr>
        <w:t>2</w:t>
      </w:r>
      <w:r w:rsidRPr="00C92BDF">
        <w:rPr>
          <w:rFonts w:ascii="Times New Roman" w:eastAsia="MS Mincho" w:hAnsi="Times New Roman" w:cs="Times New Roman"/>
          <w:lang w:val="lt-LT"/>
        </w:rPr>
        <w:t xml:space="preserve"> kūno paviršiaus, pablogėjimas vertinant pagal Lėtinių inkstų ligų kategorijas (angl.: </w:t>
      </w:r>
      <w:r w:rsidRPr="00C92BDF">
        <w:rPr>
          <w:rFonts w:ascii="Times New Roman" w:eastAsia="MS Mincho" w:hAnsi="Times New Roman" w:cs="Times New Roman"/>
          <w:i/>
          <w:lang w:val="lt-LT"/>
        </w:rPr>
        <w:t>Chronic Kidney Disease Category</w:t>
      </w:r>
      <w:r w:rsidRPr="00C92BDF">
        <w:rPr>
          <w:rFonts w:ascii="Times New Roman" w:eastAsia="MS Mincho" w:hAnsi="Times New Roman" w:cs="Times New Roman"/>
          <w:lang w:val="lt-LT"/>
        </w:rPr>
        <w:t>) nustatytas 0,8 % (n=17) palyginti su 0,2 % (n=7) pacientų. Baigiamoji inkstų ligos stadija neišsivystė nė vienam pacientui; abiejose grupėse du kartus padidėjęs serumo kreatinino kiekis nustatytas vienodam pacientų skaičiui (23 pacientams, maždaug 1 %).</w:t>
      </w:r>
    </w:p>
    <w:p w14:paraId="57B111B0"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r w:rsidRPr="00C92BDF">
        <w:rPr>
          <w:rFonts w:ascii="Times New Roman" w:eastAsia="MS Mincho" w:hAnsi="Times New Roman" w:cs="Times New Roman"/>
          <w:lang w:val="lt-LT"/>
        </w:rPr>
        <w:t xml:space="preserve"> </w:t>
      </w:r>
    </w:p>
    <w:p w14:paraId="3F0064C1" w14:textId="77777777" w:rsidR="004125E7" w:rsidRPr="00C92BDF" w:rsidRDefault="004125E7" w:rsidP="004125E7">
      <w:pPr>
        <w:tabs>
          <w:tab w:val="left" w:pos="540"/>
          <w:tab w:val="left" w:pos="2127"/>
          <w:tab w:val="left" w:pos="2977"/>
        </w:tabs>
        <w:spacing w:after="0" w:line="240" w:lineRule="auto"/>
        <w:rPr>
          <w:rFonts w:ascii="Times New Roman" w:eastAsia="MS Mincho" w:hAnsi="Times New Roman" w:cs="Times New Roman"/>
          <w:lang w:val="lt-LT"/>
        </w:rPr>
      </w:pPr>
      <w:r w:rsidRPr="00C92BDF">
        <w:rPr>
          <w:rFonts w:ascii="Times New Roman" w:eastAsia="MS Mincho" w:hAnsi="Times New Roman" w:cs="Times New Roman"/>
          <w:lang w:val="lt-LT"/>
        </w:rPr>
        <w:t>Širdies ir kraujagyslių sistemos sutrikimai pasireiškė vartojusiems olmesartaną 96 pacientams (4,3 %) palyginti su 94 pacientais (4,2 %), vartojusiais placebą. Mirtingumas dėl širdies ir kraujagyslių sistemos sutrikimų buvo didesnis olmesartano grupėje, palyginti su placebo grupe (15 pacientų (0,7 %) ir 3 pacientai (0,3 %)), nors mirties nesukėlusio insulto (14 pacientų (0,6 %) ir 8 pacientai (0,4 %)), mirties nesukėlusio miokardo infarkto (17 pacientų (0,8 %) ir 26 pacientai (1,2 %)) bei mirties ne dėl širdies ir kraujagyslių sutrikimų (11 pacientų (0,5 %) ir 12 pacientų (0,5 %)) dažnis buvo panašus. Bendras mirusių pacientų skaičius olmesartano grupėje buvo didesnis (26 pacientai (1,2 %) palyginti su 15 pacientų (0,7 %)); tai labiausiai susiję su didesniu mirtinų širdies ir kraujagyslių sutrikimų skaičiumi.</w:t>
      </w:r>
    </w:p>
    <w:p w14:paraId="0D2620ED" w14:textId="77777777" w:rsidR="004125E7" w:rsidRPr="00C92BDF" w:rsidRDefault="004125E7" w:rsidP="004125E7">
      <w:pPr>
        <w:spacing w:after="0" w:line="240" w:lineRule="auto"/>
        <w:rPr>
          <w:rFonts w:ascii="Times New Roman" w:eastAsia="MS Mincho" w:hAnsi="Times New Roman" w:cs="Times New Roman"/>
          <w:lang w:val="lt-LT" w:eastAsia="ja-JP"/>
        </w:rPr>
      </w:pPr>
    </w:p>
    <w:p w14:paraId="0AC9CB4A" w14:textId="77777777" w:rsidR="004125E7" w:rsidRPr="00C92BDF" w:rsidRDefault="004125E7" w:rsidP="004125E7">
      <w:pPr>
        <w:spacing w:after="0" w:line="240" w:lineRule="auto"/>
        <w:rPr>
          <w:rFonts w:ascii="Times New Roman" w:eastAsia="MS Mincho" w:hAnsi="Times New Roman" w:cs="Times New Roman"/>
          <w:lang w:val="lt-LT" w:eastAsia="ja-JP"/>
        </w:rPr>
      </w:pPr>
      <w:r w:rsidRPr="00C92BDF">
        <w:rPr>
          <w:rFonts w:ascii="Times New Roman" w:eastAsia="MS Mincho" w:hAnsi="Times New Roman" w:cs="Times New Roman"/>
          <w:lang w:val="lt-LT" w:eastAsia="ja-JP"/>
        </w:rPr>
        <w:t xml:space="preserve">Galutinės stadijos inkstų ligos dažnį sergant cukriniu diabetu mažinantis olmesartano klinikinio tyrimo (angl. </w:t>
      </w:r>
      <w:r w:rsidRPr="00C92BDF">
        <w:rPr>
          <w:rFonts w:ascii="Times New Roman" w:eastAsia="MS Mincho" w:hAnsi="Times New Roman" w:cs="Times New Roman"/>
          <w:i/>
          <w:lang w:val="lt-LT" w:eastAsia="ja-JP"/>
        </w:rPr>
        <w:t xml:space="preserve">The </w:t>
      </w:r>
      <w:r w:rsidRPr="00C92BDF">
        <w:rPr>
          <w:rFonts w:ascii="Times New Roman" w:eastAsia="Times New Roman" w:hAnsi="Times New Roman" w:cs="Times New Roman"/>
          <w:i/>
          <w:lang w:val="lt-LT" w:eastAsia="ja-JP"/>
        </w:rPr>
        <w:t>Olm</w:t>
      </w:r>
      <w:r w:rsidRPr="00C92BDF">
        <w:rPr>
          <w:rFonts w:ascii="Times New Roman" w:eastAsia="MS Mincho" w:hAnsi="Times New Roman" w:cs="Times New Roman"/>
          <w:i/>
          <w:lang w:val="lt-LT" w:eastAsia="ja-JP"/>
        </w:rPr>
        <w:t>e</w:t>
      </w:r>
      <w:r w:rsidRPr="00C92BDF">
        <w:rPr>
          <w:rFonts w:ascii="Times New Roman" w:eastAsia="Times New Roman" w:hAnsi="Times New Roman" w:cs="Times New Roman"/>
          <w:i/>
          <w:lang w:val="lt-LT" w:eastAsia="ja-JP"/>
        </w:rPr>
        <w:t>sartan Reducing Incidence of End</w:t>
      </w:r>
      <w:r w:rsidRPr="00C92BDF">
        <w:rPr>
          <w:rFonts w:ascii="Times New Roman" w:eastAsia="MS Mincho" w:hAnsi="Times New Roman" w:cs="Times New Roman"/>
          <w:i/>
          <w:lang w:val="lt-LT" w:eastAsia="ja-JP"/>
        </w:rPr>
        <w:t>-</w:t>
      </w:r>
      <w:r w:rsidRPr="00C92BDF">
        <w:rPr>
          <w:rFonts w:ascii="Times New Roman" w:eastAsia="Times New Roman" w:hAnsi="Times New Roman" w:cs="Times New Roman"/>
          <w:i/>
          <w:lang w:val="lt-LT" w:eastAsia="ja-JP"/>
        </w:rPr>
        <w:t>stage Renal Disease in Diabetic Nephropathy Trial</w:t>
      </w:r>
      <w:r w:rsidRPr="00C92BDF">
        <w:rPr>
          <w:rFonts w:ascii="Times New Roman" w:eastAsia="MS Mincho" w:hAnsi="Times New Roman" w:cs="Times New Roman"/>
          <w:lang w:val="lt-LT" w:eastAsia="ja-JP"/>
        </w:rPr>
        <w:t xml:space="preserve"> (ORIENT)) metu 577 atsitiktinai atrinktiems japonams ir kinams, sergantiems II tipo cukriniu diabetu ir akivaizdžia nefropatija, tirtas olmesartano poveikis inkstų pažeidimo ir širdies-kraujagyslių sistemos sutrikimų baigčiai. Vidutiniškai 3,1 metus trukusio stebėjimo metu pacientai buvo gydomi olmesartanu arba vartojo placebą kartu su kitais antihipertenzinisis vaistais, įskaitant AKF inhibitorius.</w:t>
      </w:r>
    </w:p>
    <w:p w14:paraId="7A888948" w14:textId="77777777" w:rsidR="004125E7" w:rsidRPr="00C92BDF" w:rsidRDefault="004125E7" w:rsidP="004125E7">
      <w:pPr>
        <w:spacing w:after="0" w:line="240" w:lineRule="auto"/>
        <w:rPr>
          <w:rFonts w:ascii="Times New Roman" w:eastAsia="MS Mincho" w:hAnsi="Times New Roman" w:cs="Times New Roman"/>
          <w:lang w:val="lt-LT" w:eastAsia="ja-JP"/>
        </w:rPr>
      </w:pPr>
    </w:p>
    <w:p w14:paraId="63078039"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lang w:val="lt-LT" w:eastAsia="ja-JP"/>
        </w:rPr>
        <w:t xml:space="preserve">Pirminė sudėtinė vertinamoji baigtis (laikas, per kurį pirmą kartą kreatinino kiekis kraujo serume padidėja du kartus, galutinės stadijos inkstų liga, mirtis dėl visų priežasčių) olmesartano grupėje pasitaikė 116 pacientų </w:t>
      </w:r>
      <w:hyperlink r:id="rId10" w:history="1">
        <w:r w:rsidRPr="00C92BDF">
          <w:rPr>
            <w:rFonts w:ascii="Times New Roman" w:eastAsia="MS Mincho" w:hAnsi="Times New Roman" w:cs="Times New Roman"/>
            <w:color w:val="000000"/>
            <w:u w:val="single"/>
            <w:lang w:val="lt-LT" w:eastAsia="ja-JP"/>
          </w:rPr>
          <w:t>41,1</w:t>
        </w:r>
      </w:hyperlink>
      <w:r w:rsidRPr="00C92BDF">
        <w:rPr>
          <w:rFonts w:ascii="Times New Roman" w:eastAsia="MS Mincho" w:hAnsi="Times New Roman" w:cs="Times New Roman"/>
          <w:lang w:val="lt-LT" w:eastAsia="ja-JP"/>
        </w:rPr>
        <w:t xml:space="preserve"> </w:t>
      </w:r>
      <w:r w:rsidRPr="00C92BDF">
        <w:rPr>
          <w:rFonts w:ascii="Times New Roman" w:eastAsia="MS Mincho" w:hAnsi="Times New Roman" w:cs="Times New Roman"/>
          <w:color w:val="000000"/>
          <w:lang w:val="lt-LT" w:eastAsia="ja-JP"/>
        </w:rPr>
        <w:t>%), 129 pacientams (45,4 %) placebo grupėje (ŠS: 0,97; 95 % PI: 0,75-1,24; p=0,791). Antrinė sudėtinė širdies ir kraujagyslių patologijos vertinamoji baigtis olmesartanu gydytų pacientų grupėje nustatyta 40 (14,2 %), placebo grupėje 53 pacientams (18,7 %). Antrinės sudėtinės širdies ir kraujagyslių patologijos vertinamosios baigties sudėtyje mirties atvejų buvo 10 (3,5 % ) olmesartano grupėje palyginti su 3 atvejais (1,1 %) placebo grupėje, bendras mirtingumas - olmesartano grupėje 19 pacientų (6,7 %) palyginti su 20 (7,0 %) placebo grupėje, mirties nesukėlęs insultas 8 pacientams (2,8 %) olmesartano grupėje palyginti su 11 pacientų (3,9 %) placebo grupėje ir mirties nesukėlęs miokardo infarktas 3 pacientams (1,1 %) olmesartano grupėje palyginti su 7 (2,5 %) placebo grupėje.</w:t>
      </w:r>
    </w:p>
    <w:p w14:paraId="31CEE84B"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p>
    <w:p w14:paraId="69B25A10" w14:textId="77777777" w:rsidR="004125E7" w:rsidRPr="00C92BDF" w:rsidRDefault="004125E7" w:rsidP="004125E7">
      <w:pPr>
        <w:spacing w:after="0" w:line="240" w:lineRule="auto"/>
        <w:rPr>
          <w:rFonts w:ascii="Times New Roman" w:eastAsia="MS Mincho" w:hAnsi="Times New Roman" w:cs="Times New Roman"/>
          <w:color w:val="000000"/>
          <w:u w:val="single"/>
          <w:lang w:val="lt-LT" w:eastAsia="ja-JP"/>
        </w:rPr>
      </w:pPr>
      <w:r w:rsidRPr="00C92BDF">
        <w:rPr>
          <w:rFonts w:ascii="Times New Roman" w:eastAsia="MS Mincho" w:hAnsi="Times New Roman" w:cs="Times New Roman"/>
          <w:color w:val="000000"/>
          <w:u w:val="single"/>
          <w:lang w:val="lt-LT" w:eastAsia="ja-JP"/>
        </w:rPr>
        <w:t>Pediatrinė populiacija</w:t>
      </w:r>
    </w:p>
    <w:p w14:paraId="7A360953"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antihipertenzinis poveikis buvo tirtas randomizuotame, aklame, placebo kontroliuojamame tyrime, kuriame dalyvavo 6-17 metų 302 hipertenzija sergantys pacientai. Tyrimo popualiaciją sudarė 112 juodaodžių pacientų kohorta ir 190 pacientų mišri kohorta (joje buvo 38 juodaodžiai). Vyravo pirminė hipertenzija: kaip ligos priežastis ji sudarė 87 proc. Juodaodžių kohortoje ir 67 proc. Mišrioje kohortoje. </w:t>
      </w:r>
    </w:p>
    <w:p w14:paraId="0610BC7A"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 xml:space="preserve">Pacientai, kurie svėrė nuo 20 iki (&lt;) 35 kg, buvo randomizuoti į dvi grupes: vieni gydyti 2,5 mg (maža </w:t>
      </w: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doze), kiti – didele, t.y. 40 mg paros doze, kuri buvo skiriama kartą per parą. Pacientai, kurie svėrė 35 kg arba daugiau buvo atsitiktinės atrankos būdu suskirstyti į gydytus maža </w:t>
      </w: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(2,5 mg kartą per parą) ir didele (40 mg kartą per parą). </w:t>
      </w:r>
      <w:r>
        <w:rPr>
          <w:rFonts w:ascii="Times New Roman" w:eastAsia="MS Mincho" w:hAnsi="Times New Roman" w:cs="Times New Roman"/>
          <w:color w:val="000000"/>
          <w:lang w:val="lt-LT" w:eastAsia="ja-JP"/>
        </w:rPr>
        <w:t>Olmesartanas medoksomilis</w:t>
      </w:r>
      <w:r w:rsidRPr="00C92BDF">
        <w:rPr>
          <w:rFonts w:ascii="Times New Roman" w:eastAsia="MS Mincho" w:hAnsi="Times New Roman" w:cs="Times New Roman"/>
          <w:color w:val="000000"/>
          <w:lang w:val="lt-LT" w:eastAsia="ja-JP"/>
        </w:rPr>
        <w:t xml:space="preserve"> (priklausomai nuo paciento svorio ir dozės) žymiai sumažino tiek sistolinį, tiek ir diastolinį kraujospūdį. Lyginant su pradiniais rodikliais, </w:t>
      </w: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maža doz</w:t>
      </w:r>
      <w:r>
        <w:rPr>
          <w:rFonts w:ascii="Times New Roman" w:eastAsia="MS Mincho" w:hAnsi="Times New Roman" w:cs="Times New Roman"/>
          <w:color w:val="000000"/>
          <w:lang w:val="lt-LT" w:eastAsia="ja-JP"/>
        </w:rPr>
        <w:t>ė</w:t>
      </w:r>
      <w:r w:rsidRPr="00C92BDF">
        <w:rPr>
          <w:rFonts w:ascii="Times New Roman" w:eastAsia="MS Mincho" w:hAnsi="Times New Roman" w:cs="Times New Roman"/>
          <w:color w:val="000000"/>
          <w:lang w:val="lt-LT" w:eastAsia="ja-JP"/>
        </w:rPr>
        <w:t xml:space="preserve"> sumažino sistolinį kraujospūdį 6,6 mm Hg st., didelė – 11,9 mm Hg st. Šis (antihipertenzinis) poveikis buvo stebėtas dar 2 savaites po to, kai gydymas buvo baigtas. Tuo tarpu </w:t>
      </w:r>
      <w:r w:rsidRPr="00C92BDF">
        <w:rPr>
          <w:rFonts w:ascii="Times New Roman" w:eastAsia="MS Mincho" w:hAnsi="Times New Roman" w:cs="Times New Roman"/>
          <w:color w:val="000000"/>
          <w:lang w:val="lt-LT" w:eastAsia="ja-JP"/>
        </w:rPr>
        <w:lastRenderedPageBreak/>
        <w:t xml:space="preserve">placebo gydytoje grupės arterinis kraujospūdis statistiškai patikimai padidėjo iki buvusių rodiklių (“nutraukimo” efektas). </w:t>
      </w:r>
      <w:r>
        <w:rPr>
          <w:rFonts w:ascii="Times New Roman" w:eastAsia="MS Mincho" w:hAnsi="Times New Roman" w:cs="Times New Roman"/>
          <w:color w:val="000000"/>
          <w:lang w:val="lt-LT" w:eastAsia="ja-JP"/>
        </w:rPr>
        <w:t>Olmesartanas medoksomilis</w:t>
      </w:r>
      <w:r w:rsidRPr="00C92BDF">
        <w:rPr>
          <w:rFonts w:ascii="Times New Roman" w:eastAsia="MS Mincho" w:hAnsi="Times New Roman" w:cs="Times New Roman"/>
          <w:color w:val="000000"/>
          <w:lang w:val="lt-LT" w:eastAsia="ja-JP"/>
        </w:rPr>
        <w:t xml:space="preserve"> buvo veiksmingas gydant tiek pirminę, tiek ir antrinę (simptominę) hipertenziją</w:t>
      </w:r>
      <w:r>
        <w:rPr>
          <w:rFonts w:ascii="Times New Roman" w:eastAsia="MS Mincho" w:hAnsi="Times New Roman" w:cs="Times New Roman"/>
          <w:color w:val="000000"/>
          <w:lang w:val="lt-LT" w:eastAsia="ja-JP"/>
        </w:rPr>
        <w:t>.</w:t>
      </w:r>
      <w:r w:rsidRPr="00C92BDF">
        <w:rPr>
          <w:rFonts w:ascii="Times New Roman" w:eastAsia="MS Mincho" w:hAnsi="Times New Roman" w:cs="Times New Roman"/>
          <w:color w:val="000000"/>
          <w:lang w:val="lt-LT" w:eastAsia="ja-JP"/>
        </w:rPr>
        <w:t xml:space="preserve"> Lygiai taip pat kaip suaugusiųjų populiacijoje, juodaodžiams pacientams </w:t>
      </w: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antihipertenzinis poveikis buvo mažesnis (silpnesnis).</w:t>
      </w:r>
    </w:p>
    <w:p w14:paraId="4B1B4998"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Tame pačiame tyrime atviros faz</w:t>
      </w:r>
      <w:r>
        <w:rPr>
          <w:rFonts w:ascii="Times New Roman" w:eastAsia="MS Mincho" w:hAnsi="Times New Roman" w:cs="Times New Roman"/>
          <w:color w:val="000000"/>
          <w:lang w:val="lt-LT" w:eastAsia="ja-JP"/>
        </w:rPr>
        <w:t>ė</w:t>
      </w:r>
      <w:r w:rsidRPr="00C92BDF">
        <w:rPr>
          <w:rFonts w:ascii="Times New Roman" w:eastAsia="MS Mincho" w:hAnsi="Times New Roman" w:cs="Times New Roman"/>
          <w:color w:val="000000"/>
          <w:lang w:val="lt-LT" w:eastAsia="ja-JP"/>
        </w:rPr>
        <w:t xml:space="preserve">s metu 59 1-5 metų pacientai (svoris &gt;5 kg) buvo gydyti </w:t>
      </w:r>
      <w:r>
        <w:rPr>
          <w:rFonts w:ascii="Times New Roman" w:eastAsia="MS Mincho" w:hAnsi="Times New Roman" w:cs="Times New Roman"/>
          <w:color w:val="000000"/>
          <w:lang w:val="lt-LT" w:eastAsia="ja-JP"/>
        </w:rPr>
        <w:t>olmesartanu medoksomiliu</w:t>
      </w:r>
      <w:r w:rsidRPr="00C92BDF">
        <w:rPr>
          <w:rFonts w:ascii="Times New Roman" w:eastAsia="MS Mincho" w:hAnsi="Times New Roman" w:cs="Times New Roman"/>
          <w:color w:val="000000"/>
          <w:lang w:val="lt-LT" w:eastAsia="ja-JP"/>
        </w:rPr>
        <w:t xml:space="preserve"> 0,3 mg/kg kūno svorio tris savaites; po to (jie) buvo dvigubai aklu metodu randomizuoti į 2 grupes: vieni buvo gydyti </w:t>
      </w:r>
      <w:r>
        <w:rPr>
          <w:rFonts w:ascii="Times New Roman" w:eastAsia="MS Mincho" w:hAnsi="Times New Roman" w:cs="Times New Roman"/>
          <w:color w:val="000000"/>
          <w:lang w:val="lt-LT" w:eastAsia="ja-JP"/>
        </w:rPr>
        <w:t>olmesartanu medoksomiliu</w:t>
      </w:r>
      <w:r w:rsidRPr="00C92BDF">
        <w:rPr>
          <w:rFonts w:ascii="Times New Roman" w:eastAsia="MS Mincho" w:hAnsi="Times New Roman" w:cs="Times New Roman"/>
          <w:color w:val="000000"/>
          <w:lang w:val="lt-LT" w:eastAsia="ja-JP"/>
        </w:rPr>
        <w:t xml:space="preserve">, kiti – placebo. Pasibaigus tyrimui, antrosios savaitės pabaigoje vidutinis sistolinis/diastolinis kraujospūdis </w:t>
      </w:r>
      <w:r>
        <w:rPr>
          <w:rFonts w:ascii="Times New Roman" w:eastAsia="MS Mincho" w:hAnsi="Times New Roman" w:cs="Times New Roman"/>
          <w:color w:val="000000"/>
          <w:lang w:val="lt-LT" w:eastAsia="ja-JP"/>
        </w:rPr>
        <w:t>olmesartano medoksomilio</w:t>
      </w:r>
      <w:r w:rsidRPr="00C92BDF">
        <w:rPr>
          <w:rFonts w:ascii="Times New Roman" w:eastAsia="MS Mincho" w:hAnsi="Times New Roman" w:cs="Times New Roman"/>
          <w:color w:val="000000"/>
          <w:lang w:val="lt-LT" w:eastAsia="ja-JP"/>
        </w:rPr>
        <w:t xml:space="preserve"> grupėje buvo 3,3 mm Hg st. mažesnis, tačiau skirtumas buvo statistiškai nepatikimas  (95% C.I. -2 iki 7/-1 iki 7).</w:t>
      </w:r>
    </w:p>
    <w:p w14:paraId="70E32BAD"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p>
    <w:p w14:paraId="560F756C" w14:textId="77777777" w:rsidR="004125E7" w:rsidRPr="00C92BDF" w:rsidRDefault="004125E7" w:rsidP="004125E7">
      <w:pPr>
        <w:spacing w:after="0" w:line="240" w:lineRule="auto"/>
        <w:rPr>
          <w:rFonts w:ascii="Times New Roman" w:eastAsia="MS Mincho" w:hAnsi="Times New Roman" w:cs="Times New Roman"/>
          <w:color w:val="000000"/>
          <w:u w:val="single"/>
          <w:lang w:val="lt-LT" w:eastAsia="ja-JP"/>
        </w:rPr>
      </w:pPr>
      <w:r w:rsidRPr="00C92BDF">
        <w:rPr>
          <w:rFonts w:ascii="Times New Roman" w:eastAsia="MS Mincho" w:hAnsi="Times New Roman" w:cs="Times New Roman"/>
          <w:color w:val="000000"/>
          <w:u w:val="single"/>
          <w:lang w:val="lt-LT" w:eastAsia="ja-JP"/>
        </w:rPr>
        <w:t>Kita informacija</w:t>
      </w:r>
    </w:p>
    <w:p w14:paraId="2A188787"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Dviem dideliais atsitiktinės atrankos, kontroliuojamais tyrimais (</w:t>
      </w:r>
      <w:r w:rsidRPr="00C92BDF">
        <w:rPr>
          <w:rFonts w:ascii="Times New Roman" w:eastAsia="MS Mincho" w:hAnsi="Times New Roman" w:cs="Times New Roman"/>
          <w:i/>
          <w:color w:val="000000"/>
          <w:lang w:val="lt-LT" w:eastAsia="ja-JP"/>
        </w:rPr>
        <w:t xml:space="preserve">ONTARGET (angl. „ONgoing Telmisartan Alone and in combination with Ramipril Global Endpoint Trial“) </w:t>
      </w:r>
      <w:r w:rsidRPr="00C92BDF">
        <w:rPr>
          <w:rFonts w:ascii="Times New Roman" w:eastAsia="MS Mincho" w:hAnsi="Times New Roman" w:cs="Times New Roman"/>
          <w:color w:val="000000"/>
          <w:lang w:val="lt-LT" w:eastAsia="ja-JP"/>
        </w:rPr>
        <w:t xml:space="preserve">ir </w:t>
      </w:r>
      <w:r w:rsidRPr="00C92BDF">
        <w:rPr>
          <w:rFonts w:ascii="Times New Roman" w:eastAsia="MS Mincho" w:hAnsi="Times New Roman" w:cs="Times New Roman"/>
          <w:i/>
          <w:color w:val="000000"/>
          <w:lang w:val="lt-LT" w:eastAsia="ja-JP"/>
        </w:rPr>
        <w:t>VA NEPHRON-D (angl. „The Veterans Affairs Nephropathy in Diabetes“))</w:t>
      </w:r>
      <w:r w:rsidRPr="00C92BDF">
        <w:rPr>
          <w:rFonts w:ascii="Times New Roman" w:eastAsia="MS Mincho" w:hAnsi="Times New Roman" w:cs="Times New Roman"/>
          <w:color w:val="000000"/>
          <w:lang w:val="lt-LT" w:eastAsia="ja-JP"/>
        </w:rPr>
        <w:t xml:space="preserve"> buvo ištirtas AKF inhibitoriaus ir angiotenzino II receptorių blokatoriaus derinio vartojimas. </w:t>
      </w:r>
    </w:p>
    <w:p w14:paraId="0A1410FA"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3EDBEC82"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160D1F14"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color w:val="000000"/>
          <w:lang w:val="lt-LT" w:eastAsia="ja-JP"/>
        </w:rPr>
        <w:t xml:space="preserve">Todėl pacientams, sergantiems diabetine nefropatija, negalima kartu vartoti AKF inhibitorių ir angiotenzino II receptorių blokatorių. </w:t>
      </w:r>
    </w:p>
    <w:p w14:paraId="106E12AB" w14:textId="77777777" w:rsidR="004125E7" w:rsidRPr="00C92BDF" w:rsidRDefault="004125E7" w:rsidP="004125E7">
      <w:pPr>
        <w:spacing w:after="0" w:line="240" w:lineRule="auto"/>
        <w:rPr>
          <w:rFonts w:ascii="Times New Roman" w:eastAsia="MS Mincho" w:hAnsi="Times New Roman" w:cs="Times New Roman"/>
          <w:color w:val="000000"/>
          <w:lang w:val="lt-LT" w:eastAsia="ja-JP"/>
        </w:rPr>
      </w:pPr>
      <w:r w:rsidRPr="00C92BDF">
        <w:rPr>
          <w:rFonts w:ascii="Times New Roman" w:eastAsia="MS Mincho" w:hAnsi="Times New Roman" w:cs="Times New Roman"/>
          <w:i/>
          <w:color w:val="000000"/>
          <w:lang w:val="lt-LT" w:eastAsia="ja-JP"/>
        </w:rPr>
        <w:t>ALTITUDE (angl. „Aliskiren Trial in Type 2 Diabetes Using Cardiovascular and Renal Disease Endpoints“)</w:t>
      </w:r>
      <w:r w:rsidRPr="00C92BDF">
        <w:rPr>
          <w:rFonts w:ascii="Times New Roman" w:eastAsia="MS Mincho" w:hAnsi="Times New Roman" w:cs="Times New Roman"/>
          <w:color w:val="000000"/>
          <w:lang w:val="lt-LT" w:eastAsia="ja-JP"/>
        </w:rPr>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9CED9C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F856ED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CFA6693"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5.2</w:t>
      </w:r>
      <w:r w:rsidRPr="00C92BDF">
        <w:rPr>
          <w:rFonts w:ascii="Times New Roman" w:eastAsia="Times New Roman" w:hAnsi="Times New Roman" w:cs="Times New Roman"/>
          <w:b/>
          <w:kern w:val="28"/>
          <w:lang w:val="lt-LT"/>
        </w:rPr>
        <w:tab/>
        <w:t>Farmakokinetinės savybės</w:t>
      </w:r>
    </w:p>
    <w:p w14:paraId="2D3E1D40" w14:textId="77777777" w:rsidR="004125E7" w:rsidRPr="00C92BDF" w:rsidRDefault="004125E7" w:rsidP="004125E7">
      <w:pPr>
        <w:spacing w:after="0" w:line="240" w:lineRule="auto"/>
        <w:rPr>
          <w:rFonts w:ascii="Times New Roman" w:eastAsia="Times New Roman" w:hAnsi="Times New Roman" w:cs="Times New Roman"/>
          <w:lang w:val="lt-LT"/>
        </w:rPr>
      </w:pPr>
    </w:p>
    <w:p w14:paraId="42F4DFDD" w14:textId="77777777" w:rsidR="004125E7" w:rsidRPr="00C92BDF" w:rsidRDefault="004125E7" w:rsidP="004125E7">
      <w:pPr>
        <w:spacing w:after="0" w:line="240" w:lineRule="auto"/>
        <w:rPr>
          <w:rFonts w:ascii="Times New Roman" w:eastAsia="Times New Roman" w:hAnsi="Times New Roman" w:cs="Times New Roman"/>
          <w:sz w:val="24"/>
          <w:szCs w:val="20"/>
          <w:lang w:val="lt-LT"/>
        </w:rPr>
      </w:pPr>
      <w:r w:rsidRPr="00C92BDF">
        <w:rPr>
          <w:rFonts w:ascii="Times New Roman" w:eastAsia="Times New Roman" w:hAnsi="Times New Roman" w:cs="Times New Roman"/>
          <w:iCs/>
          <w:u w:val="single"/>
          <w:lang w:val="lt-LT"/>
        </w:rPr>
        <w:t>Absorbcija ir pasiskirstymas</w:t>
      </w:r>
    </w:p>
    <w:p w14:paraId="473D034B" w14:textId="77777777" w:rsidR="004125E7" w:rsidRPr="00C92BDF" w:rsidRDefault="004125E7" w:rsidP="004125E7">
      <w:pPr>
        <w:spacing w:after="0" w:line="240" w:lineRule="auto"/>
        <w:rPr>
          <w:rFonts w:ascii="Times New Roman" w:eastAsia="Times New Roman" w:hAnsi="Times New Roman" w:cs="Times New Roman"/>
          <w:sz w:val="24"/>
          <w:szCs w:val="20"/>
          <w:lang w:val="lt-LT"/>
        </w:rPr>
      </w:pPr>
      <w:r w:rsidRPr="00C92BDF">
        <w:rPr>
          <w:rFonts w:ascii="Times New Roman" w:eastAsia="Times New Roman" w:hAnsi="Times New Roman" w:cs="Times New Roman"/>
          <w:sz w:val="24"/>
          <w:lang w:val="lt-LT"/>
        </w:rPr>
        <w:t>Olmesartanas medoksomilis yra vaisto pirmtakas. Absorbcijos iš virškinamojo trakto metu, veikiant žarnų gleivinėse ir vartų venos kraujyje esančioms esterazėms, jis greitai virsta farmakologiškai veikliu metabolitu olmesartanu.</w:t>
      </w:r>
    </w:p>
    <w:p w14:paraId="0AB41E3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Nepakitusio olmesartano medoksomilio ar šoninės grandinės medoksomilio kraujyje ir organizmo išskyrose nerandama. Geriamųjų tablečių pavidalu vartojamo olmesartano vidutinis biologinis prieinamumas yra 25,6 %.</w:t>
      </w:r>
    </w:p>
    <w:p w14:paraId="3AF76F1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16D495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vidutinė maksimali koncentracija kraujo plazmoje (C</w:t>
      </w:r>
      <w:r w:rsidRPr="00C92BDF">
        <w:rPr>
          <w:rFonts w:ascii="Times New Roman" w:eastAsia="Times New Roman" w:hAnsi="Times New Roman" w:cs="Times New Roman"/>
          <w:vertAlign w:val="subscript"/>
          <w:lang w:val="lt-LT"/>
        </w:rPr>
        <w:t>max</w:t>
      </w:r>
      <w:r w:rsidRPr="00C92BDF">
        <w:rPr>
          <w:rFonts w:ascii="Times New Roman" w:eastAsia="Times New Roman" w:hAnsi="Times New Roman" w:cs="Times New Roman"/>
          <w:lang w:val="lt-LT"/>
        </w:rPr>
        <w:t>), išgėrus olmesartano medoksomilio, pasiekiama apytikriai per 2 val., koncentracija kraujo plazmoje didėja apytikriai linijiniu būdu, kai dozė didinama maždaug iki 80 mg.</w:t>
      </w:r>
    </w:p>
    <w:p w14:paraId="18A2E70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C866E6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biologiniam prieinamumui maisto įtaka yra minimali, todėl olmesartanas medoksomilis gali būti vartojamas tiek valgio metu, tiek ir nevalgius.</w:t>
      </w:r>
    </w:p>
    <w:p w14:paraId="0C475F3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91C47A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farmakokinetikoje kliniškai reikšmingo skirtumo tarp lyčių nėra.</w:t>
      </w:r>
    </w:p>
    <w:p w14:paraId="3CF58B8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2F6031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Olmesartanas stipriai susijungia su kraujo plazmos baltymais (99,7 %), bet jo gebėjimas trikdyti kitų kartu vartojamų vaistinių medžiagų susijungimą su baltymais kliniškai mažai reikšmingas (tai </w:t>
      </w:r>
      <w:r w:rsidRPr="00C92BDF">
        <w:rPr>
          <w:rFonts w:ascii="Times New Roman" w:eastAsia="Times New Roman" w:hAnsi="Times New Roman" w:cs="Times New Roman"/>
          <w:lang w:val="lt-LT"/>
        </w:rPr>
        <w:lastRenderedPageBreak/>
        <w:t>patvirtina kliniškai mažai reikšminga olmesartano medoksomilio ir varfarino sąveika). Olmesartano susijungimas su kraujo ląstelėmis yra nereikšmingas. Sušvirkštus į veną, vidutinis pasiskirstymo tūris yra nedidelis (16-29 l).</w:t>
      </w:r>
    </w:p>
    <w:p w14:paraId="22E290A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8D35E8E" w14:textId="77777777" w:rsidR="004125E7" w:rsidRPr="00C92BDF" w:rsidRDefault="004125E7" w:rsidP="004125E7">
      <w:pPr>
        <w:spacing w:after="0" w:line="240" w:lineRule="auto"/>
        <w:rPr>
          <w:rFonts w:ascii="Times New Roman" w:eastAsia="Times New Roman" w:hAnsi="Times New Roman" w:cs="Times New Roman"/>
          <w:iCs/>
          <w:u w:val="single"/>
          <w:lang w:val="lt-LT"/>
        </w:rPr>
      </w:pPr>
      <w:r w:rsidRPr="00C92BDF">
        <w:rPr>
          <w:rFonts w:ascii="Times New Roman" w:eastAsia="Times New Roman" w:hAnsi="Times New Roman" w:cs="Times New Roman"/>
          <w:iCs/>
          <w:u w:val="single"/>
          <w:lang w:val="lt-LT"/>
        </w:rPr>
        <w:t>Biotransformacija ir eliminacija</w:t>
      </w:r>
    </w:p>
    <w:p w14:paraId="0FDF674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Visiškas plazmos klirensas dažniausiai buvo 1,3 l/val. (CV, 19 %) ir, palyginti su kraujotaka kepenyse (apie 90 l/val.), santykinai lėtas. Išgėrus vienkartinę žymėto </w:t>
      </w:r>
      <w:r w:rsidRPr="00C92BDF">
        <w:rPr>
          <w:rFonts w:ascii="Times New Roman" w:eastAsia="Times New Roman" w:hAnsi="Times New Roman" w:cs="Times New Roman"/>
          <w:vertAlign w:val="superscript"/>
          <w:lang w:val="lt-LT"/>
        </w:rPr>
        <w:t>14</w:t>
      </w:r>
      <w:r w:rsidRPr="00C92BDF">
        <w:rPr>
          <w:rFonts w:ascii="Times New Roman" w:eastAsia="Times New Roman" w:hAnsi="Times New Roman" w:cs="Times New Roman"/>
          <w:lang w:val="lt-LT"/>
        </w:rPr>
        <w:t>C olmesartano medoksomilio dozę, 10-16 % bendrojo radioaktyvumo išsiskyrė su šlapimu (didžiausia dalis – per 24 valandas po pavartojimo), kita dalis – su išmatomis. Įvertinus sisteminį 25,6 % prieinamumą, galima apskaičiuoti, kad rezorbuotas olmesartanas išsiskiria tiek per inkstus (apie 40 %), tiek – metabolizuojamas kepenyse ir išskiriamas su tulžimi (apie 60 %). Visa išsiskyrusi radioaktyvioji medžiaga buvo olmesartanas. Kitų svarbių metabolitų nerasta. Olmesartano enterohepatinė cirkuliacija yra nežymi. Dėl to, kad didelė olmesartano dalis iš organizmo išsiskiria su tulžimi, juo negalima gydyti pacientų, kuriems nustatytas sutrikęs tulžies latakų praeinamumas (žr. 4.3 skyrių).</w:t>
      </w:r>
    </w:p>
    <w:p w14:paraId="08899B4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217E5F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Išgėrus keletą dozių, olmesartano terminalinis pusinės eliminacijos laikas yra 10-15 val. Pastovi koncentracija kraujo plazmoje susidaro po kelių pirmųjų dozių. Vėliau, geriant vaistinį preparatą 14 dienų, jo sankaupos nebuvo. Inkstų klirensas buvo apie 0,5-0,7  l/val., jis nepriklauso nuo dozės.</w:t>
      </w:r>
    </w:p>
    <w:p w14:paraId="09DEEEE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880058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color w:val="FF0000"/>
          <w:u w:val="single"/>
          <w:lang w:val="lt-LT"/>
        </w:rPr>
      </w:pPr>
      <w:r w:rsidRPr="00C92BDF">
        <w:rPr>
          <w:rFonts w:ascii="Times New Roman" w:eastAsia="Times New Roman" w:hAnsi="Times New Roman" w:cs="Times New Roman"/>
          <w:u w:val="single"/>
          <w:lang w:val="lt-LT"/>
        </w:rPr>
        <w:t xml:space="preserve">Farmakokinetika specialiųjų grupių ligonių organizme </w:t>
      </w:r>
    </w:p>
    <w:p w14:paraId="7260342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FBD938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 xml:space="preserve">Vaikų populiacija </w:t>
      </w:r>
    </w:p>
    <w:p w14:paraId="56D1C0D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Olmesartano farmakokinetika tirta nuo 1 iki 16 metų vaikams. Po duomenų korekcijos, atsižvelgiant į kūno svorį, olmesartano klirensas vaikų organizme buvo panašus į suaugusiųjų.</w:t>
      </w:r>
    </w:p>
    <w:p w14:paraId="47DEE7D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Kokių nors duomenų apie olmesartano farmakokinetiką vaikams su inkstų funkcijos sutrikimais nėra.</w:t>
      </w:r>
    </w:p>
    <w:p w14:paraId="4D721699"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Senyvi pacientai (65 metų ir vyresni)</w:t>
      </w:r>
    </w:p>
    <w:p w14:paraId="2CD9DB7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Sergančiųjų hipertenzija grupėje, esant vaisto koncentracijos kraujo plazmoje pusiausvyrai, plotas po koncentracijos ir laiko kitimo kreive (AUC) senyviems pacientams (65-75 metų) padidėja apie 35 %, dar vyresniems (daugiau kaip 75 metų) padidėja apie 44 %, palyginti su jaunesnio amžiaus pacientų grupe. Tai bent iš dalies gali būti susiję su vidutinio sunkumo inkstų funkcijos sutrikimu šioje pacientų grupėje. </w:t>
      </w:r>
    </w:p>
    <w:p w14:paraId="3CC4ABE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002E686"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Sutrikusi inkstų funkcija</w:t>
      </w:r>
    </w:p>
    <w:p w14:paraId="6A52925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Esant vaistinio preparato koncentracijos kraujo plazmoje pusiausvyrai, plotas po vaistinio preparato koncentracijos ir laiko kitimo kreive (AUC) padidėja 62 %, kai inkstų veiklos sutrikimas nedidelis, 82 % – kai vidutinis, 179 % – kai sunkus, palyginti su sveikais kontrolinės grupės asmenimis (žr. 4.2, 4.4 skyrius).</w:t>
      </w:r>
    </w:p>
    <w:p w14:paraId="7CC4465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0CBE07C"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Sutrikusi kepenų funkcija</w:t>
      </w:r>
    </w:p>
    <w:p w14:paraId="786FBD3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Išgėrus olmesartano vieną kartą, jo AUC duomenys, lengvai ir vidutiniškai sutrikus kepenų veiklai, buvo 6 % ir 65 % didesni, palyginus su sveikais kontroliniais asmenimis. Nekonjuguoto olmesartano kiekis, praėjus dviem valandoms po vaistinio preparato išgėrimo, sveikiems asmenims buvo atitinkamai 0,26 %, esant lengvam kepenų veiklos sutrikimui − 0,34 %, vidutiniam kepenų veiklos sutrikimui − 0,41 %. </w:t>
      </w:r>
    </w:p>
    <w:p w14:paraId="71BA4AA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Po kartotinių dozių, esant vidutinio sunkumo kepenų veiklos sutrikimui, olmesartano vidutinė AUC buvo apie 65 % didesnė, palyginti su sveikais asmenimis. Olmesartano vidutinė C</w:t>
      </w:r>
      <w:r w:rsidRPr="00C92BDF">
        <w:rPr>
          <w:rFonts w:ascii="Times New Roman" w:eastAsia="Times New Roman" w:hAnsi="Times New Roman" w:cs="Times New Roman"/>
          <w:vertAlign w:val="subscript"/>
          <w:lang w:val="lt-LT"/>
        </w:rPr>
        <w:t xml:space="preserve">max </w:t>
      </w:r>
      <w:r w:rsidRPr="00C92BDF">
        <w:rPr>
          <w:rFonts w:ascii="Times New Roman" w:eastAsia="Times New Roman" w:hAnsi="Times New Roman" w:cs="Times New Roman"/>
          <w:lang w:val="lt-LT"/>
        </w:rPr>
        <w:t xml:space="preserve"> sveikiems asmenims ir pacientams su kepenų funkcijos sutrikimu buvo panaši. Olmesartano medoksomilio savybės, esant sunkiam kepenų veiklos sutrikimui, netirtos (žr. 4.2 ir 4.4 skyrius).</w:t>
      </w:r>
    </w:p>
    <w:p w14:paraId="12CEF61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8C26E00" w14:textId="77777777" w:rsidR="004125E7" w:rsidRPr="00E62BE2" w:rsidRDefault="004125E7" w:rsidP="004125E7">
      <w:pPr>
        <w:tabs>
          <w:tab w:val="center" w:pos="4153"/>
          <w:tab w:val="right" w:pos="8306"/>
        </w:tabs>
        <w:autoSpaceDE w:val="0"/>
        <w:autoSpaceDN w:val="0"/>
        <w:spacing w:after="0" w:line="240" w:lineRule="auto"/>
        <w:jc w:val="both"/>
        <w:rPr>
          <w:rFonts w:ascii="Times New Roman" w:hAnsi="Times New Roman"/>
          <w:i/>
          <w:color w:val="000000"/>
          <w:spacing w:val="-3"/>
          <w:shd w:val="clear" w:color="auto" w:fill="FFFFFF"/>
          <w:lang w:val="sv-SE"/>
        </w:rPr>
      </w:pPr>
      <w:r w:rsidRPr="00E62BE2">
        <w:rPr>
          <w:rFonts w:ascii="Times New Roman" w:hAnsi="Times New Roman"/>
          <w:i/>
          <w:color w:val="000000"/>
          <w:spacing w:val="-3"/>
          <w:shd w:val="clear" w:color="auto" w:fill="FFFFFF"/>
          <w:lang w:val="sv-SE"/>
        </w:rPr>
        <w:t>Tulžies rūgštis surišantis vaistinis preparatas kolesevelamas</w:t>
      </w:r>
    </w:p>
    <w:p w14:paraId="4602B39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shd w:val="clear" w:color="auto" w:fill="FFFFFF"/>
          <w:lang w:val="lt-LT"/>
        </w:rPr>
        <w:t>Kai sveiki žmonės vartojo 40 mg olmesartano medoksomilio kartu su 3750 mg kolesevelamo hidrochloridu, tai 28% sumažino maksimalią olmesartano plazmos koncentraciją ir 39% jo biologinį prieinamumą. Kai olmesartano buvo vartojama bent 4 val. prieš kolesevelamo hidrochloridą, minėta sąveika buvo mažesnė (maksimali plazmos koncentracija sumažėjo tik 4%, o biologinis prieinamumas 15%) (žr. 4.5 skyrių).</w:t>
      </w:r>
    </w:p>
    <w:p w14:paraId="70B08D8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03286E7"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lastRenderedPageBreak/>
        <w:t>5.3</w:t>
      </w:r>
      <w:r w:rsidRPr="00C92BDF">
        <w:rPr>
          <w:rFonts w:ascii="Times New Roman" w:eastAsia="Times New Roman" w:hAnsi="Times New Roman" w:cs="Times New Roman"/>
          <w:b/>
          <w:kern w:val="28"/>
          <w:lang w:val="lt-LT"/>
        </w:rPr>
        <w:tab/>
        <w:t>Ikiklinikinių saugumo tyrimų duomenys</w:t>
      </w:r>
    </w:p>
    <w:p w14:paraId="6D6E265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5C2541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Toksinio kartotinių dozių tyrimais su žiurkėmis ir šunimis nustatytas olmesartano medoksomilio poveikis buvo panašus kitiems AT</w:t>
      </w:r>
      <w:r w:rsidRPr="00C92BDF">
        <w:rPr>
          <w:rFonts w:ascii="Times New Roman" w:eastAsia="Times New Roman" w:hAnsi="Times New Roman" w:cs="Times New Roman"/>
          <w:vertAlign w:val="subscript"/>
          <w:lang w:val="lt-LT"/>
        </w:rPr>
        <w:t xml:space="preserve">1 </w:t>
      </w:r>
      <w:r w:rsidRPr="00C92BDF">
        <w:rPr>
          <w:rFonts w:ascii="Times New Roman" w:eastAsia="Times New Roman" w:hAnsi="Times New Roman" w:cs="Times New Roman"/>
          <w:lang w:val="lt-LT"/>
        </w:rPr>
        <w:t>receptorių antagonistams ir AKF inhibitoriams: kraujo plazmoje padidėjo šlapalo ir kreatinino kiekis (dėl inkstų funkcijos pakitimų blokavus AT</w:t>
      </w:r>
      <w:r w:rsidRPr="00C92BDF">
        <w:rPr>
          <w:rFonts w:ascii="Times New Roman" w:eastAsia="Times New Roman" w:hAnsi="Times New Roman" w:cs="Times New Roman"/>
          <w:vertAlign w:val="subscript"/>
          <w:lang w:val="lt-LT"/>
        </w:rPr>
        <w:t xml:space="preserve">1 </w:t>
      </w:r>
      <w:r w:rsidRPr="00C92BDF">
        <w:rPr>
          <w:rFonts w:ascii="Times New Roman" w:eastAsia="Times New Roman" w:hAnsi="Times New Roman" w:cs="Times New Roman"/>
          <w:lang w:val="lt-LT"/>
        </w:rPr>
        <w:t>receptorius), sumažėjo širdies svoris, sumažėjo eritrocitų rodmenys (eritrocitų skaičius, hemoglobino kiekis, hematokrito vertė); inkstų audinio pakitimai, nustatyti histologiniais metodais (pažeistas inkstų epitelis, suplonėjusi bazinė membrana, išsiplėtę inkstų kanalėliai). Šie nepageidaujami reiškiniai, kuriuos sukėlė olmesartano medoksomilio farmakologinis poveikis, buvo nustatyti ir atliekant ikiklinikinius kitų AT</w:t>
      </w:r>
      <w:r w:rsidRPr="00C92BDF">
        <w:rPr>
          <w:rFonts w:ascii="Times New Roman" w:eastAsia="Times New Roman" w:hAnsi="Times New Roman" w:cs="Times New Roman"/>
          <w:vertAlign w:val="subscript"/>
          <w:lang w:val="lt-LT"/>
        </w:rPr>
        <w:t>1</w:t>
      </w:r>
      <w:r w:rsidRPr="00C92BDF">
        <w:rPr>
          <w:rFonts w:ascii="Times New Roman" w:eastAsia="Times New Roman" w:hAnsi="Times New Roman" w:cs="Times New Roman"/>
          <w:lang w:val="lt-LT"/>
        </w:rPr>
        <w:t xml:space="preserve"> receptorių antagonistų ir AKF inhibitorių tyrimus; juos galima sumažinti duodant kartu gerti natrio chlorido.</w:t>
      </w:r>
    </w:p>
    <w:p w14:paraId="7B21BB7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821C9C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Abiejų rūšių gyvūnams buvo nustatytas padidėjęs kraujo plazmos renino aktyvumas ir inkstų jukstaglomerulinių ląstelių hipertrofija arba hiperplazija. Manoma, kad šie pakitimai, būdingi ir kitiems AKF inhibitoriams bei AT</w:t>
      </w:r>
      <w:r w:rsidRPr="00C92BDF">
        <w:rPr>
          <w:rFonts w:ascii="Times New Roman" w:eastAsia="Times New Roman" w:hAnsi="Times New Roman" w:cs="Times New Roman"/>
          <w:vertAlign w:val="subscript"/>
          <w:lang w:val="lt-LT"/>
        </w:rPr>
        <w:t>1</w:t>
      </w:r>
      <w:r w:rsidRPr="00C92BDF">
        <w:rPr>
          <w:rFonts w:ascii="Times New Roman" w:eastAsia="Times New Roman" w:hAnsi="Times New Roman" w:cs="Times New Roman"/>
          <w:lang w:val="lt-LT"/>
        </w:rPr>
        <w:t xml:space="preserve"> receptorių antagonistams, klinikinės reikšmės neturi.</w:t>
      </w:r>
    </w:p>
    <w:p w14:paraId="2345BEF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5BBD90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Kaip ir kiti AT</w:t>
      </w:r>
      <w:r w:rsidRPr="00C92BDF">
        <w:rPr>
          <w:rFonts w:ascii="Times New Roman" w:eastAsia="Times New Roman" w:hAnsi="Times New Roman" w:cs="Times New Roman"/>
          <w:vertAlign w:val="subscript"/>
          <w:lang w:val="lt-LT"/>
        </w:rPr>
        <w:t xml:space="preserve">1 </w:t>
      </w:r>
      <w:r w:rsidRPr="00C92BDF">
        <w:rPr>
          <w:rFonts w:ascii="Times New Roman" w:eastAsia="Times New Roman" w:hAnsi="Times New Roman" w:cs="Times New Roman"/>
          <w:lang w:val="lt-LT"/>
        </w:rPr>
        <w:t xml:space="preserve">receptorių antagonistai, olmesartanas medoksomilis </w:t>
      </w:r>
      <w:r w:rsidRPr="00C92BDF">
        <w:rPr>
          <w:rFonts w:ascii="Times New Roman" w:eastAsia="Times New Roman" w:hAnsi="Times New Roman" w:cs="Times New Roman"/>
          <w:i/>
          <w:lang w:val="lt-LT"/>
        </w:rPr>
        <w:t xml:space="preserve">in vitro </w:t>
      </w:r>
      <w:r w:rsidRPr="00C92BDF">
        <w:rPr>
          <w:rFonts w:ascii="Times New Roman" w:eastAsia="Times New Roman" w:hAnsi="Times New Roman" w:cs="Times New Roman"/>
          <w:lang w:val="lt-LT"/>
        </w:rPr>
        <w:t xml:space="preserve">ląstelių kultūrose chromosomų pakitimų dažnio nepadidino. Keliuose </w:t>
      </w:r>
      <w:r w:rsidRPr="00C92BDF">
        <w:rPr>
          <w:rFonts w:ascii="Times New Roman" w:eastAsia="Times New Roman" w:hAnsi="Times New Roman" w:cs="Times New Roman"/>
          <w:i/>
          <w:lang w:val="lt-LT"/>
        </w:rPr>
        <w:t>in vivo</w:t>
      </w:r>
      <w:r w:rsidRPr="00C92BDF">
        <w:rPr>
          <w:rFonts w:ascii="Times New Roman" w:eastAsia="Times New Roman" w:hAnsi="Times New Roman" w:cs="Times New Roman"/>
          <w:lang w:val="lt-LT"/>
        </w:rPr>
        <w:t xml:space="preserve"> atliktuose</w:t>
      </w:r>
      <w:r w:rsidRPr="00C92BDF">
        <w:rPr>
          <w:rFonts w:ascii="Times New Roman" w:eastAsia="Times New Roman" w:hAnsi="Times New Roman" w:cs="Times New Roman"/>
          <w:i/>
          <w:lang w:val="lt-LT"/>
        </w:rPr>
        <w:t xml:space="preserve"> </w:t>
      </w:r>
      <w:r w:rsidRPr="00C92BDF">
        <w:rPr>
          <w:rFonts w:ascii="Times New Roman" w:eastAsia="Times New Roman" w:hAnsi="Times New Roman" w:cs="Times New Roman"/>
          <w:lang w:val="lt-LT"/>
        </w:rPr>
        <w:t>tyrimuose olmesartanas medoksomilis, duodant jo gerti labai dideles dozes (iki 2000 mg/kg kūno svorio), reikšmingų pakitimų nesukėlė. Visapusiškų genotoksinio poveikio tyrimų rezultatai rodo, kad, vartojant klinikinėje praktikoje nustatytomis dozėmis, olmesartano genotoksinis poveikis mažai tikėtinas.</w:t>
      </w:r>
    </w:p>
    <w:p w14:paraId="5280DBF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Olmesartanas medoksomilis nepasižymi kancerogeniniu poveikiu; tai nustatyta, dvejus metus atliekant tyrimus su žiurkėmis ir 6 mėnesius su transgeninėmis pelėmis.</w:t>
      </w:r>
    </w:p>
    <w:p w14:paraId="3482B1E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4F090D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Atliekant žiurkių vaisingumo tyrimus, nustatyta, kad olmesartanas medoksomilis įtakos reprodukcijai  neturėjo, jokių teratogeninio poveikio požymių nerasta. Panašiai kaip kitiems angiotenzino II antagonistams, veikiant olmesartanui medoksomiliui, palikuonių išgyvenamumas buvo sumažėjęs, vėlyvuoju nėštumo laikotarpiu ir žindymo metu buvo nustatytas jų inkstų geldelių išsiplėtimas. Panašiai kaip ir kiti antihipertenziniai vaistai, olmesartanas medoksomilis buvo labiau toksiškas vaikingoms triušių patelėms nei vaikingoms žiurkių patelėms, bet toksinio poveikio vaisiui nenustatyta.</w:t>
      </w:r>
    </w:p>
    <w:p w14:paraId="6BF237DD" w14:textId="77777777" w:rsidR="004125E7" w:rsidRPr="00C92BDF" w:rsidRDefault="004125E7" w:rsidP="004125E7">
      <w:pPr>
        <w:spacing w:after="0" w:line="240" w:lineRule="auto"/>
        <w:rPr>
          <w:rFonts w:ascii="Times New Roman" w:eastAsia="Times New Roman" w:hAnsi="Times New Roman" w:cs="Times New Roman"/>
          <w:lang w:val="lt-LT"/>
        </w:rPr>
      </w:pPr>
    </w:p>
    <w:p w14:paraId="4656015C"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6.</w:t>
      </w:r>
      <w:r w:rsidRPr="00C92BDF">
        <w:rPr>
          <w:rFonts w:ascii="Times New Roman" w:eastAsia="Times New Roman" w:hAnsi="Times New Roman" w:cs="Times New Roman"/>
          <w:b/>
          <w:lang w:val="lt-LT"/>
        </w:rPr>
        <w:tab/>
        <w:t>FARMACINĖ INFORMACIJA</w:t>
      </w:r>
    </w:p>
    <w:p w14:paraId="6C7F0BC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0F48818"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6.1</w:t>
      </w:r>
      <w:r w:rsidRPr="00C92BDF">
        <w:rPr>
          <w:rFonts w:ascii="Times New Roman" w:eastAsia="Times New Roman" w:hAnsi="Times New Roman" w:cs="Times New Roman"/>
          <w:b/>
          <w:kern w:val="28"/>
          <w:lang w:val="lt-LT"/>
        </w:rPr>
        <w:tab/>
        <w:t>Pagalbinių medžiagų sąrašas</w:t>
      </w:r>
    </w:p>
    <w:p w14:paraId="2015EBA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FDD42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Tabletės šerdis</w:t>
      </w:r>
    </w:p>
    <w:p w14:paraId="3BC0093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Mikrokristalinė celiuliozė</w:t>
      </w:r>
    </w:p>
    <w:p w14:paraId="512EA6A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Laktozė monohidratas</w:t>
      </w:r>
    </w:p>
    <w:p w14:paraId="05BB169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Hidroksipropilceliuliozė </w:t>
      </w:r>
    </w:p>
    <w:p w14:paraId="755DE60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Nedaug pakeista hidroksipropilceliuliozė</w:t>
      </w:r>
    </w:p>
    <w:p w14:paraId="2E4FB36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Magnio stearatas</w:t>
      </w:r>
    </w:p>
    <w:p w14:paraId="42A33EA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BA86A2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Tabletės plėvelė</w:t>
      </w:r>
    </w:p>
    <w:p w14:paraId="56FC7AC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Titano dioksidas (E 171)</w:t>
      </w:r>
    </w:p>
    <w:p w14:paraId="2EFF421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Talkas</w:t>
      </w:r>
    </w:p>
    <w:p w14:paraId="11975AB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Hipromeliozė</w:t>
      </w:r>
    </w:p>
    <w:p w14:paraId="76805A6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518EA2D"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6.2</w:t>
      </w:r>
      <w:r w:rsidRPr="00C92BDF">
        <w:rPr>
          <w:rFonts w:ascii="Times New Roman" w:eastAsia="Times New Roman" w:hAnsi="Times New Roman" w:cs="Times New Roman"/>
          <w:b/>
          <w:kern w:val="28"/>
          <w:lang w:val="lt-LT"/>
        </w:rPr>
        <w:tab/>
        <w:t>Nesuderinamumas</w:t>
      </w:r>
    </w:p>
    <w:p w14:paraId="17DC823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17C1E7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Duomenys nebūtini.</w:t>
      </w:r>
    </w:p>
    <w:p w14:paraId="11AAAF8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C1D7DA7"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6.3</w:t>
      </w:r>
      <w:r w:rsidRPr="00C92BDF">
        <w:rPr>
          <w:rFonts w:ascii="Times New Roman" w:eastAsia="Times New Roman" w:hAnsi="Times New Roman" w:cs="Times New Roman"/>
          <w:b/>
          <w:kern w:val="28"/>
          <w:lang w:val="lt-LT"/>
        </w:rPr>
        <w:tab/>
        <w:t>Tinkamumo laikas</w:t>
      </w:r>
    </w:p>
    <w:p w14:paraId="726A554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4578D9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3 metai.</w:t>
      </w:r>
    </w:p>
    <w:p w14:paraId="5DDED3C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87087D6"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lastRenderedPageBreak/>
        <w:t>6.4</w:t>
      </w:r>
      <w:r w:rsidRPr="00C92BDF">
        <w:rPr>
          <w:rFonts w:ascii="Times New Roman" w:eastAsia="Times New Roman" w:hAnsi="Times New Roman" w:cs="Times New Roman"/>
          <w:b/>
          <w:kern w:val="28"/>
          <w:lang w:val="lt-LT"/>
        </w:rPr>
        <w:tab/>
        <w:t>Specialios laikymo sąlygos</w:t>
      </w:r>
    </w:p>
    <w:p w14:paraId="2017FC34" w14:textId="77777777" w:rsidR="004125E7" w:rsidRPr="00C92BDF" w:rsidRDefault="004125E7" w:rsidP="004125E7">
      <w:pPr>
        <w:spacing w:after="0" w:line="240" w:lineRule="auto"/>
        <w:rPr>
          <w:rFonts w:ascii="Times New Roman" w:eastAsia="Times New Roman" w:hAnsi="Times New Roman" w:cs="Times New Roman"/>
          <w:lang w:val="lt-LT"/>
        </w:rPr>
      </w:pPr>
    </w:p>
    <w:p w14:paraId="53331A1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Šiam vaistiniam preparatui specialių laikymo sąlygų nereikia.</w:t>
      </w:r>
    </w:p>
    <w:p w14:paraId="6A7D2EA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F73F3B7"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6.5</w:t>
      </w:r>
      <w:r w:rsidRPr="00C92BDF">
        <w:rPr>
          <w:rFonts w:ascii="Times New Roman" w:eastAsia="Times New Roman" w:hAnsi="Times New Roman" w:cs="Times New Roman"/>
          <w:b/>
          <w:kern w:val="28"/>
          <w:lang w:val="lt-LT"/>
        </w:rPr>
        <w:tab/>
        <w:t>Talpyklės pobūdis ir jos turinys</w:t>
      </w:r>
    </w:p>
    <w:p w14:paraId="7E59AA0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0DC42E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Lizdinė plokštelė iš laminuoto poliamido, aliuminio ir polivinilchlorido.</w:t>
      </w:r>
    </w:p>
    <w:p w14:paraId="2D00787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Pakuotėje yra 14, 28, 56, arba 98 plėvele dengtos tabletės. </w:t>
      </w:r>
    </w:p>
    <w:p w14:paraId="0619EBB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B754CD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Gali būti tiekiamos ne visų dydžių pakuotės.</w:t>
      </w:r>
    </w:p>
    <w:p w14:paraId="4E126B4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3AAC7C8"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6.6</w:t>
      </w:r>
      <w:r w:rsidRPr="00C92BDF">
        <w:rPr>
          <w:rFonts w:ascii="Times New Roman" w:eastAsia="Times New Roman" w:hAnsi="Times New Roman" w:cs="Times New Roman"/>
          <w:b/>
          <w:kern w:val="28"/>
          <w:lang w:val="lt-LT"/>
        </w:rPr>
        <w:tab/>
        <w:t xml:space="preserve">Specialūs reikalavimai atliekoms tvarkyti </w:t>
      </w:r>
    </w:p>
    <w:p w14:paraId="39BF0B9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12C61B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Specialių reikalavimų nėra.</w:t>
      </w:r>
    </w:p>
    <w:p w14:paraId="4EAD9CB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56226C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1762AEF"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7.</w:t>
      </w:r>
      <w:r w:rsidRPr="00C92BDF">
        <w:rPr>
          <w:rFonts w:ascii="Times New Roman" w:eastAsia="Times New Roman" w:hAnsi="Times New Roman" w:cs="Times New Roman"/>
          <w:b/>
          <w:lang w:val="lt-LT"/>
        </w:rPr>
        <w:tab/>
        <w:t>REGISTRUOTOJAS</w:t>
      </w:r>
    </w:p>
    <w:p w14:paraId="3D59E4D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CAE14E1"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Menarini International Operations Luxembourg S.A.</w:t>
      </w:r>
    </w:p>
    <w:p w14:paraId="7D63DBB8"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1, Avenue de la Gare, L-1611 Luxembourg</w:t>
      </w:r>
    </w:p>
    <w:p w14:paraId="7AF115D4"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Liuksemburgas</w:t>
      </w:r>
    </w:p>
    <w:p w14:paraId="0DDF6D1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F69B83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5CC14A8"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8.</w:t>
      </w:r>
      <w:r w:rsidRPr="00C92BDF">
        <w:rPr>
          <w:rFonts w:ascii="Times New Roman" w:eastAsia="Times New Roman" w:hAnsi="Times New Roman" w:cs="Times New Roman"/>
          <w:b/>
          <w:lang w:val="lt-LT"/>
        </w:rPr>
        <w:tab/>
      </w:r>
      <w:r w:rsidRPr="00C92BDF">
        <w:rPr>
          <w:rFonts w:ascii="Times New Roman" w:eastAsia="Times New Roman" w:hAnsi="Times New Roman" w:cs="Times New Roman"/>
          <w:b/>
          <w:szCs w:val="20"/>
          <w:lang w:val="lt-LT"/>
        </w:rPr>
        <w:t>REGISTRACIJOS PAŽYMĖJIMO</w:t>
      </w:r>
      <w:r w:rsidRPr="00C92BDF">
        <w:rPr>
          <w:rFonts w:ascii="Times New Roman" w:eastAsia="Times New Roman" w:hAnsi="Times New Roman" w:cs="Times New Roman"/>
          <w:b/>
          <w:lang w:val="lt-LT"/>
        </w:rPr>
        <w:t>NUMERIS (-IAI)</w:t>
      </w:r>
    </w:p>
    <w:p w14:paraId="2141373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DF10091"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Mesar 10 mg </w:t>
      </w:r>
    </w:p>
    <w:p w14:paraId="01AF999D"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N14 – LT/1/04/3171/001</w:t>
      </w:r>
    </w:p>
    <w:p w14:paraId="48A4D4D5"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N28 – LT/1/04/3171/002</w:t>
      </w:r>
    </w:p>
    <w:p w14:paraId="7685BD14"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N56 – LT/1/04/3171/003</w:t>
      </w:r>
    </w:p>
    <w:p w14:paraId="03B3A6F9"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N98 – LT/1/04/3171/004</w:t>
      </w:r>
    </w:p>
    <w:p w14:paraId="1E1957EE" w14:textId="77777777" w:rsidR="004125E7" w:rsidRPr="00C92BDF" w:rsidRDefault="004125E7" w:rsidP="004125E7">
      <w:pPr>
        <w:spacing w:after="0" w:line="240" w:lineRule="auto"/>
        <w:rPr>
          <w:rFonts w:ascii="Times New Roman" w:eastAsia="Times New Roman" w:hAnsi="Times New Roman" w:cs="Times New Roman"/>
          <w:lang w:val="lt-LT"/>
        </w:rPr>
      </w:pPr>
    </w:p>
    <w:p w14:paraId="4D4F0526"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Mesar 20 mg </w:t>
      </w:r>
    </w:p>
    <w:p w14:paraId="6B856BC7"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N14 – LT/1/04/3171/005</w:t>
      </w:r>
    </w:p>
    <w:p w14:paraId="78849D7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N28 – LT/1/04/3171/006</w:t>
      </w:r>
    </w:p>
    <w:p w14:paraId="129AA957"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N56 – LT/1/04/3171/007</w:t>
      </w:r>
    </w:p>
    <w:p w14:paraId="525F3BDB"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N98 – LT/1/04/3171/008</w:t>
      </w:r>
    </w:p>
    <w:p w14:paraId="2A8824D0" w14:textId="77777777" w:rsidR="004125E7" w:rsidRPr="00C92BDF" w:rsidRDefault="004125E7" w:rsidP="004125E7">
      <w:pPr>
        <w:spacing w:after="0" w:line="240" w:lineRule="auto"/>
        <w:rPr>
          <w:rFonts w:ascii="Times New Roman" w:eastAsia="Times New Roman" w:hAnsi="Times New Roman" w:cs="Times New Roman"/>
          <w:lang w:val="lt-LT"/>
        </w:rPr>
      </w:pPr>
    </w:p>
    <w:p w14:paraId="43F91AC0"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Mesar 40 mg </w:t>
      </w:r>
    </w:p>
    <w:p w14:paraId="468413C3"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N14 – LT/1/04/3171/009</w:t>
      </w:r>
    </w:p>
    <w:p w14:paraId="53F6FBC7"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N28 – LT/1/04/3171/010</w:t>
      </w:r>
    </w:p>
    <w:p w14:paraId="4525D643"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N56 – LT/1/04/3171/011</w:t>
      </w:r>
    </w:p>
    <w:p w14:paraId="5799A16E"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N98 – LT/1/04/3171/012</w:t>
      </w:r>
    </w:p>
    <w:p w14:paraId="3BD2D1A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1C2B61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5D03479"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9.</w:t>
      </w:r>
      <w:r w:rsidRPr="00C92BDF">
        <w:rPr>
          <w:rFonts w:ascii="Times New Roman" w:eastAsia="Times New Roman" w:hAnsi="Times New Roman" w:cs="Times New Roman"/>
          <w:b/>
          <w:lang w:val="lt-LT"/>
        </w:rPr>
        <w:tab/>
      </w:r>
      <w:r w:rsidRPr="00C92BDF">
        <w:rPr>
          <w:rFonts w:ascii="Times New Roman" w:eastAsia="Times New Roman" w:hAnsi="Times New Roman" w:cs="Times New Roman"/>
          <w:b/>
          <w:szCs w:val="20"/>
          <w:lang w:val="lt-LT"/>
        </w:rPr>
        <w:t>REGISTRAVIMO / PERREGISTRAVIMO</w:t>
      </w:r>
      <w:r w:rsidRPr="00C92BDF">
        <w:rPr>
          <w:rFonts w:ascii="Times New Roman" w:eastAsia="Times New Roman" w:hAnsi="Times New Roman" w:cs="Times New Roman"/>
          <w:b/>
          <w:lang w:val="lt-LT"/>
        </w:rPr>
        <w:t xml:space="preserve"> DATA</w:t>
      </w:r>
    </w:p>
    <w:p w14:paraId="5F79CE9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EF64486"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en-GB" w:eastAsia="lt-LT"/>
        </w:rPr>
        <w:t>Registravimo data</w:t>
      </w:r>
      <w:r w:rsidRPr="00C92BDF">
        <w:rPr>
          <w:rFonts w:ascii="Times New Roman" w:eastAsia="Times New Roman" w:hAnsi="Times New Roman" w:cs="Times New Roman"/>
          <w:lang w:val="lt-LT" w:eastAsia="lt-LT"/>
        </w:rPr>
        <w:t xml:space="preserve"> 2004 m. sausio 13 d.</w:t>
      </w:r>
    </w:p>
    <w:p w14:paraId="28AFBD32"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sz w:val="24"/>
          <w:szCs w:val="20"/>
          <w:lang w:val="lt-LT"/>
        </w:rPr>
        <w:t>Paskutinio perregistravimo data</w:t>
      </w:r>
      <w:r>
        <w:rPr>
          <w:rFonts w:ascii="Times New Roman" w:eastAsia="Times New Roman" w:hAnsi="Times New Roman" w:cs="Times New Roman"/>
          <w:sz w:val="24"/>
          <w:szCs w:val="20"/>
          <w:lang w:val="lt-LT"/>
        </w:rPr>
        <w:t xml:space="preserve"> </w:t>
      </w:r>
      <w:r w:rsidRPr="00C92BDF">
        <w:rPr>
          <w:rFonts w:ascii="Times New Roman" w:eastAsia="Times New Roman" w:hAnsi="Times New Roman" w:cs="Times New Roman"/>
          <w:lang w:val="lt-LT"/>
        </w:rPr>
        <w:t>2013 m. sausio 10 d.</w:t>
      </w:r>
    </w:p>
    <w:p w14:paraId="78F9EBF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6DD996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E51D876"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10.</w:t>
      </w:r>
      <w:r w:rsidRPr="00C92BDF">
        <w:rPr>
          <w:rFonts w:ascii="Times New Roman" w:eastAsia="Times New Roman" w:hAnsi="Times New Roman" w:cs="Times New Roman"/>
          <w:b/>
          <w:lang w:val="lt-LT"/>
        </w:rPr>
        <w:tab/>
        <w:t>TEKSTO PERŽIŪROS DATA</w:t>
      </w:r>
    </w:p>
    <w:p w14:paraId="44E9DF83" w14:textId="77777777" w:rsidR="004125E7" w:rsidRPr="00C92BDF" w:rsidRDefault="004125E7" w:rsidP="004125E7">
      <w:pPr>
        <w:spacing w:after="0" w:line="240" w:lineRule="auto"/>
        <w:rPr>
          <w:rFonts w:ascii="Times New Roman" w:eastAsia="Times New Roman" w:hAnsi="Times New Roman" w:cs="Times New Roman"/>
          <w:lang w:val="lt-LT"/>
        </w:rPr>
      </w:pPr>
    </w:p>
    <w:p w14:paraId="5B308AB7" w14:textId="6D78BFCD"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w:t>
      </w:r>
      <w:r w:rsidR="00320AB7">
        <w:rPr>
          <w:rFonts w:ascii="Times New Roman" w:eastAsia="Times New Roman" w:hAnsi="Times New Roman" w:cs="Times New Roman"/>
          <w:lang w:val="lt-LT"/>
        </w:rPr>
        <w:t>5</w:t>
      </w:r>
      <w:r>
        <w:rPr>
          <w:rFonts w:ascii="Times New Roman" w:eastAsia="Times New Roman" w:hAnsi="Times New Roman" w:cs="Times New Roman"/>
          <w:lang w:val="lt-LT"/>
        </w:rPr>
        <w:t xml:space="preserve"> m. </w:t>
      </w:r>
      <w:r w:rsidR="00320AB7">
        <w:rPr>
          <w:rFonts w:ascii="Times New Roman" w:eastAsia="Times New Roman" w:hAnsi="Times New Roman" w:cs="Times New Roman"/>
          <w:lang w:val="lt-LT"/>
        </w:rPr>
        <w:t xml:space="preserve">sausio 17 </w:t>
      </w:r>
      <w:r>
        <w:rPr>
          <w:rFonts w:ascii="Times New Roman" w:eastAsia="Times New Roman" w:hAnsi="Times New Roman" w:cs="Times New Roman"/>
          <w:lang w:val="lt-LT"/>
        </w:rPr>
        <w:t>d.</w:t>
      </w:r>
    </w:p>
    <w:p w14:paraId="70467E6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B6CDD4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color w:val="0000FF"/>
          <w:u w:val="single"/>
          <w:lang w:val="lt-LT"/>
        </w:rPr>
      </w:pPr>
      <w:r w:rsidRPr="00C92BDF">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1" w:history="1">
        <w:r w:rsidRPr="00C92BDF">
          <w:rPr>
            <w:rFonts w:ascii="Times New Roman" w:eastAsia="Times New Roman" w:hAnsi="Times New Roman" w:cs="Times New Roman"/>
            <w:color w:val="0000FF"/>
            <w:u w:val="single"/>
            <w:lang w:val="lt-LT"/>
          </w:rPr>
          <w:t>http://www.vvkt.lt/</w:t>
        </w:r>
      </w:hyperlink>
    </w:p>
    <w:p w14:paraId="7A730513" w14:textId="77777777" w:rsidR="004125E7" w:rsidRDefault="004125E7" w:rsidP="004125E7">
      <w:pPr>
        <w:rPr>
          <w:rFonts w:ascii="Times New Roman" w:eastAsia="Times New Roman" w:hAnsi="Times New Roman" w:cs="Times New Roman"/>
          <w:color w:val="0000FF"/>
          <w:u w:val="single"/>
          <w:lang w:val="lt-LT"/>
        </w:rPr>
      </w:pPr>
      <w:r>
        <w:rPr>
          <w:rFonts w:ascii="Times New Roman" w:eastAsia="Times New Roman" w:hAnsi="Times New Roman" w:cs="Times New Roman"/>
          <w:color w:val="0000FF"/>
          <w:u w:val="single"/>
          <w:lang w:val="lt-LT"/>
        </w:rPr>
        <w:br w:type="page"/>
      </w:r>
    </w:p>
    <w:p w14:paraId="2996A0E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2A70F6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E062A86"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D9A1D30"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C5E915A"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2FB1E82"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CE41E2"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1C26115"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9131E45"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D7D2D63"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42ED27"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90E83B"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229EAF6"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D27BCCD"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882F1B8"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27FF33D"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1A34B5E"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8F37AE"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57E2A8"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39F15B6"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108FF4"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B6F5D41"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A5969BF" w14:textId="77777777" w:rsidR="004125E7"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33A83DA"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II PRIEDAS</w:t>
      </w:r>
    </w:p>
    <w:p w14:paraId="36E1164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42000E6"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REGISTRACIJOS SĄLYGOS</w:t>
      </w:r>
    </w:p>
    <w:p w14:paraId="0ACF5B5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FF0B02A" w14:textId="77777777" w:rsidR="004125E7" w:rsidRPr="00C92BDF" w:rsidRDefault="004125E7" w:rsidP="004125E7">
      <w:pPr>
        <w:tabs>
          <w:tab w:val="left" w:pos="1701"/>
        </w:tabs>
        <w:spacing w:after="0" w:line="240" w:lineRule="auto"/>
        <w:ind w:left="1701" w:hanging="567"/>
        <w:rPr>
          <w:rFonts w:ascii="Times New Roman" w:eastAsia="Times New Roman" w:hAnsi="Times New Roman" w:cs="Times New Roman"/>
          <w:b/>
          <w:lang w:val="lt-LT"/>
        </w:rPr>
      </w:pPr>
      <w:r w:rsidRPr="00C92BDF">
        <w:rPr>
          <w:rFonts w:ascii="Times New Roman" w:eastAsia="Times New Roman" w:hAnsi="Times New Roman" w:cs="Times New Roman"/>
          <w:b/>
          <w:lang w:val="lt-LT"/>
        </w:rPr>
        <w:t>A.</w:t>
      </w:r>
      <w:r w:rsidRPr="00C92BDF">
        <w:rPr>
          <w:rFonts w:ascii="Times New Roman" w:eastAsia="Times New Roman" w:hAnsi="Times New Roman" w:cs="Times New Roman"/>
          <w:b/>
          <w:lang w:val="lt-LT"/>
        </w:rPr>
        <w:tab/>
        <w:t>GAMINTOJAS (-AI), ATSAKINGAS (-I) UŽ SERIJŲ IŠLEIDIMĄ</w:t>
      </w:r>
    </w:p>
    <w:p w14:paraId="5FA309A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B5658B" w14:textId="77777777" w:rsidR="004125E7" w:rsidRPr="00C92BDF" w:rsidRDefault="004125E7" w:rsidP="004125E7">
      <w:pPr>
        <w:tabs>
          <w:tab w:val="left" w:pos="1701"/>
        </w:tabs>
        <w:spacing w:after="0" w:line="240" w:lineRule="auto"/>
        <w:ind w:left="1701" w:hanging="567"/>
        <w:rPr>
          <w:rFonts w:ascii="Times New Roman" w:eastAsia="Times New Roman" w:hAnsi="Times New Roman" w:cs="Times New Roman"/>
          <w:b/>
          <w:lang w:val="lt-LT"/>
        </w:rPr>
      </w:pPr>
      <w:r w:rsidRPr="00C92BDF">
        <w:rPr>
          <w:rFonts w:ascii="Times New Roman" w:eastAsia="Times New Roman" w:hAnsi="Times New Roman" w:cs="Times New Roman"/>
          <w:b/>
          <w:lang w:val="lt-LT"/>
        </w:rPr>
        <w:t>B.</w:t>
      </w:r>
      <w:r w:rsidRPr="00C92BDF">
        <w:rPr>
          <w:rFonts w:ascii="Times New Roman" w:eastAsia="Times New Roman" w:hAnsi="Times New Roman" w:cs="Times New Roman"/>
          <w:b/>
          <w:lang w:val="lt-LT"/>
        </w:rPr>
        <w:tab/>
        <w:t>TIEKIMO IR VARTOJIMO SĄLYGOS AR APRIBOJIMAI</w:t>
      </w:r>
    </w:p>
    <w:p w14:paraId="2605493C" w14:textId="77777777" w:rsidR="004125E7" w:rsidRPr="00C92BDF" w:rsidRDefault="004125E7" w:rsidP="004125E7">
      <w:pPr>
        <w:tabs>
          <w:tab w:val="left" w:pos="1701"/>
        </w:tabs>
        <w:spacing w:after="0" w:line="240" w:lineRule="auto"/>
        <w:ind w:left="1701" w:hanging="567"/>
        <w:rPr>
          <w:rFonts w:ascii="Times New Roman" w:eastAsia="Times New Roman" w:hAnsi="Times New Roman" w:cs="Times New Roman"/>
          <w:b/>
          <w:lang w:val="lt-LT"/>
        </w:rPr>
      </w:pPr>
    </w:p>
    <w:p w14:paraId="33D73E11" w14:textId="77777777" w:rsidR="004125E7" w:rsidRPr="00C92BDF" w:rsidRDefault="004125E7" w:rsidP="004125E7">
      <w:pPr>
        <w:spacing w:after="0" w:line="240" w:lineRule="auto"/>
        <w:rPr>
          <w:rFonts w:ascii="Times New Roman" w:eastAsia="Times New Roman" w:hAnsi="Times New Roman" w:cs="Times New Roman"/>
          <w:b/>
          <w:lang w:val="lt-LT"/>
        </w:rPr>
      </w:pPr>
    </w:p>
    <w:p w14:paraId="6374DFA6"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lang w:val="lt-LT"/>
        </w:rPr>
        <w:br w:type="page"/>
      </w:r>
      <w:r w:rsidRPr="00C92BDF">
        <w:rPr>
          <w:rFonts w:ascii="Times New Roman" w:eastAsia="Times New Roman" w:hAnsi="Times New Roman" w:cs="Times New Roman"/>
          <w:b/>
          <w:lang w:val="lt-LT"/>
        </w:rPr>
        <w:lastRenderedPageBreak/>
        <w:t>A.</w:t>
      </w:r>
      <w:r w:rsidRPr="00C92BDF">
        <w:rPr>
          <w:rFonts w:ascii="Times New Roman" w:eastAsia="Times New Roman" w:hAnsi="Times New Roman" w:cs="Times New Roman"/>
          <w:b/>
          <w:lang w:val="lt-LT"/>
        </w:rPr>
        <w:tab/>
        <w:t>GAMINTOJAS (-AI), ATSAKINGAS (-I) UŽ SERIJŲ IŠLEIDIMĄ</w:t>
      </w:r>
    </w:p>
    <w:p w14:paraId="15B4DC7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67A900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u w:val="single"/>
          <w:lang w:val="lt-LT"/>
        </w:rPr>
      </w:pPr>
      <w:r w:rsidRPr="00C92BDF">
        <w:rPr>
          <w:rFonts w:ascii="Times New Roman" w:eastAsia="Times New Roman" w:hAnsi="Times New Roman" w:cs="Times New Roman"/>
          <w:u w:val="single"/>
          <w:lang w:val="lt-LT"/>
        </w:rPr>
        <w:t>Gamintojų, atsakingų už serijų išleidimą, pavadinimai ir adresai</w:t>
      </w:r>
    </w:p>
    <w:p w14:paraId="36F5463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A93CA13"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Daiichi Sankyo Europe GmbH </w:t>
      </w:r>
    </w:p>
    <w:p w14:paraId="12BC4526"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Luitpoldstrasse 1, 85276 Pfaffenhofen, Vokietija</w:t>
      </w:r>
    </w:p>
    <w:p w14:paraId="5BB57B39" w14:textId="77777777" w:rsidR="004125E7" w:rsidRPr="00C92BDF" w:rsidRDefault="004125E7" w:rsidP="004125E7">
      <w:pPr>
        <w:spacing w:after="0" w:line="240" w:lineRule="auto"/>
        <w:rPr>
          <w:rFonts w:ascii="Times New Roman" w:eastAsia="Times New Roman" w:hAnsi="Times New Roman" w:cs="Times New Roman"/>
          <w:lang w:val="lt-LT"/>
        </w:rPr>
      </w:pPr>
    </w:p>
    <w:p w14:paraId="5C45314B"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14:paraId="6580E030" w14:textId="77777777" w:rsidR="004125E7" w:rsidRPr="00C92BDF" w:rsidRDefault="004125E7" w:rsidP="004125E7">
      <w:pPr>
        <w:spacing w:after="0" w:line="240" w:lineRule="auto"/>
        <w:rPr>
          <w:rFonts w:ascii="Times New Roman" w:eastAsia="Times New Roman" w:hAnsi="Times New Roman" w:cs="Times New Roman"/>
          <w:lang w:val="lt-LT"/>
        </w:rPr>
      </w:pPr>
    </w:p>
    <w:p w14:paraId="1C257864"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Berlin-Chemie AG</w:t>
      </w:r>
    </w:p>
    <w:p w14:paraId="64885DD5"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Glienicker Weg 125, 12489 Berlin, Vokietija</w:t>
      </w:r>
    </w:p>
    <w:p w14:paraId="5E84957C" w14:textId="77777777" w:rsidR="004125E7" w:rsidRPr="00C92BDF" w:rsidRDefault="004125E7" w:rsidP="004125E7">
      <w:pPr>
        <w:spacing w:after="0" w:line="240" w:lineRule="auto"/>
        <w:rPr>
          <w:rFonts w:ascii="Times New Roman" w:eastAsia="Times New Roman" w:hAnsi="Times New Roman" w:cs="Times New Roman"/>
          <w:lang w:val="lt-LT"/>
        </w:rPr>
      </w:pPr>
    </w:p>
    <w:p w14:paraId="1F679F79"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14:paraId="655DAE3C" w14:textId="77777777" w:rsidR="004125E7" w:rsidRPr="00C92BDF" w:rsidRDefault="004125E7" w:rsidP="004125E7">
      <w:pPr>
        <w:spacing w:after="0" w:line="240" w:lineRule="auto"/>
        <w:rPr>
          <w:rFonts w:ascii="Times New Roman" w:eastAsia="Times New Roman" w:hAnsi="Times New Roman" w:cs="Times New Roman"/>
          <w:lang w:val="lt-LT"/>
        </w:rPr>
      </w:pPr>
    </w:p>
    <w:p w14:paraId="55F2265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Laboratorios Menarini S.A.</w:t>
      </w:r>
    </w:p>
    <w:p w14:paraId="45B68D36"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Alfons XII, 587</w:t>
      </w:r>
    </w:p>
    <w:p w14:paraId="075418C7"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E-08918 Badalona (Barcelona)</w:t>
      </w:r>
    </w:p>
    <w:p w14:paraId="40473AB2" w14:textId="77777777" w:rsidR="004125E7"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Ispanija</w:t>
      </w:r>
    </w:p>
    <w:p w14:paraId="07A3A58B" w14:textId="77777777" w:rsidR="004125E7" w:rsidRDefault="004125E7" w:rsidP="004125E7">
      <w:pPr>
        <w:spacing w:after="0" w:line="240" w:lineRule="auto"/>
        <w:rPr>
          <w:rFonts w:ascii="Times New Roman" w:eastAsia="Times New Roman" w:hAnsi="Times New Roman" w:cs="Times New Roman"/>
          <w:lang w:val="lt-LT"/>
        </w:rPr>
      </w:pPr>
    </w:p>
    <w:p w14:paraId="2C128809" w14:textId="77777777" w:rsidR="004125E7" w:rsidRDefault="004125E7" w:rsidP="004125E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14:paraId="5DF98022" w14:textId="77777777" w:rsidR="004125E7" w:rsidRDefault="004125E7" w:rsidP="004125E7">
      <w:pPr>
        <w:spacing w:after="0" w:line="240" w:lineRule="auto"/>
        <w:rPr>
          <w:rFonts w:ascii="Times New Roman" w:eastAsia="Times New Roman" w:hAnsi="Times New Roman" w:cs="Times New Roman"/>
          <w:lang w:val="lt-LT"/>
        </w:rPr>
      </w:pPr>
    </w:p>
    <w:p w14:paraId="47B58167"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t>Menarini - Von Heyden GmbH</w:t>
      </w:r>
    </w:p>
    <w:p w14:paraId="19321939"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t>Leipziger Strasse 7-13</w:t>
      </w:r>
    </w:p>
    <w:p w14:paraId="31FE5A27"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t>01097 Dresden</w:t>
      </w:r>
    </w:p>
    <w:p w14:paraId="05D557B9" w14:textId="77777777" w:rsidR="004125E7" w:rsidRPr="00C92BDF" w:rsidRDefault="004125E7" w:rsidP="004125E7">
      <w:pPr>
        <w:spacing w:after="0" w:line="240" w:lineRule="auto"/>
        <w:rPr>
          <w:rFonts w:ascii="Times New Roman" w:eastAsia="Times New Roman" w:hAnsi="Times New Roman" w:cs="Times New Roman"/>
          <w:lang w:val="lt-LT"/>
        </w:rPr>
      </w:pPr>
      <w:r w:rsidRPr="00E62BE2">
        <w:rPr>
          <w:rFonts w:ascii="Times New Roman" w:hAnsi="Times New Roman"/>
          <w:lang w:val="sv-SE"/>
        </w:rPr>
        <w:t>Vokietija</w:t>
      </w:r>
    </w:p>
    <w:p w14:paraId="6493079B" w14:textId="77777777" w:rsidR="004125E7" w:rsidRPr="00C92BDF" w:rsidRDefault="004125E7" w:rsidP="004125E7">
      <w:pPr>
        <w:spacing w:after="0" w:line="240" w:lineRule="auto"/>
        <w:rPr>
          <w:rFonts w:ascii="Times New Roman" w:eastAsia="Times New Roman" w:hAnsi="Times New Roman" w:cs="Times New Roman"/>
          <w:lang w:val="lt-LT"/>
        </w:rPr>
      </w:pPr>
    </w:p>
    <w:p w14:paraId="7797B65F" w14:textId="77777777" w:rsidR="004125E7" w:rsidRPr="00C92BDF" w:rsidRDefault="004125E7" w:rsidP="004125E7">
      <w:pPr>
        <w:spacing w:after="0" w:line="240" w:lineRule="auto"/>
        <w:rPr>
          <w:rFonts w:ascii="Times New Roman" w:eastAsia="Times New Roman" w:hAnsi="Times New Roman" w:cs="Times New Roman"/>
          <w:lang w:val="lt-LT"/>
        </w:rPr>
      </w:pPr>
    </w:p>
    <w:p w14:paraId="123C5E63"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Su pakuote pateiktame lapelyje nurodomas gamintojo, atsakingo už konkrečios serijos išleidimą, pavadinimas ir adresas</w:t>
      </w:r>
    </w:p>
    <w:p w14:paraId="30FDC9D1"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334263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2AA531C"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B.</w:t>
      </w:r>
      <w:r w:rsidRPr="00C92BDF">
        <w:rPr>
          <w:rFonts w:ascii="Times New Roman" w:eastAsia="Times New Roman" w:hAnsi="Times New Roman" w:cs="Times New Roman"/>
          <w:b/>
          <w:kern w:val="28"/>
          <w:lang w:val="lt-LT"/>
        </w:rPr>
        <w:tab/>
        <w:t>TIEKIMO IR VARTOJIMO SĄLYGOS AR APRIBOJIMAI</w:t>
      </w:r>
    </w:p>
    <w:p w14:paraId="6B43382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CF22D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Receptinis vaistinis preparatas.</w:t>
      </w:r>
    </w:p>
    <w:p w14:paraId="01785BC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165108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br w:type="page"/>
      </w:r>
    </w:p>
    <w:p w14:paraId="1D379F81"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79EEC706"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58563AB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F172E3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7549C2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3F6F8B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4AFF33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D139A4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4120F9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3EC515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BF885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81C55D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215190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E6EF7A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2201CD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4FEFCC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5336F1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139FD0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8ABF0E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746546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020652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5D6824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150E59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783A440"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III PRIEDAS</w:t>
      </w:r>
    </w:p>
    <w:p w14:paraId="3040E40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4797990"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ŽENKLINIMAS IR PAKUOTĖS LAPELIS</w:t>
      </w:r>
    </w:p>
    <w:p w14:paraId="0339594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br w:type="page"/>
      </w:r>
    </w:p>
    <w:p w14:paraId="4A23A1C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4035CF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01152C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3A0A1B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46896A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B68BF8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88EB6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BBC635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53C5AB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7713BC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E0E3F1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396550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947DB7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4BA038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F25E92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C6D220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1BE4EB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CDF825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5987A6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59DAF9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D6627B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30DAA7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E513FB0"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E054671"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t>A. ŽENKLINIMAS</w:t>
      </w:r>
    </w:p>
    <w:p w14:paraId="7B6C082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br w:type="page"/>
      </w:r>
    </w:p>
    <w:p w14:paraId="7A80EB32"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lastRenderedPageBreak/>
        <w:t>INFORMACIJA ANT IŠORINĖS PAKUOTĖS</w:t>
      </w:r>
    </w:p>
    <w:p w14:paraId="3ECBDE44"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2E1AAF58"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KARTONO DĖŽUTĖ</w:t>
      </w:r>
    </w:p>
    <w:p w14:paraId="50C598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76E2AC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86B4312"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w:t>
      </w:r>
      <w:r w:rsidRPr="00C92BDF">
        <w:rPr>
          <w:rFonts w:ascii="Times New Roman" w:eastAsia="Times New Roman" w:hAnsi="Times New Roman" w:cs="Times New Roman"/>
          <w:b/>
          <w:lang w:val="lt-LT"/>
        </w:rPr>
        <w:tab/>
        <w:t>VAISTINIO PREPARATO PAVADINIMAS</w:t>
      </w:r>
    </w:p>
    <w:p w14:paraId="75F8E74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8CD4B2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dengtos tabletės</w:t>
      </w:r>
    </w:p>
    <w:p w14:paraId="26CA338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Mesar 20 mg plėvele dengtos tabletės</w:t>
      </w:r>
    </w:p>
    <w:p w14:paraId="36267EC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highlight w:val="darkGray"/>
          <w:lang w:val="lt-LT"/>
        </w:rPr>
        <w:t>Mesar 40 mg plėvele dengtos tabletės</w:t>
      </w:r>
    </w:p>
    <w:p w14:paraId="7DDA8AD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40DE95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Olmesartanum medoxomilum </w:t>
      </w:r>
    </w:p>
    <w:p w14:paraId="64BDC37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F01692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42CCA39"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2.</w:t>
      </w:r>
      <w:r w:rsidRPr="00C92BDF">
        <w:rPr>
          <w:rFonts w:ascii="Times New Roman" w:eastAsia="Times New Roman" w:hAnsi="Times New Roman" w:cs="Times New Roman"/>
          <w:b/>
          <w:lang w:val="lt-LT"/>
        </w:rPr>
        <w:tab/>
        <w:t>VEIKLIOJI MEDŽIAGA IR JOS KIEKIS</w:t>
      </w:r>
    </w:p>
    <w:p w14:paraId="5556D59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F4D808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Vienoje plėvele dengtoje tabletėje yra 10 mg olmesartano medoksomilio.</w:t>
      </w:r>
    </w:p>
    <w:p w14:paraId="5B48F0D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Vienoje plėvele dengtoje tabletėje yra 20 mg olmesartano medoksomilio.</w:t>
      </w:r>
    </w:p>
    <w:p w14:paraId="184B753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darkGray"/>
          <w:lang w:val="lt-LT"/>
        </w:rPr>
        <w:t>Vienoje plėvele dengtoje tabletėje yra 40 mg olmesartano medoksomilio.</w:t>
      </w:r>
    </w:p>
    <w:p w14:paraId="21DD93E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C7FF09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33DAB5E"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3.</w:t>
      </w:r>
      <w:r w:rsidRPr="00C92BDF">
        <w:rPr>
          <w:rFonts w:ascii="Times New Roman" w:eastAsia="Times New Roman" w:hAnsi="Times New Roman" w:cs="Times New Roman"/>
          <w:b/>
          <w:lang w:val="lt-LT"/>
        </w:rPr>
        <w:tab/>
        <w:t>PAGALBINIŲ MEDŽIAGŲ SĄRAŠAS</w:t>
      </w:r>
    </w:p>
    <w:p w14:paraId="4FE41F2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D8CB5A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Sudėtyje yra laktozės monohidrato.</w:t>
      </w:r>
    </w:p>
    <w:p w14:paraId="1A2172E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041DA6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964EDD2"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4.</w:t>
      </w:r>
      <w:r w:rsidRPr="00C92BDF">
        <w:rPr>
          <w:rFonts w:ascii="Times New Roman" w:eastAsia="Times New Roman" w:hAnsi="Times New Roman" w:cs="Times New Roman"/>
          <w:b/>
          <w:lang w:val="lt-LT"/>
        </w:rPr>
        <w:tab/>
        <w:t>FARMACINĖ FORMA IR KIEKIS PAKUOTĖJE</w:t>
      </w:r>
    </w:p>
    <w:p w14:paraId="40047EE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785808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14 plėvele dengtų tablečių</w:t>
      </w:r>
    </w:p>
    <w:p w14:paraId="27A039E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 xml:space="preserve">28 plėvele dengtos tabletės </w:t>
      </w:r>
    </w:p>
    <w:p w14:paraId="48DAD0C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 xml:space="preserve">56 plėvele dengtos tabletės </w:t>
      </w:r>
    </w:p>
    <w:p w14:paraId="0D88250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98 plėvele dengtos tabletės</w:t>
      </w:r>
      <w:r w:rsidRPr="00C92BDF">
        <w:rPr>
          <w:rFonts w:ascii="Times New Roman" w:eastAsia="Times New Roman" w:hAnsi="Times New Roman" w:cs="Times New Roman"/>
          <w:lang w:val="lt-LT"/>
        </w:rPr>
        <w:t xml:space="preserve"> </w:t>
      </w:r>
    </w:p>
    <w:p w14:paraId="3B025DD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4D7773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90679D0"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5.</w:t>
      </w:r>
      <w:r w:rsidRPr="00C92BDF">
        <w:rPr>
          <w:rFonts w:ascii="Times New Roman" w:eastAsia="Times New Roman" w:hAnsi="Times New Roman" w:cs="Times New Roman"/>
          <w:b/>
          <w:lang w:val="lt-LT"/>
        </w:rPr>
        <w:tab/>
        <w:t>VARTOJIMO METODAS IR BŪDAS (-AI)</w:t>
      </w:r>
    </w:p>
    <w:p w14:paraId="487BF6C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6B8194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Vartoti per burną.</w:t>
      </w:r>
    </w:p>
    <w:p w14:paraId="6FAF57F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Prieš vartojimą perskaitykite pakuotės lapelį.</w:t>
      </w:r>
    </w:p>
    <w:p w14:paraId="34CF8DE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982CC1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9DBDEDA"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6.</w:t>
      </w:r>
      <w:r w:rsidRPr="00C92BDF">
        <w:rPr>
          <w:rFonts w:ascii="Times New Roman" w:eastAsia="Times New Roman" w:hAnsi="Times New Roman" w:cs="Times New Roman"/>
          <w:b/>
          <w:lang w:val="lt-LT"/>
        </w:rPr>
        <w:tab/>
        <w:t>SPECIALUS ĮSPĖJIMAS, KAD VAISTINĮ PREPARATĄ BŪTINA LAIKYTI VAIKAMS NEPASTEBIMOJE IR NEPASIEKIAMOJE VIETOJE</w:t>
      </w:r>
    </w:p>
    <w:p w14:paraId="130124E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highlight w:val="yellow"/>
          <w:lang w:val="lt-LT"/>
        </w:rPr>
      </w:pPr>
    </w:p>
    <w:p w14:paraId="2DF1148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Laikyti vaikams nepastebimoje ir nepasiekiamoje vietoje.</w:t>
      </w:r>
    </w:p>
    <w:p w14:paraId="14AE10E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4CB6A2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AB413CA"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7.</w:t>
      </w:r>
      <w:r w:rsidRPr="00C92BDF">
        <w:rPr>
          <w:rFonts w:ascii="Times New Roman" w:eastAsia="Times New Roman" w:hAnsi="Times New Roman" w:cs="Times New Roman"/>
          <w:b/>
          <w:lang w:val="lt-LT"/>
        </w:rPr>
        <w:tab/>
        <w:t>KITAS (-I) SPECIALUS (-ŪS) ĮSPĖJIMAS (-AI) (JEI REIKIA)</w:t>
      </w:r>
    </w:p>
    <w:p w14:paraId="2967FA1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4F1DF5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E118258"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8.</w:t>
      </w:r>
      <w:r w:rsidRPr="00C92BDF">
        <w:rPr>
          <w:rFonts w:ascii="Times New Roman" w:eastAsia="Times New Roman" w:hAnsi="Times New Roman" w:cs="Times New Roman"/>
          <w:b/>
          <w:lang w:val="lt-LT"/>
        </w:rPr>
        <w:tab/>
        <w:t>TINKAMUMO LAIKAS</w:t>
      </w:r>
    </w:p>
    <w:p w14:paraId="20C221D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29A087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Tinka iki {mm/MMMM}</w:t>
      </w:r>
    </w:p>
    <w:p w14:paraId="7A433CE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0855AC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6F8D99E"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9.</w:t>
      </w:r>
      <w:r w:rsidRPr="00C92BDF">
        <w:rPr>
          <w:rFonts w:ascii="Times New Roman" w:eastAsia="Times New Roman" w:hAnsi="Times New Roman" w:cs="Times New Roman"/>
          <w:b/>
          <w:lang w:val="lt-LT"/>
        </w:rPr>
        <w:tab/>
        <w:t>SPECIALIOS LAIKYMO SĄLYGOS</w:t>
      </w:r>
    </w:p>
    <w:p w14:paraId="63C13AE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6FD46E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D952C9C"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10.</w:t>
      </w:r>
      <w:r w:rsidRPr="00C92BDF">
        <w:rPr>
          <w:rFonts w:ascii="Times New Roman" w:eastAsia="Times New Roman" w:hAnsi="Times New Roman" w:cs="Times New Roman"/>
          <w:b/>
          <w:lang w:val="lt-LT"/>
        </w:rPr>
        <w:tab/>
        <w:t>SPECIALIOS ATSARGUMO PRIEMONĖS DĖL NESUVARTOTO VAISTINIO PREPARATO AR JO ATLIEKŲ TVARKYMO (JEI REIKIA)</w:t>
      </w:r>
    </w:p>
    <w:p w14:paraId="1EDD34B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73C145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6E6235A"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11.</w:t>
      </w:r>
      <w:r w:rsidRPr="00C92BDF">
        <w:rPr>
          <w:rFonts w:ascii="Times New Roman" w:eastAsia="Times New Roman" w:hAnsi="Times New Roman" w:cs="Times New Roman"/>
          <w:b/>
          <w:lang w:val="lt-LT"/>
        </w:rPr>
        <w:tab/>
        <w:t>REGISTRUOTOJOPAVADINIMAS IR ADRESAS</w:t>
      </w:r>
    </w:p>
    <w:p w14:paraId="05E71F4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EA853CB"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Menarini International Operations Luxembourg S.A.</w:t>
      </w:r>
    </w:p>
    <w:p w14:paraId="6AA35A8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snapToGrid w:val="0"/>
          <w:lang w:val="lt-LT"/>
        </w:rPr>
      </w:pPr>
      <w:r w:rsidRPr="00C92BDF">
        <w:rPr>
          <w:rFonts w:ascii="Times New Roman" w:eastAsia="Times New Roman" w:hAnsi="Times New Roman" w:cs="Times New Roman"/>
          <w:snapToGrid w:val="0"/>
          <w:lang w:val="lt-LT"/>
        </w:rPr>
        <w:t xml:space="preserve">1, Avenue de la Gare </w:t>
      </w:r>
    </w:p>
    <w:p w14:paraId="17D4C75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snapToGrid w:val="0"/>
          <w:lang w:val="lt-LT"/>
        </w:rPr>
      </w:pPr>
      <w:r w:rsidRPr="00C92BDF">
        <w:rPr>
          <w:rFonts w:ascii="Times New Roman" w:eastAsia="Times New Roman" w:hAnsi="Times New Roman" w:cs="Times New Roman"/>
          <w:snapToGrid w:val="0"/>
          <w:lang w:val="lt-LT"/>
        </w:rPr>
        <w:t xml:space="preserve">L-1611 </w:t>
      </w:r>
      <w:r w:rsidRPr="00C92BDF">
        <w:rPr>
          <w:rFonts w:ascii="Times New Roman" w:eastAsia="Times New Roman" w:hAnsi="Times New Roman" w:cs="Times New Roman"/>
          <w:lang w:val="lt-LT"/>
        </w:rPr>
        <w:t>Luxembourg</w:t>
      </w:r>
    </w:p>
    <w:p w14:paraId="58EFDCF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snapToGrid w:val="0"/>
          <w:lang w:val="lt-LT"/>
        </w:rPr>
        <w:t>Liuksemburgas</w:t>
      </w:r>
      <w:r w:rsidRPr="00C92BDF">
        <w:rPr>
          <w:rFonts w:ascii="Times New Roman" w:eastAsia="Times New Roman" w:hAnsi="Times New Roman" w:cs="Times New Roman"/>
          <w:lang w:val="lt-LT"/>
        </w:rPr>
        <w:t xml:space="preserve"> </w:t>
      </w:r>
    </w:p>
    <w:p w14:paraId="04FE09A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0C58F3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614A76B"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12.</w:t>
      </w:r>
      <w:r w:rsidRPr="00C92BDF">
        <w:rPr>
          <w:rFonts w:ascii="Times New Roman" w:eastAsia="Times New Roman" w:hAnsi="Times New Roman" w:cs="Times New Roman"/>
          <w:b/>
          <w:lang w:val="lt-LT"/>
        </w:rPr>
        <w:tab/>
      </w:r>
      <w:r w:rsidRPr="00E62BE2">
        <w:rPr>
          <w:rFonts w:ascii="Times New Roman" w:hAnsi="Times New Roman"/>
          <w:b/>
          <w:lang w:val="lt-LT"/>
        </w:rPr>
        <w:t>REGISTRACIJOS PAŽYMĖJIMO</w:t>
      </w:r>
      <w:r w:rsidRPr="00C92BDF">
        <w:rPr>
          <w:rFonts w:ascii="Times New Roman" w:eastAsia="Times New Roman" w:hAnsi="Times New Roman" w:cs="Times New Roman"/>
          <w:b/>
          <w:lang w:val="lt-LT"/>
        </w:rPr>
        <w:t>NUMERIS (-IAI)</w:t>
      </w:r>
    </w:p>
    <w:p w14:paraId="71679DA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F18953E"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Mesar 10 mg </w:t>
      </w:r>
    </w:p>
    <w:p w14:paraId="5D22498F"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N14 – LT/1/04/3171/001</w:t>
      </w:r>
    </w:p>
    <w:p w14:paraId="076CCB38"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N28 – LT/1/04/3171/002</w:t>
      </w:r>
    </w:p>
    <w:p w14:paraId="73BCD5C5"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N56 – LT/1/04/3171/003</w:t>
      </w:r>
    </w:p>
    <w:p w14:paraId="2E61C9C6"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N98 – LT/1/04/3171/004</w:t>
      </w:r>
    </w:p>
    <w:p w14:paraId="78867749" w14:textId="77777777" w:rsidR="004125E7" w:rsidRPr="00C92BDF" w:rsidRDefault="004125E7" w:rsidP="004125E7">
      <w:pPr>
        <w:spacing w:after="0" w:line="240" w:lineRule="auto"/>
        <w:rPr>
          <w:rFonts w:ascii="Times New Roman" w:eastAsia="Times New Roman" w:hAnsi="Times New Roman" w:cs="Times New Roman"/>
          <w:lang w:val="lt-LT"/>
        </w:rPr>
      </w:pPr>
    </w:p>
    <w:p w14:paraId="599B1ADD" w14:textId="77777777" w:rsidR="004125E7" w:rsidRPr="00C92BDF" w:rsidRDefault="004125E7" w:rsidP="004125E7">
      <w:pPr>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 xml:space="preserve">Mesar 20 mg </w:t>
      </w:r>
    </w:p>
    <w:p w14:paraId="2E626721" w14:textId="77777777" w:rsidR="004125E7" w:rsidRPr="00C92BDF" w:rsidRDefault="004125E7" w:rsidP="004125E7">
      <w:pPr>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N14 – LT/1/04/3171/005</w:t>
      </w:r>
    </w:p>
    <w:p w14:paraId="101B2479" w14:textId="77777777" w:rsidR="004125E7" w:rsidRPr="00C92BDF" w:rsidRDefault="004125E7" w:rsidP="004125E7">
      <w:pPr>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N28 – LT/1/04/3171/006</w:t>
      </w:r>
    </w:p>
    <w:p w14:paraId="7C52F45E" w14:textId="77777777" w:rsidR="004125E7" w:rsidRPr="00C92BDF" w:rsidRDefault="004125E7" w:rsidP="004125E7">
      <w:pPr>
        <w:spacing w:after="0" w:line="240" w:lineRule="auto"/>
        <w:rPr>
          <w:rFonts w:ascii="Times New Roman" w:eastAsia="Times New Roman" w:hAnsi="Times New Roman" w:cs="Times New Roman"/>
          <w:highlight w:val="lightGray"/>
          <w:lang w:val="lt-LT"/>
        </w:rPr>
      </w:pPr>
      <w:r w:rsidRPr="00C92BDF">
        <w:rPr>
          <w:rFonts w:ascii="Times New Roman" w:eastAsia="Times New Roman" w:hAnsi="Times New Roman" w:cs="Times New Roman"/>
          <w:highlight w:val="lightGray"/>
          <w:lang w:val="lt-LT"/>
        </w:rPr>
        <w:t>N56 – LT/1/04/3171/007</w:t>
      </w:r>
    </w:p>
    <w:p w14:paraId="1575C61E"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N98 – LT/1/04/3171/008</w:t>
      </w:r>
    </w:p>
    <w:p w14:paraId="623E2C10" w14:textId="77777777" w:rsidR="004125E7" w:rsidRPr="00C92BDF" w:rsidRDefault="004125E7" w:rsidP="004125E7">
      <w:pPr>
        <w:spacing w:after="0" w:line="240" w:lineRule="auto"/>
        <w:rPr>
          <w:rFonts w:ascii="Times New Roman" w:eastAsia="Times New Roman" w:hAnsi="Times New Roman" w:cs="Times New Roman"/>
          <w:lang w:val="lt-LT"/>
        </w:rPr>
      </w:pPr>
    </w:p>
    <w:p w14:paraId="062D4060" w14:textId="77777777" w:rsidR="004125E7" w:rsidRPr="00C92BDF" w:rsidRDefault="004125E7" w:rsidP="004125E7">
      <w:pPr>
        <w:spacing w:after="0" w:line="240" w:lineRule="auto"/>
        <w:rPr>
          <w:rFonts w:ascii="Times New Roman" w:eastAsia="Times New Roman" w:hAnsi="Times New Roman" w:cs="Times New Roman"/>
          <w:highlight w:val="darkGray"/>
          <w:lang w:val="lt-LT"/>
        </w:rPr>
      </w:pPr>
      <w:r w:rsidRPr="00C92BDF">
        <w:rPr>
          <w:rFonts w:ascii="Times New Roman" w:eastAsia="Times New Roman" w:hAnsi="Times New Roman" w:cs="Times New Roman"/>
          <w:highlight w:val="darkGray"/>
          <w:lang w:val="lt-LT"/>
        </w:rPr>
        <w:t xml:space="preserve">Mesar 40 mg </w:t>
      </w:r>
    </w:p>
    <w:p w14:paraId="110B5F32" w14:textId="77777777" w:rsidR="004125E7" w:rsidRPr="00C92BDF" w:rsidRDefault="004125E7" w:rsidP="004125E7">
      <w:pPr>
        <w:spacing w:after="0" w:line="240" w:lineRule="auto"/>
        <w:rPr>
          <w:rFonts w:ascii="Times New Roman" w:eastAsia="Times New Roman" w:hAnsi="Times New Roman" w:cs="Times New Roman"/>
          <w:highlight w:val="darkGray"/>
          <w:lang w:val="lt-LT"/>
        </w:rPr>
      </w:pPr>
      <w:r w:rsidRPr="00C92BDF">
        <w:rPr>
          <w:rFonts w:ascii="Times New Roman" w:eastAsia="Times New Roman" w:hAnsi="Times New Roman" w:cs="Times New Roman"/>
          <w:highlight w:val="darkGray"/>
          <w:lang w:val="lt-LT"/>
        </w:rPr>
        <w:t>N14 – LT/1/04/3171/009</w:t>
      </w:r>
    </w:p>
    <w:p w14:paraId="7C4FBD1A" w14:textId="77777777" w:rsidR="004125E7" w:rsidRPr="00C92BDF" w:rsidRDefault="004125E7" w:rsidP="004125E7">
      <w:pPr>
        <w:spacing w:after="0" w:line="240" w:lineRule="auto"/>
        <w:rPr>
          <w:rFonts w:ascii="Times New Roman" w:eastAsia="Times New Roman" w:hAnsi="Times New Roman" w:cs="Times New Roman"/>
          <w:highlight w:val="darkGray"/>
          <w:lang w:val="lt-LT"/>
        </w:rPr>
      </w:pPr>
      <w:r w:rsidRPr="00C92BDF">
        <w:rPr>
          <w:rFonts w:ascii="Times New Roman" w:eastAsia="Times New Roman" w:hAnsi="Times New Roman" w:cs="Times New Roman"/>
          <w:highlight w:val="darkGray"/>
          <w:lang w:val="lt-LT"/>
        </w:rPr>
        <w:t>N28 – LT/1/04/3171/010</w:t>
      </w:r>
    </w:p>
    <w:p w14:paraId="1A169AA4" w14:textId="77777777" w:rsidR="004125E7" w:rsidRPr="00C92BDF" w:rsidRDefault="004125E7" w:rsidP="004125E7">
      <w:pPr>
        <w:spacing w:after="0" w:line="240" w:lineRule="auto"/>
        <w:rPr>
          <w:rFonts w:ascii="Times New Roman" w:eastAsia="Times New Roman" w:hAnsi="Times New Roman" w:cs="Times New Roman"/>
          <w:highlight w:val="darkGray"/>
          <w:lang w:val="lt-LT"/>
        </w:rPr>
      </w:pPr>
      <w:r w:rsidRPr="00C92BDF">
        <w:rPr>
          <w:rFonts w:ascii="Times New Roman" w:eastAsia="Times New Roman" w:hAnsi="Times New Roman" w:cs="Times New Roman"/>
          <w:highlight w:val="darkGray"/>
          <w:lang w:val="lt-LT"/>
        </w:rPr>
        <w:t>N56 – LT/1/04/3171/011</w:t>
      </w:r>
    </w:p>
    <w:p w14:paraId="7037335B"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darkGray"/>
          <w:lang w:val="lt-LT"/>
        </w:rPr>
        <w:t>N98 – LT/1/04/3171/012</w:t>
      </w:r>
    </w:p>
    <w:p w14:paraId="10BA2997" w14:textId="77777777" w:rsidR="004125E7" w:rsidRPr="00C92BDF" w:rsidRDefault="004125E7" w:rsidP="004125E7">
      <w:pPr>
        <w:spacing w:after="0" w:line="240" w:lineRule="auto"/>
        <w:rPr>
          <w:rFonts w:ascii="Times New Roman" w:eastAsia="Times New Roman" w:hAnsi="Times New Roman" w:cs="Times New Roman"/>
          <w:lang w:val="lt-LT"/>
        </w:rPr>
      </w:pPr>
    </w:p>
    <w:p w14:paraId="50DA3F5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FBC3934"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13.</w:t>
      </w:r>
      <w:r w:rsidRPr="00C92BDF">
        <w:rPr>
          <w:rFonts w:ascii="Times New Roman" w:eastAsia="Times New Roman" w:hAnsi="Times New Roman" w:cs="Times New Roman"/>
          <w:b/>
          <w:lang w:val="lt-LT"/>
        </w:rPr>
        <w:tab/>
        <w:t>SERIJOS NUMERIS</w:t>
      </w:r>
    </w:p>
    <w:p w14:paraId="52EB68D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C22D27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Serija</w:t>
      </w:r>
    </w:p>
    <w:p w14:paraId="4EF19D9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6385D3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B5CBDE7"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14.</w:t>
      </w:r>
      <w:r w:rsidRPr="00C92BDF">
        <w:rPr>
          <w:rFonts w:ascii="Times New Roman" w:eastAsia="Times New Roman" w:hAnsi="Times New Roman" w:cs="Times New Roman"/>
          <w:b/>
          <w:lang w:val="lt-LT"/>
        </w:rPr>
        <w:tab/>
        <w:t>PARDAVIMO (IŠDAVIMO) TVARKA</w:t>
      </w:r>
    </w:p>
    <w:p w14:paraId="0FEE263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E3D5AB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Receptinis vaist</w:t>
      </w:r>
      <w:r>
        <w:rPr>
          <w:rFonts w:ascii="Times New Roman" w:eastAsia="Times New Roman" w:hAnsi="Times New Roman" w:cs="Times New Roman"/>
          <w:lang w:val="lt-LT"/>
        </w:rPr>
        <w:t>as</w:t>
      </w:r>
      <w:r w:rsidRPr="00C92BDF">
        <w:rPr>
          <w:rFonts w:ascii="Times New Roman" w:eastAsia="Times New Roman" w:hAnsi="Times New Roman" w:cs="Times New Roman"/>
          <w:lang w:val="lt-LT"/>
        </w:rPr>
        <w:t>.</w:t>
      </w:r>
    </w:p>
    <w:p w14:paraId="52CDB13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8144E3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E088504" w14:textId="77777777" w:rsidR="004125E7" w:rsidRPr="00C92BDF" w:rsidRDefault="004125E7" w:rsidP="004125E7">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15.</w:t>
      </w:r>
      <w:r w:rsidRPr="00C92BDF">
        <w:rPr>
          <w:rFonts w:ascii="Times New Roman" w:eastAsia="Times New Roman" w:hAnsi="Times New Roman" w:cs="Times New Roman"/>
          <w:b/>
          <w:lang w:val="lt-LT"/>
        </w:rPr>
        <w:tab/>
        <w:t>VARTOJIMO INSTRUKCIJA</w:t>
      </w:r>
    </w:p>
    <w:p w14:paraId="27E3D4C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A66A68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F0FEA93"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16.</w:t>
      </w:r>
      <w:r w:rsidRPr="00C92BDF">
        <w:rPr>
          <w:rFonts w:ascii="Times New Roman" w:eastAsia="Times New Roman" w:hAnsi="Times New Roman" w:cs="Times New Roman"/>
          <w:b/>
          <w:lang w:val="lt-LT"/>
        </w:rPr>
        <w:tab/>
        <w:t>INFORMACIJA BRAILIO RAŠTU</w:t>
      </w:r>
    </w:p>
    <w:p w14:paraId="20A6FF9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1A7226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w:t>
      </w:r>
    </w:p>
    <w:p w14:paraId="43DEF91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Mesar 20 mg</w:t>
      </w:r>
    </w:p>
    <w:p w14:paraId="5C06F25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darkGray"/>
          <w:lang w:val="lt-LT"/>
        </w:rPr>
        <w:t>Mesar 40 mg</w:t>
      </w:r>
    </w:p>
    <w:p w14:paraId="118C180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6817F6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1019697" w14:textId="77777777" w:rsidR="004125E7" w:rsidRPr="00C92BDF" w:rsidRDefault="004125E7" w:rsidP="004125E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val="lt-LT"/>
        </w:rPr>
      </w:pPr>
      <w:r w:rsidRPr="00C92BDF">
        <w:rPr>
          <w:rFonts w:ascii="Times New Roman" w:eastAsia="Times New Roman" w:hAnsi="Times New Roman" w:cs="Times New Roman"/>
          <w:b/>
          <w:noProof/>
          <w:szCs w:val="24"/>
          <w:lang w:val="lt-LT"/>
        </w:rPr>
        <w:lastRenderedPageBreak/>
        <w:t>17.</w:t>
      </w:r>
      <w:r w:rsidRPr="00C92BDF">
        <w:rPr>
          <w:rFonts w:ascii="Times New Roman" w:eastAsia="Times New Roman" w:hAnsi="Times New Roman" w:cs="Times New Roman"/>
          <w:b/>
          <w:noProof/>
          <w:szCs w:val="24"/>
          <w:lang w:val="lt-LT"/>
        </w:rPr>
        <w:tab/>
        <w:t>UNIKALUS IDENTIFIKATORIUS – 2D BRŪKŠNINIS KODAS</w:t>
      </w:r>
    </w:p>
    <w:p w14:paraId="64FB0894" w14:textId="77777777" w:rsidR="004125E7" w:rsidRPr="00C92BDF" w:rsidRDefault="004125E7" w:rsidP="004125E7">
      <w:pPr>
        <w:spacing w:after="0" w:line="240" w:lineRule="auto"/>
        <w:rPr>
          <w:rFonts w:ascii="Times New Roman" w:eastAsia="Times New Roman" w:hAnsi="Times New Roman" w:cs="Times New Roman"/>
          <w:noProof/>
          <w:szCs w:val="24"/>
          <w:lang w:val="lt-LT"/>
        </w:rPr>
      </w:pPr>
    </w:p>
    <w:p w14:paraId="0D84FAFF" w14:textId="77777777" w:rsidR="004125E7" w:rsidRPr="00C92BDF" w:rsidRDefault="004125E7" w:rsidP="004125E7">
      <w:pPr>
        <w:spacing w:after="0" w:line="240" w:lineRule="auto"/>
        <w:rPr>
          <w:rFonts w:ascii="Times New Roman" w:eastAsia="Times New Roman" w:hAnsi="Times New Roman" w:cs="Times New Roman"/>
          <w:noProof/>
          <w:shd w:val="clear" w:color="auto" w:fill="CCCCCC"/>
          <w:lang w:val="lt-LT"/>
        </w:rPr>
      </w:pPr>
      <w:r w:rsidRPr="000A1801">
        <w:rPr>
          <w:rFonts w:ascii="Times New Roman" w:eastAsia="Times New Roman" w:hAnsi="Times New Roman" w:cs="Times New Roman"/>
          <w:noProof/>
          <w:szCs w:val="24"/>
          <w:highlight w:val="lightGray"/>
          <w:lang w:val="lt-LT"/>
        </w:rPr>
        <w:t>2D brūkšninis kodas su nurodytu unikaliu identifikatoriumi.</w:t>
      </w:r>
    </w:p>
    <w:p w14:paraId="419DCB53" w14:textId="77777777" w:rsidR="004125E7" w:rsidRPr="00C92BDF" w:rsidRDefault="004125E7" w:rsidP="004125E7">
      <w:pPr>
        <w:spacing w:after="0" w:line="240" w:lineRule="auto"/>
        <w:rPr>
          <w:rFonts w:ascii="Times New Roman" w:eastAsia="Times New Roman" w:hAnsi="Times New Roman" w:cs="Times New Roman"/>
          <w:noProof/>
          <w:shd w:val="clear" w:color="auto" w:fill="CCCCCC"/>
          <w:lang w:val="lt-LT"/>
        </w:rPr>
      </w:pPr>
    </w:p>
    <w:p w14:paraId="5D8DFBF4" w14:textId="77777777" w:rsidR="004125E7" w:rsidRPr="00C92BDF" w:rsidRDefault="004125E7" w:rsidP="004125E7">
      <w:pPr>
        <w:spacing w:after="0" w:line="240" w:lineRule="auto"/>
        <w:rPr>
          <w:rFonts w:ascii="Times New Roman" w:eastAsia="Times New Roman" w:hAnsi="Times New Roman" w:cs="Times New Roman"/>
          <w:noProof/>
          <w:szCs w:val="24"/>
          <w:lang w:val="lt-LT"/>
        </w:rPr>
      </w:pPr>
    </w:p>
    <w:p w14:paraId="2B07A073" w14:textId="77777777" w:rsidR="004125E7" w:rsidRPr="00C92BDF" w:rsidRDefault="004125E7" w:rsidP="004125E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val="lt-LT"/>
        </w:rPr>
      </w:pPr>
      <w:r w:rsidRPr="00C92BDF">
        <w:rPr>
          <w:rFonts w:ascii="Times New Roman" w:eastAsia="Times New Roman" w:hAnsi="Times New Roman" w:cs="Times New Roman"/>
          <w:b/>
          <w:noProof/>
          <w:szCs w:val="24"/>
          <w:lang w:val="lt-LT"/>
        </w:rPr>
        <w:t>18.</w:t>
      </w:r>
      <w:r w:rsidRPr="00C92BDF">
        <w:rPr>
          <w:rFonts w:ascii="Times New Roman" w:eastAsia="Times New Roman" w:hAnsi="Times New Roman" w:cs="Times New Roman"/>
          <w:b/>
          <w:noProof/>
          <w:szCs w:val="24"/>
          <w:lang w:val="lt-LT"/>
        </w:rPr>
        <w:tab/>
        <w:t>UNIKALUS IDENTIFIKATORIUS – ŽMONĖMS SUPRANTAMI DUOMENYS</w:t>
      </w:r>
    </w:p>
    <w:p w14:paraId="5EA32954" w14:textId="77777777" w:rsidR="004125E7" w:rsidRPr="00C92BDF" w:rsidRDefault="004125E7" w:rsidP="004125E7">
      <w:pPr>
        <w:spacing w:after="0" w:line="240" w:lineRule="auto"/>
        <w:rPr>
          <w:rFonts w:ascii="Times New Roman" w:eastAsia="Times New Roman" w:hAnsi="Times New Roman" w:cs="Times New Roman"/>
          <w:noProof/>
          <w:szCs w:val="24"/>
          <w:lang w:val="lt-LT"/>
        </w:rPr>
      </w:pPr>
    </w:p>
    <w:p w14:paraId="34755548" w14:textId="77777777" w:rsidR="004125E7" w:rsidRPr="00C92BDF" w:rsidRDefault="004125E7" w:rsidP="004125E7">
      <w:pPr>
        <w:spacing w:after="0" w:line="240" w:lineRule="auto"/>
        <w:rPr>
          <w:rFonts w:ascii="Times New Roman" w:eastAsia="Times New Roman" w:hAnsi="Times New Roman" w:cs="Times New Roman"/>
          <w:color w:val="008000"/>
          <w:lang w:val="lt-LT"/>
        </w:rPr>
      </w:pPr>
      <w:r w:rsidRPr="00C92BDF">
        <w:rPr>
          <w:rFonts w:ascii="Times New Roman" w:eastAsia="Times New Roman" w:hAnsi="Times New Roman" w:cs="Times New Roman"/>
          <w:szCs w:val="24"/>
          <w:lang w:val="lt-LT"/>
        </w:rPr>
        <w:t xml:space="preserve">PC: {numeris} </w:t>
      </w:r>
      <w:r w:rsidRPr="00C92BDF">
        <w:rPr>
          <w:rFonts w:ascii="Times New Roman" w:eastAsia="Times New Roman" w:hAnsi="Times New Roman" w:cs="Times New Roman"/>
          <w:color w:val="008000"/>
          <w:szCs w:val="24"/>
          <w:lang w:val="lt-LT"/>
        </w:rPr>
        <w:t>[preparato kodas]</w:t>
      </w:r>
    </w:p>
    <w:p w14:paraId="145575DD" w14:textId="77777777" w:rsidR="004125E7" w:rsidRPr="000A1801" w:rsidRDefault="004125E7" w:rsidP="004125E7">
      <w:pPr>
        <w:spacing w:after="0" w:line="240" w:lineRule="auto"/>
        <w:rPr>
          <w:rFonts w:ascii="Times New Roman" w:eastAsia="Times New Roman" w:hAnsi="Times New Roman" w:cs="Times New Roman"/>
          <w:highlight w:val="lightGray"/>
          <w:lang w:val="lt-LT"/>
        </w:rPr>
      </w:pPr>
      <w:r w:rsidRPr="000A1801">
        <w:rPr>
          <w:rFonts w:ascii="Times New Roman" w:eastAsia="Times New Roman" w:hAnsi="Times New Roman" w:cs="Times New Roman"/>
          <w:szCs w:val="24"/>
          <w:highlight w:val="lightGray"/>
          <w:lang w:val="lt-LT"/>
        </w:rPr>
        <w:t xml:space="preserve">SN: {numeris} </w:t>
      </w:r>
      <w:r w:rsidRPr="000A1801">
        <w:rPr>
          <w:rFonts w:ascii="Times New Roman" w:eastAsia="Times New Roman" w:hAnsi="Times New Roman" w:cs="Times New Roman"/>
          <w:color w:val="008000"/>
          <w:szCs w:val="24"/>
          <w:highlight w:val="lightGray"/>
          <w:lang w:val="lt-LT"/>
        </w:rPr>
        <w:t>[nuoseklusis numeris]</w:t>
      </w:r>
    </w:p>
    <w:p w14:paraId="2D97566F" w14:textId="77777777" w:rsidR="004125E7" w:rsidRPr="00C92BDF" w:rsidRDefault="004125E7" w:rsidP="004125E7">
      <w:pPr>
        <w:spacing w:after="0" w:line="240" w:lineRule="auto"/>
        <w:rPr>
          <w:rFonts w:ascii="Times New Roman" w:eastAsia="Times New Roman" w:hAnsi="Times New Roman" w:cs="Times New Roman"/>
          <w:lang w:val="lt-LT"/>
        </w:rPr>
      </w:pPr>
      <w:r w:rsidRPr="000A1801">
        <w:rPr>
          <w:rFonts w:ascii="Times New Roman" w:eastAsia="Times New Roman" w:hAnsi="Times New Roman" w:cs="Times New Roman"/>
          <w:szCs w:val="24"/>
          <w:highlight w:val="lightGray"/>
          <w:lang w:val="lt-LT"/>
        </w:rPr>
        <w:t xml:space="preserve">NN: {numeris} </w:t>
      </w:r>
      <w:r w:rsidRPr="000A1801">
        <w:rPr>
          <w:rFonts w:ascii="Times New Roman" w:eastAsia="Times New Roman" w:hAnsi="Times New Roman" w:cs="Times New Roman"/>
          <w:color w:val="008000"/>
          <w:szCs w:val="24"/>
          <w:highlight w:val="lightGray"/>
          <w:lang w:val="lt-LT"/>
        </w:rPr>
        <w:t>[nacionalinis kompensacijos rūšies kodas arba kitas nacionalinis vaistinio preparato identifikacinis numeris]</w:t>
      </w:r>
    </w:p>
    <w:p w14:paraId="21DBAE2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B5C3A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br w:type="page"/>
      </w:r>
    </w:p>
    <w:p w14:paraId="6F1E8B57"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lastRenderedPageBreak/>
        <w:t xml:space="preserve">MINIMALI </w:t>
      </w:r>
      <w:r w:rsidRPr="00C92BDF">
        <w:rPr>
          <w:rFonts w:ascii="Times New Roman" w:eastAsia="Times New Roman" w:hAnsi="Times New Roman" w:cs="Times New Roman"/>
          <w:b/>
          <w:caps/>
          <w:lang w:val="lt-LT"/>
        </w:rPr>
        <w:t xml:space="preserve">informacija ant </w:t>
      </w:r>
      <w:r w:rsidRPr="00C92BDF">
        <w:rPr>
          <w:rFonts w:ascii="Times New Roman" w:eastAsia="Times New Roman" w:hAnsi="Times New Roman" w:cs="Times New Roman"/>
          <w:b/>
          <w:lang w:val="lt-LT"/>
        </w:rPr>
        <w:t>LIZDINIŲ PLOKŠTELIŲ ARBA DVISLUOKSNIŲ JUOSTELIŲ</w:t>
      </w:r>
    </w:p>
    <w:p w14:paraId="01D48DFB"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525795F2"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LIZDINĖ PLOKŠTELĖ</w:t>
      </w:r>
    </w:p>
    <w:p w14:paraId="052054D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46454A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80FCD73"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1.</w:t>
      </w:r>
      <w:r w:rsidRPr="00C92BDF">
        <w:rPr>
          <w:rFonts w:ascii="Times New Roman" w:eastAsia="Times New Roman" w:hAnsi="Times New Roman" w:cs="Times New Roman"/>
          <w:b/>
          <w:lang w:val="lt-LT"/>
        </w:rPr>
        <w:tab/>
        <w:t>VAISTINIO PREPARATO PAVADINIMAS</w:t>
      </w:r>
    </w:p>
    <w:p w14:paraId="7149A59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1638D5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dengtos tabletės</w:t>
      </w:r>
    </w:p>
    <w:p w14:paraId="5333297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highlight w:val="lightGray"/>
          <w:lang w:val="lt-LT"/>
        </w:rPr>
        <w:t>Mesar 20 mg plėvele dengtos tabletės</w:t>
      </w:r>
    </w:p>
    <w:p w14:paraId="6CC982C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highlight w:val="darkGray"/>
          <w:lang w:val="lt-LT"/>
        </w:rPr>
        <w:t>Mesar 40 mg plėvele dengtos tabletės</w:t>
      </w:r>
    </w:p>
    <w:p w14:paraId="09ABFFD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68391D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Olmesartanum medoxomilum </w:t>
      </w:r>
    </w:p>
    <w:p w14:paraId="207E7C5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F74AE8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A596A15"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2.</w:t>
      </w:r>
      <w:r w:rsidRPr="00C92BDF">
        <w:rPr>
          <w:rFonts w:ascii="Times New Roman" w:eastAsia="Times New Roman" w:hAnsi="Times New Roman" w:cs="Times New Roman"/>
          <w:b/>
          <w:lang w:val="lt-LT"/>
        </w:rPr>
        <w:tab/>
        <w:t>REGISTRUOTOJO PAVADINIMAS</w:t>
      </w:r>
    </w:p>
    <w:p w14:paraId="4347821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955A93C" w14:textId="77777777" w:rsidR="004125E7" w:rsidRPr="00C92BDF" w:rsidRDefault="004125E7" w:rsidP="004125E7">
      <w:pPr>
        <w:spacing w:after="0" w:line="240" w:lineRule="auto"/>
        <w:rPr>
          <w:rFonts w:ascii="Times New Roman" w:eastAsia="Times New Roman" w:hAnsi="Times New Roman" w:cs="Times New Roman"/>
          <w:snapToGrid w:val="0"/>
          <w:lang w:val="pt-BR" w:eastAsia="lt-LT"/>
        </w:rPr>
      </w:pPr>
      <w:r w:rsidRPr="00C92BDF">
        <w:rPr>
          <w:rFonts w:ascii="Times New Roman" w:eastAsia="Times New Roman" w:hAnsi="Times New Roman" w:cs="Times New Roman"/>
          <w:snapToGrid w:val="0"/>
          <w:lang w:val="pt-BR" w:eastAsia="lt-LT"/>
        </w:rPr>
        <w:t>Menarini International Operations Luxembourg S.A.</w:t>
      </w:r>
    </w:p>
    <w:p w14:paraId="564A1B3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403049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2D3049F"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3.</w:t>
      </w:r>
      <w:r w:rsidRPr="00C92BDF">
        <w:rPr>
          <w:rFonts w:ascii="Times New Roman" w:eastAsia="Times New Roman" w:hAnsi="Times New Roman" w:cs="Times New Roman"/>
          <w:b/>
          <w:lang w:val="lt-LT"/>
        </w:rPr>
        <w:tab/>
        <w:t>TINKAMUMO LAIKAS</w:t>
      </w:r>
    </w:p>
    <w:p w14:paraId="6465086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3010E1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EXP {mm/MMMM}</w:t>
      </w:r>
    </w:p>
    <w:p w14:paraId="2A85A58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42BEF7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48F0772"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4.</w:t>
      </w:r>
      <w:r w:rsidRPr="00C92BDF">
        <w:rPr>
          <w:rFonts w:ascii="Times New Roman" w:eastAsia="Times New Roman" w:hAnsi="Times New Roman" w:cs="Times New Roman"/>
          <w:b/>
          <w:lang w:val="lt-LT"/>
        </w:rPr>
        <w:tab/>
        <w:t>SERIJOS NUMERIS</w:t>
      </w:r>
    </w:p>
    <w:p w14:paraId="7E1D580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6C63C6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Lot</w:t>
      </w:r>
    </w:p>
    <w:p w14:paraId="3E077EF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09E1A1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5B3707" w14:textId="77777777" w:rsidR="004125E7" w:rsidRPr="00C92BDF" w:rsidRDefault="004125E7" w:rsidP="004125E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5.</w:t>
      </w:r>
      <w:r w:rsidRPr="00C92BDF">
        <w:rPr>
          <w:rFonts w:ascii="Times New Roman" w:eastAsia="Times New Roman" w:hAnsi="Times New Roman" w:cs="Times New Roman"/>
          <w:b/>
          <w:lang w:val="lt-LT"/>
        </w:rPr>
        <w:tab/>
        <w:t>KITA</w:t>
      </w:r>
    </w:p>
    <w:p w14:paraId="225ABF2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E639961"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 xml:space="preserve">Pr →  A  →  T  →  K  →  P  →  Š  </w:t>
      </w:r>
      <w:r w:rsidRPr="00C92BDF">
        <w:rPr>
          <w:rFonts w:ascii="Times New Roman" w:eastAsia="Times New Roman" w:hAnsi="Times New Roman" w:cs="Times New Roman"/>
          <w:lang w:val="lt-LT" w:eastAsia="lt-LT"/>
        </w:rPr>
        <w:softHyphen/>
        <w:t>→  S</w:t>
      </w:r>
    </w:p>
    <w:p w14:paraId="1DFFD4CA"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 xml:space="preserve">Pr →  A  →  T  →  K  →  P  →  Š  </w:t>
      </w:r>
      <w:r w:rsidRPr="00C92BDF">
        <w:rPr>
          <w:rFonts w:ascii="Times New Roman" w:eastAsia="Times New Roman" w:hAnsi="Times New Roman" w:cs="Times New Roman"/>
          <w:lang w:val="lt-LT" w:eastAsia="lt-LT"/>
        </w:rPr>
        <w:softHyphen/>
        <w:t>→  S</w:t>
      </w:r>
    </w:p>
    <w:p w14:paraId="7A9305D9"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92BDF">
        <w:rPr>
          <w:rFonts w:ascii="Times New Roman" w:eastAsia="Times New Roman" w:hAnsi="Times New Roman" w:cs="Times New Roman"/>
          <w:b/>
          <w:caps/>
          <w:lang w:val="lt-LT"/>
        </w:rPr>
        <w:br w:type="page"/>
      </w:r>
    </w:p>
    <w:p w14:paraId="75544612" w14:textId="77777777" w:rsidR="004125E7" w:rsidRPr="00C92BDF" w:rsidRDefault="004125E7" w:rsidP="004125E7">
      <w:pPr>
        <w:tabs>
          <w:tab w:val="left" w:pos="567"/>
        </w:tabs>
        <w:spacing w:after="0" w:line="240" w:lineRule="auto"/>
        <w:outlineLvl w:val="0"/>
        <w:rPr>
          <w:rFonts w:ascii="Times New Roman" w:eastAsia="Times New Roman" w:hAnsi="Times New Roman" w:cs="Times New Roman"/>
          <w:b/>
          <w:caps/>
          <w:lang w:val="lt-LT"/>
        </w:rPr>
      </w:pPr>
    </w:p>
    <w:p w14:paraId="3D1124A3"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640B"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785EA3C"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77803BE"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2348B49"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4D01B47"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EB34FA2"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02C65B"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58055FD"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76FCF4F"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770E209"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09C796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DE9D090"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DF2F8FC"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D4698C4"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85F5A09"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D0E0C5F"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EFD7115"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BE7DA91"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8BF65" w14:textId="77777777" w:rsidR="004125E7" w:rsidRPr="00C92BDF" w:rsidRDefault="004125E7" w:rsidP="004125E7">
      <w:pPr>
        <w:tabs>
          <w:tab w:val="left" w:pos="567"/>
        </w:tabs>
        <w:spacing w:after="0" w:line="240" w:lineRule="auto"/>
        <w:jc w:val="center"/>
        <w:outlineLvl w:val="0"/>
        <w:rPr>
          <w:rFonts w:ascii="Times New Roman" w:eastAsia="Times New Roman" w:hAnsi="Times New Roman" w:cs="Times New Roman"/>
          <w:b/>
          <w:caps/>
          <w:lang w:val="lt-LT"/>
        </w:rPr>
      </w:pPr>
    </w:p>
    <w:p w14:paraId="629373E9" w14:textId="77777777" w:rsidR="004125E7" w:rsidRPr="00C92BDF" w:rsidRDefault="004125E7" w:rsidP="004125E7">
      <w:pPr>
        <w:tabs>
          <w:tab w:val="left" w:pos="567"/>
        </w:tabs>
        <w:spacing w:after="0" w:line="240" w:lineRule="auto"/>
        <w:jc w:val="center"/>
        <w:outlineLvl w:val="0"/>
        <w:rPr>
          <w:rFonts w:ascii="Times New Roman" w:eastAsia="Times New Roman" w:hAnsi="Times New Roman" w:cs="Times New Roman"/>
          <w:b/>
          <w:caps/>
          <w:lang w:val="lt-LT"/>
        </w:rPr>
      </w:pPr>
    </w:p>
    <w:p w14:paraId="4DD292FA" w14:textId="77777777" w:rsidR="004125E7" w:rsidRPr="00C92BDF" w:rsidRDefault="004125E7" w:rsidP="004125E7">
      <w:pPr>
        <w:tabs>
          <w:tab w:val="left" w:pos="567"/>
        </w:tabs>
        <w:spacing w:after="0" w:line="240" w:lineRule="auto"/>
        <w:jc w:val="center"/>
        <w:outlineLvl w:val="0"/>
        <w:rPr>
          <w:rFonts w:ascii="Times New Roman" w:eastAsia="Times New Roman" w:hAnsi="Times New Roman" w:cs="Times New Roman"/>
          <w:b/>
          <w:caps/>
          <w:lang w:val="lt-LT"/>
        </w:rPr>
      </w:pPr>
    </w:p>
    <w:p w14:paraId="225D58CA" w14:textId="77777777" w:rsidR="004125E7" w:rsidRPr="00C92BDF" w:rsidRDefault="004125E7" w:rsidP="004125E7">
      <w:pPr>
        <w:tabs>
          <w:tab w:val="left" w:pos="567"/>
        </w:tabs>
        <w:spacing w:after="0" w:line="240" w:lineRule="auto"/>
        <w:jc w:val="center"/>
        <w:outlineLvl w:val="0"/>
        <w:rPr>
          <w:rFonts w:ascii="Times New Roman" w:eastAsia="Times New Roman" w:hAnsi="Times New Roman" w:cs="Times New Roman"/>
          <w:caps/>
          <w:lang w:val="lt-LT"/>
        </w:rPr>
      </w:pPr>
      <w:r w:rsidRPr="00C92BDF">
        <w:rPr>
          <w:rFonts w:ascii="Times New Roman" w:eastAsia="Times New Roman" w:hAnsi="Times New Roman" w:cs="Times New Roman"/>
          <w:b/>
          <w:caps/>
          <w:lang w:val="lt-LT"/>
        </w:rPr>
        <w:t>B. PAKUOTĖS LAPELIS</w:t>
      </w:r>
    </w:p>
    <w:p w14:paraId="7223FA4C"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92BDF">
        <w:rPr>
          <w:rFonts w:ascii="Times New Roman" w:eastAsia="Times New Roman" w:hAnsi="Times New Roman" w:cs="Times New Roman"/>
          <w:b/>
          <w:caps/>
          <w:lang w:val="lt-LT"/>
        </w:rPr>
        <w:br w:type="page"/>
      </w:r>
      <w:r w:rsidRPr="00C92BDF">
        <w:rPr>
          <w:rFonts w:ascii="Times New Roman" w:eastAsia="Times New Roman" w:hAnsi="Times New Roman" w:cs="Times New Roman"/>
          <w:b/>
          <w:lang w:val="lt-LT"/>
        </w:rPr>
        <w:lastRenderedPageBreak/>
        <w:t>Pakuotės lapelis:</w:t>
      </w:r>
      <w:r w:rsidRPr="00C92BDF">
        <w:rPr>
          <w:rFonts w:ascii="Times New Roman" w:eastAsia="Times New Roman" w:hAnsi="Times New Roman" w:cs="Times New Roman"/>
          <w:b/>
          <w:bCs/>
          <w:iCs/>
          <w:lang w:val="lt-LT"/>
        </w:rPr>
        <w:t xml:space="preserve"> </w:t>
      </w:r>
      <w:r w:rsidRPr="00C92BDF">
        <w:rPr>
          <w:rFonts w:ascii="Times New Roman" w:eastAsia="Times New Roman" w:hAnsi="Times New Roman" w:cs="Times New Roman"/>
          <w:b/>
          <w:lang w:val="lt-LT"/>
        </w:rPr>
        <w:t>informacija vartotojui</w:t>
      </w:r>
    </w:p>
    <w:p w14:paraId="6946294C" w14:textId="77777777" w:rsidR="004125E7" w:rsidRPr="00C92BDF" w:rsidRDefault="004125E7" w:rsidP="004125E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3AB33D5" w14:textId="77777777" w:rsidR="004125E7" w:rsidRPr="00C92BDF" w:rsidRDefault="004125E7" w:rsidP="004125E7">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10 mg plėvele dengtos tabletės</w:t>
      </w:r>
    </w:p>
    <w:p w14:paraId="19F04973" w14:textId="77777777" w:rsidR="004125E7" w:rsidRPr="00C92BDF" w:rsidRDefault="004125E7" w:rsidP="004125E7">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20 mg plėvele dengtos tabletės</w:t>
      </w:r>
    </w:p>
    <w:p w14:paraId="323E76CD" w14:textId="77777777" w:rsidR="004125E7" w:rsidRPr="00C92BDF" w:rsidRDefault="004125E7" w:rsidP="004125E7">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40 mg plėvele dengtos tabletės</w:t>
      </w:r>
    </w:p>
    <w:p w14:paraId="21606EE4" w14:textId="77777777" w:rsidR="004125E7" w:rsidRPr="00C92BDF" w:rsidRDefault="004125E7" w:rsidP="004125E7">
      <w:pPr>
        <w:tabs>
          <w:tab w:val="left" w:pos="540"/>
          <w:tab w:val="left" w:pos="2127"/>
          <w:tab w:val="left" w:pos="2977"/>
        </w:tabs>
        <w:spacing w:after="0" w:line="240" w:lineRule="auto"/>
        <w:jc w:val="center"/>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Olmesartanas medoksomilis</w:t>
      </w:r>
    </w:p>
    <w:p w14:paraId="0B8AE13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9EDEFC3"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Atidžiai perskaitykite visą šį lapelį, prieš pradėdami vartoti vaistą, nes jame pateikiama Jums svarbi informacija.</w:t>
      </w:r>
    </w:p>
    <w:p w14:paraId="6813F94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p>
    <w:p w14:paraId="615033FF"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Neišmeskite šio lapelio, nes vėl gali prireikti jį perskaityti.</w:t>
      </w:r>
    </w:p>
    <w:p w14:paraId="5CE7B7D8"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kiltų daugiau klausimų, kreipkitės į gydytoją arba vaistininką.</w:t>
      </w:r>
    </w:p>
    <w:p w14:paraId="4084BD20"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Šis vaistas skirtas tik Jums, todėl kitiems žmonėms jo duoti negalima. Vaistas gali jiems pakenkti (net tiems, kurių ligos </w:t>
      </w:r>
      <w:r w:rsidRPr="00C92BDF">
        <w:rPr>
          <w:rFonts w:ascii="Times New Roman" w:eastAsia="Times New Roman" w:hAnsi="Times New Roman" w:cs="Times New Roman"/>
          <w:noProof/>
          <w:szCs w:val="24"/>
          <w:lang w:val="lt-LT"/>
        </w:rPr>
        <w:t>požymiai</w:t>
      </w:r>
      <w:r w:rsidRPr="00C92BDF">
        <w:rPr>
          <w:rFonts w:ascii="Times New Roman" w:eastAsia="Times New Roman" w:hAnsi="Times New Roman" w:cs="Times New Roman"/>
          <w:lang w:val="lt-LT"/>
        </w:rPr>
        <w:t xml:space="preserve"> yra tokie patys kaip Jūsų).</w:t>
      </w:r>
    </w:p>
    <w:p w14:paraId="3F583E6E"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pasireiškė šalutinis poveikis (net jeigu jis šiame lapelyje nenurodytas), kreipkitės į gydytoją arba vaistininką.</w:t>
      </w:r>
      <w:r w:rsidRPr="00C92BDF">
        <w:rPr>
          <w:rFonts w:ascii="Times New Roman" w:eastAsia="Times New Roman" w:hAnsi="Times New Roman" w:cs="Times New Roman"/>
          <w:noProof/>
          <w:szCs w:val="24"/>
          <w:lang w:val="lt-LT"/>
        </w:rPr>
        <w:t xml:space="preserve"> Žr. 4 skyrių.</w:t>
      </w:r>
    </w:p>
    <w:p w14:paraId="375FD89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3047EB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E7DB08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Apie ką rašoma šiame lapelyje?</w:t>
      </w:r>
    </w:p>
    <w:p w14:paraId="06EA360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p>
    <w:p w14:paraId="6227CEE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1.</w:t>
      </w:r>
      <w:r w:rsidRPr="00C92BDF">
        <w:rPr>
          <w:rFonts w:ascii="Times New Roman" w:eastAsia="Times New Roman" w:hAnsi="Times New Roman" w:cs="Times New Roman"/>
          <w:lang w:val="lt-LT"/>
        </w:rPr>
        <w:tab/>
        <w:t>Kas yra Mesar ir kam jis vartojamas</w:t>
      </w:r>
    </w:p>
    <w:p w14:paraId="2C3A949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2.</w:t>
      </w:r>
      <w:r w:rsidRPr="00C92BDF">
        <w:rPr>
          <w:rFonts w:ascii="Times New Roman" w:eastAsia="Times New Roman" w:hAnsi="Times New Roman" w:cs="Times New Roman"/>
          <w:lang w:val="lt-LT"/>
        </w:rPr>
        <w:tab/>
        <w:t>Kas žinotina prieš vartojant Mesar</w:t>
      </w:r>
    </w:p>
    <w:p w14:paraId="5E63690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3.</w:t>
      </w:r>
      <w:r w:rsidRPr="00C92BDF">
        <w:rPr>
          <w:rFonts w:ascii="Times New Roman" w:eastAsia="Times New Roman" w:hAnsi="Times New Roman" w:cs="Times New Roman"/>
          <w:lang w:val="lt-LT"/>
        </w:rPr>
        <w:tab/>
        <w:t>Kaip vartoti Mesar</w:t>
      </w:r>
    </w:p>
    <w:p w14:paraId="26C11B4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4.</w:t>
      </w:r>
      <w:r w:rsidRPr="00C92BDF">
        <w:rPr>
          <w:rFonts w:ascii="Times New Roman" w:eastAsia="Times New Roman" w:hAnsi="Times New Roman" w:cs="Times New Roman"/>
          <w:lang w:val="lt-LT"/>
        </w:rPr>
        <w:tab/>
        <w:t>Galimas šalutinis poveikis</w:t>
      </w:r>
    </w:p>
    <w:p w14:paraId="593FE4D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5.</w:t>
      </w:r>
      <w:r w:rsidRPr="00C92BDF">
        <w:rPr>
          <w:rFonts w:ascii="Times New Roman" w:eastAsia="Times New Roman" w:hAnsi="Times New Roman" w:cs="Times New Roman"/>
          <w:lang w:val="lt-LT"/>
        </w:rPr>
        <w:tab/>
        <w:t>Kaip laikyti Mesar</w:t>
      </w:r>
    </w:p>
    <w:p w14:paraId="033B87A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6.</w:t>
      </w:r>
      <w:r w:rsidRPr="00C92BDF">
        <w:rPr>
          <w:rFonts w:ascii="Times New Roman" w:eastAsia="Times New Roman" w:hAnsi="Times New Roman" w:cs="Times New Roman"/>
          <w:lang w:val="lt-LT"/>
        </w:rPr>
        <w:tab/>
        <w:t>Pakuotės turinys ir kita informacija</w:t>
      </w:r>
    </w:p>
    <w:p w14:paraId="1DCF6F8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9F561F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5BAF5E7"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1.</w:t>
      </w:r>
      <w:r w:rsidRPr="00C92BDF">
        <w:rPr>
          <w:rFonts w:ascii="Times New Roman" w:eastAsia="Times New Roman" w:hAnsi="Times New Roman" w:cs="Times New Roman"/>
          <w:b/>
          <w:lang w:val="lt-LT"/>
        </w:rPr>
        <w:tab/>
        <w:t>Kas yra Mesar ir kam jis vartojamas</w:t>
      </w:r>
    </w:p>
    <w:p w14:paraId="40785DD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4B58A9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Veiklioji Mesar medžiaga olmesartanas priklauso angiotenzino II receptorių antagonistų grupei, kurie mažina kraujospūdį atpalaiduodami kraujagysles.</w:t>
      </w:r>
    </w:p>
    <w:p w14:paraId="2392187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6C0AE99" w14:textId="77777777" w:rsidR="004125E7" w:rsidRPr="00C92BDF" w:rsidRDefault="004125E7" w:rsidP="004125E7">
      <w:pPr>
        <w:adjustRightInd w:val="0"/>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 xml:space="preserve">Mesar vartojamas pirminės arterinės hipertenzijos (kuriai būdingas nežinomos kilmės ilgalaikis arterinio kraujospūdžio padidėjimas, o ilgainiui gali būti pažeidžiami vidaus organai pvz., širdis, smegenys, kraujagyslės ir inkstai, didėja širdies ir kraujagyslių ligų rizika; kartais tai gali sukelti infarktą, širdies arba inkstų nepakankamumą, insultą ar apakimą) </w:t>
      </w:r>
      <w:r>
        <w:rPr>
          <w:rFonts w:ascii="Times New Roman" w:eastAsia="Times New Roman" w:hAnsi="Times New Roman" w:cs="Times New Roman"/>
          <w:lang w:val="lt-LT" w:eastAsia="lt-LT"/>
        </w:rPr>
        <w:t>suaugusiesiems, vaikams ir paaugliams nuo 6 iki 18 metų gydymui</w:t>
      </w:r>
      <w:r w:rsidRPr="00C92BDF">
        <w:rPr>
          <w:rFonts w:ascii="Times New Roman" w:eastAsia="Times New Roman" w:hAnsi="Times New Roman" w:cs="Times New Roman"/>
          <w:lang w:val="lt-LT" w:eastAsia="lt-LT"/>
        </w:rPr>
        <w:t>.</w:t>
      </w:r>
    </w:p>
    <w:p w14:paraId="18F6ED9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406653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Dažniausiai padidėjusio kraujospūdžio požymių nebūna, todėl, norint išvengti galimų pažeidimų, svarbu matuoti kraujo spaudimą.</w:t>
      </w:r>
    </w:p>
    <w:p w14:paraId="1464FBB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11A73E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EDE2502"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2.</w:t>
      </w:r>
      <w:r w:rsidRPr="00C92BDF">
        <w:rPr>
          <w:rFonts w:ascii="Times New Roman" w:eastAsia="Times New Roman" w:hAnsi="Times New Roman" w:cs="Times New Roman"/>
          <w:b/>
          <w:lang w:val="lt-LT"/>
        </w:rPr>
        <w:tab/>
        <w:t>Kas žinotina prieš vartojant Mesar</w:t>
      </w:r>
    </w:p>
    <w:p w14:paraId="5B3EBCB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0DB32D2"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vartoti negalima:</w:t>
      </w:r>
    </w:p>
    <w:p w14:paraId="44395072" w14:textId="77777777" w:rsidR="004125E7" w:rsidRPr="00C92BDF" w:rsidRDefault="004125E7" w:rsidP="004125E7">
      <w:pPr>
        <w:numPr>
          <w:ilvl w:val="0"/>
          <w:numId w:val="8"/>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jeigu yra alergija olmesartanui medoksomiliui arba bet kuriai pagalbinei šio vaisto medžiagai (jos išvardytos 6 skyriuje); </w:t>
      </w:r>
    </w:p>
    <w:p w14:paraId="65CFFB0E" w14:textId="77777777" w:rsidR="004125E7" w:rsidRPr="00C92BDF" w:rsidRDefault="004125E7" w:rsidP="004125E7">
      <w:pPr>
        <w:numPr>
          <w:ilvl w:val="0"/>
          <w:numId w:val="8"/>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esate daugiau nei 3 mėnesius nėščia. Taip pat yra geriau vengti Mesar vartoti ankstyvojo nėštumo metu (žr. skyrių „Nėštumas“).</w:t>
      </w:r>
    </w:p>
    <w:p w14:paraId="76DF3986" w14:textId="77777777" w:rsidR="004125E7" w:rsidRPr="00C92BDF" w:rsidRDefault="004125E7" w:rsidP="004125E7">
      <w:pPr>
        <w:numPr>
          <w:ilvl w:val="0"/>
          <w:numId w:val="8"/>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jums yra tulžies latakų užsikimšimas (pvz. akmenimis);</w:t>
      </w:r>
    </w:p>
    <w:p w14:paraId="6CAECA08" w14:textId="77777777" w:rsidR="004125E7" w:rsidRPr="00C92BDF" w:rsidRDefault="004125E7" w:rsidP="004125E7">
      <w:pPr>
        <w:numPr>
          <w:ilvl w:val="0"/>
          <w:numId w:val="8"/>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Jūs sergate cukriniu diabetu arba Jūsų inkstų veikla sutrikusi ir Jums skirtas kraujospūdį mažinantis vaistas, kurio sudėtyje yra aliskireno.</w:t>
      </w:r>
    </w:p>
    <w:p w14:paraId="08897498"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p>
    <w:p w14:paraId="1C4A9D0C"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noProof/>
          <w:lang w:val="lt-LT"/>
        </w:rPr>
        <w:t>Įspėjimai ir atsargumo priemonės</w:t>
      </w:r>
    </w:p>
    <w:p w14:paraId="7577A72E" w14:textId="77777777" w:rsidR="004125E7" w:rsidRPr="00C92BDF" w:rsidRDefault="004125E7" w:rsidP="004125E7">
      <w:pPr>
        <w:spacing w:after="0" w:line="220" w:lineRule="exact"/>
        <w:rPr>
          <w:rFonts w:ascii="Times New Roman" w:eastAsia="Times New Roman" w:hAnsi="Times New Roman" w:cs="Times New Roman"/>
          <w:lang w:val="lt-LT"/>
        </w:rPr>
      </w:pPr>
      <w:r w:rsidRPr="00C92BDF">
        <w:rPr>
          <w:rFonts w:ascii="Times New Roman" w:eastAsia="Times New Roman" w:hAnsi="Times New Roman" w:cs="Times New Roman"/>
          <w:lang w:val="lt-LT"/>
        </w:rPr>
        <w:t>Pasitarkite su gydytoju prieš pradėdami vartoti Mesar:</w:t>
      </w:r>
    </w:p>
    <w:p w14:paraId="0A55770A" w14:textId="77777777" w:rsidR="004125E7" w:rsidRPr="00C92BDF" w:rsidRDefault="004125E7" w:rsidP="004125E7">
      <w:pPr>
        <w:numPr>
          <w:ilvl w:val="0"/>
          <w:numId w:val="2"/>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vartojate kurį nors iš šių vaistų padidėjusiam kraujospūdžiui gydyti:</w:t>
      </w:r>
    </w:p>
    <w:p w14:paraId="0BC480B2" w14:textId="77777777" w:rsidR="004125E7" w:rsidRPr="00C92BDF" w:rsidRDefault="004125E7" w:rsidP="004125E7">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AKF inhibitorių (pavyzdžiui, enalaprilį, lizinoprilį, ramiprilį), ypač jei turite su diabetu susijusių inkstų sutrikimų;</w:t>
      </w:r>
    </w:p>
    <w:p w14:paraId="0C89D9C6" w14:textId="77777777" w:rsidR="004125E7" w:rsidRPr="00C92BDF" w:rsidRDefault="004125E7" w:rsidP="004125E7">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aliskireną.</w:t>
      </w:r>
    </w:p>
    <w:p w14:paraId="1F7441BF"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p>
    <w:p w14:paraId="4A0AF46F" w14:textId="77777777" w:rsidR="004125E7" w:rsidRPr="00C92BDF" w:rsidRDefault="004125E7" w:rsidP="004125E7">
      <w:pPr>
        <w:autoSpaceDE w:val="0"/>
        <w:autoSpaceDN w:val="0"/>
        <w:adjustRightInd w:val="0"/>
        <w:spacing w:after="0" w:line="240" w:lineRule="auto"/>
        <w:rPr>
          <w:rFonts w:ascii="Times New Roman" w:eastAsia="Times New Roman" w:hAnsi="Times New Roman" w:cs="Times New Roman"/>
          <w:color w:val="000000"/>
          <w:lang w:val="lt-LT"/>
        </w:rPr>
      </w:pPr>
      <w:r w:rsidRPr="00C92BDF">
        <w:rPr>
          <w:rFonts w:ascii="Times New Roman" w:eastAsia="Times New Roman" w:hAnsi="Times New Roman" w:cs="Times New Roman"/>
          <w:iCs/>
          <w:color w:val="000000"/>
          <w:lang w:val="lt-LT"/>
        </w:rPr>
        <w:t xml:space="preserve">Jūsų gydytojas gali reguliariai ištirti Jūsų inkstų funkciją, kraujospūdį ir elektrolitų (pvz., kalio) kiekį kraujyje. </w:t>
      </w:r>
    </w:p>
    <w:p w14:paraId="21501B12"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p>
    <w:p w14:paraId="192B45BA" w14:textId="77777777" w:rsidR="004125E7" w:rsidRPr="00C92BDF" w:rsidRDefault="004125E7" w:rsidP="004125E7">
      <w:pPr>
        <w:autoSpaceDE w:val="0"/>
        <w:autoSpaceDN w:val="0"/>
        <w:adjustRightInd w:val="0"/>
        <w:spacing w:after="0" w:line="240" w:lineRule="auto"/>
        <w:rPr>
          <w:rFonts w:ascii="Times New Roman" w:eastAsia="Times New Roman" w:hAnsi="Times New Roman" w:cs="Times New Roman"/>
          <w:color w:val="000000"/>
          <w:lang w:val="lt-LT"/>
        </w:rPr>
      </w:pPr>
      <w:r w:rsidRPr="00C92BDF">
        <w:rPr>
          <w:rFonts w:ascii="Times New Roman" w:eastAsia="Times New Roman" w:hAnsi="Times New Roman" w:cs="Times New Roman"/>
          <w:lang w:val="lt-LT"/>
        </w:rPr>
        <w:t>Taip pat žiūrėkite informaciją, pateiktą poskyryje „</w:t>
      </w:r>
      <w:r w:rsidRPr="00C92BDF">
        <w:rPr>
          <w:rFonts w:ascii="Times New Roman" w:eastAsia="Times New Roman" w:hAnsi="Times New Roman" w:cs="Times New Roman"/>
          <w:color w:val="000000"/>
          <w:lang w:val="lt-LT"/>
        </w:rPr>
        <w:t>Mesar</w:t>
      </w:r>
      <w:r w:rsidRPr="00C92BDF">
        <w:rPr>
          <w:rFonts w:ascii="Times New Roman" w:eastAsia="Times New Roman" w:hAnsi="Times New Roman" w:cs="Times New Roman"/>
          <w:lang w:val="lt-LT"/>
        </w:rPr>
        <w:t xml:space="preserve"> vartoti negalima“.</w:t>
      </w:r>
    </w:p>
    <w:p w14:paraId="2C1EAF49" w14:textId="77777777" w:rsidR="004125E7" w:rsidRPr="00C92BDF" w:rsidRDefault="004125E7" w:rsidP="004125E7">
      <w:pPr>
        <w:spacing w:after="0" w:line="220" w:lineRule="exact"/>
        <w:rPr>
          <w:rFonts w:ascii="Times New Roman" w:eastAsia="Times New Roman" w:hAnsi="Times New Roman" w:cs="Times New Roman"/>
          <w:lang w:val="lt-LT"/>
        </w:rPr>
      </w:pPr>
    </w:p>
    <w:p w14:paraId="30375EA2" w14:textId="77777777" w:rsidR="004125E7" w:rsidRPr="00C92BDF" w:rsidRDefault="004125E7" w:rsidP="004125E7">
      <w:pPr>
        <w:spacing w:after="0" w:line="220" w:lineRule="exact"/>
        <w:rPr>
          <w:rFonts w:ascii="Times New Roman" w:eastAsia="Times New Roman" w:hAnsi="Times New Roman" w:cs="Times New Roman"/>
          <w:lang w:val="lt-LT"/>
        </w:rPr>
      </w:pPr>
      <w:r w:rsidRPr="00C92BDF">
        <w:rPr>
          <w:rFonts w:ascii="Times New Roman" w:eastAsia="Times New Roman" w:hAnsi="Times New Roman" w:cs="Times New Roman"/>
          <w:b/>
          <w:bCs/>
          <w:lang w:val="lt-LT"/>
        </w:rPr>
        <w:t>Pasakykite gydytojui</w:t>
      </w:r>
      <w:r w:rsidRPr="00C92BDF">
        <w:rPr>
          <w:rFonts w:ascii="Times New Roman" w:eastAsia="Times New Roman" w:hAnsi="Times New Roman" w:cs="Times New Roman"/>
          <w:bCs/>
          <w:lang w:val="lt-LT"/>
        </w:rPr>
        <w:t>,</w:t>
      </w:r>
      <w:r w:rsidRPr="00C92BDF">
        <w:rPr>
          <w:rFonts w:ascii="Times New Roman" w:eastAsia="Times New Roman" w:hAnsi="Times New Roman" w:cs="Times New Roman"/>
          <w:b/>
          <w:lang w:val="lt-LT"/>
        </w:rPr>
        <w:t xml:space="preserve"> </w:t>
      </w:r>
      <w:r w:rsidRPr="00C92BDF">
        <w:rPr>
          <w:rFonts w:ascii="Times New Roman" w:eastAsia="Times New Roman" w:hAnsi="Times New Roman" w:cs="Times New Roman"/>
          <w:lang w:val="lt-LT"/>
        </w:rPr>
        <w:t>jei Jums nustatytas bent vienas iš šių sveikatos sutrikimų:</w:t>
      </w:r>
    </w:p>
    <w:p w14:paraId="573641E5"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sutrikusi inkstų veikla;</w:t>
      </w:r>
    </w:p>
    <w:p w14:paraId="578ACE40"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sergate kepenų liga;</w:t>
      </w:r>
    </w:p>
    <w:p w14:paraId="031741D9"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Jums nustatytas širdies veiklos nepakankamumas arba širdies vožtuvų veiklos sutrikimai, širdies raumens pakitimai;</w:t>
      </w:r>
    </w:p>
    <w:p w14:paraId="2E45D815"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stipriai vemiate, viduriuojate, vartojate didelę vaistų, skatinančių šlapimo išsiskyrimą (diuretikų), dozę arba su maistu vartojate mažai druskos;</w:t>
      </w:r>
    </w:p>
    <w:p w14:paraId="487F6497"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Jūsų kraujyje yra padidėjęs kalio kiekis;</w:t>
      </w:r>
    </w:p>
    <w:p w14:paraId="5A42BFDB" w14:textId="77777777" w:rsidR="004125E7" w:rsidRPr="00C92BDF" w:rsidRDefault="004125E7" w:rsidP="004125E7">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Jums nustatyta antinksčių veiklos sutrikimų.</w:t>
      </w:r>
    </w:p>
    <w:p w14:paraId="4DC72DF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D3A5A4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color w:val="222222"/>
          <w:lang w:val="lt-LT"/>
        </w:rPr>
      </w:pPr>
      <w:r w:rsidRPr="00C92BDF">
        <w:rPr>
          <w:rFonts w:ascii="Times New Roman" w:eastAsia="Times New Roman" w:hAnsi="Times New Roman" w:cs="Times New Roman"/>
          <w:color w:val="222222"/>
          <w:lang w:val="lt-LT"/>
        </w:rPr>
        <w:t>Kreipkitės į gydytoją</w:t>
      </w:r>
      <w:r w:rsidRPr="00C92BDF">
        <w:rPr>
          <w:rFonts w:ascii="Times New Roman" w:eastAsia="Times New Roman" w:hAnsi="Times New Roman" w:cs="Times New Roman"/>
          <w:lang w:val="lt-LT"/>
        </w:rPr>
        <w:t xml:space="preserve">, jei atsiranda </w:t>
      </w:r>
      <w:r w:rsidRPr="00C92BDF">
        <w:rPr>
          <w:rFonts w:ascii="Times New Roman" w:eastAsia="Times New Roman" w:hAnsi="Times New Roman" w:cs="Times New Roman"/>
          <w:color w:val="222222"/>
          <w:lang w:val="lt-LT"/>
        </w:rPr>
        <w:t>viduriavimas</w:t>
      </w:r>
      <w:r w:rsidRPr="00C92BDF">
        <w:rPr>
          <w:rFonts w:ascii="Times New Roman" w:eastAsia="Times New Roman" w:hAnsi="Times New Roman" w:cs="Times New Roman"/>
          <w:lang w:val="lt-LT"/>
        </w:rPr>
        <w:t xml:space="preserve">, kuris yra </w:t>
      </w:r>
      <w:r w:rsidRPr="00C92BDF">
        <w:rPr>
          <w:rFonts w:ascii="Times New Roman" w:eastAsia="Times New Roman" w:hAnsi="Times New Roman" w:cs="Times New Roman"/>
          <w:color w:val="222222"/>
          <w:lang w:val="lt-LT"/>
        </w:rPr>
        <w:t>sunkus, nuolatinis</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ir sukelia staigų svorio kritimą.</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Jūsų gydytojas gali</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įvertinti jūsų</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simptomus</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ir</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nuspręsti, kaip</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tęsti kraujospūdį</w:t>
      </w:r>
      <w:r w:rsidRPr="00C92BDF">
        <w:rPr>
          <w:rFonts w:ascii="Times New Roman" w:eastAsia="Times New Roman" w:hAnsi="Times New Roman" w:cs="Times New Roman"/>
          <w:lang w:val="lt-LT"/>
        </w:rPr>
        <w:t xml:space="preserve"> mažinančio </w:t>
      </w:r>
      <w:r w:rsidRPr="00C92BDF">
        <w:rPr>
          <w:rFonts w:ascii="Times New Roman" w:eastAsia="Times New Roman" w:hAnsi="Times New Roman" w:cs="Times New Roman"/>
          <w:color w:val="222222"/>
          <w:lang w:val="lt-LT"/>
        </w:rPr>
        <w:t>vaisto vartojimą.</w:t>
      </w:r>
    </w:p>
    <w:p w14:paraId="72A64CED"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0E2191B" w14:textId="77777777" w:rsidR="00A53D1A" w:rsidRPr="00A53D1A" w:rsidRDefault="00A53D1A"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A53D1A">
        <w:rPr>
          <w:rFonts w:ascii="Times New Roman" w:hAnsi="Times New Roman" w:cs="Times New Roman"/>
          <w:lang w:val="lt-LT"/>
        </w:rPr>
        <w:t>Pasitarkite su gydytoju, jei pavartojus Mesar jaučiate pilvo skausmą, pykinimą, vėmimą arba viduriavimą. Dėl tolesnio gydymo nuspręs Jūsų gydytojas. Nenustokite vartoti Mesar pats.</w:t>
      </w:r>
    </w:p>
    <w:p w14:paraId="2CEA0823" w14:textId="77777777" w:rsidR="00A53D1A" w:rsidRPr="00C92BDF" w:rsidRDefault="00A53D1A"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946ECC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Pacientams, kuriems yra širdies ar smegenų kraujotakos sutrikimų, kaip ir gydantis bet kokiais kitais kraujospūdį mažinančiais vaistais, pernelyg didelis kraujospūdžio sumažėjimas gali sukelti miokardo infarktą arba insultą. Todėl būtina rūpestingai kontroliuoti kraujospūdį; tai atliks gydytojas.</w:t>
      </w:r>
    </w:p>
    <w:p w14:paraId="20F63B6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1519F3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manote, kad esate (</w:t>
      </w:r>
      <w:r w:rsidRPr="00C92BDF">
        <w:rPr>
          <w:rFonts w:ascii="Times New Roman" w:eastAsia="Times New Roman" w:hAnsi="Times New Roman" w:cs="Times New Roman"/>
          <w:u w:val="single"/>
          <w:lang w:val="lt-LT"/>
        </w:rPr>
        <w:t>arba galite tapti</w:t>
      </w:r>
      <w:r w:rsidRPr="00C92BDF">
        <w:rPr>
          <w:rFonts w:ascii="Times New Roman" w:eastAsia="Times New Roman" w:hAnsi="Times New Roman" w:cs="Times New Roman"/>
          <w:lang w:val="lt-LT"/>
        </w:rPr>
        <w:t>) nėščia, turite apie tai pasakyti savo gydytojui. Ankstyvuoju nėštumo laikotarpiu Mesar vartoti nerekomenduojama. Vartojamas po trečio nėštumo mėnesio šis vaistas gali padaryti didžiulės žalos Jūsų kūdikiui, žr. skyrių “Nėštumas ir žindymo laikotarpis“.</w:t>
      </w:r>
    </w:p>
    <w:p w14:paraId="535678D8" w14:textId="77777777" w:rsidR="004125E7" w:rsidRPr="00C92BDF" w:rsidRDefault="004125E7" w:rsidP="004125E7">
      <w:pPr>
        <w:spacing w:after="0" w:line="220" w:lineRule="exact"/>
        <w:rPr>
          <w:rFonts w:ascii="Times New Roman" w:eastAsia="Times New Roman" w:hAnsi="Times New Roman" w:cs="Times New Roman"/>
          <w:b/>
          <w:lang w:val="lt-LT"/>
        </w:rPr>
      </w:pPr>
    </w:p>
    <w:p w14:paraId="3766CB37" w14:textId="77777777" w:rsidR="004125E7" w:rsidRPr="00C92BDF" w:rsidRDefault="004125E7" w:rsidP="004125E7">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Senyvi pacientai</w:t>
      </w:r>
    </w:p>
    <w:p w14:paraId="7D8EC12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Jūs esate vyresnis nei 65 metų, ir Jūsų gydytojas nusprendė padidinti olmesartano medoksomilio dozę iki 40 mg per parą, gydytojas būtinai turi reguliariai tikrinti Jūsų kraujospūdį, kad įsitikintų, jog jis nesumažėjo pernelyg stipriai.</w:t>
      </w:r>
    </w:p>
    <w:p w14:paraId="68954D5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2C4B76E" w14:textId="77777777" w:rsidR="004125E7" w:rsidRPr="00C92BDF" w:rsidRDefault="004125E7" w:rsidP="004125E7">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Juodaodžiai pacientai</w:t>
      </w:r>
    </w:p>
    <w:p w14:paraId="0FBDD2F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Kaip ir vartojant kitus panašius vaistus, Mesar kraujospūdį mažinantis poveikis juodaodžiams yra šiek tiek silpnesnis.</w:t>
      </w:r>
    </w:p>
    <w:p w14:paraId="0053766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CF1D5A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Vaikams ir paaugliams</w:t>
      </w:r>
    </w:p>
    <w:p w14:paraId="049E8D7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Mesar</w:t>
      </w:r>
      <w:r w:rsidRPr="000A1801">
        <w:rPr>
          <w:rFonts w:ascii="Times New Roman" w:eastAsia="Times New Roman" w:hAnsi="Times New Roman" w:cs="Times New Roman"/>
          <w:lang w:val="lt-LT"/>
        </w:rPr>
        <w:t xml:space="preserve"> poveikis tirtas vaikams ir suaugusiesiems. Norint gauti daugiau informacijos, pasitarkite su gydytoju. </w:t>
      </w:r>
      <w:r>
        <w:rPr>
          <w:rFonts w:ascii="Times New Roman" w:eastAsia="Times New Roman" w:hAnsi="Times New Roman" w:cs="Times New Roman"/>
          <w:lang w:val="lt-LT"/>
        </w:rPr>
        <w:t>Mesar</w:t>
      </w:r>
      <w:r w:rsidRPr="000A1801">
        <w:rPr>
          <w:rFonts w:ascii="Times New Roman" w:eastAsia="Times New Roman" w:hAnsi="Times New Roman" w:cs="Times New Roman"/>
          <w:lang w:val="lt-LT"/>
        </w:rPr>
        <w:t xml:space="preserve"> nerekomenduojama vartoti vaikams nuo 1 iki 6 metų, draudžiama vartoti vaikams iki 1 metų, nes nėra vartojimo patyrimo.</w:t>
      </w:r>
    </w:p>
    <w:p w14:paraId="51A6B52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804A40"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Kiti vaistai ir Mesar</w:t>
      </w:r>
    </w:p>
    <w:p w14:paraId="6BAD2BC0"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vartojate ar neseniai vartojote kitų vaistų arba dėl to nesate tikri, apie tai pasakykite gydytojui arba vaistininkui.</w:t>
      </w:r>
    </w:p>
    <w:p w14:paraId="6D744EEC"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p>
    <w:p w14:paraId="22049C69"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color w:val="222222"/>
          <w:lang w:val="lt-LT"/>
        </w:rPr>
        <w:t xml:space="preserve"> Ypač svarbu pasakyti gydytojui arba vaistininkui apie bet kurį iš šių vaistų:</w:t>
      </w:r>
    </w:p>
    <w:p w14:paraId="25F1388B"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kitų kraujospūdį mažinančių vaistų, nes tuomet gali sustiprėti Mesar poveikis ir gali padidėti šalutinio poveikio dažnis. Jūsų gydytojui gali tekti pakeisti Jūsų dozę ir (arba) imtis kitų atsargumo priemonių: jeigu vartojate AKF inhibitorių arba aliskireną (taip pat žiūrėkite informaciją, pateiktą poskyriuose „Mesar vartoti negalima“ ir „Įspėjimai ir atsargumo priemonės“);</w:t>
      </w:r>
    </w:p>
    <w:p w14:paraId="32130284"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lastRenderedPageBreak/>
        <w:t>kalio papildų, druskų, kurių sudėtyje yra kalio, vaistų, kurie skatina</w:t>
      </w:r>
      <w:r w:rsidRPr="00C92BDF">
        <w:rPr>
          <w:rFonts w:ascii="Times New Roman" w:eastAsia="Times New Roman" w:hAnsi="Times New Roman" w:cs="Times New Roman"/>
          <w:lang w:val="lt-LT"/>
        </w:rPr>
        <w:t xml:space="preserve"> šlapimo išsiskyrimą (diuretikų) ar heparino (kraują skystinančio vaisto). Vartojant šiuos vaistus kartu su Mesar, Jūsų kraujyje gali padidėti kalio kiekis;</w:t>
      </w:r>
    </w:p>
    <w:p w14:paraId="1E544983"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ličio preparatų (vaistų, vartojamų esant nuotaikos svyravimui, ar gydyti tam tikroms depresijos formoms), nes juos vartojant kartu su Mesar gali sustiprėti ličio toksinis poveikis. Jei būtina vartoti ličio preparatus, gydytojas paskirs ištirti ličio koncentraciją kraujo serume;</w:t>
      </w:r>
    </w:p>
    <w:p w14:paraId="2294EBFA"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nesteroidinių vaistų nuo uždegimo (NVNU), vartojamų slopinti skausmui, patinimui ir kitiems uždegimo požymiams, tarp jų ir gydyti artritui, vartojant kartu su Mesar, gali padidėti inkstų nepakankamumo rizika. NVNU gali susilpninti Mesar poveikį;</w:t>
      </w:r>
    </w:p>
    <w:p w14:paraId="462D90F0"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kolesevelamo hidrochlorido (vaisto, kuris mažina cholesterolio koncentraciją Jūsų kraujyje), nes Mesar poveikis gali būti silpnesnis. Jūsų gydytojas Jums patars vartoti Mesar bent 4 val. prieš geriant kolesevelamo hidrochlorido;</w:t>
      </w:r>
    </w:p>
    <w:p w14:paraId="5D1E2D17" w14:textId="77777777" w:rsidR="004125E7" w:rsidRPr="00C92BDF" w:rsidRDefault="004125E7" w:rsidP="004125E7">
      <w:pPr>
        <w:numPr>
          <w:ilvl w:val="0"/>
          <w:numId w:val="6"/>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 kurių skrandžio rūgštingumą mažinančių vaistų (vaistų nuo rėmens ir virškinimo sutrikimų), nes gali nežymiai susilpnėti Mesar poveikis.</w:t>
      </w:r>
    </w:p>
    <w:p w14:paraId="69B4A66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2603EC4" w14:textId="77777777" w:rsidR="004125E7" w:rsidRPr="00C92BDF" w:rsidRDefault="004125E7" w:rsidP="004125E7">
      <w:pPr>
        <w:keepNext/>
        <w:spacing w:after="0" w:line="240" w:lineRule="auto"/>
        <w:outlineLvl w:val="3"/>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Mesar vartojimas su maistu ir gėrimais</w:t>
      </w:r>
    </w:p>
    <w:p w14:paraId="5154C96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galima vartoti tiek valgant, tiek nevalgius.</w:t>
      </w:r>
    </w:p>
    <w:p w14:paraId="3CBE88D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493C06B" w14:textId="77777777" w:rsidR="004125E7" w:rsidRPr="00C92BDF" w:rsidRDefault="004125E7" w:rsidP="004125E7">
      <w:pPr>
        <w:keepNext/>
        <w:spacing w:after="0" w:line="240" w:lineRule="auto"/>
        <w:outlineLvl w:val="3"/>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Nėštumas</w:t>
      </w:r>
      <w:r w:rsidRPr="00C92BDF">
        <w:rPr>
          <w:rFonts w:ascii="Times New Roman" w:eastAsia="Times New Roman" w:hAnsi="Times New Roman" w:cs="Times New Roman"/>
          <w:lang w:val="lt-LT" w:eastAsia="lt-LT"/>
        </w:rPr>
        <w:t xml:space="preserve"> </w:t>
      </w:r>
      <w:r w:rsidRPr="00C92BDF">
        <w:rPr>
          <w:rFonts w:ascii="Times New Roman" w:eastAsia="Times New Roman" w:hAnsi="Times New Roman" w:cs="Times New Roman"/>
          <w:b/>
          <w:lang w:val="lt-LT" w:eastAsia="lt-LT"/>
        </w:rPr>
        <w:t>ir žindymo laikotarpis</w:t>
      </w:r>
    </w:p>
    <w:p w14:paraId="6349CACC" w14:textId="77777777" w:rsidR="004125E7" w:rsidRPr="00C92BDF" w:rsidRDefault="004125E7" w:rsidP="004125E7">
      <w:pPr>
        <w:spacing w:after="0" w:line="240" w:lineRule="auto"/>
        <w:rPr>
          <w:rFonts w:ascii="Times New Roman" w:eastAsia="Times New Roman" w:hAnsi="Times New Roman" w:cs="Times New Roman"/>
          <w:sz w:val="20"/>
          <w:lang w:val="lt-LT" w:eastAsia="lt-LT"/>
        </w:rPr>
      </w:pPr>
    </w:p>
    <w:p w14:paraId="20F5CCC0" w14:textId="77777777" w:rsidR="004125E7" w:rsidRPr="00C92BDF" w:rsidRDefault="004125E7" w:rsidP="004125E7">
      <w:pPr>
        <w:spacing w:after="0" w:line="240" w:lineRule="auto"/>
        <w:rPr>
          <w:rFonts w:ascii="Times New Roman" w:eastAsia="Times New Roman" w:hAnsi="Times New Roman" w:cs="Times New Roman"/>
          <w:sz w:val="20"/>
          <w:lang w:val="lt-LT" w:eastAsia="lt-LT"/>
        </w:rPr>
      </w:pPr>
      <w:r w:rsidRPr="00C92BDF">
        <w:rPr>
          <w:rFonts w:ascii="Times New Roman" w:eastAsia="Times New Roman" w:hAnsi="Times New Roman" w:cs="Times New Roman"/>
          <w:b/>
          <w:lang w:val="lt-LT" w:eastAsia="lt-LT"/>
        </w:rPr>
        <w:t>Nėštumas</w:t>
      </w:r>
    </w:p>
    <w:p w14:paraId="10BCB706"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w:t>
      </w:r>
    </w:p>
    <w:p w14:paraId="32C6096B"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Gydytojas lieps Jums nebevartoti Mesar prieš planuojant pastoti arba iš karto sužinojus apie nėštumą, ir vietoje jo paskirs kitą vaistą. Mesar yra nerekomenduojamas ankstyvojo nėštumo laikotarpiu ir negali būti vartojamas, jei esate daugiau kaip tris mėnesius nėščia, nes tuomet jis gali labai pakenkti Jūsų kūdikiui.</w:t>
      </w:r>
    </w:p>
    <w:p w14:paraId="72641619"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04B0C12F" w14:textId="77777777" w:rsidR="004125E7" w:rsidRPr="00C92BDF" w:rsidRDefault="004125E7" w:rsidP="004125E7">
      <w:pPr>
        <w:spacing w:after="0" w:line="240" w:lineRule="auto"/>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Žindymas</w:t>
      </w:r>
    </w:p>
    <w:p w14:paraId="0BEFE48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Pasakykite savo gydytojui, jei maitinate krūtimi ar ruošiatės pradėti tai daryti. Mesar nerekomenduojamas krūtimi maitinančioms motinoms; jei motina nori maitinti krūtimi, gydytojas gali paskirti kitą vaistą, ypač jei naujagimis gimė prieš laiką.</w:t>
      </w:r>
    </w:p>
    <w:p w14:paraId="0D1F726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A73AA7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t>Jeigu esate nėščia, žindote kūdikį, manote, kad galbūt esate nėščia, arba planuojate pastoti, tai prieš vartodama šį vaistą, pasitarkite</w:t>
      </w:r>
      <w:r w:rsidRPr="00C92BDF">
        <w:rPr>
          <w:rFonts w:ascii="Times New Roman" w:eastAsia="Times New Roman" w:hAnsi="Times New Roman" w:cs="Times New Roman"/>
          <w:lang w:val="lt-LT"/>
        </w:rPr>
        <w:t xml:space="preserve"> su gydytoju arba vaistininku.</w:t>
      </w:r>
    </w:p>
    <w:p w14:paraId="125F45B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C013C17" w14:textId="77777777" w:rsidR="004125E7" w:rsidRPr="00C92BDF" w:rsidRDefault="004125E7" w:rsidP="004125E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Vairavimas ir mechanizmų valdymas</w:t>
      </w:r>
    </w:p>
    <w:p w14:paraId="066B1F5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Vartojant vaistus nuo padidėjusio kraujospūdžio, gali atsirasti mieguistumas ir galvos svaigimas. Nevairuokite ir nevaldykite mechanizmų, kol šie simptomai išnyks. Prieš imdamiesi minėtos veiklos pasitarkite su gydytoju.</w:t>
      </w:r>
    </w:p>
    <w:p w14:paraId="569D1BB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43C817C" w14:textId="77777777" w:rsidR="004125E7" w:rsidRPr="00C92BDF" w:rsidRDefault="004125E7" w:rsidP="004125E7">
      <w:pPr>
        <w:spacing w:after="0" w:line="240" w:lineRule="auto"/>
        <w:rPr>
          <w:rFonts w:ascii="Times New Roman" w:eastAsia="Times New Roman" w:hAnsi="Times New Roman" w:cs="Times New Roman"/>
          <w:b/>
          <w:bCs/>
          <w:lang w:val="lt-LT"/>
        </w:rPr>
      </w:pPr>
      <w:r w:rsidRPr="00C92BDF">
        <w:rPr>
          <w:rFonts w:ascii="Times New Roman" w:eastAsia="Times New Roman" w:hAnsi="Times New Roman" w:cs="Times New Roman"/>
          <w:b/>
          <w:lang w:val="lt-LT"/>
        </w:rPr>
        <w:t>Mesar</w:t>
      </w:r>
      <w:r w:rsidRPr="00C92BDF">
        <w:rPr>
          <w:rFonts w:ascii="Times New Roman" w:eastAsia="Times New Roman" w:hAnsi="Times New Roman" w:cs="Times New Roman"/>
          <w:b/>
          <w:bCs/>
          <w:lang w:val="lt-LT"/>
        </w:rPr>
        <w:t xml:space="preserve"> sudėtyje yra laktozės</w:t>
      </w:r>
    </w:p>
    <w:p w14:paraId="00405BA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sudėtyje yra laktozės (vienos iš cukraus rūšių). Jeigu gydytojas Jums yra sakęs, kad netoleruojate kokių nors angliavandenių, kreipkitės į jį prieš pradėdami vartoti šį vaistą.</w:t>
      </w:r>
    </w:p>
    <w:p w14:paraId="4007B9F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376962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76AE7FF"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3.</w:t>
      </w:r>
      <w:r w:rsidRPr="00C92BDF">
        <w:rPr>
          <w:rFonts w:ascii="Times New Roman" w:eastAsia="Times New Roman" w:hAnsi="Times New Roman" w:cs="Times New Roman"/>
          <w:b/>
          <w:lang w:val="lt-LT"/>
        </w:rPr>
        <w:tab/>
        <w:t xml:space="preserve">Kaip vartoti Mesar </w:t>
      </w:r>
    </w:p>
    <w:p w14:paraId="5B532AA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099379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Visada vartokite šį vaistą tiksliai, kaip nurodė gydytojas. Jeigu abejojate, kreipkitės į gydytoją arba vaistininką. </w:t>
      </w:r>
    </w:p>
    <w:p w14:paraId="30F688A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CE53E9D" w14:textId="77777777" w:rsidR="004125E7" w:rsidRPr="00C92BDF" w:rsidRDefault="004125E7" w:rsidP="004125E7">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Suaugusiems žmonėms</w:t>
      </w:r>
    </w:p>
    <w:p w14:paraId="01A005F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Rekomenduojama dozė vartojimo pradžioje yra 10 mg vieną kartą per parą. Tačiau jei Jūsų kraujospūdis lieka nenormalus, Jūsų gydytojas gali nuspręsti padidinti dozę iki 20 ar 40 mg vieną kartą per parą arba paskirti vartoti dar kitų vaistų.</w:t>
      </w:r>
    </w:p>
    <w:p w14:paraId="7311DB86"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p>
    <w:p w14:paraId="0F1F9B1F"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Žmonėms, kurių inkstų veikla sutrikusi</w:t>
      </w:r>
    </w:p>
    <w:p w14:paraId="4A8EA171"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Jei Jums nustatyta lengva arba vidutinio sunkumo inkstų liga, Jūsų dozė negali būti didesnė nei 20 mg vieną kartą per parą.</w:t>
      </w:r>
    </w:p>
    <w:p w14:paraId="5CD45A32"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p>
    <w:p w14:paraId="59950A74" w14:textId="77777777" w:rsidR="004125E7" w:rsidRPr="00C92BDF" w:rsidRDefault="004125E7" w:rsidP="004125E7">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Žmonėms, kurių kepenų veikla sutrikusi</w:t>
      </w:r>
    </w:p>
    <w:p w14:paraId="45BED942"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Jums nustatytas lengvas kepenų veiklos sutrikimas, dozės koreguoti nereikia. Jeigu vidutinio sunkumo kepenų veiklos sutrikimas, iš pradžių patariama vartoti po 10 mg, o didžiausia dozė neturi viršyti 20 mg vieną kartą per parą. Jeigu Jūs abejojate dėl savo kepenų veiklos, pasikonsultuokite su savo gydytoju prieš pradėdami vartoti olmesartano medoksomilį.</w:t>
      </w:r>
    </w:p>
    <w:p w14:paraId="45A1A001"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p>
    <w:p w14:paraId="648416D6" w14:textId="77777777" w:rsidR="004125E7" w:rsidRPr="006E648A" w:rsidRDefault="004125E7" w:rsidP="004125E7">
      <w:pPr>
        <w:autoSpaceDE w:val="0"/>
        <w:autoSpaceDN w:val="0"/>
        <w:spacing w:after="0" w:line="240" w:lineRule="auto"/>
        <w:rPr>
          <w:rFonts w:ascii="Times New Roman" w:eastAsia="MS Mincho" w:hAnsi="Times New Roman" w:cs="Times New Roman"/>
          <w:b/>
          <w:shd w:val="clear" w:color="auto" w:fill="FFFFFF"/>
          <w:lang w:val="lt-LT" w:eastAsia="ja-JP"/>
        </w:rPr>
      </w:pPr>
      <w:r w:rsidRPr="006E648A">
        <w:rPr>
          <w:rFonts w:ascii="Times New Roman" w:eastAsia="MS Mincho" w:hAnsi="Times New Roman" w:cs="Times New Roman"/>
          <w:b/>
          <w:shd w:val="clear" w:color="auto" w:fill="FFFFFF"/>
          <w:lang w:val="lt-LT" w:eastAsia="ja-JP"/>
        </w:rPr>
        <w:t>Vaikai ir paaugliai nuo 6 iki 18 metų</w:t>
      </w:r>
    </w:p>
    <w:p w14:paraId="3A6CECBB"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r w:rsidRPr="006E648A">
        <w:rPr>
          <w:rFonts w:ascii="Times New Roman" w:eastAsia="MS Mincho" w:hAnsi="Times New Roman" w:cs="Times New Roman"/>
          <w:shd w:val="clear" w:color="auto" w:fill="FFFFFF"/>
          <w:lang w:val="lt-LT" w:eastAsia="ja-JP"/>
        </w:rPr>
        <w:t xml:space="preserve">Rekomenduojama pradinė dozė yra 10 mg vieną kartą per parą. Vaikams, kurių kraujospūdis vartojant šią </w:t>
      </w:r>
      <w:r>
        <w:rPr>
          <w:rFonts w:ascii="Times New Roman" w:eastAsia="MS Mincho" w:hAnsi="Times New Roman" w:cs="Times New Roman"/>
          <w:shd w:val="clear" w:color="auto" w:fill="FFFFFF"/>
          <w:lang w:val="lt-LT" w:eastAsia="ja-JP"/>
        </w:rPr>
        <w:t>dozę tinkamai nekontroliuojamas,</w:t>
      </w:r>
      <w:r w:rsidRPr="006E648A">
        <w:rPr>
          <w:rFonts w:ascii="Times New Roman" w:eastAsia="MS Mincho" w:hAnsi="Times New Roman" w:cs="Times New Roman"/>
          <w:shd w:val="clear" w:color="auto" w:fill="FFFFFF"/>
          <w:lang w:val="lt-LT" w:eastAsia="ja-JP"/>
        </w:rPr>
        <w:t xml:space="preserve"> gydytojas gali padidinti dozę iki 20 mg arba 40 mg vieną kartą per parą. Vaikams, kurių kūno svoris &lt; 35 kg, negalima viršyti 20 mg vieną kartą per parą</w:t>
      </w:r>
      <w:r>
        <w:rPr>
          <w:rFonts w:ascii="Times New Roman" w:eastAsia="MS Mincho" w:hAnsi="Times New Roman" w:cs="Times New Roman"/>
          <w:shd w:val="clear" w:color="auto" w:fill="FFFFFF"/>
          <w:lang w:val="lt-LT" w:eastAsia="ja-JP"/>
        </w:rPr>
        <w:t xml:space="preserve"> </w:t>
      </w:r>
      <w:r w:rsidRPr="006E648A">
        <w:rPr>
          <w:rFonts w:ascii="Times New Roman" w:eastAsia="MS Mincho" w:hAnsi="Times New Roman" w:cs="Times New Roman"/>
          <w:shd w:val="clear" w:color="auto" w:fill="FFFFFF"/>
          <w:lang w:val="lt-LT" w:eastAsia="ja-JP"/>
        </w:rPr>
        <w:t>dozės.</w:t>
      </w:r>
    </w:p>
    <w:p w14:paraId="7FC2855E"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p>
    <w:p w14:paraId="64835345" w14:textId="77777777" w:rsidR="004125E7" w:rsidRPr="00C92BDF" w:rsidRDefault="004125E7" w:rsidP="004125E7">
      <w:pPr>
        <w:tabs>
          <w:tab w:val="left" w:pos="567"/>
        </w:tabs>
        <w:spacing w:after="0" w:line="240" w:lineRule="auto"/>
        <w:rPr>
          <w:rFonts w:ascii="Times New Roman" w:eastAsia="Times New Roman" w:hAnsi="Times New Roman" w:cs="Times New Roman"/>
          <w:u w:val="single"/>
          <w:lang w:val="lt-LT"/>
        </w:rPr>
      </w:pPr>
      <w:r w:rsidRPr="00C92BDF">
        <w:rPr>
          <w:rFonts w:ascii="Times New Roman" w:eastAsia="Times New Roman" w:hAnsi="Times New Roman" w:cs="Times New Roman"/>
          <w:u w:val="single"/>
          <w:lang w:val="lt-LT"/>
        </w:rPr>
        <w:t>Vartojimo būdas</w:t>
      </w:r>
    </w:p>
    <w:p w14:paraId="1D1E5C1B"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galima gerti tiek valgant, tiek nevalgius. Tabletes nurykite nekramtytas, užsigerdami nedideliu vandens kiekiu (pvz. stikline). Jei įmanoma, paros dozę kasdien patartina gerti tokiu pačiu paros metu, pvz., pusryčiaujant.</w:t>
      </w:r>
    </w:p>
    <w:p w14:paraId="30C029B6" w14:textId="77777777" w:rsidR="004125E7" w:rsidRPr="00C92BDF" w:rsidRDefault="004125E7" w:rsidP="004125E7">
      <w:pPr>
        <w:tabs>
          <w:tab w:val="left" w:pos="567"/>
        </w:tabs>
        <w:spacing w:after="0" w:line="240" w:lineRule="auto"/>
        <w:rPr>
          <w:rFonts w:ascii="Times New Roman" w:eastAsia="Times New Roman" w:hAnsi="Times New Roman" w:cs="Times New Roman"/>
          <w:lang w:val="lt-LT"/>
        </w:rPr>
      </w:pPr>
    </w:p>
    <w:p w14:paraId="570D03E8"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 xml:space="preserve">Ką daryti </w:t>
      </w:r>
      <w:r w:rsidRPr="00C92BDF">
        <w:rPr>
          <w:rFonts w:ascii="Times New Roman" w:eastAsia="Times New Roman" w:hAnsi="Times New Roman" w:cs="Times New Roman"/>
          <w:b/>
          <w:noProof/>
          <w:lang w:val="lt-LT"/>
        </w:rPr>
        <w:t>pavartojus per didelę Mesar dozę?</w:t>
      </w:r>
    </w:p>
    <w:p w14:paraId="295BBE7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iš karto išgėrėte daugiau Mesar tablečių negu reikia, arba jei vaisto atsitiktinai nurijo vaikas, nedelsdami kreipkitės į gydytoją arba artimiausios ligoninės skubios medicinos pagalbos skyrių. Su savimi pasiimkite vaisto pakuotę.</w:t>
      </w:r>
    </w:p>
    <w:p w14:paraId="3FA787C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910598D"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Pamiršus pavartoti Mesar</w:t>
      </w:r>
    </w:p>
    <w:p w14:paraId="2348268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Pamiršus pavartoti Mesar, išgerkite įprastą dozę kitą dieną įprastu laiku. </w:t>
      </w:r>
    </w:p>
    <w:p w14:paraId="21FBCF22" w14:textId="77777777" w:rsidR="004125E7" w:rsidRPr="00C92BDF" w:rsidRDefault="004125E7" w:rsidP="004125E7">
      <w:pPr>
        <w:spacing w:after="0" w:line="240" w:lineRule="auto"/>
        <w:jc w:val="both"/>
        <w:rPr>
          <w:rFonts w:ascii="Times New Roman" w:eastAsia="Times New Roman" w:hAnsi="Times New Roman" w:cs="Times New Roman"/>
          <w:lang w:val="it-IT" w:eastAsia="lt-LT"/>
        </w:rPr>
      </w:pPr>
      <w:r w:rsidRPr="00C92BDF">
        <w:rPr>
          <w:rFonts w:ascii="Times New Roman" w:eastAsia="Times New Roman" w:hAnsi="Times New Roman" w:cs="Times New Roman"/>
          <w:lang w:val="it-IT" w:eastAsia="lt-LT"/>
        </w:rPr>
        <w:t>Negalima vartoti papildomų tablečių norint kompensuoti praleistą dozę.</w:t>
      </w:r>
    </w:p>
    <w:p w14:paraId="5446120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F2DBB95"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Nustojus vartoti Mesar</w:t>
      </w:r>
    </w:p>
    <w:p w14:paraId="3882095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Svarbu vartoti Mesar tol, kol gydytojas nenurodys nustoti vartoti.</w:t>
      </w:r>
    </w:p>
    <w:p w14:paraId="6FAD09A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C5804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kiltų daugiau klausimų dėl šio vaisto vartojimo, kreipkitės į gydytoją arba vaistininką.</w:t>
      </w:r>
    </w:p>
    <w:p w14:paraId="37A7776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E9C325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944D701"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4.</w:t>
      </w:r>
      <w:r w:rsidRPr="00C92BDF">
        <w:rPr>
          <w:rFonts w:ascii="Times New Roman" w:eastAsia="Times New Roman" w:hAnsi="Times New Roman" w:cs="Times New Roman"/>
          <w:b/>
          <w:lang w:val="lt-LT"/>
        </w:rPr>
        <w:tab/>
        <w:t>Galimas šalutinis poveikis</w:t>
      </w:r>
    </w:p>
    <w:p w14:paraId="20F9043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22F34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Šis vaistas, kaip ir visi kiti, gali sukelti šalutinį poveikį, nors jis pasireiškia ne visiems žmonėms.</w:t>
      </w:r>
    </w:p>
    <w:p w14:paraId="33DB5045"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jis pasireiškia, dažniausiai būna silpnas ir dėl to vaisto vartojimo nutraukti neprireikia.</w:t>
      </w:r>
    </w:p>
    <w:p w14:paraId="7FA3355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334329D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Nors pasitaiko tik nedaugeliui ligonių, toliau paminėti šalutinio poveikio požymiai gali būti sunkūs.</w:t>
      </w:r>
    </w:p>
    <w:p w14:paraId="32AA17D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26280E8"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i/>
          <w:lang w:val="lt-LT"/>
        </w:rPr>
        <w:t>Retai (gali pasireikšti iki 1 iš 1000 pacientų)</w:t>
      </w:r>
      <w:r w:rsidRPr="00C92BDF">
        <w:rPr>
          <w:rFonts w:ascii="Times New Roman" w:eastAsia="Times New Roman" w:hAnsi="Times New Roman" w:cs="Times New Roman"/>
          <w:lang w:val="lt-LT"/>
        </w:rPr>
        <w:t xml:space="preserve"> pasitaiko tokios alerginės reakcijos, kurios gali pasireikšti visame kūne: gydymo Mesar metu gali atsirasti veido, burnos, liežuvio ir (arba) gerklų patinimas kartu su niežuliu ir išbėrimu. </w:t>
      </w:r>
      <w:r w:rsidRPr="00C92BDF">
        <w:rPr>
          <w:rFonts w:ascii="Times New Roman" w:eastAsia="Times New Roman" w:hAnsi="Times New Roman" w:cs="Times New Roman"/>
          <w:b/>
          <w:lang w:val="lt-LT"/>
        </w:rPr>
        <w:t>Jei taip nutiko, nutraukite Mesar vartojimą ir nedelsiant kreipkitės į gydytoją.</w:t>
      </w:r>
    </w:p>
    <w:p w14:paraId="57F81547" w14:textId="77777777" w:rsidR="004125E7" w:rsidRPr="00C92BDF" w:rsidRDefault="004125E7" w:rsidP="004125E7">
      <w:pPr>
        <w:spacing w:after="0" w:line="240" w:lineRule="auto"/>
        <w:rPr>
          <w:rFonts w:ascii="Times New Roman" w:eastAsia="Times New Roman" w:hAnsi="Times New Roman" w:cs="Times New Roman"/>
          <w:lang w:val="lt-LT"/>
        </w:rPr>
      </w:pPr>
    </w:p>
    <w:p w14:paraId="63552C31"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bCs/>
          <w:i/>
          <w:lang w:val="lt-LT"/>
        </w:rPr>
        <w:t>Retai (gali pasireikšti iki 1 iš 1000 pacientų)</w:t>
      </w:r>
      <w:r w:rsidRPr="00C92BDF">
        <w:rPr>
          <w:rFonts w:ascii="Times New Roman" w:eastAsia="Times New Roman" w:hAnsi="Times New Roman" w:cs="Times New Roman"/>
          <w:lang w:val="lt-LT"/>
        </w:rPr>
        <w:t>,</w:t>
      </w:r>
      <w:r w:rsidRPr="00C92BDF">
        <w:rPr>
          <w:rFonts w:ascii="Times New Roman" w:eastAsia="Times New Roman" w:hAnsi="Times New Roman" w:cs="Times New Roman"/>
          <w:i/>
          <w:lang w:val="lt-LT"/>
        </w:rPr>
        <w:t xml:space="preserve"> </w:t>
      </w:r>
      <w:r w:rsidRPr="00C92BDF">
        <w:rPr>
          <w:rFonts w:ascii="Times New Roman" w:eastAsia="Times New Roman" w:hAnsi="Times New Roman" w:cs="Times New Roman"/>
          <w:lang w:val="lt-LT"/>
        </w:rPr>
        <w:t xml:space="preserve">(šiek tiek dažniau senyviems pacientams) kai kuriems jautriems asmenims Mesar gali per daug sumažinti kraujospūdį arba sukelti alerginę reakciją. Tai gali sukelti stiprų galvos svaigimą arba alpimus. </w:t>
      </w:r>
      <w:r w:rsidRPr="00C92BDF">
        <w:rPr>
          <w:rFonts w:ascii="Times New Roman" w:eastAsia="Times New Roman" w:hAnsi="Times New Roman" w:cs="Times New Roman"/>
          <w:b/>
          <w:lang w:val="lt-LT"/>
        </w:rPr>
        <w:t>Jei taip atsitiko, nutraukite Mesar vartojimą, nedelsiant kvieskite gydytoją ir atsigulkite horizontaliai.</w:t>
      </w:r>
    </w:p>
    <w:p w14:paraId="558D471D" w14:textId="77777777" w:rsidR="004125E7" w:rsidRDefault="004125E7" w:rsidP="004125E7">
      <w:pPr>
        <w:spacing w:after="0" w:line="240" w:lineRule="auto"/>
        <w:rPr>
          <w:rFonts w:ascii="Times New Roman" w:eastAsia="Times New Roman" w:hAnsi="Times New Roman" w:cs="Times New Roman"/>
          <w:lang w:val="lt-LT"/>
        </w:rPr>
      </w:pPr>
    </w:p>
    <w:p w14:paraId="27EE1248" w14:textId="77777777" w:rsidR="004125E7" w:rsidRPr="0034669C" w:rsidRDefault="004125E7" w:rsidP="004125E7">
      <w:pPr>
        <w:spacing w:after="0" w:line="240" w:lineRule="auto"/>
        <w:rPr>
          <w:rFonts w:ascii="Times New Roman" w:eastAsia="Times New Roman" w:hAnsi="Times New Roman" w:cs="Times New Roman"/>
          <w:lang w:val="lt-LT"/>
        </w:rPr>
      </w:pPr>
      <w:r w:rsidRPr="00E62BE2">
        <w:rPr>
          <w:rFonts w:ascii="Times New Roman" w:hAnsi="Times New Roman"/>
          <w:lang w:val="lt-LT"/>
        </w:rPr>
        <w:t>Dažnis nežinomas: Jeigu pagelstų Jūsų akių baltymai, patamsėtų šlapimas, imtų niežėti oda, net jei gydymą Mesar pradėjote seniau, nedelsdami kreipkitės į savo gydytoją, kuris įvertins Jūsų simptomus ir nuspręs, kaip tęsti Jūsų gydymą vaistais nuo kraujospūdžio.</w:t>
      </w:r>
    </w:p>
    <w:p w14:paraId="73401976" w14:textId="77777777" w:rsidR="004125E7" w:rsidRPr="00C92BDF" w:rsidRDefault="004125E7" w:rsidP="004125E7">
      <w:pPr>
        <w:spacing w:after="0" w:line="240" w:lineRule="auto"/>
        <w:rPr>
          <w:rFonts w:ascii="Times New Roman" w:eastAsia="Times New Roman" w:hAnsi="Times New Roman" w:cs="Times New Roman"/>
          <w:lang w:val="lt-LT"/>
        </w:rPr>
      </w:pPr>
    </w:p>
    <w:p w14:paraId="7D1DC4BE"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Žemiau išvardyti šalutinio poveikio požymiai nustatyti vartojant Mesar.</w:t>
      </w:r>
    </w:p>
    <w:p w14:paraId="7A11970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FDC821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lastRenderedPageBreak/>
        <w:t>Dažni (gali pasireikšti iki 1 iš 10 pacientų)</w:t>
      </w:r>
    </w:p>
    <w:p w14:paraId="1977D1B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Galvos svaigimas, galvos skausmas, pykinimas, sutrikęs virškinimas, viduriavimas, skrandžio skausmas, skrandžio ir žarnų uždegimas (gastroenteritas), nuovargis, gerklės skausmas, sloga ar užsikimšusi nosis, bronchitas, į gripą panašūs simptomai, kosulys, skausmas, krūtinės, nugaros, kaulų arba sąnarių skausmas, šlapimo takų infekcija, kulkšnių, pėdų, kojų, rankų ar plaštakų patinimas, kraujas šlapime.</w:t>
      </w:r>
    </w:p>
    <w:p w14:paraId="24B57B7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14EC5E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Pasitaiko tokių kraujo tyrimų pakitimų: riebalų kiekio kraujyje padidėjimas (hipertrigliceridemija), urėjos kiekio padidėjimas (hiperurikemija), padidėjęs urėjos kiekis kraujyje, kepenų ir raumenų funkciją atspindinčių rodmenų padidėjimas.</w:t>
      </w:r>
    </w:p>
    <w:p w14:paraId="260BB6F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A76FF7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Nedažni (gali pasireikšti iki 1 iš 100 pacientų)</w:t>
      </w:r>
    </w:p>
    <w:p w14:paraId="32335AFD" w14:textId="77777777" w:rsidR="004125E7" w:rsidRPr="00C92BDF" w:rsidRDefault="004125E7" w:rsidP="004125E7">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Greitos alerginės reakcijos, kurios gali paveikti visą organizmą ir gali sukelti kvėpavimo problemų, taip pat staigus kraujo spaudimo sumažėjimas, kuris gali sukelti net apalpimą (anafilaksinės reakcijos), veido patinimas, galvos svaigimas, vėmimas, silpnumas, bloga savijauta, raumenų skausmas, odos bėrimas, alerginis odos bėrimas, niežulys, egzantema (odos bėrimas), odos mazgeliai, krūtinės angina (skausmas arba nemalonus pojūtis krūtinėje).</w:t>
      </w:r>
    </w:p>
    <w:p w14:paraId="77365ED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BE07FFE"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Kraujo tyrimuose buvo pastebėtas sumažėjęs kraujo plokštelių (trombocitų), kiekis (taip vadinamoji trombocitopenija).</w:t>
      </w:r>
    </w:p>
    <w:p w14:paraId="6E9B2E14"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5243AA6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Reti (gali pasireikšti iki 1 iš 1000 pacientų)</w:t>
      </w:r>
    </w:p>
    <w:p w14:paraId="08EC217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Energijos stoka, raumenų spazmai, inkstų veikos sutrikimas, inkstų nepakankamumas, kalio kiekio padidėjimas kraujyje (hiperkaliemija) ir su inkstų funkcija susijusių medžiagų kiekio padidėjimas.</w:t>
      </w:r>
    </w:p>
    <w:p w14:paraId="65CD4825" w14:textId="77777777" w:rsidR="004125E7" w:rsidRPr="00D62F27" w:rsidRDefault="00D62F27" w:rsidP="004125E7">
      <w:pPr>
        <w:tabs>
          <w:tab w:val="left" w:pos="540"/>
          <w:tab w:val="left" w:pos="2127"/>
          <w:tab w:val="left" w:pos="2977"/>
        </w:tabs>
        <w:spacing w:after="0" w:line="240" w:lineRule="auto"/>
        <w:rPr>
          <w:rFonts w:ascii="Times New Roman" w:hAnsi="Times New Roman" w:cs="Times New Roman"/>
          <w:lang w:val="lt-LT"/>
        </w:rPr>
      </w:pPr>
      <w:r w:rsidRPr="00D62F27">
        <w:rPr>
          <w:rFonts w:ascii="Times New Roman" w:hAnsi="Times New Roman" w:cs="Times New Roman"/>
          <w:lang w:val="lt-LT"/>
        </w:rPr>
        <w:t>Žarnyno angioneurozinė edema: tinimas žarnyne, pasireiškiantis tokiais simptomais kaip pilvo skausmas, pykinimas, vėmimas ir viduriavimas.</w:t>
      </w:r>
    </w:p>
    <w:p w14:paraId="0F5592D4" w14:textId="77777777" w:rsidR="00D62F27" w:rsidRPr="00D62F27" w:rsidRDefault="00D62F2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0EE8B4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Labai reti (gali pasireikšti iki 1 iš 10000 pacientų)</w:t>
      </w:r>
    </w:p>
    <w:p w14:paraId="3A613E5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Žarnų liga, vadinama į celiakiją panašia enteropatija.</w:t>
      </w:r>
    </w:p>
    <w:p w14:paraId="3FA06D0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882DFC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Papildomi šalutiniai poveikiai stebėti vaikams ir paaugliams</w:t>
      </w:r>
    </w:p>
    <w:p w14:paraId="1FCFF7B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Vaikams šalutiniai reiškiniai buvo panašūs į suaugusiųjų. Tačiau vaikams dažniau pasitaikė galvos svaigimas ir galvos skausmas, o kraujavimas iš nosies buvo įprastas šalutinis reiškinys ir nustatytas tik vaikams.</w:t>
      </w:r>
    </w:p>
    <w:p w14:paraId="085FDFB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115F89F" w14:textId="77777777" w:rsidR="004125E7" w:rsidRPr="00C92BDF" w:rsidRDefault="004125E7" w:rsidP="004125E7">
      <w:pPr>
        <w:spacing w:after="0" w:line="240" w:lineRule="auto"/>
        <w:rPr>
          <w:rFonts w:ascii="Times New Roman" w:eastAsia="Times New Roman" w:hAnsi="Times New Roman" w:cs="Times New Roman"/>
          <w:b/>
          <w:noProof/>
          <w:lang w:val="lt-LT" w:eastAsia="lt-LT"/>
        </w:rPr>
      </w:pPr>
      <w:r w:rsidRPr="00C92BDF">
        <w:rPr>
          <w:rFonts w:ascii="Times New Roman" w:eastAsia="Times New Roman" w:hAnsi="Times New Roman" w:cs="Times New Roman"/>
          <w:b/>
          <w:noProof/>
          <w:lang w:val="lt-LT" w:eastAsia="lt-LT"/>
        </w:rPr>
        <w:t>Pranešimas apie šalutinį poveikį</w:t>
      </w:r>
    </w:p>
    <w:p w14:paraId="22EFCBB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w:t>
      </w:r>
      <w:r w:rsidRPr="00E62BE2">
        <w:rPr>
          <w:rFonts w:ascii="Times New Roman" w:hAnsi="Times New Roman"/>
          <w:lang w:val="lt-LT"/>
        </w:rPr>
        <w:t>Pranešdami apie šalutinį poveikį galite mums padėti gauti daugiau informacijos apie šio vaisto saugumą.</w:t>
      </w:r>
    </w:p>
    <w:p w14:paraId="64682C0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B6D4FD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B9C183B"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5.</w:t>
      </w:r>
      <w:r w:rsidRPr="00C92BDF">
        <w:rPr>
          <w:rFonts w:ascii="Times New Roman" w:eastAsia="Times New Roman" w:hAnsi="Times New Roman" w:cs="Times New Roman"/>
          <w:b/>
          <w:lang w:val="lt-LT"/>
        </w:rPr>
        <w:tab/>
        <w:t>Kaip laikyti Mesar</w:t>
      </w:r>
    </w:p>
    <w:p w14:paraId="2E5A93A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3E06AF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Šį vaistą laikykite vaikams nepastebimoje ir nepasiekiamoje vietoje.</w:t>
      </w:r>
    </w:p>
    <w:p w14:paraId="3374E0D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5E1B6A0"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Šiam vaistui specialių laikymo sąlygų nereikia.</w:t>
      </w:r>
    </w:p>
    <w:p w14:paraId="5F27E5E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8AB973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Ant kartono dėžutės po „Tinka iki“ ir lizdinės plokštelės po „EXP“ nurodytam tinkamumo laikui pasibaigus, šio vaisto vartoti negalima. </w:t>
      </w:r>
      <w:r w:rsidRPr="00C92BDF">
        <w:rPr>
          <w:rFonts w:ascii="Times New Roman" w:eastAsia="Times New Roman" w:hAnsi="Times New Roman" w:cs="Times New Roman"/>
          <w:iCs/>
          <w:noProof/>
          <w:lang w:val="lt-LT"/>
        </w:rPr>
        <w:t>Vaistas tinkamas vartoti iki paskutinės nurodyto mėnesio dienos.</w:t>
      </w:r>
    </w:p>
    <w:p w14:paraId="09D54A6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6947CC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983C7F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F9A46B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C988081" w14:textId="77777777" w:rsidR="004125E7" w:rsidRPr="00C92BDF" w:rsidRDefault="004125E7" w:rsidP="004125E7">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6.</w:t>
      </w:r>
      <w:r w:rsidRPr="00C92BDF">
        <w:rPr>
          <w:rFonts w:ascii="Times New Roman" w:eastAsia="Times New Roman" w:hAnsi="Times New Roman" w:cs="Times New Roman"/>
          <w:b/>
          <w:lang w:val="lt-LT"/>
        </w:rPr>
        <w:tab/>
        <w:t>Pakuotės turinys ir kita informacija</w:t>
      </w:r>
    </w:p>
    <w:p w14:paraId="51867F0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FC4D351"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sudėtis</w:t>
      </w:r>
    </w:p>
    <w:p w14:paraId="2CEB89BE"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Veiklioji medžiaga yra olmesartanas medoksomilis. </w:t>
      </w:r>
    </w:p>
    <w:p w14:paraId="63100428"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Vienoje tabletėje yra 10 mg, 20 mg arba 40 mg olmesartano medoksomilio.</w:t>
      </w:r>
    </w:p>
    <w:p w14:paraId="787C4CF7" w14:textId="77777777" w:rsidR="004125E7" w:rsidRPr="00C92BDF" w:rsidRDefault="004125E7" w:rsidP="004125E7">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Pagalbinės medžiagos tabletės šerdyje yra mikrokristalinė celiuliozė, laktozės monohidratas, hidroksipropilceliuliozė, nedaug pakeista hidroksipropilceliuliozė, magnio stearatas, tabletės plėvelėje - titano dioksidas (E171), talkas, hipromeliozė.</w:t>
      </w:r>
    </w:p>
    <w:p w14:paraId="53A1A926"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7BE2F5BC"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išvaizda ir kiekis pakuotėje</w:t>
      </w:r>
    </w:p>
    <w:p w14:paraId="4CFA32D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dengtos tabletės: baltos, apvalios plėvele dengtos tabletės, kurių vienoje pusėje yra įspaudas C13.</w:t>
      </w:r>
    </w:p>
    <w:p w14:paraId="357C702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20 mg plėvele dengtos tabletės: baltos, apvalios plėvele dengtos tabletės, kurių vienoje pusėje yra įspaudas C14.</w:t>
      </w:r>
    </w:p>
    <w:p w14:paraId="01E6E45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40 mg plėvele dengtos tabletės: baltos, ovalios plėvele dengtos tabletės, kurių vienoje pusėje yra įspaudas C15.</w:t>
      </w:r>
    </w:p>
    <w:p w14:paraId="11D3314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E164FC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Pakuotėje yra 14, 28, 56 arba 98 tabletės.</w:t>
      </w:r>
    </w:p>
    <w:p w14:paraId="6900689A"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4FB9C2F9"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Gali būti tiekiamos ne visų dydžių pakuotės.</w:t>
      </w:r>
    </w:p>
    <w:p w14:paraId="24799AEF"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8397972" w14:textId="77777777" w:rsidR="004125E7" w:rsidRPr="00C92BDF" w:rsidRDefault="004125E7" w:rsidP="004125E7">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Registruotojas ir gamintojas</w:t>
      </w:r>
    </w:p>
    <w:p w14:paraId="7FF4F436"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i/>
          <w:snapToGrid w:val="0"/>
          <w:lang w:val="lt-LT" w:eastAsia="lt-LT"/>
        </w:rPr>
        <w:t>Registruotojas</w:t>
      </w:r>
    </w:p>
    <w:p w14:paraId="7349A7BC"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Menarini International Operations Luxembourg S.A.</w:t>
      </w:r>
    </w:p>
    <w:p w14:paraId="6BB4DBB1"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1, Avenue de la Gare </w:t>
      </w:r>
    </w:p>
    <w:p w14:paraId="145D1402"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L-1611 Luxembourg</w:t>
      </w:r>
    </w:p>
    <w:p w14:paraId="51D54A32"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Liuksemburgas</w:t>
      </w:r>
    </w:p>
    <w:p w14:paraId="7E8C463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666E94F4"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Gamintojas</w:t>
      </w:r>
    </w:p>
    <w:p w14:paraId="3B5540EA"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Daiichi Sankyo Europe GmbH </w:t>
      </w:r>
    </w:p>
    <w:p w14:paraId="50A8168A"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Luitpoldstrasse 1 </w:t>
      </w:r>
    </w:p>
    <w:p w14:paraId="5B759B8D"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85276 Pfaffenhofen </w:t>
      </w:r>
    </w:p>
    <w:p w14:paraId="49DD4DE2" w14:textId="77777777" w:rsidR="004125E7" w:rsidRPr="00C92BDF" w:rsidRDefault="004125E7" w:rsidP="004125E7">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Vokietija</w:t>
      </w:r>
    </w:p>
    <w:p w14:paraId="4A01B2E3" w14:textId="77777777" w:rsidR="004125E7" w:rsidRPr="00C92BDF" w:rsidRDefault="004125E7" w:rsidP="004125E7">
      <w:pPr>
        <w:spacing w:after="0" w:line="240" w:lineRule="auto"/>
        <w:rPr>
          <w:rFonts w:ascii="Times New Roman" w:eastAsia="Times New Roman" w:hAnsi="Times New Roman" w:cs="Times New Roman"/>
          <w:lang w:val="lt-LT"/>
        </w:rPr>
      </w:pPr>
    </w:p>
    <w:p w14:paraId="3E389BD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14:paraId="1CC02842" w14:textId="77777777" w:rsidR="004125E7" w:rsidRPr="00C92BDF" w:rsidRDefault="004125E7" w:rsidP="004125E7">
      <w:pPr>
        <w:spacing w:after="0" w:line="240" w:lineRule="auto"/>
        <w:rPr>
          <w:rFonts w:ascii="Times New Roman" w:eastAsia="Times New Roman" w:hAnsi="Times New Roman" w:cs="Times New Roman"/>
          <w:lang w:val="lt-LT"/>
        </w:rPr>
      </w:pPr>
    </w:p>
    <w:p w14:paraId="12D51D95"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Berlin-Chemie AG</w:t>
      </w:r>
    </w:p>
    <w:p w14:paraId="14DC9A0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Glienicker Weg 125 </w:t>
      </w:r>
    </w:p>
    <w:p w14:paraId="6E0E8BAF"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12489 Berlin</w:t>
      </w:r>
    </w:p>
    <w:p w14:paraId="3F11A3C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Vokietija</w:t>
      </w:r>
    </w:p>
    <w:p w14:paraId="22C5A041" w14:textId="77777777" w:rsidR="004125E7" w:rsidRPr="00C92BDF" w:rsidRDefault="004125E7" w:rsidP="004125E7">
      <w:pPr>
        <w:spacing w:after="0" w:line="240" w:lineRule="auto"/>
        <w:rPr>
          <w:rFonts w:ascii="Times New Roman" w:eastAsia="Times New Roman" w:hAnsi="Times New Roman" w:cs="Times New Roman"/>
          <w:lang w:val="lt-LT"/>
        </w:rPr>
      </w:pPr>
    </w:p>
    <w:p w14:paraId="12A19A9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14:paraId="5CB5009A" w14:textId="77777777" w:rsidR="004125E7" w:rsidRPr="00C92BDF" w:rsidRDefault="004125E7" w:rsidP="004125E7">
      <w:pPr>
        <w:spacing w:after="0" w:line="240" w:lineRule="auto"/>
        <w:rPr>
          <w:rFonts w:ascii="Times New Roman" w:eastAsia="Times New Roman" w:hAnsi="Times New Roman" w:cs="Times New Roman"/>
          <w:lang w:val="lt-LT"/>
        </w:rPr>
      </w:pPr>
    </w:p>
    <w:p w14:paraId="26E4FB0C"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Laboratorios Menarini S.A.</w:t>
      </w:r>
    </w:p>
    <w:p w14:paraId="397FD2CD"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Alfons XII, 587</w:t>
      </w:r>
    </w:p>
    <w:p w14:paraId="77C6DB56" w14:textId="77777777" w:rsidR="004125E7" w:rsidRPr="00C92BDF"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E-08918 Badalona (Barcelona)</w:t>
      </w:r>
    </w:p>
    <w:p w14:paraId="22D95C6B" w14:textId="77777777" w:rsidR="004125E7" w:rsidRDefault="004125E7" w:rsidP="004125E7">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Ispanija</w:t>
      </w:r>
    </w:p>
    <w:p w14:paraId="07BB3730" w14:textId="77777777" w:rsidR="004125E7" w:rsidRDefault="004125E7" w:rsidP="004125E7">
      <w:pPr>
        <w:spacing w:after="0" w:line="240" w:lineRule="auto"/>
        <w:rPr>
          <w:rFonts w:ascii="Times New Roman" w:eastAsia="Times New Roman" w:hAnsi="Times New Roman" w:cs="Times New Roman"/>
          <w:lang w:val="lt-LT"/>
        </w:rPr>
      </w:pPr>
    </w:p>
    <w:p w14:paraId="3440D666" w14:textId="77777777" w:rsidR="004125E7" w:rsidRDefault="004125E7" w:rsidP="004125E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14:paraId="366DD61B" w14:textId="77777777" w:rsidR="004125E7" w:rsidRDefault="004125E7" w:rsidP="004125E7">
      <w:pPr>
        <w:spacing w:after="0" w:line="240" w:lineRule="auto"/>
        <w:rPr>
          <w:rFonts w:ascii="Times New Roman" w:eastAsia="Times New Roman" w:hAnsi="Times New Roman" w:cs="Times New Roman"/>
          <w:lang w:val="lt-LT"/>
        </w:rPr>
      </w:pPr>
    </w:p>
    <w:p w14:paraId="2EBB957D"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t>Menarini - Von Heyden GmbH</w:t>
      </w:r>
    </w:p>
    <w:p w14:paraId="6D62A16B"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t>Leipziger Strasse 7-13</w:t>
      </w:r>
    </w:p>
    <w:p w14:paraId="7BD76ADF" w14:textId="77777777" w:rsidR="004125E7" w:rsidRPr="00E62BE2" w:rsidRDefault="004125E7" w:rsidP="004125E7">
      <w:pPr>
        <w:spacing w:after="0" w:line="240" w:lineRule="auto"/>
        <w:rPr>
          <w:rFonts w:ascii="Times New Roman" w:hAnsi="Times New Roman"/>
          <w:lang w:val="sv-SE"/>
        </w:rPr>
      </w:pPr>
      <w:r w:rsidRPr="00E62BE2">
        <w:rPr>
          <w:rFonts w:ascii="Times New Roman" w:hAnsi="Times New Roman"/>
          <w:lang w:val="sv-SE"/>
        </w:rPr>
        <w:lastRenderedPageBreak/>
        <w:t>01097 Dresden</w:t>
      </w:r>
    </w:p>
    <w:p w14:paraId="122BE786" w14:textId="77777777" w:rsidR="004125E7" w:rsidRPr="00C92BDF" w:rsidRDefault="004125E7" w:rsidP="004125E7">
      <w:pPr>
        <w:spacing w:after="0" w:line="240" w:lineRule="auto"/>
        <w:rPr>
          <w:rFonts w:ascii="Times New Roman" w:eastAsia="Times New Roman" w:hAnsi="Times New Roman" w:cs="Times New Roman"/>
          <w:lang w:val="lt-LT"/>
        </w:rPr>
      </w:pPr>
      <w:r w:rsidRPr="00E62BE2">
        <w:rPr>
          <w:rFonts w:ascii="Times New Roman" w:hAnsi="Times New Roman"/>
          <w:lang w:val="sv-SE"/>
        </w:rPr>
        <w:t>Vokietija</w:t>
      </w:r>
    </w:p>
    <w:p w14:paraId="395DB28F" w14:textId="77777777" w:rsidR="004125E7"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5A97D83D"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0E4F702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apie šį vaistą norite sužinoti daugiau, kreipkitės į vietinį registruotojo atstovą.</w:t>
      </w:r>
    </w:p>
    <w:p w14:paraId="188E79C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2CE1EF67"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UAB „Berlin Chemie Menarini Baltic“</w:t>
      </w:r>
    </w:p>
    <w:p w14:paraId="72AA19C8"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Jasinskio g. 16a, LT-03163 Vilnius </w:t>
      </w:r>
    </w:p>
    <w:p w14:paraId="02AC05EC"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Tel. + 370 5 269 19 47</w:t>
      </w:r>
    </w:p>
    <w:p w14:paraId="1C6BD061"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El.paštas </w:t>
      </w:r>
      <w:hyperlink r:id="rId12" w:history="1">
        <w:r w:rsidRPr="00C92BDF">
          <w:rPr>
            <w:rFonts w:ascii="Times New Roman" w:eastAsia="Times New Roman" w:hAnsi="Times New Roman" w:cs="Times New Roman"/>
            <w:color w:val="0000FF"/>
            <w:u w:val="single"/>
            <w:lang w:val="lt-LT"/>
          </w:rPr>
          <w:t>lt@berlin-chemie.com</w:t>
        </w:r>
      </w:hyperlink>
    </w:p>
    <w:p w14:paraId="6F25E212"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lang w:val="lt-LT"/>
        </w:rPr>
      </w:pPr>
    </w:p>
    <w:p w14:paraId="1B5EAC4D" w14:textId="4C63081E"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 xml:space="preserve">Šis pakuotės lapelis paskutinį kartą peržiūrėtas </w:t>
      </w:r>
      <w:r w:rsidR="00320AB7">
        <w:rPr>
          <w:rFonts w:ascii="Times New Roman" w:eastAsia="Times New Roman" w:hAnsi="Times New Roman" w:cs="Times New Roman"/>
          <w:b/>
          <w:lang w:val="lt-LT"/>
        </w:rPr>
        <w:t>2025-01-17</w:t>
      </w:r>
      <w:r>
        <w:rPr>
          <w:rFonts w:ascii="Times New Roman" w:eastAsia="Times New Roman" w:hAnsi="Times New Roman" w:cs="Times New Roman"/>
          <w:b/>
          <w:lang w:val="lt-LT"/>
        </w:rPr>
        <w:t>.</w:t>
      </w:r>
    </w:p>
    <w:p w14:paraId="1A04BED9" w14:textId="77777777" w:rsidR="004125E7" w:rsidRPr="00C92BDF" w:rsidRDefault="004125E7" w:rsidP="004125E7">
      <w:pPr>
        <w:spacing w:after="0" w:line="240" w:lineRule="auto"/>
        <w:rPr>
          <w:rFonts w:ascii="Times New Roman" w:eastAsia="Times New Roman" w:hAnsi="Times New Roman" w:cs="Times New Roman"/>
          <w:lang w:val="lt-LT" w:eastAsia="lt-LT"/>
        </w:rPr>
      </w:pPr>
    </w:p>
    <w:p w14:paraId="431A3923"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color w:val="0000FF"/>
          <w:u w:val="single"/>
          <w:lang w:val="lt-LT"/>
        </w:rPr>
      </w:pPr>
      <w:r w:rsidRPr="00C92BDF">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3" w:history="1">
        <w:r w:rsidRPr="00C92BDF">
          <w:rPr>
            <w:rFonts w:ascii="Times New Roman" w:eastAsia="Times New Roman" w:hAnsi="Times New Roman" w:cs="Times New Roman"/>
            <w:color w:val="0000FF"/>
            <w:u w:val="single"/>
            <w:lang w:val="lt-LT"/>
          </w:rPr>
          <w:t>http://www.vvkt.lt/</w:t>
        </w:r>
      </w:hyperlink>
    </w:p>
    <w:p w14:paraId="600ED74B" w14:textId="77777777" w:rsidR="004125E7" w:rsidRPr="00C92BDF" w:rsidRDefault="004125E7" w:rsidP="004125E7">
      <w:pPr>
        <w:tabs>
          <w:tab w:val="left" w:pos="540"/>
          <w:tab w:val="left" w:pos="2127"/>
          <w:tab w:val="left" w:pos="2977"/>
        </w:tabs>
        <w:spacing w:after="0" w:line="240" w:lineRule="auto"/>
        <w:rPr>
          <w:rFonts w:ascii="Times New Roman" w:eastAsia="Times New Roman" w:hAnsi="Times New Roman" w:cs="Times New Roman"/>
          <w:color w:val="0000FF"/>
          <w:u w:val="single"/>
          <w:lang w:val="lt-LT"/>
        </w:rPr>
      </w:pPr>
    </w:p>
    <w:p w14:paraId="34664172" w14:textId="77777777" w:rsidR="004125E7" w:rsidRPr="00A53D1A" w:rsidRDefault="004125E7" w:rsidP="004125E7">
      <w:pPr>
        <w:rPr>
          <w:lang w:val="lt-LT"/>
        </w:rPr>
      </w:pPr>
    </w:p>
    <w:p w14:paraId="51E98D27" w14:textId="77777777" w:rsidR="00066007" w:rsidRPr="00E62BE2" w:rsidRDefault="00066007">
      <w:pPr>
        <w:rPr>
          <w:lang w:val="lt-LT"/>
        </w:rPr>
      </w:pPr>
    </w:p>
    <w:sectPr w:rsidR="00066007" w:rsidRPr="00E62BE2" w:rsidSect="00E1194C">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D09D0" w14:textId="77777777" w:rsidR="00024555" w:rsidRDefault="00024555">
      <w:pPr>
        <w:spacing w:after="0" w:line="240" w:lineRule="auto"/>
      </w:pPr>
      <w:r>
        <w:separator/>
      </w:r>
    </w:p>
  </w:endnote>
  <w:endnote w:type="continuationSeparator" w:id="0">
    <w:p w14:paraId="7123B437" w14:textId="77777777" w:rsidR="00024555" w:rsidRDefault="00024555">
      <w:pPr>
        <w:spacing w:after="0" w:line="240" w:lineRule="auto"/>
      </w:pPr>
      <w:r>
        <w:continuationSeparator/>
      </w:r>
    </w:p>
  </w:endnote>
  <w:endnote w:type="continuationNotice" w:id="1">
    <w:p w14:paraId="13D22EEF" w14:textId="77777777" w:rsidR="00024555" w:rsidRDefault="00024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8E9BD" w14:textId="3D1F4E6E" w:rsidR="00E1194C" w:rsidRPr="0062379A" w:rsidRDefault="004125E7">
    <w:pPr>
      <w:pStyle w:val="Porat"/>
      <w:framePr w:wrap="auto" w:vAnchor="text" w:hAnchor="margin" w:xAlign="right" w:y="1"/>
      <w:rPr>
        <w:rStyle w:val="Puslapionumeris"/>
        <w:sz w:val="22"/>
        <w:szCs w:val="22"/>
      </w:rPr>
    </w:pPr>
    <w:r w:rsidRPr="0062379A">
      <w:rPr>
        <w:rStyle w:val="Puslapionumeris"/>
        <w:sz w:val="22"/>
        <w:szCs w:val="22"/>
      </w:rPr>
      <w:fldChar w:fldCharType="begin"/>
    </w:r>
    <w:r w:rsidRPr="0062379A">
      <w:rPr>
        <w:rStyle w:val="Puslapionumeris"/>
        <w:sz w:val="22"/>
        <w:szCs w:val="22"/>
      </w:rPr>
      <w:instrText xml:space="preserve">PAGE  </w:instrText>
    </w:r>
    <w:r w:rsidRPr="0062379A">
      <w:rPr>
        <w:rStyle w:val="Puslapionumeris"/>
        <w:sz w:val="22"/>
        <w:szCs w:val="22"/>
      </w:rPr>
      <w:fldChar w:fldCharType="separate"/>
    </w:r>
    <w:r w:rsidR="00503502">
      <w:rPr>
        <w:rStyle w:val="Puslapionumeris"/>
        <w:noProof/>
        <w:sz w:val="22"/>
        <w:szCs w:val="22"/>
      </w:rPr>
      <w:t>2</w:t>
    </w:r>
    <w:r w:rsidRPr="0062379A">
      <w:rPr>
        <w:rStyle w:val="Puslapionumeris"/>
        <w:sz w:val="22"/>
        <w:szCs w:val="22"/>
      </w:rPr>
      <w:fldChar w:fldCharType="end"/>
    </w:r>
  </w:p>
  <w:p w14:paraId="278B9F99" w14:textId="77777777" w:rsidR="00E1194C" w:rsidRDefault="00E1194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11324" w14:textId="77777777" w:rsidR="00024555" w:rsidRDefault="00024555">
      <w:pPr>
        <w:spacing w:after="0" w:line="240" w:lineRule="auto"/>
      </w:pPr>
      <w:r>
        <w:separator/>
      </w:r>
    </w:p>
  </w:footnote>
  <w:footnote w:type="continuationSeparator" w:id="0">
    <w:p w14:paraId="2B9EEF20" w14:textId="77777777" w:rsidR="00024555" w:rsidRDefault="00024555">
      <w:pPr>
        <w:spacing w:after="0" w:line="240" w:lineRule="auto"/>
      </w:pPr>
      <w:r>
        <w:continuationSeparator/>
      </w:r>
    </w:p>
  </w:footnote>
  <w:footnote w:type="continuationNotice" w:id="1">
    <w:p w14:paraId="735F8023" w14:textId="77777777" w:rsidR="00024555" w:rsidRDefault="00024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2B25E" w14:textId="77777777" w:rsidR="001345FB" w:rsidRDefault="001345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670C"/>
    <w:multiLevelType w:val="hybridMultilevel"/>
    <w:tmpl w:val="244CC0AC"/>
    <w:lvl w:ilvl="0" w:tplc="AD32D8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C098A"/>
    <w:multiLevelType w:val="hybridMultilevel"/>
    <w:tmpl w:val="5868EB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20023F"/>
    <w:multiLevelType w:val="singleLevel"/>
    <w:tmpl w:val="FA66E136"/>
    <w:lvl w:ilvl="0">
      <w:numFmt w:val="bullet"/>
      <w:lvlText w:val="-"/>
      <w:lvlJc w:val="left"/>
      <w:pPr>
        <w:tabs>
          <w:tab w:val="num" w:pos="420"/>
        </w:tabs>
        <w:ind w:left="420" w:hanging="360"/>
      </w:pPr>
      <w:rPr>
        <w:rFonts w:ascii="Times New Roman" w:hAnsi="Times New Roman" w:hint="default"/>
      </w:rPr>
    </w:lvl>
  </w:abstractNum>
  <w:abstractNum w:abstractNumId="3" w15:restartNumberingAfterBreak="0">
    <w:nsid w:val="23D13BFA"/>
    <w:multiLevelType w:val="hybridMultilevel"/>
    <w:tmpl w:val="32D47152"/>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4"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47857C68"/>
    <w:multiLevelType w:val="hybridMultilevel"/>
    <w:tmpl w:val="E4E85E18"/>
    <w:lvl w:ilvl="0" w:tplc="AD32D8EE">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2D6383"/>
    <w:multiLevelType w:val="hybridMultilevel"/>
    <w:tmpl w:val="EADC9492"/>
    <w:lvl w:ilvl="0" w:tplc="087CBF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87C10"/>
    <w:multiLevelType w:val="hybridMultilevel"/>
    <w:tmpl w:val="A3429E7E"/>
    <w:lvl w:ilvl="0" w:tplc="C694A57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8"/>
  </w:num>
  <w:num w:numId="6">
    <w:abstractNumId w:val="4"/>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E7"/>
    <w:rsid w:val="000001CB"/>
    <w:rsid w:val="00024555"/>
    <w:rsid w:val="00066007"/>
    <w:rsid w:val="000A1801"/>
    <w:rsid w:val="000E0505"/>
    <w:rsid w:val="00115AB2"/>
    <w:rsid w:val="001345FB"/>
    <w:rsid w:val="00163BD1"/>
    <w:rsid w:val="001871A9"/>
    <w:rsid w:val="001D1B97"/>
    <w:rsid w:val="00320AB7"/>
    <w:rsid w:val="0034669C"/>
    <w:rsid w:val="00390B78"/>
    <w:rsid w:val="003B64E1"/>
    <w:rsid w:val="003E17F7"/>
    <w:rsid w:val="003E3222"/>
    <w:rsid w:val="0040726F"/>
    <w:rsid w:val="004125E7"/>
    <w:rsid w:val="00426C31"/>
    <w:rsid w:val="004A1F2B"/>
    <w:rsid w:val="00503502"/>
    <w:rsid w:val="00532872"/>
    <w:rsid w:val="00567EE0"/>
    <w:rsid w:val="0059696A"/>
    <w:rsid w:val="005D66B0"/>
    <w:rsid w:val="006A4906"/>
    <w:rsid w:val="006E0CE4"/>
    <w:rsid w:val="006E648A"/>
    <w:rsid w:val="00722BA2"/>
    <w:rsid w:val="00732573"/>
    <w:rsid w:val="00796416"/>
    <w:rsid w:val="007F4AA2"/>
    <w:rsid w:val="00861CAD"/>
    <w:rsid w:val="008B6929"/>
    <w:rsid w:val="008F0A1B"/>
    <w:rsid w:val="00900F54"/>
    <w:rsid w:val="00911E5A"/>
    <w:rsid w:val="00912BC4"/>
    <w:rsid w:val="00936279"/>
    <w:rsid w:val="0097761A"/>
    <w:rsid w:val="00987EF1"/>
    <w:rsid w:val="009E06ED"/>
    <w:rsid w:val="00A02F69"/>
    <w:rsid w:val="00A53D1A"/>
    <w:rsid w:val="00A87C74"/>
    <w:rsid w:val="00AB4808"/>
    <w:rsid w:val="00B00451"/>
    <w:rsid w:val="00C00916"/>
    <w:rsid w:val="00C76955"/>
    <w:rsid w:val="00C8198C"/>
    <w:rsid w:val="00C92BDF"/>
    <w:rsid w:val="00CC6924"/>
    <w:rsid w:val="00CE7067"/>
    <w:rsid w:val="00D30093"/>
    <w:rsid w:val="00D554CA"/>
    <w:rsid w:val="00D62F27"/>
    <w:rsid w:val="00E1194C"/>
    <w:rsid w:val="00E3597B"/>
    <w:rsid w:val="00E40519"/>
    <w:rsid w:val="00E42197"/>
    <w:rsid w:val="00E62BE2"/>
    <w:rsid w:val="00E95EE8"/>
    <w:rsid w:val="00EB2620"/>
    <w:rsid w:val="00EC156B"/>
    <w:rsid w:val="00F54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A327C-A909-406C-83F0-2B43835F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5E7"/>
  </w:style>
  <w:style w:type="paragraph" w:styleId="Antrat1">
    <w:name w:val="heading 1"/>
    <w:basedOn w:val="prastasis"/>
    <w:next w:val="prastasis"/>
    <w:link w:val="Antrat1Diagrama"/>
    <w:qFormat/>
    <w:rsid w:val="004125E7"/>
    <w:pPr>
      <w:keepNext/>
      <w:spacing w:before="240" w:after="60" w:line="240" w:lineRule="auto"/>
      <w:outlineLvl w:val="0"/>
    </w:pPr>
    <w:rPr>
      <w:rFonts w:ascii="Arial" w:eastAsia="Times New Roman" w:hAnsi="Arial" w:cs="Arial"/>
      <w:b/>
      <w:bCs/>
      <w:kern w:val="32"/>
      <w:sz w:val="32"/>
      <w:szCs w:val="32"/>
      <w:lang w:val="en-GB" w:eastAsia="lt-LT"/>
    </w:rPr>
  </w:style>
  <w:style w:type="paragraph" w:styleId="Antrat2">
    <w:name w:val="heading 2"/>
    <w:basedOn w:val="prastasis"/>
    <w:next w:val="prastasis"/>
    <w:link w:val="Antrat2Diagrama"/>
    <w:qFormat/>
    <w:rsid w:val="004125E7"/>
    <w:pPr>
      <w:keepNext/>
      <w:spacing w:before="240" w:after="60" w:line="240" w:lineRule="auto"/>
      <w:outlineLvl w:val="1"/>
    </w:pPr>
    <w:rPr>
      <w:rFonts w:ascii="Arial" w:eastAsia="Times New Roman" w:hAnsi="Arial" w:cs="Arial"/>
      <w:b/>
      <w:bCs/>
      <w:i/>
      <w:iCs/>
      <w:sz w:val="28"/>
      <w:szCs w:val="28"/>
      <w:lang w:val="en-GB" w:eastAsia="lt-LT"/>
    </w:rPr>
  </w:style>
  <w:style w:type="paragraph" w:styleId="Antrat3">
    <w:name w:val="heading 3"/>
    <w:basedOn w:val="prastasis"/>
    <w:next w:val="prastasis"/>
    <w:link w:val="Antrat3Diagrama"/>
    <w:qFormat/>
    <w:rsid w:val="004125E7"/>
    <w:pPr>
      <w:keepNext/>
      <w:spacing w:before="240" w:after="60" w:line="240" w:lineRule="auto"/>
      <w:outlineLvl w:val="2"/>
    </w:pPr>
    <w:rPr>
      <w:rFonts w:ascii="Arial" w:eastAsia="Times New Roman" w:hAnsi="Arial" w:cs="Arial"/>
      <w:b/>
      <w:bCs/>
      <w:sz w:val="26"/>
      <w:szCs w:val="26"/>
      <w:lang w:val="en-GB" w:eastAsia="lt-LT"/>
    </w:rPr>
  </w:style>
  <w:style w:type="paragraph" w:styleId="Antrat4">
    <w:name w:val="heading 4"/>
    <w:basedOn w:val="prastasis"/>
    <w:next w:val="prastasis"/>
    <w:link w:val="Antrat4Diagrama"/>
    <w:qFormat/>
    <w:rsid w:val="004125E7"/>
    <w:pPr>
      <w:keepNext/>
      <w:spacing w:after="0" w:line="240" w:lineRule="auto"/>
      <w:jc w:val="both"/>
      <w:outlineLvl w:val="3"/>
    </w:pPr>
    <w:rPr>
      <w:rFonts w:ascii="Times New Roman" w:eastAsia="Times New Roman" w:hAnsi="Times New Roman" w:cs="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125E7"/>
    <w:rPr>
      <w:rFonts w:ascii="Arial" w:eastAsia="Times New Roman" w:hAnsi="Arial" w:cs="Arial"/>
      <w:b/>
      <w:bCs/>
      <w:kern w:val="32"/>
      <w:sz w:val="32"/>
      <w:szCs w:val="32"/>
      <w:lang w:val="en-GB" w:eastAsia="lt-LT"/>
    </w:rPr>
  </w:style>
  <w:style w:type="character" w:customStyle="1" w:styleId="Antrat2Diagrama">
    <w:name w:val="Antraštė 2 Diagrama"/>
    <w:basedOn w:val="Numatytasispastraiposriftas"/>
    <w:link w:val="Antrat2"/>
    <w:rsid w:val="004125E7"/>
    <w:rPr>
      <w:rFonts w:ascii="Arial" w:eastAsia="Times New Roman" w:hAnsi="Arial" w:cs="Arial"/>
      <w:b/>
      <w:bCs/>
      <w:i/>
      <w:iCs/>
      <w:sz w:val="28"/>
      <w:szCs w:val="28"/>
      <w:lang w:val="en-GB" w:eastAsia="lt-LT"/>
    </w:rPr>
  </w:style>
  <w:style w:type="character" w:customStyle="1" w:styleId="Antrat3Diagrama">
    <w:name w:val="Antraštė 3 Diagrama"/>
    <w:basedOn w:val="Numatytasispastraiposriftas"/>
    <w:link w:val="Antrat3"/>
    <w:rsid w:val="004125E7"/>
    <w:rPr>
      <w:rFonts w:ascii="Arial" w:eastAsia="Times New Roman" w:hAnsi="Arial" w:cs="Arial"/>
      <w:b/>
      <w:bCs/>
      <w:sz w:val="26"/>
      <w:szCs w:val="26"/>
      <w:lang w:val="en-GB" w:eastAsia="lt-LT"/>
    </w:rPr>
  </w:style>
  <w:style w:type="character" w:customStyle="1" w:styleId="Antrat4Diagrama">
    <w:name w:val="Antraštė 4 Diagrama"/>
    <w:basedOn w:val="Numatytasispastraiposriftas"/>
    <w:link w:val="Antrat4"/>
    <w:rsid w:val="004125E7"/>
    <w:rPr>
      <w:rFonts w:ascii="Times New Roman" w:eastAsia="Times New Roman" w:hAnsi="Times New Roman" w:cs="Times New Roman"/>
      <w:b/>
      <w:szCs w:val="20"/>
      <w:lang w:val="lt-LT" w:eastAsia="lt-LT"/>
    </w:rPr>
  </w:style>
  <w:style w:type="numbering" w:customStyle="1" w:styleId="NoList1">
    <w:name w:val="No List1"/>
    <w:next w:val="Sraonra"/>
    <w:uiPriority w:val="99"/>
    <w:semiHidden/>
    <w:unhideWhenUsed/>
    <w:rsid w:val="004125E7"/>
  </w:style>
  <w:style w:type="paragraph" w:customStyle="1" w:styleId="BT-EMEASMCA">
    <w:name w:val="BT- EMEA_SMCA"/>
    <w:basedOn w:val="BTEMEASMCA"/>
    <w:autoRedefine/>
    <w:rsid w:val="004125E7"/>
    <w:pPr>
      <w:tabs>
        <w:tab w:val="clear" w:pos="540"/>
        <w:tab w:val="clear" w:pos="2127"/>
        <w:tab w:val="clear" w:pos="2977"/>
        <w:tab w:val="left" w:pos="0"/>
      </w:tabs>
    </w:pPr>
  </w:style>
  <w:style w:type="paragraph" w:customStyle="1" w:styleId="BTEMEASMCA">
    <w:name w:val="BT EMEA_SMCA"/>
    <w:basedOn w:val="prastasis"/>
    <w:link w:val="BTEMEASMCAChar"/>
    <w:autoRedefine/>
    <w:rsid w:val="004125E7"/>
    <w:pPr>
      <w:tabs>
        <w:tab w:val="left" w:pos="540"/>
        <w:tab w:val="left" w:pos="2127"/>
        <w:tab w:val="left" w:pos="2977"/>
      </w:tabs>
      <w:spacing w:after="0" w:line="240" w:lineRule="auto"/>
    </w:pPr>
    <w:rPr>
      <w:rFonts w:ascii="Times New Roman" w:eastAsia="Times New Roman" w:hAnsi="Times New Roman" w:cs="Times New Roman"/>
      <w:lang w:val="lt-LT"/>
    </w:rPr>
  </w:style>
  <w:style w:type="character" w:customStyle="1" w:styleId="BTEMEASMCAChar">
    <w:name w:val="BT EMEA_SMCA Char"/>
    <w:link w:val="BTEMEASMCA"/>
    <w:locked/>
    <w:rsid w:val="004125E7"/>
    <w:rPr>
      <w:rFonts w:ascii="Times New Roman" w:eastAsia="Times New Roman" w:hAnsi="Times New Roman" w:cs="Times New Roman"/>
      <w:lang w:val="lt-LT"/>
    </w:rPr>
  </w:style>
  <w:style w:type="paragraph" w:customStyle="1" w:styleId="TTEMEASMCA">
    <w:name w:val="TT EMEA_SMCA"/>
    <w:basedOn w:val="Antrat1"/>
    <w:link w:val="TTEMEASMCAChar"/>
    <w:autoRedefine/>
    <w:rsid w:val="004125E7"/>
    <w:pPr>
      <w:keepNext w:val="0"/>
      <w:tabs>
        <w:tab w:val="left" w:pos="567"/>
      </w:tabs>
      <w:spacing w:before="0" w:after="0"/>
      <w:ind w:left="567" w:hanging="567"/>
      <w:jc w:val="center"/>
    </w:pPr>
    <w:rPr>
      <w:rFonts w:ascii="Times New Roman" w:hAnsi="Times New Roman" w:cs="Times New Roman"/>
      <w:bCs w:val="0"/>
      <w:caps/>
      <w:kern w:val="0"/>
      <w:sz w:val="22"/>
      <w:szCs w:val="20"/>
      <w:lang w:val="en-US" w:eastAsia="en-US"/>
    </w:rPr>
  </w:style>
  <w:style w:type="paragraph" w:customStyle="1" w:styleId="PI-1EMEASMCA">
    <w:name w:val="PI-1 EMEA_SMCA"/>
    <w:basedOn w:val="Antrat2"/>
    <w:autoRedefine/>
    <w:rsid w:val="004125E7"/>
    <w:pPr>
      <w:tabs>
        <w:tab w:val="left" w:pos="567"/>
      </w:tabs>
      <w:spacing w:before="0" w:after="0"/>
    </w:pPr>
    <w:rPr>
      <w:rFonts w:ascii="Times New Roman" w:hAnsi="Times New Roman" w:cs="Times New Roman"/>
      <w:bCs w:val="0"/>
      <w:i w:val="0"/>
      <w:iCs w:val="0"/>
      <w:sz w:val="22"/>
      <w:szCs w:val="20"/>
      <w:lang w:val="lt-LT" w:eastAsia="en-US"/>
    </w:rPr>
  </w:style>
  <w:style w:type="paragraph" w:customStyle="1" w:styleId="PI-2EMEASMCA">
    <w:name w:val="PI-2 EMEA_SMCA"/>
    <w:basedOn w:val="Antrat3"/>
    <w:autoRedefine/>
    <w:rsid w:val="004125E7"/>
    <w:pPr>
      <w:keepLines/>
      <w:tabs>
        <w:tab w:val="left" w:pos="567"/>
      </w:tabs>
      <w:spacing w:before="0" w:after="0"/>
      <w:ind w:left="567" w:hanging="567"/>
    </w:pPr>
    <w:rPr>
      <w:rFonts w:ascii="Times New Roman" w:hAnsi="Times New Roman" w:cs="Times New Roman"/>
      <w:bCs w:val="0"/>
      <w:kern w:val="28"/>
      <w:sz w:val="22"/>
      <w:szCs w:val="20"/>
      <w:lang w:val="lt-LT" w:eastAsia="en-US"/>
    </w:rPr>
  </w:style>
  <w:style w:type="paragraph" w:styleId="Pagrindinistekstas">
    <w:name w:val="Body Text"/>
    <w:basedOn w:val="prastasis"/>
    <w:link w:val="PagrindinistekstasDiagrama"/>
    <w:rsid w:val="004125E7"/>
    <w:pPr>
      <w:spacing w:after="120" w:line="240" w:lineRule="auto"/>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4125E7"/>
    <w:rPr>
      <w:rFonts w:ascii="Times New Roman" w:eastAsia="Times New Roman" w:hAnsi="Times New Roman" w:cs="Times New Roman"/>
      <w:sz w:val="24"/>
      <w:szCs w:val="20"/>
      <w:lang w:val="lt-LT"/>
    </w:rPr>
  </w:style>
  <w:style w:type="character" w:styleId="Hipersaitas">
    <w:name w:val="Hyperlink"/>
    <w:rsid w:val="004125E7"/>
    <w:rPr>
      <w:color w:val="0000FF"/>
      <w:u w:val="single"/>
    </w:rPr>
  </w:style>
  <w:style w:type="paragraph" w:customStyle="1" w:styleId="BTAnIIEMEASMCA">
    <w:name w:val="BT(AnII) EMEA_SMCA"/>
    <w:basedOn w:val="Debesliotekstas"/>
    <w:autoRedefine/>
    <w:rsid w:val="004125E7"/>
    <w:pPr>
      <w:tabs>
        <w:tab w:val="left" w:pos="1701"/>
      </w:tabs>
      <w:ind w:left="1701" w:hanging="567"/>
    </w:pPr>
    <w:rPr>
      <w:rFonts w:ascii="Times New Roman" w:hAnsi="Times New Roman" w:cs="Times New Roman"/>
      <w:b/>
      <w:sz w:val="22"/>
      <w:szCs w:val="20"/>
      <w:lang w:eastAsia="en-US"/>
    </w:rPr>
  </w:style>
  <w:style w:type="paragraph" w:customStyle="1" w:styleId="BTuEMEASMCA">
    <w:name w:val="BT(u) EMEA_SMCA"/>
    <w:basedOn w:val="BTEMEASMCA"/>
    <w:autoRedefine/>
    <w:rsid w:val="004125E7"/>
    <w:rPr>
      <w:u w:val="single"/>
    </w:rPr>
  </w:style>
  <w:style w:type="paragraph" w:customStyle="1" w:styleId="PI-1labEMEASMCA">
    <w:name w:val="PI-1_lab EMEA_SMCA"/>
    <w:basedOn w:val="prastasis"/>
    <w:autoRedefine/>
    <w:rsid w:val="004125E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szCs w:val="20"/>
      <w:lang w:val="en-GB"/>
    </w:rPr>
  </w:style>
  <w:style w:type="paragraph" w:customStyle="1" w:styleId="BTbeEMEASMCA">
    <w:name w:val="BT(be) EMEA_SMCA"/>
    <w:basedOn w:val="BTEMEASMCA"/>
    <w:autoRedefine/>
    <w:rsid w:val="004125E7"/>
    <w:pPr>
      <w:jc w:val="center"/>
    </w:pPr>
    <w:rPr>
      <w:b/>
    </w:rPr>
  </w:style>
  <w:style w:type="paragraph" w:customStyle="1" w:styleId="BTeEMEASMCA">
    <w:name w:val="BT(e) EMEA_SMCA"/>
    <w:basedOn w:val="BTEMEASMCA"/>
    <w:autoRedefine/>
    <w:rsid w:val="004125E7"/>
    <w:pPr>
      <w:jc w:val="center"/>
    </w:pPr>
  </w:style>
  <w:style w:type="paragraph" w:customStyle="1" w:styleId="BTbEMEASMCA">
    <w:name w:val="BT(b) EMEA_SMCA"/>
    <w:basedOn w:val="BTEMEASMCA"/>
    <w:autoRedefine/>
    <w:rsid w:val="004125E7"/>
    <w:rPr>
      <w:b/>
    </w:rPr>
  </w:style>
  <w:style w:type="paragraph" w:customStyle="1" w:styleId="PI-3EMEASMCA">
    <w:name w:val="PI-3 EMEA_SMCA"/>
    <w:basedOn w:val="prastasis"/>
    <w:autoRedefine/>
    <w:rsid w:val="004125E7"/>
    <w:pPr>
      <w:spacing w:after="0" w:line="220" w:lineRule="exact"/>
    </w:pPr>
    <w:rPr>
      <w:rFonts w:ascii="Times New Roman" w:eastAsia="Times New Roman" w:hAnsi="Times New Roman" w:cs="Times New Roman"/>
      <w:b/>
      <w:szCs w:val="20"/>
      <w:lang w:val="lt-LT"/>
    </w:rPr>
  </w:style>
  <w:style w:type="character" w:customStyle="1" w:styleId="BT-EMEASMCAChar">
    <w:name w:val="BT- EMEA_SMCA Char"/>
    <w:rsid w:val="004125E7"/>
    <w:rPr>
      <w:noProof/>
    </w:rPr>
  </w:style>
  <w:style w:type="character" w:styleId="Puslapionumeris">
    <w:name w:val="page number"/>
    <w:rsid w:val="004125E7"/>
    <w:rPr>
      <w:rFonts w:cs="Times New Roman"/>
    </w:rPr>
  </w:style>
  <w:style w:type="paragraph" w:styleId="Porat">
    <w:name w:val="footer"/>
    <w:basedOn w:val="prastasis"/>
    <w:link w:val="PoratDiagrama"/>
    <w:rsid w:val="004125E7"/>
    <w:pPr>
      <w:tabs>
        <w:tab w:val="center" w:pos="4153"/>
        <w:tab w:val="right" w:pos="8306"/>
      </w:tabs>
      <w:spacing w:after="0" w:line="240" w:lineRule="auto"/>
    </w:pPr>
    <w:rPr>
      <w:rFonts w:ascii="Times New Roman" w:eastAsia="Times New Roman" w:hAnsi="Times New Roman" w:cs="Times New Roman"/>
      <w:sz w:val="24"/>
      <w:szCs w:val="20"/>
      <w:lang w:val="lt-LT"/>
    </w:rPr>
  </w:style>
  <w:style w:type="character" w:customStyle="1" w:styleId="PoratDiagrama">
    <w:name w:val="Poraštė Diagrama"/>
    <w:basedOn w:val="Numatytasispastraiposriftas"/>
    <w:link w:val="Porat"/>
    <w:rsid w:val="004125E7"/>
    <w:rPr>
      <w:rFonts w:ascii="Times New Roman" w:eastAsia="Times New Roman" w:hAnsi="Times New Roman" w:cs="Times New Roman"/>
      <w:sz w:val="24"/>
      <w:szCs w:val="20"/>
      <w:lang w:val="lt-LT"/>
    </w:rPr>
  </w:style>
  <w:style w:type="character" w:customStyle="1" w:styleId="hps">
    <w:name w:val="hps"/>
    <w:rsid w:val="004125E7"/>
    <w:rPr>
      <w:rFonts w:cs="Times New Roman"/>
    </w:rPr>
  </w:style>
  <w:style w:type="paragraph" w:styleId="Antrats">
    <w:name w:val="header"/>
    <w:basedOn w:val="prastasis"/>
    <w:link w:val="AntratsDiagrama"/>
    <w:rsid w:val="004125E7"/>
    <w:pPr>
      <w:tabs>
        <w:tab w:val="center" w:pos="4153"/>
        <w:tab w:val="right" w:pos="8306"/>
      </w:tabs>
      <w:autoSpaceDE w:val="0"/>
      <w:autoSpaceDN w:val="0"/>
      <w:spacing w:after="0" w:line="240" w:lineRule="auto"/>
    </w:pPr>
    <w:rPr>
      <w:rFonts w:ascii="Arial" w:eastAsia="MS Mincho" w:hAnsi="Arial" w:cs="Arial"/>
      <w:sz w:val="24"/>
      <w:szCs w:val="24"/>
      <w:lang w:val="en-GB" w:eastAsia="ja-JP"/>
    </w:rPr>
  </w:style>
  <w:style w:type="character" w:customStyle="1" w:styleId="AntratsDiagrama">
    <w:name w:val="Antraštės Diagrama"/>
    <w:basedOn w:val="Numatytasispastraiposriftas"/>
    <w:link w:val="Antrats"/>
    <w:rsid w:val="004125E7"/>
    <w:rPr>
      <w:rFonts w:ascii="Arial" w:eastAsia="MS Mincho" w:hAnsi="Arial" w:cs="Arial"/>
      <w:sz w:val="24"/>
      <w:szCs w:val="24"/>
      <w:lang w:val="en-GB" w:eastAsia="ja-JP"/>
    </w:rPr>
  </w:style>
  <w:style w:type="character" w:customStyle="1" w:styleId="TTEMEASMCAChar">
    <w:name w:val="TT EMEA_SMCA Char"/>
    <w:link w:val="TTEMEASMCA"/>
    <w:locked/>
    <w:rsid w:val="004125E7"/>
    <w:rPr>
      <w:rFonts w:ascii="Times New Roman" w:eastAsia="Times New Roman" w:hAnsi="Times New Roman" w:cs="Times New Roman"/>
      <w:b/>
      <w:caps/>
      <w:szCs w:val="20"/>
    </w:rPr>
  </w:style>
  <w:style w:type="paragraph" w:styleId="Debesliotekstas">
    <w:name w:val="Balloon Text"/>
    <w:basedOn w:val="prastasis"/>
    <w:link w:val="DebesliotekstasDiagrama"/>
    <w:semiHidden/>
    <w:rsid w:val="004125E7"/>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basedOn w:val="Numatytasispastraiposriftas"/>
    <w:link w:val="Debesliotekstas"/>
    <w:semiHidden/>
    <w:rsid w:val="004125E7"/>
    <w:rPr>
      <w:rFonts w:ascii="Tahoma" w:eastAsia="Times New Roman" w:hAnsi="Tahoma" w:cs="Tahoma"/>
      <w:sz w:val="16"/>
      <w:szCs w:val="16"/>
      <w:lang w:val="en-GB" w:eastAsia="lt-LT"/>
    </w:rPr>
  </w:style>
  <w:style w:type="paragraph" w:customStyle="1" w:styleId="Default">
    <w:name w:val="Default"/>
    <w:rsid w:val="004125E7"/>
    <w:pPr>
      <w:autoSpaceDE w:val="0"/>
      <w:autoSpaceDN w:val="0"/>
      <w:adjustRightInd w:val="0"/>
      <w:spacing w:after="0" w:line="240" w:lineRule="auto"/>
    </w:pPr>
    <w:rPr>
      <w:rFonts w:ascii="Verdana" w:eastAsia="Times New Roman" w:hAnsi="Verdana" w:cs="Verdana"/>
      <w:color w:val="000000"/>
      <w:sz w:val="24"/>
      <w:szCs w:val="24"/>
    </w:rPr>
  </w:style>
  <w:style w:type="character" w:styleId="Komentaronuoroda">
    <w:name w:val="annotation reference"/>
    <w:basedOn w:val="Numatytasispastraiposriftas"/>
    <w:uiPriority w:val="99"/>
    <w:semiHidden/>
    <w:unhideWhenUsed/>
    <w:rsid w:val="004125E7"/>
    <w:rPr>
      <w:sz w:val="16"/>
      <w:szCs w:val="16"/>
    </w:rPr>
  </w:style>
  <w:style w:type="paragraph" w:styleId="Komentarotekstas">
    <w:name w:val="annotation text"/>
    <w:basedOn w:val="prastasis"/>
    <w:link w:val="KomentarotekstasDiagrama"/>
    <w:uiPriority w:val="99"/>
    <w:semiHidden/>
    <w:unhideWhenUsed/>
    <w:rsid w:val="004125E7"/>
    <w:pPr>
      <w:spacing w:after="0" w:line="240" w:lineRule="auto"/>
    </w:pPr>
    <w:rPr>
      <w:rFonts w:ascii="Times New Roman" w:eastAsia="Times New Roman" w:hAnsi="Times New Roman" w:cs="Times New Roman"/>
      <w:sz w:val="20"/>
      <w:szCs w:val="20"/>
      <w:lang w:val="en-GB" w:eastAsia="lt-LT"/>
    </w:rPr>
  </w:style>
  <w:style w:type="character" w:customStyle="1" w:styleId="KomentarotekstasDiagrama">
    <w:name w:val="Komentaro tekstas Diagrama"/>
    <w:basedOn w:val="Numatytasispastraiposriftas"/>
    <w:link w:val="Komentarotekstas"/>
    <w:uiPriority w:val="99"/>
    <w:semiHidden/>
    <w:rsid w:val="004125E7"/>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4125E7"/>
    <w:rPr>
      <w:b/>
      <w:bCs/>
    </w:rPr>
  </w:style>
  <w:style w:type="character" w:customStyle="1" w:styleId="KomentarotemaDiagrama">
    <w:name w:val="Komentaro tema Diagrama"/>
    <w:basedOn w:val="KomentarotekstasDiagrama"/>
    <w:link w:val="Komentarotema"/>
    <w:uiPriority w:val="99"/>
    <w:semiHidden/>
    <w:rsid w:val="004125E7"/>
    <w:rPr>
      <w:rFonts w:ascii="Times New Roman" w:eastAsia="Times New Roman" w:hAnsi="Times New Roman" w:cs="Times New Roman"/>
      <w:b/>
      <w:bCs/>
      <w:sz w:val="20"/>
      <w:szCs w:val="20"/>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lt@berlin-chemi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C:\941,1"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42119</Words>
  <Characters>24008</Characters>
  <Application>Microsoft Office Word</Application>
  <DocSecurity>4</DocSecurity>
  <Lines>200</Lines>
  <Paragraphs>131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dc:creator>
  <cp:lastModifiedBy>Albina Burkauskaitė</cp:lastModifiedBy>
  <cp:revision>2</cp:revision>
  <dcterms:created xsi:type="dcterms:W3CDTF">2025-04-07T12:54:00Z</dcterms:created>
  <dcterms:modified xsi:type="dcterms:W3CDTF">2025-04-07T12:54:00Z</dcterms:modified>
</cp:coreProperties>
</file>