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C39" w:rsidRPr="0008746D" w:rsidRDefault="005B6C39" w:rsidP="005B6C39">
      <w:pPr>
        <w:pStyle w:val="TTEMEASMCA"/>
        <w:rPr>
          <w:sz w:val="22"/>
          <w:szCs w:val="22"/>
          <w:lang w:val="lt-LT"/>
        </w:rPr>
      </w:pPr>
      <w:r w:rsidRPr="0008746D">
        <w:rPr>
          <w:caps w:val="0"/>
          <w:sz w:val="22"/>
          <w:szCs w:val="22"/>
          <w:lang w:val="lt-LT"/>
        </w:rPr>
        <w:t>Pakuotės lapelis: informacija vartotojui</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orat"/>
        <w:jc w:val="center"/>
        <w:rPr>
          <w:b/>
          <w:szCs w:val="22"/>
        </w:rPr>
      </w:pPr>
      <w:r w:rsidRPr="0008746D">
        <w:rPr>
          <w:b/>
          <w:szCs w:val="22"/>
        </w:rPr>
        <w:t>Cevikap 100</w:t>
      </w:r>
      <w:r>
        <w:rPr>
          <w:b/>
          <w:szCs w:val="22"/>
        </w:rPr>
        <w:t> mg</w:t>
      </w:r>
      <w:r w:rsidRPr="0008746D">
        <w:rPr>
          <w:b/>
          <w:szCs w:val="22"/>
        </w:rPr>
        <w:t>/ml geriamieji lašai (tirpalas)</w:t>
      </w:r>
    </w:p>
    <w:p w:rsidR="005B6C39" w:rsidRPr="0008746D" w:rsidRDefault="005B6C39" w:rsidP="005B6C39">
      <w:pPr>
        <w:pStyle w:val="Porat"/>
        <w:jc w:val="center"/>
        <w:rPr>
          <w:szCs w:val="22"/>
        </w:rPr>
      </w:pPr>
      <w:r w:rsidRPr="0008746D">
        <w:rPr>
          <w:szCs w:val="22"/>
        </w:rPr>
        <w:t>Askorbo rūgštis</w:t>
      </w:r>
    </w:p>
    <w:p w:rsidR="005B6C39" w:rsidRPr="0008746D" w:rsidRDefault="005B6C39" w:rsidP="005B6C39">
      <w:pPr>
        <w:pStyle w:val="Pagrindinistekstas"/>
        <w:spacing w:after="0"/>
        <w:rPr>
          <w:szCs w:val="22"/>
        </w:rPr>
      </w:pPr>
    </w:p>
    <w:p w:rsidR="005B6C39" w:rsidRPr="0008746D" w:rsidRDefault="005B6C39" w:rsidP="005B6C39">
      <w:pPr>
        <w:pStyle w:val="BTbEMEASMCA"/>
        <w:spacing w:line="240" w:lineRule="auto"/>
        <w:rPr>
          <w:noProof w:val="0"/>
          <w:sz w:val="22"/>
          <w:szCs w:val="22"/>
          <w:lang w:val="lt-LT"/>
        </w:rPr>
      </w:pPr>
      <w:r w:rsidRPr="0008746D">
        <w:rPr>
          <w:noProof w:val="0"/>
          <w:sz w:val="22"/>
          <w:szCs w:val="22"/>
          <w:lang w:val="lt-LT"/>
        </w:rPr>
        <w:t>Atidžiai perskaitykite visą šį lapelį, prieš pradėdami vartoti šį vaistą, nes jame pateikiama Jums svarbi informacija.</w:t>
      </w:r>
    </w:p>
    <w:p w:rsidR="005B6C39" w:rsidRPr="0008746D" w:rsidRDefault="005B6C39" w:rsidP="005B6C39">
      <w:pPr>
        <w:pStyle w:val="BTEMEASMCA"/>
        <w:spacing w:line="240" w:lineRule="auto"/>
        <w:rPr>
          <w:noProof w:val="0"/>
          <w:sz w:val="22"/>
          <w:szCs w:val="22"/>
          <w:lang w:val="lt-LT"/>
        </w:rPr>
      </w:pPr>
      <w:r w:rsidRPr="0008746D">
        <w:rPr>
          <w:noProof w:val="0"/>
          <w:sz w:val="22"/>
          <w:szCs w:val="22"/>
          <w:lang w:val="lt-LT"/>
        </w:rPr>
        <w:t>Visada vartokite šį vaistą tiksliai kaip aprašyta šiame lapelyje arba kaip nurodė gydytojas arba vaistininkas.</w:t>
      </w:r>
    </w:p>
    <w:p w:rsidR="005B6C39" w:rsidRPr="00F447DE" w:rsidRDefault="005B6C39" w:rsidP="005B6C39">
      <w:pPr>
        <w:pStyle w:val="BT-EMEASMCA"/>
        <w:tabs>
          <w:tab w:val="clear" w:pos="360"/>
        </w:tabs>
        <w:rPr>
          <w:lang w:val="lt-LT"/>
        </w:rPr>
      </w:pPr>
      <w:r w:rsidRPr="00F447DE">
        <w:rPr>
          <w:lang w:val="lt-LT"/>
        </w:rPr>
        <w:t>Neišmeskite šio lapelio, nes vėl gali prireikti jį perskaityti.</w:t>
      </w:r>
    </w:p>
    <w:p w:rsidR="005B6C39" w:rsidRPr="007443FD" w:rsidRDefault="005B6C39" w:rsidP="005B6C39">
      <w:pPr>
        <w:pStyle w:val="BT-EMEASMCA"/>
        <w:tabs>
          <w:tab w:val="clear" w:pos="360"/>
        </w:tabs>
      </w:pPr>
      <w:r w:rsidRPr="007443FD">
        <w:t>Jeigu norite sužinoti daugiau arba pasitarti, kreipkitės į vaistininką.</w:t>
      </w:r>
    </w:p>
    <w:p w:rsidR="005B6C39" w:rsidRPr="0008746D" w:rsidRDefault="005B6C39" w:rsidP="005B6C39">
      <w:pPr>
        <w:numPr>
          <w:ilvl w:val="0"/>
          <w:numId w:val="4"/>
        </w:numPr>
        <w:ind w:left="567" w:hanging="567"/>
        <w:rPr>
          <w:szCs w:val="22"/>
        </w:rPr>
      </w:pPr>
      <w:r w:rsidRPr="0008746D">
        <w:rPr>
          <w:szCs w:val="22"/>
        </w:rPr>
        <w:t>Jeigu pasireiškė šalutinis poveikis (net jeigu jis šiame lapelyje nenurodytas) kreipkitės į gydytoją arba vaistininką. Žr. 4 skyrių.</w:t>
      </w:r>
    </w:p>
    <w:p w:rsidR="005B6C39" w:rsidRPr="00F447DE" w:rsidRDefault="005B6C39" w:rsidP="005B6C39">
      <w:pPr>
        <w:pStyle w:val="BT-EMEASMCA"/>
        <w:tabs>
          <w:tab w:val="clear" w:pos="360"/>
        </w:tabs>
        <w:rPr>
          <w:lang w:val="lt-LT"/>
        </w:rPr>
      </w:pPr>
      <w:r w:rsidRPr="00F447DE">
        <w:rPr>
          <w:lang w:val="lt-LT"/>
        </w:rPr>
        <w:t>Jeigu per 7 dienas Jūsų savijauta nepagerėjo arba net pablogėjo, kreipkitės į gydytoją.</w:t>
      </w:r>
    </w:p>
    <w:p w:rsidR="005B6C39" w:rsidRPr="00F447DE" w:rsidRDefault="005B6C39" w:rsidP="005B6C39">
      <w:pPr>
        <w:pStyle w:val="BT-EMEASMCA"/>
        <w:numPr>
          <w:ilvl w:val="0"/>
          <w:numId w:val="0"/>
        </w:numPr>
        <w:rPr>
          <w:lang w:val="lt-LT"/>
        </w:rPr>
      </w:pP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BTbEMEASMCA"/>
        <w:spacing w:line="240" w:lineRule="auto"/>
        <w:rPr>
          <w:noProof w:val="0"/>
          <w:sz w:val="22"/>
          <w:szCs w:val="22"/>
          <w:lang w:val="lt-LT"/>
        </w:rPr>
      </w:pPr>
      <w:r w:rsidRPr="0008746D">
        <w:rPr>
          <w:noProof w:val="0"/>
          <w:sz w:val="22"/>
          <w:szCs w:val="22"/>
          <w:lang w:val="lt-LT"/>
        </w:rPr>
        <w:t>Apie ką rašoma šiame lapelyje?</w:t>
      </w:r>
    </w:p>
    <w:p w:rsidR="005B6C39" w:rsidRPr="0008746D" w:rsidRDefault="005B6C39" w:rsidP="005B6C39">
      <w:pPr>
        <w:pStyle w:val="BTEMEASMCA"/>
        <w:tabs>
          <w:tab w:val="left" w:pos="567"/>
        </w:tabs>
        <w:spacing w:line="240" w:lineRule="auto"/>
        <w:rPr>
          <w:noProof w:val="0"/>
          <w:sz w:val="22"/>
          <w:szCs w:val="22"/>
          <w:lang w:val="lt-LT"/>
        </w:rPr>
      </w:pPr>
      <w:r w:rsidRPr="0008746D">
        <w:rPr>
          <w:noProof w:val="0"/>
          <w:sz w:val="22"/>
          <w:szCs w:val="22"/>
          <w:lang w:val="lt-LT"/>
        </w:rPr>
        <w:t>1.</w:t>
      </w:r>
      <w:r w:rsidRPr="0008746D">
        <w:rPr>
          <w:noProof w:val="0"/>
          <w:sz w:val="22"/>
          <w:szCs w:val="22"/>
          <w:lang w:val="lt-LT"/>
        </w:rPr>
        <w:tab/>
        <w:t>Kas yra Cevikap ir kam jis vartojamas</w:t>
      </w:r>
    </w:p>
    <w:p w:rsidR="005B6C39" w:rsidRPr="0008746D" w:rsidRDefault="005B6C39" w:rsidP="005B6C39">
      <w:pPr>
        <w:pStyle w:val="BTEMEASMCA"/>
        <w:tabs>
          <w:tab w:val="left" w:pos="567"/>
        </w:tabs>
        <w:spacing w:line="240" w:lineRule="auto"/>
        <w:rPr>
          <w:noProof w:val="0"/>
          <w:sz w:val="22"/>
          <w:szCs w:val="22"/>
          <w:lang w:val="lt-LT"/>
        </w:rPr>
      </w:pPr>
      <w:r w:rsidRPr="0008746D">
        <w:rPr>
          <w:noProof w:val="0"/>
          <w:sz w:val="22"/>
          <w:szCs w:val="22"/>
          <w:lang w:val="lt-LT"/>
        </w:rPr>
        <w:t>2.</w:t>
      </w:r>
      <w:r w:rsidRPr="0008746D">
        <w:rPr>
          <w:noProof w:val="0"/>
          <w:sz w:val="22"/>
          <w:szCs w:val="22"/>
          <w:lang w:val="lt-LT"/>
        </w:rPr>
        <w:tab/>
        <w:t>Kas žinotina prieš vartojant Cevikap</w:t>
      </w:r>
    </w:p>
    <w:p w:rsidR="005B6C39" w:rsidRPr="0008746D" w:rsidRDefault="005B6C39" w:rsidP="005B6C39">
      <w:pPr>
        <w:pStyle w:val="BTEMEASMCA"/>
        <w:tabs>
          <w:tab w:val="left" w:pos="567"/>
        </w:tabs>
        <w:spacing w:line="240" w:lineRule="auto"/>
        <w:rPr>
          <w:noProof w:val="0"/>
          <w:sz w:val="22"/>
          <w:szCs w:val="22"/>
          <w:lang w:val="lt-LT"/>
        </w:rPr>
      </w:pPr>
      <w:r w:rsidRPr="0008746D">
        <w:rPr>
          <w:noProof w:val="0"/>
          <w:sz w:val="22"/>
          <w:szCs w:val="22"/>
          <w:lang w:val="lt-LT"/>
        </w:rPr>
        <w:t>3.</w:t>
      </w:r>
      <w:r w:rsidRPr="0008746D">
        <w:rPr>
          <w:noProof w:val="0"/>
          <w:sz w:val="22"/>
          <w:szCs w:val="22"/>
          <w:lang w:val="lt-LT"/>
        </w:rPr>
        <w:tab/>
        <w:t>Kaip vartoti Cevikap</w:t>
      </w:r>
    </w:p>
    <w:p w:rsidR="005B6C39" w:rsidRPr="0008746D" w:rsidRDefault="005B6C39" w:rsidP="005B6C39">
      <w:pPr>
        <w:pStyle w:val="BTEMEASMCA"/>
        <w:tabs>
          <w:tab w:val="left" w:pos="567"/>
        </w:tabs>
        <w:spacing w:line="240" w:lineRule="auto"/>
        <w:rPr>
          <w:noProof w:val="0"/>
          <w:sz w:val="22"/>
          <w:szCs w:val="22"/>
          <w:lang w:val="lt-LT"/>
        </w:rPr>
      </w:pPr>
      <w:r w:rsidRPr="0008746D">
        <w:rPr>
          <w:noProof w:val="0"/>
          <w:sz w:val="22"/>
          <w:szCs w:val="22"/>
          <w:lang w:val="lt-LT"/>
        </w:rPr>
        <w:t>4.</w:t>
      </w:r>
      <w:r w:rsidRPr="0008746D">
        <w:rPr>
          <w:noProof w:val="0"/>
          <w:sz w:val="22"/>
          <w:szCs w:val="22"/>
          <w:lang w:val="lt-LT"/>
        </w:rPr>
        <w:tab/>
        <w:t>Galimas šalutinis poveikis</w:t>
      </w:r>
    </w:p>
    <w:p w:rsidR="005B6C39" w:rsidRPr="0008746D" w:rsidRDefault="005B6C39" w:rsidP="005B6C39">
      <w:pPr>
        <w:pStyle w:val="BTEMEASMCA"/>
        <w:tabs>
          <w:tab w:val="left" w:pos="567"/>
        </w:tabs>
        <w:spacing w:line="240" w:lineRule="auto"/>
        <w:rPr>
          <w:noProof w:val="0"/>
          <w:sz w:val="22"/>
          <w:szCs w:val="22"/>
          <w:lang w:val="lt-LT"/>
        </w:rPr>
      </w:pPr>
      <w:r w:rsidRPr="0008746D">
        <w:rPr>
          <w:noProof w:val="0"/>
          <w:sz w:val="22"/>
          <w:szCs w:val="22"/>
          <w:lang w:val="lt-LT"/>
        </w:rPr>
        <w:t>5.</w:t>
      </w:r>
      <w:r w:rsidRPr="0008746D">
        <w:rPr>
          <w:noProof w:val="0"/>
          <w:sz w:val="22"/>
          <w:szCs w:val="22"/>
          <w:lang w:val="lt-LT"/>
        </w:rPr>
        <w:tab/>
        <w:t>Kaip laikyti Cevikap</w:t>
      </w:r>
    </w:p>
    <w:p w:rsidR="005B6C39" w:rsidRPr="0008746D" w:rsidRDefault="005B6C39" w:rsidP="005B6C39">
      <w:pPr>
        <w:pStyle w:val="BTEMEASMCA"/>
        <w:tabs>
          <w:tab w:val="left" w:pos="567"/>
        </w:tabs>
        <w:spacing w:line="240" w:lineRule="auto"/>
        <w:rPr>
          <w:noProof w:val="0"/>
          <w:sz w:val="22"/>
          <w:szCs w:val="22"/>
          <w:lang w:val="lt-LT"/>
        </w:rPr>
      </w:pPr>
      <w:r w:rsidRPr="0008746D">
        <w:rPr>
          <w:noProof w:val="0"/>
          <w:sz w:val="22"/>
          <w:szCs w:val="22"/>
          <w:lang w:val="lt-LT"/>
        </w:rPr>
        <w:t>6.</w:t>
      </w:r>
      <w:r w:rsidRPr="0008746D">
        <w:rPr>
          <w:noProof w:val="0"/>
          <w:sz w:val="22"/>
          <w:szCs w:val="22"/>
          <w:lang w:val="lt-LT"/>
        </w:rPr>
        <w:tab/>
        <w:t>Pakuotės turinys ir kita informacija</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I-1EMEASMCA"/>
      </w:pPr>
      <w:bookmarkStart w:id="0" w:name="_Toc129243139"/>
      <w:bookmarkStart w:id="1" w:name="_Toc129243264"/>
      <w:r w:rsidRPr="0008746D">
        <w:t>1.</w:t>
      </w:r>
      <w:r w:rsidRPr="0008746D">
        <w:tab/>
        <w:t>Kas yra Cevikap ir kam jis vartojamas</w:t>
      </w:r>
      <w:bookmarkEnd w:id="0"/>
      <w:bookmarkEnd w:id="1"/>
    </w:p>
    <w:p w:rsidR="005B6C39" w:rsidRPr="0008746D" w:rsidRDefault="005B6C39" w:rsidP="005B6C39">
      <w:pPr>
        <w:pStyle w:val="PI-1EMEASMCA"/>
      </w:pPr>
    </w:p>
    <w:p w:rsidR="005B6C39" w:rsidRPr="0008746D" w:rsidRDefault="005B6C39" w:rsidP="005B6C39">
      <w:pPr>
        <w:rPr>
          <w:szCs w:val="22"/>
        </w:rPr>
      </w:pPr>
      <w:r w:rsidRPr="0008746D">
        <w:rPr>
          <w:szCs w:val="22"/>
        </w:rPr>
        <w:t xml:space="preserve">Cevikap yra vitamino C tirpalas, pagamintas specialiai vaikams lašų forma, todėl jame esantį vitaminą C yra patogu dozuoti mažomis, t. y. vaikams skirtomis, dozėmis. </w:t>
      </w:r>
    </w:p>
    <w:p w:rsidR="005B6C39" w:rsidRPr="0008746D" w:rsidRDefault="005B6C39" w:rsidP="005B6C39">
      <w:pPr>
        <w:rPr>
          <w:szCs w:val="22"/>
        </w:rPr>
      </w:pPr>
    </w:p>
    <w:p w:rsidR="005B6C39" w:rsidRPr="0008746D" w:rsidRDefault="005B6C39" w:rsidP="005B6C39">
      <w:pPr>
        <w:rPr>
          <w:szCs w:val="22"/>
        </w:rPr>
      </w:pPr>
      <w:r w:rsidRPr="0008746D">
        <w:rPr>
          <w:szCs w:val="22"/>
        </w:rPr>
        <w:t>Cevikap yra vartojamas padidėjusio vitamino C poreikiui tenkinti.</w:t>
      </w:r>
    </w:p>
    <w:p w:rsidR="005B6C39" w:rsidRPr="0008746D" w:rsidRDefault="005B6C39" w:rsidP="005B6C39">
      <w:pPr>
        <w:rPr>
          <w:szCs w:val="22"/>
        </w:rPr>
      </w:pP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I-1EMEASMCA"/>
      </w:pPr>
      <w:bookmarkStart w:id="2" w:name="_Toc129243140"/>
      <w:bookmarkStart w:id="3" w:name="_Toc129243265"/>
      <w:r w:rsidRPr="0008746D">
        <w:t>2.</w:t>
      </w:r>
      <w:r w:rsidRPr="0008746D">
        <w:tab/>
        <w:t xml:space="preserve">Kas žinotina prieš vartojant </w:t>
      </w:r>
      <w:bookmarkEnd w:id="2"/>
      <w:bookmarkEnd w:id="3"/>
      <w:r>
        <w:t>Cevik</w:t>
      </w:r>
      <w:r w:rsidRPr="0008746D">
        <w:t>ap</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I-3EMEASMCA"/>
        <w:spacing w:line="240" w:lineRule="auto"/>
      </w:pPr>
      <w:r w:rsidRPr="0008746D">
        <w:t>Cevikap vartoti negalima:</w:t>
      </w:r>
    </w:p>
    <w:p w:rsidR="005B6C39" w:rsidRPr="00F447DE" w:rsidRDefault="005B6C39" w:rsidP="005B6C39">
      <w:pPr>
        <w:pStyle w:val="BT-EMEASMCA"/>
        <w:tabs>
          <w:tab w:val="clear" w:pos="360"/>
        </w:tabs>
        <w:rPr>
          <w:lang w:val="lt-LT"/>
        </w:rPr>
      </w:pPr>
      <w:r w:rsidRPr="00F447DE">
        <w:rPr>
          <w:lang w:val="lt-LT"/>
        </w:rPr>
        <w:t>jeigu yra alergija askorbo rūgščiai arba bet kuriai pagalbinei šio vaisto medžiagai (jos išvardytos 6 skyriuje).</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I-3EMEASMCA"/>
        <w:spacing w:line="240" w:lineRule="auto"/>
      </w:pPr>
      <w:r w:rsidRPr="0008746D">
        <w:t>Įspėjimai ir atsargumo priemonės:</w:t>
      </w:r>
    </w:p>
    <w:p w:rsidR="005B6C39" w:rsidRPr="0008746D" w:rsidRDefault="005B6C39" w:rsidP="005B6C39">
      <w:pPr>
        <w:pStyle w:val="BTEMEASMCA"/>
        <w:spacing w:line="240" w:lineRule="auto"/>
        <w:rPr>
          <w:noProof w:val="0"/>
          <w:sz w:val="22"/>
          <w:szCs w:val="22"/>
          <w:lang w:val="lt-LT"/>
        </w:rPr>
      </w:pPr>
      <w:r w:rsidRPr="0008746D">
        <w:rPr>
          <w:noProof w:val="0"/>
          <w:sz w:val="22"/>
          <w:szCs w:val="22"/>
          <w:lang w:val="lt-LT"/>
        </w:rPr>
        <w:t>Nevartokite kartu su vaistais, kurių sudėtyje yra geležies ir vario.</w:t>
      </w:r>
    </w:p>
    <w:p w:rsidR="005B6C39" w:rsidRPr="0008746D" w:rsidRDefault="005B6C39" w:rsidP="005B6C39">
      <w:pPr>
        <w:pStyle w:val="BTEMEASMCA"/>
        <w:spacing w:line="240" w:lineRule="auto"/>
        <w:rPr>
          <w:noProof w:val="0"/>
          <w:sz w:val="22"/>
          <w:szCs w:val="22"/>
          <w:lang w:val="lt-LT"/>
        </w:rPr>
      </w:pPr>
      <w:r w:rsidRPr="0008746D">
        <w:rPr>
          <w:noProof w:val="0"/>
          <w:sz w:val="22"/>
          <w:szCs w:val="22"/>
          <w:lang w:val="lt-LT"/>
        </w:rPr>
        <w:t>Nerekomenduojama askorbo rūgšties varto</w:t>
      </w:r>
      <w:r>
        <w:rPr>
          <w:noProof w:val="0"/>
          <w:sz w:val="22"/>
          <w:szCs w:val="22"/>
          <w:lang w:val="lt-LT"/>
        </w:rPr>
        <w:t>ti dozėmis, didesnėmis kaip 100 mg</w:t>
      </w:r>
      <w:r w:rsidRPr="0008746D">
        <w:rPr>
          <w:noProof w:val="0"/>
          <w:sz w:val="22"/>
          <w:szCs w:val="22"/>
          <w:lang w:val="lt-LT"/>
        </w:rPr>
        <w:t xml:space="preserve"> (20 Cevikap lašų) per 24 valandas, pacientams, kuriems pasireiškia:</w:t>
      </w:r>
    </w:p>
    <w:p w:rsidR="005B6C39" w:rsidRPr="0008746D" w:rsidRDefault="005B6C39" w:rsidP="005B6C39">
      <w:pPr>
        <w:pStyle w:val="BTEMEASMCA"/>
        <w:numPr>
          <w:ilvl w:val="0"/>
          <w:numId w:val="3"/>
        </w:numPr>
        <w:tabs>
          <w:tab w:val="num" w:pos="567"/>
        </w:tabs>
        <w:spacing w:line="240" w:lineRule="auto"/>
        <w:ind w:left="426" w:right="0" w:hanging="426"/>
        <w:rPr>
          <w:noProof w:val="0"/>
          <w:sz w:val="22"/>
          <w:szCs w:val="22"/>
          <w:lang w:val="lt-LT"/>
        </w:rPr>
      </w:pPr>
      <w:r w:rsidRPr="0008746D">
        <w:rPr>
          <w:noProof w:val="0"/>
          <w:sz w:val="22"/>
          <w:szCs w:val="22"/>
          <w:lang w:val="lt-LT"/>
        </w:rPr>
        <w:t>nefrolitiazė (akmenų inkstuose atsiradimas);</w:t>
      </w:r>
    </w:p>
    <w:p w:rsidR="005B6C39" w:rsidRPr="0008746D" w:rsidRDefault="005B6C39" w:rsidP="005B6C39">
      <w:pPr>
        <w:pStyle w:val="BTEMEASMCA"/>
        <w:numPr>
          <w:ilvl w:val="0"/>
          <w:numId w:val="3"/>
        </w:numPr>
        <w:tabs>
          <w:tab w:val="num" w:pos="567"/>
        </w:tabs>
        <w:spacing w:line="240" w:lineRule="auto"/>
        <w:ind w:left="426" w:right="0" w:hanging="426"/>
        <w:rPr>
          <w:noProof w:val="0"/>
          <w:sz w:val="22"/>
          <w:szCs w:val="22"/>
          <w:lang w:val="lt-LT"/>
        </w:rPr>
      </w:pPr>
      <w:r w:rsidRPr="0008746D">
        <w:rPr>
          <w:noProof w:val="0"/>
          <w:sz w:val="22"/>
          <w:szCs w:val="22"/>
          <w:lang w:val="lt-LT"/>
        </w:rPr>
        <w:t>neįprastai didelio oksalo rūgšties kiekio ir oksalatų šlapime buvimas;</w:t>
      </w:r>
    </w:p>
    <w:p w:rsidR="005B6C39" w:rsidRPr="0008746D" w:rsidRDefault="005B6C39" w:rsidP="005B6C39">
      <w:pPr>
        <w:pStyle w:val="BTEMEASMCA"/>
        <w:numPr>
          <w:ilvl w:val="0"/>
          <w:numId w:val="3"/>
        </w:numPr>
        <w:tabs>
          <w:tab w:val="num" w:pos="567"/>
        </w:tabs>
        <w:spacing w:line="240" w:lineRule="auto"/>
        <w:ind w:left="426" w:right="0" w:hanging="426"/>
        <w:rPr>
          <w:noProof w:val="0"/>
          <w:sz w:val="22"/>
          <w:szCs w:val="22"/>
          <w:lang w:val="lt-LT"/>
        </w:rPr>
      </w:pPr>
      <w:r w:rsidRPr="0008746D">
        <w:rPr>
          <w:noProof w:val="0"/>
          <w:sz w:val="22"/>
          <w:szCs w:val="22"/>
          <w:lang w:val="lt-LT"/>
        </w:rPr>
        <w:t>polinkis inkstų akmenų formavimuisi;</w:t>
      </w:r>
    </w:p>
    <w:p w:rsidR="005B6C39" w:rsidRPr="0008746D" w:rsidRDefault="005B6C39" w:rsidP="005B6C39">
      <w:pPr>
        <w:pStyle w:val="BTEMEASMCA"/>
        <w:numPr>
          <w:ilvl w:val="0"/>
          <w:numId w:val="3"/>
        </w:numPr>
        <w:tabs>
          <w:tab w:val="num" w:pos="567"/>
        </w:tabs>
        <w:spacing w:line="240" w:lineRule="auto"/>
        <w:ind w:left="426" w:right="0" w:hanging="426"/>
        <w:rPr>
          <w:noProof w:val="0"/>
          <w:sz w:val="22"/>
          <w:szCs w:val="22"/>
          <w:lang w:val="lt-LT"/>
        </w:rPr>
      </w:pPr>
      <w:r w:rsidRPr="0008746D">
        <w:rPr>
          <w:noProof w:val="0"/>
          <w:sz w:val="22"/>
          <w:szCs w:val="22"/>
          <w:lang w:val="lt-LT"/>
        </w:rPr>
        <w:t>padidėjęs geležies kiekis organizme, t.y. pacientams, kuriems pasireiškia hemochromatozė (geležies apykaitos liga), pjautuvinė mažakraujystė, talasemija (sumažėjęs hemoglobino sintezės greitis) arba apsinuodijimas geležies preparatais;</w:t>
      </w:r>
    </w:p>
    <w:p w:rsidR="005B6C39" w:rsidRPr="0008746D" w:rsidRDefault="005B6C39" w:rsidP="005B6C39">
      <w:pPr>
        <w:numPr>
          <w:ilvl w:val="0"/>
          <w:numId w:val="3"/>
        </w:numPr>
        <w:shd w:val="clear" w:color="auto" w:fill="FFFFFF"/>
        <w:tabs>
          <w:tab w:val="num" w:pos="567"/>
        </w:tabs>
        <w:ind w:left="426" w:hanging="426"/>
        <w:rPr>
          <w:kern w:val="16"/>
          <w:szCs w:val="22"/>
        </w:rPr>
      </w:pPr>
      <w:r w:rsidRPr="0008746D">
        <w:rPr>
          <w:color w:val="000000"/>
          <w:szCs w:val="22"/>
        </w:rPr>
        <w:t>fermento g</w:t>
      </w:r>
      <w:r w:rsidRPr="0008746D">
        <w:rPr>
          <w:kern w:val="16"/>
          <w:szCs w:val="22"/>
        </w:rPr>
        <w:t>liukozės-6-fosfatdehidrogenazės trūkumas (galimas eritrocitų irimas).</w:t>
      </w:r>
    </w:p>
    <w:p w:rsidR="005B6C39" w:rsidRPr="0008746D" w:rsidRDefault="005B6C39" w:rsidP="005B6C39">
      <w:pPr>
        <w:pStyle w:val="BTEMEASMCA"/>
        <w:spacing w:line="240" w:lineRule="auto"/>
        <w:rPr>
          <w:noProof w:val="0"/>
          <w:sz w:val="22"/>
          <w:szCs w:val="22"/>
          <w:lang w:val="lt-LT"/>
        </w:rPr>
      </w:pPr>
      <w:r w:rsidRPr="0008746D">
        <w:rPr>
          <w:noProof w:val="0"/>
          <w:sz w:val="22"/>
          <w:szCs w:val="22"/>
          <w:lang w:val="lt-LT"/>
        </w:rPr>
        <w:t>Vartojant Cevikap, specialių atsargumo priemonių turi būti imtasi prieš atliekant laboratorinius tyrimus. Didelėmis dozėmis vartojama askorbo rūgštis gali keisti laboratorinių tyrimų rodmenis, pvz., nustatant gliukozės ir kreatinino koncentracijas kraujyje ir šlapime.</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I-3EMEASMCA"/>
        <w:keepNext/>
        <w:spacing w:line="240" w:lineRule="auto"/>
      </w:pPr>
      <w:r w:rsidRPr="0008746D">
        <w:lastRenderedPageBreak/>
        <w:t>Kiti vaistai ir Cevikap</w:t>
      </w:r>
    </w:p>
    <w:p w:rsidR="005B6C39" w:rsidRPr="0008746D" w:rsidRDefault="005B6C39" w:rsidP="005B6C39">
      <w:pPr>
        <w:pStyle w:val="BTEMEASMCA"/>
        <w:keepNext/>
        <w:spacing w:line="240" w:lineRule="auto"/>
        <w:rPr>
          <w:noProof w:val="0"/>
          <w:sz w:val="22"/>
          <w:szCs w:val="22"/>
          <w:lang w:val="lt-LT"/>
        </w:rPr>
      </w:pPr>
      <w:r w:rsidRPr="0008746D">
        <w:rPr>
          <w:noProof w:val="0"/>
          <w:sz w:val="22"/>
          <w:szCs w:val="22"/>
          <w:lang w:val="lt-LT"/>
        </w:rPr>
        <w:t>Jeigu vartojate ar neseniai vartojote kitų vaistų arba dėl to nesate tikri, apie tai pasakykite gydytojui arba vaistininkui.</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rPr>
          <w:szCs w:val="22"/>
        </w:rPr>
      </w:pPr>
      <w:r w:rsidRPr="0008746D">
        <w:rPr>
          <w:i/>
          <w:szCs w:val="22"/>
        </w:rPr>
        <w:t>Geležis.</w:t>
      </w:r>
      <w:r>
        <w:rPr>
          <w:szCs w:val="22"/>
        </w:rPr>
        <w:t xml:space="preserve"> Askorbo rūgštis 2 -</w:t>
      </w:r>
      <w:r w:rsidRPr="0008746D">
        <w:rPr>
          <w:szCs w:val="22"/>
        </w:rPr>
        <w:t xml:space="preserve"> 4 kartus pagerina ne hemo sudėtyje esančios geležies absorbciją iš virškinimo trakto, ypač tiems žmonėms, kurių audiniuose geležies atsargos yra mažos.</w:t>
      </w:r>
    </w:p>
    <w:p w:rsidR="005B6C39" w:rsidRPr="0008746D" w:rsidRDefault="005B6C39" w:rsidP="005B6C39">
      <w:pPr>
        <w:rPr>
          <w:szCs w:val="22"/>
          <w:u w:val="single"/>
        </w:rPr>
      </w:pPr>
    </w:p>
    <w:p w:rsidR="005B6C39" w:rsidRPr="0008746D" w:rsidRDefault="005B6C39" w:rsidP="005B6C39">
      <w:pPr>
        <w:rPr>
          <w:szCs w:val="22"/>
        </w:rPr>
      </w:pPr>
      <w:r w:rsidRPr="0008746D">
        <w:rPr>
          <w:i/>
          <w:szCs w:val="22"/>
        </w:rPr>
        <w:t>Deferoksaminas.</w:t>
      </w:r>
      <w:r w:rsidRPr="0008746D">
        <w:rPr>
          <w:szCs w:val="22"/>
        </w:rPr>
        <w:t xml:space="preserve"> Pacientams, kurių organizme yra geležies perteklius, vartojant deferoksamino kartu su askorbo rūgštimi, pradinės detoksikacijos ar gydymo fazės metu gali didėti toksinis geležies poveikis.</w:t>
      </w:r>
    </w:p>
    <w:p w:rsidR="005B6C39" w:rsidRPr="0008746D" w:rsidRDefault="005B6C39" w:rsidP="005B6C39">
      <w:pPr>
        <w:rPr>
          <w:szCs w:val="22"/>
          <w:u w:val="single"/>
        </w:rPr>
      </w:pPr>
    </w:p>
    <w:p w:rsidR="005B6C39" w:rsidRPr="00560ACA" w:rsidRDefault="005B6C39" w:rsidP="005B6C39">
      <w:pPr>
        <w:rPr>
          <w:szCs w:val="22"/>
        </w:rPr>
      </w:pPr>
      <w:r w:rsidRPr="00560ACA">
        <w:rPr>
          <w:i/>
          <w:szCs w:val="22"/>
        </w:rPr>
        <w:t>Acetilsalicilo rūgštis</w:t>
      </w:r>
      <w:r w:rsidRPr="00560ACA">
        <w:rPr>
          <w:szCs w:val="22"/>
        </w:rPr>
        <w:t>. Didelė acetilsalicilo rūgšties dozė mažina biologinį askorbo rūgšties pasisavinimą.</w:t>
      </w:r>
    </w:p>
    <w:p w:rsidR="005B6C39" w:rsidRPr="0008746D" w:rsidRDefault="005B6C39" w:rsidP="005B6C39">
      <w:pPr>
        <w:rPr>
          <w:szCs w:val="22"/>
          <w:u w:val="single"/>
        </w:rPr>
      </w:pPr>
    </w:p>
    <w:p w:rsidR="005B6C39" w:rsidRPr="0008746D" w:rsidRDefault="005B6C39" w:rsidP="005B6C39">
      <w:pPr>
        <w:rPr>
          <w:szCs w:val="22"/>
        </w:rPr>
      </w:pPr>
      <w:r w:rsidRPr="0008746D">
        <w:rPr>
          <w:i/>
          <w:szCs w:val="22"/>
        </w:rPr>
        <w:t>Vitaminas E.</w:t>
      </w:r>
      <w:r w:rsidRPr="0008746D">
        <w:rPr>
          <w:szCs w:val="22"/>
        </w:rPr>
        <w:t xml:space="preserve"> Abiems vitaminams būdingas sinergetinis antioksidacinis poveikis. Askorbo rūgštis reaktyvuoja tokoferolį, tyrimų </w:t>
      </w:r>
      <w:r w:rsidRPr="0008746D">
        <w:rPr>
          <w:i/>
          <w:szCs w:val="22"/>
        </w:rPr>
        <w:t xml:space="preserve">in vitro </w:t>
      </w:r>
      <w:r w:rsidRPr="0008746D">
        <w:rPr>
          <w:szCs w:val="22"/>
        </w:rPr>
        <w:t xml:space="preserve">ir </w:t>
      </w:r>
      <w:r w:rsidRPr="0008746D">
        <w:rPr>
          <w:i/>
          <w:szCs w:val="22"/>
        </w:rPr>
        <w:t>in vivo</w:t>
      </w:r>
      <w:r w:rsidRPr="0008746D">
        <w:rPr>
          <w:szCs w:val="22"/>
        </w:rPr>
        <w:t xml:space="preserve"> metu stabdo šios medžiagos inaktyvavimą. </w:t>
      </w:r>
    </w:p>
    <w:p w:rsidR="005B6C39" w:rsidRPr="0008746D" w:rsidRDefault="005B6C39" w:rsidP="005B6C39">
      <w:pPr>
        <w:rPr>
          <w:szCs w:val="22"/>
          <w:u w:val="single"/>
        </w:rPr>
      </w:pPr>
    </w:p>
    <w:p w:rsidR="005B6C39" w:rsidRPr="0008746D" w:rsidRDefault="005B6C39" w:rsidP="005B6C39">
      <w:pPr>
        <w:rPr>
          <w:szCs w:val="22"/>
        </w:rPr>
      </w:pPr>
      <w:r w:rsidRPr="0008746D">
        <w:rPr>
          <w:i/>
          <w:szCs w:val="22"/>
        </w:rPr>
        <w:t>Kotrimoksazolis.</w:t>
      </w:r>
      <w:r w:rsidRPr="0008746D">
        <w:rPr>
          <w:szCs w:val="22"/>
        </w:rPr>
        <w:t xml:space="preserve"> Jei vartojama didelė askorbo rūgšties dozė, šlapime gali dažniau atsirasti sulfanilamido, esančio kotrimoksazolyje, kristalų.</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I-3EMEASMCA"/>
        <w:spacing w:line="240" w:lineRule="auto"/>
      </w:pPr>
      <w:r w:rsidRPr="0008746D">
        <w:t>Cevikap vartojimas su maistu ir gėrimais</w:t>
      </w:r>
    </w:p>
    <w:p w:rsidR="005B6C39" w:rsidRPr="0008746D" w:rsidRDefault="005B6C39" w:rsidP="005B6C39">
      <w:pPr>
        <w:rPr>
          <w:szCs w:val="22"/>
        </w:rPr>
      </w:pPr>
      <w:r w:rsidRPr="0008746D">
        <w:rPr>
          <w:szCs w:val="22"/>
        </w:rPr>
        <w:t xml:space="preserve">Cevikap galima vartoti su maistu ir gėrimais. Jei vaisto reikia gerti kūdikiams, lašus rekomenduojama skiesti vandeniu, arbata, sultimis ar įmaišyti į maistą. </w:t>
      </w:r>
    </w:p>
    <w:p w:rsidR="005B6C39" w:rsidRPr="0008746D" w:rsidRDefault="005B6C39" w:rsidP="005B6C39">
      <w:pPr>
        <w:pStyle w:val="PI-3EMEASMCA"/>
        <w:spacing w:line="240" w:lineRule="auto"/>
      </w:pPr>
    </w:p>
    <w:p w:rsidR="005B6C39" w:rsidRPr="0008746D" w:rsidRDefault="005B6C39" w:rsidP="005B6C39">
      <w:pPr>
        <w:pStyle w:val="PI-3EMEASMCA"/>
        <w:spacing w:line="240" w:lineRule="auto"/>
      </w:pPr>
      <w:r w:rsidRPr="0008746D">
        <w:t>Nėštumas ir žindymo laikotarpis</w:t>
      </w: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Jeigu esate nėščia, žindote kūdikį, manote, kad galbūt esate nėščia, arba planuojate pastoti, tai prieš vartodama šį vaistą, pasitarkite su gydytoju arba vaistininku.</w:t>
      </w: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Vitamino C rekomenduojama paros dozė nėščioms moterims (įskaitant vitamino C kiekį maiste) yra iki 80</w:t>
      </w:r>
      <w:r>
        <w:rPr>
          <w:noProof w:val="0"/>
          <w:sz w:val="22"/>
          <w:szCs w:val="22"/>
          <w:lang w:val="lt-LT"/>
        </w:rPr>
        <w:t> mg</w:t>
      </w:r>
      <w:r w:rsidRPr="0008746D">
        <w:rPr>
          <w:noProof w:val="0"/>
          <w:sz w:val="22"/>
          <w:szCs w:val="22"/>
          <w:lang w:val="lt-LT"/>
        </w:rPr>
        <w:t xml:space="preserve"> (16 Cevikap lašų).</w:t>
      </w: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Vitamino C rekomenduojama paros dozė žindančioms moterims (įskaitant vitamino C kiekį maiste) yra iki 100</w:t>
      </w:r>
      <w:r>
        <w:rPr>
          <w:noProof w:val="0"/>
          <w:sz w:val="22"/>
          <w:szCs w:val="22"/>
          <w:lang w:val="lt-LT"/>
        </w:rPr>
        <w:t> mg</w:t>
      </w:r>
      <w:r w:rsidRPr="0008746D">
        <w:rPr>
          <w:noProof w:val="0"/>
          <w:sz w:val="22"/>
          <w:szCs w:val="22"/>
          <w:lang w:val="lt-LT"/>
        </w:rPr>
        <w:t xml:space="preserve"> (20 Cevikap lašų). Askorbo rūgštis gali patekti į motinos pieną. Rekomenduojama vengti vitamino C vartojimo didelėmis dozėmis dėl perdozavimo kūdikiui pavojaus.</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I-3EMEASMCA"/>
        <w:spacing w:line="240" w:lineRule="auto"/>
      </w:pPr>
      <w:r w:rsidRPr="0008746D">
        <w:t>Vairavimas ir mechanizmų valdymas</w:t>
      </w:r>
    </w:p>
    <w:p w:rsidR="005B6C39" w:rsidRPr="0008746D" w:rsidRDefault="005B6C39" w:rsidP="005B6C39">
      <w:pPr>
        <w:pStyle w:val="Pagrindinistekstas"/>
        <w:spacing w:after="0"/>
        <w:rPr>
          <w:szCs w:val="22"/>
        </w:rPr>
      </w:pPr>
      <w:r w:rsidRPr="0008746D">
        <w:rPr>
          <w:szCs w:val="22"/>
        </w:rPr>
        <w:t>Cevikap gebėjimo vairuoti ir valdyti mechanizmus neveikia.</w:t>
      </w:r>
    </w:p>
    <w:p w:rsidR="005B6C39" w:rsidRPr="0008746D" w:rsidRDefault="005B6C39" w:rsidP="005B6C39">
      <w:pPr>
        <w:pStyle w:val="BTEMEASMCA"/>
        <w:spacing w:line="240" w:lineRule="auto"/>
        <w:ind w:right="0"/>
        <w:rPr>
          <w:noProof w:val="0"/>
          <w:sz w:val="22"/>
          <w:szCs w:val="22"/>
          <w:lang w:val="lt-LT"/>
        </w:rPr>
      </w:pPr>
    </w:p>
    <w:p w:rsidR="005B6C39" w:rsidRPr="0008746D" w:rsidRDefault="005B6C39" w:rsidP="005B6C39">
      <w:pPr>
        <w:pStyle w:val="PI-3EMEASMCA"/>
        <w:spacing w:line="240" w:lineRule="auto"/>
      </w:pPr>
    </w:p>
    <w:p w:rsidR="005B6C39" w:rsidRPr="0008746D" w:rsidRDefault="005B6C39" w:rsidP="005B6C39">
      <w:pPr>
        <w:pStyle w:val="PI-1EMEASMCA"/>
      </w:pPr>
      <w:bookmarkStart w:id="4" w:name="_Toc129243141"/>
      <w:bookmarkStart w:id="5" w:name="_Toc129243266"/>
      <w:r w:rsidRPr="0008746D">
        <w:t>3.</w:t>
      </w:r>
      <w:r w:rsidRPr="0008746D">
        <w:tab/>
        <w:t xml:space="preserve">Kaip vartoti </w:t>
      </w:r>
      <w:bookmarkEnd w:id="4"/>
      <w:bookmarkEnd w:id="5"/>
      <w:r>
        <w:t>Cevik</w:t>
      </w:r>
      <w:r w:rsidRPr="0008746D">
        <w:t>ap</w:t>
      </w:r>
    </w:p>
    <w:p w:rsidR="005B6C39" w:rsidRPr="0008746D" w:rsidRDefault="005B6C39" w:rsidP="005B6C39">
      <w:pPr>
        <w:pStyle w:val="PI-1EMEASMCA"/>
      </w:pPr>
    </w:p>
    <w:p w:rsidR="005B6C39" w:rsidRPr="0008746D" w:rsidRDefault="005B6C39" w:rsidP="005B6C39">
      <w:pPr>
        <w:rPr>
          <w:szCs w:val="22"/>
        </w:rPr>
      </w:pPr>
      <w:r w:rsidRPr="0008746D">
        <w:rPr>
          <w:szCs w:val="22"/>
        </w:rPr>
        <w:t>Visada vartokite šį vaistą tiksliai kaip aprašyta šiame lapelyje arba kaip nurodė gydytojas arba vaistininkas. Jeigu abejojate, kreipkitės į gydytoją arba vaistininką.</w:t>
      </w:r>
    </w:p>
    <w:p w:rsidR="005B6C39" w:rsidRPr="0008746D" w:rsidRDefault="005B6C39" w:rsidP="005B6C39">
      <w:pPr>
        <w:rPr>
          <w:szCs w:val="22"/>
        </w:rPr>
      </w:pPr>
    </w:p>
    <w:p w:rsidR="005B6C39" w:rsidRPr="0008746D" w:rsidRDefault="005B6C39" w:rsidP="005B6C39">
      <w:pPr>
        <w:pStyle w:val="Pagrindinistekstas"/>
        <w:spacing w:after="0"/>
        <w:rPr>
          <w:szCs w:val="22"/>
        </w:rPr>
      </w:pPr>
      <w:r w:rsidRPr="0008746D">
        <w:rPr>
          <w:szCs w:val="22"/>
        </w:rPr>
        <w:t>Cevikap yra vitamino C tirpalas, pagamintas specialiai vaikams lašų forma, todėl jame esančią askorbo rūgštį yra patogu dozuoti mažomis, t. y. kūdikiams skirtomis, dozėmis.</w:t>
      </w:r>
    </w:p>
    <w:p w:rsidR="005B6C39" w:rsidRPr="0008746D" w:rsidRDefault="005B6C39" w:rsidP="005B6C39">
      <w:pPr>
        <w:rPr>
          <w:szCs w:val="22"/>
        </w:rPr>
      </w:pPr>
    </w:p>
    <w:p w:rsidR="005B6C39" w:rsidRPr="0008746D" w:rsidRDefault="005B6C39" w:rsidP="005B6C39">
      <w:pPr>
        <w:rPr>
          <w:i/>
          <w:szCs w:val="22"/>
        </w:rPr>
      </w:pPr>
      <w:r w:rsidRPr="0008746D">
        <w:rPr>
          <w:i/>
          <w:szCs w:val="22"/>
        </w:rPr>
        <w:t>Vartojimas vaikams ir paaugliams</w:t>
      </w:r>
    </w:p>
    <w:p w:rsidR="005B6C39" w:rsidRPr="0008746D" w:rsidRDefault="005B6C39" w:rsidP="005B6C39">
      <w:pPr>
        <w:pStyle w:val="Pagrindinistekstas"/>
        <w:spacing w:after="0"/>
        <w:rPr>
          <w:szCs w:val="22"/>
          <w:u w:val="single"/>
        </w:rPr>
      </w:pPr>
      <w:r w:rsidRPr="0008746D">
        <w:rPr>
          <w:szCs w:val="22"/>
        </w:rPr>
        <w:t>Rekomenduojama dozė yra:</w:t>
      </w:r>
    </w:p>
    <w:p w:rsidR="005B6C39" w:rsidRPr="0008746D" w:rsidRDefault="005B6C39" w:rsidP="005B6C39">
      <w:pPr>
        <w:pStyle w:val="Pagrindinistekstas"/>
        <w:numPr>
          <w:ilvl w:val="0"/>
          <w:numId w:val="5"/>
        </w:numPr>
        <w:spacing w:after="0"/>
        <w:ind w:left="426" w:hanging="426"/>
        <w:rPr>
          <w:szCs w:val="22"/>
        </w:rPr>
      </w:pPr>
      <w:r w:rsidRPr="0008746D">
        <w:rPr>
          <w:szCs w:val="22"/>
        </w:rPr>
        <w:t xml:space="preserve">kūdikiams (jaunesniems kaip 1 metų vaikams) per parą reikia gerti 5 - 8 lašus (maždaug 25 </w:t>
      </w:r>
      <w:r>
        <w:rPr>
          <w:szCs w:val="22"/>
        </w:rPr>
        <w:t>- 40 mg</w:t>
      </w:r>
      <w:r w:rsidRPr="0008746D">
        <w:rPr>
          <w:szCs w:val="22"/>
        </w:rPr>
        <w:t>);</w:t>
      </w:r>
    </w:p>
    <w:p w:rsidR="005B6C39" w:rsidRPr="0008746D" w:rsidRDefault="005B6C39" w:rsidP="005B6C39">
      <w:pPr>
        <w:pStyle w:val="Pagrindinistekstas"/>
        <w:numPr>
          <w:ilvl w:val="0"/>
          <w:numId w:val="5"/>
        </w:numPr>
        <w:spacing w:after="0"/>
        <w:ind w:left="426" w:hanging="426"/>
        <w:rPr>
          <w:szCs w:val="22"/>
        </w:rPr>
      </w:pPr>
      <w:r w:rsidRPr="0008746D">
        <w:rPr>
          <w:szCs w:val="22"/>
        </w:rPr>
        <w:t>vyresniems kaip 1 metų, bet jaunesniems negu 11 metų vaikams per parą r</w:t>
      </w:r>
      <w:r>
        <w:rPr>
          <w:szCs w:val="22"/>
        </w:rPr>
        <w:t>eikia gerti 10 lašų (maždaug 50 mg</w:t>
      </w:r>
      <w:r w:rsidRPr="0008746D">
        <w:rPr>
          <w:szCs w:val="22"/>
        </w:rPr>
        <w:t xml:space="preserve">); </w:t>
      </w:r>
    </w:p>
    <w:p w:rsidR="005B6C39" w:rsidRPr="0008746D" w:rsidRDefault="005B6C39" w:rsidP="005B6C39">
      <w:pPr>
        <w:pStyle w:val="Pagrindinistekstas"/>
        <w:numPr>
          <w:ilvl w:val="0"/>
          <w:numId w:val="5"/>
        </w:numPr>
        <w:spacing w:after="0"/>
        <w:ind w:left="426" w:hanging="426"/>
        <w:rPr>
          <w:szCs w:val="22"/>
        </w:rPr>
      </w:pPr>
      <w:r w:rsidRPr="0008746D">
        <w:rPr>
          <w:szCs w:val="22"/>
        </w:rPr>
        <w:t>11 - 17 metų paaugliams per parą reiki</w:t>
      </w:r>
      <w:r>
        <w:rPr>
          <w:szCs w:val="22"/>
        </w:rPr>
        <w:t>a gerti 15 - 20 </w:t>
      </w:r>
      <w:r w:rsidRPr="0008746D">
        <w:rPr>
          <w:szCs w:val="22"/>
        </w:rPr>
        <w:t>lašų (maždaug 75 -</w:t>
      </w:r>
      <w:r>
        <w:rPr>
          <w:szCs w:val="22"/>
        </w:rPr>
        <w:t xml:space="preserve"> 100 mg</w:t>
      </w:r>
      <w:r w:rsidRPr="0008746D">
        <w:rPr>
          <w:szCs w:val="22"/>
        </w:rPr>
        <w:t>).</w:t>
      </w:r>
    </w:p>
    <w:p w:rsidR="005B6C39" w:rsidRPr="0008746D" w:rsidRDefault="005B6C39" w:rsidP="005B6C39">
      <w:pPr>
        <w:pStyle w:val="Pagrindinistekstas"/>
        <w:spacing w:after="0"/>
        <w:rPr>
          <w:szCs w:val="22"/>
        </w:rPr>
      </w:pPr>
    </w:p>
    <w:p w:rsidR="005B6C39" w:rsidRPr="0008746D" w:rsidRDefault="005B6C39" w:rsidP="005B6C39">
      <w:pPr>
        <w:rPr>
          <w:szCs w:val="22"/>
        </w:rPr>
      </w:pPr>
      <w:r w:rsidRPr="0008746D">
        <w:rPr>
          <w:szCs w:val="22"/>
        </w:rPr>
        <w:t xml:space="preserve">Cevikap yra geriamas. Geriausiai paros dozę vartoti valgio metu. Jei vaisto reikia gerti kūdikiams, lašus rekomenduojama skiesti vandeniu, arbata, sultimis ar įmaišyti į maistą. </w:t>
      </w:r>
    </w:p>
    <w:p w:rsidR="005B6C39" w:rsidRPr="0008746D" w:rsidRDefault="005B6C39" w:rsidP="005B6C39">
      <w:pPr>
        <w:pStyle w:val="Pagrindinistekstas"/>
        <w:spacing w:after="0"/>
        <w:rPr>
          <w:szCs w:val="22"/>
        </w:rPr>
      </w:pPr>
    </w:p>
    <w:p w:rsidR="005B6C39" w:rsidRPr="0008746D" w:rsidRDefault="005B6C39" w:rsidP="005B6C39">
      <w:pPr>
        <w:pStyle w:val="Pagrindinistekstas"/>
        <w:spacing w:after="0"/>
        <w:rPr>
          <w:szCs w:val="22"/>
        </w:rPr>
      </w:pPr>
    </w:p>
    <w:p w:rsidR="005B6C39" w:rsidRPr="0008746D" w:rsidRDefault="005B6C39" w:rsidP="005B6C39">
      <w:pPr>
        <w:pStyle w:val="Antrat3"/>
        <w:rPr>
          <w:szCs w:val="22"/>
          <w:lang w:val="lt-LT"/>
        </w:rPr>
      </w:pPr>
      <w:r w:rsidRPr="0008746D">
        <w:rPr>
          <w:szCs w:val="22"/>
          <w:lang w:val="lt-LT"/>
        </w:rPr>
        <w:lastRenderedPageBreak/>
        <w:t>Ką daryti pavartojus per didelę Cevikap dozę?</w:t>
      </w:r>
    </w:p>
    <w:p w:rsidR="005B6C39" w:rsidRPr="0008746D" w:rsidRDefault="005B6C39" w:rsidP="005B6C39">
      <w:pPr>
        <w:rPr>
          <w:szCs w:val="22"/>
        </w:rPr>
      </w:pPr>
      <w:r w:rsidRPr="0008746D">
        <w:rPr>
          <w:szCs w:val="22"/>
        </w:rPr>
        <w:t xml:space="preserve">Askorbo rūgšties šalinimas priklauso nuo inkstų veiklos. Jei koncentracija kraujyje didesnė, askorbo rūgšties perteklius, kurio organizmas nepajėgia pasisavinti, nepakitusia forma greitai pašalinamas su šlapimu. </w:t>
      </w:r>
    </w:p>
    <w:p w:rsidR="005B6C39" w:rsidRPr="0008746D" w:rsidRDefault="005B6C39" w:rsidP="005B6C39">
      <w:pPr>
        <w:tabs>
          <w:tab w:val="left" w:pos="567"/>
        </w:tabs>
        <w:rPr>
          <w:rFonts w:eastAsia="Times New Roman"/>
          <w:szCs w:val="22"/>
        </w:rPr>
      </w:pPr>
      <w:r w:rsidRPr="0008746D">
        <w:rPr>
          <w:rFonts w:eastAsia="Times New Roman"/>
          <w:szCs w:val="22"/>
        </w:rPr>
        <w:t>Jei perdozavote vitamino C, nutraukite jo vartojimą ir nedelsiant kreipkitės į gydytoją.</w:t>
      </w:r>
    </w:p>
    <w:p w:rsidR="005B6C39" w:rsidRPr="0008746D" w:rsidRDefault="005B6C39" w:rsidP="005B6C39">
      <w:pPr>
        <w:tabs>
          <w:tab w:val="left" w:pos="567"/>
        </w:tabs>
        <w:rPr>
          <w:rFonts w:eastAsia="Times New Roman"/>
          <w:i/>
          <w:szCs w:val="22"/>
        </w:rPr>
      </w:pPr>
      <w:r w:rsidRPr="0008746D">
        <w:rPr>
          <w:rFonts w:eastAsia="Times New Roman"/>
          <w:i/>
          <w:szCs w:val="22"/>
        </w:rPr>
        <w:t>Gydymas</w:t>
      </w:r>
    </w:p>
    <w:p w:rsidR="005B6C39" w:rsidRPr="0008746D" w:rsidRDefault="005B6C39" w:rsidP="005B6C39">
      <w:pPr>
        <w:tabs>
          <w:tab w:val="left" w:pos="567"/>
        </w:tabs>
        <w:rPr>
          <w:rFonts w:eastAsia="Times New Roman"/>
          <w:szCs w:val="22"/>
        </w:rPr>
      </w:pPr>
      <w:r w:rsidRPr="0008746D">
        <w:rPr>
          <w:rFonts w:eastAsia="Times New Roman"/>
          <w:szCs w:val="22"/>
        </w:rPr>
        <w:t>Reikia nutraukti vaisto vartojimą, ligoniui duoti skysčių ir taikyti simptominį gydymą.</w:t>
      </w:r>
    </w:p>
    <w:p w:rsidR="005B6C39" w:rsidRPr="0008746D" w:rsidRDefault="005B6C39" w:rsidP="005B6C39">
      <w:pPr>
        <w:pStyle w:val="Pagrindinistekstas"/>
        <w:spacing w:after="0"/>
        <w:rPr>
          <w:szCs w:val="22"/>
        </w:rPr>
      </w:pPr>
    </w:p>
    <w:p w:rsidR="005B6C39" w:rsidRPr="0008746D" w:rsidRDefault="005B6C39" w:rsidP="005B6C39">
      <w:pPr>
        <w:pStyle w:val="PI-3EMEASMCA"/>
        <w:spacing w:line="240" w:lineRule="auto"/>
      </w:pPr>
      <w:r w:rsidRPr="0008746D">
        <w:t>Pamiršus pavartoti Cevikap</w:t>
      </w:r>
    </w:p>
    <w:p w:rsidR="005B6C39" w:rsidRPr="0008746D" w:rsidRDefault="005B6C39" w:rsidP="005B6C39">
      <w:pPr>
        <w:pStyle w:val="BTEMEASMCA"/>
        <w:spacing w:line="240" w:lineRule="auto"/>
        <w:rPr>
          <w:noProof w:val="0"/>
          <w:sz w:val="22"/>
          <w:szCs w:val="22"/>
          <w:lang w:val="lt-LT"/>
        </w:rPr>
      </w:pPr>
      <w:r w:rsidRPr="0008746D">
        <w:rPr>
          <w:noProof w:val="0"/>
          <w:sz w:val="22"/>
          <w:szCs w:val="22"/>
          <w:lang w:val="lt-LT"/>
        </w:rPr>
        <w:t>Negalima vartoti dvigubos dozės norint kompensuoti praleistą dozę.</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BTEMEASMCA"/>
        <w:spacing w:line="240" w:lineRule="auto"/>
        <w:ind w:right="0"/>
        <w:rPr>
          <w:noProof w:val="0"/>
          <w:sz w:val="22"/>
          <w:szCs w:val="22"/>
          <w:lang w:val="lt-LT"/>
        </w:rPr>
      </w:pPr>
    </w:p>
    <w:p w:rsidR="005B6C39" w:rsidRPr="0008746D" w:rsidRDefault="005B6C39" w:rsidP="005B6C39">
      <w:pPr>
        <w:pStyle w:val="PI-1EMEASMCA"/>
      </w:pPr>
      <w:bookmarkStart w:id="6" w:name="_Toc129243142"/>
      <w:bookmarkStart w:id="7" w:name="_Toc129243267"/>
      <w:r w:rsidRPr="0008746D">
        <w:t>4.</w:t>
      </w:r>
      <w:r w:rsidRPr="0008746D">
        <w:tab/>
        <w:t>Galimas šalutinis poveikis</w:t>
      </w:r>
      <w:bookmarkEnd w:id="6"/>
      <w:bookmarkEnd w:id="7"/>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numPr>
          <w:ilvl w:val="12"/>
          <w:numId w:val="0"/>
        </w:numPr>
        <w:ind w:right="-29"/>
        <w:rPr>
          <w:snapToGrid w:val="0"/>
          <w:szCs w:val="22"/>
        </w:rPr>
      </w:pPr>
      <w:r w:rsidRPr="0008746D">
        <w:rPr>
          <w:snapToGrid w:val="0"/>
          <w:szCs w:val="22"/>
        </w:rPr>
        <w:t>Šis vaistas, kaip ir visi kiti, gali sukelti šalutinį poveikį, nors jis pasireiškia ne visiems žmonėms.</w:t>
      </w:r>
    </w:p>
    <w:p w:rsidR="005B6C39" w:rsidRPr="0008746D" w:rsidRDefault="005B6C39" w:rsidP="005B6C39">
      <w:pPr>
        <w:tabs>
          <w:tab w:val="left" w:pos="567"/>
        </w:tabs>
        <w:jc w:val="both"/>
        <w:rPr>
          <w:szCs w:val="22"/>
        </w:rPr>
      </w:pPr>
    </w:p>
    <w:p w:rsidR="005B6C39" w:rsidRPr="0008746D" w:rsidRDefault="005B6C39" w:rsidP="005B6C39">
      <w:pPr>
        <w:tabs>
          <w:tab w:val="left" w:pos="567"/>
        </w:tabs>
        <w:jc w:val="both"/>
        <w:rPr>
          <w:szCs w:val="22"/>
        </w:rPr>
      </w:pPr>
      <w:r w:rsidRPr="0008746D">
        <w:rPr>
          <w:szCs w:val="22"/>
        </w:rPr>
        <w:t>Paprastai askorbo rūgštis toleruojama gerai ir šalutinis poveikis pasireiškia retai arba labai retai.</w:t>
      </w:r>
    </w:p>
    <w:p w:rsidR="005B6C39" w:rsidRPr="0008746D" w:rsidRDefault="005B6C39" w:rsidP="005B6C39">
      <w:pPr>
        <w:tabs>
          <w:tab w:val="left" w:pos="567"/>
        </w:tabs>
        <w:rPr>
          <w:szCs w:val="22"/>
        </w:rPr>
      </w:pPr>
      <w:r w:rsidRPr="0008746D">
        <w:rPr>
          <w:szCs w:val="22"/>
        </w:rPr>
        <w:t>Nepageidaujamas poveikis pateiktas, remiantis sutrikimų dažnio apibūdinimu, kuris nurodytas toliau.</w:t>
      </w:r>
    </w:p>
    <w:p w:rsidR="005B6C39" w:rsidRPr="0008746D" w:rsidRDefault="005B6C39" w:rsidP="005B6C39">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7136"/>
      </w:tblGrid>
      <w:tr w:rsidR="005B6C39" w:rsidRPr="0008746D" w:rsidTr="00DE4164">
        <w:tc>
          <w:tcPr>
            <w:tcW w:w="1951" w:type="dxa"/>
          </w:tcPr>
          <w:p w:rsidR="005B6C39" w:rsidRPr="0008746D" w:rsidRDefault="005B6C39" w:rsidP="00DE4164">
            <w:pPr>
              <w:tabs>
                <w:tab w:val="left" w:pos="567"/>
              </w:tabs>
              <w:rPr>
                <w:szCs w:val="22"/>
              </w:rPr>
            </w:pPr>
            <w:r w:rsidRPr="0008746D">
              <w:rPr>
                <w:szCs w:val="22"/>
              </w:rPr>
              <w:t>Labai dažni</w:t>
            </w:r>
          </w:p>
        </w:tc>
        <w:tc>
          <w:tcPr>
            <w:tcW w:w="7335" w:type="dxa"/>
          </w:tcPr>
          <w:p w:rsidR="005B6C39" w:rsidRPr="0008746D" w:rsidRDefault="005B6C39" w:rsidP="00DE4164">
            <w:pPr>
              <w:tabs>
                <w:tab w:val="left" w:pos="567"/>
              </w:tabs>
              <w:rPr>
                <w:szCs w:val="22"/>
              </w:rPr>
            </w:pPr>
            <w:r w:rsidRPr="0008746D">
              <w:rPr>
                <w:szCs w:val="22"/>
              </w:rPr>
              <w:t>Pasireiškia daugiau, kaip 1 iš 10 pacientų</w:t>
            </w:r>
          </w:p>
        </w:tc>
      </w:tr>
      <w:tr w:rsidR="005B6C39" w:rsidRPr="0008746D" w:rsidTr="00DE4164">
        <w:tc>
          <w:tcPr>
            <w:tcW w:w="1951" w:type="dxa"/>
          </w:tcPr>
          <w:p w:rsidR="005B6C39" w:rsidRPr="0008746D" w:rsidRDefault="005B6C39" w:rsidP="00DE4164">
            <w:pPr>
              <w:tabs>
                <w:tab w:val="left" w:pos="567"/>
              </w:tabs>
              <w:rPr>
                <w:szCs w:val="22"/>
              </w:rPr>
            </w:pPr>
            <w:r w:rsidRPr="0008746D">
              <w:rPr>
                <w:szCs w:val="22"/>
              </w:rPr>
              <w:t>Dažni</w:t>
            </w:r>
          </w:p>
        </w:tc>
        <w:tc>
          <w:tcPr>
            <w:tcW w:w="7335" w:type="dxa"/>
          </w:tcPr>
          <w:p w:rsidR="005B6C39" w:rsidRPr="0008746D" w:rsidRDefault="005B6C39" w:rsidP="00DE4164">
            <w:pPr>
              <w:tabs>
                <w:tab w:val="left" w:pos="567"/>
              </w:tabs>
              <w:rPr>
                <w:szCs w:val="22"/>
              </w:rPr>
            </w:pPr>
            <w:r w:rsidRPr="0008746D">
              <w:rPr>
                <w:szCs w:val="22"/>
              </w:rPr>
              <w:t>Pasireiškia nuo 1 iki 10 pacientų iš 100</w:t>
            </w:r>
          </w:p>
        </w:tc>
      </w:tr>
      <w:tr w:rsidR="005B6C39" w:rsidRPr="0008746D" w:rsidTr="00DE4164">
        <w:tc>
          <w:tcPr>
            <w:tcW w:w="1951" w:type="dxa"/>
          </w:tcPr>
          <w:p w:rsidR="005B6C39" w:rsidRPr="0008746D" w:rsidRDefault="005B6C39" w:rsidP="00DE4164">
            <w:pPr>
              <w:tabs>
                <w:tab w:val="left" w:pos="567"/>
              </w:tabs>
              <w:rPr>
                <w:szCs w:val="22"/>
              </w:rPr>
            </w:pPr>
            <w:r w:rsidRPr="0008746D">
              <w:rPr>
                <w:szCs w:val="22"/>
              </w:rPr>
              <w:t>Nedažni</w:t>
            </w:r>
          </w:p>
        </w:tc>
        <w:tc>
          <w:tcPr>
            <w:tcW w:w="7335" w:type="dxa"/>
          </w:tcPr>
          <w:p w:rsidR="005B6C39" w:rsidRPr="0008746D" w:rsidRDefault="005B6C39" w:rsidP="00DE4164">
            <w:pPr>
              <w:tabs>
                <w:tab w:val="left" w:pos="567"/>
              </w:tabs>
              <w:rPr>
                <w:szCs w:val="22"/>
              </w:rPr>
            </w:pPr>
            <w:r w:rsidRPr="0008746D">
              <w:rPr>
                <w:szCs w:val="22"/>
              </w:rPr>
              <w:t>Pasireiškia nuo 1 iki 10 pacientų iš 1000</w:t>
            </w:r>
          </w:p>
        </w:tc>
      </w:tr>
      <w:tr w:rsidR="005B6C39" w:rsidRPr="0008746D" w:rsidTr="00DE4164">
        <w:tc>
          <w:tcPr>
            <w:tcW w:w="1951" w:type="dxa"/>
          </w:tcPr>
          <w:p w:rsidR="005B6C39" w:rsidRPr="0008746D" w:rsidRDefault="005B6C39" w:rsidP="00DE4164">
            <w:pPr>
              <w:tabs>
                <w:tab w:val="left" w:pos="567"/>
              </w:tabs>
              <w:rPr>
                <w:szCs w:val="22"/>
              </w:rPr>
            </w:pPr>
            <w:r w:rsidRPr="0008746D">
              <w:rPr>
                <w:szCs w:val="22"/>
              </w:rPr>
              <w:t>Reti</w:t>
            </w:r>
          </w:p>
        </w:tc>
        <w:tc>
          <w:tcPr>
            <w:tcW w:w="7335" w:type="dxa"/>
          </w:tcPr>
          <w:p w:rsidR="005B6C39" w:rsidRPr="0008746D" w:rsidRDefault="005B6C39" w:rsidP="00DE4164">
            <w:pPr>
              <w:tabs>
                <w:tab w:val="left" w:pos="567"/>
              </w:tabs>
              <w:rPr>
                <w:szCs w:val="22"/>
              </w:rPr>
            </w:pPr>
            <w:r w:rsidRPr="0008746D">
              <w:rPr>
                <w:szCs w:val="22"/>
              </w:rPr>
              <w:t>Pasireiškia nuo 1 iki 10 pacientų iš 10000</w:t>
            </w:r>
          </w:p>
        </w:tc>
      </w:tr>
      <w:tr w:rsidR="005B6C39" w:rsidRPr="0008746D" w:rsidTr="00DE4164">
        <w:tc>
          <w:tcPr>
            <w:tcW w:w="1951" w:type="dxa"/>
          </w:tcPr>
          <w:p w:rsidR="005B6C39" w:rsidRPr="0008746D" w:rsidRDefault="005B6C39" w:rsidP="00DE4164">
            <w:pPr>
              <w:tabs>
                <w:tab w:val="left" w:pos="567"/>
              </w:tabs>
              <w:rPr>
                <w:szCs w:val="22"/>
              </w:rPr>
            </w:pPr>
            <w:r w:rsidRPr="0008746D">
              <w:rPr>
                <w:szCs w:val="22"/>
              </w:rPr>
              <w:t xml:space="preserve">Labai reti </w:t>
            </w:r>
          </w:p>
        </w:tc>
        <w:tc>
          <w:tcPr>
            <w:tcW w:w="7335" w:type="dxa"/>
          </w:tcPr>
          <w:p w:rsidR="005B6C39" w:rsidRPr="0008746D" w:rsidRDefault="005B6C39" w:rsidP="00DE4164">
            <w:pPr>
              <w:tabs>
                <w:tab w:val="left" w:pos="567"/>
              </w:tabs>
              <w:rPr>
                <w:szCs w:val="22"/>
              </w:rPr>
            </w:pPr>
            <w:r w:rsidRPr="0008746D">
              <w:rPr>
                <w:szCs w:val="22"/>
              </w:rPr>
              <w:t>Pasireiškia mažiau, kaip 1 iš 10000 pacientų</w:t>
            </w:r>
          </w:p>
        </w:tc>
      </w:tr>
      <w:tr w:rsidR="005B6C39" w:rsidRPr="0008746D" w:rsidTr="00DE4164">
        <w:tc>
          <w:tcPr>
            <w:tcW w:w="1951" w:type="dxa"/>
          </w:tcPr>
          <w:p w:rsidR="005B6C39" w:rsidRPr="0008746D" w:rsidRDefault="005B6C39" w:rsidP="00DE4164">
            <w:pPr>
              <w:tabs>
                <w:tab w:val="left" w:pos="567"/>
              </w:tabs>
              <w:rPr>
                <w:szCs w:val="22"/>
              </w:rPr>
            </w:pPr>
            <w:r w:rsidRPr="0008746D">
              <w:rPr>
                <w:szCs w:val="22"/>
              </w:rPr>
              <w:t>Dažnis nežinomas</w:t>
            </w:r>
          </w:p>
        </w:tc>
        <w:tc>
          <w:tcPr>
            <w:tcW w:w="7335" w:type="dxa"/>
          </w:tcPr>
          <w:p w:rsidR="005B6C39" w:rsidRPr="0008746D" w:rsidRDefault="005B6C39" w:rsidP="00DE4164">
            <w:pPr>
              <w:tabs>
                <w:tab w:val="left" w:pos="567"/>
              </w:tabs>
              <w:rPr>
                <w:szCs w:val="22"/>
              </w:rPr>
            </w:pPr>
            <w:r w:rsidRPr="0008746D">
              <w:rPr>
                <w:szCs w:val="22"/>
              </w:rPr>
              <w:t>Negali būti apskaičiuotas pagal turimus duomenis</w:t>
            </w:r>
          </w:p>
        </w:tc>
      </w:tr>
    </w:tbl>
    <w:p w:rsidR="005B6C39" w:rsidRPr="0008746D" w:rsidRDefault="005B6C39" w:rsidP="005B6C39">
      <w:pPr>
        <w:tabs>
          <w:tab w:val="left" w:pos="567"/>
        </w:tabs>
        <w:rPr>
          <w:i/>
          <w:szCs w:val="22"/>
        </w:rPr>
      </w:pPr>
    </w:p>
    <w:p w:rsidR="005B6C39" w:rsidRPr="0008746D" w:rsidRDefault="005B6C39" w:rsidP="005B6C39">
      <w:pPr>
        <w:tabs>
          <w:tab w:val="left" w:pos="567"/>
        </w:tabs>
        <w:rPr>
          <w:i/>
          <w:szCs w:val="22"/>
        </w:rPr>
      </w:pPr>
      <w:r w:rsidRPr="0008746D">
        <w:rPr>
          <w:i/>
          <w:szCs w:val="22"/>
        </w:rPr>
        <w:t xml:space="preserve">Inkstų ir šlapimo takų sutrikimai </w:t>
      </w:r>
    </w:p>
    <w:p w:rsidR="005B6C39" w:rsidRPr="0008746D" w:rsidRDefault="005B6C39" w:rsidP="005B6C39">
      <w:pPr>
        <w:tabs>
          <w:tab w:val="left" w:pos="567"/>
        </w:tabs>
        <w:rPr>
          <w:szCs w:val="22"/>
        </w:rPr>
      </w:pPr>
      <w:r w:rsidRPr="0008746D">
        <w:rPr>
          <w:szCs w:val="22"/>
        </w:rPr>
        <w:t xml:space="preserve">Reti.Vitamino C vartojant didelėmis dozėmis (daugiau negu 1 g per dieną) šlapimo takuose kartais gali atsirasti oksalo ir šlapimo rūgšties druskų nuosėdų, ypač tiems ligoniams, kurie serga inkstų funkcijos sutrikimu, podagra, anksčiau sirgo inkstų akmenlige arba yra hemodializuojami. </w:t>
      </w:r>
    </w:p>
    <w:p w:rsidR="005B6C39" w:rsidRPr="0008746D" w:rsidRDefault="005B6C39" w:rsidP="005B6C39">
      <w:pPr>
        <w:tabs>
          <w:tab w:val="left" w:pos="567"/>
        </w:tabs>
        <w:rPr>
          <w:szCs w:val="22"/>
        </w:rPr>
      </w:pPr>
    </w:p>
    <w:p w:rsidR="005B6C39" w:rsidRPr="0008746D" w:rsidRDefault="005B6C39" w:rsidP="005B6C39">
      <w:pPr>
        <w:tabs>
          <w:tab w:val="left" w:pos="567"/>
        </w:tabs>
        <w:rPr>
          <w:i/>
          <w:szCs w:val="22"/>
        </w:rPr>
      </w:pPr>
      <w:r w:rsidRPr="0008746D">
        <w:rPr>
          <w:i/>
          <w:szCs w:val="22"/>
        </w:rPr>
        <w:t>Virškinimo trakto sutrikimai</w:t>
      </w:r>
    </w:p>
    <w:p w:rsidR="005B6C39" w:rsidRPr="0008746D" w:rsidRDefault="005B6C39" w:rsidP="005B6C39">
      <w:pPr>
        <w:tabs>
          <w:tab w:val="left" w:pos="567"/>
        </w:tabs>
        <w:rPr>
          <w:szCs w:val="22"/>
        </w:rPr>
      </w:pPr>
      <w:r w:rsidRPr="0008746D">
        <w:rPr>
          <w:szCs w:val="22"/>
        </w:rPr>
        <w:t xml:space="preserve">Reti. Vartojant askorbo rūgšties didelėmis dozėmis, gali prasidėti viduriavimas, pasireikšti pykinimas ar vėmimas, skrandžio spazmas. </w:t>
      </w:r>
    </w:p>
    <w:p w:rsidR="005B6C39" w:rsidRPr="0008746D" w:rsidRDefault="005B6C39" w:rsidP="005B6C39">
      <w:pPr>
        <w:tabs>
          <w:tab w:val="left" w:pos="567"/>
        </w:tabs>
        <w:rPr>
          <w:szCs w:val="22"/>
        </w:rPr>
      </w:pPr>
      <w:r w:rsidRPr="0008746D">
        <w:rPr>
          <w:szCs w:val="22"/>
        </w:rPr>
        <w:t xml:space="preserve">Ilgalaikis didelių vitamino C dozių vartojimas gali slopinti kasos funkciją. Todėl vaisto vartojimo laikotarpiu pacientui reikia reguliariai sekti kasos funkciją. </w:t>
      </w:r>
    </w:p>
    <w:p w:rsidR="005B6C39" w:rsidRPr="0008746D" w:rsidRDefault="005B6C39" w:rsidP="005B6C39">
      <w:pPr>
        <w:tabs>
          <w:tab w:val="left" w:pos="567"/>
        </w:tabs>
        <w:rPr>
          <w:szCs w:val="22"/>
        </w:rPr>
      </w:pPr>
      <w:r w:rsidRPr="0008746D">
        <w:rPr>
          <w:szCs w:val="22"/>
        </w:rPr>
        <w:t>Vitaminas C, vartojamas ilgai (3 metus) kramtomųjų vaistų forma, labai pažeidžia dantų emalį.</w:t>
      </w:r>
    </w:p>
    <w:p w:rsidR="005B6C39" w:rsidRPr="0008746D" w:rsidRDefault="005B6C39" w:rsidP="005B6C39">
      <w:pPr>
        <w:tabs>
          <w:tab w:val="left" w:pos="567"/>
        </w:tabs>
        <w:rPr>
          <w:szCs w:val="22"/>
        </w:rPr>
      </w:pPr>
    </w:p>
    <w:p w:rsidR="005B6C39" w:rsidRPr="0008746D" w:rsidRDefault="005B6C39" w:rsidP="005B6C39">
      <w:pPr>
        <w:tabs>
          <w:tab w:val="left" w:pos="567"/>
        </w:tabs>
        <w:rPr>
          <w:i/>
          <w:szCs w:val="22"/>
        </w:rPr>
      </w:pPr>
      <w:r w:rsidRPr="0008746D">
        <w:rPr>
          <w:i/>
          <w:szCs w:val="22"/>
        </w:rPr>
        <w:t>Kraujo ir limfinės sistemos sutrikimai</w:t>
      </w:r>
    </w:p>
    <w:p w:rsidR="005B6C39" w:rsidRPr="0008746D" w:rsidRDefault="005B6C39" w:rsidP="005B6C39">
      <w:pPr>
        <w:tabs>
          <w:tab w:val="left" w:pos="567"/>
        </w:tabs>
        <w:rPr>
          <w:szCs w:val="22"/>
        </w:rPr>
      </w:pPr>
      <w:r w:rsidRPr="0008746D">
        <w:rPr>
          <w:szCs w:val="22"/>
        </w:rPr>
        <w:t>Reti. Didelės askorbo rūgšties dozės gali sukelti raudonųjų kraujo ląstelių irimą (hemolizę).</w:t>
      </w:r>
    </w:p>
    <w:p w:rsidR="005B6C39" w:rsidRPr="0008746D" w:rsidRDefault="005B6C39" w:rsidP="005B6C39">
      <w:pPr>
        <w:tabs>
          <w:tab w:val="left" w:pos="567"/>
        </w:tabs>
        <w:rPr>
          <w:szCs w:val="22"/>
        </w:rPr>
      </w:pPr>
    </w:p>
    <w:p w:rsidR="005B6C39" w:rsidRPr="0008746D" w:rsidRDefault="005B6C39" w:rsidP="005B6C39">
      <w:pPr>
        <w:tabs>
          <w:tab w:val="left" w:pos="567"/>
        </w:tabs>
        <w:rPr>
          <w:i/>
          <w:szCs w:val="22"/>
        </w:rPr>
      </w:pPr>
      <w:r w:rsidRPr="0008746D">
        <w:rPr>
          <w:i/>
          <w:szCs w:val="22"/>
        </w:rPr>
        <w:t>Imuninės sistemos sutrikimai</w:t>
      </w:r>
    </w:p>
    <w:p w:rsidR="005B6C39" w:rsidRPr="0008746D" w:rsidRDefault="005B6C39" w:rsidP="005B6C39">
      <w:pPr>
        <w:tabs>
          <w:tab w:val="left" w:pos="567"/>
        </w:tabs>
        <w:rPr>
          <w:szCs w:val="22"/>
        </w:rPr>
      </w:pPr>
      <w:r w:rsidRPr="0008746D">
        <w:rPr>
          <w:szCs w:val="22"/>
        </w:rPr>
        <w:t>Reti. Pavartojus per didelę dozę gali parausti oda ar veidas ir kaklas, skaudėti ir svaigti galva, atsirasti niežulys, bėrimas.</w:t>
      </w:r>
    </w:p>
    <w:p w:rsidR="005B6C39" w:rsidRPr="0008746D" w:rsidRDefault="005B6C39" w:rsidP="005B6C39">
      <w:pPr>
        <w:tabs>
          <w:tab w:val="left" w:pos="567"/>
        </w:tabs>
        <w:rPr>
          <w:szCs w:val="22"/>
        </w:rPr>
      </w:pPr>
    </w:p>
    <w:p w:rsidR="005B6C39" w:rsidRPr="0008746D" w:rsidRDefault="005B6C39" w:rsidP="005B6C39">
      <w:pPr>
        <w:tabs>
          <w:tab w:val="left" w:pos="567"/>
        </w:tabs>
        <w:rPr>
          <w:i/>
          <w:szCs w:val="22"/>
        </w:rPr>
      </w:pPr>
      <w:r w:rsidRPr="0008746D">
        <w:rPr>
          <w:i/>
          <w:szCs w:val="22"/>
        </w:rPr>
        <w:t>Tyrimai</w:t>
      </w:r>
    </w:p>
    <w:p w:rsidR="005B6C39" w:rsidRPr="0008746D" w:rsidRDefault="005B6C39" w:rsidP="005B6C39">
      <w:pPr>
        <w:tabs>
          <w:tab w:val="left" w:pos="567"/>
        </w:tabs>
        <w:rPr>
          <w:szCs w:val="22"/>
        </w:rPr>
      </w:pPr>
      <w:r w:rsidRPr="0008746D">
        <w:rPr>
          <w:szCs w:val="22"/>
        </w:rPr>
        <w:t>Reti. Askorbo rūgštis yra stiprus reduktorius, todėl keičia oksidacijos ir redukcijos reakcijomis pagrįstų laboratorinių tyrimų duomenis. Plazmos (kraujo), išmatų ir šlapimo tyrimų (pvz., gliukozės, kreatinino) duomenys gali būti klaidingi (tai priklauso nuo askorbo rūgšties dozės ir tyrimo metodo).</w:t>
      </w:r>
    </w:p>
    <w:p w:rsidR="005B6C39" w:rsidRPr="0008746D" w:rsidRDefault="005B6C39" w:rsidP="005B6C39">
      <w:pPr>
        <w:tabs>
          <w:tab w:val="left" w:pos="567"/>
        </w:tabs>
        <w:rPr>
          <w:szCs w:val="22"/>
        </w:rPr>
      </w:pPr>
    </w:p>
    <w:p w:rsidR="005B6C39" w:rsidRPr="0008746D" w:rsidRDefault="005B6C39" w:rsidP="005B6C39">
      <w:pPr>
        <w:rPr>
          <w:b/>
          <w:szCs w:val="22"/>
        </w:rPr>
      </w:pPr>
      <w:r w:rsidRPr="0008746D">
        <w:rPr>
          <w:b/>
          <w:szCs w:val="22"/>
        </w:rPr>
        <w:t>Pranešimas apie šalutinį poveikį</w:t>
      </w:r>
    </w:p>
    <w:p w:rsidR="005B6C39" w:rsidRPr="0008746D" w:rsidRDefault="005B6C39" w:rsidP="005B6C39">
      <w:pPr>
        <w:ind w:right="-449"/>
        <w:rPr>
          <w:szCs w:val="22"/>
        </w:rPr>
      </w:pPr>
      <w:r w:rsidRPr="0008746D">
        <w:rPr>
          <w:szCs w:val="22"/>
        </w:rPr>
        <w:t xml:space="preserve">Jeigu pasireiškė šalutinis poveikis, įskaitant šiame lapelyje nenurodytą, pasakykite gydytojui arba vaistininkui arba slaugytojui. Apie šalutinį poveikį taip pat galite pranešti tiesiogiai, užpildę interneto svetainėje </w:t>
      </w:r>
      <w:hyperlink r:id="rId5" w:history="1">
        <w:r w:rsidRPr="0008746D">
          <w:rPr>
            <w:rFonts w:eastAsia="SimSun"/>
            <w:color w:val="0000FF"/>
            <w:szCs w:val="22"/>
            <w:u w:val="single"/>
          </w:rPr>
          <w:t>www.vvkt.lt</w:t>
        </w:r>
      </w:hyperlink>
      <w:r w:rsidRPr="0008746D">
        <w:rPr>
          <w:szCs w:val="22"/>
        </w:rPr>
        <w:t xml:space="preserve"> esančią formą, paštu Valstybinei vaistų kontrolės tarnybai prie Lietuvos Respublikos sveikatos apsaugos ministerijos, Žirmūnų g. 139A, LT 09120 Vilnius, t</w:t>
      </w:r>
      <w:r w:rsidRPr="0008746D">
        <w:rPr>
          <w:szCs w:val="22"/>
          <w:lang w:eastAsia="zh-CN"/>
        </w:rPr>
        <w:t xml:space="preserve">el: 8 800 73568, </w:t>
      </w:r>
      <w:r w:rsidRPr="0008746D">
        <w:rPr>
          <w:szCs w:val="22"/>
        </w:rPr>
        <w:t xml:space="preserve">faksu </w:t>
      </w:r>
      <w:r w:rsidRPr="0008746D">
        <w:rPr>
          <w:szCs w:val="22"/>
        </w:rPr>
        <w:lastRenderedPageBreak/>
        <w:t xml:space="preserve">8 800 20131 arba el. paštu </w:t>
      </w:r>
      <w:hyperlink r:id="rId6" w:history="1">
        <w:r w:rsidRPr="0008746D">
          <w:rPr>
            <w:rFonts w:eastAsia="SimSun"/>
            <w:color w:val="0000FF"/>
            <w:szCs w:val="22"/>
            <w:u w:val="single"/>
          </w:rPr>
          <w:t>NepageidaujamaR@vvkt.lt</w:t>
        </w:r>
      </w:hyperlink>
      <w:r w:rsidRPr="0008746D">
        <w:rPr>
          <w:szCs w:val="22"/>
        </w:rPr>
        <w:t>. Pranešdami apie šalutinį poveikį galite mums padėti gauti daugiau informacijos apie šio vaisto saugumą.</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BTEMEASMCA"/>
        <w:spacing w:line="240" w:lineRule="auto"/>
        <w:ind w:right="0"/>
        <w:rPr>
          <w:noProof w:val="0"/>
          <w:sz w:val="22"/>
          <w:szCs w:val="22"/>
          <w:lang w:val="lt-LT"/>
        </w:rPr>
      </w:pPr>
    </w:p>
    <w:p w:rsidR="005B6C39" w:rsidRPr="0008746D" w:rsidRDefault="005B6C39" w:rsidP="005B6C39">
      <w:pPr>
        <w:pStyle w:val="PI-1EMEASMCA"/>
      </w:pPr>
      <w:bookmarkStart w:id="8" w:name="_Toc129243143"/>
      <w:bookmarkStart w:id="9" w:name="_Toc129243268"/>
      <w:r w:rsidRPr="0008746D">
        <w:t>5.</w:t>
      </w:r>
      <w:r w:rsidRPr="0008746D">
        <w:tab/>
        <w:t xml:space="preserve">Kaip laikyti </w:t>
      </w:r>
      <w:bookmarkEnd w:id="8"/>
      <w:bookmarkEnd w:id="9"/>
      <w:r w:rsidRPr="0008746D">
        <w:t>Cevikap</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Šį vaistą laikykite vaikams nepastebimoje ir nepasiekiamoje vietoje.</w:t>
      </w:r>
    </w:p>
    <w:p w:rsidR="005B6C39" w:rsidRPr="0008746D" w:rsidRDefault="005B6C39" w:rsidP="005B6C39">
      <w:pPr>
        <w:pStyle w:val="Pagrindinistekstas"/>
        <w:spacing w:after="0"/>
        <w:rPr>
          <w:szCs w:val="22"/>
        </w:rPr>
      </w:pPr>
      <w:r w:rsidRPr="0008746D">
        <w:rPr>
          <w:szCs w:val="22"/>
        </w:rPr>
        <w:t xml:space="preserve">Laikyti ne aukštesnėje kaip 25 </w:t>
      </w:r>
      <w:r w:rsidRPr="0008746D">
        <w:rPr>
          <w:szCs w:val="22"/>
        </w:rPr>
        <w:sym w:font="Symbol" w:char="F0B0"/>
      </w:r>
      <w:r w:rsidRPr="0008746D">
        <w:rPr>
          <w:szCs w:val="22"/>
        </w:rPr>
        <w:t xml:space="preserve">C temperatūroje. </w:t>
      </w:r>
    </w:p>
    <w:p w:rsidR="005B6C39" w:rsidRPr="0008746D" w:rsidRDefault="005B6C39" w:rsidP="005B6C39">
      <w:pPr>
        <w:pStyle w:val="Pagrindinistekstas"/>
        <w:spacing w:after="0"/>
        <w:rPr>
          <w:szCs w:val="22"/>
        </w:rPr>
      </w:pPr>
      <w:r w:rsidRPr="0008746D">
        <w:rPr>
          <w:szCs w:val="22"/>
        </w:rPr>
        <w:t>Buteliuką laikyti išorinėje dėžutėje, kad preparatas būtų apsaugotas nuo šviesos.</w:t>
      </w:r>
    </w:p>
    <w:p w:rsidR="005B6C39" w:rsidRPr="0008746D" w:rsidRDefault="005B6C39" w:rsidP="005B6C39">
      <w:pPr>
        <w:pStyle w:val="Pagrindinistekstas"/>
        <w:spacing w:after="0"/>
        <w:rPr>
          <w:szCs w:val="22"/>
        </w:rPr>
      </w:pPr>
      <w:r w:rsidRPr="0008746D">
        <w:rPr>
          <w:szCs w:val="22"/>
        </w:rPr>
        <w:t>Buteliuką laikyti sandarų.</w:t>
      </w:r>
    </w:p>
    <w:p w:rsidR="005B6C39" w:rsidRPr="0008746D" w:rsidRDefault="005B6C39" w:rsidP="005B6C39">
      <w:pPr>
        <w:pStyle w:val="Pagrindinistekstas"/>
        <w:spacing w:after="0"/>
        <w:rPr>
          <w:szCs w:val="22"/>
        </w:rPr>
      </w:pPr>
    </w:p>
    <w:p w:rsidR="005B6C39" w:rsidRPr="0008746D" w:rsidRDefault="005B6C39" w:rsidP="005B6C39">
      <w:pPr>
        <w:pStyle w:val="Pagrindinistekstas"/>
        <w:spacing w:after="0"/>
        <w:rPr>
          <w:szCs w:val="22"/>
        </w:rPr>
      </w:pPr>
      <w:r w:rsidRPr="0008746D">
        <w:rPr>
          <w:szCs w:val="22"/>
        </w:rPr>
        <w:t>Ant dėžutės ir buteliuko po „Tinka iki“ nurodytam tinkamumo laikui pasibaigus, šio vaisto vartoti negalima. Vaistas tinkamas vartoti iki paskutinės nurodyto mėnesio dienos.</w:t>
      </w:r>
    </w:p>
    <w:p w:rsidR="005B6C39" w:rsidRPr="0008746D" w:rsidRDefault="005B6C39" w:rsidP="005B6C39">
      <w:pPr>
        <w:pStyle w:val="BTEMEASMCADiagramaDiagramaDiagrama"/>
      </w:pPr>
      <w:r w:rsidRPr="0008746D">
        <w:t>Pirmą kartą atidarius buteliuką, tirpalo tinkamumo laikas - 6 mėnesiai.</w:t>
      </w:r>
    </w:p>
    <w:p w:rsidR="005B6C39" w:rsidRPr="0008746D" w:rsidRDefault="005B6C39" w:rsidP="005B6C39">
      <w:pPr>
        <w:pStyle w:val="BTEMEASMCADiagramaDiagramaDiagrama"/>
      </w:pP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Vaistų negalima išmesti į kanalizaciją arba su buitinėmis atliekomis. Kaip išmesti nereikalingus vaistus, klauskite vaistininko. Šios priemonės padės apsaugoti aplinką.</w:t>
      </w:r>
    </w:p>
    <w:p w:rsidR="005B6C39" w:rsidRPr="0008746D" w:rsidRDefault="005B6C39" w:rsidP="005B6C39">
      <w:pPr>
        <w:pStyle w:val="BTEMEASMCA"/>
        <w:spacing w:line="240" w:lineRule="auto"/>
        <w:ind w:right="0"/>
        <w:rPr>
          <w:noProof w:val="0"/>
          <w:sz w:val="22"/>
          <w:szCs w:val="22"/>
          <w:lang w:val="lt-LT"/>
        </w:rPr>
      </w:pPr>
    </w:p>
    <w:p w:rsidR="005B6C39" w:rsidRPr="0008746D" w:rsidRDefault="005B6C39" w:rsidP="005B6C39">
      <w:pPr>
        <w:pStyle w:val="BTEMEASMCA"/>
        <w:spacing w:line="240" w:lineRule="auto"/>
        <w:ind w:right="0"/>
        <w:rPr>
          <w:noProof w:val="0"/>
          <w:sz w:val="22"/>
          <w:szCs w:val="22"/>
          <w:lang w:val="lt-LT"/>
        </w:rPr>
      </w:pPr>
    </w:p>
    <w:p w:rsidR="005B6C39" w:rsidRPr="0008746D" w:rsidRDefault="005B6C39" w:rsidP="005B6C39">
      <w:pPr>
        <w:pStyle w:val="PI-1EMEASMCA"/>
      </w:pPr>
      <w:bookmarkStart w:id="10" w:name="_Toc129243144"/>
      <w:bookmarkStart w:id="11" w:name="_Toc129243269"/>
      <w:r w:rsidRPr="0008746D">
        <w:t>6.</w:t>
      </w:r>
      <w:r w:rsidRPr="0008746D">
        <w:tab/>
        <w:t>Pakuotės turinys ir kita informacija</w:t>
      </w:r>
      <w:bookmarkEnd w:id="10"/>
      <w:bookmarkEnd w:id="11"/>
    </w:p>
    <w:p w:rsidR="005B6C39" w:rsidRPr="0008746D" w:rsidRDefault="005B6C39" w:rsidP="005B6C39">
      <w:pPr>
        <w:pStyle w:val="BTEMEASMCA"/>
        <w:spacing w:line="240" w:lineRule="auto"/>
        <w:ind w:right="0"/>
        <w:rPr>
          <w:noProof w:val="0"/>
          <w:sz w:val="22"/>
          <w:szCs w:val="22"/>
          <w:lang w:val="lt-LT"/>
        </w:rPr>
      </w:pPr>
    </w:p>
    <w:p w:rsidR="005B6C39" w:rsidRPr="0008746D" w:rsidRDefault="005B6C39" w:rsidP="005B6C39">
      <w:pPr>
        <w:pStyle w:val="PI-3EMEASMCA"/>
        <w:spacing w:line="240" w:lineRule="auto"/>
      </w:pPr>
      <w:r w:rsidRPr="0008746D">
        <w:t>Cevikap sudėtis</w:t>
      </w:r>
    </w:p>
    <w:p w:rsidR="005B6C39" w:rsidRPr="0008746D" w:rsidRDefault="005B6C39" w:rsidP="005B6C39">
      <w:pPr>
        <w:numPr>
          <w:ilvl w:val="0"/>
          <w:numId w:val="1"/>
        </w:numPr>
        <w:tabs>
          <w:tab w:val="clear" w:pos="284"/>
          <w:tab w:val="left" w:pos="567"/>
        </w:tabs>
        <w:ind w:left="425" w:hanging="425"/>
        <w:rPr>
          <w:szCs w:val="22"/>
        </w:rPr>
      </w:pPr>
      <w:r w:rsidRPr="0008746D">
        <w:rPr>
          <w:szCs w:val="22"/>
        </w:rPr>
        <w:t xml:space="preserve">Veiklioji </w:t>
      </w:r>
      <w:r>
        <w:rPr>
          <w:szCs w:val="22"/>
        </w:rPr>
        <w:t>medžiaga yra askorbo rūgštis. 1 </w:t>
      </w:r>
      <w:r w:rsidRPr="0008746D">
        <w:rPr>
          <w:szCs w:val="22"/>
        </w:rPr>
        <w:t>ml geriamųjų la</w:t>
      </w:r>
      <w:r>
        <w:rPr>
          <w:szCs w:val="22"/>
        </w:rPr>
        <w:t>šų jos yra 100 mg. 1 laše yra 5 mg</w:t>
      </w:r>
      <w:r w:rsidRPr="0008746D">
        <w:rPr>
          <w:szCs w:val="22"/>
        </w:rPr>
        <w:t xml:space="preserve"> askorbo rūgšties.</w:t>
      </w:r>
    </w:p>
    <w:p w:rsidR="005B6C39" w:rsidRPr="0008746D" w:rsidRDefault="005B6C39" w:rsidP="005B6C39">
      <w:pPr>
        <w:pStyle w:val="Pagrindinistekstas"/>
        <w:numPr>
          <w:ilvl w:val="0"/>
          <w:numId w:val="1"/>
        </w:numPr>
        <w:tabs>
          <w:tab w:val="clear" w:pos="284"/>
          <w:tab w:val="left" w:pos="567"/>
        </w:tabs>
        <w:spacing w:after="0"/>
        <w:ind w:left="425" w:hanging="425"/>
        <w:rPr>
          <w:szCs w:val="22"/>
        </w:rPr>
      </w:pPr>
      <w:r w:rsidRPr="0008746D">
        <w:rPr>
          <w:szCs w:val="22"/>
        </w:rPr>
        <w:t>Pagalbinės medžiagos yra: glicerolis, išgrynintas vanduo.</w:t>
      </w:r>
    </w:p>
    <w:p w:rsidR="005B6C39" w:rsidRPr="0008746D" w:rsidRDefault="005B6C39" w:rsidP="005B6C39">
      <w:pPr>
        <w:pStyle w:val="PI-3EMEASMCA"/>
        <w:spacing w:line="240" w:lineRule="auto"/>
      </w:pPr>
    </w:p>
    <w:p w:rsidR="005B6C39" w:rsidRPr="0008746D" w:rsidRDefault="005B6C39" w:rsidP="005B6C39">
      <w:pPr>
        <w:pStyle w:val="PI-3EMEASMCA"/>
        <w:spacing w:line="240" w:lineRule="auto"/>
      </w:pPr>
      <w:r w:rsidRPr="0008746D">
        <w:t>Cevikap išvaizda ir kiekis pakuotėje</w:t>
      </w:r>
    </w:p>
    <w:p w:rsidR="005B6C39" w:rsidRPr="0008746D" w:rsidRDefault="005B6C39" w:rsidP="005B6C39">
      <w:pPr>
        <w:pStyle w:val="Pagrindinistekstas"/>
        <w:spacing w:after="0"/>
        <w:rPr>
          <w:szCs w:val="22"/>
        </w:rPr>
      </w:pPr>
      <w:r w:rsidRPr="0008746D">
        <w:rPr>
          <w:szCs w:val="22"/>
        </w:rPr>
        <w:t>Skaidrus, bespalvis arba gelsvas, rūgščiai saldaus skonio skystis.</w:t>
      </w:r>
    </w:p>
    <w:p w:rsidR="005B6C39" w:rsidRPr="0008746D" w:rsidRDefault="005B6C39" w:rsidP="005B6C39">
      <w:pPr>
        <w:rPr>
          <w:szCs w:val="22"/>
        </w:rPr>
      </w:pPr>
      <w:r w:rsidRPr="0008746D">
        <w:rPr>
          <w:szCs w:val="22"/>
        </w:rPr>
        <w:t>10 ml arba 30 ml rudo stiklo buteliukas, užsuktas polietileniniu dangteliu su lašintuvu.</w:t>
      </w:r>
    </w:p>
    <w:p w:rsidR="005B6C39" w:rsidRPr="0008746D" w:rsidRDefault="005B6C39" w:rsidP="005B6C39">
      <w:pPr>
        <w:rPr>
          <w:szCs w:val="22"/>
        </w:rPr>
      </w:pPr>
      <w:r w:rsidRPr="0008746D">
        <w:rPr>
          <w:szCs w:val="22"/>
        </w:rPr>
        <w:t>Kartoninė dėžutė, kurioje yra buteliukas ir pakuotės lapelis.</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BTEMEASMCA"/>
        <w:spacing w:line="240" w:lineRule="auto"/>
        <w:rPr>
          <w:noProof w:val="0"/>
          <w:sz w:val="22"/>
          <w:szCs w:val="22"/>
          <w:lang w:val="lt-LT"/>
        </w:rPr>
      </w:pPr>
      <w:r w:rsidRPr="0008746D">
        <w:rPr>
          <w:noProof w:val="0"/>
          <w:sz w:val="22"/>
          <w:szCs w:val="22"/>
          <w:lang w:val="lt-LT"/>
        </w:rPr>
        <w:t>Gali būti tiekiamos ne visų dydžių pakuotės.</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PI-3EMEASMCA"/>
        <w:spacing w:line="240" w:lineRule="auto"/>
      </w:pPr>
      <w:r w:rsidRPr="0008746D">
        <w:t>Rinkodaros teisės turėtojas ir gamintojas</w:t>
      </w:r>
    </w:p>
    <w:p w:rsidR="005B6C39" w:rsidRDefault="005B6C39" w:rsidP="005B6C39">
      <w:pPr>
        <w:pStyle w:val="BTEMEASMCA"/>
        <w:spacing w:line="240" w:lineRule="auto"/>
        <w:ind w:right="0"/>
        <w:rPr>
          <w:noProof w:val="0"/>
          <w:sz w:val="22"/>
          <w:szCs w:val="22"/>
          <w:lang w:val="lt-LT"/>
        </w:rPr>
      </w:pPr>
    </w:p>
    <w:p w:rsidR="005B6C39" w:rsidRDefault="005B6C39" w:rsidP="005B6C39">
      <w:pPr>
        <w:numPr>
          <w:ilvl w:val="12"/>
          <w:numId w:val="0"/>
        </w:numPr>
        <w:ind w:right="-2"/>
        <w:rPr>
          <w:b/>
          <w:bCs/>
          <w:noProof/>
        </w:rPr>
      </w:pPr>
      <w:r w:rsidRPr="00E20392">
        <w:rPr>
          <w:b/>
          <w:bCs/>
          <w:noProof/>
        </w:rPr>
        <w:t>Registruotojas</w:t>
      </w:r>
    </w:p>
    <w:p w:rsidR="005B6C39" w:rsidRPr="00870182" w:rsidRDefault="005B6C39" w:rsidP="005B6C39">
      <w:pPr>
        <w:autoSpaceDE w:val="0"/>
        <w:autoSpaceDN w:val="0"/>
        <w:adjustRightInd w:val="0"/>
        <w:rPr>
          <w:szCs w:val="22"/>
        </w:rPr>
      </w:pPr>
      <w:r w:rsidRPr="00870182">
        <w:rPr>
          <w:szCs w:val="22"/>
        </w:rPr>
        <w:t>Zakłady Farmaceutyczne POLPHARMA S</w:t>
      </w:r>
      <w:r>
        <w:rPr>
          <w:szCs w:val="22"/>
        </w:rPr>
        <w:t>.</w:t>
      </w:r>
      <w:r w:rsidRPr="00870182">
        <w:rPr>
          <w:szCs w:val="22"/>
        </w:rPr>
        <w:t>A</w:t>
      </w:r>
      <w:r>
        <w:rPr>
          <w:szCs w:val="22"/>
        </w:rPr>
        <w:t>.</w:t>
      </w:r>
    </w:p>
    <w:p w:rsidR="005B6C39" w:rsidRPr="00870182" w:rsidRDefault="005B6C39" w:rsidP="005B6C39">
      <w:pPr>
        <w:autoSpaceDE w:val="0"/>
        <w:autoSpaceDN w:val="0"/>
        <w:adjustRightInd w:val="0"/>
        <w:rPr>
          <w:szCs w:val="22"/>
        </w:rPr>
      </w:pPr>
      <w:r w:rsidRPr="00870182">
        <w:rPr>
          <w:szCs w:val="22"/>
        </w:rPr>
        <w:t>ul. Pelplińska 19, 83-200 Starogard Gdański</w:t>
      </w: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Lenkija</w:t>
      </w:r>
    </w:p>
    <w:p w:rsidR="005B6C39" w:rsidRDefault="005B6C39" w:rsidP="005B6C39">
      <w:pPr>
        <w:pStyle w:val="BTEMEASMCA"/>
        <w:spacing w:line="240" w:lineRule="auto"/>
        <w:ind w:right="0"/>
        <w:rPr>
          <w:noProof w:val="0"/>
          <w:sz w:val="22"/>
          <w:szCs w:val="22"/>
          <w:lang w:val="lt-LT"/>
        </w:rPr>
      </w:pPr>
    </w:p>
    <w:p w:rsidR="005B6C39" w:rsidRDefault="005B6C39" w:rsidP="005B6C39">
      <w:pPr>
        <w:numPr>
          <w:ilvl w:val="12"/>
          <w:numId w:val="0"/>
        </w:numPr>
        <w:ind w:right="-2"/>
        <w:rPr>
          <w:b/>
          <w:bCs/>
          <w:noProof/>
        </w:rPr>
      </w:pPr>
      <w:r>
        <w:rPr>
          <w:b/>
          <w:bCs/>
          <w:noProof/>
        </w:rPr>
        <w:t>Gamintojas</w:t>
      </w:r>
    </w:p>
    <w:p w:rsidR="005B6C39" w:rsidRDefault="005B6C39" w:rsidP="005B6C39">
      <w:pPr>
        <w:spacing w:line="252" w:lineRule="auto"/>
        <w:rPr>
          <w:rFonts w:eastAsiaTheme="minorHAnsi"/>
          <w:lang w:val="pl-PL" w:eastAsia="en-US"/>
        </w:rPr>
      </w:pPr>
      <w:r>
        <w:t>Zakłady Farmaceutyczne POLPHARMA S.A.</w:t>
      </w:r>
    </w:p>
    <w:p w:rsidR="005B6C39" w:rsidRPr="00991528" w:rsidRDefault="005B6C39" w:rsidP="005B6C39">
      <w:pPr>
        <w:spacing w:line="252" w:lineRule="auto"/>
      </w:pPr>
      <w:r>
        <w:t xml:space="preserve">Oddział </w:t>
      </w:r>
      <w:r w:rsidRPr="00991528">
        <w:t xml:space="preserve">Medana </w:t>
      </w:r>
      <w:r>
        <w:t>w Sieradzu</w:t>
      </w:r>
    </w:p>
    <w:p w:rsidR="005B6C39" w:rsidRPr="00991528" w:rsidRDefault="005B6C39" w:rsidP="005B6C39">
      <w:pPr>
        <w:spacing w:line="252" w:lineRule="auto"/>
      </w:pPr>
      <w:r>
        <w:t>ul. Władysława</w:t>
      </w:r>
      <w:r w:rsidRPr="00933392">
        <w:rPr>
          <w:noProof/>
          <w:sz w:val="24"/>
          <w:szCs w:val="24"/>
          <w:lang w:val="en-US" w:eastAsia="x-none"/>
        </w:rPr>
        <w:t xml:space="preserve"> Łokietka 10</w:t>
      </w:r>
      <w:r>
        <w:t xml:space="preserve">, </w:t>
      </w:r>
      <w:r w:rsidRPr="00991528">
        <w:t>98-200 Sieradz</w:t>
      </w:r>
    </w:p>
    <w:p w:rsidR="005B6C39" w:rsidRDefault="005B6C39" w:rsidP="005B6C39">
      <w:pPr>
        <w:pStyle w:val="BTEMEASMCA"/>
        <w:spacing w:line="240" w:lineRule="auto"/>
        <w:ind w:right="0"/>
        <w:rPr>
          <w:noProof w:val="0"/>
          <w:sz w:val="22"/>
          <w:szCs w:val="22"/>
          <w:lang w:val="lt-LT"/>
        </w:rPr>
      </w:pPr>
      <w:r>
        <w:rPr>
          <w:noProof w:val="0"/>
          <w:sz w:val="22"/>
          <w:szCs w:val="22"/>
          <w:lang w:val="lt-LT"/>
        </w:rPr>
        <w:t>Lenkija</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BTEMEASMCA"/>
        <w:spacing w:line="240" w:lineRule="auto"/>
        <w:rPr>
          <w:noProof w:val="0"/>
          <w:sz w:val="22"/>
          <w:szCs w:val="22"/>
          <w:lang w:val="lt-LT"/>
        </w:rPr>
      </w:pPr>
      <w:r w:rsidRPr="0008746D">
        <w:rPr>
          <w:noProof w:val="0"/>
          <w:sz w:val="22"/>
          <w:szCs w:val="22"/>
          <w:lang w:val="lt-LT"/>
        </w:rPr>
        <w:t>Jeigu apie šį vaistą norite sužinoti daugiau, kreipkitės į vietinį rinkodaros teisės turėtojo atstovą.</w:t>
      </w: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Farmacijos įmonės „Polpharma“ atstovybė</w:t>
      </w: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E. Ožeškienės g. 18A</w:t>
      </w: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LT-44254 Kaunas, Lietuva</w:t>
      </w:r>
    </w:p>
    <w:p w:rsidR="005B6C39" w:rsidRPr="0008746D" w:rsidRDefault="005B6C39" w:rsidP="005B6C39">
      <w:pPr>
        <w:pStyle w:val="BTEMEASMCA"/>
        <w:spacing w:line="240" w:lineRule="auto"/>
        <w:ind w:right="0"/>
        <w:rPr>
          <w:noProof w:val="0"/>
          <w:sz w:val="22"/>
          <w:szCs w:val="22"/>
          <w:lang w:val="lt-LT"/>
        </w:rPr>
      </w:pPr>
      <w:r w:rsidRPr="0008746D">
        <w:rPr>
          <w:noProof w:val="0"/>
          <w:sz w:val="22"/>
          <w:szCs w:val="22"/>
          <w:lang w:val="lt-LT"/>
        </w:rPr>
        <w:t>Tel./faks. +370 37 32 51 31</w:t>
      </w:r>
    </w:p>
    <w:p w:rsidR="005B6C39" w:rsidRPr="0008746D" w:rsidRDefault="005B6C39" w:rsidP="005B6C39">
      <w:pPr>
        <w:pStyle w:val="BTEMEASMCA"/>
        <w:spacing w:line="240" w:lineRule="auto"/>
        <w:rPr>
          <w:noProof w:val="0"/>
          <w:sz w:val="22"/>
          <w:szCs w:val="22"/>
          <w:lang w:val="lt-LT"/>
        </w:rPr>
      </w:pPr>
    </w:p>
    <w:p w:rsidR="005B6C39" w:rsidRPr="0008746D" w:rsidRDefault="005B6C39" w:rsidP="005B6C39">
      <w:pPr>
        <w:pStyle w:val="BTbEMEASMCA"/>
        <w:spacing w:line="240" w:lineRule="auto"/>
        <w:rPr>
          <w:noProof w:val="0"/>
          <w:sz w:val="22"/>
          <w:szCs w:val="22"/>
          <w:lang w:val="lt-LT"/>
        </w:rPr>
      </w:pPr>
      <w:r w:rsidRPr="0008746D">
        <w:rPr>
          <w:bCs/>
          <w:noProof w:val="0"/>
          <w:sz w:val="22"/>
          <w:szCs w:val="22"/>
          <w:lang w:val="lt-LT"/>
        </w:rPr>
        <w:t>Šis pakuotės lapelis</w:t>
      </w:r>
      <w:r w:rsidRPr="0008746D">
        <w:rPr>
          <w:noProof w:val="0"/>
          <w:sz w:val="22"/>
          <w:szCs w:val="22"/>
          <w:lang w:val="lt-LT"/>
        </w:rPr>
        <w:t xml:space="preserve"> paskutinį kartą peržiūrėtas </w:t>
      </w:r>
      <w:r>
        <w:rPr>
          <w:noProof w:val="0"/>
          <w:sz w:val="22"/>
          <w:szCs w:val="22"/>
          <w:lang w:val="lt-LT"/>
        </w:rPr>
        <w:t>2021-05-14.</w:t>
      </w:r>
    </w:p>
    <w:p w:rsidR="005B6C39" w:rsidRPr="00991528" w:rsidRDefault="005B6C39" w:rsidP="005B6C39"/>
    <w:p w:rsidR="009041DB" w:rsidRDefault="005B6C39" w:rsidP="005B6C39">
      <w:pPr>
        <w:pStyle w:val="BTEMEASMCA"/>
        <w:spacing w:line="240" w:lineRule="auto"/>
      </w:pPr>
      <w:r w:rsidRPr="0008746D">
        <w:rPr>
          <w:noProof w:val="0"/>
          <w:sz w:val="22"/>
          <w:szCs w:val="22"/>
          <w:lang w:val="lt-LT"/>
        </w:rPr>
        <w:t xml:space="preserve">Išsami informacija apie šį vaistą pateikiama Valstybinės vaistų kontrolės tarnybos prie Lietuvos Respublikos sveikatos apsaugos ministerijos tinklalapyje </w:t>
      </w:r>
      <w:hyperlink r:id="rId7" w:history="1">
        <w:r w:rsidRPr="0008746D">
          <w:rPr>
            <w:rStyle w:val="Hipersaitas"/>
            <w:rFonts w:eastAsia="SimSun"/>
            <w:noProof w:val="0"/>
            <w:sz w:val="22"/>
            <w:szCs w:val="22"/>
            <w:lang w:val="lt-LT"/>
          </w:rPr>
          <w:t>http://www.vvkt.lt/</w:t>
        </w:r>
      </w:hyperlink>
      <w:r w:rsidRPr="0008746D">
        <w:rPr>
          <w:noProof w:val="0"/>
          <w:sz w:val="22"/>
          <w:szCs w:val="22"/>
          <w:lang w:val="lt-LT"/>
        </w:rPr>
        <w:t>.</w:t>
      </w:r>
      <w:r>
        <w:rPr>
          <w:noProof w:val="0"/>
          <w:sz w:val="22"/>
          <w:szCs w:val="22"/>
          <w:lang w:val="lt-LT"/>
        </w:rPr>
        <w:t xml:space="preserve">         </w:t>
      </w:r>
      <w:bookmarkStart w:id="12" w:name="_GoBack"/>
      <w:bookmarkEnd w:id="12"/>
    </w:p>
    <w:sectPr w:rsidR="009041DB" w:rsidSect="00E7708A">
      <w:headerReference w:type="default"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F8" w:rsidRDefault="005B6C39">
    <w:pPr>
      <w:pStyle w:val="Porat"/>
      <w:jc w:val="right"/>
    </w:pPr>
    <w:r>
      <w:fldChar w:fldCharType="begin"/>
    </w:r>
    <w:r>
      <w:instrText xml:space="preserve"> PAGE   \* MERGEFORMAT </w:instrText>
    </w:r>
    <w:r>
      <w:fldChar w:fldCharType="separate"/>
    </w:r>
    <w:r>
      <w:rPr>
        <w:noProof/>
      </w:rPr>
      <w:t>4</w:t>
    </w:r>
    <w:r>
      <w:fldChar w:fldCharType="end"/>
    </w:r>
  </w:p>
  <w:p w:rsidR="008405F8" w:rsidRDefault="005B6C3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528" w:rsidRDefault="005B6C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C61CCE8E"/>
    <w:lvl w:ilvl="0" w:tplc="958A584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F00AC6"/>
    <w:multiLevelType w:val="hybridMultilevel"/>
    <w:tmpl w:val="1160CE1C"/>
    <w:lvl w:ilvl="0" w:tplc="5A2CDDB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F52089"/>
    <w:multiLevelType w:val="hybridMultilevel"/>
    <w:tmpl w:val="A10486AA"/>
    <w:lvl w:ilvl="0" w:tplc="3F644BC4">
      <w:start w:val="5"/>
      <w:numFmt w:val="bullet"/>
      <w:lvlText w:val="-"/>
      <w:lvlJc w:val="left"/>
      <w:pPr>
        <w:tabs>
          <w:tab w:val="num" w:pos="1212"/>
        </w:tabs>
        <w:ind w:left="1212" w:hanging="360"/>
      </w:pPr>
      <w:rPr>
        <w:rFonts w:hint="default"/>
      </w:rPr>
    </w:lvl>
    <w:lvl w:ilvl="1" w:tplc="04270003" w:tentative="1">
      <w:start w:val="1"/>
      <w:numFmt w:val="bullet"/>
      <w:lvlText w:val="o"/>
      <w:lvlJc w:val="left"/>
      <w:pPr>
        <w:tabs>
          <w:tab w:val="num" w:pos="2292"/>
        </w:tabs>
        <w:ind w:left="2292" w:hanging="360"/>
      </w:pPr>
      <w:rPr>
        <w:rFonts w:ascii="Courier New" w:hAnsi="Courier New" w:cs="Courier New" w:hint="default"/>
      </w:rPr>
    </w:lvl>
    <w:lvl w:ilvl="2" w:tplc="04270005" w:tentative="1">
      <w:start w:val="1"/>
      <w:numFmt w:val="bullet"/>
      <w:lvlText w:val=""/>
      <w:lvlJc w:val="left"/>
      <w:pPr>
        <w:tabs>
          <w:tab w:val="num" w:pos="3012"/>
        </w:tabs>
        <w:ind w:left="3012" w:hanging="360"/>
      </w:pPr>
      <w:rPr>
        <w:rFonts w:ascii="Wingdings" w:hAnsi="Wingdings" w:hint="default"/>
      </w:rPr>
    </w:lvl>
    <w:lvl w:ilvl="3" w:tplc="04270001" w:tentative="1">
      <w:start w:val="1"/>
      <w:numFmt w:val="bullet"/>
      <w:lvlText w:val=""/>
      <w:lvlJc w:val="left"/>
      <w:pPr>
        <w:tabs>
          <w:tab w:val="num" w:pos="3732"/>
        </w:tabs>
        <w:ind w:left="3732" w:hanging="360"/>
      </w:pPr>
      <w:rPr>
        <w:rFonts w:ascii="Symbol" w:hAnsi="Symbol" w:hint="default"/>
      </w:rPr>
    </w:lvl>
    <w:lvl w:ilvl="4" w:tplc="04270003" w:tentative="1">
      <w:start w:val="1"/>
      <w:numFmt w:val="bullet"/>
      <w:lvlText w:val="o"/>
      <w:lvlJc w:val="left"/>
      <w:pPr>
        <w:tabs>
          <w:tab w:val="num" w:pos="4452"/>
        </w:tabs>
        <w:ind w:left="4452" w:hanging="360"/>
      </w:pPr>
      <w:rPr>
        <w:rFonts w:ascii="Courier New" w:hAnsi="Courier New" w:cs="Courier New" w:hint="default"/>
      </w:rPr>
    </w:lvl>
    <w:lvl w:ilvl="5" w:tplc="04270005" w:tentative="1">
      <w:start w:val="1"/>
      <w:numFmt w:val="bullet"/>
      <w:lvlText w:val=""/>
      <w:lvlJc w:val="left"/>
      <w:pPr>
        <w:tabs>
          <w:tab w:val="num" w:pos="5172"/>
        </w:tabs>
        <w:ind w:left="5172" w:hanging="360"/>
      </w:pPr>
      <w:rPr>
        <w:rFonts w:ascii="Wingdings" w:hAnsi="Wingdings" w:hint="default"/>
      </w:rPr>
    </w:lvl>
    <w:lvl w:ilvl="6" w:tplc="04270001" w:tentative="1">
      <w:start w:val="1"/>
      <w:numFmt w:val="bullet"/>
      <w:lvlText w:val=""/>
      <w:lvlJc w:val="left"/>
      <w:pPr>
        <w:tabs>
          <w:tab w:val="num" w:pos="5892"/>
        </w:tabs>
        <w:ind w:left="5892" w:hanging="360"/>
      </w:pPr>
      <w:rPr>
        <w:rFonts w:ascii="Symbol" w:hAnsi="Symbol" w:hint="default"/>
      </w:rPr>
    </w:lvl>
    <w:lvl w:ilvl="7" w:tplc="04270003" w:tentative="1">
      <w:start w:val="1"/>
      <w:numFmt w:val="bullet"/>
      <w:lvlText w:val="o"/>
      <w:lvlJc w:val="left"/>
      <w:pPr>
        <w:tabs>
          <w:tab w:val="num" w:pos="6612"/>
        </w:tabs>
        <w:ind w:left="6612" w:hanging="360"/>
      </w:pPr>
      <w:rPr>
        <w:rFonts w:ascii="Courier New" w:hAnsi="Courier New" w:cs="Courier New" w:hint="default"/>
      </w:rPr>
    </w:lvl>
    <w:lvl w:ilvl="8" w:tplc="04270005" w:tentative="1">
      <w:start w:val="1"/>
      <w:numFmt w:val="bullet"/>
      <w:lvlText w:val=""/>
      <w:lvlJc w:val="left"/>
      <w:pPr>
        <w:tabs>
          <w:tab w:val="num" w:pos="7332"/>
        </w:tabs>
        <w:ind w:left="7332" w:hanging="360"/>
      </w:pPr>
      <w:rPr>
        <w:rFonts w:ascii="Wingdings" w:hAnsi="Wingdings" w:hint="default"/>
      </w:rPr>
    </w:lvl>
  </w:abstractNum>
  <w:abstractNum w:abstractNumId="4" w15:restartNumberingAfterBreak="0">
    <w:nsid w:val="79C25B3F"/>
    <w:multiLevelType w:val="hybridMultilevel"/>
    <w:tmpl w:val="87C2AF28"/>
    <w:lvl w:ilvl="0" w:tplc="5A2CDDB6">
      <w:start w:val="1"/>
      <w:numFmt w:val="bullet"/>
      <w:lvlText w:val="-"/>
      <w:lvlJc w:val="left"/>
      <w:pPr>
        <w:tabs>
          <w:tab w:val="num" w:pos="284"/>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lvlOverride w:ilvl="0">
      <w:lvl w:ilvl="0">
        <w:numFmt w:val="bullet"/>
        <w:lvlText w:val="-"/>
        <w:lvlJc w:val="left"/>
        <w:pPr>
          <w:ind w:left="360" w:hanging="360"/>
        </w:p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39"/>
    <w:rsid w:val="005B6C39"/>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F83DE-A397-42EA-B5D3-E9029935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6C39"/>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uiPriority w:val="9"/>
    <w:qFormat/>
    <w:rsid w:val="005B6C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B6C3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autoRedefine/>
    <w:qFormat/>
    <w:rsid w:val="005B6C39"/>
    <w:pPr>
      <w:keepNext/>
      <w:tabs>
        <w:tab w:val="left" w:pos="567"/>
      </w:tabs>
      <w:outlineLvl w:val="2"/>
    </w:pPr>
    <w:rPr>
      <w:b/>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5B6C39"/>
    <w:rPr>
      <w:rFonts w:ascii="Times New Roman" w:eastAsia="Calibri" w:hAnsi="Times New Roman" w:cs="Times New Roman"/>
      <w:b/>
      <w:szCs w:val="20"/>
      <w:lang w:val="x-none" w:eastAsia="x-none"/>
    </w:rPr>
  </w:style>
  <w:style w:type="paragraph" w:styleId="Pagrindinistekstas">
    <w:name w:val="Body Text"/>
    <w:basedOn w:val="prastasis"/>
    <w:link w:val="PagrindinistekstasDiagrama"/>
    <w:rsid w:val="005B6C39"/>
    <w:pPr>
      <w:spacing w:after="120"/>
    </w:pPr>
  </w:style>
  <w:style w:type="character" w:customStyle="1" w:styleId="PagrindinistekstasDiagrama">
    <w:name w:val="Pagrindinis tekstas Diagrama"/>
    <w:basedOn w:val="Numatytasispastraiposriftas"/>
    <w:link w:val="Pagrindinistekstas"/>
    <w:rsid w:val="005B6C39"/>
    <w:rPr>
      <w:rFonts w:ascii="Times New Roman" w:eastAsia="Calibri" w:hAnsi="Times New Roman" w:cs="Times New Roman"/>
      <w:szCs w:val="20"/>
      <w:lang w:eastAsia="lt-LT"/>
    </w:rPr>
  </w:style>
  <w:style w:type="paragraph" w:styleId="Porat">
    <w:name w:val="footer"/>
    <w:basedOn w:val="prastasis"/>
    <w:link w:val="PoratDiagrama"/>
    <w:rsid w:val="005B6C39"/>
    <w:pPr>
      <w:tabs>
        <w:tab w:val="center" w:pos="4153"/>
        <w:tab w:val="right" w:pos="8306"/>
      </w:tabs>
    </w:pPr>
  </w:style>
  <w:style w:type="character" w:customStyle="1" w:styleId="PoratDiagrama">
    <w:name w:val="Poraštė Diagrama"/>
    <w:basedOn w:val="Numatytasispastraiposriftas"/>
    <w:link w:val="Porat"/>
    <w:rsid w:val="005B6C39"/>
    <w:rPr>
      <w:rFonts w:ascii="Times New Roman" w:eastAsia="Calibri" w:hAnsi="Times New Roman" w:cs="Times New Roman"/>
      <w:szCs w:val="20"/>
      <w:lang w:eastAsia="lt-LT"/>
    </w:rPr>
  </w:style>
  <w:style w:type="character" w:styleId="Hipersaitas">
    <w:name w:val="Hyperlink"/>
    <w:rsid w:val="005B6C39"/>
    <w:rPr>
      <w:rFonts w:cs="Times New Roman"/>
      <w:color w:val="0000FF"/>
      <w:u w:val="single"/>
    </w:rPr>
  </w:style>
  <w:style w:type="paragraph" w:customStyle="1" w:styleId="PI-1EMEASMCA">
    <w:name w:val="PI-1 EMEA_SMCA"/>
    <w:basedOn w:val="Antrat2"/>
    <w:autoRedefine/>
    <w:rsid w:val="005B6C39"/>
    <w:pPr>
      <w:keepLines w:val="0"/>
      <w:tabs>
        <w:tab w:val="left" w:pos="567"/>
      </w:tabs>
      <w:spacing w:before="0"/>
    </w:pPr>
    <w:rPr>
      <w:rFonts w:ascii="Times New Roman" w:eastAsia="Calibri" w:hAnsi="Times New Roman" w:cs="Times New Roman"/>
      <w:b/>
      <w:color w:val="auto"/>
      <w:sz w:val="22"/>
      <w:szCs w:val="22"/>
      <w:lang w:val="x-none" w:eastAsia="en-US"/>
    </w:rPr>
  </w:style>
  <w:style w:type="paragraph" w:customStyle="1" w:styleId="BTEMEASMCA">
    <w:name w:val="BT EMEA_SMCA"/>
    <w:basedOn w:val="prastasis"/>
    <w:link w:val="BTEMEASMCAChar"/>
    <w:autoRedefine/>
    <w:rsid w:val="005B6C39"/>
    <w:pPr>
      <w:spacing w:line="276" w:lineRule="auto"/>
      <w:ind w:right="-2"/>
    </w:pPr>
    <w:rPr>
      <w:noProof/>
      <w:sz w:val="24"/>
      <w:szCs w:val="24"/>
      <w:lang w:val="en-US" w:eastAsia="x-none"/>
    </w:rPr>
  </w:style>
  <w:style w:type="character" w:customStyle="1" w:styleId="BTEMEASMCAChar">
    <w:name w:val="BT EMEA_SMCA Char"/>
    <w:link w:val="BTEMEASMCA"/>
    <w:locked/>
    <w:rsid w:val="005B6C39"/>
    <w:rPr>
      <w:rFonts w:ascii="Times New Roman" w:eastAsia="Calibri" w:hAnsi="Times New Roman" w:cs="Times New Roman"/>
      <w:noProof/>
      <w:sz w:val="24"/>
      <w:szCs w:val="24"/>
      <w:lang w:val="en-US" w:eastAsia="x-none"/>
    </w:rPr>
  </w:style>
  <w:style w:type="paragraph" w:customStyle="1" w:styleId="TTEMEASMCA">
    <w:name w:val="TT EMEA_SMCA"/>
    <w:basedOn w:val="Antrat1"/>
    <w:link w:val="TTEMEASMCAChar"/>
    <w:autoRedefine/>
    <w:rsid w:val="005B6C39"/>
    <w:pPr>
      <w:keepNext w:val="0"/>
      <w:keepLines w:val="0"/>
      <w:tabs>
        <w:tab w:val="left" w:pos="567"/>
      </w:tabs>
      <w:spacing w:before="0"/>
      <w:ind w:left="567" w:hanging="567"/>
      <w:jc w:val="center"/>
    </w:pPr>
    <w:rPr>
      <w:rFonts w:ascii="Times New Roman" w:eastAsia="Calibri" w:hAnsi="Times New Roman" w:cs="Times New Roman"/>
      <w:b/>
      <w:caps/>
      <w:color w:val="auto"/>
      <w:sz w:val="20"/>
      <w:szCs w:val="20"/>
      <w:lang w:val="en-US" w:eastAsia="x-none"/>
    </w:rPr>
  </w:style>
  <w:style w:type="character" w:customStyle="1" w:styleId="TTEMEASMCAChar">
    <w:name w:val="TT EMEA_SMCA Char"/>
    <w:link w:val="TTEMEASMCA"/>
    <w:rsid w:val="005B6C39"/>
    <w:rPr>
      <w:rFonts w:ascii="Times New Roman" w:eastAsia="Calibri" w:hAnsi="Times New Roman" w:cs="Times New Roman"/>
      <w:b/>
      <w:caps/>
      <w:sz w:val="20"/>
      <w:szCs w:val="20"/>
      <w:lang w:val="en-US" w:eastAsia="x-none"/>
    </w:rPr>
  </w:style>
  <w:style w:type="paragraph" w:customStyle="1" w:styleId="BT-EMEASMCA">
    <w:name w:val="BT- EMEA_SMCA"/>
    <w:basedOn w:val="BTEMEASMCA"/>
    <w:autoRedefine/>
    <w:rsid w:val="005B6C39"/>
    <w:pPr>
      <w:numPr>
        <w:numId w:val="2"/>
      </w:numPr>
      <w:tabs>
        <w:tab w:val="clear" w:pos="720"/>
        <w:tab w:val="num" w:pos="360"/>
        <w:tab w:val="num" w:pos="567"/>
      </w:tabs>
      <w:spacing w:line="240" w:lineRule="auto"/>
      <w:ind w:left="426" w:right="-286" w:hanging="426"/>
    </w:pPr>
  </w:style>
  <w:style w:type="paragraph" w:customStyle="1" w:styleId="PI-3EMEASMCA">
    <w:name w:val="PI-3 EMEA_SMCA"/>
    <w:basedOn w:val="prastasis"/>
    <w:autoRedefine/>
    <w:rsid w:val="005B6C39"/>
    <w:pPr>
      <w:spacing w:line="276" w:lineRule="auto"/>
    </w:pPr>
    <w:rPr>
      <w:b/>
      <w:bCs/>
      <w:szCs w:val="22"/>
      <w:lang w:eastAsia="en-US"/>
    </w:rPr>
  </w:style>
  <w:style w:type="paragraph" w:customStyle="1" w:styleId="BTbEMEASMCA">
    <w:name w:val="BT(b) EMEA_SMCA"/>
    <w:basedOn w:val="BTEMEASMCA"/>
    <w:autoRedefine/>
    <w:rsid w:val="005B6C39"/>
    <w:rPr>
      <w:b/>
    </w:rPr>
  </w:style>
  <w:style w:type="paragraph" w:customStyle="1" w:styleId="BTEMEASMCADiagramaDiagramaDiagrama">
    <w:name w:val="BT EMEA_SMCA Diagrama Diagrama Diagrama"/>
    <w:basedOn w:val="prastasis"/>
    <w:autoRedefine/>
    <w:rsid w:val="005B6C39"/>
    <w:pPr>
      <w:tabs>
        <w:tab w:val="left" w:pos="567"/>
      </w:tabs>
    </w:pPr>
    <w:rPr>
      <w:rFonts w:eastAsia="Times New Roman"/>
      <w:szCs w:val="22"/>
      <w:lang w:eastAsia="en-US"/>
    </w:rPr>
  </w:style>
  <w:style w:type="character" w:customStyle="1" w:styleId="AntratsDiagrama">
    <w:name w:val="Antraštės Diagrama"/>
    <w:basedOn w:val="Numatytasispastraiposriftas"/>
    <w:link w:val="Antrats"/>
    <w:rsid w:val="005B6C39"/>
    <w:rPr>
      <w:rFonts w:ascii="Times New Roman" w:hAnsi="Times New Roman" w:cs="Times New Roman"/>
      <w:sz w:val="24"/>
      <w:szCs w:val="20"/>
      <w:lang w:val="en-GB" w:eastAsia="pl-PL"/>
    </w:rPr>
  </w:style>
  <w:style w:type="paragraph" w:styleId="Antrats">
    <w:name w:val="header"/>
    <w:basedOn w:val="prastasis"/>
    <w:link w:val="AntratsDiagrama"/>
    <w:rsid w:val="005B6C39"/>
    <w:pPr>
      <w:tabs>
        <w:tab w:val="center" w:pos="4536"/>
        <w:tab w:val="right" w:pos="9072"/>
      </w:tabs>
    </w:pPr>
    <w:rPr>
      <w:rFonts w:eastAsia="Times New Roman"/>
      <w:sz w:val="24"/>
      <w:lang w:val="en-GB" w:eastAsia="pl-PL"/>
    </w:rPr>
  </w:style>
  <w:style w:type="character" w:customStyle="1" w:styleId="AntratsDiagrama1">
    <w:name w:val="Antraštės Diagrama1"/>
    <w:basedOn w:val="Numatytasispastraiposriftas"/>
    <w:uiPriority w:val="99"/>
    <w:semiHidden/>
    <w:rsid w:val="005B6C39"/>
    <w:rPr>
      <w:rFonts w:ascii="Times New Roman" w:eastAsia="Calibri" w:hAnsi="Times New Roman" w:cs="Times New Roman"/>
      <w:szCs w:val="20"/>
      <w:lang w:eastAsia="lt-LT"/>
    </w:rPr>
  </w:style>
  <w:style w:type="character" w:customStyle="1" w:styleId="Antrat2Diagrama">
    <w:name w:val="Antraštė 2 Diagrama"/>
    <w:basedOn w:val="Numatytasispastraiposriftas"/>
    <w:link w:val="Antrat2"/>
    <w:uiPriority w:val="9"/>
    <w:semiHidden/>
    <w:rsid w:val="005B6C39"/>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5B6C39"/>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6597</Words>
  <Characters>3761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2021-05-21T12:32:00Z</dcterms:created>
  <dcterms:modified xsi:type="dcterms:W3CDTF">2021-05-21T12:32:00Z</dcterms:modified>
</cp:coreProperties>
</file>