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37" w:rsidRPr="00B6799E" w:rsidRDefault="00804A37" w:rsidP="00804A37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Cs w:val="28"/>
          <w:lang w:val="lt-LT" w:eastAsia="x-none"/>
          <w14:ligatures w14:val="none"/>
        </w:rPr>
        <w:t>Pakuotės lapelis:</w:t>
      </w:r>
      <w:r w:rsidRPr="00B6799E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 w:eastAsia="x-none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Cs w:val="28"/>
          <w:lang w:val="lt-LT" w:eastAsia="x-none"/>
          <w14:ligatures w14:val="none"/>
        </w:rPr>
        <w:t>informacija vartotojui</w:t>
      </w:r>
    </w:p>
    <w:p w:rsidR="00804A37" w:rsidRPr="00B6799E" w:rsidRDefault="00804A37" w:rsidP="00804A37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Posterisan forte žvakutės</w:t>
      </w:r>
    </w:p>
    <w:p w:rsidR="00804A37" w:rsidRPr="00B6799E" w:rsidRDefault="00804A37" w:rsidP="00804A3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s</w:t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tandartizuota bakterijų kultūros suspensija, hidrokortizonas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Atidžiai perskaitykite visą šį lapelį, prieš pradėdami vartoti vaistą, nes jame pateikiama Jums svarbi informacija.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Visada vartokite šį vaistą tiksliai kaip aprašyta šiame lapelyje arba kaip nurodė gydytojas arba vaistininkas.</w:t>
      </w:r>
    </w:p>
    <w:p w:rsidR="00804A37" w:rsidRPr="00B6799E" w:rsidRDefault="00804A37" w:rsidP="00804A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Neišmeskite šio lapelio, nes vėl gali prireikti jį perskaityti.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</w:p>
    <w:p w:rsidR="00804A37" w:rsidRPr="00B6799E" w:rsidRDefault="00804A37" w:rsidP="00804A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norite sužinoti daugiau arba pasitarti, kreipkitės į vaistininką.</w:t>
      </w:r>
    </w:p>
    <w:p w:rsidR="00804A37" w:rsidRPr="00B6799E" w:rsidRDefault="00804A37" w:rsidP="00804A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pasireiškė šalutinis poveikis (net jeigu jis šiame lapelyje nenurodytas), kreipkitės į gydytoją arba vaistininką. Žr. 4 skyrių.</w:t>
      </w:r>
    </w:p>
    <w:p w:rsidR="00804A37" w:rsidRPr="00B6799E" w:rsidRDefault="00804A37" w:rsidP="00804A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per 10 dienų Jūsų savijauta nepagerėjo arba net pablogėjo, kreipkitės į gydytoją.</w:t>
      </w:r>
    </w:p>
    <w:p w:rsidR="00804A37" w:rsidRPr="00B6799E" w:rsidRDefault="00804A37" w:rsidP="00804A37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Apie ką rašoma šiame lapelyje?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1.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ab/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Kas yra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 forte ir kam jis vartojamas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2.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ab/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 xml:space="preserve">Kas žinotina prieš vartojant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forte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3.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ab/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 xml:space="preserve">Kaip vartoti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forte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4.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ab/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Galimas šalutinis poveikis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</w:p>
    <w:p w:rsidR="00804A37" w:rsidRPr="00B6799E" w:rsidRDefault="00804A37" w:rsidP="00804A37">
      <w:pPr>
        <w:numPr>
          <w:ilvl w:val="12"/>
          <w:numId w:val="0"/>
        </w:numPr>
        <w:tabs>
          <w:tab w:val="left" w:pos="709"/>
        </w:tabs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5.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ab/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Kaip laikyti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forte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6.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ab/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Pakuotės turinys ir kita informacija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1.</w:t>
      </w: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ab/>
        <w:t xml:space="preserve">Kas yra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 ir kam jis vartojamas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bCs/>
          <w:noProof/>
          <w:kern w:val="0"/>
          <w:lang w:val="lt-LT"/>
          <w14:ligatures w14:val="none"/>
        </w:rPr>
        <w:t>Žvakutės Posterisan forte tinka s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u hemorojumi susijusio stipraus išangės srities niežuliui ir uždegimui malšinti.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Jūsų savijauta per 10 dienų nepagerėjo arba net pablogėjo, kreipkitės į gydytoją.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2.</w:t>
      </w: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ab/>
        <w:t xml:space="preserve">Kas žinotina prieš vartojant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</w:t>
      </w:r>
      <w:r w:rsidRPr="00B6799E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 w:eastAsia="x-none"/>
          <w14:ligatures w14:val="none"/>
        </w:rPr>
        <w:t xml:space="preserve"> 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 vartoti </w:t>
      </w:r>
      <w:r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draudžiama</w:t>
      </w: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-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ab/>
      </w:r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jeigu yra alergija hidrokortizonui arba bet kuriai pagalbinei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forte medžiagai </w:t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(jos išvardytos 6 skyriuje).</w:t>
      </w:r>
    </w:p>
    <w:p w:rsidR="00804A37" w:rsidRPr="00B6799E" w:rsidRDefault="00804A37" w:rsidP="00804A37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-</w:t>
      </w:r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ab/>
      </w:r>
      <w:r w:rsidRPr="006B29D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jeigu gydymo vietoje yra infekcinė odos liga, pvz.</w:t>
      </w: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, tuberkuliozė,</w:t>
      </w:r>
      <w:r w:rsidRPr="006B29D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sifilis, </w:t>
      </w:r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gonorėja, </w:t>
      </w:r>
      <w:r w:rsidRPr="006B29D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vėjaraupiai ar skiepų sukelta reakcija, grybelių ir bakterijų sukelta odos liga, veido odos uždegimas (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perioralinis</w:t>
      </w:r>
      <w:proofErr w:type="spellEnd"/>
      <w:r w:rsidRPr="006B29D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dermatitas, raudonieji spuogai).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Įspėjimai ir atsargumo priemonės 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Pasitarkite su gydytoju arba vaistininku, prieš pradėdami vartoti Posterisan</w:t>
      </w:r>
      <w:r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 xml:space="preserve"> forte </w:t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.</w:t>
      </w:r>
    </w:p>
    <w:p w:rsidR="00804A37" w:rsidRPr="00B6799E" w:rsidRDefault="00804A37" w:rsidP="00804A37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 yra grybelių sukeltas pažeidimas, papildomai būtina vartoti lokalaus poveikio preparatų nuo grybelių.</w:t>
      </w:r>
    </w:p>
    <w:p w:rsidR="00804A37" w:rsidRPr="00B6799E" w:rsidRDefault="00804A37" w:rsidP="00804A37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:rsidR="00804A37" w:rsidRPr="00B6799E" w:rsidRDefault="00804A37" w:rsidP="00804A37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Vaikams ir paaugliams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bCs/>
          <w:noProof/>
          <w:kern w:val="0"/>
          <w:lang w:val="lt-LT"/>
          <w14:ligatures w14:val="none"/>
        </w:rPr>
        <w:t>Vaikams ir ir jaunesniems negu 18 metų paaugliams Posterisan forte žvakučių vartoti negalima, nes nepakanka patirties.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lastRenderedPageBreak/>
        <w:t xml:space="preserve">Kiti vaistai ir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</w:t>
      </w:r>
    </w:p>
    <w:p w:rsidR="00804A37" w:rsidRPr="00B6799E" w:rsidRDefault="00804A37" w:rsidP="00804A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vartojate ar neseniai vartojote kitų vaistų arba dėl to nesate tikri, apie tai pasakykite gydytojui arba vaistininkui.</w:t>
      </w: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forte ž</w:t>
      </w:r>
      <w:r w:rsidRPr="00B6799E">
        <w:rPr>
          <w:rFonts w:ascii="Times New Roman" w:eastAsia="Times New Roman" w:hAnsi="Times New Roman" w:cs="Times New Roman"/>
          <w:iCs/>
          <w:kern w:val="0"/>
          <w:lang w:val="lt-LT"/>
          <w14:ligatures w14:val="none"/>
        </w:rPr>
        <w:t>vakučių</w:t>
      </w: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vartojant kartu su kortikosteroidų tabletėmis, lašais ar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injekuojamaisiais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preparatais, gali stiprėti gydomasis ir nepageidaujamas kortikosteroidų poveikis.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Prašom įsidėmėti, kad šie nurodymai tinka net ir tuo atveju, jei vaisto vartota neseniai.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Nėštumas ir žindymo laikotarpis 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esate nėščia, žindote kūdikį, manote, kad galbūt esate nėščia, arba planuojate pastoti, tai prieš vartodama šį vaistą, pasitarkite su gydytoju.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Informacijos apie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forte žvakučių vartojimą nėštumo metu nėra.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Tyrimų su gyvūnais metu hidrokortizonas sukėlė toksinį poveikį vaisiui ir apsigimimą. 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lang w:val="lt-LT"/>
          <w14:ligatures w14:val="none"/>
        </w:rPr>
      </w:pP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forte žvakučių nėščioms moterims vartoti negalima, nebent jų vartoti nurodo gydytojas. 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Veiklioji medžiaga hidrokortizonas išsiskiria su žindyvės pienu. Žindyvei vaisto vartoti negalima, nebent juo gydyti nurodo gydytojas.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Vairavimas ir mechanizmų valdymas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Poveikio gebėjimui vairuoti transportą ir valdyti mechanizmus nepastebėta. 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proofErr w:type="spellStart"/>
      <w:r w:rsidRPr="00B6799E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>forte</w:t>
      </w:r>
      <w:r w:rsidRPr="00B6799E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sudėtyje yra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makrogolglicerolio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hidroksistearato</w:t>
      </w:r>
      <w:proofErr w:type="spellEnd"/>
      <w:r w:rsidRPr="00B6799E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, kuris gali sukelti odos reakcijų</w:t>
      </w:r>
      <w:r w:rsidRPr="00B6799E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.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>3.</w:t>
      </w: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ab/>
        <w:t xml:space="preserve">Kaip vartoti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 xml:space="preserve"> forte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Visada vartokite šį vaistą tiksliai kaip aprašyta šiame lapelyje arba kaip nurodė gydytojas arba vaistininkas.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abejojate, kreipkitės į gydytoją arba vaistininką.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Rekomenduojama dozė yra du kartus per dieną. Žvakutes reikia vartoti iš ryto ir vakare, geriausia po tuštinimosi. Vartoti giliai į išangę po vieną žvakutę</w:t>
      </w:r>
      <w:r w:rsidRPr="00B6799E"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:lang w:val="lt-LT"/>
          <w14:ligatures w14:val="none"/>
        </w:rPr>
        <w:t>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Vartojimas vaikams ir paaugliams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bCs/>
          <w:noProof/>
          <w:kern w:val="0"/>
          <w:lang w:val="lt-LT"/>
          <w14:ligatures w14:val="none"/>
        </w:rPr>
        <w:t>Vaikams ir ir jaunesniems negu 18 metų paaugliams Posterisan forte žvakučių vartoti negalima, nes nepakanka patirties.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u w:val="single"/>
          <w:lang w:val="lt-LT"/>
          <w14:ligatures w14:val="none"/>
        </w:rPr>
      </w:pPr>
    </w:p>
    <w:p w:rsidR="00804A37" w:rsidRPr="00B6799E" w:rsidRDefault="00804A37" w:rsidP="00804A37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lang w:val="lt-LT" w:eastAsia="ar-SA"/>
          <w14:ligatures w14:val="none"/>
        </w:rPr>
      </w:pPr>
      <w:r w:rsidRPr="00B6799E">
        <w:rPr>
          <w:rFonts w:ascii="Times New Roman" w:eastAsia="Times New Roman" w:hAnsi="Times New Roman" w:cs="Times New Roman"/>
          <w:i/>
          <w:iCs/>
          <w:kern w:val="0"/>
          <w:lang w:val="lt-LT" w:eastAsia="ar-SA"/>
          <w14:ligatures w14:val="none"/>
        </w:rPr>
        <w:t>Žvakutės išėmimas</w:t>
      </w:r>
    </w:p>
    <w:p w:rsidR="00804A37" w:rsidRPr="00B6799E" w:rsidRDefault="00804A37" w:rsidP="00804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Prieš vartojant žvakutę, reikia perplėšti ar perkirpti aliuminio foliją nuo viršūnės strėlės nurodyta kryptimi išilgai žvakutės tiek, kad būtų galima ją lengvai išimti. </w:t>
      </w:r>
    </w:p>
    <w:p w:rsidR="00804A37" w:rsidRPr="00B6799E" w:rsidRDefault="00804A37" w:rsidP="00804A37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u w:val="single"/>
          <w:lang w:val="lt-LT" w:eastAsia="ar-SA"/>
          <w14:ligatures w14:val="none"/>
        </w:rPr>
      </w:pPr>
    </w:p>
    <w:p w:rsidR="00804A37" w:rsidRPr="00B6799E" w:rsidRDefault="00804A37" w:rsidP="00804A37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u w:val="single"/>
          <w:lang w:val="lt-LT" w:eastAsia="ar-SA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u w:val="single"/>
          <w:lang w:val="lt-LT" w:eastAsia="ar-SA"/>
          <w14:ligatures w14:val="none"/>
        </w:rPr>
        <w:t>Žinotina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Žvakutės ir tepalas, vartojamas išangės srityje, dėl kūno temperatūros gali sutepti skalbinius, todėl patariama naudoti minkštą įklotą,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pvz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,. popierinę nosinę ar vatos tamponą.</w:t>
      </w:r>
    </w:p>
    <w:p w:rsidR="00804A37" w:rsidRPr="00B6799E" w:rsidRDefault="00804A37" w:rsidP="00804A37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Žvakutėmis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forte reikia gydyti tik tol, kol išnyksta negalavimai. Žvakučių be pertraukos ilgiau negu 10 parų vartoti nepatariama. Ligai paūmėjus,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forte žvakučių galima vartoti pakartotinai. Kad liga neatsinaujintų, nutraukus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forte žvakučių vartojimą toliau gydoma preparatu, kuriame nėra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gliukokortikoido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Jeigu manote, kad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4"/>
          <w:lang w:val="lt-LT"/>
          <w14:ligatures w14:val="none"/>
        </w:rPr>
        <w:t xml:space="preserve"> </w:t>
      </w:r>
      <w:r w:rsidRPr="00186871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forte</w:t>
      </w:r>
      <w:r>
        <w:rPr>
          <w:rFonts w:ascii="Times New Roman" w:eastAsia="Times New Roman" w:hAnsi="Times New Roman" w:cs="Times New Roman"/>
          <w:b/>
          <w:bCs/>
          <w:snapToGrid w:val="0"/>
          <w:kern w:val="0"/>
          <w:szCs w:val="24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veikia per stipriai arba per silpnai, kreipkitės į gydytoją arba vaistininką.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Ką daryti pavartojus per didelę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 dozę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Tinkamai vartojamų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forte žvakučių perdozavimo atvejų nežinoma. </w:t>
      </w:r>
    </w:p>
    <w:p w:rsidR="00804A37" w:rsidRPr="00B6799E" w:rsidRDefault="00804A37" w:rsidP="00804A3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Pacientui (pvz., vaikui) nurijus žvakučių, sunkaus apsinuodijimo tikriausiai nebūtų, tačiau negalavimų, pvz., pilvo skausmas, šleikštulys, atsirasti gali. Kadangi pavartojus </w:t>
      </w:r>
      <w:proofErr w:type="spellStart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forte žvakučių vieną ar daugiau kartų dažniau, negu nurodyta, nepageidaujamas poveikis tikriausiai nepasireikš, vartojimą reikia sumažinti iki reikiamos dozės ir toliau vaistą dozuoti taip, kaip nurodyta.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Pamiršus pavartoti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Negalima vartoti dvigubos dozės norint kompensuoti praleistą dozę.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 pacientas žvakučių nevartojo vieną kartą ar kelias dienas, toliau reikia vartoti įprastinę dozę. Medikamento nevartojus daugiau dienų, reikia pasitarti su gydytoju, kiek laiko papildomai reikia vartoti vaisto.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Nustojus vartoti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kiltų daugiau klausimų dėl šio vaisto vartojimo, kreipkitės į gydytoją arba vaistininką.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>4.</w:t>
      </w: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ab/>
        <w:t>Galimas šalutinis poveikis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Šis vaistas, kaip ir visi kiti, gali sukelti šalutinį poveikį, nors jis pasireiškia ne visiems žmonėms.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6B29DE" w:rsidRDefault="00804A37" w:rsidP="00804A37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snapToGrid w:val="0"/>
          <w:kern w:val="0"/>
          <w:szCs w:val="24"/>
          <w:lang w:val="lt-LT"/>
          <w14:ligatures w14:val="none"/>
        </w:rPr>
      </w:pPr>
      <w:r w:rsidRPr="006B29DE">
        <w:rPr>
          <w:rFonts w:ascii="Times New Roman" w:eastAsia="Times New Roman" w:hAnsi="Times New Roman" w:cs="Times New Roman"/>
          <w:b/>
          <w:bCs/>
          <w:snapToGrid w:val="0"/>
          <w:kern w:val="0"/>
          <w:szCs w:val="24"/>
          <w:lang w:val="lt-LT"/>
          <w14:ligatures w14:val="none"/>
        </w:rPr>
        <w:t>Dažni šalutinio poveikio reiškiniai (gali pasireikšti rečiau kaip 1 iš 10 asmenų):</w:t>
      </w:r>
    </w:p>
    <w:p w:rsidR="00804A37" w:rsidRPr="006B29DE" w:rsidRDefault="00804A37" w:rsidP="00804A37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6B29D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lokali odos reakcija (</w:t>
      </w:r>
      <w:proofErr w:type="spellStart"/>
      <w:r w:rsidRPr="006B29D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pvz</w:t>
      </w:r>
      <w:proofErr w:type="spellEnd"/>
      <w:r w:rsidRPr="006B29D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:. niežulys, deginimas).</w:t>
      </w:r>
    </w:p>
    <w:p w:rsidR="00804A37" w:rsidRPr="006B29DE" w:rsidRDefault="00804A37" w:rsidP="00804A37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snapToGrid w:val="0"/>
          <w:kern w:val="0"/>
          <w:szCs w:val="24"/>
          <w:lang w:val="lt-LT"/>
          <w14:ligatures w14:val="none"/>
        </w:rPr>
      </w:pPr>
      <w:r w:rsidRPr="006B29DE">
        <w:rPr>
          <w:rFonts w:ascii="Times New Roman" w:eastAsia="Times New Roman" w:hAnsi="Times New Roman" w:cs="Times New Roman"/>
          <w:b/>
          <w:bCs/>
          <w:snapToGrid w:val="0"/>
          <w:kern w:val="0"/>
          <w:szCs w:val="24"/>
          <w:lang w:val="lt-LT"/>
          <w14:ligatures w14:val="none"/>
        </w:rPr>
        <w:t xml:space="preserve">Nedažni šalutinio poveikio reiškiniai (gali pasireikšti rečiau kaip 1 iš 100 asmenų): </w:t>
      </w:r>
    </w:p>
    <w:p w:rsidR="00804A37" w:rsidRPr="006B29DE" w:rsidRDefault="00804A37" w:rsidP="00804A37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6B29D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alerginė odos reakcija (</w:t>
      </w:r>
      <w:proofErr w:type="spellStart"/>
      <w:r w:rsidRPr="006B29D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pvz</w:t>
      </w:r>
      <w:proofErr w:type="spellEnd"/>
      <w:r w:rsidRPr="006B29D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:. dėl  jautrumo konservantui </w:t>
      </w:r>
      <w:proofErr w:type="spellStart"/>
      <w:r w:rsidRPr="006B29D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fenoliui</w:t>
      </w:r>
      <w:proofErr w:type="spellEnd"/>
      <w:r w:rsidRPr="006B29D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).</w:t>
      </w:r>
    </w:p>
    <w:p w:rsidR="00804A37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6B29D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</w:pPr>
      <w:r w:rsidRPr="006B29DE"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 xml:space="preserve">Didelė dozė, vartojama ilgesnį laiką, gali sukelti odos atrofiją (laipsnišką odos tūrio mažėjimą), </w:t>
      </w:r>
      <w:proofErr w:type="spellStart"/>
      <w:r w:rsidRPr="006B29DE"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>telangiektaziją</w:t>
      </w:r>
      <w:proofErr w:type="spellEnd"/>
      <w:r w:rsidRPr="006B29DE"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 xml:space="preserve"> (smulkių kraujagyslių išsiplėtimą, dar vadinamą kraujagyslių voratinkliu), </w:t>
      </w:r>
      <w:proofErr w:type="spellStart"/>
      <w:r w:rsidRPr="006B29DE"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>strijas</w:t>
      </w:r>
      <w:proofErr w:type="spellEnd"/>
      <w:r w:rsidRPr="006B29DE"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 xml:space="preserve"> ir steroid</w:t>
      </w:r>
      <w:r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>ų sukeltą</w:t>
      </w:r>
      <w:r w:rsidRPr="006B29DE"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 xml:space="preserve"> </w:t>
      </w:r>
      <w:proofErr w:type="spellStart"/>
      <w:r w:rsidRPr="006B29DE"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>aknę</w:t>
      </w:r>
      <w:proofErr w:type="spellEnd"/>
      <w:r w:rsidRPr="006B29DE">
        <w:rPr>
          <w:rFonts w:ascii="Times New Roman" w:eastAsia="Times New Roman" w:hAnsi="Times New Roman" w:cs="Times New Roman"/>
          <w:bCs/>
          <w:snapToGrid w:val="0"/>
          <w:kern w:val="0"/>
          <w:szCs w:val="24"/>
          <w:lang w:val="lt-LT"/>
          <w14:ligatures w14:val="none"/>
        </w:rPr>
        <w:t>.</w:t>
      </w:r>
    </w:p>
    <w:p w:rsidR="00804A37" w:rsidRPr="00B6799E" w:rsidRDefault="00804A37" w:rsidP="00804A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Pranešimas apie šalutinį poveikį</w:t>
      </w:r>
    </w:p>
    <w:p w:rsidR="00804A37" w:rsidRPr="00B6799E" w:rsidRDefault="00804A37" w:rsidP="00804A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6B29D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pasireiškė šalutinis poveikis, įskaitant šiame lapelyje nenurodytą, pasakykite gydytojui arba vaistininkui</w:t>
      </w:r>
      <w:r w:rsidRPr="00EB61B0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 xml:space="preserve">. </w:t>
      </w:r>
      <w:proofErr w:type="spellStart"/>
      <w:r w:rsidRPr="00194C6E">
        <w:rPr>
          <w:rFonts w:ascii="Times New Roman" w:hAnsi="Times New Roman" w:cs="Times New Roman"/>
          <w:lang w:eastAsia="lt-LT"/>
        </w:rPr>
        <w:t>Pranešimą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apie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šalutinį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poveikį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galite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užpildyti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ir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pateikti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Valstybinės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vaistų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kontrolės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tarnybos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prie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Lietuvos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Respublikos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sveikatos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apsaugos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ministerijos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tinklalapyje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r w:rsidRPr="00194C6E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nurodytais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būdais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arba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paskambinti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nemokamu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telefonu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8 800 73 568. </w:t>
      </w:r>
      <w:proofErr w:type="spellStart"/>
      <w:r w:rsidRPr="00194C6E">
        <w:rPr>
          <w:rFonts w:ascii="Times New Roman" w:hAnsi="Times New Roman" w:cs="Times New Roman"/>
          <w:lang w:eastAsia="lt-LT"/>
        </w:rPr>
        <w:t>Pranešdami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apie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šalutinį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poveikį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galite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mums </w:t>
      </w:r>
      <w:proofErr w:type="spellStart"/>
      <w:r w:rsidRPr="00194C6E">
        <w:rPr>
          <w:rFonts w:ascii="Times New Roman" w:hAnsi="Times New Roman" w:cs="Times New Roman"/>
          <w:lang w:eastAsia="lt-LT"/>
        </w:rPr>
        <w:t>padėti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gauti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daugiau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informacijos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apie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šio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vaisto</w:t>
      </w:r>
      <w:proofErr w:type="spellEnd"/>
      <w:r w:rsidRPr="00194C6E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194C6E">
        <w:rPr>
          <w:rFonts w:ascii="Times New Roman" w:hAnsi="Times New Roman" w:cs="Times New Roman"/>
          <w:lang w:eastAsia="lt-LT"/>
        </w:rPr>
        <w:t>saugumą</w:t>
      </w:r>
      <w:proofErr w:type="spellEnd"/>
      <w:r>
        <w:rPr>
          <w:lang w:eastAsia="lt-LT"/>
        </w:rPr>
        <w:t>.</w:t>
      </w:r>
    </w:p>
    <w:p w:rsidR="00804A37" w:rsidRPr="00B6799E" w:rsidRDefault="00804A37" w:rsidP="00804A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>5.</w:t>
      </w: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ab/>
        <w:t xml:space="preserve">Kaip laikyti </w:t>
      </w: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 xml:space="preserve"> forte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Šį vaistą laikykite vaikams nepastebimoje ir nepasiekiamoje vietoje.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Ant dėžutės ir lizdinės plokštelės po „Tinka iki“ nurodytam tinkamumo laikui pasibaigus, šio vaisto vartoti negalima. Vaistas tinkamas vartoti iki paskutinės nurodyto mėnesio dienos.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Laikyti ne aukštesnėje kaip 25 ºC temperatūroje.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napToGrid w:val="0"/>
          <w:kern w:val="0"/>
          <w:szCs w:val="2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Vaistų negalima išmesti į kanalizaciją arba su buitinėmis atliekomis.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Kaip išmesti nereikalingus vaistus, klauskite vaistininko.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 </w:t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Šios priemonės padės apsaugoti aplinką.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>6.</w:t>
      </w:r>
      <w:r w:rsidRPr="00B6799E">
        <w:rPr>
          <w:rFonts w:ascii="Times New Roman" w:eastAsia="Times New Roman" w:hAnsi="Times New Roman" w:cs="Times New Roman"/>
          <w:bCs/>
          <w:snapToGrid w:val="0"/>
          <w:kern w:val="0"/>
          <w:szCs w:val="26"/>
          <w:lang w:val="lt-LT" w:eastAsia="x-none"/>
          <w14:ligatures w14:val="none"/>
        </w:rPr>
        <w:tab/>
      </w: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6"/>
          <w:lang w:val="lt-LT" w:eastAsia="x-none"/>
          <w14:ligatures w14:val="none"/>
        </w:rPr>
        <w:t>Pakuotės turinys ir kita informacija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 sudėtis </w:t>
      </w:r>
    </w:p>
    <w:p w:rsidR="00804A37" w:rsidRPr="00B6799E" w:rsidRDefault="00804A37" w:rsidP="00804A37">
      <w:pPr>
        <w:numPr>
          <w:ilvl w:val="0"/>
          <w:numId w:val="2"/>
        </w:numPr>
        <w:tabs>
          <w:tab w:val="left" w:pos="567"/>
        </w:tabs>
        <w:spacing w:after="0" w:line="260" w:lineRule="exact"/>
        <w:contextualSpacing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Veikliosios medžiagos yra hidrokortizonas ir standartizuota bakterijų kultūros suspensija. Kiekvienoje žvakutėje yra 5,0 mg hidrokortizono ir 387,1 mg standartizuotos bakterijų kultūros suspensijos, kurios sudėtyje yra 1 x 10</w:t>
      </w:r>
      <w:r w:rsidRPr="00B6799E">
        <w:rPr>
          <w:rFonts w:ascii="Times New Roman" w:eastAsia="Times New Roman" w:hAnsi="Times New Roman" w:cs="Times New Roman"/>
          <w:snapToGrid w:val="0"/>
          <w:kern w:val="0"/>
          <w:vertAlign w:val="superscript"/>
          <w:lang w:val="lt-LT"/>
          <w14:ligatures w14:val="none"/>
        </w:rPr>
        <w:t>9</w:t>
      </w:r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inaktyvuotų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</w:t>
      </w:r>
      <w:proofErr w:type="spellStart"/>
      <w:r w:rsidRPr="00B6799E"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  <w:t>Escherichia</w:t>
      </w:r>
      <w:proofErr w:type="spellEnd"/>
      <w:r w:rsidRPr="00B6799E">
        <w:rPr>
          <w:rFonts w:ascii="Times New Roman" w:eastAsia="Times New Roman" w:hAnsi="Times New Roman" w:cs="Times New Roman"/>
          <w:i/>
          <w:snapToGrid w:val="0"/>
          <w:kern w:val="0"/>
          <w:lang w:val="lt-LT"/>
          <w14:ligatures w14:val="none"/>
        </w:rPr>
        <w:t xml:space="preserve"> coli</w:t>
      </w:r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bakterijų (ląstelių ir jų medžiagų apykaitos produktų).</w:t>
      </w:r>
    </w:p>
    <w:p w:rsidR="00804A37" w:rsidRPr="00B6799E" w:rsidRDefault="00804A37" w:rsidP="00804A37">
      <w:pPr>
        <w:numPr>
          <w:ilvl w:val="0"/>
          <w:numId w:val="2"/>
        </w:numPr>
        <w:tabs>
          <w:tab w:val="left" w:pos="567"/>
        </w:tabs>
        <w:spacing w:after="0" w:line="260" w:lineRule="exact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Pagalbinės medžiagos yra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acetilcisteinas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, visų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racematų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alfa-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tokoferolis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,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dinatrio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edetatas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, kietieji riebalai,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makrogolglicerolio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hidroksistearatas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 xml:space="preserve">,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fenolis</w:t>
      </w:r>
      <w:proofErr w:type="spellEnd"/>
      <w:r w:rsidRPr="00B6799E"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  <w:t>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proofErr w:type="spellStart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Posterisan</w:t>
      </w:r>
      <w:proofErr w:type="spellEnd"/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forte išvaizda ir kiekis pakuotėje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Kartono dėžutėje yra 10 homogeniškų, rusvai gelsvos spalvos žvakučių, supakuotų į aliuminio/PE lizdines plokšteles.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>egistruotojas</w:t>
      </w:r>
      <w:r w:rsidRPr="00B6799E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val="lt-LT" w:eastAsia="x-none"/>
          <w14:ligatures w14:val="none"/>
        </w:rPr>
        <w:t xml:space="preserve"> ir gamintojas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Dr. Kade Pharmazeutische Fabrik GmbH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Rigistrasse 2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12277 Berlin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Vokietija</w:t>
      </w:r>
    </w:p>
    <w:p w:rsidR="00804A37" w:rsidRPr="002A0211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2A0211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 xml:space="preserve">Tel. </w:t>
      </w:r>
      <w:r w:rsidRPr="002A0211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it-IT"/>
          <w14:ligatures w14:val="none"/>
        </w:rPr>
        <w:t>+49 30 72082-0</w:t>
      </w:r>
      <w:r w:rsidRPr="002A0211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 xml:space="preserve">, faksas </w:t>
      </w:r>
      <w:r w:rsidRPr="002A0211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it-IT"/>
          <w14:ligatures w14:val="none"/>
        </w:rPr>
        <w:t>+49 30 72082-200</w:t>
      </w:r>
      <w:r w:rsidRPr="002A0211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.</w:t>
      </w: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 xml:space="preserve">El. paštas: </w:t>
      </w:r>
      <w:hyperlink r:id="rId5" w:history="1">
        <w:r w:rsidRPr="00B6799E">
          <w:rPr>
            <w:rFonts w:ascii="Times New Roman" w:eastAsia="Times New Roman" w:hAnsi="Times New Roman" w:cs="Times New Roman"/>
            <w:noProof/>
            <w:snapToGrid w:val="0"/>
            <w:color w:val="0000FF"/>
            <w:kern w:val="0"/>
            <w:szCs w:val="24"/>
            <w:u w:val="single"/>
            <w:lang w:val="lt-LT"/>
            <w14:ligatures w14:val="none"/>
          </w:rPr>
          <w:t>info@kade.de</w:t>
        </w:r>
      </w:hyperlink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Jeigu apie šį vaistą norite sužinoti daugiau, kreipkitės į vietinį r</w:t>
      </w:r>
      <w:r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egistruotojo</w:t>
      </w:r>
      <w:r w:rsidRPr="00B6799E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 xml:space="preserve"> atstovą:</w:t>
      </w:r>
    </w:p>
    <w:p w:rsidR="00804A37" w:rsidRPr="00B6799E" w:rsidRDefault="00804A37" w:rsidP="00804A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UAB </w:t>
      </w:r>
      <w:proofErr w:type="spellStart"/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Morfėjus</w:t>
      </w:r>
      <w:proofErr w:type="spellEnd"/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Žalgirio g. 93-42</w:t>
      </w: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LT-08218 Vilnius</w:t>
      </w:r>
    </w:p>
    <w:p w:rsidR="00804A37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Tel. + 370 5 2796328</w:t>
      </w:r>
    </w:p>
    <w:p w:rsidR="00804A37" w:rsidRDefault="00804A37" w:rsidP="00804A37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ascii="Times New Roman" w:hAnsi="Times New Roman"/>
          <w:noProof/>
          <w:snapToGrid w:val="0"/>
        </w:rPr>
      </w:pPr>
      <w:bookmarkStart w:id="0" w:name="_Hlk161743113"/>
      <w:r>
        <w:rPr>
          <w:rFonts w:ascii="Times New Roman" w:hAnsi="Times New Roman"/>
          <w:noProof/>
          <w:snapToGrid w:val="0"/>
        </w:rPr>
        <w:t>El. paštas info@morfejus.lt</w:t>
      </w:r>
    </w:p>
    <w:bookmarkEnd w:id="0"/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>2024-12-31.</w:t>
      </w: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kern w:val="0"/>
          <w:szCs w:val="20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kern w:val="0"/>
          <w:szCs w:val="24"/>
          <w:lang w:val="lt-LT"/>
          <w14:ligatures w14:val="none"/>
        </w:rPr>
      </w:pPr>
    </w:p>
    <w:p w:rsidR="00804A37" w:rsidRPr="00B6799E" w:rsidRDefault="00804A37" w:rsidP="00804A3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Calibri" w:eastAsia="Calibri" w:hAnsi="Calibri" w:cs="Times New Roman"/>
          <w:kern w:val="0"/>
          <w:lang w:val="lt-LT"/>
          <w14:ligatures w14:val="none"/>
        </w:rPr>
      </w:pP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Išsami informacija apie šį 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vaistą</w:t>
      </w:r>
      <w:r w:rsidRPr="00B6799E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 pateikiama Valstybinės vaistų kontrolės tarnybos prie Lietuvos Respublikos sveikatos apsaugos ministerijos tinklalapyje</w:t>
      </w:r>
      <w:r w:rsidRPr="00B6799E">
        <w:rPr>
          <w:rFonts w:ascii="Times New Roman" w:eastAsia="Times New Roman" w:hAnsi="Times New Roman" w:cs="Times New Roman"/>
          <w:i/>
          <w:snapToGrid w:val="0"/>
          <w:kern w:val="0"/>
          <w:szCs w:val="24"/>
          <w:lang w:val="lt-LT"/>
          <w14:ligatures w14:val="none"/>
        </w:rPr>
        <w:t xml:space="preserve"> </w:t>
      </w:r>
      <w:r w:rsidRPr="00194C6E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>
        <w:rPr>
          <w:rFonts w:ascii="Times New Roman" w:hAnsi="Times New Roman" w:cs="Times New Roman"/>
          <w:color w:val="0000EE"/>
          <w:u w:val="single"/>
          <w:lang w:val="lt-LT" w:eastAsia="lt-LT"/>
        </w:rPr>
        <w:t>.</w:t>
      </w:r>
    </w:p>
    <w:p w:rsidR="00BA6577" w:rsidRDefault="00BA6577">
      <w:bookmarkStart w:id="1" w:name="_GoBack"/>
      <w:bookmarkEnd w:id="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37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804A37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2D150-6CAD-4FDE-9786-929AF52C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4A37"/>
    <w:rPr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d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5485</Words>
  <Characters>3128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Posterisan forte</vt:lpstr>
      <vt:lpstr>        4.	Galimas šalutinis poveikis</vt:lpstr>
      <vt:lpstr>        5.	Kaip laikyti Posterisan forte</vt:lpstr>
      <vt:lpstr>        6.	Pakuotės turinys ir kita informacija</vt:lpstr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2025-01-02T07:37:00Z</dcterms:created>
  <dcterms:modified xsi:type="dcterms:W3CDTF">2025-01-02T07:37:00Z</dcterms:modified>
</cp:coreProperties>
</file>