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32" w:rsidRPr="00F21ECF" w:rsidRDefault="00881832" w:rsidP="00881832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F21ECF">
        <w:rPr>
          <w:rFonts w:ascii="Times New Roman" w:hAnsi="Times New Roman"/>
          <w:i w:val="0"/>
          <w:sz w:val="22"/>
          <w:lang w:val="lt-LT"/>
        </w:rPr>
        <w:t>Pakuotės lapelis:</w:t>
      </w:r>
      <w:r w:rsidRPr="00F21ECF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F21ECF">
        <w:rPr>
          <w:rFonts w:ascii="Times New Roman" w:hAnsi="Times New Roman"/>
          <w:i w:val="0"/>
          <w:sz w:val="22"/>
          <w:lang w:val="lt-LT"/>
        </w:rPr>
        <w:t>informacija vartotojui</w:t>
      </w:r>
    </w:p>
    <w:p w:rsidR="00881832" w:rsidRPr="00F21ECF" w:rsidRDefault="00881832" w:rsidP="0088183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4"/>
          <w:lang w:val="lt-LT"/>
        </w:rPr>
      </w:pPr>
      <w:r w:rsidRPr="00F21ECF">
        <w:rPr>
          <w:b/>
          <w:noProof/>
          <w:szCs w:val="24"/>
          <w:lang w:val="lt-LT"/>
        </w:rPr>
        <w:t>Posterisan forte tepalas</w:t>
      </w:r>
    </w:p>
    <w:p w:rsidR="00881832" w:rsidRPr="00F21ECF" w:rsidRDefault="00881832" w:rsidP="00881832">
      <w:pPr>
        <w:tabs>
          <w:tab w:val="clear" w:pos="567"/>
        </w:tabs>
        <w:spacing w:line="240" w:lineRule="auto"/>
        <w:jc w:val="center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s</w:t>
      </w:r>
      <w:r w:rsidRPr="00F21ECF">
        <w:rPr>
          <w:noProof/>
          <w:szCs w:val="24"/>
          <w:lang w:val="lt-LT"/>
        </w:rPr>
        <w:t>tandartizuota bakterijų kultūros suspensija,</w:t>
      </w:r>
      <w:r w:rsidRPr="00F21ECF">
        <w:rPr>
          <w:szCs w:val="22"/>
          <w:lang w:val="lt-LT"/>
        </w:rPr>
        <w:t xml:space="preserve"> hidrokortizonas</w:t>
      </w:r>
    </w:p>
    <w:p w:rsidR="00881832" w:rsidRPr="00F21ECF" w:rsidRDefault="00881832" w:rsidP="00881832">
      <w:pPr>
        <w:tabs>
          <w:tab w:val="clear" w:pos="567"/>
        </w:tabs>
        <w:spacing w:line="240" w:lineRule="auto"/>
        <w:rPr>
          <w:color w:val="008000"/>
          <w:szCs w:val="24"/>
          <w:lang w:val="lt-LT"/>
        </w:rPr>
      </w:pPr>
    </w:p>
    <w:p w:rsidR="00881832" w:rsidRPr="00F21ECF" w:rsidRDefault="00881832" w:rsidP="00881832">
      <w:pPr>
        <w:tabs>
          <w:tab w:val="clear" w:pos="567"/>
        </w:tabs>
        <w:suppressAutoHyphens/>
        <w:spacing w:line="240" w:lineRule="auto"/>
        <w:rPr>
          <w:szCs w:val="24"/>
          <w:lang w:val="lt-LT"/>
        </w:rPr>
      </w:pPr>
      <w:r w:rsidRPr="00F21ECF">
        <w:rPr>
          <w:b/>
          <w:noProof/>
          <w:szCs w:val="24"/>
          <w:lang w:val="lt-LT"/>
        </w:rPr>
        <w:t>Atidžiai perskaitykite visą šį lapelį, prieš pradėdami vartoti vaistą, nes jame pateikiama Jums</w:t>
      </w:r>
      <w:r>
        <w:rPr>
          <w:b/>
          <w:noProof/>
          <w:szCs w:val="24"/>
          <w:lang w:val="lt-LT"/>
        </w:rPr>
        <w:t xml:space="preserve"> </w:t>
      </w:r>
      <w:r w:rsidRPr="00F21ECF">
        <w:rPr>
          <w:b/>
          <w:noProof/>
          <w:szCs w:val="24"/>
          <w:lang w:val="lt-LT"/>
        </w:rPr>
        <w:t>svarbi informacija.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Visada vartokite šį vaistą tiksliai kaip aprašyta šiame lapelyje arba kaip nurodė gydytojas arba vaistininkas.</w:t>
      </w:r>
    </w:p>
    <w:p w:rsidR="00881832" w:rsidRPr="00F21ECF" w:rsidRDefault="00881832" w:rsidP="00881832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F21ECF">
        <w:rPr>
          <w:noProof/>
          <w:szCs w:val="24"/>
          <w:lang w:val="lt-LT"/>
        </w:rPr>
        <w:t>Neišmeskite šio lapelio, nes vėl gali prireikti jį perskaityti.</w:t>
      </w:r>
      <w:r w:rsidRPr="00F21ECF">
        <w:rPr>
          <w:szCs w:val="24"/>
          <w:lang w:val="lt-LT"/>
        </w:rPr>
        <w:t xml:space="preserve"> </w:t>
      </w:r>
    </w:p>
    <w:p w:rsidR="00881832" w:rsidRPr="00F21ECF" w:rsidRDefault="00881832" w:rsidP="00881832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F21ECF">
        <w:rPr>
          <w:noProof/>
          <w:szCs w:val="24"/>
          <w:lang w:val="lt-LT"/>
        </w:rPr>
        <w:t>Jeigu norite sužinoti daugiau arba pasitarti, kreipkitės į vaistininką.</w:t>
      </w:r>
    </w:p>
    <w:p w:rsidR="00881832" w:rsidRPr="00F21ECF" w:rsidRDefault="00881832" w:rsidP="00881832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F21ECF">
        <w:rPr>
          <w:noProof/>
          <w:szCs w:val="24"/>
          <w:lang w:val="lt-LT"/>
        </w:rPr>
        <w:t>Jeigu pasireiškė šalutinis poveikis (net jeigu jis šiame lapelyje nenurodytas), kreipkitės į gydytoją arba vaistininką. Žr. 4 skyrių.</w:t>
      </w:r>
    </w:p>
    <w:p w:rsidR="00881832" w:rsidRPr="00F21ECF" w:rsidRDefault="00881832" w:rsidP="00881832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F21ECF">
        <w:rPr>
          <w:noProof/>
          <w:szCs w:val="24"/>
          <w:lang w:val="lt-LT"/>
        </w:rPr>
        <w:t>Jeigu per 10 dienų Jūsų savijauta nepagerėjo arba net pablogėjo, kreipkitės į gydytoją.</w:t>
      </w:r>
    </w:p>
    <w:p w:rsidR="00881832" w:rsidRPr="00F21ECF" w:rsidRDefault="00881832" w:rsidP="00881832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>Apie ką rašoma šiame lapelyje?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F21ECF">
        <w:rPr>
          <w:szCs w:val="24"/>
          <w:lang w:val="lt-LT"/>
        </w:rPr>
        <w:t>1.</w:t>
      </w:r>
      <w:r w:rsidRPr="00F21ECF">
        <w:rPr>
          <w:szCs w:val="24"/>
          <w:lang w:val="lt-LT"/>
        </w:rPr>
        <w:tab/>
      </w:r>
      <w:r w:rsidRPr="00F21ECF">
        <w:rPr>
          <w:lang w:val="lt-LT"/>
        </w:rPr>
        <w:t xml:space="preserve">Kas yra </w:t>
      </w:r>
      <w:proofErr w:type="spellStart"/>
      <w:r w:rsidRPr="00F21ECF">
        <w:rPr>
          <w:lang w:val="lt-LT"/>
        </w:rPr>
        <w:t>Posterisan</w:t>
      </w:r>
      <w:proofErr w:type="spellEnd"/>
      <w:r w:rsidRPr="00F21ECF">
        <w:rPr>
          <w:lang w:val="lt-LT"/>
        </w:rPr>
        <w:t xml:space="preserve"> forte ir kam jis vartojamas</w:t>
      </w:r>
      <w:r w:rsidRPr="00F21ECF">
        <w:rPr>
          <w:szCs w:val="24"/>
          <w:lang w:val="lt-LT"/>
        </w:rPr>
        <w:t xml:space="preserve">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F21ECF">
        <w:rPr>
          <w:szCs w:val="24"/>
          <w:lang w:val="lt-LT"/>
        </w:rPr>
        <w:t>2.</w:t>
      </w:r>
      <w:r w:rsidRPr="00F21ECF">
        <w:rPr>
          <w:szCs w:val="24"/>
          <w:lang w:val="lt-LT"/>
        </w:rPr>
        <w:tab/>
      </w:r>
      <w:r w:rsidRPr="00F21ECF">
        <w:rPr>
          <w:noProof/>
          <w:szCs w:val="24"/>
          <w:lang w:val="lt-LT"/>
        </w:rPr>
        <w:t xml:space="preserve">Kas žinotina prieš vartojant </w:t>
      </w:r>
      <w:proofErr w:type="spellStart"/>
      <w:r w:rsidRPr="00F21ECF">
        <w:rPr>
          <w:lang w:val="lt-LT"/>
        </w:rPr>
        <w:t>Posterisan</w:t>
      </w:r>
      <w:proofErr w:type="spellEnd"/>
      <w:r w:rsidRPr="00F21ECF">
        <w:rPr>
          <w:szCs w:val="24"/>
          <w:lang w:val="lt-LT"/>
        </w:rPr>
        <w:t xml:space="preserve"> </w:t>
      </w:r>
      <w:r w:rsidRPr="00F21ECF">
        <w:rPr>
          <w:lang w:val="lt-LT"/>
        </w:rPr>
        <w:t>forte</w:t>
      </w:r>
      <w:r w:rsidRPr="00F21ECF">
        <w:rPr>
          <w:szCs w:val="24"/>
          <w:lang w:val="lt-LT"/>
        </w:rPr>
        <w:t xml:space="preserve">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F21ECF">
        <w:rPr>
          <w:szCs w:val="24"/>
          <w:lang w:val="lt-LT"/>
        </w:rPr>
        <w:t>3.</w:t>
      </w:r>
      <w:r w:rsidRPr="00F21ECF">
        <w:rPr>
          <w:szCs w:val="24"/>
          <w:lang w:val="lt-LT"/>
        </w:rPr>
        <w:tab/>
      </w:r>
      <w:r w:rsidRPr="00F21ECF">
        <w:rPr>
          <w:noProof/>
          <w:szCs w:val="24"/>
          <w:lang w:val="lt-LT"/>
        </w:rPr>
        <w:t xml:space="preserve">Kaip vartoti </w:t>
      </w:r>
      <w:proofErr w:type="spellStart"/>
      <w:r w:rsidRPr="00F21ECF">
        <w:rPr>
          <w:lang w:val="lt-LT"/>
        </w:rPr>
        <w:t>Posterisan</w:t>
      </w:r>
      <w:proofErr w:type="spellEnd"/>
      <w:r w:rsidRPr="00F21ECF">
        <w:rPr>
          <w:szCs w:val="24"/>
          <w:lang w:val="lt-LT"/>
        </w:rPr>
        <w:t xml:space="preserve"> </w:t>
      </w:r>
      <w:r w:rsidRPr="00F21ECF">
        <w:rPr>
          <w:lang w:val="lt-LT"/>
        </w:rPr>
        <w:t>forte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F21ECF">
        <w:rPr>
          <w:szCs w:val="24"/>
          <w:lang w:val="lt-LT"/>
        </w:rPr>
        <w:t>4.</w:t>
      </w:r>
      <w:r w:rsidRPr="00F21ECF">
        <w:rPr>
          <w:szCs w:val="24"/>
          <w:lang w:val="lt-LT"/>
        </w:rPr>
        <w:tab/>
      </w:r>
      <w:r w:rsidRPr="00F21ECF">
        <w:rPr>
          <w:lang w:val="lt-LT"/>
        </w:rPr>
        <w:t>Galimas šalutinis poveikis</w:t>
      </w:r>
      <w:r w:rsidRPr="00F21ECF">
        <w:rPr>
          <w:szCs w:val="24"/>
          <w:lang w:val="lt-LT"/>
        </w:rPr>
        <w:t xml:space="preserve">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  <w:tab w:val="left" w:pos="1276"/>
        </w:tabs>
        <w:spacing w:line="240" w:lineRule="auto"/>
        <w:ind w:left="284" w:right="-2"/>
        <w:rPr>
          <w:szCs w:val="24"/>
          <w:lang w:val="lt-LT"/>
        </w:rPr>
      </w:pPr>
      <w:r w:rsidRPr="00F21ECF">
        <w:rPr>
          <w:szCs w:val="24"/>
          <w:lang w:val="lt-LT"/>
        </w:rPr>
        <w:t>5.</w:t>
      </w:r>
      <w:r w:rsidRPr="00F21ECF">
        <w:rPr>
          <w:szCs w:val="24"/>
          <w:lang w:val="lt-LT"/>
        </w:rPr>
        <w:tab/>
      </w:r>
      <w:r w:rsidRPr="00F21ECF">
        <w:rPr>
          <w:lang w:val="lt-LT"/>
        </w:rPr>
        <w:t xml:space="preserve">Kaip laikyti </w:t>
      </w:r>
      <w:proofErr w:type="spellStart"/>
      <w:r w:rsidRPr="00F21ECF">
        <w:rPr>
          <w:lang w:val="lt-LT"/>
        </w:rPr>
        <w:t>Posterisan</w:t>
      </w:r>
      <w:proofErr w:type="spellEnd"/>
      <w:r w:rsidRPr="00F21ECF">
        <w:rPr>
          <w:szCs w:val="24"/>
          <w:lang w:val="lt-LT"/>
        </w:rPr>
        <w:t xml:space="preserve"> </w:t>
      </w:r>
      <w:r w:rsidRPr="00F21ECF">
        <w:rPr>
          <w:lang w:val="lt-LT"/>
        </w:rPr>
        <w:t>forte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F21ECF">
        <w:rPr>
          <w:szCs w:val="24"/>
          <w:lang w:val="lt-LT"/>
        </w:rPr>
        <w:t>6.</w:t>
      </w:r>
      <w:r w:rsidRPr="00F21ECF">
        <w:rPr>
          <w:szCs w:val="24"/>
          <w:lang w:val="lt-LT"/>
        </w:rPr>
        <w:tab/>
      </w:r>
      <w:r w:rsidRPr="00F21ECF">
        <w:rPr>
          <w:noProof/>
          <w:szCs w:val="24"/>
          <w:lang w:val="lt-LT"/>
        </w:rPr>
        <w:t>Pakuotės turinys ir kita informacija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>1.</w:t>
      </w:r>
      <w:r w:rsidRPr="00F21ECF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Pr="00F21ECF">
        <w:rPr>
          <w:rFonts w:ascii="Times New Roman" w:hAnsi="Times New Roman"/>
          <w:sz w:val="22"/>
          <w:lang w:val="lt-LT"/>
        </w:rPr>
        <w:t>Posterisan</w:t>
      </w:r>
      <w:proofErr w:type="spellEnd"/>
      <w:r w:rsidRPr="00F21ECF">
        <w:rPr>
          <w:rFonts w:ascii="Times New Roman" w:hAnsi="Times New Roman"/>
          <w:sz w:val="22"/>
          <w:lang w:val="lt-LT"/>
        </w:rPr>
        <w:t xml:space="preserve"> forte ir kam jis vartojamas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rPr>
          <w:snapToGrid/>
          <w:szCs w:val="22"/>
          <w:lang w:val="lt-LT"/>
        </w:rPr>
      </w:pPr>
      <w:r>
        <w:rPr>
          <w:szCs w:val="22"/>
          <w:lang w:val="lt-LT"/>
        </w:rPr>
        <w:t>Tepalo</w:t>
      </w:r>
      <w:r w:rsidRPr="00F21ECF">
        <w:rPr>
          <w:szCs w:val="22"/>
          <w:lang w:val="lt-LT"/>
        </w:rPr>
        <w:t xml:space="preserve"> </w:t>
      </w:r>
      <w:proofErr w:type="spellStart"/>
      <w:r w:rsidRPr="00F21ECF">
        <w:rPr>
          <w:szCs w:val="22"/>
          <w:lang w:val="lt-LT"/>
        </w:rPr>
        <w:t>Posterisan</w:t>
      </w:r>
      <w:proofErr w:type="spellEnd"/>
      <w:r w:rsidRPr="00F21ECF">
        <w:rPr>
          <w:szCs w:val="22"/>
          <w:lang w:val="lt-LT"/>
        </w:rPr>
        <w:t xml:space="preserve"> forte sudėtyje yra lokalaus poveikio </w:t>
      </w:r>
      <w:proofErr w:type="spellStart"/>
      <w:r w:rsidRPr="00F21ECF">
        <w:rPr>
          <w:szCs w:val="22"/>
          <w:lang w:val="lt-LT"/>
        </w:rPr>
        <w:t>gliukokortikoidų</w:t>
      </w:r>
      <w:proofErr w:type="spellEnd"/>
      <w:r w:rsidRPr="00F21ECF">
        <w:rPr>
          <w:szCs w:val="22"/>
          <w:lang w:val="lt-LT"/>
        </w:rPr>
        <w:t>. Vaistas tinka s</w:t>
      </w:r>
      <w:r w:rsidRPr="00F21ECF">
        <w:rPr>
          <w:lang w:val="lt-LT"/>
        </w:rPr>
        <w:t>u hemorojumi, išangės įplėšoms, įtrūkoms ir egzema susijusio stipraus išangės srities niežuliui ir uždegimui malšinti</w:t>
      </w:r>
      <w:r w:rsidRPr="00F21ECF">
        <w:rPr>
          <w:snapToGrid/>
          <w:szCs w:val="22"/>
          <w:lang w:val="lt-LT"/>
        </w:rPr>
        <w:t>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noProof/>
          <w:szCs w:val="24"/>
          <w:lang w:val="lt-LT"/>
        </w:rPr>
        <w:t>Jeigu Jūsų savijauta per 10 dienų nepagerėjo arba net pablogėjo, kreipkitės į gydytoją.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>2.</w:t>
      </w:r>
      <w:r w:rsidRPr="00F21ECF">
        <w:rPr>
          <w:rFonts w:ascii="Times New Roman" w:hAnsi="Times New Roman"/>
          <w:sz w:val="22"/>
          <w:lang w:val="lt-LT"/>
        </w:rPr>
        <w:tab/>
      </w:r>
      <w:bookmarkStart w:id="0" w:name="_Hlk161741550"/>
      <w:r w:rsidRPr="00F21ECF">
        <w:rPr>
          <w:rFonts w:ascii="Times New Roman" w:hAnsi="Times New Roman"/>
          <w:sz w:val="22"/>
          <w:lang w:val="lt-LT"/>
        </w:rPr>
        <w:t xml:space="preserve">Kas žinotina prieš vartojant </w:t>
      </w:r>
      <w:proofErr w:type="spellStart"/>
      <w:r w:rsidRPr="00F21ECF">
        <w:rPr>
          <w:rFonts w:ascii="Times New Roman" w:hAnsi="Times New Roman"/>
          <w:sz w:val="22"/>
          <w:lang w:val="lt-LT"/>
        </w:rPr>
        <w:t>Posterisan</w:t>
      </w:r>
      <w:proofErr w:type="spellEnd"/>
      <w:r w:rsidRPr="00F21ECF">
        <w:rPr>
          <w:rFonts w:ascii="Times New Roman" w:hAnsi="Times New Roman"/>
          <w:sz w:val="22"/>
          <w:lang w:val="lt-LT"/>
        </w:rPr>
        <w:t xml:space="preserve"> forte</w:t>
      </w:r>
      <w:r w:rsidRPr="00F21ECF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F21ECF">
        <w:rPr>
          <w:rFonts w:ascii="Times New Roman" w:hAnsi="Times New Roman"/>
          <w:sz w:val="22"/>
          <w:lang w:val="lt-LT"/>
        </w:rPr>
        <w:t>Posterisan</w:t>
      </w:r>
      <w:proofErr w:type="spellEnd"/>
      <w:r w:rsidRPr="00F21ECF">
        <w:rPr>
          <w:rFonts w:ascii="Times New Roman" w:hAnsi="Times New Roman"/>
          <w:sz w:val="22"/>
          <w:lang w:val="lt-LT"/>
        </w:rPr>
        <w:t xml:space="preserve"> forte vartoti </w:t>
      </w:r>
      <w:r>
        <w:rPr>
          <w:rFonts w:ascii="Times New Roman" w:hAnsi="Times New Roman"/>
          <w:sz w:val="22"/>
          <w:lang w:val="lt-LT"/>
        </w:rPr>
        <w:t>draudžiama</w:t>
      </w:r>
    </w:p>
    <w:p w:rsidR="00881832" w:rsidRDefault="00881832" w:rsidP="00881832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  <w:lang w:val="lt-LT"/>
        </w:rPr>
      </w:pPr>
      <w:r w:rsidRPr="00F21ECF">
        <w:rPr>
          <w:szCs w:val="24"/>
          <w:lang w:val="lt-LT"/>
        </w:rPr>
        <w:t>-</w:t>
      </w:r>
      <w:r w:rsidRPr="00F21ECF">
        <w:rPr>
          <w:szCs w:val="24"/>
          <w:lang w:val="lt-LT"/>
        </w:rPr>
        <w:tab/>
      </w:r>
      <w:r w:rsidRPr="00F21ECF">
        <w:rPr>
          <w:noProof/>
          <w:szCs w:val="24"/>
          <w:lang w:val="lt-LT"/>
        </w:rPr>
        <w:t xml:space="preserve">jeigu yra alergija </w:t>
      </w:r>
      <w:r w:rsidRPr="00F21ECF">
        <w:rPr>
          <w:szCs w:val="22"/>
          <w:lang w:val="lt-LT"/>
        </w:rPr>
        <w:t xml:space="preserve">hidrokortizonui </w:t>
      </w:r>
      <w:r w:rsidRPr="00F21ECF">
        <w:rPr>
          <w:noProof/>
          <w:szCs w:val="24"/>
          <w:lang w:val="lt-LT"/>
        </w:rPr>
        <w:t>arba bet kuriai pagalbinei šio vaisto medžiagai (jos išvardytos 6 skyriuje)</w:t>
      </w:r>
      <w:r>
        <w:rPr>
          <w:noProof/>
          <w:szCs w:val="24"/>
          <w:lang w:val="lt-LT"/>
        </w:rPr>
        <w:t>;</w:t>
      </w:r>
    </w:p>
    <w:p w:rsidR="00881832" w:rsidRPr="00B64082" w:rsidRDefault="00881832" w:rsidP="00881832">
      <w:pPr>
        <w:rPr>
          <w:szCs w:val="22"/>
          <w:lang w:val="lt-LT"/>
        </w:rPr>
      </w:pPr>
      <w:r>
        <w:rPr>
          <w:noProof/>
          <w:szCs w:val="24"/>
          <w:lang w:val="lt-LT"/>
        </w:rPr>
        <w:t>-</w:t>
      </w:r>
      <w:r w:rsidRPr="00B64082">
        <w:rPr>
          <w:szCs w:val="22"/>
          <w:lang w:val="lt-LT"/>
        </w:rPr>
        <w:tab/>
      </w:r>
      <w:bookmarkStart w:id="1" w:name="_Hlk161511185"/>
      <w:r w:rsidRPr="00B64082">
        <w:rPr>
          <w:szCs w:val="22"/>
          <w:lang w:val="lt-LT"/>
        </w:rPr>
        <w:t>jeigu gydymo vietoje yra infekcinė odos liga, pvz.</w:t>
      </w:r>
      <w:r>
        <w:rPr>
          <w:szCs w:val="22"/>
          <w:lang w:val="lt-LT"/>
        </w:rPr>
        <w:t>, tuberkuliozė,</w:t>
      </w:r>
      <w:r w:rsidRPr="00B64082">
        <w:rPr>
          <w:szCs w:val="22"/>
          <w:lang w:val="lt-LT"/>
        </w:rPr>
        <w:t xml:space="preserve"> sifilis</w:t>
      </w:r>
      <w:r>
        <w:rPr>
          <w:szCs w:val="22"/>
          <w:lang w:val="lt-LT"/>
        </w:rPr>
        <w:t xml:space="preserve">, gonorėja, </w:t>
      </w:r>
      <w:r w:rsidRPr="00BE0319">
        <w:rPr>
          <w:szCs w:val="22"/>
          <w:lang w:val="lt-LT"/>
        </w:rPr>
        <w:t>vėjaraupiai ar skiepų sukelta reakcija</w:t>
      </w:r>
      <w:r>
        <w:rPr>
          <w:szCs w:val="22"/>
          <w:lang w:val="lt-LT"/>
        </w:rPr>
        <w:t xml:space="preserve">, </w:t>
      </w:r>
      <w:r w:rsidRPr="00BE0319">
        <w:rPr>
          <w:szCs w:val="22"/>
          <w:lang w:val="lt-LT"/>
        </w:rPr>
        <w:t>grybelių ir bakterijų sukelta odos liga</w:t>
      </w:r>
      <w:r>
        <w:rPr>
          <w:szCs w:val="22"/>
          <w:lang w:val="lt-LT"/>
        </w:rPr>
        <w:t xml:space="preserve">, </w:t>
      </w:r>
      <w:r w:rsidRPr="00BE0319">
        <w:rPr>
          <w:szCs w:val="22"/>
          <w:lang w:val="lt-LT"/>
        </w:rPr>
        <w:t>veido odos uždegimas (</w:t>
      </w:r>
      <w:proofErr w:type="spellStart"/>
      <w:r>
        <w:rPr>
          <w:szCs w:val="22"/>
          <w:lang w:val="lt-LT"/>
        </w:rPr>
        <w:t>perioralinis</w:t>
      </w:r>
      <w:proofErr w:type="spellEnd"/>
      <w:r w:rsidRPr="00BE0319">
        <w:rPr>
          <w:szCs w:val="22"/>
          <w:lang w:val="lt-LT"/>
        </w:rPr>
        <w:t xml:space="preserve"> dermatitas, raudonieji spuogai).</w:t>
      </w:r>
      <w:bookmarkEnd w:id="1"/>
    </w:p>
    <w:bookmarkEnd w:id="0"/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noProof/>
          <w:szCs w:val="24"/>
          <w:lang w:val="lt-LT"/>
        </w:rPr>
        <w:t>Pasitarkite su gydytoju arba vaistininku, prieš pradėdami vartoti Posterisan forte.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 xml:space="preserve">Vartojant tepalo </w:t>
      </w:r>
      <w:proofErr w:type="spellStart"/>
      <w:r w:rsidRPr="00F21ECF">
        <w:rPr>
          <w:szCs w:val="24"/>
          <w:lang w:val="lt-LT"/>
        </w:rPr>
        <w:t>Posterisan</w:t>
      </w:r>
      <w:proofErr w:type="spellEnd"/>
      <w:r w:rsidRPr="00F21ECF">
        <w:rPr>
          <w:szCs w:val="24"/>
          <w:lang w:val="lt-LT"/>
        </w:rPr>
        <w:t xml:space="preserve"> forte, kurio sudėtyje yra geltonojo parafino, gali mažėti kartu naudojamų lateksinių prezervatyvų atsparumas įtrūkimui, vadinasi ir jų saugumas.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ind w:right="-2"/>
        <w:rPr>
          <w:b/>
          <w:bCs/>
          <w:noProof/>
          <w:snapToGrid/>
          <w:szCs w:val="22"/>
          <w:lang w:val="lt-LT"/>
        </w:rPr>
      </w:pPr>
      <w:r w:rsidRPr="00F21ECF">
        <w:rPr>
          <w:szCs w:val="24"/>
          <w:lang w:val="lt-LT"/>
        </w:rPr>
        <w:t>Jei yra grybelių sukeltas pažeidimas, papildomai būtina vartoti lokalaus poveikio preparatų nuo grybelių.</w:t>
      </w:r>
      <w:r w:rsidRPr="00F21ECF">
        <w:rPr>
          <w:b/>
          <w:bCs/>
          <w:noProof/>
          <w:snapToGrid/>
          <w:szCs w:val="22"/>
          <w:lang w:val="lt-LT"/>
        </w:rPr>
        <w:t xml:space="preserve">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ind w:right="-2"/>
        <w:rPr>
          <w:b/>
          <w:bCs/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ind w:right="-2"/>
        <w:rPr>
          <w:b/>
          <w:bCs/>
          <w:szCs w:val="24"/>
          <w:lang w:val="lt-LT"/>
        </w:rPr>
      </w:pPr>
      <w:r w:rsidRPr="00F21ECF">
        <w:rPr>
          <w:b/>
          <w:bCs/>
          <w:szCs w:val="24"/>
          <w:lang w:val="lt-LT"/>
        </w:rPr>
        <w:t xml:space="preserve">Vaikams ir paaugliams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bCs/>
          <w:szCs w:val="24"/>
          <w:lang w:val="lt-LT"/>
        </w:rPr>
        <w:t xml:space="preserve">Vaikams ir jaunesniems negu 18 metų paaugliams </w:t>
      </w:r>
      <w:proofErr w:type="spellStart"/>
      <w:r w:rsidRPr="00F21ECF">
        <w:rPr>
          <w:bCs/>
          <w:szCs w:val="24"/>
          <w:lang w:val="lt-LT"/>
        </w:rPr>
        <w:t>Posterisan</w:t>
      </w:r>
      <w:proofErr w:type="spellEnd"/>
      <w:r w:rsidRPr="00F21ECF">
        <w:rPr>
          <w:bCs/>
          <w:szCs w:val="24"/>
          <w:lang w:val="lt-LT"/>
        </w:rPr>
        <w:t xml:space="preserve"> forte tepalo vartoti negalima, nes nepakanka patirties.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lastRenderedPageBreak/>
        <w:t xml:space="preserve">Kiti vaistai ir </w:t>
      </w:r>
      <w:proofErr w:type="spellStart"/>
      <w:r w:rsidRPr="00F21ECF">
        <w:rPr>
          <w:rFonts w:ascii="Times New Roman" w:hAnsi="Times New Roman"/>
          <w:sz w:val="22"/>
          <w:lang w:val="lt-LT"/>
        </w:rPr>
        <w:t>Posterisan</w:t>
      </w:r>
      <w:proofErr w:type="spellEnd"/>
      <w:r>
        <w:rPr>
          <w:rFonts w:ascii="Times New Roman" w:hAnsi="Times New Roman"/>
          <w:sz w:val="22"/>
          <w:lang w:val="lt-LT"/>
        </w:rPr>
        <w:t xml:space="preserve"> forte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Jeigu vartojate ar neseniai vartojote kitų vaistų arba dėl to nesate tikri, apie tai pasakykite gydytojui arba vaistininkui.</w:t>
      </w:r>
      <w:r w:rsidRPr="00F21ECF">
        <w:rPr>
          <w:snapToGrid/>
          <w:szCs w:val="22"/>
          <w:lang w:val="lt-LT"/>
        </w:rPr>
        <w:t xml:space="preserve"> </w:t>
      </w:r>
      <w:r w:rsidRPr="00F21ECF">
        <w:rPr>
          <w:noProof/>
          <w:szCs w:val="24"/>
          <w:lang w:val="lt-LT"/>
        </w:rPr>
        <w:t>Posterisan forte tepalo vartojant kartu su kortikosteroidų tabletėmis, lašais ar injekuojamaisiais preparatais, gali stiprėti gydomasis ir nepageidaujamas kortikosteroidų poveikis.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Prašom įsidėmėti, kad šie nurodymai tinka net ir tuo atveju, jei vaisto vartota neseniai.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 xml:space="preserve">Nėštumas ir žindymo laikotarpis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F21ECF">
        <w:rPr>
          <w:noProof/>
          <w:szCs w:val="24"/>
          <w:lang w:val="lt-LT"/>
        </w:rPr>
        <w:t>Jeigu esate nėščia, žindote kūdikį, manote, kad galbūt esate nėščia, arba planuojate pastoti, tai prieš vartodama šį vaistą, pasitarkite su gydytoju.</w:t>
      </w:r>
      <w:r w:rsidRPr="00F21ECF">
        <w:rPr>
          <w:szCs w:val="24"/>
          <w:lang w:val="lt-LT"/>
        </w:rPr>
        <w:t xml:space="preserve">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F21ECF">
        <w:rPr>
          <w:szCs w:val="24"/>
          <w:lang w:val="lt-LT"/>
        </w:rPr>
        <w:t xml:space="preserve">Informacijos apie </w:t>
      </w:r>
      <w:proofErr w:type="spellStart"/>
      <w:r w:rsidRPr="00F21ECF">
        <w:rPr>
          <w:szCs w:val="24"/>
          <w:lang w:val="lt-LT"/>
        </w:rPr>
        <w:t>Posterisan</w:t>
      </w:r>
      <w:proofErr w:type="spellEnd"/>
      <w:r w:rsidRPr="00F21ECF">
        <w:rPr>
          <w:szCs w:val="24"/>
          <w:lang w:val="lt-LT"/>
        </w:rPr>
        <w:t xml:space="preserve"> forte tepalo vartojimą nėštumo metu nėra.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F21ECF">
        <w:rPr>
          <w:szCs w:val="24"/>
          <w:lang w:val="lt-LT"/>
        </w:rPr>
        <w:t>Tyrimų su gyvūnais metu hidrokortizonas sukėlė toksinį poveikį vaisiui ir apsigimimą.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4"/>
          <w:lang w:val="lt-LT"/>
        </w:rPr>
      </w:pPr>
      <w:proofErr w:type="spellStart"/>
      <w:r w:rsidRPr="00F21ECF">
        <w:rPr>
          <w:szCs w:val="24"/>
          <w:lang w:val="lt-LT"/>
        </w:rPr>
        <w:t>Posterisan</w:t>
      </w:r>
      <w:proofErr w:type="spellEnd"/>
      <w:r w:rsidRPr="00F21ECF">
        <w:rPr>
          <w:szCs w:val="24"/>
          <w:lang w:val="lt-LT"/>
        </w:rPr>
        <w:t xml:space="preserve"> forte tepalo nėščioms moterims vartoti negalima, nebent jo vartoti nurodo gydytojas.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F21ECF">
        <w:rPr>
          <w:szCs w:val="24"/>
          <w:lang w:val="lt-LT"/>
        </w:rPr>
        <w:t>Veiklioji medžiaga hidrokortizonas išsiskiria su žindyvės pienu. Žindyvei vaisto vartoti negalima, nebent juo gydyti nurodo gydytojas.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>Vairavimas ir mechanizmų valdymas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 xml:space="preserve">Poveikio gebėjimui vairuoti transportą ir valdyti mechanizmus nepastebėta.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PI-3EMEASMCA"/>
        <w:rPr>
          <w:b w:val="0"/>
        </w:rPr>
      </w:pPr>
      <w:proofErr w:type="spellStart"/>
      <w:r w:rsidRPr="00F21ECF">
        <w:t>Posterisan</w:t>
      </w:r>
      <w:proofErr w:type="spellEnd"/>
      <w:r w:rsidRPr="00F21ECF">
        <w:t xml:space="preserve"> </w:t>
      </w:r>
      <w:r>
        <w:t xml:space="preserve">forte </w:t>
      </w:r>
      <w:r w:rsidRPr="00F21ECF">
        <w:t>sudėtyje yra vilnos riebalų</w:t>
      </w:r>
      <w:r w:rsidRPr="00F21ECF">
        <w:rPr>
          <w:b w:val="0"/>
        </w:rPr>
        <w:t>, kurie gali sukelti lokalių odos  reakcijų (pvz., kontaktinį dermatitą).</w:t>
      </w:r>
    </w:p>
    <w:p w:rsidR="00881832" w:rsidRPr="00F21ECF" w:rsidRDefault="00881832" w:rsidP="0088183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>3.</w:t>
      </w:r>
      <w:r w:rsidRPr="00F21ECF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F21ECF">
        <w:rPr>
          <w:rFonts w:ascii="Times New Roman" w:hAnsi="Times New Roman"/>
          <w:sz w:val="22"/>
          <w:lang w:val="lt-LT"/>
        </w:rPr>
        <w:t>Posterisan</w:t>
      </w:r>
      <w:proofErr w:type="spellEnd"/>
      <w:r w:rsidRPr="00F21ECF">
        <w:rPr>
          <w:rFonts w:ascii="Times New Roman" w:hAnsi="Times New Roman"/>
          <w:sz w:val="22"/>
          <w:lang w:val="lt-LT"/>
        </w:rPr>
        <w:t xml:space="preserve"> forte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Visada vartokite šį vaistą tiksliai</w:t>
      </w:r>
      <w:r>
        <w:rPr>
          <w:noProof/>
          <w:szCs w:val="24"/>
          <w:lang w:val="lt-LT"/>
        </w:rPr>
        <w:t>,</w:t>
      </w:r>
      <w:r w:rsidRPr="00F21ECF">
        <w:rPr>
          <w:noProof/>
          <w:szCs w:val="24"/>
          <w:lang w:val="lt-LT"/>
        </w:rPr>
        <w:t xml:space="preserve"> kaip aprašyta šiame lapelyje arba kaip nurodė gydytojas arba vaistininkas.</w:t>
      </w:r>
      <w:r w:rsidRPr="00F21ECF">
        <w:rPr>
          <w:szCs w:val="24"/>
          <w:lang w:val="lt-LT"/>
        </w:rPr>
        <w:t xml:space="preserve"> </w:t>
      </w:r>
      <w:r w:rsidRPr="00F21ECF">
        <w:rPr>
          <w:noProof/>
          <w:szCs w:val="24"/>
          <w:lang w:val="lt-LT"/>
        </w:rPr>
        <w:t>Jeigu abejojate, kreipkitės į gydytoją arba vaistininką.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 xml:space="preserve">Rekomenduojama dozė yra du kartus per dieną. Preparato kiekis priklauso nuo gydomo odos ir gleivinės ploto.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 xml:space="preserve">Tepalo reikia tepti iš ryto ir vakare, geriausia po tuštinimosi. Kad būtų lengva tepti, preparatą rekomenduojama laikyti 18 – 25 ºC temperatūroje. Tepalo vartojant ilgiau galima tikėtis geresnio gydomojo poveikio. Tokiu atveju </w:t>
      </w:r>
      <w:proofErr w:type="spellStart"/>
      <w:r w:rsidRPr="00F21ECF">
        <w:rPr>
          <w:szCs w:val="24"/>
          <w:lang w:val="lt-LT"/>
        </w:rPr>
        <w:t>Posterisan</w:t>
      </w:r>
      <w:proofErr w:type="spellEnd"/>
      <w:r w:rsidRPr="00F21ECF">
        <w:rPr>
          <w:szCs w:val="24"/>
          <w:lang w:val="lt-LT"/>
        </w:rPr>
        <w:t xml:space="preserve"> forte tepalo reikėtų vartoti kartą per dieną arba kas 2 – 3 dieną.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 xml:space="preserve">Jei gydoma išorinė išangės sritis, ją reikia patepti plonu tepalo sluoksniu ir po to jį pirštu atsargiai įtrinti.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>Pakuotėje yra antgalis, kurio šonuose yra angos. Šiuo įtaisu galima tolygiai užtepti reikiamą tepalo kiekį ant išangės kanalo bei šalia jo esančių tiesiosios žarnos sienelių.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jc w:val="left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>Vartojimas vaikams ir paaugliams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Šio vaisto vaikams ir paaugliams vartoti negalima, nes nepakanka patirties.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4"/>
          <w:u w:val="single"/>
          <w:lang w:val="lt-LT"/>
        </w:rPr>
      </w:pPr>
    </w:p>
    <w:p w:rsidR="00881832" w:rsidRPr="00F21ECF" w:rsidRDefault="00881832" w:rsidP="0088183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21ECF">
        <w:rPr>
          <w:iCs/>
          <w:snapToGrid/>
          <w:szCs w:val="22"/>
          <w:u w:val="single"/>
          <w:lang w:val="lt-LT"/>
        </w:rPr>
        <w:t>Tepalo antgalio naudojimas</w:t>
      </w:r>
    </w:p>
    <w:p w:rsidR="00881832" w:rsidRPr="00F21ECF" w:rsidRDefault="00881832" w:rsidP="0088183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21ECF">
        <w:rPr>
          <w:snapToGrid/>
          <w:szCs w:val="22"/>
          <w:lang w:val="lt-LT"/>
        </w:rPr>
        <w:t>Antgalis užsukamas ant tepalo tūbelės, po to numaunamas jo gaubtuvėlis. Tūbelė spaudžiama tol, kol tepalas užpildo antgalį ir pasirodo šoninėse angose. Po to antgalis atsargiai įkišamas į išangę iki aiškios kliūties (kad geriau slystų, antgalį galima patepti trupučiu tepalo). Tūbelę paspaudus dar kartą, tepalas patenka į išangės kanalą. Kad jis tolygiai pasiskirstytų, tūbelę reikia atsargiai pasukinėti. Po naudojimo antgalį reikia išvalyti: iš jo pro šonines angas išspausti truputį tepalo, nušluostyti paviršių sugeriamuoju popieriumi ir, kad tepalas mažiau džiūtų, uždėti apsauginį gaubtuvėlį.</w:t>
      </w:r>
    </w:p>
    <w:p w:rsidR="00881832" w:rsidRPr="00F21ECF" w:rsidRDefault="00881832" w:rsidP="00881832">
      <w:pPr>
        <w:keepNext/>
        <w:tabs>
          <w:tab w:val="clear" w:pos="567"/>
        </w:tabs>
        <w:suppressAutoHyphens/>
        <w:overflowPunct w:val="0"/>
        <w:autoSpaceDE w:val="0"/>
        <w:spacing w:line="240" w:lineRule="auto"/>
        <w:textAlignment w:val="baseline"/>
        <w:outlineLvl w:val="7"/>
        <w:rPr>
          <w:snapToGrid/>
          <w:szCs w:val="22"/>
          <w:u w:val="single"/>
          <w:lang w:val="lt-LT" w:eastAsia="ar-SA"/>
        </w:rPr>
      </w:pPr>
    </w:p>
    <w:p w:rsidR="00881832" w:rsidRPr="00F21ECF" w:rsidRDefault="00881832" w:rsidP="00881832">
      <w:pPr>
        <w:keepNext/>
        <w:tabs>
          <w:tab w:val="clear" w:pos="567"/>
        </w:tabs>
        <w:suppressAutoHyphens/>
        <w:overflowPunct w:val="0"/>
        <w:autoSpaceDE w:val="0"/>
        <w:spacing w:line="240" w:lineRule="auto"/>
        <w:textAlignment w:val="baseline"/>
        <w:outlineLvl w:val="7"/>
        <w:rPr>
          <w:i/>
          <w:iCs/>
          <w:snapToGrid/>
          <w:szCs w:val="22"/>
          <w:lang w:val="lt-LT" w:eastAsia="ar-SA"/>
        </w:rPr>
      </w:pPr>
      <w:r w:rsidRPr="00F21ECF">
        <w:rPr>
          <w:snapToGrid/>
          <w:szCs w:val="22"/>
          <w:u w:val="single"/>
          <w:lang w:val="lt-LT" w:eastAsia="ar-SA"/>
        </w:rPr>
        <w:t>Žinotina</w:t>
      </w:r>
    </w:p>
    <w:p w:rsidR="00881832" w:rsidRPr="00F21ECF" w:rsidRDefault="00881832" w:rsidP="00881832">
      <w:pPr>
        <w:tabs>
          <w:tab w:val="clear" w:pos="567"/>
        </w:tabs>
        <w:suppressAutoHyphens/>
        <w:spacing w:line="240" w:lineRule="auto"/>
        <w:rPr>
          <w:snapToGrid/>
          <w:szCs w:val="22"/>
          <w:lang w:val="lt-LT" w:eastAsia="ar-SA"/>
        </w:rPr>
      </w:pPr>
      <w:r w:rsidRPr="00F21ECF">
        <w:rPr>
          <w:snapToGrid/>
          <w:szCs w:val="22"/>
          <w:lang w:val="lt-LT" w:eastAsia="ar-SA"/>
        </w:rPr>
        <w:t xml:space="preserve">Žvakutės ir tepalas, vartojamas išangės srityje, dėl kūno temperatūros gali sutepti skalbinius, todėl patariama naudoti minkštą įklotą, </w:t>
      </w:r>
      <w:proofErr w:type="spellStart"/>
      <w:r w:rsidRPr="00F21ECF">
        <w:rPr>
          <w:snapToGrid/>
          <w:szCs w:val="22"/>
          <w:lang w:val="lt-LT" w:eastAsia="ar-SA"/>
        </w:rPr>
        <w:t>pvz</w:t>
      </w:r>
      <w:proofErr w:type="spellEnd"/>
      <w:r w:rsidRPr="00F21ECF">
        <w:rPr>
          <w:snapToGrid/>
          <w:szCs w:val="22"/>
          <w:lang w:val="lt-LT" w:eastAsia="ar-SA"/>
        </w:rPr>
        <w:t xml:space="preserve">,. popierinę nosinę ar vatos tamponą. </w:t>
      </w:r>
    </w:p>
    <w:p w:rsidR="00881832" w:rsidRPr="00F21ECF" w:rsidRDefault="00881832" w:rsidP="00881832">
      <w:pPr>
        <w:tabs>
          <w:tab w:val="clear" w:pos="567"/>
        </w:tabs>
        <w:overflowPunct w:val="0"/>
        <w:autoSpaceDE w:val="0"/>
        <w:spacing w:line="240" w:lineRule="auto"/>
        <w:textAlignment w:val="baseline"/>
        <w:rPr>
          <w:snapToGrid/>
          <w:szCs w:val="22"/>
          <w:lang w:val="lt-LT"/>
        </w:rPr>
      </w:pPr>
    </w:p>
    <w:p w:rsidR="00881832" w:rsidRPr="00F21ECF" w:rsidRDefault="00881832" w:rsidP="00881832">
      <w:pPr>
        <w:tabs>
          <w:tab w:val="clear" w:pos="567"/>
        </w:tabs>
        <w:overflowPunct w:val="0"/>
        <w:autoSpaceDE w:val="0"/>
        <w:spacing w:line="240" w:lineRule="auto"/>
        <w:textAlignment w:val="baseline"/>
        <w:rPr>
          <w:snapToGrid/>
          <w:szCs w:val="22"/>
          <w:lang w:val="lt-LT"/>
        </w:rPr>
      </w:pPr>
      <w:r w:rsidRPr="00F21ECF">
        <w:rPr>
          <w:snapToGrid/>
          <w:szCs w:val="22"/>
          <w:lang w:val="lt-LT"/>
        </w:rPr>
        <w:t xml:space="preserve">Tepalu </w:t>
      </w:r>
      <w:proofErr w:type="spellStart"/>
      <w:r w:rsidRPr="00F21ECF">
        <w:rPr>
          <w:snapToGrid/>
          <w:szCs w:val="22"/>
          <w:lang w:val="lt-LT"/>
        </w:rPr>
        <w:t>Posterisan</w:t>
      </w:r>
      <w:proofErr w:type="spellEnd"/>
      <w:r w:rsidRPr="00F21ECF">
        <w:rPr>
          <w:snapToGrid/>
          <w:szCs w:val="22"/>
          <w:lang w:val="lt-LT"/>
        </w:rPr>
        <w:t xml:space="preserve"> forte reikia gydyti tik tol, kol išnyksta negalavimai. Tepalo be pertraukos ilgiau negu 10 parų vartoti nepatariama. Ligai paūmėjus, </w:t>
      </w:r>
      <w:proofErr w:type="spellStart"/>
      <w:r w:rsidRPr="00F21ECF">
        <w:rPr>
          <w:snapToGrid/>
          <w:szCs w:val="22"/>
          <w:lang w:val="lt-LT"/>
        </w:rPr>
        <w:t>Posterisan</w:t>
      </w:r>
      <w:proofErr w:type="spellEnd"/>
      <w:r w:rsidRPr="00F21ECF">
        <w:rPr>
          <w:snapToGrid/>
          <w:szCs w:val="22"/>
          <w:lang w:val="lt-LT"/>
        </w:rPr>
        <w:t xml:space="preserve"> forte tepalo galima vartoti pakartotinai. Kad liga neatsinaujintų, nutraukus </w:t>
      </w:r>
      <w:proofErr w:type="spellStart"/>
      <w:r w:rsidRPr="00F21ECF">
        <w:rPr>
          <w:snapToGrid/>
          <w:szCs w:val="22"/>
          <w:lang w:val="lt-LT"/>
        </w:rPr>
        <w:t>Posterisan</w:t>
      </w:r>
      <w:proofErr w:type="spellEnd"/>
      <w:r w:rsidRPr="00F21ECF">
        <w:rPr>
          <w:snapToGrid/>
          <w:szCs w:val="22"/>
          <w:lang w:val="lt-LT"/>
        </w:rPr>
        <w:t xml:space="preserve"> forte tepalo vartojimą toliau gydoma preparatu, kuriame nėra </w:t>
      </w:r>
      <w:proofErr w:type="spellStart"/>
      <w:r w:rsidRPr="00F21ECF">
        <w:rPr>
          <w:snapToGrid/>
          <w:szCs w:val="22"/>
          <w:lang w:val="lt-LT"/>
        </w:rPr>
        <w:t>gliukokortikoido</w:t>
      </w:r>
      <w:proofErr w:type="spellEnd"/>
      <w:r w:rsidRPr="00F21ECF">
        <w:rPr>
          <w:snapToGrid/>
          <w:szCs w:val="22"/>
          <w:lang w:val="lt-LT"/>
        </w:rPr>
        <w:t>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 xml:space="preserve">Jeigu manote, kad </w:t>
      </w:r>
      <w:proofErr w:type="spellStart"/>
      <w:r w:rsidRPr="00F21ECF">
        <w:rPr>
          <w:szCs w:val="24"/>
          <w:lang w:val="lt-LT"/>
        </w:rPr>
        <w:t>Posterisan</w:t>
      </w:r>
      <w:proofErr w:type="spellEnd"/>
      <w:r w:rsidRPr="00F21ECF">
        <w:rPr>
          <w:b/>
          <w:bCs/>
          <w:szCs w:val="24"/>
          <w:lang w:val="lt-LT"/>
        </w:rPr>
        <w:t xml:space="preserve"> </w:t>
      </w:r>
      <w:r w:rsidRPr="00F21ECF">
        <w:rPr>
          <w:bCs/>
          <w:szCs w:val="24"/>
          <w:lang w:val="lt-LT"/>
        </w:rPr>
        <w:t xml:space="preserve">forte </w:t>
      </w:r>
      <w:r w:rsidRPr="00F21ECF">
        <w:rPr>
          <w:szCs w:val="24"/>
          <w:lang w:val="lt-LT"/>
        </w:rPr>
        <w:t>veikia per stipriai arba per silpnai, kreipkitės į gydytoją arba vaistininką.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jc w:val="left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Pr="00F21ECF">
        <w:rPr>
          <w:rFonts w:ascii="Times New Roman" w:hAnsi="Times New Roman"/>
          <w:sz w:val="22"/>
          <w:lang w:val="lt-LT"/>
        </w:rPr>
        <w:t>Posterisan</w:t>
      </w:r>
      <w:proofErr w:type="spellEnd"/>
      <w:r w:rsidRPr="00F21ECF">
        <w:rPr>
          <w:rFonts w:ascii="Times New Roman" w:hAnsi="Times New Roman"/>
          <w:sz w:val="22"/>
          <w:lang w:val="lt-LT"/>
        </w:rPr>
        <w:t xml:space="preserve"> forte dozę</w:t>
      </w:r>
    </w:p>
    <w:p w:rsidR="00881832" w:rsidRPr="00F21ECF" w:rsidRDefault="00881832" w:rsidP="0088183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21ECF">
        <w:rPr>
          <w:snapToGrid/>
          <w:szCs w:val="22"/>
          <w:lang w:val="lt-LT"/>
        </w:rPr>
        <w:t xml:space="preserve">Tinkamai vartojamo </w:t>
      </w:r>
      <w:proofErr w:type="spellStart"/>
      <w:r w:rsidRPr="00F21ECF">
        <w:rPr>
          <w:snapToGrid/>
          <w:szCs w:val="22"/>
          <w:lang w:val="lt-LT"/>
        </w:rPr>
        <w:t>Posterisan</w:t>
      </w:r>
      <w:proofErr w:type="spellEnd"/>
      <w:r w:rsidRPr="00F21ECF">
        <w:rPr>
          <w:snapToGrid/>
          <w:szCs w:val="22"/>
          <w:lang w:val="lt-LT"/>
        </w:rPr>
        <w:t xml:space="preserve"> forte tepalo perdozavimo atvejų nežinoma. </w:t>
      </w:r>
    </w:p>
    <w:p w:rsidR="00881832" w:rsidRPr="00F21ECF" w:rsidRDefault="00881832" w:rsidP="0088183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21ECF">
        <w:rPr>
          <w:snapToGrid/>
          <w:szCs w:val="22"/>
          <w:lang w:val="lt-LT"/>
        </w:rPr>
        <w:t xml:space="preserve">Pacientui (pvz., vaikui) nurijus didesnį kiekį tepalo, sunkaus apsinuodijimo tikriausiai nebūtų, tačiau negalavimų, pvz., pilvo skausmas, šleikštulys, atsirasti gali. Kadangi pavartojus </w:t>
      </w:r>
      <w:proofErr w:type="spellStart"/>
      <w:r w:rsidRPr="00F21ECF">
        <w:rPr>
          <w:snapToGrid/>
          <w:szCs w:val="22"/>
          <w:lang w:val="lt-LT"/>
        </w:rPr>
        <w:t>Posterisan</w:t>
      </w:r>
      <w:proofErr w:type="spellEnd"/>
      <w:r w:rsidRPr="00F21ECF">
        <w:rPr>
          <w:snapToGrid/>
          <w:szCs w:val="22"/>
          <w:lang w:val="lt-LT"/>
        </w:rPr>
        <w:t xml:space="preserve"> forte tepalo vieną ar daugiau kartų dažniau, negu nurodyta, nepageidaujamas poveikis tikriausiai nepasireikš, vartojimą reikia sumažinti iki reikiamos dozės ir toliau vaistą dozuoti taip, kaip nurodyta.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jc w:val="left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Pr="00F21ECF">
        <w:rPr>
          <w:rFonts w:ascii="Times New Roman" w:hAnsi="Times New Roman"/>
          <w:sz w:val="22"/>
          <w:lang w:val="lt-LT"/>
        </w:rPr>
        <w:t>Posterisan</w:t>
      </w:r>
      <w:proofErr w:type="spellEnd"/>
      <w:r w:rsidRPr="00F21ECF">
        <w:rPr>
          <w:rFonts w:ascii="Times New Roman" w:hAnsi="Times New Roman"/>
          <w:sz w:val="22"/>
          <w:lang w:val="lt-LT"/>
        </w:rPr>
        <w:t xml:space="preserve"> forte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Negalima vartoti dvigubos dozės norint kompensuoti praleistą dozę.</w:t>
      </w:r>
    </w:p>
    <w:p w:rsidR="00881832" w:rsidRPr="00F21ECF" w:rsidRDefault="00881832" w:rsidP="0088183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21ECF">
        <w:rPr>
          <w:snapToGrid/>
          <w:szCs w:val="22"/>
          <w:lang w:val="lt-LT"/>
        </w:rPr>
        <w:t>Jei pacientas tepalo netepė vieną kartą ar kelia</w:t>
      </w:r>
      <w:r>
        <w:rPr>
          <w:snapToGrid/>
          <w:szCs w:val="22"/>
          <w:lang w:val="lt-LT"/>
        </w:rPr>
        <w:t>s</w:t>
      </w:r>
      <w:r w:rsidRPr="00F21ECF">
        <w:rPr>
          <w:snapToGrid/>
          <w:szCs w:val="22"/>
          <w:lang w:val="lt-LT"/>
        </w:rPr>
        <w:t xml:space="preserve"> dienas, toliau reikia vartoti įprastinę dozę. Medikamento nevartojus daugiau dienų, reikia pasitarti su gydytoju, kiek laiko papildomai reikia vartoti vaisto.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jc w:val="left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 xml:space="preserve">Nustojus vartoti </w:t>
      </w:r>
      <w:proofErr w:type="spellStart"/>
      <w:r w:rsidRPr="00F21ECF">
        <w:rPr>
          <w:rFonts w:ascii="Times New Roman" w:hAnsi="Times New Roman"/>
          <w:sz w:val="22"/>
          <w:lang w:val="lt-LT"/>
        </w:rPr>
        <w:t>Posterisan</w:t>
      </w:r>
      <w:proofErr w:type="spellEnd"/>
      <w:r w:rsidRPr="00F21ECF">
        <w:rPr>
          <w:rFonts w:ascii="Times New Roman" w:hAnsi="Times New Roman"/>
          <w:sz w:val="22"/>
          <w:lang w:val="lt-LT"/>
        </w:rPr>
        <w:t xml:space="preserve"> forte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Jeigu kiltų daugiau klausimų dėl šio vaisto vartojimo, kreipkitės į gydytoją arba vaistininką.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881832" w:rsidRPr="00F21ECF" w:rsidRDefault="00881832" w:rsidP="00881832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>4.</w:t>
      </w:r>
      <w:r w:rsidRPr="00F21ECF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F21ECF"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881832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szCs w:val="24"/>
          <w:lang w:val="lt-LT"/>
        </w:rPr>
      </w:pPr>
      <w:bookmarkStart w:id="2" w:name="_Hlk161511460"/>
      <w:r w:rsidRPr="0081211D">
        <w:rPr>
          <w:b/>
          <w:bCs/>
          <w:szCs w:val="24"/>
          <w:lang w:val="lt-LT"/>
        </w:rPr>
        <w:t>Dažni šalutinio poveikio reiškiniai (gali pasireikšti rečiau kaip 1 iš 10 asmenų)</w:t>
      </w:r>
      <w:r>
        <w:rPr>
          <w:b/>
          <w:bCs/>
          <w:szCs w:val="24"/>
          <w:lang w:val="lt-LT"/>
        </w:rPr>
        <w:t>: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F21ECF">
        <w:rPr>
          <w:szCs w:val="24"/>
          <w:lang w:val="lt-LT"/>
        </w:rPr>
        <w:t>lokali odos reakcija (</w:t>
      </w:r>
      <w:proofErr w:type="spellStart"/>
      <w:r w:rsidRPr="00F21ECF">
        <w:rPr>
          <w:szCs w:val="24"/>
          <w:lang w:val="lt-LT"/>
        </w:rPr>
        <w:t>pvz</w:t>
      </w:r>
      <w:proofErr w:type="spellEnd"/>
      <w:r w:rsidRPr="00F21ECF">
        <w:rPr>
          <w:szCs w:val="24"/>
          <w:lang w:val="lt-LT"/>
        </w:rPr>
        <w:t>:. niežulys, deginimas).</w:t>
      </w:r>
    </w:p>
    <w:p w:rsidR="00881832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szCs w:val="24"/>
          <w:lang w:val="lt-LT"/>
        </w:rPr>
      </w:pPr>
      <w:r w:rsidRPr="0081211D">
        <w:rPr>
          <w:b/>
          <w:bCs/>
          <w:szCs w:val="24"/>
          <w:lang w:val="lt-LT"/>
        </w:rPr>
        <w:t>Nedažni šalutinio poveikio reiškiniai (gali pasireikšti rečiau kaip 1 iš 100 asmenų):</w:t>
      </w:r>
      <w:r>
        <w:rPr>
          <w:b/>
          <w:bCs/>
          <w:szCs w:val="24"/>
          <w:lang w:val="lt-LT"/>
        </w:rPr>
        <w:t xml:space="preserve"> 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F21ECF">
        <w:rPr>
          <w:szCs w:val="24"/>
          <w:lang w:val="lt-LT"/>
        </w:rPr>
        <w:t>alerginė odos reakcija (</w:t>
      </w:r>
      <w:proofErr w:type="spellStart"/>
      <w:r w:rsidRPr="00F21ECF">
        <w:rPr>
          <w:szCs w:val="24"/>
          <w:lang w:val="lt-LT"/>
        </w:rPr>
        <w:t>pvz</w:t>
      </w:r>
      <w:proofErr w:type="spellEnd"/>
      <w:r w:rsidRPr="00F21ECF">
        <w:rPr>
          <w:szCs w:val="24"/>
          <w:lang w:val="lt-LT"/>
        </w:rPr>
        <w:t xml:space="preserve">:. dėl  jautrumo konservantui </w:t>
      </w:r>
      <w:proofErr w:type="spellStart"/>
      <w:r w:rsidRPr="00F21ECF">
        <w:rPr>
          <w:szCs w:val="24"/>
          <w:lang w:val="lt-LT"/>
        </w:rPr>
        <w:t>fenoliui</w:t>
      </w:r>
      <w:proofErr w:type="spellEnd"/>
      <w:r w:rsidRPr="00F21ECF">
        <w:rPr>
          <w:szCs w:val="24"/>
          <w:lang w:val="lt-LT"/>
        </w:rPr>
        <w:t>).</w:t>
      </w:r>
    </w:p>
    <w:bookmarkEnd w:id="2"/>
    <w:p w:rsidR="00881832" w:rsidRPr="00F21ECF" w:rsidRDefault="00881832" w:rsidP="00881832">
      <w:pPr>
        <w:spacing w:line="240" w:lineRule="auto"/>
        <w:rPr>
          <w:b/>
          <w:szCs w:val="24"/>
          <w:lang w:val="lt-LT"/>
        </w:rPr>
      </w:pPr>
    </w:p>
    <w:p w:rsidR="00881832" w:rsidRPr="00034486" w:rsidRDefault="00881832" w:rsidP="00881832">
      <w:pPr>
        <w:spacing w:line="240" w:lineRule="auto"/>
        <w:rPr>
          <w:bCs/>
          <w:noProof/>
          <w:szCs w:val="24"/>
          <w:lang w:val="lt-LT"/>
        </w:rPr>
      </w:pPr>
      <w:bookmarkStart w:id="3" w:name="_Hlk161511788"/>
      <w:r w:rsidRPr="00034486">
        <w:rPr>
          <w:bCs/>
          <w:noProof/>
          <w:szCs w:val="24"/>
          <w:lang w:val="lt-LT"/>
        </w:rPr>
        <w:t>Didelė dozė, vartojama ilgesnį laiką, gali sukelti odos atrofiją (laipsnišką odos tūrio mažėjimą), telangiektaziją (smulkių kraujagyslių</w:t>
      </w:r>
      <w:r>
        <w:rPr>
          <w:bCs/>
          <w:noProof/>
          <w:szCs w:val="24"/>
          <w:lang w:val="lt-LT"/>
        </w:rPr>
        <w:t xml:space="preserve"> išsiplėtimą, dar vadinamą </w:t>
      </w:r>
      <w:r w:rsidRPr="00034486">
        <w:rPr>
          <w:bCs/>
          <w:noProof/>
          <w:szCs w:val="24"/>
          <w:lang w:val="lt-LT"/>
        </w:rPr>
        <w:t>kraujagyslių voratinkli</w:t>
      </w:r>
      <w:r>
        <w:rPr>
          <w:bCs/>
          <w:noProof/>
          <w:szCs w:val="24"/>
          <w:lang w:val="lt-LT"/>
        </w:rPr>
        <w:t>u</w:t>
      </w:r>
      <w:r w:rsidRPr="00034486">
        <w:rPr>
          <w:bCs/>
          <w:noProof/>
          <w:szCs w:val="24"/>
          <w:lang w:val="lt-LT"/>
        </w:rPr>
        <w:t>), strijas ir steroid</w:t>
      </w:r>
      <w:r>
        <w:rPr>
          <w:bCs/>
          <w:noProof/>
          <w:szCs w:val="24"/>
          <w:lang w:val="lt-LT"/>
        </w:rPr>
        <w:t>ų sukeltą aknę</w:t>
      </w:r>
      <w:r w:rsidRPr="00034486">
        <w:rPr>
          <w:bCs/>
          <w:noProof/>
          <w:szCs w:val="24"/>
          <w:lang w:val="lt-LT"/>
        </w:rPr>
        <w:t>.</w:t>
      </w:r>
    </w:p>
    <w:bookmarkEnd w:id="3"/>
    <w:p w:rsidR="00881832" w:rsidRDefault="00881832" w:rsidP="00881832">
      <w:pPr>
        <w:spacing w:line="240" w:lineRule="auto"/>
        <w:rPr>
          <w:b/>
          <w:noProof/>
          <w:szCs w:val="24"/>
          <w:lang w:val="lt-LT"/>
        </w:rPr>
      </w:pPr>
    </w:p>
    <w:p w:rsidR="00881832" w:rsidRPr="00F21ECF" w:rsidRDefault="00881832" w:rsidP="00881832">
      <w:pPr>
        <w:spacing w:line="240" w:lineRule="auto"/>
        <w:rPr>
          <w:b/>
          <w:szCs w:val="24"/>
          <w:lang w:val="lt-LT"/>
        </w:rPr>
      </w:pPr>
      <w:r w:rsidRPr="00F21ECF">
        <w:rPr>
          <w:b/>
          <w:noProof/>
          <w:szCs w:val="24"/>
          <w:lang w:val="lt-LT"/>
        </w:rPr>
        <w:t>Pranešimas apie šalutinį poveikį</w:t>
      </w:r>
    </w:p>
    <w:p w:rsidR="00881832" w:rsidRDefault="00881832" w:rsidP="00881832">
      <w:pPr>
        <w:spacing w:line="240" w:lineRule="auto"/>
        <w:rPr>
          <w:szCs w:val="22"/>
          <w:lang w:eastAsia="lt-LT"/>
        </w:rPr>
      </w:pPr>
      <w:bookmarkStart w:id="4" w:name="_Hlk161511523"/>
      <w:r w:rsidRPr="00034486">
        <w:rPr>
          <w:noProof/>
          <w:szCs w:val="24"/>
          <w:lang w:val="lt-LT"/>
        </w:rPr>
        <w:t xml:space="preserve">Jeigu pasireiškė šalutinis poveikis, įskaitant šiame lapelyje nenurodytą, pasakykite gydytojui arba vaistininkui. </w:t>
      </w:r>
      <w:proofErr w:type="spellStart"/>
      <w:r>
        <w:rPr>
          <w:szCs w:val="22"/>
          <w:lang w:eastAsia="lt-LT"/>
        </w:rPr>
        <w:t>Pranešimą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užpildyti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ir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pateikti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Valstybinės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vaistų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kontrolės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tarnybos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Lietuvos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Respublikos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sveikatos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apsaugos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ministerijos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nemokamu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telefonu</w:t>
      </w:r>
      <w:proofErr w:type="spellEnd"/>
      <w:r>
        <w:rPr>
          <w:szCs w:val="22"/>
          <w:lang w:eastAsia="lt-LT"/>
        </w:rPr>
        <w:t xml:space="preserve"> 8 800 73 568. </w:t>
      </w:r>
      <w:proofErr w:type="spellStart"/>
      <w:r>
        <w:rPr>
          <w:szCs w:val="22"/>
          <w:lang w:eastAsia="lt-LT"/>
        </w:rPr>
        <w:t>Pranešdami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mums </w:t>
      </w:r>
      <w:proofErr w:type="spellStart"/>
      <w:r>
        <w:rPr>
          <w:szCs w:val="22"/>
          <w:lang w:eastAsia="lt-LT"/>
        </w:rPr>
        <w:t>padėti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gauti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daugiau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informacijos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šio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saugumą</w:t>
      </w:r>
      <w:proofErr w:type="spellEnd"/>
      <w:r>
        <w:rPr>
          <w:szCs w:val="22"/>
          <w:lang w:eastAsia="lt-LT"/>
        </w:rPr>
        <w:t>.</w:t>
      </w:r>
    </w:p>
    <w:bookmarkEnd w:id="4"/>
    <w:p w:rsidR="00881832" w:rsidRPr="00F21ECF" w:rsidRDefault="00881832" w:rsidP="00881832">
      <w:pPr>
        <w:ind w:right="-449"/>
        <w:rPr>
          <w:noProof/>
          <w:szCs w:val="24"/>
          <w:lang w:val="lt-LT"/>
        </w:rPr>
      </w:pPr>
    </w:p>
    <w:p w:rsidR="00881832" w:rsidRPr="00F21ECF" w:rsidRDefault="00881832" w:rsidP="00881832">
      <w:pPr>
        <w:ind w:right="-449"/>
        <w:rPr>
          <w:noProof/>
          <w:szCs w:val="24"/>
          <w:lang w:val="lt-LT"/>
        </w:rPr>
      </w:pPr>
    </w:p>
    <w:p w:rsidR="00881832" w:rsidRPr="00F21ECF" w:rsidRDefault="00881832" w:rsidP="00881832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>5.</w:t>
      </w:r>
      <w:r w:rsidRPr="00F21ECF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F21ECF">
        <w:rPr>
          <w:rFonts w:ascii="Times New Roman" w:hAnsi="Times New Roman"/>
          <w:sz w:val="22"/>
          <w:lang w:val="lt-LT"/>
        </w:rPr>
        <w:t>Posterisan</w:t>
      </w:r>
      <w:proofErr w:type="spellEnd"/>
      <w:r w:rsidRPr="00F21ECF">
        <w:rPr>
          <w:rFonts w:ascii="Times New Roman" w:hAnsi="Times New Roman"/>
          <w:sz w:val="22"/>
          <w:lang w:val="lt-LT"/>
        </w:rPr>
        <w:t xml:space="preserve"> forte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noProof/>
          <w:szCs w:val="24"/>
          <w:lang w:val="lt-LT"/>
        </w:rPr>
        <w:t>Šį vaistą laikykite vaikams nepastebimoje ir nepasiekiamoje vietoje.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Ant dėžutės ir tūbelės po „Tinka iki“ nurodytam tinkamumo laikui pasibaigus, šio vaisto vartoti negalima. Vaistas tinkamas vartoti iki paskutinės nurodyto mėnesio dienos.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>Laikyti ne aukštesnėje kaip 25 ºC temperatūroje.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>Pirmą kartą tūbelę atsukus, tepalo tinkamumo laikas yra 6 mėnesiai.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F21ECF">
        <w:rPr>
          <w:noProof/>
          <w:szCs w:val="24"/>
          <w:lang w:val="lt-LT"/>
        </w:rPr>
        <w:t>Vaistų negalima išmesti į kanalizaciją arba su buitinėmis atliekomis.</w:t>
      </w:r>
      <w:r w:rsidRPr="00F21ECF">
        <w:rPr>
          <w:szCs w:val="24"/>
          <w:lang w:val="lt-LT"/>
        </w:rPr>
        <w:t xml:space="preserve"> </w:t>
      </w:r>
      <w:r w:rsidRPr="00F21ECF">
        <w:rPr>
          <w:noProof/>
          <w:szCs w:val="24"/>
          <w:lang w:val="lt-LT"/>
        </w:rPr>
        <w:t>Kaip išmesti nereikalingus vaistus, klauskite vaistininko.</w:t>
      </w:r>
      <w:r w:rsidRPr="00F21ECF">
        <w:rPr>
          <w:szCs w:val="24"/>
          <w:lang w:val="lt-LT"/>
        </w:rPr>
        <w:t xml:space="preserve"> </w:t>
      </w:r>
      <w:r w:rsidRPr="00F21ECF">
        <w:rPr>
          <w:noProof/>
          <w:szCs w:val="24"/>
          <w:lang w:val="lt-LT"/>
        </w:rPr>
        <w:t>Šios priemonės padės apsaugoti aplinką.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881832" w:rsidRPr="00F21ECF" w:rsidRDefault="00881832" w:rsidP="00881832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F21ECF">
        <w:rPr>
          <w:rFonts w:ascii="Times New Roman" w:hAnsi="Times New Roman"/>
          <w:sz w:val="22"/>
          <w:lang w:val="lt-LT"/>
        </w:rPr>
        <w:t>6.</w:t>
      </w:r>
      <w:r w:rsidRPr="00F21ECF">
        <w:rPr>
          <w:rFonts w:ascii="Times New Roman" w:hAnsi="Times New Roman"/>
          <w:b w:val="0"/>
          <w:sz w:val="22"/>
          <w:lang w:val="lt-LT"/>
        </w:rPr>
        <w:tab/>
      </w:r>
      <w:r w:rsidRPr="00F21ECF">
        <w:rPr>
          <w:rFonts w:ascii="Times New Roman" w:hAnsi="Times New Roman"/>
          <w:sz w:val="22"/>
          <w:lang w:val="lt-LT"/>
        </w:rPr>
        <w:t>Pakuotės turinys ir kita informacija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F21ECF">
        <w:rPr>
          <w:rFonts w:ascii="Times New Roman" w:hAnsi="Times New Roman"/>
          <w:sz w:val="22"/>
          <w:lang w:val="lt-LT"/>
        </w:rPr>
        <w:t>Posterisan</w:t>
      </w:r>
      <w:proofErr w:type="spellEnd"/>
      <w:r w:rsidRPr="00F21ECF">
        <w:rPr>
          <w:rFonts w:ascii="Times New Roman" w:hAnsi="Times New Roman"/>
          <w:sz w:val="22"/>
          <w:lang w:val="lt-LT"/>
        </w:rPr>
        <w:t xml:space="preserve"> forte sudėtis </w:t>
      </w:r>
    </w:p>
    <w:p w:rsidR="00881832" w:rsidRPr="00F21ECF" w:rsidRDefault="00881832" w:rsidP="00881832">
      <w:pPr>
        <w:pStyle w:val="Sraopastraipa"/>
        <w:numPr>
          <w:ilvl w:val="0"/>
          <w:numId w:val="2"/>
        </w:numPr>
        <w:ind w:left="567" w:hanging="567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Veikliosios medžiagos yra hidrokortizonas ir standartizuota bakterijų kultūros suspensija. 1 g tepalo yra 2,5 mg hidrokortizono ir 166,7 mg standartizuotos bakterijų kultūros suspensijos, kurios sudėtyje yra 500 x 10</w:t>
      </w:r>
      <w:r w:rsidRPr="00F21ECF">
        <w:rPr>
          <w:noProof/>
          <w:szCs w:val="24"/>
          <w:vertAlign w:val="superscript"/>
          <w:lang w:val="lt-LT"/>
        </w:rPr>
        <w:t>6</w:t>
      </w:r>
      <w:r w:rsidRPr="00F21ECF">
        <w:rPr>
          <w:noProof/>
          <w:szCs w:val="24"/>
          <w:lang w:val="lt-LT"/>
        </w:rPr>
        <w:t xml:space="preserve"> inaktyvuotų </w:t>
      </w:r>
      <w:r w:rsidRPr="00F21ECF">
        <w:rPr>
          <w:i/>
          <w:noProof/>
          <w:szCs w:val="24"/>
          <w:lang w:val="lt-LT"/>
        </w:rPr>
        <w:t>Escherichia coli</w:t>
      </w:r>
      <w:r w:rsidRPr="00F21ECF">
        <w:rPr>
          <w:noProof/>
          <w:szCs w:val="24"/>
          <w:lang w:val="lt-LT"/>
        </w:rPr>
        <w:t xml:space="preserve"> bakterijų (ląstelių ir jų medžiagų apykaitos produktų).</w:t>
      </w:r>
    </w:p>
    <w:p w:rsidR="00881832" w:rsidRPr="00F21ECF" w:rsidRDefault="00881832" w:rsidP="00881832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21ECF">
        <w:rPr>
          <w:noProof/>
          <w:szCs w:val="24"/>
          <w:lang w:val="lt-LT"/>
        </w:rPr>
        <w:t>Pagalbinės medžiagos yra</w:t>
      </w:r>
      <w:r w:rsidRPr="00F21ECF">
        <w:rPr>
          <w:szCs w:val="22"/>
          <w:lang w:val="lt-LT"/>
        </w:rPr>
        <w:t xml:space="preserve"> minkštasis geltonas parafinas</w:t>
      </w:r>
      <w:r>
        <w:rPr>
          <w:szCs w:val="22"/>
          <w:lang w:val="lt-LT"/>
        </w:rPr>
        <w:t xml:space="preserve">, </w:t>
      </w:r>
      <w:r w:rsidRPr="00F21ECF">
        <w:rPr>
          <w:szCs w:val="22"/>
          <w:lang w:val="lt-LT"/>
        </w:rPr>
        <w:t>vilnų riebalai</w:t>
      </w:r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fenolis</w:t>
      </w:r>
      <w:proofErr w:type="spellEnd"/>
      <w:r>
        <w:rPr>
          <w:i/>
          <w:color w:val="008000"/>
          <w:szCs w:val="24"/>
          <w:lang w:val="lt-LT"/>
        </w:rPr>
        <w:t>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F21ECF">
        <w:rPr>
          <w:rFonts w:ascii="Times New Roman" w:hAnsi="Times New Roman"/>
          <w:sz w:val="22"/>
          <w:lang w:val="lt-LT"/>
        </w:rPr>
        <w:t>Posterisan</w:t>
      </w:r>
      <w:proofErr w:type="spellEnd"/>
      <w:r w:rsidRPr="00F21ECF">
        <w:rPr>
          <w:rFonts w:ascii="Times New Roman" w:hAnsi="Times New Roman"/>
          <w:sz w:val="22"/>
          <w:lang w:val="lt-LT"/>
        </w:rPr>
        <w:t xml:space="preserve"> forte išvaizda ir kiekis pakuotėje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 xml:space="preserve">Kartono dėžutėje yra aliuminio tūbelė, kurioje yra 25 g homogeniško, rusvai gelsvos spalvos tepalo, ir </w:t>
      </w:r>
      <w:proofErr w:type="spellStart"/>
      <w:r w:rsidRPr="00F21ECF">
        <w:rPr>
          <w:szCs w:val="24"/>
          <w:lang w:val="lt-LT"/>
        </w:rPr>
        <w:t>aplikatorius</w:t>
      </w:r>
      <w:proofErr w:type="spellEnd"/>
      <w:r w:rsidRPr="00F21ECF">
        <w:rPr>
          <w:szCs w:val="24"/>
          <w:lang w:val="lt-LT"/>
        </w:rPr>
        <w:t>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pStyle w:val="Antrat4"/>
        <w:rPr>
          <w:rFonts w:ascii="Times New Roman" w:hAnsi="Times New Roman"/>
          <w:sz w:val="22"/>
          <w:lang w:val="lt-LT"/>
        </w:rPr>
      </w:pPr>
      <w:r w:rsidRPr="00547933">
        <w:rPr>
          <w:rFonts w:ascii="Times New Roman" w:hAnsi="Times New Roman"/>
          <w:sz w:val="22"/>
          <w:lang w:val="lt-LT"/>
        </w:rPr>
        <w:t>Registruotojas</w:t>
      </w:r>
      <w:r w:rsidRPr="00547933" w:rsidDel="00547933">
        <w:rPr>
          <w:rFonts w:ascii="Times New Roman" w:hAnsi="Times New Roman"/>
          <w:sz w:val="22"/>
          <w:lang w:val="lt-LT"/>
        </w:rPr>
        <w:t xml:space="preserve"> </w:t>
      </w:r>
      <w:r w:rsidRPr="00F21ECF">
        <w:rPr>
          <w:rFonts w:ascii="Times New Roman" w:hAnsi="Times New Roman"/>
          <w:sz w:val="22"/>
          <w:lang w:val="lt-LT"/>
        </w:rPr>
        <w:t>ir gamintojas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Dr. Kade Pharmazeutische Fabrik GmbH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Rigistrasse 2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>12277 Berlin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 xml:space="preserve">VokietijaTel. </w:t>
      </w:r>
      <w:bookmarkStart w:id="5" w:name="_Hlk161761158"/>
      <w:r w:rsidRPr="003E680A">
        <w:rPr>
          <w:lang w:val="it-IT"/>
        </w:rPr>
        <w:t>+49 30 72082-0</w:t>
      </w:r>
      <w:bookmarkEnd w:id="5"/>
      <w:r w:rsidRPr="00F21ECF">
        <w:rPr>
          <w:noProof/>
          <w:szCs w:val="24"/>
          <w:lang w:val="lt-LT"/>
        </w:rPr>
        <w:t xml:space="preserve">, faksas </w:t>
      </w:r>
      <w:bookmarkStart w:id="6" w:name="_Hlk161761172"/>
      <w:r w:rsidRPr="003E680A">
        <w:rPr>
          <w:lang w:val="it-IT"/>
        </w:rPr>
        <w:t>+49 30 72082-200</w:t>
      </w:r>
      <w:bookmarkEnd w:id="6"/>
      <w:r w:rsidRPr="00F21ECF">
        <w:rPr>
          <w:noProof/>
          <w:szCs w:val="24"/>
          <w:lang w:val="lt-LT"/>
        </w:rPr>
        <w:t>.</w:t>
      </w: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 xml:space="preserve">El. paštas: </w:t>
      </w:r>
      <w:hyperlink r:id="rId5" w:history="1">
        <w:r w:rsidRPr="00F21ECF">
          <w:rPr>
            <w:rStyle w:val="Hipersaitas"/>
            <w:noProof/>
            <w:szCs w:val="24"/>
            <w:lang w:val="lt-LT"/>
          </w:rPr>
          <w:t>info@kade.de</w:t>
        </w:r>
      </w:hyperlink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lt-LT"/>
        </w:rPr>
      </w:pPr>
      <w:r w:rsidRPr="00F21ECF">
        <w:rPr>
          <w:noProof/>
          <w:szCs w:val="24"/>
          <w:lang w:val="lt-LT"/>
        </w:rPr>
        <w:t xml:space="preserve">Jeigu apie šį vaistą norite sužinoti daugiau, kreipkitės į vietinį </w:t>
      </w:r>
      <w:r>
        <w:rPr>
          <w:noProof/>
          <w:szCs w:val="24"/>
          <w:lang w:val="lt-LT"/>
        </w:rPr>
        <w:t>registruotojo</w:t>
      </w:r>
      <w:r w:rsidRPr="00F21ECF">
        <w:rPr>
          <w:noProof/>
          <w:szCs w:val="24"/>
          <w:lang w:val="lt-LT"/>
        </w:rPr>
        <w:t xml:space="preserve"> atstovą:</w:t>
      </w:r>
    </w:p>
    <w:p w:rsidR="00881832" w:rsidRPr="00F21ECF" w:rsidRDefault="00881832" w:rsidP="00881832">
      <w:pPr>
        <w:spacing w:line="240" w:lineRule="auto"/>
        <w:rPr>
          <w:noProof/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 xml:space="preserve">UAB </w:t>
      </w:r>
      <w:proofErr w:type="spellStart"/>
      <w:r w:rsidRPr="00F21ECF">
        <w:rPr>
          <w:szCs w:val="24"/>
          <w:lang w:val="lt-LT"/>
        </w:rPr>
        <w:t>Morfėjus</w:t>
      </w:r>
      <w:proofErr w:type="spellEnd"/>
    </w:p>
    <w:p w:rsidR="00881832" w:rsidRPr="00F21ECF" w:rsidRDefault="00881832" w:rsidP="0088183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>Žalgirio</w:t>
      </w:r>
      <w:r>
        <w:rPr>
          <w:szCs w:val="24"/>
          <w:lang w:val="lt-LT"/>
        </w:rPr>
        <w:t xml:space="preserve"> g.</w:t>
      </w:r>
      <w:r w:rsidRPr="00F21ECF">
        <w:rPr>
          <w:szCs w:val="24"/>
          <w:lang w:val="lt-LT"/>
        </w:rPr>
        <w:t xml:space="preserve"> 93-42</w:t>
      </w:r>
    </w:p>
    <w:p w:rsidR="00881832" w:rsidRPr="00D36069" w:rsidRDefault="00881832" w:rsidP="0088183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>LT-08218 Vilnius</w:t>
      </w:r>
    </w:p>
    <w:p w:rsidR="00881832" w:rsidRPr="00F21ECF" w:rsidRDefault="00881832" w:rsidP="0088183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F21ECF">
        <w:rPr>
          <w:szCs w:val="24"/>
          <w:lang w:val="lt-LT"/>
        </w:rPr>
        <w:t>Tel. + 370 5 2796328</w:t>
      </w:r>
    </w:p>
    <w:p w:rsidR="00881832" w:rsidRDefault="00881832" w:rsidP="00881832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El. paštas info@morfejus.lt</w:t>
      </w:r>
    </w:p>
    <w:p w:rsidR="00881832" w:rsidRPr="00F21ECF" w:rsidRDefault="00881832" w:rsidP="00881832">
      <w:pPr>
        <w:numPr>
          <w:ilvl w:val="12"/>
          <w:numId w:val="0"/>
        </w:numPr>
        <w:ind w:right="-2"/>
        <w:rPr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F21ECF">
        <w:rPr>
          <w:b/>
          <w:lang w:val="lt-LT"/>
        </w:rPr>
        <w:t>Šis pakuotės lapelis pask</w:t>
      </w:r>
      <w:r>
        <w:rPr>
          <w:b/>
          <w:lang w:val="lt-LT"/>
        </w:rPr>
        <w:t>utinį kartą peržiūrėtas 2024-12-31.</w:t>
      </w:r>
    </w:p>
    <w:p w:rsidR="00881832" w:rsidRPr="00F21ECF" w:rsidRDefault="00881832" w:rsidP="00881832">
      <w:pPr>
        <w:numPr>
          <w:ilvl w:val="12"/>
          <w:numId w:val="0"/>
        </w:numPr>
        <w:spacing w:line="240" w:lineRule="auto"/>
        <w:ind w:right="-2"/>
        <w:rPr>
          <w:i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:rsidR="00881832" w:rsidRPr="00F21ECF" w:rsidRDefault="00881832" w:rsidP="00881832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F21ECF">
        <w:rPr>
          <w:lang w:val="lt-LT"/>
        </w:rPr>
        <w:t xml:space="preserve">Išsami informacija apie šį </w:t>
      </w:r>
      <w:r w:rsidRPr="00F21ECF">
        <w:rPr>
          <w:szCs w:val="24"/>
          <w:lang w:val="lt-LT"/>
        </w:rPr>
        <w:t>vaistą</w:t>
      </w:r>
      <w:r w:rsidRPr="00F21ECF">
        <w:rPr>
          <w:lang w:val="lt-LT"/>
        </w:rPr>
        <w:t xml:space="preserve"> pateikiama Valstybinės vaistų kontrolės tarnybos prie Lietuvos Respublikos sveikatos apsaugos ministerijos tinklalapyje</w:t>
      </w:r>
      <w:r w:rsidRPr="00F21ECF">
        <w:rPr>
          <w:i/>
          <w:szCs w:val="24"/>
          <w:lang w:val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https://vvkt.lrv.lt/lt/.</w:t>
      </w:r>
    </w:p>
    <w:p w:rsidR="00881832" w:rsidRPr="00F21ECF" w:rsidRDefault="00881832" w:rsidP="00881832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A6577" w:rsidRDefault="00BA6577">
      <w:bookmarkStart w:id="7" w:name="_GoBack"/>
      <w:bookmarkEnd w:id="7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32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881832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0DA19-4406-4EE8-AE15-AF1CEDBB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183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8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81832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1832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881832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81832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81832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881832"/>
    <w:rPr>
      <w:color w:val="0000FF"/>
      <w:u w:val="single"/>
    </w:rPr>
  </w:style>
  <w:style w:type="paragraph" w:customStyle="1" w:styleId="PI-3EMEASMCA">
    <w:name w:val="PI-3 EMEA_SMCA"/>
    <w:basedOn w:val="prastasis"/>
    <w:autoRedefine/>
    <w:rsid w:val="00881832"/>
    <w:pPr>
      <w:tabs>
        <w:tab w:val="clear" w:pos="567"/>
      </w:tabs>
      <w:spacing w:line="220" w:lineRule="exact"/>
    </w:pPr>
    <w:rPr>
      <w:b/>
      <w:bCs/>
      <w:snapToGrid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881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d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6235</Words>
  <Characters>3555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vartotojui</vt:lpstr>
      <vt:lpstr>        3.	Kaip vartoti Posterisan forte</vt:lpstr>
      <vt:lpstr>        4.	Galimas šalutinis poveikis</vt:lpstr>
      <vt:lpstr>        5.	Kaip laikyti Posterisan forte</vt:lpstr>
      <vt:lpstr>        6.	Pakuotės turinys ir kita informacija</vt:lpstr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2025-01-02T07:41:00Z</dcterms:created>
  <dcterms:modified xsi:type="dcterms:W3CDTF">2025-01-02T07:42:00Z</dcterms:modified>
</cp:coreProperties>
</file>