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254B" w14:textId="77777777" w:rsidR="00B46A3A" w:rsidRPr="00B46A3A" w:rsidRDefault="00B46A3A" w:rsidP="00B46A3A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eastAsia="Times New Roman"/>
          <w:b/>
          <w:snapToGrid w:val="0"/>
          <w:kern w:val="0"/>
          <w:szCs w:val="24"/>
          <w:lang w:eastAsia="x-none"/>
          <w14:ligatures w14:val="none"/>
        </w:rPr>
      </w:pPr>
      <w:r w:rsidRPr="00B46A3A">
        <w:rPr>
          <w:rFonts w:eastAsia="Times New Roman"/>
          <w:b/>
          <w:bCs/>
          <w:iCs/>
          <w:snapToGrid w:val="0"/>
          <w:kern w:val="0"/>
          <w:szCs w:val="28"/>
          <w:lang w:eastAsia="x-none"/>
          <w14:ligatures w14:val="none"/>
        </w:rPr>
        <w:t>Pakuotės lapelis:</w:t>
      </w:r>
      <w:r w:rsidRPr="00B46A3A">
        <w:rPr>
          <w:rFonts w:eastAsia="Times New Roman"/>
          <w:b/>
          <w:snapToGrid w:val="0"/>
          <w:kern w:val="0"/>
          <w:szCs w:val="24"/>
          <w:lang w:eastAsia="x-none"/>
          <w14:ligatures w14:val="none"/>
        </w:rPr>
        <w:t xml:space="preserve"> </w:t>
      </w:r>
      <w:r w:rsidRPr="00B46A3A">
        <w:rPr>
          <w:rFonts w:eastAsia="Times New Roman"/>
          <w:b/>
          <w:bCs/>
          <w:iCs/>
          <w:snapToGrid w:val="0"/>
          <w:kern w:val="0"/>
          <w:szCs w:val="28"/>
          <w:lang w:eastAsia="x-none"/>
          <w14:ligatures w14:val="none"/>
        </w:rPr>
        <w:t>informacija vartotojui</w:t>
      </w:r>
    </w:p>
    <w:p w14:paraId="63DE8E14" w14:textId="77777777" w:rsidR="00B46A3A" w:rsidRPr="00B46A3A" w:rsidRDefault="00B46A3A" w:rsidP="00B46A3A">
      <w:pPr>
        <w:numPr>
          <w:ilvl w:val="12"/>
          <w:numId w:val="0"/>
        </w:numPr>
        <w:shd w:val="clear" w:color="auto" w:fill="FFFFFF"/>
        <w:spacing w:after="0" w:line="240" w:lineRule="auto"/>
        <w:jc w:val="center"/>
        <w:rPr>
          <w:rFonts w:eastAsia="Times New Roman"/>
          <w:snapToGrid w:val="0"/>
          <w:kern w:val="0"/>
          <w:szCs w:val="24"/>
          <w14:ligatures w14:val="none"/>
        </w:rPr>
      </w:pPr>
    </w:p>
    <w:p w14:paraId="6BFD7B5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jc w:val="center"/>
        <w:rPr>
          <w:rFonts w:eastAsia="Times New Roman"/>
          <w:b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b/>
          <w:noProof/>
          <w:snapToGrid w:val="0"/>
          <w:kern w:val="0"/>
          <w:szCs w:val="24"/>
          <w14:ligatures w14:val="none"/>
        </w:rPr>
        <w:t>Posterisan forte tepalas</w:t>
      </w:r>
    </w:p>
    <w:p w14:paraId="7670BB66" w14:textId="77777777" w:rsidR="00B46A3A" w:rsidRPr="00B46A3A" w:rsidRDefault="00B46A3A" w:rsidP="00B46A3A">
      <w:pPr>
        <w:spacing w:after="0" w:line="240" w:lineRule="auto"/>
        <w:jc w:val="center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standartizuota bakterijų kultūros suspensija,</w:t>
      </w:r>
      <w:r w:rsidRPr="00B46A3A">
        <w:rPr>
          <w:rFonts w:eastAsia="Times New Roman"/>
          <w:snapToGrid w:val="0"/>
          <w:kern w:val="0"/>
          <w14:ligatures w14:val="none"/>
        </w:rPr>
        <w:t xml:space="preserve"> hidrokortizonas</w:t>
      </w:r>
    </w:p>
    <w:p w14:paraId="5DD22453" w14:textId="77777777" w:rsidR="00B46A3A" w:rsidRPr="00B46A3A" w:rsidRDefault="00B46A3A" w:rsidP="00B46A3A">
      <w:pPr>
        <w:spacing w:after="0" w:line="240" w:lineRule="auto"/>
        <w:rPr>
          <w:rFonts w:eastAsia="Times New Roman"/>
          <w:snapToGrid w:val="0"/>
          <w:color w:val="008000"/>
          <w:kern w:val="0"/>
          <w:szCs w:val="24"/>
          <w14:ligatures w14:val="none"/>
        </w:rPr>
      </w:pPr>
    </w:p>
    <w:p w14:paraId="61C8701F" w14:textId="77777777" w:rsidR="00B46A3A" w:rsidRPr="00B46A3A" w:rsidRDefault="00B46A3A" w:rsidP="00B46A3A">
      <w:pPr>
        <w:suppressAutoHyphens/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b/>
          <w:noProof/>
          <w:snapToGrid w:val="0"/>
          <w:kern w:val="0"/>
          <w:szCs w:val="24"/>
          <w14:ligatures w14:val="none"/>
        </w:rPr>
        <w:t>Atidžiai perskaitykite visą šį lapelį, prieš pradėdami vartoti vaistą, nes jame pateikiama Jums svarbi informacija.</w:t>
      </w:r>
    </w:p>
    <w:p w14:paraId="61824BA6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Visada vartokite šį vaistą tiksliai kaip aprašyta šiame lapelyje arba kaip nurodė gydytojas arba vaistininkas.</w:t>
      </w:r>
    </w:p>
    <w:p w14:paraId="5E9CF8D8" w14:textId="77777777" w:rsidR="00B46A3A" w:rsidRPr="00B46A3A" w:rsidRDefault="00B46A3A" w:rsidP="00B46A3A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Neišmeskite šio lapelio, nes vėl gali prireikti jį perskaityti.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</w:p>
    <w:p w14:paraId="470352A1" w14:textId="77777777" w:rsidR="00B46A3A" w:rsidRPr="00B46A3A" w:rsidRDefault="00B46A3A" w:rsidP="00B46A3A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norite sužinoti daugiau arba pasitarti, kreipkitės į vaistininką.</w:t>
      </w:r>
    </w:p>
    <w:p w14:paraId="6585D45C" w14:textId="77777777" w:rsidR="00B46A3A" w:rsidRPr="00B46A3A" w:rsidRDefault="00B46A3A" w:rsidP="00B46A3A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pasireiškė šalutinis poveikis (net jeigu jis šiame lapelyje nenurodytas), kreipkitės į gydytoją arba vaistininką. Žr. 4 skyrių.</w:t>
      </w:r>
    </w:p>
    <w:p w14:paraId="5A30C083" w14:textId="77777777" w:rsidR="00B46A3A" w:rsidRPr="00B46A3A" w:rsidRDefault="00B46A3A" w:rsidP="00B46A3A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per 10 dienų Jūsų savijauta nepagerėjo arba net pablogėjo, kreipkitės į gydytoją.</w:t>
      </w:r>
    </w:p>
    <w:p w14:paraId="1B563B6E" w14:textId="77777777" w:rsidR="00B46A3A" w:rsidRPr="00B46A3A" w:rsidRDefault="00B46A3A" w:rsidP="00B46A3A">
      <w:p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632BCA2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Apie ką rašoma šiame lapelyje?</w:t>
      </w:r>
    </w:p>
    <w:p w14:paraId="737B6C3D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left="284"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0F454BF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left="284"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1.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B46A3A">
        <w:rPr>
          <w:rFonts w:eastAsia="Times New Roman"/>
          <w:snapToGrid w:val="0"/>
          <w:kern w:val="0"/>
          <w:szCs w:val="20"/>
          <w14:ligatures w14:val="none"/>
        </w:rPr>
        <w:t xml:space="preserve">Kas yra </w:t>
      </w:r>
      <w:proofErr w:type="spellStart"/>
      <w:r w:rsidRPr="00B46A3A">
        <w:rPr>
          <w:rFonts w:eastAsia="Times New Roman"/>
          <w:snapToGrid w:val="0"/>
          <w:kern w:val="0"/>
          <w:szCs w:val="20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0"/>
          <w14:ligatures w14:val="none"/>
        </w:rPr>
        <w:t xml:space="preserve"> forte ir kam jis vartojamas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</w:p>
    <w:p w14:paraId="1864158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left="284"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2.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Kas žinotina prieš vartojant </w:t>
      </w:r>
      <w:proofErr w:type="spellStart"/>
      <w:r w:rsidRPr="00B46A3A">
        <w:rPr>
          <w:rFonts w:eastAsia="Times New Roman"/>
          <w:snapToGrid w:val="0"/>
          <w:kern w:val="0"/>
          <w:szCs w:val="20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snapToGrid w:val="0"/>
          <w:kern w:val="0"/>
          <w:szCs w:val="20"/>
          <w14:ligatures w14:val="none"/>
        </w:rPr>
        <w:t>forte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</w:p>
    <w:p w14:paraId="5299C1D7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left="284"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3.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Kaip vartoti </w:t>
      </w:r>
      <w:proofErr w:type="spellStart"/>
      <w:r w:rsidRPr="00B46A3A">
        <w:rPr>
          <w:rFonts w:eastAsia="Times New Roman"/>
          <w:snapToGrid w:val="0"/>
          <w:kern w:val="0"/>
          <w:szCs w:val="20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snapToGrid w:val="0"/>
          <w:kern w:val="0"/>
          <w:szCs w:val="20"/>
          <w14:ligatures w14:val="none"/>
        </w:rPr>
        <w:t>forte</w:t>
      </w:r>
    </w:p>
    <w:p w14:paraId="6FAE35F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left="284"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4.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B46A3A">
        <w:rPr>
          <w:rFonts w:eastAsia="Times New Roman"/>
          <w:snapToGrid w:val="0"/>
          <w:kern w:val="0"/>
          <w:szCs w:val="20"/>
          <w14:ligatures w14:val="none"/>
        </w:rPr>
        <w:t>Galimas šalutinis poveikis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</w:p>
    <w:p w14:paraId="0959FF6F" w14:textId="77777777" w:rsidR="00B46A3A" w:rsidRPr="00B46A3A" w:rsidRDefault="00B46A3A" w:rsidP="00B46A3A">
      <w:pPr>
        <w:numPr>
          <w:ilvl w:val="12"/>
          <w:numId w:val="0"/>
        </w:numPr>
        <w:tabs>
          <w:tab w:val="left" w:pos="1276"/>
        </w:tabs>
        <w:spacing w:after="0" w:line="240" w:lineRule="auto"/>
        <w:ind w:left="284"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5.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B46A3A">
        <w:rPr>
          <w:rFonts w:eastAsia="Times New Roman"/>
          <w:snapToGrid w:val="0"/>
          <w:kern w:val="0"/>
          <w:szCs w:val="20"/>
          <w14:ligatures w14:val="none"/>
        </w:rPr>
        <w:t xml:space="preserve">Kaip laikyti </w:t>
      </w:r>
      <w:proofErr w:type="spellStart"/>
      <w:r w:rsidRPr="00B46A3A">
        <w:rPr>
          <w:rFonts w:eastAsia="Times New Roman"/>
          <w:snapToGrid w:val="0"/>
          <w:kern w:val="0"/>
          <w:szCs w:val="20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snapToGrid w:val="0"/>
          <w:kern w:val="0"/>
          <w:szCs w:val="20"/>
          <w14:ligatures w14:val="none"/>
        </w:rPr>
        <w:t>forte</w:t>
      </w:r>
    </w:p>
    <w:p w14:paraId="5CA8F49A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left="284"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6.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Pakuotės turinys ir kita informacija</w:t>
      </w:r>
    </w:p>
    <w:p w14:paraId="58BCA963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8BB14F4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1C1FB440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1.</w:t>
      </w: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ab/>
        <w:t xml:space="preserve">Kas yra </w:t>
      </w: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 ir kam jis vartojamas</w:t>
      </w:r>
    </w:p>
    <w:p w14:paraId="0752CC67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0E783408" w14:textId="77777777" w:rsidR="00B46A3A" w:rsidRPr="00B46A3A" w:rsidRDefault="00B46A3A" w:rsidP="00B46A3A">
      <w:pPr>
        <w:tabs>
          <w:tab w:val="left" w:pos="567"/>
        </w:tabs>
        <w:spacing w:after="0" w:line="260" w:lineRule="exact"/>
        <w:rPr>
          <w:rFonts w:eastAsia="Times New Roman"/>
          <w:kern w:val="0"/>
          <w14:ligatures w14:val="none"/>
        </w:rPr>
      </w:pPr>
      <w:r w:rsidRPr="00B46A3A">
        <w:rPr>
          <w:rFonts w:eastAsia="Times New Roman"/>
          <w:snapToGrid w:val="0"/>
          <w:kern w:val="0"/>
          <w14:ligatures w14:val="none"/>
        </w:rPr>
        <w:t xml:space="preserve">Tepalo </w:t>
      </w:r>
      <w:proofErr w:type="spellStart"/>
      <w:r w:rsidRPr="00B46A3A">
        <w:rPr>
          <w:rFonts w:eastAsia="Times New Roman"/>
          <w:snapToGrid w:val="0"/>
          <w:kern w:val="0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14:ligatures w14:val="none"/>
        </w:rPr>
        <w:t xml:space="preserve"> forte sudėtyje yra lokalaus poveikio </w:t>
      </w:r>
      <w:proofErr w:type="spellStart"/>
      <w:r w:rsidRPr="00B46A3A">
        <w:rPr>
          <w:rFonts w:eastAsia="Times New Roman"/>
          <w:snapToGrid w:val="0"/>
          <w:kern w:val="0"/>
          <w14:ligatures w14:val="none"/>
        </w:rPr>
        <w:t>gliukokortikoidų</w:t>
      </w:r>
      <w:proofErr w:type="spellEnd"/>
      <w:r w:rsidRPr="00B46A3A">
        <w:rPr>
          <w:rFonts w:eastAsia="Times New Roman"/>
          <w:snapToGrid w:val="0"/>
          <w:kern w:val="0"/>
          <w14:ligatures w14:val="none"/>
        </w:rPr>
        <w:t>. Vaistas tinka s</w:t>
      </w:r>
      <w:r w:rsidRPr="00B46A3A">
        <w:rPr>
          <w:rFonts w:eastAsia="Times New Roman"/>
          <w:snapToGrid w:val="0"/>
          <w:kern w:val="0"/>
          <w:szCs w:val="20"/>
          <w14:ligatures w14:val="none"/>
        </w:rPr>
        <w:t>u hemorojumi, išangės įplėšoms, įtrūkoms ir egzema susijusio stipraus išangės srities niežuliui ir uždegimui malšinti</w:t>
      </w:r>
      <w:r w:rsidRPr="00B46A3A">
        <w:rPr>
          <w:rFonts w:eastAsia="Times New Roman"/>
          <w:kern w:val="0"/>
          <w14:ligatures w14:val="none"/>
        </w:rPr>
        <w:t>.</w:t>
      </w:r>
    </w:p>
    <w:p w14:paraId="3470DB9E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8A60587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Jūsų savijauta per 10 dienų nepagerėjo arba net pablogėjo, kreipkitės į gydytoją.</w:t>
      </w:r>
    </w:p>
    <w:p w14:paraId="442EF0A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7D3CE26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73987592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2.</w:t>
      </w: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ab/>
      </w:r>
      <w:bookmarkStart w:id="0" w:name="_Hlk161741550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Kas žinotina prieš vartojant </w:t>
      </w: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</w:t>
      </w:r>
      <w:r w:rsidRPr="00B46A3A">
        <w:rPr>
          <w:rFonts w:eastAsia="Times New Roman"/>
          <w:b/>
          <w:snapToGrid w:val="0"/>
          <w:kern w:val="0"/>
          <w:szCs w:val="24"/>
          <w:lang w:eastAsia="x-none"/>
          <w14:ligatures w14:val="none"/>
        </w:rPr>
        <w:t xml:space="preserve"> </w:t>
      </w:r>
    </w:p>
    <w:p w14:paraId="3AE36637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0D50F57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 vartoti draudžiama</w:t>
      </w:r>
    </w:p>
    <w:p w14:paraId="48BA61C2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-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ab/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jeigu yra alergija </w:t>
      </w:r>
      <w:r w:rsidRPr="00B46A3A">
        <w:rPr>
          <w:rFonts w:eastAsia="Times New Roman"/>
          <w:snapToGrid w:val="0"/>
          <w:kern w:val="0"/>
          <w14:ligatures w14:val="none"/>
        </w:rPr>
        <w:t xml:space="preserve">hidrokortizonui 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arba bet kuriai pagalbinei šio vaisto medžiagai (jos išvardytos 6 skyriuje);</w:t>
      </w:r>
    </w:p>
    <w:p w14:paraId="3145318F" w14:textId="77777777" w:rsidR="00B46A3A" w:rsidRPr="00B46A3A" w:rsidRDefault="00B46A3A" w:rsidP="00B46A3A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-</w:t>
      </w:r>
      <w:r w:rsidRPr="00B46A3A">
        <w:rPr>
          <w:rFonts w:eastAsia="Times New Roman"/>
          <w:snapToGrid w:val="0"/>
          <w:kern w:val="0"/>
          <w14:ligatures w14:val="none"/>
        </w:rPr>
        <w:tab/>
      </w:r>
      <w:bookmarkStart w:id="1" w:name="_Hlk161511185"/>
      <w:r w:rsidRPr="00B46A3A">
        <w:rPr>
          <w:rFonts w:eastAsia="Times New Roman"/>
          <w:snapToGrid w:val="0"/>
          <w:kern w:val="0"/>
          <w14:ligatures w14:val="none"/>
        </w:rPr>
        <w:t>jeigu gydymo vietoje yra infekcinė odos liga, pvz., tuberkuliozė, sifilis, gonorėja, vėjaraupiai ar skiepų sukelta reakcija, grybelių ir bakterijų sukelta odos liga, veido odos uždegimas (</w:t>
      </w:r>
      <w:proofErr w:type="spellStart"/>
      <w:r w:rsidRPr="00B46A3A">
        <w:rPr>
          <w:rFonts w:eastAsia="Times New Roman"/>
          <w:snapToGrid w:val="0"/>
          <w:kern w:val="0"/>
          <w14:ligatures w14:val="none"/>
        </w:rPr>
        <w:t>perioralinis</w:t>
      </w:r>
      <w:proofErr w:type="spellEnd"/>
      <w:r w:rsidRPr="00B46A3A">
        <w:rPr>
          <w:rFonts w:eastAsia="Times New Roman"/>
          <w:snapToGrid w:val="0"/>
          <w:kern w:val="0"/>
          <w14:ligatures w14:val="none"/>
        </w:rPr>
        <w:t xml:space="preserve"> dermatitas, raudonieji spuogai).</w:t>
      </w:r>
      <w:bookmarkEnd w:id="1"/>
    </w:p>
    <w:bookmarkEnd w:id="0"/>
    <w:p w14:paraId="468B0BDF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F534A71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Įspėjimai ir atsargumo priemonės </w:t>
      </w:r>
    </w:p>
    <w:p w14:paraId="195BC87D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Pasitarkite su gydytoju arba vaistininku, prieš pradėdami vartoti Posterisan forte.</w:t>
      </w:r>
    </w:p>
    <w:p w14:paraId="71272B6A" w14:textId="47BD6720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Vartojant tepalo 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forte, kurio sudėtyje yra balto</w:t>
      </w:r>
      <w:r w:rsidR="003D765B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>parafino, gali mažėti kartu naudojamų lateksinių prezervatyvų atsparumas įtrūkimui, vadinasi ir jų saugumas.</w:t>
      </w:r>
    </w:p>
    <w:p w14:paraId="06B970B5" w14:textId="77777777" w:rsidR="00B46A3A" w:rsidRPr="00B46A3A" w:rsidRDefault="00B46A3A" w:rsidP="00B46A3A">
      <w:pPr>
        <w:numPr>
          <w:ilvl w:val="12"/>
          <w:numId w:val="0"/>
        </w:numPr>
        <w:spacing w:after="0" w:line="260" w:lineRule="exact"/>
        <w:ind w:right="-2"/>
        <w:rPr>
          <w:rFonts w:eastAsia="Times New Roman"/>
          <w:b/>
          <w:bCs/>
          <w:noProof/>
          <w:kern w:val="0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Jei yra grybelių sukeltas pažeidimas, papildomai būtina vartoti lokalaus poveikio preparatų nuo grybelių.</w:t>
      </w:r>
      <w:r w:rsidRPr="00B46A3A">
        <w:rPr>
          <w:rFonts w:eastAsia="Times New Roman"/>
          <w:b/>
          <w:bCs/>
          <w:noProof/>
          <w:kern w:val="0"/>
          <w14:ligatures w14:val="none"/>
        </w:rPr>
        <w:t xml:space="preserve"> </w:t>
      </w:r>
    </w:p>
    <w:p w14:paraId="13257226" w14:textId="77777777" w:rsidR="00B46A3A" w:rsidRPr="00B46A3A" w:rsidRDefault="00B46A3A" w:rsidP="00B46A3A">
      <w:pPr>
        <w:numPr>
          <w:ilvl w:val="12"/>
          <w:numId w:val="0"/>
        </w:numPr>
        <w:spacing w:after="0" w:line="260" w:lineRule="exact"/>
        <w:ind w:right="-2"/>
        <w:rPr>
          <w:rFonts w:eastAsia="Times New Roman"/>
          <w:b/>
          <w:bCs/>
          <w:snapToGrid w:val="0"/>
          <w:kern w:val="0"/>
          <w:szCs w:val="24"/>
          <w14:ligatures w14:val="none"/>
        </w:rPr>
      </w:pPr>
    </w:p>
    <w:p w14:paraId="1E98DD98" w14:textId="77777777" w:rsidR="00B46A3A" w:rsidRPr="00B46A3A" w:rsidRDefault="00B46A3A" w:rsidP="00B46A3A">
      <w:pPr>
        <w:numPr>
          <w:ilvl w:val="12"/>
          <w:numId w:val="0"/>
        </w:numPr>
        <w:spacing w:after="0" w:line="260" w:lineRule="exact"/>
        <w:ind w:right="-2"/>
        <w:rPr>
          <w:rFonts w:eastAsia="Times New Roman"/>
          <w:b/>
          <w:bCs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4"/>
          <w14:ligatures w14:val="none"/>
        </w:rPr>
        <w:t xml:space="preserve">Vaikams ir paaugliams </w:t>
      </w:r>
    </w:p>
    <w:p w14:paraId="6979D620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bCs/>
          <w:snapToGrid w:val="0"/>
          <w:kern w:val="0"/>
          <w:szCs w:val="24"/>
          <w14:ligatures w14:val="none"/>
        </w:rPr>
        <w:t xml:space="preserve">Vaikams ir jaunesniems negu 18 metų paaugliams </w:t>
      </w:r>
      <w:proofErr w:type="spellStart"/>
      <w:r w:rsidRPr="00B46A3A">
        <w:rPr>
          <w:rFonts w:eastAsia="Times New Roman"/>
          <w:bCs/>
          <w:snapToGrid w:val="0"/>
          <w:kern w:val="0"/>
          <w:szCs w:val="24"/>
          <w14:ligatures w14:val="none"/>
        </w:rPr>
        <w:t>Posterisan</w:t>
      </w:r>
      <w:proofErr w:type="spellEnd"/>
      <w:r w:rsidRPr="00B46A3A">
        <w:rPr>
          <w:rFonts w:eastAsia="Times New Roman"/>
          <w:bCs/>
          <w:snapToGrid w:val="0"/>
          <w:kern w:val="0"/>
          <w:szCs w:val="24"/>
          <w14:ligatures w14:val="none"/>
        </w:rPr>
        <w:t xml:space="preserve"> forte tepalo vartoti negalima, nes nepakanka patirties.</w:t>
      </w:r>
    </w:p>
    <w:p w14:paraId="02187587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7F615EBB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Kiti vaistai ir </w:t>
      </w: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</w:t>
      </w:r>
    </w:p>
    <w:p w14:paraId="557C2FF5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vartojate ar neseniai vartojote kitų vaistų arba dėl to nesate tikri, apie tai pasakykite gydytojui arba vaistininkui.</w:t>
      </w:r>
      <w:r w:rsidRPr="00B46A3A">
        <w:rPr>
          <w:rFonts w:eastAsia="Times New Roman"/>
          <w:kern w:val="0"/>
          <w14:ligatures w14:val="none"/>
        </w:rPr>
        <w:t xml:space="preserve"> 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Posterisan forte tepalo vartojant kartu su kortikosteroidų tabletėmis, lašais ar injekuojamaisiais preparatais, gali stiprėti gydomasis ir nepageidaujamas kortikosteroidų poveikis.</w:t>
      </w:r>
    </w:p>
    <w:p w14:paraId="1848BCDF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lastRenderedPageBreak/>
        <w:t>Prašom įsidėmėti, kad šie nurodymai tinka net ir tuo atveju, jei vaisto vartota neseniai.</w:t>
      </w:r>
    </w:p>
    <w:p w14:paraId="39827BF2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5DD9D0F3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Nėštumas ir žindymo laikotarpis </w:t>
      </w:r>
    </w:p>
    <w:p w14:paraId="0831D28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esate nėščia, žindote kūdikį, manote, kad galbūt esate nėščia, arba planuojate pastoti, tai prieš vartodama šį vaistą, pasitarkite su gydytoju.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</w:p>
    <w:p w14:paraId="7A66F748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Informacijos apie 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forte tepalo vartojimą nėštumo metu nėra.</w:t>
      </w:r>
    </w:p>
    <w:p w14:paraId="5B298EB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Tyrimų su gyvūnais metu hidrokortizonas sukėlė toksinį poveikį vaisiui ir apsigimimą.</w:t>
      </w:r>
    </w:p>
    <w:p w14:paraId="64553BED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bCs/>
          <w:snapToGrid w:val="0"/>
          <w:kern w:val="0"/>
          <w:szCs w:val="24"/>
          <w14:ligatures w14:val="none"/>
        </w:rPr>
      </w:pP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forte tepalo nėščioms moterims vartoti negalima, nebent jo vartoti nurodo gydytojas. </w:t>
      </w:r>
    </w:p>
    <w:p w14:paraId="34E8E27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Veiklioji medžiaga hidrokortizonas išsiskiria su žindyvės pienu. Žindyvei vaisto vartoti negalima, nebent juo gydyti nurodo gydytojas.</w:t>
      </w:r>
    </w:p>
    <w:p w14:paraId="6543DFBE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77EB5BEE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Vairavimas ir mechanizmų valdymas</w:t>
      </w:r>
    </w:p>
    <w:p w14:paraId="1B32A67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Poveikio gebėjimui vairuoti transportą ir valdyti mechanizmus nepastebėta. </w:t>
      </w:r>
    </w:p>
    <w:p w14:paraId="0129A19E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3529D136" w14:textId="77777777" w:rsidR="00B46A3A" w:rsidRPr="00B46A3A" w:rsidRDefault="00B46A3A" w:rsidP="00B46A3A">
      <w:pPr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B46A3A">
        <w:rPr>
          <w:rFonts w:eastAsia="Times New Roman"/>
          <w:snapToGrid w:val="0"/>
          <w:kern w:val="0"/>
          <w:szCs w:val="20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0"/>
          <w14:ligatures w14:val="none"/>
        </w:rPr>
        <w:t xml:space="preserve"> forte sudėtyje yra vilnos riebalų ir </w:t>
      </w:r>
      <w:proofErr w:type="spellStart"/>
      <w:r w:rsidRPr="00B46A3A">
        <w:rPr>
          <w:rFonts w:eastAsia="Times New Roman"/>
          <w:snapToGrid w:val="0"/>
          <w:kern w:val="0"/>
          <w:szCs w:val="20"/>
          <w14:ligatures w14:val="none"/>
        </w:rPr>
        <w:t>butilhidroksitolueno</w:t>
      </w:r>
      <w:proofErr w:type="spellEnd"/>
      <w:r w:rsidRPr="00B46A3A">
        <w:rPr>
          <w:rFonts w:eastAsia="Times New Roman"/>
          <w:snapToGrid w:val="0"/>
          <w:kern w:val="0"/>
          <w:szCs w:val="20"/>
          <w14:ligatures w14:val="none"/>
        </w:rPr>
        <w:t xml:space="preserve"> (E 321), kurie gali sukelti vietines odos reakcijas (pvz., kontaktinį dermatitą); </w:t>
      </w:r>
      <w:proofErr w:type="spellStart"/>
      <w:r w:rsidRPr="00B46A3A">
        <w:rPr>
          <w:rFonts w:eastAsia="Times New Roman"/>
          <w:snapToGrid w:val="0"/>
          <w:kern w:val="0"/>
          <w:szCs w:val="20"/>
          <w14:ligatures w14:val="none"/>
        </w:rPr>
        <w:t>butilhidroksitoluenas</w:t>
      </w:r>
      <w:proofErr w:type="spellEnd"/>
      <w:r w:rsidRPr="00B46A3A">
        <w:rPr>
          <w:rFonts w:eastAsia="Times New Roman"/>
          <w:snapToGrid w:val="0"/>
          <w:kern w:val="0"/>
          <w:szCs w:val="20"/>
          <w14:ligatures w14:val="none"/>
        </w:rPr>
        <w:t xml:space="preserve"> taip pat gali sudirginti akis ir gleivinę.</w:t>
      </w:r>
    </w:p>
    <w:p w14:paraId="204BE1E8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1A2645BB" w14:textId="77777777" w:rsidR="00B46A3A" w:rsidRPr="00B46A3A" w:rsidRDefault="00B46A3A" w:rsidP="00B46A3A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3.</w:t>
      </w:r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ab/>
        <w:t xml:space="preserve">Kaip vartoti </w:t>
      </w:r>
      <w:proofErr w:type="spellStart"/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 xml:space="preserve"> forte</w:t>
      </w:r>
    </w:p>
    <w:p w14:paraId="494DDADB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AD1E36E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Visada vartokite šį vaistą tiksliai, kaip aprašyta šiame lapelyje arba kaip nurodė gydytojas arba vaistininkas.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abejojate, kreipkitės į gydytoją arba vaistininką.</w:t>
      </w:r>
    </w:p>
    <w:p w14:paraId="710EC947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F4C8C3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Rekomenduojama dozė yra du kartus per dieną. Preparato kiekis priklauso nuo gydomo odos ir gleivinės ploto. </w:t>
      </w:r>
    </w:p>
    <w:p w14:paraId="16AC420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96E89F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Tepalo reikia tepti iš ryto ir vakare, geriausia po tuštinimosi. Kad būtų lengva tepti, preparatą rekomenduojama laikyti 18 – 25 ºC temperatūroje. Tepalo vartojant ilgiau galima tikėtis geresnio gydomojo poveikio. Tokiu atveju 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forte tepalo reikėtų vartoti kartą per dieną arba kas 2 – 3 dieną.</w:t>
      </w:r>
    </w:p>
    <w:p w14:paraId="50AEDC9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Jei gydoma išorinė išangės sritis, ją reikia patepti plonu tepalo sluoksniu ir po to jį pirštu atsargiai įtrinti. </w:t>
      </w:r>
    </w:p>
    <w:p w14:paraId="5F522263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Pakuotėje yra antgalis, kurio šonuose yra angos. Šiuo įtaisu galima tolygiai užtepti reikiamą tepalo kiekį ant išangės kanalo bei šalia jo esančių tiesiosios žarnos sienelių.</w:t>
      </w:r>
    </w:p>
    <w:p w14:paraId="6CFE285F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D5FC0BE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Vartojimas vaikams ir paaugliams</w:t>
      </w:r>
    </w:p>
    <w:p w14:paraId="0D72192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Šio vaisto vaikams ir paaugliams vartoti negalima, nes nepakanka patirties.</w:t>
      </w:r>
    </w:p>
    <w:p w14:paraId="6D3BEF2B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Cs/>
          <w:snapToGrid w:val="0"/>
          <w:kern w:val="0"/>
          <w:szCs w:val="24"/>
          <w:u w:val="single"/>
          <w14:ligatures w14:val="none"/>
        </w:rPr>
      </w:pPr>
    </w:p>
    <w:p w14:paraId="2F532415" w14:textId="77777777" w:rsidR="00B46A3A" w:rsidRPr="00B46A3A" w:rsidRDefault="00B46A3A" w:rsidP="00B46A3A">
      <w:pPr>
        <w:spacing w:after="0" w:line="240" w:lineRule="auto"/>
        <w:rPr>
          <w:rFonts w:eastAsia="Times New Roman"/>
          <w:kern w:val="0"/>
          <w14:ligatures w14:val="none"/>
        </w:rPr>
      </w:pPr>
      <w:r w:rsidRPr="00B46A3A">
        <w:rPr>
          <w:rFonts w:eastAsia="Times New Roman"/>
          <w:iCs/>
          <w:kern w:val="0"/>
          <w:u w:val="single"/>
          <w14:ligatures w14:val="none"/>
        </w:rPr>
        <w:t>Tepalo antgalio naudojimas</w:t>
      </w:r>
    </w:p>
    <w:p w14:paraId="239BFCFE" w14:textId="77777777" w:rsidR="00B46A3A" w:rsidRPr="00B46A3A" w:rsidRDefault="00B46A3A" w:rsidP="00B46A3A">
      <w:pPr>
        <w:spacing w:after="0" w:line="240" w:lineRule="auto"/>
        <w:rPr>
          <w:rFonts w:eastAsia="Times New Roman"/>
          <w:kern w:val="0"/>
          <w14:ligatures w14:val="none"/>
        </w:rPr>
      </w:pPr>
      <w:r w:rsidRPr="00B46A3A">
        <w:rPr>
          <w:rFonts w:eastAsia="Times New Roman"/>
          <w:kern w:val="0"/>
          <w14:ligatures w14:val="none"/>
        </w:rPr>
        <w:t>Antgalis užsukamas ant tepalo tūbelės, po to numaunamas jo gaubtuvėlis. Tūbelė spaudžiama tol, kol tepalas užpildo antgalį ir pasirodo šoninėse angose. Po to antgalis atsargiai įkišamas į išangę iki aiškios kliūties (kad geriau slystų, antgalį galima patepti trupučiu tepalo). Tūbelę paspaudus dar kartą, tepalas patenka į išangės kanalą. Kad jis tolygiai pasiskirstytų, tūbelę reikia atsargiai pasukinėti. Po naudojimo antgalį reikia išvalyti: iš jo pro šonines angas išspausti truputį tepalo, nušluostyti paviršių sugeriamuoju popieriumi ir, kad tepalas mažiau džiūtų, uždėti apsauginį gaubtuvėlį.</w:t>
      </w:r>
    </w:p>
    <w:p w14:paraId="32455B11" w14:textId="77777777" w:rsidR="00B46A3A" w:rsidRPr="00B46A3A" w:rsidRDefault="00B46A3A" w:rsidP="00B46A3A">
      <w:pPr>
        <w:keepNext/>
        <w:suppressAutoHyphens/>
        <w:overflowPunct w:val="0"/>
        <w:autoSpaceDE w:val="0"/>
        <w:spacing w:after="0" w:line="240" w:lineRule="auto"/>
        <w:textAlignment w:val="baseline"/>
        <w:outlineLvl w:val="7"/>
        <w:rPr>
          <w:rFonts w:eastAsia="Times New Roman"/>
          <w:kern w:val="0"/>
          <w:u w:val="single"/>
          <w:lang w:eastAsia="ar-SA"/>
          <w14:ligatures w14:val="none"/>
        </w:rPr>
      </w:pPr>
    </w:p>
    <w:p w14:paraId="29C356E5" w14:textId="77777777" w:rsidR="00B46A3A" w:rsidRPr="00B46A3A" w:rsidRDefault="00B46A3A" w:rsidP="00B46A3A">
      <w:pPr>
        <w:keepNext/>
        <w:suppressAutoHyphens/>
        <w:overflowPunct w:val="0"/>
        <w:autoSpaceDE w:val="0"/>
        <w:spacing w:after="0" w:line="240" w:lineRule="auto"/>
        <w:textAlignment w:val="baseline"/>
        <w:outlineLvl w:val="7"/>
        <w:rPr>
          <w:rFonts w:eastAsia="Times New Roman"/>
          <w:i/>
          <w:iCs/>
          <w:kern w:val="0"/>
          <w:lang w:eastAsia="ar-SA"/>
          <w14:ligatures w14:val="none"/>
        </w:rPr>
      </w:pPr>
      <w:r w:rsidRPr="00B46A3A">
        <w:rPr>
          <w:rFonts w:eastAsia="Times New Roman"/>
          <w:kern w:val="0"/>
          <w:u w:val="single"/>
          <w:lang w:eastAsia="ar-SA"/>
          <w14:ligatures w14:val="none"/>
        </w:rPr>
        <w:t>Žinotina</w:t>
      </w:r>
    </w:p>
    <w:p w14:paraId="45E9601D" w14:textId="77777777" w:rsidR="00B46A3A" w:rsidRPr="00B46A3A" w:rsidRDefault="00B46A3A" w:rsidP="00B46A3A">
      <w:pPr>
        <w:suppressAutoHyphens/>
        <w:spacing w:after="0" w:line="240" w:lineRule="auto"/>
        <w:rPr>
          <w:rFonts w:eastAsia="Times New Roman"/>
          <w:kern w:val="0"/>
          <w:lang w:eastAsia="ar-SA"/>
          <w14:ligatures w14:val="none"/>
        </w:rPr>
      </w:pPr>
      <w:r w:rsidRPr="00B46A3A">
        <w:rPr>
          <w:rFonts w:eastAsia="Times New Roman"/>
          <w:kern w:val="0"/>
          <w:lang w:eastAsia="ar-SA"/>
          <w14:ligatures w14:val="none"/>
        </w:rPr>
        <w:t xml:space="preserve">Žvakutės ir tepalas, vartojamas išangės srityje, dėl kūno temperatūros gali sutepti skalbinius, todėl patariama naudoti minkštą įklotą, </w:t>
      </w:r>
      <w:proofErr w:type="spellStart"/>
      <w:r w:rsidRPr="00B46A3A">
        <w:rPr>
          <w:rFonts w:eastAsia="Times New Roman"/>
          <w:kern w:val="0"/>
          <w:lang w:eastAsia="ar-SA"/>
          <w14:ligatures w14:val="none"/>
        </w:rPr>
        <w:t>pvz</w:t>
      </w:r>
      <w:proofErr w:type="spellEnd"/>
      <w:r w:rsidRPr="00B46A3A">
        <w:rPr>
          <w:rFonts w:eastAsia="Times New Roman"/>
          <w:kern w:val="0"/>
          <w:lang w:eastAsia="ar-SA"/>
          <w14:ligatures w14:val="none"/>
        </w:rPr>
        <w:t xml:space="preserve">,. popierinę nosinę ar vatos tamponą. </w:t>
      </w:r>
    </w:p>
    <w:p w14:paraId="251918F8" w14:textId="77777777" w:rsidR="00B46A3A" w:rsidRPr="00B46A3A" w:rsidRDefault="00B46A3A" w:rsidP="00B46A3A">
      <w:pPr>
        <w:overflowPunct w:val="0"/>
        <w:autoSpaceDE w:val="0"/>
        <w:spacing w:after="0" w:line="240" w:lineRule="auto"/>
        <w:textAlignment w:val="baseline"/>
        <w:rPr>
          <w:rFonts w:eastAsia="Times New Roman"/>
          <w:kern w:val="0"/>
          <w14:ligatures w14:val="none"/>
        </w:rPr>
      </w:pPr>
    </w:p>
    <w:p w14:paraId="4EDFB32A" w14:textId="77777777" w:rsidR="00B46A3A" w:rsidRPr="00B46A3A" w:rsidRDefault="00B46A3A" w:rsidP="00B46A3A">
      <w:pPr>
        <w:overflowPunct w:val="0"/>
        <w:autoSpaceDE w:val="0"/>
        <w:spacing w:after="0" w:line="240" w:lineRule="auto"/>
        <w:textAlignment w:val="baseline"/>
        <w:rPr>
          <w:rFonts w:eastAsia="Times New Roman"/>
          <w:kern w:val="0"/>
          <w14:ligatures w14:val="none"/>
        </w:rPr>
      </w:pPr>
      <w:r w:rsidRPr="00B46A3A">
        <w:rPr>
          <w:rFonts w:eastAsia="Times New Roman"/>
          <w:kern w:val="0"/>
          <w14:ligatures w14:val="none"/>
        </w:rPr>
        <w:t xml:space="preserve">Tepalu </w:t>
      </w:r>
      <w:proofErr w:type="spellStart"/>
      <w:r w:rsidRPr="00B46A3A">
        <w:rPr>
          <w:rFonts w:eastAsia="Times New Roman"/>
          <w:kern w:val="0"/>
          <w14:ligatures w14:val="none"/>
        </w:rPr>
        <w:t>Posterisan</w:t>
      </w:r>
      <w:proofErr w:type="spellEnd"/>
      <w:r w:rsidRPr="00B46A3A">
        <w:rPr>
          <w:rFonts w:eastAsia="Times New Roman"/>
          <w:kern w:val="0"/>
          <w14:ligatures w14:val="none"/>
        </w:rPr>
        <w:t xml:space="preserve"> forte reikia gydyti tik tol, kol išnyksta negalavimai. Tepalo be pertraukos ilgiau negu 10 parų vartoti nepatariama. Ligai paūmėjus, </w:t>
      </w:r>
      <w:proofErr w:type="spellStart"/>
      <w:r w:rsidRPr="00B46A3A">
        <w:rPr>
          <w:rFonts w:eastAsia="Times New Roman"/>
          <w:kern w:val="0"/>
          <w14:ligatures w14:val="none"/>
        </w:rPr>
        <w:t>Posterisan</w:t>
      </w:r>
      <w:proofErr w:type="spellEnd"/>
      <w:r w:rsidRPr="00B46A3A">
        <w:rPr>
          <w:rFonts w:eastAsia="Times New Roman"/>
          <w:kern w:val="0"/>
          <w14:ligatures w14:val="none"/>
        </w:rPr>
        <w:t xml:space="preserve"> forte tepalo galima vartoti pakartotinai. Kad liga neatsinaujintų, nutraukus </w:t>
      </w:r>
      <w:proofErr w:type="spellStart"/>
      <w:r w:rsidRPr="00B46A3A">
        <w:rPr>
          <w:rFonts w:eastAsia="Times New Roman"/>
          <w:kern w:val="0"/>
          <w14:ligatures w14:val="none"/>
        </w:rPr>
        <w:t>Posterisan</w:t>
      </w:r>
      <w:proofErr w:type="spellEnd"/>
      <w:r w:rsidRPr="00B46A3A">
        <w:rPr>
          <w:rFonts w:eastAsia="Times New Roman"/>
          <w:kern w:val="0"/>
          <w14:ligatures w14:val="none"/>
        </w:rPr>
        <w:t xml:space="preserve"> forte tepalo vartojimą toliau gydoma preparatu, kuriame nėra </w:t>
      </w:r>
      <w:proofErr w:type="spellStart"/>
      <w:r w:rsidRPr="00B46A3A">
        <w:rPr>
          <w:rFonts w:eastAsia="Times New Roman"/>
          <w:kern w:val="0"/>
          <w14:ligatures w14:val="none"/>
        </w:rPr>
        <w:t>gliukokortikoido</w:t>
      </w:r>
      <w:proofErr w:type="spellEnd"/>
      <w:r w:rsidRPr="00B46A3A">
        <w:rPr>
          <w:rFonts w:eastAsia="Times New Roman"/>
          <w:kern w:val="0"/>
          <w14:ligatures w14:val="none"/>
        </w:rPr>
        <w:t>.</w:t>
      </w:r>
    </w:p>
    <w:p w14:paraId="76E940A0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D61295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Jeigu manote, kad 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bCs/>
          <w:snapToGrid w:val="0"/>
          <w:kern w:val="0"/>
          <w:szCs w:val="24"/>
          <w14:ligatures w14:val="none"/>
        </w:rPr>
        <w:t xml:space="preserve">forte 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>veikia per stipriai arba per silpnai, kreipkitės į gydytoją arba vaistininką.</w:t>
      </w:r>
    </w:p>
    <w:p w14:paraId="437AF78B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F7777B8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Ką daryti pavartojus per didelę </w:t>
      </w: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 dozę</w:t>
      </w:r>
    </w:p>
    <w:p w14:paraId="0538C116" w14:textId="77777777" w:rsidR="00B46A3A" w:rsidRPr="00B46A3A" w:rsidRDefault="00B46A3A" w:rsidP="00B46A3A">
      <w:pPr>
        <w:spacing w:after="0" w:line="240" w:lineRule="auto"/>
        <w:rPr>
          <w:rFonts w:eastAsia="Times New Roman"/>
          <w:kern w:val="0"/>
          <w14:ligatures w14:val="none"/>
        </w:rPr>
      </w:pPr>
      <w:r w:rsidRPr="00B46A3A">
        <w:rPr>
          <w:rFonts w:eastAsia="Times New Roman"/>
          <w:kern w:val="0"/>
          <w14:ligatures w14:val="none"/>
        </w:rPr>
        <w:t xml:space="preserve">Tinkamai vartojamo </w:t>
      </w:r>
      <w:proofErr w:type="spellStart"/>
      <w:r w:rsidRPr="00B46A3A">
        <w:rPr>
          <w:rFonts w:eastAsia="Times New Roman"/>
          <w:kern w:val="0"/>
          <w14:ligatures w14:val="none"/>
        </w:rPr>
        <w:t>Posterisan</w:t>
      </w:r>
      <w:proofErr w:type="spellEnd"/>
      <w:r w:rsidRPr="00B46A3A">
        <w:rPr>
          <w:rFonts w:eastAsia="Times New Roman"/>
          <w:kern w:val="0"/>
          <w14:ligatures w14:val="none"/>
        </w:rPr>
        <w:t xml:space="preserve"> forte tepalo perdozavimo atvejų nežinoma. </w:t>
      </w:r>
    </w:p>
    <w:p w14:paraId="6D542A67" w14:textId="77777777" w:rsidR="00B46A3A" w:rsidRPr="00B46A3A" w:rsidRDefault="00B46A3A" w:rsidP="00B46A3A">
      <w:pPr>
        <w:spacing w:after="0" w:line="240" w:lineRule="auto"/>
        <w:rPr>
          <w:rFonts w:eastAsia="Times New Roman"/>
          <w:kern w:val="0"/>
          <w14:ligatures w14:val="none"/>
        </w:rPr>
      </w:pPr>
      <w:r w:rsidRPr="00B46A3A">
        <w:rPr>
          <w:rFonts w:eastAsia="Times New Roman"/>
          <w:kern w:val="0"/>
          <w14:ligatures w14:val="none"/>
        </w:rPr>
        <w:t xml:space="preserve">Pacientui (pvz., vaikui) nurijus didesnį kiekį tepalo, sunkaus apsinuodijimo tikriausiai nebūtų, tačiau negalavimų, pvz., pilvo skausmas, šleikštulys, atsirasti gali. Kadangi pavartojus </w:t>
      </w:r>
      <w:proofErr w:type="spellStart"/>
      <w:r w:rsidRPr="00B46A3A">
        <w:rPr>
          <w:rFonts w:eastAsia="Times New Roman"/>
          <w:kern w:val="0"/>
          <w14:ligatures w14:val="none"/>
        </w:rPr>
        <w:t>Posterisan</w:t>
      </w:r>
      <w:proofErr w:type="spellEnd"/>
      <w:r w:rsidRPr="00B46A3A">
        <w:rPr>
          <w:rFonts w:eastAsia="Times New Roman"/>
          <w:kern w:val="0"/>
          <w14:ligatures w14:val="none"/>
        </w:rPr>
        <w:t xml:space="preserve"> forte tepalo vieną ar daugiau kartų dažniau, negu nurodyta, nepageidaujamas poveikis tikriausiai nepasireikš, vartojimą reikia sumažinti iki reikiamos dozės ir toliau vaistą dozuoti taip, kaip nurodyta.</w:t>
      </w:r>
    </w:p>
    <w:p w14:paraId="50EBA136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7A946EC1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Pamiršus pavartoti </w:t>
      </w: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</w:t>
      </w:r>
    </w:p>
    <w:p w14:paraId="2B69CFA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Negalima vartoti dvigubos dozės norint kompensuoti praleistą dozę.</w:t>
      </w:r>
    </w:p>
    <w:p w14:paraId="15504F74" w14:textId="77777777" w:rsidR="00B46A3A" w:rsidRPr="00B46A3A" w:rsidRDefault="00B46A3A" w:rsidP="00B46A3A">
      <w:pPr>
        <w:spacing w:after="0" w:line="240" w:lineRule="auto"/>
        <w:rPr>
          <w:rFonts w:eastAsia="Times New Roman"/>
          <w:kern w:val="0"/>
          <w14:ligatures w14:val="none"/>
        </w:rPr>
      </w:pPr>
      <w:r w:rsidRPr="00B46A3A">
        <w:rPr>
          <w:rFonts w:eastAsia="Times New Roman"/>
          <w:kern w:val="0"/>
          <w14:ligatures w14:val="none"/>
        </w:rPr>
        <w:t xml:space="preserve">Jei pacientas tepalo netepė vieną kartą ar kelias dienas, toliau reikia vartoti įprastinę dozę. Medikamento nevartojus daugiau dienų, reikia pasitarti su gydytoju, kiek laiko papildomai reikia vartoti vaisto. </w:t>
      </w:r>
    </w:p>
    <w:p w14:paraId="4504CC70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6423C079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Nustojus vartoti </w:t>
      </w: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</w:t>
      </w:r>
    </w:p>
    <w:p w14:paraId="4A9BCF5A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kiltų daugiau klausimų dėl šio vaisto vartojimo, kreipkitės į gydytoją arba vaistininką.</w:t>
      </w:r>
    </w:p>
    <w:p w14:paraId="566E9107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6ABE9182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2BE10B82" w14:textId="77777777" w:rsidR="00B46A3A" w:rsidRPr="00B46A3A" w:rsidRDefault="00B46A3A" w:rsidP="00B46A3A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4.</w:t>
      </w:r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ab/>
        <w:t>Galimas šalutinis poveikis</w:t>
      </w:r>
    </w:p>
    <w:p w14:paraId="7383478D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0E5CD773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Šis vaistas, kaip ir visi kiti, gali sukelti šalutinį poveikį, nors jis pasireiškia ne visiems žmonėms.</w:t>
      </w:r>
    </w:p>
    <w:p w14:paraId="1AC2078F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4"/>
          <w14:ligatures w14:val="none"/>
        </w:rPr>
      </w:pPr>
    </w:p>
    <w:p w14:paraId="20A8B5F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b/>
          <w:bCs/>
          <w:snapToGrid w:val="0"/>
          <w:kern w:val="0"/>
          <w:szCs w:val="24"/>
          <w14:ligatures w14:val="none"/>
        </w:rPr>
      </w:pPr>
      <w:bookmarkStart w:id="2" w:name="_Hlk161511460"/>
      <w:r w:rsidRPr="00B46A3A">
        <w:rPr>
          <w:rFonts w:eastAsia="Times New Roman"/>
          <w:b/>
          <w:bCs/>
          <w:snapToGrid w:val="0"/>
          <w:kern w:val="0"/>
          <w:szCs w:val="24"/>
          <w14:ligatures w14:val="none"/>
        </w:rPr>
        <w:t>Dažni šalutinio poveikio reiškiniai (gali pasireikšti rečiau kaip 1 iš 10 asmenų):</w:t>
      </w:r>
    </w:p>
    <w:p w14:paraId="0358B2D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lokali odos reakcija (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pvz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>:. niežulys, deginimas).</w:t>
      </w:r>
    </w:p>
    <w:p w14:paraId="7CD1EF9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b/>
          <w:bCs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4"/>
          <w14:ligatures w14:val="none"/>
        </w:rPr>
        <w:t xml:space="preserve">Nedažni šalutinio poveikio reiškiniai (gali pasireikšti rečiau kaip 1 iš 100 asmenų): </w:t>
      </w:r>
    </w:p>
    <w:p w14:paraId="1CE08B7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alerginė odos reakcija (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pvz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:. dėl  jautrumo konservantui 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fenoliui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>).</w:t>
      </w:r>
    </w:p>
    <w:bookmarkEnd w:id="2"/>
    <w:p w14:paraId="6D53C69F" w14:textId="77777777" w:rsidR="00B46A3A" w:rsidRPr="00B46A3A" w:rsidRDefault="00B46A3A" w:rsidP="00B46A3A">
      <w:pPr>
        <w:tabs>
          <w:tab w:val="left" w:pos="567"/>
        </w:tabs>
        <w:spacing w:after="0" w:line="240" w:lineRule="auto"/>
        <w:rPr>
          <w:rFonts w:eastAsia="Times New Roman"/>
          <w:b/>
          <w:snapToGrid w:val="0"/>
          <w:kern w:val="0"/>
          <w:szCs w:val="24"/>
          <w14:ligatures w14:val="none"/>
        </w:rPr>
      </w:pPr>
    </w:p>
    <w:p w14:paraId="41F7B2E7" w14:textId="77777777" w:rsidR="00B46A3A" w:rsidRPr="00B46A3A" w:rsidRDefault="00B46A3A" w:rsidP="00B46A3A">
      <w:pPr>
        <w:tabs>
          <w:tab w:val="left" w:pos="567"/>
        </w:tabs>
        <w:spacing w:after="0" w:line="240" w:lineRule="auto"/>
        <w:rPr>
          <w:rFonts w:eastAsia="Times New Roman"/>
          <w:bCs/>
          <w:noProof/>
          <w:snapToGrid w:val="0"/>
          <w:kern w:val="0"/>
          <w:szCs w:val="24"/>
          <w14:ligatures w14:val="none"/>
        </w:rPr>
      </w:pPr>
      <w:bookmarkStart w:id="3" w:name="_Hlk161511788"/>
      <w:r w:rsidRPr="00B46A3A">
        <w:rPr>
          <w:rFonts w:eastAsia="Times New Roman"/>
          <w:bCs/>
          <w:noProof/>
          <w:snapToGrid w:val="0"/>
          <w:kern w:val="0"/>
          <w:szCs w:val="24"/>
          <w14:ligatures w14:val="none"/>
        </w:rPr>
        <w:t>Didelė dozė, vartojama ilgesnį laiką, gali sukelti odos atrofiją (laipsnišką odos tūrio mažėjimą), telangiektaziją (smulkių kraujagyslių išsiplėtimą, dar vadinamą kraujagyslių voratinkliu), strijas ir steroidų sukeltą aknę.</w:t>
      </w:r>
    </w:p>
    <w:bookmarkEnd w:id="3"/>
    <w:p w14:paraId="56972C8C" w14:textId="77777777" w:rsidR="00B46A3A" w:rsidRPr="00B46A3A" w:rsidRDefault="00B46A3A" w:rsidP="00B46A3A">
      <w:pPr>
        <w:tabs>
          <w:tab w:val="left" w:pos="567"/>
        </w:tabs>
        <w:spacing w:after="0" w:line="240" w:lineRule="auto"/>
        <w:rPr>
          <w:rFonts w:eastAsia="Times New Roman"/>
          <w:b/>
          <w:noProof/>
          <w:snapToGrid w:val="0"/>
          <w:kern w:val="0"/>
          <w:szCs w:val="24"/>
          <w14:ligatures w14:val="none"/>
        </w:rPr>
      </w:pPr>
    </w:p>
    <w:p w14:paraId="0094CE88" w14:textId="77777777" w:rsidR="00B46A3A" w:rsidRPr="00B46A3A" w:rsidRDefault="00B46A3A" w:rsidP="00B46A3A">
      <w:pPr>
        <w:tabs>
          <w:tab w:val="left" w:pos="567"/>
        </w:tabs>
        <w:spacing w:after="0" w:line="240" w:lineRule="auto"/>
        <w:rPr>
          <w:rFonts w:eastAsia="Times New Roman"/>
          <w:b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b/>
          <w:noProof/>
          <w:snapToGrid w:val="0"/>
          <w:kern w:val="0"/>
          <w:szCs w:val="24"/>
          <w14:ligatures w14:val="none"/>
        </w:rPr>
        <w:t>Pranešimas apie šalutinį poveikį</w:t>
      </w:r>
    </w:p>
    <w:p w14:paraId="67C3D873" w14:textId="77777777" w:rsidR="00B46A3A" w:rsidRPr="00B46A3A" w:rsidRDefault="00B46A3A" w:rsidP="00B46A3A">
      <w:pPr>
        <w:tabs>
          <w:tab w:val="left" w:pos="567"/>
        </w:tabs>
        <w:spacing w:after="0" w:line="260" w:lineRule="exact"/>
        <w:ind w:right="-449"/>
        <w:rPr>
          <w:rFonts w:eastAsia="Times New Roman"/>
          <w:noProof/>
          <w:snapToGrid w:val="0"/>
          <w:kern w:val="0"/>
          <w:szCs w:val="24"/>
          <w14:ligatures w14:val="none"/>
        </w:rPr>
      </w:pPr>
      <w:bookmarkStart w:id="4" w:name="_Hlk161511523"/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Jeigu pasireiškė šalutinis poveikis, įskaitant šiame lapelyje nenurodytą, pasakykite gydytojui arba vaistininkui. Pranešimą apie šalutinį poveikį galite </w:t>
      </w:r>
      <w:r w:rsidRPr="00B46A3A">
        <w:rPr>
          <w:rFonts w:eastAsia="Times New Roman"/>
          <w:snapToGrid w:val="0"/>
          <w:kern w:val="0"/>
          <w:lang w:eastAsia="lt-LT"/>
          <w14:ligatures w14:val="none"/>
        </w:rPr>
        <w:t xml:space="preserve">užpildyti ir pateikti Valstybinės vaistų kontrolės tarnybos prie Lietuvos Respublikos sveikatos apsaugos ministerijos tinklalapyje </w:t>
      </w:r>
      <w:r w:rsidRPr="00B46A3A">
        <w:rPr>
          <w:rFonts w:eastAsia="Times New Roman"/>
          <w:snapToGrid w:val="0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B46A3A">
        <w:rPr>
          <w:rFonts w:eastAsia="Times New Roman"/>
          <w:snapToGrid w:val="0"/>
          <w:kern w:val="0"/>
          <w:lang w:eastAsia="lt-LT"/>
          <w14:ligatures w14:val="none"/>
        </w:rPr>
        <w:t xml:space="preserve"> nurodytais būdais arba paskambinti nemokamu telefonu +370 800 73 568. 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Pranešdami apie šalutinį poveikį galite mums padėti gauti daugiau informacijos apie šio vaisto saugumą.</w:t>
      </w:r>
      <w:bookmarkEnd w:id="4"/>
    </w:p>
    <w:p w14:paraId="5F539196" w14:textId="77777777" w:rsidR="00B46A3A" w:rsidRPr="00B46A3A" w:rsidRDefault="00B46A3A" w:rsidP="00B46A3A">
      <w:pPr>
        <w:tabs>
          <w:tab w:val="left" w:pos="567"/>
        </w:tabs>
        <w:spacing w:after="0" w:line="260" w:lineRule="exact"/>
        <w:ind w:right="-449"/>
        <w:rPr>
          <w:rFonts w:eastAsia="Times New Roman"/>
          <w:noProof/>
          <w:snapToGrid w:val="0"/>
          <w:kern w:val="0"/>
          <w:szCs w:val="24"/>
          <w14:ligatures w14:val="none"/>
        </w:rPr>
      </w:pPr>
    </w:p>
    <w:p w14:paraId="24051CAF" w14:textId="77777777" w:rsidR="00B46A3A" w:rsidRPr="00B46A3A" w:rsidRDefault="00B46A3A" w:rsidP="00B46A3A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5.</w:t>
      </w:r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ab/>
        <w:t xml:space="preserve">Kaip laikyti </w:t>
      </w:r>
      <w:proofErr w:type="spellStart"/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 xml:space="preserve"> forte</w:t>
      </w:r>
    </w:p>
    <w:p w14:paraId="732A1C58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318E53B5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Šį vaistą laikykite vaikams nepastebimoje ir nepasiekiamoje vietoje.</w:t>
      </w:r>
    </w:p>
    <w:p w14:paraId="3C2E046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C6C6984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Ant dėžutės ir tūbelės po „Tinka iki“ nurodytam tinkamumo laikui pasibaigus, šio vaisto vartoti negalima. Vaistas tinkamas vartoti iki paskutinės nurodyto mėnesio dienos.</w:t>
      </w:r>
    </w:p>
    <w:p w14:paraId="7618D553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31BCD254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Laikyti ne aukštesnėje kaip 25 ºC temperatūroje.</w:t>
      </w:r>
    </w:p>
    <w:p w14:paraId="33DDC00D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Pirmą kartą tūbelę atsukus, tepalo tinkamumo laikas yra 6 mėnesiai.</w:t>
      </w:r>
    </w:p>
    <w:p w14:paraId="5D1D7CE6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F4D7D03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/>
          <w:snapToGrid w:val="0"/>
          <w:kern w:val="0"/>
          <w:szCs w:val="20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Vaistų negalima išmesti į kanalizaciją arba su buitinėmis atliekomis.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Kaip išmesti nereikalingus vaistus, klauskite vaistininko.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Šios priemonės padės apsaugoti aplinką.</w:t>
      </w:r>
    </w:p>
    <w:p w14:paraId="6AC1C6C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</w:p>
    <w:p w14:paraId="26F4000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</w:p>
    <w:p w14:paraId="79B22C23" w14:textId="77777777" w:rsidR="00B46A3A" w:rsidRPr="00B46A3A" w:rsidRDefault="00B46A3A" w:rsidP="00B46A3A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6.</w:t>
      </w:r>
      <w:r w:rsidRPr="00B46A3A">
        <w:rPr>
          <w:rFonts w:eastAsia="Times New Roman"/>
          <w:bCs/>
          <w:snapToGrid w:val="0"/>
          <w:kern w:val="0"/>
          <w:szCs w:val="26"/>
          <w:lang w:eastAsia="x-none"/>
          <w14:ligatures w14:val="none"/>
        </w:rPr>
        <w:tab/>
      </w:r>
      <w:r w:rsidRPr="00B46A3A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Pakuotės turinys ir kita informacija</w:t>
      </w:r>
    </w:p>
    <w:p w14:paraId="435436DF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4"/>
          <w14:ligatures w14:val="none"/>
        </w:rPr>
      </w:pPr>
    </w:p>
    <w:p w14:paraId="10C9E21B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 sudėtis </w:t>
      </w:r>
    </w:p>
    <w:p w14:paraId="2BF3D829" w14:textId="77777777" w:rsidR="00B46A3A" w:rsidRPr="00B46A3A" w:rsidRDefault="00B46A3A" w:rsidP="00B46A3A">
      <w:pPr>
        <w:numPr>
          <w:ilvl w:val="0"/>
          <w:numId w:val="2"/>
        </w:numPr>
        <w:tabs>
          <w:tab w:val="left" w:pos="567"/>
        </w:tabs>
        <w:spacing w:after="0" w:line="260" w:lineRule="exact"/>
        <w:ind w:left="567" w:hanging="567"/>
        <w:contextualSpacing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Veikliosios medžiagos yra hidrokortizonas ir standartizuota bakterijų kultūros suspensija. 1 g tepalo yra 2,5 mg hidrokortizono ir 166,7 mg standartizuotos bakterijų kultūros suspensijos, 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lastRenderedPageBreak/>
        <w:t>kurios sudėtyje yra 500 x 10</w:t>
      </w:r>
      <w:r w:rsidRPr="00B46A3A">
        <w:rPr>
          <w:rFonts w:eastAsia="Times New Roman"/>
          <w:noProof/>
          <w:snapToGrid w:val="0"/>
          <w:kern w:val="0"/>
          <w:szCs w:val="24"/>
          <w:vertAlign w:val="superscript"/>
          <w14:ligatures w14:val="none"/>
        </w:rPr>
        <w:t>6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 inaktyvuotų </w:t>
      </w:r>
      <w:r w:rsidRPr="00B46A3A">
        <w:rPr>
          <w:rFonts w:eastAsia="Times New Roman"/>
          <w:i/>
          <w:noProof/>
          <w:snapToGrid w:val="0"/>
          <w:kern w:val="0"/>
          <w:szCs w:val="24"/>
          <w14:ligatures w14:val="none"/>
        </w:rPr>
        <w:t>Escherichia coli</w:t>
      </w: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 bakterijų (ląstelių ir jų medžiagų apykaitos produktų).</w:t>
      </w:r>
    </w:p>
    <w:p w14:paraId="44B87922" w14:textId="77777777" w:rsidR="00B46A3A" w:rsidRPr="00B46A3A" w:rsidRDefault="00B46A3A" w:rsidP="00B46A3A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Pagalbinės medžiagos yra</w:t>
      </w:r>
      <w:r w:rsidRPr="00B46A3A">
        <w:rPr>
          <w:rFonts w:eastAsia="Times New Roman"/>
          <w:snapToGrid w:val="0"/>
          <w:kern w:val="0"/>
          <w14:ligatures w14:val="none"/>
        </w:rPr>
        <w:t xml:space="preserve"> minkštasis baltas parafinas </w:t>
      </w:r>
      <w:r w:rsidRPr="00B46A3A">
        <w:rPr>
          <w:rFonts w:eastAsia="Times New Roman"/>
          <w:kern w:val="0"/>
          <w14:ligatures w14:val="none"/>
        </w:rPr>
        <w:t xml:space="preserve">(sudėtyje yra </w:t>
      </w:r>
      <w:proofErr w:type="spellStart"/>
      <w:r w:rsidRPr="00B46A3A">
        <w:rPr>
          <w:rFonts w:eastAsia="Times New Roman"/>
          <w:kern w:val="0"/>
          <w14:ligatures w14:val="none"/>
        </w:rPr>
        <w:t>butilhidroksitolueno</w:t>
      </w:r>
      <w:proofErr w:type="spellEnd"/>
      <w:r w:rsidRPr="00B46A3A">
        <w:rPr>
          <w:rFonts w:eastAsia="Times New Roman"/>
          <w:kern w:val="0"/>
          <w14:ligatures w14:val="none"/>
        </w:rPr>
        <w:t xml:space="preserve"> (E 321))</w:t>
      </w:r>
      <w:r w:rsidRPr="00B46A3A">
        <w:rPr>
          <w:rFonts w:eastAsia="Times New Roman"/>
          <w:snapToGrid w:val="0"/>
          <w:kern w:val="0"/>
          <w14:ligatures w14:val="none"/>
        </w:rPr>
        <w:t xml:space="preserve">, vilnų riebalai, </w:t>
      </w:r>
      <w:proofErr w:type="spellStart"/>
      <w:r w:rsidRPr="00B46A3A">
        <w:rPr>
          <w:rFonts w:eastAsia="Times New Roman"/>
          <w:snapToGrid w:val="0"/>
          <w:kern w:val="0"/>
          <w14:ligatures w14:val="none"/>
        </w:rPr>
        <w:t>fenolis</w:t>
      </w:r>
      <w:proofErr w:type="spellEnd"/>
      <w:r w:rsidRPr="00B46A3A">
        <w:rPr>
          <w:rFonts w:eastAsia="Times New Roman"/>
          <w:i/>
          <w:snapToGrid w:val="0"/>
          <w:color w:val="008000"/>
          <w:kern w:val="0"/>
          <w:szCs w:val="24"/>
          <w14:ligatures w14:val="none"/>
        </w:rPr>
        <w:t>.</w:t>
      </w:r>
    </w:p>
    <w:p w14:paraId="740BD7D4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0563CEFD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proofErr w:type="spellStart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Posterisan</w:t>
      </w:r>
      <w:proofErr w:type="spellEnd"/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forte išvaizda ir kiekis pakuotėje</w:t>
      </w:r>
    </w:p>
    <w:p w14:paraId="610873D5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Kartono dėžutėje yra aliuminio tūbelė, kurioje yra 25 g homogeniško, rusvai gelsvos spalvos tepalo, ir 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aplikatorius</w:t>
      </w:r>
      <w:proofErr w:type="spellEnd"/>
      <w:r w:rsidRPr="00B46A3A">
        <w:rPr>
          <w:rFonts w:eastAsia="Times New Roman"/>
          <w:snapToGrid w:val="0"/>
          <w:kern w:val="0"/>
          <w:szCs w:val="24"/>
          <w14:ligatures w14:val="none"/>
        </w:rPr>
        <w:t>.</w:t>
      </w:r>
    </w:p>
    <w:p w14:paraId="1C50ADDD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5E2AB7F2" w14:textId="77777777" w:rsidR="00B46A3A" w:rsidRPr="00B46A3A" w:rsidRDefault="00B46A3A" w:rsidP="00B46A3A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Registruotojas</w:t>
      </w:r>
      <w:r w:rsidRPr="00B46A3A" w:rsidDel="00547933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</w:t>
      </w:r>
      <w:r w:rsidRPr="00B46A3A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ir gamintojas</w:t>
      </w:r>
    </w:p>
    <w:p w14:paraId="27DFB5C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4C4C63BC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Dr. Kade Pharmazeutische Fabrik GmbH</w:t>
      </w:r>
    </w:p>
    <w:p w14:paraId="299B0D1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Rigistrasse 2</w:t>
      </w:r>
    </w:p>
    <w:p w14:paraId="3C523DD7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12277 Berlin</w:t>
      </w:r>
    </w:p>
    <w:p w14:paraId="3A1B3F11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Vokietija</w:t>
      </w:r>
    </w:p>
    <w:p w14:paraId="424F4079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Tel. </w:t>
      </w:r>
      <w:bookmarkStart w:id="5" w:name="_Hlk161761158"/>
      <w:r w:rsidRPr="00B46A3A">
        <w:rPr>
          <w:rFonts w:eastAsia="Times New Roman"/>
          <w:snapToGrid w:val="0"/>
          <w:kern w:val="0"/>
          <w:szCs w:val="20"/>
          <w:lang w:val="it-IT"/>
          <w14:ligatures w14:val="none"/>
        </w:rPr>
        <w:t>+49 30 72082-0</w:t>
      </w:r>
      <w:bookmarkEnd w:id="5"/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, faksas </w:t>
      </w:r>
      <w:bookmarkStart w:id="6" w:name="_Hlk161761172"/>
      <w:r w:rsidRPr="00B46A3A">
        <w:rPr>
          <w:rFonts w:eastAsia="Times New Roman"/>
          <w:snapToGrid w:val="0"/>
          <w:kern w:val="0"/>
          <w:szCs w:val="20"/>
          <w:lang w:val="it-IT"/>
          <w14:ligatures w14:val="none"/>
        </w:rPr>
        <w:t>+49 30 72082-200</w:t>
      </w:r>
      <w:bookmarkEnd w:id="6"/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.</w:t>
      </w:r>
    </w:p>
    <w:p w14:paraId="75693EDD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El. paštas: </w:t>
      </w:r>
      <w:hyperlink r:id="rId7" w:history="1">
        <w:r w:rsidRPr="00B46A3A">
          <w:rPr>
            <w:rFonts w:eastAsia="Times New Roman"/>
            <w:noProof/>
            <w:snapToGrid w:val="0"/>
            <w:color w:val="0000FF"/>
            <w:kern w:val="0"/>
            <w:szCs w:val="24"/>
            <w:u w:val="single"/>
            <w14:ligatures w14:val="none"/>
          </w:rPr>
          <w:t>info@kade.de</w:t>
        </w:r>
      </w:hyperlink>
    </w:p>
    <w:p w14:paraId="619DAD7A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</w:p>
    <w:p w14:paraId="791511A2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noProof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szCs w:val="24"/>
          <w14:ligatures w14:val="none"/>
        </w:rPr>
        <w:t>Jeigu apie šį vaistą norite sužinoti daugiau, kreipkitės į vietinį registruotojo atstovą:</w:t>
      </w:r>
    </w:p>
    <w:p w14:paraId="38527EC5" w14:textId="77777777" w:rsidR="00B46A3A" w:rsidRPr="00B46A3A" w:rsidRDefault="00B46A3A" w:rsidP="00B46A3A">
      <w:pPr>
        <w:tabs>
          <w:tab w:val="left" w:pos="567"/>
        </w:tabs>
        <w:spacing w:after="0" w:line="240" w:lineRule="auto"/>
        <w:rPr>
          <w:rFonts w:eastAsia="Times New Roman"/>
          <w:noProof/>
          <w:snapToGrid w:val="0"/>
          <w:kern w:val="0"/>
          <w:szCs w:val="24"/>
          <w14:ligatures w14:val="none"/>
        </w:rPr>
      </w:pPr>
    </w:p>
    <w:p w14:paraId="4FD61C6A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 xml:space="preserve">UAB </w:t>
      </w:r>
      <w:proofErr w:type="spellStart"/>
      <w:r w:rsidRPr="00B46A3A">
        <w:rPr>
          <w:rFonts w:eastAsia="Times New Roman"/>
          <w:snapToGrid w:val="0"/>
          <w:kern w:val="0"/>
          <w:szCs w:val="24"/>
          <w14:ligatures w14:val="none"/>
        </w:rPr>
        <w:t>Morfėjus</w:t>
      </w:r>
      <w:proofErr w:type="spellEnd"/>
    </w:p>
    <w:p w14:paraId="640CE7F8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Žalgirio g. 93-42</w:t>
      </w:r>
    </w:p>
    <w:p w14:paraId="5E2C10A6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LT-08218 Vilnius</w:t>
      </w:r>
    </w:p>
    <w:p w14:paraId="5B879E4C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4"/>
          <w14:ligatures w14:val="none"/>
        </w:rPr>
      </w:pPr>
      <w:r w:rsidRPr="00B46A3A">
        <w:rPr>
          <w:rFonts w:eastAsia="Times New Roman"/>
          <w:snapToGrid w:val="0"/>
          <w:kern w:val="0"/>
          <w:szCs w:val="24"/>
          <w14:ligatures w14:val="none"/>
        </w:rPr>
        <w:t>Tel. + 370 5 2796328</w:t>
      </w:r>
    </w:p>
    <w:p w14:paraId="7CD0BC52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noProof/>
          <w:snapToGrid w:val="0"/>
          <w:kern w:val="0"/>
          <w:lang w:val="en-GB"/>
          <w14:ligatures w14:val="none"/>
        </w:rPr>
      </w:pPr>
      <w:r w:rsidRPr="00B46A3A">
        <w:rPr>
          <w:rFonts w:eastAsia="Times New Roman"/>
          <w:noProof/>
          <w:snapToGrid w:val="0"/>
          <w:kern w:val="0"/>
          <w:lang w:val="en-GB"/>
          <w14:ligatures w14:val="none"/>
        </w:rPr>
        <w:t>El. paštas info@morfejus.lt</w:t>
      </w:r>
    </w:p>
    <w:p w14:paraId="6ED59983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136F1D05" w14:textId="77777777" w:rsidR="00B46A3A" w:rsidRPr="00B46A3A" w:rsidRDefault="00B46A3A" w:rsidP="00B46A3A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b/>
          <w:snapToGrid w:val="0"/>
          <w:kern w:val="0"/>
          <w:szCs w:val="20"/>
          <w14:ligatures w14:val="none"/>
        </w:rPr>
      </w:pPr>
      <w:r w:rsidRPr="00B46A3A">
        <w:rPr>
          <w:rFonts w:eastAsia="Times New Roman"/>
          <w:b/>
          <w:snapToGrid w:val="0"/>
          <w:kern w:val="0"/>
          <w:szCs w:val="20"/>
          <w14:ligatures w14:val="none"/>
        </w:rPr>
        <w:t xml:space="preserve">Šis pakuotės lapelis paskutinį kartą peržiūrėtas 2026-08-26. </w:t>
      </w:r>
    </w:p>
    <w:p w14:paraId="28B907FC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i/>
          <w:snapToGrid w:val="0"/>
          <w:kern w:val="0"/>
          <w:szCs w:val="20"/>
          <w14:ligatures w14:val="none"/>
        </w:rPr>
      </w:pPr>
    </w:p>
    <w:p w14:paraId="5D7406BE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i/>
          <w:snapToGrid w:val="0"/>
          <w:kern w:val="0"/>
          <w:szCs w:val="24"/>
          <w14:ligatures w14:val="none"/>
        </w:rPr>
      </w:pPr>
    </w:p>
    <w:p w14:paraId="473389B4" w14:textId="77777777" w:rsidR="00B46A3A" w:rsidRPr="00B46A3A" w:rsidRDefault="00B46A3A" w:rsidP="00B46A3A">
      <w:pPr>
        <w:tabs>
          <w:tab w:val="left" w:pos="567"/>
        </w:tabs>
        <w:spacing w:after="0" w:line="260" w:lineRule="exact"/>
        <w:jc w:val="both"/>
        <w:rPr>
          <w:rFonts w:eastAsia="Times New Roman"/>
          <w:snapToGrid w:val="0"/>
          <w:kern w:val="0"/>
          <w:lang w:eastAsia="lt-LT"/>
          <w14:ligatures w14:val="none"/>
        </w:rPr>
      </w:pPr>
      <w:r w:rsidRPr="00B46A3A">
        <w:rPr>
          <w:rFonts w:eastAsia="Times New Roman"/>
          <w:snapToGrid w:val="0"/>
          <w:kern w:val="0"/>
          <w:szCs w:val="20"/>
          <w14:ligatures w14:val="none"/>
        </w:rPr>
        <w:t xml:space="preserve">Išsami informacija apie šį </w:t>
      </w:r>
      <w:r w:rsidRPr="00B46A3A">
        <w:rPr>
          <w:rFonts w:eastAsia="Times New Roman"/>
          <w:snapToGrid w:val="0"/>
          <w:kern w:val="0"/>
          <w:szCs w:val="24"/>
          <w14:ligatures w14:val="none"/>
        </w:rPr>
        <w:t>vaistą</w:t>
      </w:r>
      <w:r w:rsidRPr="00B46A3A">
        <w:rPr>
          <w:rFonts w:eastAsia="Times New Roman"/>
          <w:snapToGrid w:val="0"/>
          <w:kern w:val="0"/>
          <w:szCs w:val="20"/>
          <w14:ligatures w14:val="none"/>
        </w:rPr>
        <w:t xml:space="preserve"> pateikiama Valstybinės vaistų kontrolės tarnybos prie Lietuvos Respublikos sveikatos apsaugos ministerijos tinklalapyje</w:t>
      </w:r>
      <w:r w:rsidRPr="00B46A3A">
        <w:rPr>
          <w:rFonts w:eastAsia="Times New Roman"/>
          <w:i/>
          <w:snapToGrid w:val="0"/>
          <w:kern w:val="0"/>
          <w:szCs w:val="24"/>
          <w14:ligatures w14:val="none"/>
        </w:rPr>
        <w:t xml:space="preserve"> </w:t>
      </w:r>
      <w:r w:rsidRPr="00B46A3A">
        <w:rPr>
          <w:rFonts w:eastAsia="Times New Roman"/>
          <w:snapToGrid w:val="0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B46A3A">
        <w:rPr>
          <w:rFonts w:eastAsia="Times New Roman"/>
          <w:snapToGrid w:val="0"/>
          <w:kern w:val="0"/>
          <w:lang w:eastAsia="lt-LT"/>
          <w14:ligatures w14:val="none"/>
        </w:rPr>
        <w:t>.</w:t>
      </w:r>
    </w:p>
    <w:p w14:paraId="1F36A0B3" w14:textId="77777777" w:rsidR="00B46A3A" w:rsidRPr="00B46A3A" w:rsidRDefault="00B46A3A" w:rsidP="00B46A3A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:szCs w:val="24"/>
          <w14:ligatures w14:val="none"/>
        </w:rPr>
      </w:pPr>
    </w:p>
    <w:p w14:paraId="0DBFB27F" w14:textId="77777777" w:rsidR="00B46A3A" w:rsidRPr="00B46A3A" w:rsidRDefault="00B46A3A" w:rsidP="00B46A3A">
      <w:pPr>
        <w:spacing w:after="0" w:line="240" w:lineRule="auto"/>
        <w:rPr>
          <w:rFonts w:eastAsia="Times New Roman"/>
          <w:i/>
          <w:snapToGrid w:val="0"/>
          <w:color w:val="008000"/>
          <w:kern w:val="0"/>
          <w:szCs w:val="20"/>
          <w14:ligatures w14:val="none"/>
        </w:rPr>
      </w:pPr>
    </w:p>
    <w:p w14:paraId="0E2F5FD9" w14:textId="77777777" w:rsidR="00B46A3A" w:rsidRPr="00B46A3A" w:rsidRDefault="00B46A3A" w:rsidP="00B46A3A">
      <w:pPr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</w:p>
    <w:p w14:paraId="6768FD96" w14:textId="77777777" w:rsidR="00222FED" w:rsidRDefault="00222FED"/>
    <w:sectPr w:rsidR="00222FED" w:rsidSect="00B46A3A">
      <w:footerReference w:type="default" r:id="rId8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19F4E" w14:textId="77777777" w:rsidR="00750A00" w:rsidRDefault="00750A00">
      <w:pPr>
        <w:spacing w:after="0" w:line="240" w:lineRule="auto"/>
      </w:pPr>
      <w:r>
        <w:separator/>
      </w:r>
    </w:p>
  </w:endnote>
  <w:endnote w:type="continuationSeparator" w:id="0">
    <w:p w14:paraId="3624D7B5" w14:textId="77777777" w:rsidR="00750A00" w:rsidRDefault="00750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B3AA" w14:textId="77777777" w:rsidR="00B46A3A" w:rsidRDefault="00B46A3A">
    <w:pPr>
      <w:pStyle w:val="Porat"/>
      <w:jc w:val="right"/>
    </w:pPr>
    <w:r>
      <w:fldChar w:fldCharType="begin"/>
    </w:r>
    <w:r>
      <w:instrText>PAGE   \* MERGEFORMAT</w:instrText>
    </w:r>
    <w:r>
      <w:fldChar w:fldCharType="separate"/>
    </w:r>
    <w:r w:rsidRPr="00E71086">
      <w:rPr>
        <w:noProof/>
      </w:rPr>
      <w:t>19</w:t>
    </w:r>
    <w:r>
      <w:fldChar w:fldCharType="end"/>
    </w:r>
  </w:p>
  <w:p w14:paraId="2D056490" w14:textId="77777777" w:rsidR="00B46A3A" w:rsidRDefault="00B46A3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554C2" w14:textId="77777777" w:rsidR="00750A00" w:rsidRDefault="00750A00">
      <w:pPr>
        <w:spacing w:after="0" w:line="240" w:lineRule="auto"/>
      </w:pPr>
      <w:r>
        <w:separator/>
      </w:r>
    </w:p>
  </w:footnote>
  <w:footnote w:type="continuationSeparator" w:id="0">
    <w:p w14:paraId="3E6B48D9" w14:textId="77777777" w:rsidR="00750A00" w:rsidRDefault="00750A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num w:numId="1" w16cid:durableId="45184370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70467030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3A"/>
    <w:rsid w:val="00222FED"/>
    <w:rsid w:val="003D765B"/>
    <w:rsid w:val="005F173E"/>
    <w:rsid w:val="006E64E9"/>
    <w:rsid w:val="00750A00"/>
    <w:rsid w:val="008B3AD4"/>
    <w:rsid w:val="009750B0"/>
    <w:rsid w:val="00984A0A"/>
    <w:rsid w:val="00B46A3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86831"/>
  <w15:chartTrackingRefBased/>
  <w15:docId w15:val="{66DABC93-F4C0-4543-BC69-4813BF42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46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46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46A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46A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46A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46A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46A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46A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46A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46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46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46A3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46A3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46A3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46A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46A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46A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46A3A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46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46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46A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46A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46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46A3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46A3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46A3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46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46A3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46A3A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semiHidden/>
    <w:unhideWhenUsed/>
    <w:rsid w:val="00B46A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B46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kade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6324</Words>
  <Characters>3606</Characters>
  <Application>Microsoft Office Word</Application>
  <DocSecurity>0</DocSecurity>
  <Lines>30</Lines>
  <Paragraphs>19</Paragraphs>
  <ScaleCrop>false</ScaleCrop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2</cp:revision>
  <dcterms:created xsi:type="dcterms:W3CDTF">2026-10-02T05:38:00Z</dcterms:created>
  <dcterms:modified xsi:type="dcterms:W3CDTF">2026-10-06T05:34:00Z</dcterms:modified>
</cp:coreProperties>
</file>