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4F0" w:rsidRPr="00B90587" w:rsidRDefault="003A54F0" w:rsidP="003A54F0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B90587">
        <w:rPr>
          <w:rFonts w:ascii="Times New Roman" w:hAnsi="Times New Roman"/>
          <w:i w:val="0"/>
          <w:sz w:val="22"/>
          <w:lang w:val="lt-LT"/>
        </w:rPr>
        <w:t>Pakuotės lapelis:</w:t>
      </w:r>
      <w:r w:rsidRPr="00B90587"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  <w:t xml:space="preserve"> </w:t>
      </w:r>
      <w:r w:rsidRPr="00B90587">
        <w:rPr>
          <w:rFonts w:ascii="Times New Roman" w:hAnsi="Times New Roman"/>
          <w:i w:val="0"/>
          <w:sz w:val="22"/>
          <w:lang w:val="lt-LT"/>
        </w:rPr>
        <w:t>informacija vartotojui</w:t>
      </w:r>
    </w:p>
    <w:p w:rsidR="003A54F0" w:rsidRPr="00B90587" w:rsidRDefault="003A54F0" w:rsidP="003A54F0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4"/>
          <w:lang w:val="lt-LT"/>
        </w:rPr>
      </w:pPr>
    </w:p>
    <w:p w:rsidR="003A54F0" w:rsidRPr="00B90587" w:rsidRDefault="003A54F0" w:rsidP="003A54F0">
      <w:pPr>
        <w:jc w:val="center"/>
        <w:rPr>
          <w:b/>
          <w:szCs w:val="24"/>
          <w:lang w:val="lt-LT"/>
        </w:rPr>
      </w:pPr>
      <w:proofErr w:type="spellStart"/>
      <w:r w:rsidRPr="00B90587">
        <w:rPr>
          <w:b/>
          <w:szCs w:val="24"/>
          <w:lang w:val="lt-LT"/>
        </w:rPr>
        <w:t>Posterisan</w:t>
      </w:r>
      <w:proofErr w:type="spellEnd"/>
      <w:r w:rsidRPr="00B90587">
        <w:rPr>
          <w:b/>
          <w:szCs w:val="24"/>
          <w:lang w:val="lt-LT"/>
        </w:rPr>
        <w:t xml:space="preserve"> tepalas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4"/>
          <w:lang w:val="lt-LT"/>
        </w:rPr>
      </w:pPr>
      <w:r w:rsidRPr="00B90587">
        <w:rPr>
          <w:szCs w:val="24"/>
          <w:lang w:val="lt-LT"/>
        </w:rPr>
        <w:t>Standartizuota bakterijų kultūros suspensija</w:t>
      </w:r>
    </w:p>
    <w:p w:rsidR="003A54F0" w:rsidRPr="00B90587" w:rsidRDefault="003A54F0" w:rsidP="003A54F0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4"/>
          <w:lang w:val="lt-LT"/>
        </w:rPr>
      </w:pPr>
      <w:r w:rsidRPr="00B90587">
        <w:rPr>
          <w:b/>
          <w:szCs w:val="24"/>
          <w:lang w:val="lt-LT"/>
        </w:rPr>
        <w:t>Atidžiai perskaitykite visą šį lapelį, prieš pradėdami vartoti šį vaistą, nes jame pateikiama Jums svarbi informacija.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Visada vartokite šį vaistą tiksliai kaip aprašyta šiame lapelyje arba kaip nurodė gydytojas arba vaistininkas.</w:t>
      </w:r>
    </w:p>
    <w:p w:rsidR="003A54F0" w:rsidRPr="00B90587" w:rsidRDefault="003A54F0" w:rsidP="003A54F0">
      <w:pPr>
        <w:numPr>
          <w:ilvl w:val="0"/>
          <w:numId w:val="1"/>
        </w:numPr>
        <w:spacing w:line="240" w:lineRule="auto"/>
        <w:ind w:left="567" w:hanging="567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Neišmeskite šio lapelio, nes vėl gali prireikti jį perskaityti. </w:t>
      </w:r>
    </w:p>
    <w:p w:rsidR="003A54F0" w:rsidRPr="00B90587" w:rsidRDefault="003A54F0" w:rsidP="003A54F0">
      <w:pPr>
        <w:numPr>
          <w:ilvl w:val="0"/>
          <w:numId w:val="1"/>
        </w:numPr>
        <w:spacing w:line="240" w:lineRule="auto"/>
        <w:ind w:left="567" w:hanging="567"/>
        <w:rPr>
          <w:szCs w:val="24"/>
          <w:lang w:val="lt-LT"/>
        </w:rPr>
      </w:pPr>
      <w:r w:rsidRPr="00B90587">
        <w:rPr>
          <w:szCs w:val="24"/>
          <w:lang w:val="lt-LT"/>
        </w:rPr>
        <w:t>Jeigu norite sužinoti daugiau arba pasitarti, kreipkitės į vaistininką.</w:t>
      </w:r>
    </w:p>
    <w:p w:rsidR="003A54F0" w:rsidRPr="00B90587" w:rsidRDefault="003A54F0" w:rsidP="003A54F0">
      <w:pPr>
        <w:numPr>
          <w:ilvl w:val="0"/>
          <w:numId w:val="1"/>
        </w:numPr>
        <w:spacing w:line="240" w:lineRule="auto"/>
        <w:ind w:left="567" w:hanging="567"/>
        <w:rPr>
          <w:szCs w:val="24"/>
          <w:lang w:val="lt-LT"/>
        </w:rPr>
      </w:pPr>
      <w:r w:rsidRPr="00B90587">
        <w:rPr>
          <w:szCs w:val="24"/>
          <w:lang w:val="lt-LT"/>
        </w:rPr>
        <w:t>Jeigu pasireiškė šalutinis poveikis (net jeigu jis šiame lapelyje nenurodytas), kreipkitės į gydytoją arba vaistininką. Žr. 4 skyrių.</w:t>
      </w:r>
    </w:p>
    <w:p w:rsidR="003A54F0" w:rsidRPr="00B90587" w:rsidRDefault="003A54F0" w:rsidP="003A54F0">
      <w:pPr>
        <w:numPr>
          <w:ilvl w:val="0"/>
          <w:numId w:val="1"/>
        </w:numPr>
        <w:spacing w:line="240" w:lineRule="auto"/>
        <w:ind w:left="567" w:hanging="567"/>
        <w:rPr>
          <w:szCs w:val="24"/>
          <w:lang w:val="lt-LT"/>
        </w:rPr>
      </w:pPr>
      <w:r w:rsidRPr="00B90587">
        <w:rPr>
          <w:szCs w:val="24"/>
          <w:lang w:val="lt-LT"/>
        </w:rPr>
        <w:t>Jeigu per 10 dienų Jūsų savijauta nepagerėjo arba net pablogėjo, kreipkitės į gydytoją.</w:t>
      </w:r>
    </w:p>
    <w:p w:rsidR="003A54F0" w:rsidRPr="00B90587" w:rsidRDefault="003A54F0" w:rsidP="003A54F0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A54F0" w:rsidRPr="00B90587" w:rsidRDefault="003A54F0" w:rsidP="003A54F0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Apie ką rašoma šiame lapelyje?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1.</w:t>
      </w:r>
      <w:r w:rsidRPr="00B90587">
        <w:rPr>
          <w:szCs w:val="24"/>
          <w:lang w:val="lt-LT"/>
        </w:rPr>
        <w:tab/>
      </w:r>
      <w:r w:rsidRPr="00B90587">
        <w:rPr>
          <w:lang w:val="lt-LT"/>
        </w:rPr>
        <w:t xml:space="preserve">Kas yra </w:t>
      </w:r>
      <w:proofErr w:type="spellStart"/>
      <w:r w:rsidRPr="00B90587">
        <w:rPr>
          <w:lang w:val="lt-LT"/>
        </w:rPr>
        <w:t>Posterisan</w:t>
      </w:r>
      <w:proofErr w:type="spellEnd"/>
      <w:r w:rsidRPr="00B90587">
        <w:rPr>
          <w:lang w:val="lt-LT"/>
        </w:rPr>
        <w:t xml:space="preserve"> ir kam jis vartojamas</w:t>
      </w:r>
      <w:r w:rsidRPr="00B90587">
        <w:rPr>
          <w:szCs w:val="24"/>
          <w:lang w:val="lt-LT"/>
        </w:rPr>
        <w:t xml:space="preserve"> 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2.</w:t>
      </w:r>
      <w:r w:rsidRPr="00B90587">
        <w:rPr>
          <w:szCs w:val="24"/>
          <w:lang w:val="lt-LT"/>
        </w:rPr>
        <w:tab/>
        <w:t xml:space="preserve">Kas žinotina prieš vartojant </w:t>
      </w:r>
      <w:proofErr w:type="spellStart"/>
      <w:r w:rsidRPr="00B90587">
        <w:rPr>
          <w:szCs w:val="24"/>
          <w:lang w:val="lt-LT"/>
        </w:rPr>
        <w:t>Posterisan</w:t>
      </w:r>
      <w:proofErr w:type="spellEnd"/>
      <w:r w:rsidRPr="00B90587">
        <w:rPr>
          <w:szCs w:val="24"/>
          <w:lang w:val="lt-LT"/>
        </w:rPr>
        <w:t xml:space="preserve">  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3.</w:t>
      </w:r>
      <w:r w:rsidRPr="00B90587">
        <w:rPr>
          <w:szCs w:val="24"/>
          <w:lang w:val="lt-LT"/>
        </w:rPr>
        <w:tab/>
        <w:t xml:space="preserve">Kaip vartoti </w:t>
      </w:r>
      <w:proofErr w:type="spellStart"/>
      <w:r w:rsidRPr="00B90587">
        <w:rPr>
          <w:szCs w:val="24"/>
          <w:lang w:val="lt-LT"/>
        </w:rPr>
        <w:t>Posterisan</w:t>
      </w:r>
      <w:proofErr w:type="spellEnd"/>
      <w:r w:rsidRPr="00B90587">
        <w:rPr>
          <w:szCs w:val="24"/>
          <w:lang w:val="lt-LT"/>
        </w:rPr>
        <w:t xml:space="preserve"> 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4.</w:t>
      </w:r>
      <w:r w:rsidRPr="00B90587">
        <w:rPr>
          <w:szCs w:val="24"/>
          <w:lang w:val="lt-LT"/>
        </w:rPr>
        <w:tab/>
      </w:r>
      <w:r w:rsidRPr="00B90587">
        <w:rPr>
          <w:lang w:val="lt-LT"/>
        </w:rPr>
        <w:t>Galimas šalutinis poveikis</w:t>
      </w:r>
      <w:r w:rsidRPr="00B90587">
        <w:rPr>
          <w:szCs w:val="24"/>
          <w:lang w:val="lt-LT"/>
        </w:rPr>
        <w:t xml:space="preserve"> 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5.</w:t>
      </w:r>
      <w:r w:rsidRPr="00B90587">
        <w:rPr>
          <w:szCs w:val="24"/>
          <w:lang w:val="lt-LT"/>
        </w:rPr>
        <w:tab/>
      </w:r>
      <w:r w:rsidRPr="00B90587">
        <w:rPr>
          <w:lang w:val="lt-LT"/>
        </w:rPr>
        <w:t xml:space="preserve">Kaip laikyti </w:t>
      </w:r>
      <w:proofErr w:type="spellStart"/>
      <w:r w:rsidRPr="00B90587">
        <w:rPr>
          <w:lang w:val="lt-LT"/>
        </w:rPr>
        <w:t>Posterisan</w:t>
      </w:r>
      <w:proofErr w:type="spellEnd"/>
      <w:r w:rsidRPr="00B90587">
        <w:rPr>
          <w:szCs w:val="24"/>
          <w:lang w:val="lt-LT"/>
        </w:rPr>
        <w:t xml:space="preserve"> 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6.</w:t>
      </w:r>
      <w:r w:rsidRPr="00B90587">
        <w:rPr>
          <w:szCs w:val="24"/>
          <w:lang w:val="lt-LT"/>
        </w:rPr>
        <w:tab/>
        <w:t>Pakuotės turinys ir kita informacija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A54F0" w:rsidRPr="00B90587" w:rsidRDefault="003A54F0" w:rsidP="003A54F0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1.</w:t>
      </w:r>
      <w:r w:rsidRPr="00B90587">
        <w:rPr>
          <w:rFonts w:ascii="Times New Roman" w:hAnsi="Times New Roman"/>
          <w:sz w:val="22"/>
          <w:lang w:val="lt-LT"/>
        </w:rPr>
        <w:tab/>
        <w:t xml:space="preserve">Kas yra </w:t>
      </w:r>
      <w:proofErr w:type="spellStart"/>
      <w:r w:rsidRPr="00B90587">
        <w:rPr>
          <w:rFonts w:ascii="Times New Roman" w:hAnsi="Times New Roman"/>
          <w:sz w:val="22"/>
          <w:lang w:val="lt-LT"/>
        </w:rPr>
        <w:t>Posterisan</w:t>
      </w:r>
      <w:proofErr w:type="spellEnd"/>
      <w:r w:rsidRPr="00B90587">
        <w:rPr>
          <w:rFonts w:ascii="Times New Roman" w:hAnsi="Times New Roman"/>
          <w:sz w:val="22"/>
          <w:lang w:val="lt-LT"/>
        </w:rPr>
        <w:t xml:space="preserve"> ir kam jis vartojamas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r w:rsidRPr="00B90587">
        <w:rPr>
          <w:noProof/>
          <w:szCs w:val="24"/>
          <w:lang w:val="lt-LT"/>
        </w:rPr>
        <w:t>Posterisan vartojamas su hemorojumi susijusiam išangės srities niež</w:t>
      </w:r>
      <w:r>
        <w:rPr>
          <w:noProof/>
          <w:szCs w:val="24"/>
          <w:lang w:val="lt-LT"/>
        </w:rPr>
        <w:t>uliui</w:t>
      </w:r>
      <w:r w:rsidRPr="00B90587">
        <w:rPr>
          <w:noProof/>
          <w:szCs w:val="24"/>
          <w:lang w:val="lt-LT"/>
        </w:rPr>
        <w:t>, išskyrų susidarymui bei deginim</w:t>
      </w:r>
      <w:r>
        <w:rPr>
          <w:noProof/>
          <w:szCs w:val="24"/>
          <w:lang w:val="lt-LT"/>
        </w:rPr>
        <w:t xml:space="preserve">o pojūčiui </w:t>
      </w:r>
      <w:r w:rsidRPr="00B90587">
        <w:rPr>
          <w:noProof/>
          <w:szCs w:val="24"/>
          <w:lang w:val="lt-LT"/>
        </w:rPr>
        <w:t>gydyti.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noProof/>
          <w:szCs w:val="24"/>
          <w:lang w:val="lt-LT"/>
        </w:rPr>
        <w:t>Jeigu Jūsų savijauta per 10 dienų nepagerėjo arba net pablogėjo, kreipkitės į gydytoją.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A54F0" w:rsidRPr="00B90587" w:rsidRDefault="003A54F0" w:rsidP="003A54F0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2.</w:t>
      </w:r>
      <w:r w:rsidRPr="00B90587">
        <w:rPr>
          <w:rFonts w:ascii="Times New Roman" w:hAnsi="Times New Roman"/>
          <w:sz w:val="22"/>
          <w:lang w:val="lt-LT"/>
        </w:rPr>
        <w:tab/>
        <w:t xml:space="preserve">Kas žinotina prieš vartojant </w:t>
      </w:r>
      <w:proofErr w:type="spellStart"/>
      <w:r w:rsidRPr="00B90587">
        <w:rPr>
          <w:rFonts w:ascii="Times New Roman" w:hAnsi="Times New Roman"/>
          <w:sz w:val="22"/>
          <w:lang w:val="lt-LT"/>
        </w:rPr>
        <w:t>Posterisan</w:t>
      </w:r>
      <w:proofErr w:type="spellEnd"/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A54F0" w:rsidRPr="00B90587" w:rsidRDefault="003A54F0" w:rsidP="003A54F0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 w:rsidRPr="00B90587">
        <w:rPr>
          <w:rFonts w:ascii="Times New Roman" w:hAnsi="Times New Roman"/>
          <w:sz w:val="22"/>
          <w:lang w:val="lt-LT"/>
        </w:rPr>
        <w:t>Posterisan</w:t>
      </w:r>
      <w:proofErr w:type="spellEnd"/>
      <w:r w:rsidRPr="00B90587">
        <w:rPr>
          <w:rFonts w:ascii="Times New Roman" w:hAnsi="Times New Roman"/>
          <w:sz w:val="22"/>
          <w:lang w:val="lt-LT"/>
        </w:rPr>
        <w:t xml:space="preserve"> vartoti negalima:</w:t>
      </w:r>
    </w:p>
    <w:p w:rsidR="003A54F0" w:rsidRPr="00B90587" w:rsidRDefault="003A54F0" w:rsidP="003A54F0">
      <w:pPr>
        <w:numPr>
          <w:ilvl w:val="12"/>
          <w:numId w:val="0"/>
        </w:numPr>
        <w:spacing w:line="240" w:lineRule="auto"/>
        <w:ind w:left="567" w:hanging="567"/>
        <w:rPr>
          <w:szCs w:val="24"/>
          <w:lang w:val="lt-LT"/>
        </w:rPr>
      </w:pPr>
      <w:r w:rsidRPr="00B90587">
        <w:rPr>
          <w:szCs w:val="24"/>
          <w:lang w:val="lt-LT"/>
        </w:rPr>
        <w:t>-</w:t>
      </w:r>
      <w:r w:rsidRPr="00B90587">
        <w:rPr>
          <w:szCs w:val="24"/>
          <w:lang w:val="lt-LT"/>
        </w:rPr>
        <w:tab/>
        <w:t>jeigu yra alergija standartizuotai bakterijų kultūros suspensijai arba bet kuriai pagalbinei šio vaisto medžiagai (jos išvardytos 6 skyriuje).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A54F0" w:rsidRPr="00B90587" w:rsidRDefault="003A54F0" w:rsidP="003A54F0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 xml:space="preserve">Įspėjimai ir atsargumo priemonės 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Pasitarkite su gydytoju arba vaistininku, prieš pradėdami vartoti </w:t>
      </w:r>
      <w:proofErr w:type="spellStart"/>
      <w:r w:rsidRPr="00B90587">
        <w:rPr>
          <w:szCs w:val="24"/>
          <w:lang w:val="lt-LT"/>
        </w:rPr>
        <w:t>Posterisan</w:t>
      </w:r>
      <w:proofErr w:type="spellEnd"/>
      <w:r w:rsidRPr="00B90587">
        <w:rPr>
          <w:szCs w:val="24"/>
          <w:lang w:val="lt-LT"/>
        </w:rPr>
        <w:t>.</w:t>
      </w:r>
    </w:p>
    <w:p w:rsidR="003A54F0" w:rsidRPr="00B90587" w:rsidRDefault="003A54F0" w:rsidP="003A54F0">
      <w:pPr>
        <w:rPr>
          <w:lang w:val="lt-LT"/>
        </w:rPr>
      </w:pPr>
    </w:p>
    <w:p w:rsidR="003A54F0" w:rsidRPr="00B90587" w:rsidRDefault="003A54F0" w:rsidP="003A54F0">
      <w:pPr>
        <w:rPr>
          <w:lang w:val="lt-LT"/>
        </w:rPr>
      </w:pPr>
      <w:r w:rsidRPr="00B90587">
        <w:rPr>
          <w:lang w:val="lt-LT"/>
        </w:rPr>
        <w:t xml:space="preserve">Jei pasireiškia grybelių </w:t>
      </w:r>
      <w:r>
        <w:rPr>
          <w:lang w:val="lt-LT"/>
        </w:rPr>
        <w:t xml:space="preserve">sukelta </w:t>
      </w:r>
      <w:r w:rsidRPr="00B90587">
        <w:rPr>
          <w:lang w:val="lt-LT"/>
        </w:rPr>
        <w:t>infekcija, kartu reikia vartoti lokalaus poveiki</w:t>
      </w:r>
      <w:r>
        <w:rPr>
          <w:lang w:val="lt-LT"/>
        </w:rPr>
        <w:t>o</w:t>
      </w:r>
      <w:r w:rsidRPr="00B90587">
        <w:rPr>
          <w:lang w:val="lt-LT"/>
        </w:rPr>
        <w:t xml:space="preserve"> priešgrybelinių vaistų.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A54F0" w:rsidRPr="00B90587" w:rsidRDefault="003A54F0" w:rsidP="003A54F0">
      <w:pPr>
        <w:rPr>
          <w:lang w:val="lt-LT"/>
        </w:rPr>
      </w:pPr>
      <w:r w:rsidRPr="00B90587">
        <w:rPr>
          <w:lang w:val="lt-LT"/>
        </w:rPr>
        <w:t xml:space="preserve">Vartojant </w:t>
      </w:r>
      <w:proofErr w:type="spellStart"/>
      <w:r w:rsidRPr="00B90587">
        <w:rPr>
          <w:lang w:val="lt-LT"/>
        </w:rPr>
        <w:t>Posterisan</w:t>
      </w:r>
      <w:proofErr w:type="spellEnd"/>
      <w:r w:rsidRPr="00B90587">
        <w:rPr>
          <w:lang w:val="lt-LT"/>
        </w:rPr>
        <w:t xml:space="preserve"> tepalo, gali </w:t>
      </w:r>
      <w:r>
        <w:rPr>
          <w:lang w:val="lt-LT"/>
        </w:rPr>
        <w:t>su</w:t>
      </w:r>
      <w:r w:rsidRPr="00B90587">
        <w:rPr>
          <w:lang w:val="lt-LT"/>
        </w:rPr>
        <w:t>mažėti kartu naudojamų lateksinių prezervatyvų atsparumas tempimui ir dėl to sumažėti jų veiksmingumas.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A54F0" w:rsidRPr="00B90587" w:rsidRDefault="003A54F0" w:rsidP="003A54F0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Vaikams ir paaugliams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proofErr w:type="spellStart"/>
      <w:r w:rsidRPr="00B90587">
        <w:rPr>
          <w:szCs w:val="24"/>
          <w:lang w:val="lt-LT"/>
        </w:rPr>
        <w:t>Posterisan</w:t>
      </w:r>
      <w:proofErr w:type="spellEnd"/>
      <w:r w:rsidRPr="00B90587">
        <w:rPr>
          <w:szCs w:val="24"/>
          <w:lang w:val="lt-LT"/>
        </w:rPr>
        <w:t xml:space="preserve"> negalima vartoti vaikams ar jaunesniems kaip 18 metų paaugliams.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3A54F0" w:rsidRPr="00B90587" w:rsidRDefault="003A54F0" w:rsidP="003A54F0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 xml:space="preserve">Kiti vaistai ir </w:t>
      </w:r>
      <w:proofErr w:type="spellStart"/>
      <w:r w:rsidRPr="00B90587">
        <w:rPr>
          <w:rFonts w:ascii="Times New Roman" w:hAnsi="Times New Roman"/>
          <w:sz w:val="22"/>
          <w:lang w:val="lt-LT"/>
        </w:rPr>
        <w:t>Posterisan</w:t>
      </w:r>
      <w:proofErr w:type="spellEnd"/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Jeigu vartojate ar neseniai vartojote kitų vaistų arba dėl to nesate tikri, apie tai pasakykite gydytojui arba vaistininkui.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A54F0" w:rsidRPr="00B90587" w:rsidRDefault="003A54F0" w:rsidP="003A54F0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Nėštumas ir žindymo laikotarpis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Nėra priežasčių, dėl kurių </w:t>
      </w:r>
      <w:proofErr w:type="spellStart"/>
      <w:r w:rsidRPr="00B90587">
        <w:rPr>
          <w:szCs w:val="24"/>
          <w:lang w:val="lt-LT"/>
        </w:rPr>
        <w:t>Posterisan</w:t>
      </w:r>
      <w:proofErr w:type="spellEnd"/>
      <w:r w:rsidRPr="00B90587">
        <w:rPr>
          <w:szCs w:val="24"/>
          <w:lang w:val="lt-LT"/>
        </w:rPr>
        <w:t xml:space="preserve"> nebūtų galima vartoti nėštumo ar žindymo laikotarpiu.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3A54F0" w:rsidRPr="00B90587" w:rsidRDefault="003A54F0" w:rsidP="003A54F0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Vairavimas ir mechanizmų valdymas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Vairuoti ir valdyti mechanizmus galima, kadangi manoma, jog </w:t>
      </w:r>
      <w:proofErr w:type="spellStart"/>
      <w:r w:rsidRPr="00B90587">
        <w:rPr>
          <w:szCs w:val="24"/>
          <w:lang w:val="lt-LT"/>
        </w:rPr>
        <w:t>Posterisan</w:t>
      </w:r>
      <w:proofErr w:type="spellEnd"/>
      <w:r w:rsidRPr="00B90587">
        <w:rPr>
          <w:szCs w:val="24"/>
          <w:lang w:val="lt-LT"/>
        </w:rPr>
        <w:t xml:space="preserve"> gebėjimo vairuoti ir valdyti mechanizmus neveikia arba veikia nereikšmingai.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3A54F0" w:rsidRPr="00B90587" w:rsidRDefault="003A54F0" w:rsidP="003A54F0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 w:rsidRPr="00B90587">
        <w:rPr>
          <w:rFonts w:ascii="Times New Roman" w:hAnsi="Times New Roman"/>
          <w:sz w:val="22"/>
          <w:lang w:val="lt-LT"/>
        </w:rPr>
        <w:t>Posterisan</w:t>
      </w:r>
      <w:proofErr w:type="spellEnd"/>
      <w:r w:rsidRPr="00B90587">
        <w:rPr>
          <w:rFonts w:ascii="Times New Roman" w:hAnsi="Times New Roman"/>
          <w:sz w:val="22"/>
          <w:lang w:val="lt-LT"/>
        </w:rPr>
        <w:t xml:space="preserve"> sudėtyje yra </w:t>
      </w:r>
      <w:r w:rsidRPr="00B90587">
        <w:rPr>
          <w:rFonts w:ascii="Times New Roman" w:hAnsi="Times New Roman"/>
          <w:color w:val="000000"/>
          <w:sz w:val="22"/>
          <w:lang w:val="lt-LT"/>
        </w:rPr>
        <w:t>vilnų riebalų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Gali sukelti </w:t>
      </w:r>
      <w:r>
        <w:rPr>
          <w:szCs w:val="24"/>
          <w:lang w:val="lt-LT"/>
        </w:rPr>
        <w:t>vietinių</w:t>
      </w:r>
      <w:r w:rsidRPr="00B90587">
        <w:rPr>
          <w:szCs w:val="24"/>
          <w:lang w:val="lt-LT"/>
        </w:rPr>
        <w:t xml:space="preserve"> odos reakcijų (pvz., kontaktinį dermatitą).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A54F0" w:rsidRPr="00B90587" w:rsidRDefault="003A54F0" w:rsidP="003A54F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3.</w:t>
      </w:r>
      <w:r w:rsidRPr="00B90587">
        <w:rPr>
          <w:rFonts w:ascii="Times New Roman" w:hAnsi="Times New Roman"/>
          <w:sz w:val="22"/>
          <w:lang w:val="lt-LT"/>
        </w:rPr>
        <w:tab/>
        <w:t xml:space="preserve">Kaip vartoti </w:t>
      </w:r>
      <w:proofErr w:type="spellStart"/>
      <w:r w:rsidRPr="00B90587">
        <w:rPr>
          <w:rFonts w:ascii="Times New Roman" w:hAnsi="Times New Roman"/>
          <w:sz w:val="22"/>
          <w:lang w:val="lt-LT"/>
        </w:rPr>
        <w:t>Posterisan</w:t>
      </w:r>
      <w:proofErr w:type="spellEnd"/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4"/>
          <w:lang w:val="lt-LT"/>
        </w:rPr>
      </w:pPr>
      <w:r w:rsidRPr="00B90587">
        <w:rPr>
          <w:szCs w:val="24"/>
          <w:lang w:val="lt-LT"/>
        </w:rPr>
        <w:t xml:space="preserve">Visada vartokite šį vaistą tiksliai kaip aprašyta šiame lapelyje arba kaip nurodė gydytojas arba vaistininkas. Jeigu abejojate, kreipkitės į gydytoją arba </w:t>
      </w:r>
      <w:r w:rsidRPr="00B90587">
        <w:rPr>
          <w:color w:val="000000"/>
          <w:szCs w:val="24"/>
          <w:lang w:val="lt-LT"/>
        </w:rPr>
        <w:t>vaistininką.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Paprastai tepalas vartojamas du kartus per </w:t>
      </w:r>
      <w:r>
        <w:rPr>
          <w:szCs w:val="24"/>
          <w:lang w:val="lt-LT"/>
        </w:rPr>
        <w:t>parą</w:t>
      </w:r>
      <w:r w:rsidRPr="00B90587">
        <w:rPr>
          <w:szCs w:val="24"/>
          <w:lang w:val="lt-LT"/>
        </w:rPr>
        <w:t>. Jeigu simptomai yra sunkūs, tepalo galima vartoti ir dažniau. Vaisto kiekis priklauso nuo gydomos odos ir gleivinės ploto.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Tepalo reikia tepti ryte ir vakare, geriausia po tuštinimosi.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Jeigu gydoma išorinė išangės sritis, ją reikia pirštu patepti plonu tepalo sluoksniu ir atsargiai įtrinti.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Pakuotėje esantį </w:t>
      </w:r>
      <w:proofErr w:type="spellStart"/>
      <w:r w:rsidRPr="00B90587">
        <w:rPr>
          <w:szCs w:val="24"/>
          <w:lang w:val="lt-LT"/>
        </w:rPr>
        <w:t>aplikatorių</w:t>
      </w:r>
      <w:proofErr w:type="spellEnd"/>
      <w:r w:rsidRPr="00B90587">
        <w:rPr>
          <w:szCs w:val="24"/>
          <w:lang w:val="lt-LT"/>
        </w:rPr>
        <w:t xml:space="preserve"> su šoninėmis angomis galima naudoti tepalui įspausti į analinį kanalą bei greta esančią tiesiąją žarną.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u w:val="single"/>
          <w:lang w:val="lt-LT"/>
        </w:rPr>
      </w:pPr>
      <w:proofErr w:type="spellStart"/>
      <w:r w:rsidRPr="00B90587">
        <w:rPr>
          <w:szCs w:val="24"/>
          <w:u w:val="single"/>
          <w:lang w:val="lt-LT"/>
        </w:rPr>
        <w:t>Aplikatoriaus</w:t>
      </w:r>
      <w:proofErr w:type="spellEnd"/>
      <w:r w:rsidRPr="00B90587">
        <w:rPr>
          <w:szCs w:val="24"/>
          <w:u w:val="single"/>
          <w:lang w:val="lt-LT"/>
        </w:rPr>
        <w:t xml:space="preserve"> naudojimas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Norėdami tepalą įspausti į analinį kanalą, ant tūbelės užsukite </w:t>
      </w:r>
      <w:proofErr w:type="spellStart"/>
      <w:r w:rsidRPr="00B90587">
        <w:rPr>
          <w:szCs w:val="24"/>
          <w:lang w:val="lt-LT"/>
        </w:rPr>
        <w:t>aplikatorių</w:t>
      </w:r>
      <w:proofErr w:type="spellEnd"/>
      <w:r w:rsidRPr="00B90587">
        <w:rPr>
          <w:szCs w:val="24"/>
          <w:lang w:val="lt-LT"/>
        </w:rPr>
        <w:t xml:space="preserve"> ir nuimkite dangtelį. Tūbelę spauskite tol, kol šoninėse </w:t>
      </w:r>
      <w:proofErr w:type="spellStart"/>
      <w:r w:rsidRPr="00B90587">
        <w:rPr>
          <w:szCs w:val="24"/>
          <w:lang w:val="lt-LT"/>
        </w:rPr>
        <w:t>aplikatoriaus</w:t>
      </w:r>
      <w:proofErr w:type="spellEnd"/>
      <w:r w:rsidRPr="00B90587">
        <w:rPr>
          <w:szCs w:val="24"/>
          <w:lang w:val="lt-LT"/>
        </w:rPr>
        <w:t xml:space="preserve"> angose pasirodys tepalo. Tada </w:t>
      </w:r>
      <w:proofErr w:type="spellStart"/>
      <w:r w:rsidRPr="00B90587">
        <w:rPr>
          <w:szCs w:val="24"/>
          <w:lang w:val="lt-LT"/>
        </w:rPr>
        <w:t>aplikatorių</w:t>
      </w:r>
      <w:proofErr w:type="spellEnd"/>
      <w:r w:rsidRPr="00B90587">
        <w:rPr>
          <w:szCs w:val="24"/>
          <w:lang w:val="lt-LT"/>
        </w:rPr>
        <w:t xml:space="preserve"> atsargiai kiškite į išangę tol, kol toliau kišti taps aiškiai nebegalima. Kad geriau slystų, </w:t>
      </w:r>
      <w:proofErr w:type="spellStart"/>
      <w:r w:rsidRPr="00B90587">
        <w:rPr>
          <w:szCs w:val="24"/>
          <w:lang w:val="lt-LT"/>
        </w:rPr>
        <w:t>aplikatorių</w:t>
      </w:r>
      <w:proofErr w:type="spellEnd"/>
      <w:r w:rsidRPr="00B90587">
        <w:rPr>
          <w:szCs w:val="24"/>
          <w:lang w:val="lt-LT"/>
        </w:rPr>
        <w:t xml:space="preserve"> galima patepti trupučiu tepalo. Paspauskite tūbelę dar kartą, kad tepalo patektų į išangės kanalą. Kad jis tolygiai pasiskirstytų, tūbelę reikia atsargiai pasukinėti.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Po naudojimo </w:t>
      </w:r>
      <w:proofErr w:type="spellStart"/>
      <w:r w:rsidRPr="00B90587">
        <w:rPr>
          <w:szCs w:val="24"/>
          <w:lang w:val="lt-LT"/>
        </w:rPr>
        <w:t>aplikatorių</w:t>
      </w:r>
      <w:proofErr w:type="spellEnd"/>
      <w:r w:rsidRPr="00B90587">
        <w:rPr>
          <w:szCs w:val="24"/>
          <w:lang w:val="lt-LT"/>
        </w:rPr>
        <w:t xml:space="preserve"> reikia išvalyti: iš jo pro šonines angas išspauskite truputį tepalo, nušluostykite paviršių sugeriamuoju popieriumi ir, kad tepalas nedžiūtų, ant </w:t>
      </w:r>
      <w:proofErr w:type="spellStart"/>
      <w:r w:rsidRPr="00B90587">
        <w:rPr>
          <w:szCs w:val="24"/>
          <w:lang w:val="lt-LT"/>
        </w:rPr>
        <w:t>aplikatoriaus</w:t>
      </w:r>
      <w:proofErr w:type="spellEnd"/>
      <w:r w:rsidRPr="00B90587">
        <w:rPr>
          <w:szCs w:val="24"/>
          <w:lang w:val="lt-LT"/>
        </w:rPr>
        <w:t xml:space="preserve"> uždėkite apsauginį dangtelį.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Jei tepalas ilgai nevartojamas, </w:t>
      </w:r>
      <w:proofErr w:type="spellStart"/>
      <w:r w:rsidRPr="00B90587">
        <w:rPr>
          <w:szCs w:val="24"/>
          <w:lang w:val="lt-LT"/>
        </w:rPr>
        <w:t>aplikatorių</w:t>
      </w:r>
      <w:proofErr w:type="spellEnd"/>
      <w:r w:rsidRPr="00B90587">
        <w:rPr>
          <w:szCs w:val="24"/>
          <w:lang w:val="lt-LT"/>
        </w:rPr>
        <w:t xml:space="preserve"> reikia nusukti ir nuplauti šiltu vandeniu.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B90587">
        <w:rPr>
          <w:snapToGrid/>
          <w:szCs w:val="22"/>
          <w:lang w:val="lt-LT"/>
        </w:rPr>
        <w:t xml:space="preserve">Jeigu reikia, </w:t>
      </w:r>
      <w:proofErr w:type="spellStart"/>
      <w:r w:rsidRPr="00B90587">
        <w:rPr>
          <w:snapToGrid/>
          <w:szCs w:val="22"/>
          <w:lang w:val="lt-LT"/>
        </w:rPr>
        <w:t>Posterisan</w:t>
      </w:r>
      <w:proofErr w:type="spellEnd"/>
      <w:r w:rsidRPr="00B90587">
        <w:rPr>
          <w:snapToGrid/>
          <w:szCs w:val="22"/>
          <w:lang w:val="lt-LT"/>
        </w:rPr>
        <w:t xml:space="preserve"> tepalo galima vartoti ilgesnį laiką (iki 2 savaičių), ypač siekiant išvengti atkryčio. Net išnykus stipriam niež</w:t>
      </w:r>
      <w:r>
        <w:rPr>
          <w:snapToGrid/>
          <w:szCs w:val="22"/>
          <w:lang w:val="lt-LT"/>
        </w:rPr>
        <w:t>uliui</w:t>
      </w:r>
      <w:r w:rsidRPr="00B90587">
        <w:rPr>
          <w:snapToGrid/>
          <w:szCs w:val="22"/>
          <w:lang w:val="lt-LT"/>
        </w:rPr>
        <w:t>, išskyrų susidarymui ar deginim</w:t>
      </w:r>
      <w:r>
        <w:rPr>
          <w:snapToGrid/>
          <w:szCs w:val="22"/>
          <w:lang w:val="lt-LT"/>
        </w:rPr>
        <w:t>o pojūčiui</w:t>
      </w:r>
      <w:r w:rsidRPr="00B90587">
        <w:rPr>
          <w:snapToGrid/>
          <w:szCs w:val="22"/>
          <w:lang w:val="lt-LT"/>
        </w:rPr>
        <w:t xml:space="preserve">, </w:t>
      </w:r>
      <w:proofErr w:type="spellStart"/>
      <w:r w:rsidRPr="00B90587">
        <w:rPr>
          <w:snapToGrid/>
          <w:szCs w:val="22"/>
          <w:lang w:val="lt-LT"/>
        </w:rPr>
        <w:t>Posterisan</w:t>
      </w:r>
      <w:proofErr w:type="spellEnd"/>
      <w:r w:rsidRPr="00B90587">
        <w:rPr>
          <w:snapToGrid/>
          <w:szCs w:val="22"/>
          <w:lang w:val="lt-LT"/>
        </w:rPr>
        <w:t xml:space="preserve"> tepalo dar reikia vartoti tam tikrą laikotarpį (iki 2 savaičių).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u w:val="single"/>
          <w:lang w:val="lt-LT"/>
        </w:rPr>
        <w:t>Pastaba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Išangės srityje vartojant kremų, tepalų ir žvakučių, galima užteršti apatinius drabužius, todėl jų apsaugai rekomenduojama nešioti įklotus.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A54F0" w:rsidRPr="00B90587" w:rsidRDefault="003A54F0" w:rsidP="003A54F0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Vartojimas vaikams ir paaugliams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proofErr w:type="spellStart"/>
      <w:r w:rsidRPr="00B90587">
        <w:rPr>
          <w:szCs w:val="24"/>
          <w:lang w:val="lt-LT"/>
        </w:rPr>
        <w:t>Posterisan</w:t>
      </w:r>
      <w:proofErr w:type="spellEnd"/>
      <w:r w:rsidRPr="00B90587">
        <w:rPr>
          <w:szCs w:val="24"/>
          <w:lang w:val="lt-LT"/>
        </w:rPr>
        <w:t xml:space="preserve"> negalima vartoti vaikams ar jaunesniems kaip 18 metų paaugliams.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A54F0" w:rsidRPr="00B90587" w:rsidRDefault="003A54F0" w:rsidP="003A54F0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 xml:space="preserve">Ką daryti pavartojus per didelę </w:t>
      </w:r>
      <w:proofErr w:type="spellStart"/>
      <w:r w:rsidRPr="00B90587">
        <w:rPr>
          <w:rFonts w:ascii="Times New Roman" w:hAnsi="Times New Roman"/>
          <w:sz w:val="22"/>
          <w:lang w:val="lt-LT"/>
        </w:rPr>
        <w:t>Posterisan</w:t>
      </w:r>
      <w:proofErr w:type="spellEnd"/>
      <w:r w:rsidRPr="00B90587">
        <w:rPr>
          <w:rFonts w:ascii="Times New Roman" w:hAnsi="Times New Roman"/>
          <w:sz w:val="22"/>
          <w:lang w:val="lt-LT"/>
        </w:rPr>
        <w:t xml:space="preserve"> dozę?</w:t>
      </w:r>
    </w:p>
    <w:p w:rsidR="003A54F0" w:rsidRPr="00B90587" w:rsidRDefault="003A54F0" w:rsidP="003A54F0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90587">
        <w:rPr>
          <w:snapToGrid/>
          <w:szCs w:val="22"/>
          <w:lang w:val="lt-LT"/>
        </w:rPr>
        <w:t>Duomenų apie perdozavimo ar apsinuodijimo atvejus nėra.</w:t>
      </w:r>
    </w:p>
    <w:p w:rsidR="003A54F0" w:rsidRPr="00B90587" w:rsidRDefault="003A54F0" w:rsidP="003A54F0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3A54F0" w:rsidRPr="00B90587" w:rsidRDefault="003A54F0" w:rsidP="003A54F0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90587">
        <w:rPr>
          <w:snapToGrid/>
          <w:szCs w:val="22"/>
          <w:lang w:val="lt-LT"/>
        </w:rPr>
        <w:t>Tepalo netyčia (pvz., vaikui) nurijus, gali atsirasti virškinimo trakto simptomų (pilvo skausmas, pykinimas).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A54F0" w:rsidRPr="00B90587" w:rsidRDefault="003A54F0" w:rsidP="003A54F0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 xml:space="preserve">Pamiršus pavartoti </w:t>
      </w:r>
      <w:proofErr w:type="spellStart"/>
      <w:r w:rsidRPr="00B90587">
        <w:rPr>
          <w:rFonts w:ascii="Times New Roman" w:hAnsi="Times New Roman"/>
          <w:sz w:val="22"/>
          <w:lang w:val="lt-LT"/>
        </w:rPr>
        <w:t>Posterisan</w:t>
      </w:r>
      <w:proofErr w:type="spellEnd"/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Negalima vartoti dvigubos dozės norint kompensuoti praleistą dozę.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B90587">
        <w:rPr>
          <w:szCs w:val="24"/>
          <w:lang w:val="lt-LT"/>
        </w:rPr>
        <w:lastRenderedPageBreak/>
        <w:t>Jeigu kiltų daugiau klausimų dėl šio vaisto vartojimo, kreipkitės į gydytoją arba vaistininką.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3A54F0" w:rsidRPr="00B90587" w:rsidRDefault="003A54F0" w:rsidP="003A54F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4.</w:t>
      </w:r>
      <w:r w:rsidRPr="00B90587">
        <w:rPr>
          <w:rFonts w:ascii="Times New Roman" w:hAnsi="Times New Roman"/>
          <w:sz w:val="22"/>
          <w:lang w:val="lt-LT"/>
        </w:rPr>
        <w:tab/>
        <w:t>Galimas šalutinis poveikis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B90587">
        <w:rPr>
          <w:szCs w:val="24"/>
          <w:lang w:val="lt-LT"/>
        </w:rPr>
        <w:t>Šis vaistas, kaip ir visi kiti, gali sukelti šalutinį poveikį, nors jis pasireiškia ne visiems žmonėms.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</w:p>
    <w:p w:rsidR="003A54F0" w:rsidRPr="00B90587" w:rsidRDefault="003A54F0" w:rsidP="003A54F0">
      <w:pPr>
        <w:spacing w:line="240" w:lineRule="auto"/>
        <w:rPr>
          <w:szCs w:val="24"/>
          <w:u w:val="single"/>
          <w:lang w:val="lt-LT"/>
        </w:rPr>
      </w:pPr>
      <w:r w:rsidRPr="00B90587">
        <w:rPr>
          <w:szCs w:val="24"/>
          <w:u w:val="single"/>
          <w:lang w:val="lt-LT"/>
        </w:rPr>
        <w:t xml:space="preserve">Dažnas (gali pasireikšti </w:t>
      </w:r>
      <w:r>
        <w:rPr>
          <w:szCs w:val="24"/>
          <w:u w:val="single"/>
          <w:lang w:val="lt-LT"/>
        </w:rPr>
        <w:t>rečiau</w:t>
      </w:r>
      <w:r w:rsidRPr="00B90587">
        <w:rPr>
          <w:szCs w:val="24"/>
          <w:u w:val="single"/>
          <w:lang w:val="lt-LT"/>
        </w:rPr>
        <w:t xml:space="preserve"> kaip 1 pacientui iš 10)</w:t>
      </w:r>
    </w:p>
    <w:p w:rsidR="003A54F0" w:rsidRPr="00B90587" w:rsidRDefault="003A54F0" w:rsidP="003A54F0">
      <w:pPr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Lokalios odos reakcijos (pvz., </w:t>
      </w:r>
      <w:r>
        <w:rPr>
          <w:szCs w:val="24"/>
          <w:lang w:val="lt-LT"/>
        </w:rPr>
        <w:t>niežulys</w:t>
      </w:r>
      <w:r w:rsidRPr="00B90587">
        <w:rPr>
          <w:szCs w:val="24"/>
          <w:lang w:val="lt-LT"/>
        </w:rPr>
        <w:t>, deginimas)</w:t>
      </w:r>
      <w:r>
        <w:rPr>
          <w:szCs w:val="24"/>
          <w:lang w:val="lt-LT"/>
        </w:rPr>
        <w:t>.</w:t>
      </w:r>
    </w:p>
    <w:p w:rsidR="003A54F0" w:rsidRPr="00B90587" w:rsidRDefault="003A54F0" w:rsidP="003A54F0">
      <w:pPr>
        <w:spacing w:line="240" w:lineRule="auto"/>
        <w:rPr>
          <w:szCs w:val="24"/>
          <w:lang w:val="lt-LT"/>
        </w:rPr>
      </w:pPr>
    </w:p>
    <w:p w:rsidR="003A54F0" w:rsidRPr="00B90587" w:rsidRDefault="003A54F0" w:rsidP="003A54F0">
      <w:pPr>
        <w:spacing w:line="240" w:lineRule="auto"/>
        <w:rPr>
          <w:szCs w:val="24"/>
          <w:u w:val="single"/>
          <w:lang w:val="lt-LT"/>
        </w:rPr>
      </w:pPr>
      <w:r w:rsidRPr="00B90587">
        <w:rPr>
          <w:szCs w:val="24"/>
          <w:u w:val="single"/>
          <w:lang w:val="lt-LT"/>
        </w:rPr>
        <w:t xml:space="preserve">Nedažnas (gali pasireikšti </w:t>
      </w:r>
      <w:r>
        <w:rPr>
          <w:szCs w:val="24"/>
          <w:u w:val="single"/>
          <w:lang w:val="lt-LT"/>
        </w:rPr>
        <w:t>rečiau</w:t>
      </w:r>
      <w:r w:rsidRPr="00B90587">
        <w:rPr>
          <w:szCs w:val="24"/>
          <w:u w:val="single"/>
          <w:lang w:val="lt-LT"/>
        </w:rPr>
        <w:t xml:space="preserve"> kaip 1 pacientui iš 100)</w:t>
      </w:r>
    </w:p>
    <w:p w:rsidR="003A54F0" w:rsidRPr="00B90587" w:rsidRDefault="003A54F0" w:rsidP="003A54F0">
      <w:pPr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Alerginės odos reakcijos (pvz., dėl padidėjusio jautrumo konservantui </w:t>
      </w:r>
      <w:proofErr w:type="spellStart"/>
      <w:r w:rsidRPr="00B90587">
        <w:rPr>
          <w:szCs w:val="24"/>
          <w:lang w:val="lt-LT"/>
        </w:rPr>
        <w:t>fenoliui</w:t>
      </w:r>
      <w:proofErr w:type="spellEnd"/>
      <w:r w:rsidRPr="00B90587">
        <w:rPr>
          <w:szCs w:val="24"/>
          <w:lang w:val="lt-LT"/>
        </w:rPr>
        <w:t>)</w:t>
      </w:r>
      <w:r>
        <w:rPr>
          <w:szCs w:val="24"/>
          <w:lang w:val="lt-LT"/>
        </w:rPr>
        <w:t>.</w:t>
      </w:r>
    </w:p>
    <w:p w:rsidR="003A54F0" w:rsidRPr="00B90587" w:rsidRDefault="003A54F0" w:rsidP="003A54F0">
      <w:pPr>
        <w:spacing w:line="240" w:lineRule="auto"/>
        <w:rPr>
          <w:szCs w:val="24"/>
          <w:lang w:val="lt-LT"/>
        </w:rPr>
      </w:pPr>
    </w:p>
    <w:p w:rsidR="003A54F0" w:rsidRPr="00B90587" w:rsidRDefault="003A54F0" w:rsidP="003A54F0">
      <w:pPr>
        <w:spacing w:line="240" w:lineRule="auto"/>
        <w:rPr>
          <w:b/>
          <w:szCs w:val="24"/>
          <w:lang w:val="lt-LT"/>
        </w:rPr>
      </w:pPr>
      <w:r w:rsidRPr="00B90587">
        <w:rPr>
          <w:b/>
          <w:szCs w:val="24"/>
          <w:lang w:val="lt-LT"/>
        </w:rPr>
        <w:t>Pranešimas apie šalutinį poveikį</w:t>
      </w:r>
    </w:p>
    <w:p w:rsidR="003A54F0" w:rsidRPr="00B90587" w:rsidRDefault="003A54F0" w:rsidP="003A54F0">
      <w:pPr>
        <w:ind w:right="-449"/>
        <w:rPr>
          <w:szCs w:val="24"/>
          <w:lang w:val="lt-LT"/>
        </w:rPr>
      </w:pPr>
      <w:r w:rsidRPr="00B90587">
        <w:rPr>
          <w:lang w:val="lt-LT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B90587">
        <w:rPr>
          <w:lang w:val="lt-LT" w:eastAsia="zh-CN"/>
        </w:rPr>
        <w:t>elefonu 8 800 73568</w:t>
      </w:r>
      <w:r w:rsidRPr="00B90587">
        <w:rPr>
          <w:lang w:val="lt-LT"/>
        </w:rPr>
        <w:t xml:space="preserve"> arba užpildyti interneto svetainėje </w:t>
      </w:r>
      <w:hyperlink r:id="rId5" w:history="1">
        <w:r w:rsidRPr="00B90587">
          <w:rPr>
            <w:rStyle w:val="Hipersaitas"/>
            <w:rFonts w:eastAsia="SimSun"/>
            <w:lang w:val="lt-LT"/>
          </w:rPr>
          <w:t>www.vvkt.lt</w:t>
        </w:r>
      </w:hyperlink>
      <w:r w:rsidRPr="00B90587">
        <w:rPr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B90587">
        <w:rPr>
          <w:lang w:val="lt-LT" w:eastAsia="zh-CN"/>
        </w:rPr>
        <w:t xml:space="preserve">nemokamu </w:t>
      </w:r>
      <w:r w:rsidRPr="00B90587">
        <w:rPr>
          <w:lang w:val="lt-LT"/>
        </w:rPr>
        <w:t>fakso numeriu 8 800 20131</w:t>
      </w:r>
      <w:r w:rsidRPr="00B90587">
        <w:rPr>
          <w:lang w:val="lt-LT" w:eastAsia="zh-CN"/>
        </w:rPr>
        <w:t xml:space="preserve">, </w:t>
      </w:r>
      <w:r w:rsidRPr="00B90587">
        <w:rPr>
          <w:lang w:val="lt-LT"/>
        </w:rPr>
        <w:t xml:space="preserve">el. paštu </w:t>
      </w:r>
      <w:hyperlink r:id="rId6" w:history="1">
        <w:r w:rsidRPr="00B90587">
          <w:rPr>
            <w:rStyle w:val="Hipersaitas"/>
            <w:rFonts w:eastAsia="SimSun"/>
            <w:lang w:val="lt-LT"/>
          </w:rPr>
          <w:t>NepageidaujamaR@vvkt.lt</w:t>
        </w:r>
      </w:hyperlink>
      <w:r w:rsidRPr="00B90587">
        <w:rPr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B90587">
          <w:rPr>
            <w:rStyle w:val="Hipersaitas"/>
            <w:rFonts w:eastAsia="SimSun"/>
            <w:lang w:val="lt-LT"/>
          </w:rPr>
          <w:t>http://www.vvkt.lt</w:t>
        </w:r>
      </w:hyperlink>
      <w:r w:rsidRPr="00B90587">
        <w:rPr>
          <w:lang w:val="lt-LT"/>
        </w:rPr>
        <w:t>). Pranešdami apie šalutinį poveikį galite mums padėti gauti daugiau informacijos apie šio vaisto saugumą.</w:t>
      </w:r>
    </w:p>
    <w:p w:rsidR="003A54F0" w:rsidRPr="00B90587" w:rsidRDefault="003A54F0" w:rsidP="003A54F0">
      <w:pPr>
        <w:ind w:right="-449"/>
        <w:rPr>
          <w:szCs w:val="24"/>
          <w:lang w:val="lt-LT"/>
        </w:rPr>
      </w:pPr>
    </w:p>
    <w:p w:rsidR="003A54F0" w:rsidRPr="00B90587" w:rsidRDefault="003A54F0" w:rsidP="003A54F0">
      <w:pPr>
        <w:ind w:right="-449"/>
        <w:rPr>
          <w:szCs w:val="24"/>
          <w:lang w:val="lt-LT"/>
        </w:rPr>
      </w:pPr>
    </w:p>
    <w:p w:rsidR="003A54F0" w:rsidRPr="00B90587" w:rsidRDefault="003A54F0" w:rsidP="003A54F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5.</w:t>
      </w:r>
      <w:r w:rsidRPr="00B90587">
        <w:rPr>
          <w:rFonts w:ascii="Times New Roman" w:hAnsi="Times New Roman"/>
          <w:sz w:val="22"/>
          <w:lang w:val="lt-LT"/>
        </w:rPr>
        <w:tab/>
        <w:t xml:space="preserve">Kaip laikyti </w:t>
      </w:r>
      <w:proofErr w:type="spellStart"/>
      <w:r w:rsidRPr="00B90587">
        <w:rPr>
          <w:rFonts w:ascii="Times New Roman" w:hAnsi="Times New Roman"/>
          <w:sz w:val="22"/>
          <w:lang w:val="lt-LT"/>
        </w:rPr>
        <w:t>Posterisan</w:t>
      </w:r>
      <w:proofErr w:type="spellEnd"/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Šį vaistą laikykite vaikams nepastebimoje ir nepasiekiamoje vietoje.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A54F0" w:rsidRPr="00B90587" w:rsidRDefault="003A54F0" w:rsidP="003A54F0">
      <w:pPr>
        <w:numPr>
          <w:ilvl w:val="12"/>
          <w:numId w:val="0"/>
        </w:numPr>
        <w:spacing w:line="240" w:lineRule="auto"/>
        <w:rPr>
          <w:szCs w:val="22"/>
          <w:lang w:val="lt-LT"/>
        </w:rPr>
      </w:pPr>
      <w:r w:rsidRPr="00B90587">
        <w:rPr>
          <w:szCs w:val="22"/>
          <w:lang w:val="lt-LT"/>
        </w:rPr>
        <w:t>Laikyti ne aukštesnėje kaip 25 ºC temperatūroje.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Ant tūbelės ir dėžutės po „Tinka iki“ nurodytam tinkamumo laikui pasibaigus, šio vaisto vartoti negalima. Vaistas tinkamas vartoti iki paskutinės nurodyto mėnesio dienos.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A54F0" w:rsidRPr="00B90587" w:rsidRDefault="003A54F0" w:rsidP="003A54F0">
      <w:pPr>
        <w:numPr>
          <w:ilvl w:val="12"/>
          <w:numId w:val="0"/>
        </w:numPr>
        <w:spacing w:line="240" w:lineRule="auto"/>
        <w:rPr>
          <w:szCs w:val="22"/>
          <w:lang w:val="lt-LT"/>
        </w:rPr>
      </w:pPr>
      <w:r w:rsidRPr="00B90587">
        <w:rPr>
          <w:szCs w:val="22"/>
          <w:lang w:val="lt-LT"/>
        </w:rPr>
        <w:t xml:space="preserve">Pirmą kartą tūbelę </w:t>
      </w:r>
      <w:r>
        <w:rPr>
          <w:szCs w:val="22"/>
          <w:lang w:val="lt-LT"/>
        </w:rPr>
        <w:t>atidarius</w:t>
      </w:r>
      <w:r w:rsidRPr="00B90587">
        <w:rPr>
          <w:szCs w:val="22"/>
          <w:lang w:val="lt-LT"/>
        </w:rPr>
        <w:t>, tepalo tinkamumo laikas yra 6 mėnesiai.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lang w:val="lt-LT"/>
        </w:rPr>
      </w:pPr>
      <w:r w:rsidRPr="00B90587">
        <w:rPr>
          <w:szCs w:val="24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A54F0" w:rsidRPr="00B90587" w:rsidRDefault="003A54F0" w:rsidP="003A54F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6.</w:t>
      </w:r>
      <w:r w:rsidRPr="00B90587">
        <w:rPr>
          <w:rFonts w:ascii="Times New Roman" w:hAnsi="Times New Roman"/>
          <w:b w:val="0"/>
          <w:sz w:val="22"/>
          <w:lang w:val="lt-LT"/>
        </w:rPr>
        <w:tab/>
      </w:r>
      <w:r w:rsidRPr="00B90587">
        <w:rPr>
          <w:rFonts w:ascii="Times New Roman" w:hAnsi="Times New Roman"/>
          <w:sz w:val="22"/>
          <w:lang w:val="lt-LT"/>
        </w:rPr>
        <w:t>Pakuotės turinys ir kita informacija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3A54F0" w:rsidRPr="00B90587" w:rsidRDefault="003A54F0" w:rsidP="003A54F0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 w:rsidRPr="00B90587">
        <w:rPr>
          <w:rFonts w:ascii="Times New Roman" w:hAnsi="Times New Roman"/>
          <w:sz w:val="22"/>
          <w:lang w:val="lt-LT"/>
        </w:rPr>
        <w:t>Posterisan</w:t>
      </w:r>
      <w:proofErr w:type="spellEnd"/>
      <w:r w:rsidRPr="00B90587">
        <w:rPr>
          <w:rFonts w:ascii="Times New Roman" w:hAnsi="Times New Roman"/>
          <w:sz w:val="22"/>
          <w:lang w:val="lt-LT"/>
        </w:rPr>
        <w:t xml:space="preserve"> sudėtis </w:t>
      </w:r>
    </w:p>
    <w:p w:rsidR="003A54F0" w:rsidRPr="00B90587" w:rsidRDefault="003A54F0" w:rsidP="003A54F0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B90587">
        <w:rPr>
          <w:szCs w:val="24"/>
          <w:lang w:val="lt-LT"/>
        </w:rPr>
        <w:t>Veiklioji medžiaga yra</w:t>
      </w:r>
      <w:r w:rsidRPr="00B90587">
        <w:rPr>
          <w:szCs w:val="22"/>
          <w:lang w:val="lt-LT"/>
        </w:rPr>
        <w:t xml:space="preserve"> </w:t>
      </w:r>
      <w:r w:rsidRPr="00B90587">
        <w:rPr>
          <w:szCs w:val="24"/>
          <w:lang w:val="lt-LT"/>
        </w:rPr>
        <w:t>standartizuota bakterijų kultūros suspensija.</w:t>
      </w:r>
    </w:p>
    <w:p w:rsidR="003A54F0" w:rsidRPr="00B90587" w:rsidRDefault="003A54F0" w:rsidP="003A54F0">
      <w:pPr>
        <w:tabs>
          <w:tab w:val="clear" w:pos="567"/>
        </w:tabs>
        <w:spacing w:line="240" w:lineRule="auto"/>
        <w:ind w:left="567" w:right="-2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1 g tepalo yra 166,7 mg standartizuotos bakterijų kultūros suspensijos, kurios sudėtyje yra 330 milijonų </w:t>
      </w:r>
      <w:proofErr w:type="spellStart"/>
      <w:r w:rsidRPr="00B90587">
        <w:rPr>
          <w:szCs w:val="24"/>
          <w:lang w:val="lt-LT"/>
        </w:rPr>
        <w:t>inaktyvuotų</w:t>
      </w:r>
      <w:proofErr w:type="spellEnd"/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i/>
          <w:szCs w:val="24"/>
          <w:lang w:val="lt-LT"/>
        </w:rPr>
        <w:t>Escherichia</w:t>
      </w:r>
      <w:proofErr w:type="spellEnd"/>
      <w:r w:rsidRPr="00B90587">
        <w:rPr>
          <w:i/>
          <w:szCs w:val="24"/>
          <w:lang w:val="lt-LT"/>
        </w:rPr>
        <w:t xml:space="preserve"> coli</w:t>
      </w:r>
      <w:r w:rsidRPr="00B90587">
        <w:rPr>
          <w:szCs w:val="24"/>
          <w:lang w:val="lt-LT"/>
        </w:rPr>
        <w:t xml:space="preserve"> bakterijų (</w:t>
      </w:r>
      <w:r w:rsidRPr="00850669">
        <w:rPr>
          <w:szCs w:val="24"/>
          <w:lang w:val="lt-LT"/>
        </w:rPr>
        <w:t>ląstelių ir jų medžiagų apykaitos produktų</w:t>
      </w:r>
      <w:r w:rsidRPr="00B90587">
        <w:rPr>
          <w:szCs w:val="24"/>
          <w:lang w:val="lt-LT"/>
        </w:rPr>
        <w:t>) ir 3,3 mg konservanto skyst</w:t>
      </w:r>
      <w:r>
        <w:rPr>
          <w:szCs w:val="24"/>
          <w:lang w:val="lt-LT"/>
        </w:rPr>
        <w:t>ojo</w:t>
      </w:r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szCs w:val="24"/>
          <w:lang w:val="lt-LT"/>
        </w:rPr>
        <w:t>fenolio</w:t>
      </w:r>
      <w:proofErr w:type="spellEnd"/>
      <w:r w:rsidRPr="00B90587">
        <w:rPr>
          <w:szCs w:val="24"/>
          <w:lang w:val="lt-LT"/>
        </w:rPr>
        <w:t xml:space="preserve"> (atitinka 3,0 mg gryno </w:t>
      </w:r>
      <w:proofErr w:type="spellStart"/>
      <w:r w:rsidRPr="00B90587">
        <w:rPr>
          <w:szCs w:val="24"/>
          <w:lang w:val="lt-LT"/>
        </w:rPr>
        <w:t>fenolio</w:t>
      </w:r>
      <w:proofErr w:type="spellEnd"/>
      <w:r w:rsidRPr="00B90587">
        <w:rPr>
          <w:szCs w:val="24"/>
          <w:lang w:val="lt-LT"/>
        </w:rPr>
        <w:t>).</w:t>
      </w:r>
    </w:p>
    <w:p w:rsidR="003A54F0" w:rsidRPr="00B90587" w:rsidRDefault="003A54F0" w:rsidP="003A54F0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B90587">
        <w:rPr>
          <w:szCs w:val="24"/>
          <w:lang w:val="lt-LT"/>
        </w:rPr>
        <w:t>Pagalbinės medžiagos yra minkštasis geltonas parafinas, vilnų riebalai.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A54F0" w:rsidRPr="00B90587" w:rsidRDefault="003A54F0" w:rsidP="003A54F0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 w:rsidRPr="00B90587">
        <w:rPr>
          <w:rFonts w:ascii="Times New Roman" w:hAnsi="Times New Roman"/>
          <w:sz w:val="22"/>
          <w:lang w:val="lt-LT"/>
        </w:rPr>
        <w:t>Posterisan</w:t>
      </w:r>
      <w:proofErr w:type="spellEnd"/>
      <w:r w:rsidRPr="00B90587">
        <w:rPr>
          <w:rFonts w:ascii="Times New Roman" w:hAnsi="Times New Roman"/>
          <w:sz w:val="22"/>
          <w:lang w:val="lt-LT"/>
        </w:rPr>
        <w:t xml:space="preserve"> išvaizda ir kiekis pakuotėje</w:t>
      </w:r>
    </w:p>
    <w:p w:rsidR="003A54F0" w:rsidRPr="00B90587" w:rsidRDefault="003A54F0" w:rsidP="003A54F0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Aliuminio tūbelėje su PE dangteliu yra 25 g </w:t>
      </w:r>
      <w:r>
        <w:rPr>
          <w:szCs w:val="24"/>
          <w:lang w:val="lt-LT"/>
        </w:rPr>
        <w:t xml:space="preserve">homogeniško, </w:t>
      </w:r>
      <w:r w:rsidRPr="00B90587">
        <w:rPr>
          <w:rFonts w:eastAsia="SimSun"/>
          <w:snapToGrid/>
          <w:szCs w:val="22"/>
          <w:lang w:val="lt-LT"/>
        </w:rPr>
        <w:t xml:space="preserve">baltos ar rusvai gelsvos spalvos </w:t>
      </w:r>
      <w:r w:rsidRPr="00B90587">
        <w:rPr>
          <w:szCs w:val="24"/>
          <w:lang w:val="lt-LT"/>
        </w:rPr>
        <w:t>tepalo.</w:t>
      </w:r>
    </w:p>
    <w:p w:rsidR="003A54F0" w:rsidRPr="00B90587" w:rsidRDefault="003A54F0" w:rsidP="003A54F0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Kartono dėžutėje yra 1 aliuminio tūbelė ir 1 </w:t>
      </w:r>
      <w:proofErr w:type="spellStart"/>
      <w:r w:rsidRPr="00B90587">
        <w:rPr>
          <w:szCs w:val="24"/>
          <w:lang w:val="lt-LT"/>
        </w:rPr>
        <w:t>aplikatorius</w:t>
      </w:r>
      <w:proofErr w:type="spellEnd"/>
      <w:r w:rsidRPr="00B90587">
        <w:rPr>
          <w:szCs w:val="24"/>
          <w:lang w:val="lt-LT"/>
        </w:rPr>
        <w:t>.</w:t>
      </w:r>
    </w:p>
    <w:p w:rsidR="003A54F0" w:rsidRDefault="003A54F0" w:rsidP="003A54F0">
      <w:pPr>
        <w:pStyle w:val="Antrat4"/>
        <w:rPr>
          <w:rFonts w:ascii="Times New Roman" w:hAnsi="Times New Roman"/>
          <w:sz w:val="22"/>
          <w:lang w:val="lt-LT"/>
        </w:rPr>
      </w:pPr>
    </w:p>
    <w:p w:rsidR="003A54F0" w:rsidRPr="00B90587" w:rsidRDefault="003A54F0" w:rsidP="003A54F0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Registruotojas ir gamintojas</w:t>
      </w:r>
    </w:p>
    <w:p w:rsidR="003A54F0" w:rsidRPr="00B90587" w:rsidRDefault="003A54F0" w:rsidP="003A54F0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DR. KADE </w:t>
      </w:r>
      <w:proofErr w:type="spellStart"/>
      <w:r w:rsidRPr="00B90587">
        <w:rPr>
          <w:szCs w:val="24"/>
          <w:lang w:val="lt-LT"/>
        </w:rPr>
        <w:t>Pharmazeutische</w:t>
      </w:r>
      <w:proofErr w:type="spellEnd"/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szCs w:val="24"/>
          <w:lang w:val="lt-LT"/>
        </w:rPr>
        <w:t>Fabrik</w:t>
      </w:r>
      <w:proofErr w:type="spellEnd"/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szCs w:val="24"/>
          <w:lang w:val="lt-LT"/>
        </w:rPr>
        <w:t>GmbH</w:t>
      </w:r>
      <w:proofErr w:type="spellEnd"/>
    </w:p>
    <w:p w:rsidR="003A54F0" w:rsidRPr="00B90587" w:rsidRDefault="003A54F0" w:rsidP="003A54F0">
      <w:pPr>
        <w:tabs>
          <w:tab w:val="clear" w:pos="567"/>
        </w:tabs>
        <w:spacing w:line="240" w:lineRule="auto"/>
        <w:rPr>
          <w:szCs w:val="24"/>
          <w:lang w:val="lt-LT"/>
        </w:rPr>
      </w:pPr>
      <w:proofErr w:type="spellStart"/>
      <w:r w:rsidRPr="00B90587">
        <w:rPr>
          <w:szCs w:val="24"/>
          <w:lang w:val="lt-LT"/>
        </w:rPr>
        <w:t>Rigistraße</w:t>
      </w:r>
      <w:proofErr w:type="spellEnd"/>
      <w:r w:rsidRPr="00B90587">
        <w:rPr>
          <w:szCs w:val="24"/>
          <w:lang w:val="lt-LT"/>
        </w:rPr>
        <w:t xml:space="preserve"> 2</w:t>
      </w:r>
    </w:p>
    <w:p w:rsidR="003A54F0" w:rsidRPr="00B90587" w:rsidRDefault="003A54F0" w:rsidP="003A54F0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12277 </w:t>
      </w:r>
      <w:proofErr w:type="spellStart"/>
      <w:r w:rsidRPr="00B90587">
        <w:rPr>
          <w:szCs w:val="24"/>
          <w:lang w:val="lt-LT"/>
        </w:rPr>
        <w:t>Berlin</w:t>
      </w:r>
      <w:proofErr w:type="spellEnd"/>
    </w:p>
    <w:p w:rsidR="003A54F0" w:rsidRPr="00B90587" w:rsidRDefault="003A54F0" w:rsidP="003A54F0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lastRenderedPageBreak/>
        <w:t>Vokietija</w:t>
      </w:r>
    </w:p>
    <w:p w:rsidR="003A54F0" w:rsidRPr="00B90587" w:rsidRDefault="003A54F0" w:rsidP="003A54F0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Tel.: +49 30 72082-0</w:t>
      </w:r>
    </w:p>
    <w:p w:rsidR="003A54F0" w:rsidRPr="00B90587" w:rsidRDefault="003A54F0" w:rsidP="003A54F0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Faksas: +49 30 72082-200</w:t>
      </w:r>
    </w:p>
    <w:p w:rsidR="003A54F0" w:rsidRPr="00B90587" w:rsidRDefault="003A54F0" w:rsidP="003A54F0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El. paštas: info@kade.de</w:t>
      </w: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A54F0" w:rsidRPr="00B90587" w:rsidRDefault="003A54F0" w:rsidP="003A54F0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Jeigu apie šį vaistą norite sužinoti daugiau, kreipkitės į vietinį registruotojo atstovą.</w:t>
      </w:r>
    </w:p>
    <w:p w:rsidR="003A54F0" w:rsidRPr="00B90587" w:rsidRDefault="003A54F0" w:rsidP="003A54F0">
      <w:pPr>
        <w:spacing w:line="240" w:lineRule="auto"/>
        <w:rPr>
          <w:szCs w:val="24"/>
          <w:lang w:val="lt-LT"/>
        </w:rPr>
      </w:pPr>
    </w:p>
    <w:p w:rsidR="003A54F0" w:rsidRPr="00B90587" w:rsidRDefault="003A54F0" w:rsidP="003A54F0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UAB </w:t>
      </w:r>
      <w:proofErr w:type="spellStart"/>
      <w:r w:rsidRPr="00B90587">
        <w:rPr>
          <w:szCs w:val="24"/>
          <w:lang w:val="lt-LT"/>
        </w:rPr>
        <w:t>Morfėjus</w:t>
      </w:r>
      <w:proofErr w:type="spellEnd"/>
    </w:p>
    <w:p w:rsidR="003A54F0" w:rsidRPr="00B90587" w:rsidRDefault="003A54F0" w:rsidP="003A54F0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Žalgirio g. 93-42</w:t>
      </w:r>
    </w:p>
    <w:p w:rsidR="003A54F0" w:rsidRPr="00B90587" w:rsidRDefault="003A54F0" w:rsidP="003A54F0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LT-08218 Vilnius</w:t>
      </w:r>
    </w:p>
    <w:p w:rsidR="003A54F0" w:rsidRPr="00B90587" w:rsidRDefault="003A54F0" w:rsidP="003A54F0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Tel. + 370 5 2796328</w:t>
      </w:r>
    </w:p>
    <w:p w:rsidR="003A54F0" w:rsidRPr="00B90587" w:rsidRDefault="003A54F0" w:rsidP="003A54F0">
      <w:pPr>
        <w:numPr>
          <w:ilvl w:val="12"/>
          <w:numId w:val="0"/>
        </w:numPr>
        <w:ind w:right="-2"/>
        <w:rPr>
          <w:szCs w:val="24"/>
          <w:lang w:val="lt-LT"/>
        </w:rPr>
      </w:pPr>
      <w:r>
        <w:rPr>
          <w:szCs w:val="24"/>
          <w:lang w:val="lt-LT"/>
        </w:rPr>
        <w:t xml:space="preserve">El. paštas: </w:t>
      </w:r>
      <w:r w:rsidRPr="00B90587">
        <w:rPr>
          <w:szCs w:val="24"/>
          <w:lang w:val="lt-LT"/>
        </w:rPr>
        <w:t>info@morfejus.lt</w:t>
      </w:r>
    </w:p>
    <w:p w:rsidR="003A54F0" w:rsidRPr="00B90587" w:rsidRDefault="003A54F0" w:rsidP="003A54F0">
      <w:pPr>
        <w:numPr>
          <w:ilvl w:val="12"/>
          <w:numId w:val="0"/>
        </w:numPr>
        <w:ind w:right="-2"/>
        <w:rPr>
          <w:lang w:val="lt-LT"/>
        </w:rPr>
      </w:pPr>
    </w:p>
    <w:p w:rsidR="003A54F0" w:rsidRPr="00B90587" w:rsidRDefault="003A54F0" w:rsidP="003A5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lt-LT"/>
        </w:rPr>
      </w:pPr>
      <w:r w:rsidRPr="00B90587">
        <w:rPr>
          <w:b/>
          <w:lang w:val="lt-LT"/>
        </w:rPr>
        <w:t xml:space="preserve">Šis pakuotės lapelis paskutinį kartą peržiūrėtas </w:t>
      </w:r>
      <w:r>
        <w:rPr>
          <w:b/>
          <w:lang w:val="lt-LT"/>
        </w:rPr>
        <w:t>2018-06-28.</w:t>
      </w:r>
    </w:p>
    <w:p w:rsidR="003A54F0" w:rsidRPr="00B90587" w:rsidRDefault="003A54F0" w:rsidP="003A54F0">
      <w:pPr>
        <w:numPr>
          <w:ilvl w:val="12"/>
          <w:numId w:val="0"/>
        </w:numPr>
        <w:spacing w:line="240" w:lineRule="auto"/>
        <w:ind w:right="-2"/>
        <w:rPr>
          <w:i/>
          <w:szCs w:val="24"/>
          <w:lang w:val="lt-LT"/>
        </w:rPr>
      </w:pPr>
    </w:p>
    <w:p w:rsidR="003A54F0" w:rsidRDefault="003A54F0" w:rsidP="003A54F0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 w:rsidRPr="00B90587">
        <w:rPr>
          <w:lang w:val="lt-LT"/>
        </w:rPr>
        <w:t xml:space="preserve">Išsami informacija apie šį </w:t>
      </w:r>
      <w:r w:rsidRPr="00B90587">
        <w:rPr>
          <w:szCs w:val="24"/>
          <w:lang w:val="lt-LT"/>
        </w:rPr>
        <w:t>vaistą</w:t>
      </w:r>
      <w:r w:rsidRPr="00B90587">
        <w:rPr>
          <w:lang w:val="lt-LT"/>
        </w:rPr>
        <w:t xml:space="preserve"> pateikiama Valstybinės vaistų kontrolės tarnybos prie Lietuvos Respublikos sveikatos apsaugos ministerijos tinklalapyje</w:t>
      </w:r>
      <w:r w:rsidRPr="00B90587">
        <w:rPr>
          <w:i/>
          <w:szCs w:val="24"/>
          <w:lang w:val="lt-LT"/>
        </w:rPr>
        <w:t xml:space="preserve"> </w:t>
      </w:r>
      <w:hyperlink r:id="rId8" w:history="1">
        <w:r w:rsidRPr="00B90587">
          <w:rPr>
            <w:rStyle w:val="Hipersaitas"/>
            <w:rFonts w:eastAsia="SimSun"/>
            <w:lang w:val="lt-LT"/>
          </w:rPr>
          <w:t>http://www.vvkt.lt/</w:t>
        </w:r>
      </w:hyperlink>
      <w:r w:rsidRPr="00B90587">
        <w:rPr>
          <w:lang w:val="lt-LT"/>
        </w:rPr>
        <w:t>.</w:t>
      </w:r>
    </w:p>
    <w:p w:rsidR="003A54F0" w:rsidRDefault="003A54F0" w:rsidP="003A54F0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</w:p>
    <w:p w:rsidR="003A54F0" w:rsidRPr="00B90587" w:rsidRDefault="003A54F0" w:rsidP="003A54F0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</w:p>
    <w:p w:rsidR="00A62BDD" w:rsidRPr="003A54F0" w:rsidRDefault="00A62BDD">
      <w:pPr>
        <w:rPr>
          <w:lang w:val="lt-LT"/>
        </w:rPr>
      </w:pPr>
      <w:bookmarkStart w:id="0" w:name="_GoBack"/>
      <w:bookmarkEnd w:id="0"/>
      <w:permStart w:id="1549558889" w:edGrp="everyone"/>
      <w:permEnd w:id="1549558889"/>
    </w:p>
    <w:sectPr w:rsidR="00A62BDD" w:rsidRPr="003A54F0" w:rsidSect="00B16908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Z19QrKeiv0uUfNKYOeMWji9ZyXrJuv0oiyTTy3B62t2gtZAQ/cY5kcf5k6Ub/DmXPgDZqrksgivPYQ//0tU0g==" w:salt="yV2qUXiybxn1miELhtss7w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F0"/>
    <w:rsid w:val="0038100F"/>
    <w:rsid w:val="003A54F0"/>
    <w:rsid w:val="00A6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2B025-F711-4B9D-A55B-E53CB23C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54F0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3A54F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3A54F0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A54F0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3A54F0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3A54F0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3A54F0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styleId="Hipersaitas">
    <w:name w:val="Hyperlink"/>
    <w:uiPriority w:val="99"/>
    <w:rsid w:val="003A54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5280</Words>
  <Characters>3010</Characters>
  <Application>Microsoft Office Word</Application>
  <DocSecurity>8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2</cp:revision>
  <dcterms:created xsi:type="dcterms:W3CDTF">2018-06-28T12:20:00Z</dcterms:created>
  <dcterms:modified xsi:type="dcterms:W3CDTF">2018-06-28T12:21:00Z</dcterms:modified>
</cp:coreProperties>
</file>