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6FB" w:rsidRPr="005A7E2F" w:rsidRDefault="000F56FB" w:rsidP="000F56FB">
      <w:pPr>
        <w:spacing w:after="0" w:line="240" w:lineRule="auto"/>
        <w:ind w:left="567" w:hanging="567"/>
        <w:jc w:val="center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</w:rPr>
        <w:t>Pakuotės lapelis</w:t>
      </w:r>
      <w:r w:rsidRPr="005A7E2F">
        <w:rPr>
          <w:rFonts w:ascii="Times New Roman" w:hAnsi="Times New Roman"/>
          <w:b/>
          <w:caps/>
        </w:rPr>
        <w:t xml:space="preserve">: </w:t>
      </w:r>
      <w:r w:rsidRPr="005A7E2F">
        <w:rPr>
          <w:rFonts w:ascii="Times New Roman" w:hAnsi="Times New Roman"/>
          <w:b/>
        </w:rPr>
        <w:t>informacija vartotojui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ind w:left="567" w:hanging="567"/>
        <w:jc w:val="center"/>
        <w:rPr>
          <w:rFonts w:ascii="Times New Roman" w:hAnsi="Times New Roman"/>
        </w:rPr>
      </w:pPr>
      <w:r w:rsidRPr="005A7E2F">
        <w:rPr>
          <w:rFonts w:ascii="Times New Roman" w:hAnsi="Times New Roman"/>
          <w:b/>
          <w:caps/>
        </w:rPr>
        <w:t>Medetkų tinktūra BP</w:t>
      </w:r>
      <w:r w:rsidRPr="005A7E2F">
        <w:rPr>
          <w:rFonts w:ascii="Times New Roman" w:hAnsi="Times New Roman"/>
          <w:b/>
        </w:rPr>
        <w:t xml:space="preserve"> odos tirpalas ar koncentratas burnos gleivinės tirpalui</w:t>
      </w:r>
    </w:p>
    <w:p w:rsidR="000F56FB" w:rsidRPr="005A7E2F" w:rsidRDefault="000F56FB" w:rsidP="000F56F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lt-LT"/>
        </w:rPr>
        <w:t>m</w:t>
      </w:r>
      <w:r w:rsidRPr="00895AC3">
        <w:rPr>
          <w:rFonts w:ascii="Times New Roman" w:eastAsia="Times New Roman" w:hAnsi="Times New Roman" w:cs="Times New Roman"/>
          <w:lang w:eastAsia="lt-LT"/>
        </w:rPr>
        <w:t>edetkų</w:t>
      </w:r>
      <w:r w:rsidRPr="005A7E2F">
        <w:rPr>
          <w:rFonts w:ascii="Times New Roman" w:hAnsi="Times New Roman"/>
        </w:rPr>
        <w:t xml:space="preserve"> tinktūra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jc w:val="center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Tradicinis augalinis vaistinis preparatas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t>Atidžiai perskaitykite visą šį lapelį, prieš pradėdami vartoti vaistą, nes jame pateikiama Jums svarbi informacija</w:t>
      </w:r>
    </w:p>
    <w:p w:rsidR="000F56FB" w:rsidRPr="005A7E2F" w:rsidRDefault="000F56FB" w:rsidP="000F56F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:rsidR="000F56FB" w:rsidRPr="005A7E2F" w:rsidRDefault="000F56FB" w:rsidP="000F56FB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>Neišmeskite šio lapelio, nes vėl gali prireikti jį perskaityti.</w:t>
      </w:r>
    </w:p>
    <w:p w:rsidR="000F56FB" w:rsidRPr="005A7E2F" w:rsidRDefault="000F56FB" w:rsidP="000F56FB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>Jeigu norite sužinoti daugiau arba pasitarti, kreipkitės į vaistininką.</w:t>
      </w:r>
    </w:p>
    <w:p w:rsidR="000F56FB" w:rsidRPr="005A7E2F" w:rsidRDefault="000F56FB" w:rsidP="000F56FB">
      <w:pPr>
        <w:tabs>
          <w:tab w:val="left" w:pos="540"/>
        </w:tabs>
        <w:spacing w:after="0" w:line="240" w:lineRule="auto"/>
        <w:ind w:left="539" w:hanging="539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>Jeigu pasireiškė šalutinis poveikis (net jeigu jis šiame lapelyje nenurodytas), kreipkitės į gydytoją arba vaistininką. Žr. 4 skyrių.</w:t>
      </w:r>
    </w:p>
    <w:p w:rsidR="000F56FB" w:rsidRPr="005A7E2F" w:rsidRDefault="000F56FB" w:rsidP="000F56FB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>Jeigu per 7 dienas Jūsų savijauta nepagerėjo arba net pablogėjo, kreipkitės į gydytoją.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t>Apie ką rašoma šiame lapelyje?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1.</w:t>
      </w:r>
      <w:r w:rsidRPr="005A7E2F">
        <w:rPr>
          <w:rFonts w:ascii="Times New Roman" w:hAnsi="Times New Roman"/>
        </w:rPr>
        <w:tab/>
        <w:t xml:space="preserve">Kas yra </w:t>
      </w:r>
      <w:r w:rsidRPr="005A7E2F">
        <w:rPr>
          <w:rFonts w:ascii="Times New Roman" w:hAnsi="Times New Roman"/>
          <w:caps/>
        </w:rPr>
        <w:t>Medetkų tinktūra BP</w:t>
      </w:r>
      <w:r w:rsidRPr="005A7E2F">
        <w:rPr>
          <w:rFonts w:ascii="Times New Roman" w:hAnsi="Times New Roman"/>
        </w:rPr>
        <w:t xml:space="preserve"> ir kam jis vartojamas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2.</w:t>
      </w:r>
      <w:r w:rsidRPr="005A7E2F">
        <w:rPr>
          <w:rFonts w:ascii="Times New Roman" w:hAnsi="Times New Roman"/>
        </w:rPr>
        <w:tab/>
        <w:t xml:space="preserve">Kas žinotina prieš vartojant </w:t>
      </w:r>
      <w:r w:rsidRPr="005A7E2F">
        <w:rPr>
          <w:rFonts w:ascii="Times New Roman" w:hAnsi="Times New Roman"/>
          <w:caps/>
        </w:rPr>
        <w:t>Medetkų tinktūrA BP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3.</w:t>
      </w:r>
      <w:r w:rsidRPr="005A7E2F">
        <w:rPr>
          <w:rFonts w:ascii="Times New Roman" w:hAnsi="Times New Roman"/>
        </w:rPr>
        <w:tab/>
        <w:t xml:space="preserve">Kaip vartoti </w:t>
      </w:r>
      <w:r w:rsidRPr="005A7E2F">
        <w:rPr>
          <w:rFonts w:ascii="Times New Roman" w:hAnsi="Times New Roman"/>
          <w:caps/>
        </w:rPr>
        <w:t>Medetkų tinktūrA BP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4.</w:t>
      </w:r>
      <w:r w:rsidRPr="005A7E2F">
        <w:rPr>
          <w:rFonts w:ascii="Times New Roman" w:hAnsi="Times New Roman"/>
        </w:rPr>
        <w:tab/>
        <w:t>Galimas šalutinis poveikis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5.</w:t>
      </w:r>
      <w:r w:rsidRPr="005A7E2F">
        <w:rPr>
          <w:rFonts w:ascii="Times New Roman" w:hAnsi="Times New Roman"/>
        </w:rPr>
        <w:tab/>
        <w:t xml:space="preserve">Kaip laikyti </w:t>
      </w:r>
      <w:r w:rsidRPr="005A7E2F">
        <w:rPr>
          <w:rFonts w:ascii="Times New Roman" w:hAnsi="Times New Roman"/>
          <w:caps/>
        </w:rPr>
        <w:t>Medetkų tinktūrA BP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6.</w:t>
      </w:r>
      <w:r w:rsidRPr="005A7E2F">
        <w:rPr>
          <w:rFonts w:ascii="Times New Roman" w:hAnsi="Times New Roman"/>
        </w:rPr>
        <w:tab/>
        <w:t>Pakuotės turinys ir kita informacija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1.</w:t>
      </w:r>
      <w:r w:rsidRPr="005A7E2F">
        <w:rPr>
          <w:rFonts w:ascii="Times New Roman" w:hAnsi="Times New Roman"/>
          <w:b/>
          <w:caps/>
        </w:rPr>
        <w:tab/>
        <w:t>K</w:t>
      </w:r>
      <w:r w:rsidRPr="005A7E2F">
        <w:rPr>
          <w:rFonts w:ascii="Times New Roman" w:hAnsi="Times New Roman"/>
          <w:b/>
        </w:rPr>
        <w:t>as yra</w:t>
      </w:r>
      <w:r w:rsidRPr="005A7E2F">
        <w:rPr>
          <w:rFonts w:ascii="Times New Roman" w:hAnsi="Times New Roman"/>
          <w:b/>
          <w:caps/>
        </w:rPr>
        <w:t xml:space="preserve"> MEDETKŲ TINKTŪRA BP </w:t>
      </w:r>
      <w:r w:rsidRPr="005A7E2F">
        <w:rPr>
          <w:rFonts w:ascii="Times New Roman" w:hAnsi="Times New Roman"/>
          <w:b/>
        </w:rPr>
        <w:t>ir kam jis vartojamas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tabs>
          <w:tab w:val="left" w:pos="-709"/>
        </w:tabs>
        <w:spacing w:before="120"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Tradicinis augalinis vaistinis preparatas, kurio indikacijos pagrįstos tik ilgalaikiu vartojimu, skirtas nestiprių odos uždegimų (pavyzdžiui, nudegimų nuo saulės) simptominiam gydymui ir kaip nedidelių žaizdų gijimą skatinanti priemonė.</w:t>
      </w:r>
    </w:p>
    <w:p w:rsidR="000F56FB" w:rsidRPr="005A7E2F" w:rsidRDefault="000F56FB" w:rsidP="000F56FB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Taip pat šis tradicinis augalinis vaistinis preparatas gali būti vartojamas nestipraus burnos ertmės ar gerklės uždegimo simptominiam gydymui.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Jeigu per 7 dienas Jūsų savijauta nepagerėjo arba net pablogėjo, kreipkitės į gydytoją.</w:t>
      </w:r>
    </w:p>
    <w:p w:rsidR="000F56FB" w:rsidRPr="005A7E2F" w:rsidRDefault="000F56FB" w:rsidP="000F56FB">
      <w:pPr>
        <w:tabs>
          <w:tab w:val="left" w:pos="-709"/>
        </w:tabs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2.</w:t>
      </w:r>
      <w:r w:rsidRPr="005A7E2F">
        <w:rPr>
          <w:rFonts w:ascii="Times New Roman" w:hAnsi="Times New Roman"/>
          <w:b/>
          <w:caps/>
        </w:rPr>
        <w:tab/>
      </w:r>
      <w:r w:rsidRPr="005A7E2F">
        <w:rPr>
          <w:rFonts w:ascii="Times New Roman" w:hAnsi="Times New Roman"/>
          <w:b/>
        </w:rPr>
        <w:t xml:space="preserve">Kas žinotina prieš vartojant </w:t>
      </w:r>
      <w:r w:rsidRPr="005A7E2F">
        <w:rPr>
          <w:rFonts w:ascii="Times New Roman" w:hAnsi="Times New Roman"/>
          <w:b/>
          <w:caps/>
        </w:rPr>
        <w:t>MEDETKŲ TINKTŪRA BP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 xml:space="preserve">MEDETKŲ TINKTŪRA BP vartoti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5A7E2F">
        <w:rPr>
          <w:rFonts w:ascii="Times New Roman" w:hAnsi="Times New Roman"/>
          <w:b/>
        </w:rPr>
        <w:t>: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 xml:space="preserve">jeigu padidėjęs jautrumas </w:t>
      </w:r>
      <w:proofErr w:type="spellStart"/>
      <w:r w:rsidRPr="005A7E2F">
        <w:rPr>
          <w:rFonts w:ascii="Times New Roman" w:hAnsi="Times New Roman"/>
          <w:i/>
        </w:rPr>
        <w:t>Asteraceae</w:t>
      </w:r>
      <w:proofErr w:type="spellEnd"/>
      <w:r w:rsidRPr="005A7E2F">
        <w:rPr>
          <w:rFonts w:ascii="Times New Roman" w:hAnsi="Times New Roman"/>
        </w:rPr>
        <w:t xml:space="preserve"> </w:t>
      </w:r>
      <w:r w:rsidRPr="005A7E2F">
        <w:rPr>
          <w:rFonts w:ascii="Times New Roman" w:hAnsi="Times New Roman"/>
          <w:i/>
        </w:rPr>
        <w:t>(</w:t>
      </w:r>
      <w:proofErr w:type="spellStart"/>
      <w:r w:rsidRPr="005A7E2F">
        <w:rPr>
          <w:rFonts w:ascii="Times New Roman" w:hAnsi="Times New Roman"/>
          <w:i/>
        </w:rPr>
        <w:t>Compositae</w:t>
      </w:r>
      <w:proofErr w:type="spellEnd"/>
      <w:r w:rsidRPr="005A7E2F">
        <w:rPr>
          <w:rFonts w:ascii="Times New Roman" w:hAnsi="Times New Roman"/>
          <w:i/>
        </w:rPr>
        <w:t>)</w:t>
      </w:r>
      <w:r w:rsidRPr="005A7E2F">
        <w:rPr>
          <w:rFonts w:ascii="Times New Roman" w:hAnsi="Times New Roman"/>
        </w:rPr>
        <w:t xml:space="preserve"> (</w:t>
      </w:r>
      <w:proofErr w:type="spellStart"/>
      <w:r w:rsidRPr="005A7E2F">
        <w:rPr>
          <w:rFonts w:ascii="Times New Roman" w:hAnsi="Times New Roman"/>
        </w:rPr>
        <w:t>liet</w:t>
      </w:r>
      <w:proofErr w:type="spellEnd"/>
      <w:r w:rsidRPr="005A7E2F">
        <w:rPr>
          <w:rFonts w:ascii="Times New Roman" w:hAnsi="Times New Roman"/>
        </w:rPr>
        <w:t>. astrinių, graižažiedžių) šeimos augalams.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i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Įspėjimai ir atsargumo priemonės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Šio vaisto negalima tepti ant atviros žaizdos, šlapiuojančios egzemos ir gleivinės.</w:t>
      </w:r>
    </w:p>
    <w:p w:rsidR="000F56FB" w:rsidRPr="00854C27" w:rsidRDefault="000F56FB" w:rsidP="000F56F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D39D4">
        <w:rPr>
          <w:rFonts w:ascii="Times New Roman" w:eastAsia="Times New Roman" w:hAnsi="Times New Roman" w:cs="Times New Roman"/>
          <w:szCs w:val="20"/>
          <w:lang w:eastAsia="lt-LT"/>
        </w:rPr>
        <w:t xml:space="preserve">Kiekviename šio vaisto ml yra </w:t>
      </w:r>
      <w:r w:rsidRPr="001717A7">
        <w:rPr>
          <w:rFonts w:ascii="Times New Roman" w:eastAsia="Times New Roman" w:hAnsi="Times New Roman" w:cs="Times New Roman"/>
          <w:szCs w:val="20"/>
          <w:lang w:eastAsia="lt-LT"/>
        </w:rPr>
        <w:t>513</w:t>
      </w:r>
      <w:r w:rsidRPr="00BD39D4">
        <w:rPr>
          <w:rFonts w:ascii="Times New Roman" w:eastAsia="Times New Roman" w:hAnsi="Times New Roman" w:cs="Times New Roman"/>
          <w:szCs w:val="20"/>
          <w:lang w:eastAsia="lt-LT"/>
        </w:rPr>
        <w:t xml:space="preserve"> mg alkoholio (etanolio</w:t>
      </w:r>
      <w:r w:rsidRPr="00854C27">
        <w:rPr>
          <w:rFonts w:ascii="Times New Roman" w:eastAsia="Times New Roman" w:hAnsi="Times New Roman" w:cs="Times New Roman"/>
          <w:szCs w:val="20"/>
          <w:lang w:eastAsia="lt-LT"/>
        </w:rPr>
        <w:t>) (70</w:t>
      </w:r>
      <w:r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Pr="00854C27">
        <w:rPr>
          <w:rFonts w:ascii="Times New Roman" w:eastAsia="Times New Roman" w:hAnsi="Times New Roman" w:cs="Times New Roman"/>
          <w:szCs w:val="20"/>
          <w:lang w:eastAsia="lt-LT"/>
        </w:rPr>
        <w:t>% V/V). Ant pažeistos odos plotų etanolis gali sukelti deginimo pojūtį.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Jei pasireiškė odos infekcijos požymių, būtina pasitarti su gydytoju ar vaistininku.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  <w:lang w:val="es-ES_tradnl"/>
        </w:rPr>
        <w:t>J</w:t>
      </w:r>
      <w:r w:rsidRPr="005A7E2F">
        <w:rPr>
          <w:rFonts w:ascii="Times New Roman" w:hAnsi="Times New Roman"/>
        </w:rPr>
        <w:t>ei vartojant šio vaisto simptomai neišnyksta per 1 savaitę, būtina pasitarti su gydytoju arba vaistininku.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keepNext/>
        <w:numPr>
          <w:ilvl w:val="12"/>
          <w:numId w:val="0"/>
        </w:numPr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Vaikams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šio vaisto ant odos nerekomenduojama vartoti jaunesniems nei 6 metų vaikams.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lastRenderedPageBreak/>
        <w:t>Kadangi trūksta duomenų, šio vaisto gerklei ir burnos ertmei skalauti nerekomenduojama vartoti jaunesniems nei 12 metų vaikams.</w:t>
      </w:r>
    </w:p>
    <w:p w:rsidR="000F56FB" w:rsidRPr="005A7E2F" w:rsidRDefault="000F56FB" w:rsidP="000F56F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Kiti vaistai ir MEDETKŲ TINKTŪRA BP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Jeigu vartojate arba neseniai vartojote kitų vaistų arba dėl to nesate tikri, apie tai pasakykite gydytojui arba vaistininkui.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Nėštumas ir žindymo laikotarpis</w:t>
      </w:r>
    </w:p>
    <w:p w:rsidR="000F56FB" w:rsidRPr="00FF7C46" w:rsidRDefault="000F56FB" w:rsidP="000F56FB">
      <w:pPr>
        <w:spacing w:after="0" w:line="240" w:lineRule="auto"/>
        <w:rPr>
          <w:rFonts w:ascii="Times New Roman" w:hAnsi="Times New Roman"/>
        </w:rPr>
      </w:pPr>
      <w:bookmarkStart w:id="0" w:name="OLE_LINK2"/>
      <w:bookmarkStart w:id="1" w:name="OLE_LINK3"/>
      <w:r w:rsidRPr="00FF7C46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0F56FB" w:rsidRPr="00895AC3" w:rsidRDefault="000F56FB" w:rsidP="000F56FB">
      <w:pPr>
        <w:spacing w:after="0" w:line="240" w:lineRule="auto"/>
        <w:rPr>
          <w:rFonts w:ascii="Times New Roman" w:hAnsi="Times New Roman"/>
          <w:szCs w:val="24"/>
          <w:lang w:val="es-ES_tradnl"/>
        </w:rPr>
      </w:pPr>
      <w:r w:rsidRPr="005A7E2F">
        <w:rPr>
          <w:rFonts w:ascii="Times New Roman" w:hAnsi="Times New Roman"/>
        </w:rPr>
        <w:t>Nėra jokių duomenų apie vaisto saugumą nėščiosioms ir žindyvėms.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lang w:val="es-ES_tradnl"/>
        </w:rPr>
      </w:pPr>
      <w:r w:rsidRPr="005A7E2F">
        <w:rPr>
          <w:rFonts w:ascii="Times New Roman" w:hAnsi="Times New Roman"/>
        </w:rPr>
        <w:t>Nerekomenduojama vartoti nėščiosioms ir žindyvėms.</w:t>
      </w:r>
    </w:p>
    <w:bookmarkEnd w:id="0"/>
    <w:bookmarkEnd w:id="1"/>
    <w:p w:rsidR="000F56FB" w:rsidRPr="005A7E2F" w:rsidRDefault="000F56FB" w:rsidP="000F56FB">
      <w:pPr>
        <w:spacing w:after="0" w:line="240" w:lineRule="auto"/>
        <w:rPr>
          <w:rFonts w:ascii="Times New Roman" w:hAnsi="Times New Roman"/>
          <w:lang w:val="es-ES_tradnl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Vairavimas ir mechanizmų valdymas</w:t>
      </w:r>
    </w:p>
    <w:p w:rsidR="000F56FB" w:rsidRPr="005A7E2F" w:rsidRDefault="000F56FB" w:rsidP="000F56FB">
      <w:pPr>
        <w:spacing w:after="0" w:line="240" w:lineRule="auto"/>
      </w:pPr>
      <w:r w:rsidRPr="005A7E2F">
        <w:rPr>
          <w:rFonts w:ascii="Times New Roman" w:hAnsi="Times New Roman"/>
        </w:rPr>
        <w:t>Duomenys neaktualūs.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3.</w:t>
      </w:r>
      <w:r w:rsidRPr="005A7E2F">
        <w:rPr>
          <w:rFonts w:ascii="Times New Roman" w:hAnsi="Times New Roman"/>
          <w:b/>
          <w:caps/>
        </w:rPr>
        <w:tab/>
      </w:r>
      <w:r w:rsidRPr="005A7E2F">
        <w:rPr>
          <w:rFonts w:ascii="Times New Roman" w:hAnsi="Times New Roman"/>
          <w:b/>
        </w:rPr>
        <w:t xml:space="preserve">Kaip vartoti </w:t>
      </w:r>
      <w:r w:rsidRPr="005A7E2F">
        <w:rPr>
          <w:rFonts w:ascii="Times New Roman" w:hAnsi="Times New Roman"/>
          <w:b/>
          <w:caps/>
        </w:rPr>
        <w:t>MEDETKŲ TINKTŪRA BP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kern w:val="28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Visada vartokite šį vaistą tiksliai kaip aprašyta šiame lapelyje arba kaip nurodė gydytojas arba vaistininkas. Jeigu abejojate, kreipkitės į gydytoją arba vaistininką.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kern w:val="28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Vartoti ant odos ar ant burnos gleivinės.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kern w:val="28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Nestiprių odos uždegimų </w:t>
      </w:r>
      <w:r w:rsidRPr="005A7E2F">
        <w:rPr>
          <w:rFonts w:ascii="Times New Roman" w:hAnsi="Times New Roman"/>
          <w:kern w:val="28"/>
        </w:rPr>
        <w:t>gydymui vartoti ant odos 2–4 kartus per parą</w:t>
      </w:r>
      <w:r w:rsidRPr="005A7E2F">
        <w:rPr>
          <w:rFonts w:ascii="Times New Roman" w:hAnsi="Times New Roman"/>
        </w:rPr>
        <w:t>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lang w:val="es-ES_tradnl"/>
        </w:rPr>
      </w:pPr>
      <w:r w:rsidRPr="005A7E2F">
        <w:rPr>
          <w:rFonts w:ascii="Times New Roman" w:hAnsi="Times New Roman"/>
        </w:rPr>
        <w:t>Naudojant kompresus, atskiesti šviežiai virintu vandeniu santykiu ne mažiau kaip 1:3. Kompresą</w:t>
      </w:r>
      <w:r w:rsidRPr="005A7E2F">
        <w:rPr>
          <w:rFonts w:ascii="Times New Roman" w:hAnsi="Times New Roman"/>
          <w:lang w:val="es-ES_tradnl"/>
        </w:rPr>
        <w:t xml:space="preserve"> </w:t>
      </w:r>
      <w:r w:rsidRPr="005A7E2F">
        <w:rPr>
          <w:rFonts w:ascii="Times New Roman" w:hAnsi="Times New Roman"/>
        </w:rPr>
        <w:t>nuimti po 30–60 minučių.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2 % vaisto tirpalas vartojamas gerklei ir burnos ertmei skalauti. Įpilti arbatinį šaukštelį vaisto į 250 ml virinto vandens ir tokiu tirpalu skalauti gerklę daug kartų per dieną.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  <w:lang w:val="es-ES_tradnl"/>
        </w:rPr>
        <w:t>J</w:t>
      </w:r>
      <w:r w:rsidRPr="005A7E2F">
        <w:rPr>
          <w:rFonts w:ascii="Times New Roman" w:hAnsi="Times New Roman"/>
        </w:rPr>
        <w:t>ei vartojant šio vaisto simptomai neišnyksta per 1 savaitę, būtina pasitarti su gydytoju arba vaistininku.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keepNext/>
        <w:spacing w:after="0" w:line="240" w:lineRule="auto"/>
        <w:outlineLvl w:val="2"/>
      </w:pPr>
      <w:r w:rsidRPr="009F1DDC">
        <w:rPr>
          <w:rFonts w:ascii="Times New Roman" w:hAnsi="Times New Roman"/>
          <w:b/>
        </w:rPr>
        <w:t>Vartojimas vaikams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šio vaisto ant odos nerekomenduojama vartoti jaunesniems nei 6 metų vaikams.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šio vaisto preparato gerklei ir burnos ertmei skalauti nerekomenduojama vartoti jaunesniems nei 12 metų vaikams.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Jeigu kiltų daugiau klausimų dėl šio vaisto vartojimo, kreipkitės į gydytoją arba vaistininką.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4.</w:t>
      </w:r>
      <w:r w:rsidRPr="005A7E2F">
        <w:rPr>
          <w:rFonts w:ascii="Times New Roman" w:hAnsi="Times New Roman"/>
          <w:b/>
          <w:caps/>
        </w:rPr>
        <w:tab/>
        <w:t>G</w:t>
      </w:r>
      <w:r w:rsidRPr="005A7E2F">
        <w:rPr>
          <w:rFonts w:ascii="Times New Roman" w:hAnsi="Times New Roman"/>
          <w:b/>
        </w:rPr>
        <w:t>alimas šalutinis poveikis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</w:pPr>
      <w:r w:rsidRPr="005A7E2F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Default="000F56FB" w:rsidP="000F56FB">
      <w:pPr>
        <w:spacing w:after="0" w:line="240" w:lineRule="auto"/>
        <w:rPr>
          <w:rFonts w:ascii="Times New Roman" w:hAnsi="Times New Roman"/>
        </w:rPr>
      </w:pPr>
      <w:r w:rsidRPr="003D1780">
        <w:rPr>
          <w:rFonts w:ascii="Times New Roman" w:hAnsi="Times New Roman"/>
          <w:b/>
        </w:rPr>
        <w:t>Šalutinio poveikio reiškiniai, kurių dažnis nežinomas (negali būti apskaičiuotas pagal turimus duomenis):</w:t>
      </w:r>
    </w:p>
    <w:p w:rsidR="000F56FB" w:rsidRPr="00895AC3" w:rsidRDefault="000F56FB" w:rsidP="000F56FB">
      <w:pPr>
        <w:spacing w:after="0" w:line="240" w:lineRule="auto"/>
        <w:rPr>
          <w:rFonts w:ascii="Times New Roman" w:hAnsi="Times New Roman"/>
          <w:szCs w:val="24"/>
          <w:lang w:val="es-ES_tradnl"/>
        </w:rPr>
      </w:pPr>
      <w:r w:rsidRPr="00FF7C46">
        <w:rPr>
          <w:rFonts w:ascii="Times New Roman" w:hAnsi="Times New Roman"/>
        </w:rPr>
        <w:t>Galima alerginė odos reakcija.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t>Pranešimas apie šalutinį poveikį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r w:rsidRPr="003D1780">
        <w:rPr>
          <w:rFonts w:ascii="Times New Roman" w:eastAsia="Times New Roman" w:hAnsi="Times New Roman" w:cs="Times New Roman"/>
          <w:snapToGrid w:val="0"/>
          <w:szCs w:val="20"/>
        </w:rPr>
        <w:t>Pranešimą apie</w:t>
      </w:r>
      <w:r w:rsidRPr="005A7E2F">
        <w:rPr>
          <w:rFonts w:ascii="Times New Roman" w:hAnsi="Times New Roman"/>
        </w:rPr>
        <w:t xml:space="preserve"> šalutinį poveikį galite pateikti </w:t>
      </w:r>
      <w:r w:rsidRPr="003D1780">
        <w:rPr>
          <w:rFonts w:ascii="Times New Roman" w:eastAsia="Times New Roman" w:hAnsi="Times New Roman" w:cs="Times New Roman"/>
          <w:snapToGrid w:val="0"/>
          <w:szCs w:val="20"/>
        </w:rPr>
        <w:t>šiais būdais: tiesiogiai užpildant formą internetu</w:t>
      </w:r>
      <w:r w:rsidRPr="005A7E2F">
        <w:rPr>
          <w:rFonts w:ascii="Times New Roman" w:hAnsi="Times New Roman"/>
        </w:rPr>
        <w:t xml:space="preserve"> Valstybinės vaistų kontrolės tarnybos prie Lietuvos Respublikos sveikatos apsaugos ministerijos </w:t>
      </w:r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Vaistinių preparatų informacinėje sistemoje </w:t>
      </w:r>
      <w:hyperlink r:id="rId5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 arba </w:t>
      </w:r>
      <w:r w:rsidRPr="003D1780">
        <w:rPr>
          <w:rFonts w:ascii="Times New Roman" w:eastAsia="Times New Roman" w:hAnsi="Times New Roman" w:cs="Times New Roman"/>
          <w:snapToGrid w:val="0"/>
          <w:szCs w:val="20"/>
        </w:rPr>
        <w:lastRenderedPageBreak/>
        <w:t xml:space="preserve">užpildant Paciento pranešimo apie įtariamą nepageidaujamą reakciją (ĮNR) formą, kuri skelbiama </w:t>
      </w:r>
      <w:hyperlink r:id="rId6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 w:rsidRPr="005A7E2F">
        <w:rPr>
          <w:rFonts w:ascii="Times New Roman" w:hAnsi="Times New Roman"/>
        </w:rPr>
        <w:t xml:space="preserve"> Pranešdami apie šalutinį poveikį galite mums padėti gauti daugiau informacijos apie šio vaisto saugumą.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5.</w:t>
      </w:r>
      <w:r w:rsidRPr="005A7E2F">
        <w:rPr>
          <w:rFonts w:ascii="Times New Roman" w:hAnsi="Times New Roman"/>
          <w:b/>
          <w:caps/>
        </w:rPr>
        <w:tab/>
        <w:t>K</w:t>
      </w:r>
      <w:r w:rsidRPr="005A7E2F">
        <w:rPr>
          <w:rFonts w:ascii="Times New Roman" w:hAnsi="Times New Roman"/>
          <w:b/>
        </w:rPr>
        <w:t>aip laikyti</w:t>
      </w:r>
      <w:r w:rsidRPr="005A7E2F">
        <w:rPr>
          <w:rFonts w:ascii="Times New Roman" w:hAnsi="Times New Roman"/>
          <w:b/>
          <w:caps/>
        </w:rPr>
        <w:t xml:space="preserve"> MEDETKŲ TINKTŪRA BP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5A7E2F">
        <w:rPr>
          <w:rFonts w:ascii="Times New Roman" w:hAnsi="Times New Roman"/>
          <w:color w:val="000000"/>
        </w:rPr>
        <w:t>Šį vaistą laikykite vaikams nepastebimoje ir nepasiekiamoje vietoje.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Laikyti ne aukštesnėje kaip 25 ºC temperatūroje.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išorinėje dėžutėje, kad vaistas būtų apsaugotas nuo šviesos.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sandarų.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</w:pPr>
      <w:r w:rsidRPr="005A7E2F">
        <w:rPr>
          <w:rFonts w:ascii="Times New Roman" w:hAnsi="Times New Roman"/>
        </w:rPr>
        <w:t>Ant buteliuko etiketės ir dėžutės po „Tinka iki“ nurodytam tinkamumo laikui pasibaigus, šio vaisto vartoti negalima. Vaistas tinkamas vartoti iki paskutinės nurodyto mėnesio dienos.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jc w:val="both"/>
        <w:outlineLvl w:val="1"/>
      </w:pPr>
      <w:r w:rsidRPr="005A7E2F">
        <w:rPr>
          <w:rFonts w:ascii="Times New Roman" w:hAnsi="Times New Roman"/>
          <w:b/>
          <w:caps/>
        </w:rPr>
        <w:t>6.</w:t>
      </w:r>
      <w:r w:rsidRPr="005A7E2F">
        <w:rPr>
          <w:rFonts w:ascii="Times New Roman" w:hAnsi="Times New Roman"/>
          <w:b/>
          <w:caps/>
        </w:rPr>
        <w:tab/>
        <w:t>P</w:t>
      </w:r>
      <w:r w:rsidRPr="005A7E2F">
        <w:rPr>
          <w:rFonts w:ascii="Times New Roman" w:hAnsi="Times New Roman"/>
          <w:b/>
        </w:rPr>
        <w:t>akuotės turinys ir kita informacija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  <w:caps/>
        </w:rPr>
        <w:t>Medetkų tinktūrOS BP</w:t>
      </w:r>
      <w:r w:rsidRPr="005A7E2F">
        <w:rPr>
          <w:rFonts w:ascii="Times New Roman" w:hAnsi="Times New Roman"/>
          <w:b/>
        </w:rPr>
        <w:t xml:space="preserve"> sudėtis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Veiklioji medžiaga yra medetkų tinktūra. 1 ml tirpalo yra 1 ml </w:t>
      </w:r>
      <w:proofErr w:type="spellStart"/>
      <w:r w:rsidRPr="005A7E2F">
        <w:rPr>
          <w:rFonts w:ascii="Times New Roman" w:hAnsi="Times New Roman"/>
          <w:i/>
        </w:rPr>
        <w:t>Calendula</w:t>
      </w:r>
      <w:proofErr w:type="spellEnd"/>
      <w:r w:rsidRPr="005A7E2F">
        <w:rPr>
          <w:rFonts w:ascii="Times New Roman" w:hAnsi="Times New Roman"/>
          <w:i/>
        </w:rPr>
        <w:t xml:space="preserve"> </w:t>
      </w:r>
      <w:proofErr w:type="spellStart"/>
      <w:r w:rsidRPr="005A7E2F">
        <w:rPr>
          <w:rFonts w:ascii="Times New Roman" w:hAnsi="Times New Roman"/>
          <w:i/>
        </w:rPr>
        <w:t>officinalis</w:t>
      </w:r>
      <w:proofErr w:type="spellEnd"/>
      <w:r w:rsidRPr="005A7E2F">
        <w:rPr>
          <w:rFonts w:ascii="Times New Roman" w:hAnsi="Times New Roman"/>
          <w:i/>
        </w:rPr>
        <w:t xml:space="preserve"> </w:t>
      </w:r>
      <w:r w:rsidRPr="005A7E2F">
        <w:rPr>
          <w:rFonts w:ascii="Times New Roman" w:hAnsi="Times New Roman"/>
        </w:rPr>
        <w:t>L.</w:t>
      </w:r>
      <w:r w:rsidRPr="005A7E2F">
        <w:rPr>
          <w:rFonts w:ascii="Times New Roman" w:hAnsi="Times New Roman"/>
          <w:i/>
        </w:rPr>
        <w:t xml:space="preserve">, </w:t>
      </w:r>
      <w:proofErr w:type="spellStart"/>
      <w:r w:rsidRPr="005A7E2F">
        <w:rPr>
          <w:rFonts w:ascii="Times New Roman" w:hAnsi="Times New Roman"/>
        </w:rPr>
        <w:t>flos</w:t>
      </w:r>
      <w:proofErr w:type="spellEnd"/>
      <w:r w:rsidRPr="005A7E2F">
        <w:rPr>
          <w:rFonts w:ascii="Times New Roman" w:hAnsi="Times New Roman"/>
        </w:rPr>
        <w:t xml:space="preserve"> (medetkų žiedų) tinktūros (1:10). </w:t>
      </w:r>
      <w:proofErr w:type="spellStart"/>
      <w:r w:rsidRPr="005A7E2F">
        <w:rPr>
          <w:rFonts w:ascii="Times New Roman" w:hAnsi="Times New Roman"/>
        </w:rPr>
        <w:t>Ekstrahentas</w:t>
      </w:r>
      <w:proofErr w:type="spellEnd"/>
      <w:r w:rsidRPr="005A7E2F">
        <w:rPr>
          <w:rFonts w:ascii="Times New Roman" w:hAnsi="Times New Roman"/>
        </w:rPr>
        <w:t>: 70 % (V/V) etanolis.</w:t>
      </w:r>
    </w:p>
    <w:p w:rsidR="000F56FB" w:rsidRPr="005A7E2F" w:rsidRDefault="000F56FB" w:rsidP="000F56FB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Pagalbinių medžiagų nėra.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  <w:caps/>
        </w:rPr>
        <w:t>Medetkų tinktūrOS BP</w:t>
      </w:r>
      <w:r w:rsidRPr="005A7E2F">
        <w:rPr>
          <w:rFonts w:ascii="Times New Roman" w:hAnsi="Times New Roman"/>
          <w:b/>
        </w:rPr>
        <w:t xml:space="preserve"> išvaizda ir kiekis pakuotėje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Geltonai rudos spalvos, skaidrus, kartokas, specifinio kvapo skystis.</w:t>
      </w:r>
    </w:p>
    <w:p w:rsidR="000F56FB" w:rsidRPr="005A7E2F" w:rsidRDefault="000F56FB" w:rsidP="000F56FB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Laikymo metu gali iškristi nuosėdų</w:t>
      </w:r>
      <w:r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0F56FB" w:rsidRPr="005A7E2F" w:rsidRDefault="000F56FB" w:rsidP="000F56FB">
      <w:pPr>
        <w:spacing w:after="0" w:line="240" w:lineRule="auto"/>
      </w:pPr>
    </w:p>
    <w:p w:rsidR="000F56FB" w:rsidRPr="005A7E2F" w:rsidRDefault="000F56FB" w:rsidP="000F56FB">
      <w:pPr>
        <w:spacing w:after="0" w:line="240" w:lineRule="auto"/>
      </w:pPr>
      <w:r w:rsidRPr="005A7E2F">
        <w:rPr>
          <w:rFonts w:ascii="Times New Roman" w:hAnsi="Times New Roman"/>
        </w:rPr>
        <w:t>Kartono dėžutėje yra vienas buteliukas, kuriame yra 40 ml tirpalo.</w:t>
      </w:r>
    </w:p>
    <w:p w:rsidR="000F56FB" w:rsidRPr="005A7E2F" w:rsidRDefault="000F56FB" w:rsidP="000F56FB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Registruotojas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AB “Bakteriniai preparatai”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Taikos pr. 102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LT-51195 Kaunas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Tel.: +370 37 </w:t>
      </w:r>
      <w:r w:rsidRPr="00895AC3">
        <w:rPr>
          <w:rFonts w:ascii="Times New Roman" w:eastAsia="Times New Roman" w:hAnsi="Times New Roman" w:cs="Times New Roman"/>
          <w:lang w:eastAsia="lt-LT"/>
        </w:rPr>
        <w:t>452650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Faksas: +370 37 </w:t>
      </w:r>
      <w:r w:rsidRPr="00895AC3">
        <w:rPr>
          <w:rFonts w:ascii="Times New Roman" w:eastAsia="Times New Roman" w:hAnsi="Times New Roman" w:cs="Times New Roman"/>
          <w:lang w:eastAsia="lt-LT"/>
        </w:rPr>
        <w:t>452664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Gamintojas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UAB „</w:t>
      </w:r>
      <w:proofErr w:type="spellStart"/>
      <w:r w:rsidRPr="005A7E2F">
        <w:rPr>
          <w:rFonts w:ascii="Times New Roman" w:hAnsi="Times New Roman"/>
        </w:rPr>
        <w:t>Valentis</w:t>
      </w:r>
      <w:proofErr w:type="spellEnd"/>
      <w:r w:rsidRPr="005A7E2F">
        <w:rPr>
          <w:rFonts w:ascii="Times New Roman" w:hAnsi="Times New Roman"/>
        </w:rPr>
        <w:t>“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Molėtų pl. 11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LT</w:t>
      </w:r>
      <w:r w:rsidRPr="005A7E2F">
        <w:rPr>
          <w:rFonts w:ascii="Times New Roman" w:hAnsi="Times New Roman"/>
        </w:rPr>
        <w:noBreakHyphen/>
        <w:t>08409 Vilnius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Tel.: +370 5 2701225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Faksas: +370 5 2701223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Jeigu apie šį vaistą norite sužinoti daugiau, kreipkitės į vietinį registruotojo atstovą.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UAB „</w:t>
      </w:r>
      <w:proofErr w:type="spellStart"/>
      <w:r w:rsidRPr="005A7E2F">
        <w:rPr>
          <w:rFonts w:ascii="Times New Roman" w:hAnsi="Times New Roman"/>
        </w:rPr>
        <w:t>Valentis</w:t>
      </w:r>
      <w:proofErr w:type="spellEnd"/>
      <w:r w:rsidRPr="005A7E2F">
        <w:rPr>
          <w:rFonts w:ascii="Times New Roman" w:hAnsi="Times New Roman"/>
        </w:rPr>
        <w:t>“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Molėtų pl. 11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LT</w:t>
      </w:r>
      <w:r w:rsidRPr="005A7E2F">
        <w:rPr>
          <w:rFonts w:ascii="Times New Roman" w:hAnsi="Times New Roman"/>
        </w:rPr>
        <w:noBreakHyphen/>
        <w:t>08409 Vilnius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Tel.: +370 5 2701225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Faksas: +370 5 2701223</w:t>
      </w: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</w:pPr>
      <w:r w:rsidRPr="005A7E2F">
        <w:rPr>
          <w:rFonts w:ascii="Times New Roman" w:hAnsi="Times New Roman"/>
          <w:b/>
        </w:rPr>
        <w:lastRenderedPageBreak/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2023-04-17.</w:t>
      </w:r>
    </w:p>
    <w:p w:rsidR="000F56FB" w:rsidRPr="005A7E2F" w:rsidRDefault="000F56FB" w:rsidP="000F56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0F56FB" w:rsidRPr="005A7E2F" w:rsidRDefault="000F56FB" w:rsidP="000F56FB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5A7E2F">
        <w:rPr>
          <w:rFonts w:ascii="Times New Roman" w:hAnsi="Times New Roman"/>
          <w:i/>
        </w:rPr>
        <w:t xml:space="preserve"> </w:t>
      </w:r>
      <w:hyperlink r:id="rId8" w:history="1">
        <w:r w:rsidRPr="005A7E2F">
          <w:rPr>
            <w:rFonts w:ascii="Times New Roman" w:hAnsi="Times New Roman"/>
            <w:color w:val="0000FF"/>
          </w:rPr>
          <w:t>http://www.vvkt.lt/</w:t>
        </w:r>
      </w:hyperlink>
      <w:r w:rsidRPr="005A7E2F">
        <w:rPr>
          <w:rFonts w:ascii="Times New Roman" w:hAnsi="Times New Roman"/>
        </w:rPr>
        <w:t>.</w:t>
      </w:r>
    </w:p>
    <w:p w:rsidR="009041DB" w:rsidRDefault="009041DB">
      <w:bookmarkStart w:id="2" w:name="_GoBack"/>
      <w:bookmarkEnd w:id="2"/>
    </w:p>
    <w:sectPr w:rsidR="009041DB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D0581"/>
    <w:multiLevelType w:val="hybridMultilevel"/>
    <w:tmpl w:val="D8CEFB5C"/>
    <w:lvl w:ilvl="0" w:tplc="C5A033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FB"/>
    <w:rsid w:val="00004415"/>
    <w:rsid w:val="000F56FB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BFDA-1742-43C4-BF3B-1AC5FBF2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56FB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4512</Words>
  <Characters>2573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2023-04-28T11:10:00Z</dcterms:created>
  <dcterms:modified xsi:type="dcterms:W3CDTF">2023-04-28T11:10:00Z</dcterms:modified>
</cp:coreProperties>
</file>