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C0" w:rsidRDefault="005E1DC0" w:rsidP="005E1DC0">
      <w:pPr>
        <w:spacing w:after="0" w:line="240" w:lineRule="auto"/>
        <w:ind w:left="567" w:hanging="567"/>
        <w:jc w:val="center"/>
        <w:rPr>
          <w:rFonts w:ascii="Times New Roman" w:eastAsia="Times New Roman" w:hAnsi="Times New Roman" w:cs="Times New Roman"/>
          <w:b/>
          <w:lang w:eastAsia="lt-LT"/>
        </w:rPr>
      </w:pPr>
      <w:bookmarkStart w:id="0" w:name="_GoBack"/>
      <w:bookmarkEnd w:id="0"/>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Pr="005E1DC0" w:rsidRDefault="005E1DC0" w:rsidP="005E1DC0">
      <w:pPr>
        <w:spacing w:after="0" w:line="240" w:lineRule="auto"/>
        <w:ind w:left="567" w:hanging="567"/>
        <w:jc w:val="center"/>
        <w:rPr>
          <w:rFonts w:ascii="Times New Roman" w:eastAsia="Times New Roman" w:hAnsi="Times New Roman" w:cs="Times New Roman"/>
          <w:lang w:eastAsia="lt-LT"/>
        </w:rPr>
      </w:pPr>
      <w:r w:rsidRPr="005E1DC0">
        <w:rPr>
          <w:rFonts w:ascii="Times New Roman" w:eastAsia="Times New Roman" w:hAnsi="Times New Roman" w:cs="Times New Roman"/>
          <w:b/>
          <w:lang w:eastAsia="lt-LT"/>
        </w:rPr>
        <w:t>I PRIEDAS</w:t>
      </w:r>
    </w:p>
    <w:p w:rsidR="005E1DC0" w:rsidRPr="005E1DC0" w:rsidRDefault="005E1DC0" w:rsidP="005E1DC0">
      <w:pPr>
        <w:spacing w:after="0" w:line="240" w:lineRule="auto"/>
        <w:ind w:left="567" w:hanging="567"/>
        <w:jc w:val="center"/>
        <w:rPr>
          <w:rFonts w:ascii="Times New Roman" w:eastAsia="Times New Roman" w:hAnsi="Times New Roman" w:cs="Times New Roman"/>
          <w:b/>
          <w:lang w:eastAsia="lt-LT"/>
        </w:rPr>
      </w:pPr>
    </w:p>
    <w:p w:rsidR="005E1DC0" w:rsidRPr="005E1DC0" w:rsidRDefault="005E1DC0" w:rsidP="005E1DC0">
      <w:pPr>
        <w:spacing w:after="0" w:line="240" w:lineRule="auto"/>
        <w:ind w:left="567" w:hanging="567"/>
        <w:jc w:val="center"/>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PREPARATO CHARAKTERISTIKŲ SANTRAUKA</w:t>
      </w:r>
    </w:p>
    <w:p w:rsidR="005E1DC0" w:rsidRPr="005E1DC0" w:rsidRDefault="005E1DC0" w:rsidP="005E1DC0">
      <w:pPr>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lang w:eastAsia="lt-LT"/>
        </w:rPr>
        <w:br w:type="page"/>
      </w: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lastRenderedPageBreak/>
        <w:t>1.</w:t>
      </w:r>
      <w:r w:rsidRPr="005E1DC0">
        <w:rPr>
          <w:rFonts w:ascii="Times New Roman" w:eastAsia="Times New Roman" w:hAnsi="Times New Roman" w:cs="Times New Roman"/>
          <w:b/>
          <w:bCs/>
          <w:lang w:eastAsia="lt-LT"/>
        </w:rPr>
        <w:tab/>
        <w:t>VAISTINIO PREPARATO PAVADINIMAS</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keepNext/>
        <w:spacing w:after="0" w:line="240" w:lineRule="auto"/>
        <w:outlineLvl w:val="1"/>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Copegus 200 mg plėvele dengtos tabletės</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2.</w:t>
      </w:r>
      <w:r w:rsidRPr="005E1DC0">
        <w:rPr>
          <w:rFonts w:ascii="Times New Roman" w:eastAsia="Times New Roman" w:hAnsi="Times New Roman" w:cs="Times New Roman"/>
          <w:b/>
          <w:bCs/>
          <w:lang w:eastAsia="lt-LT"/>
        </w:rPr>
        <w:tab/>
        <w:t>KOKYBINĖ IR KIEKYBINĖ SUDĖTIS</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Kiekvienoje plėvele dengtoje tabletėje yra 200 mg ribavirino.</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Visos pagalbinės medžiagos išvardytos 6.1 skyriuje.</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3.</w:t>
      </w:r>
      <w:r w:rsidRPr="005E1DC0">
        <w:rPr>
          <w:rFonts w:ascii="Times New Roman" w:eastAsia="Times New Roman" w:hAnsi="Times New Roman" w:cs="Times New Roman"/>
          <w:b/>
          <w:bCs/>
          <w:lang w:eastAsia="lt-LT"/>
        </w:rPr>
        <w:tab/>
        <w:t>FARMACINĖ FORMA</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Plėvele dengta tabletė</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Šviesiai rožinė, plokščia, ovali, plėvele dengta tabletė (turinti vienoje pusėje žymę RIB 200, kitoje – ROCHE).</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w:t>
      </w:r>
      <w:r w:rsidRPr="005E1DC0">
        <w:rPr>
          <w:rFonts w:ascii="Times New Roman" w:eastAsia="Times New Roman" w:hAnsi="Times New Roman" w:cs="Times New Roman"/>
          <w:b/>
          <w:bCs/>
          <w:lang w:eastAsia="lt-LT"/>
        </w:rPr>
        <w:tab/>
        <w:t>KLINIKINĖ INFORMACIJA</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4.1</w:t>
      </w:r>
      <w:r w:rsidRPr="005E1DC0">
        <w:rPr>
          <w:rFonts w:ascii="Times New Roman" w:eastAsia="Times New Roman" w:hAnsi="Times New Roman" w:cs="Times New Roman"/>
          <w:b/>
          <w:bCs/>
          <w:lang w:eastAsia="lt-LT"/>
        </w:rPr>
        <w:tab/>
        <w:t>Terapinės indikacijos</w:t>
      </w:r>
    </w:p>
    <w:p w:rsidR="005E1DC0" w:rsidRPr="005E1DC0" w:rsidRDefault="005E1DC0" w:rsidP="005E1DC0">
      <w:pPr>
        <w:spacing w:after="0" w:line="240" w:lineRule="auto"/>
        <w:jc w:val="both"/>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w:t>
      </w:r>
      <w:r w:rsidRPr="005E1DC0">
        <w:rPr>
          <w:rFonts w:ascii="Times New Roman" w:eastAsia="Calibri" w:hAnsi="Times New Roman" w:cs="Times New Roman"/>
          <w:lang w:eastAsia="lt-LT"/>
        </w:rPr>
        <w:t xml:space="preserve"> </w:t>
      </w:r>
      <w:r w:rsidRPr="005E1DC0">
        <w:rPr>
          <w:rFonts w:ascii="Times New Roman" w:eastAsia="Times New Roman" w:hAnsi="Times New Roman" w:cs="Times New Roman"/>
          <w:lang w:eastAsia="lt-LT"/>
        </w:rPr>
        <w:t>kartu su kitais vaistiniais preparatais yra</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skiriamas lėtiniam hepatitui C (toliau - LHC) gydyti.</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4.2</w:t>
      </w:r>
      <w:r w:rsidRPr="005E1DC0">
        <w:rPr>
          <w:rFonts w:ascii="Times New Roman" w:eastAsia="Times New Roman" w:hAnsi="Times New Roman" w:cs="Times New Roman"/>
          <w:b/>
          <w:bCs/>
          <w:lang w:eastAsia="lt-LT"/>
        </w:rPr>
        <w:tab/>
        <w:t>Dozavimas ir vartojimo metodas</w:t>
      </w:r>
    </w:p>
    <w:p w:rsidR="005E1DC0" w:rsidRPr="005E1DC0" w:rsidRDefault="005E1DC0" w:rsidP="005E1DC0">
      <w:pPr>
        <w:spacing w:after="0" w:line="240" w:lineRule="auto"/>
        <w:jc w:val="both"/>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Gydymą turi pradėti ir pacientą nuolat stebėti sergančiųjų lėtiniu hepatitu C gydymo patirties turintis gydytojas.</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žiūrėkite kitų kartu su Copegus lėtinio hepatito C gydymui skiriamų vaistinių preparatų PCS.</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keepNext/>
        <w:spacing w:after="0" w:line="240" w:lineRule="auto"/>
        <w:outlineLvl w:val="2"/>
        <w:rPr>
          <w:rFonts w:ascii="Times New Roman" w:eastAsia="Times New Roman" w:hAnsi="Times New Roman" w:cs="Times New Roman"/>
          <w:b/>
          <w:bCs/>
          <w:iCs/>
          <w:lang w:eastAsia="lt-LT"/>
        </w:rPr>
      </w:pPr>
      <w:r w:rsidRPr="005E1DC0">
        <w:rPr>
          <w:rFonts w:ascii="Times New Roman" w:eastAsia="Times New Roman" w:hAnsi="Times New Roman" w:cs="Times New Roman"/>
          <w:b/>
          <w:bCs/>
          <w:iCs/>
          <w:lang w:eastAsia="lt-LT"/>
        </w:rPr>
        <w:t>Vartojimo metodas</w:t>
      </w:r>
    </w:p>
    <w:p w:rsidR="005E1DC0" w:rsidRPr="005E1DC0" w:rsidRDefault="005E1DC0" w:rsidP="005E1DC0">
      <w:pPr>
        <w:spacing w:after="0" w:line="240" w:lineRule="auto"/>
        <w:rPr>
          <w:rFonts w:ascii="Times New Roman" w:eastAsia="Times New Roman" w:hAnsi="Times New Roman" w:cs="Times New Roman"/>
          <w:i/>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plėvele dengtos tabletės, padalijus paros dozę į dvi dalis, geriamos valgant (iš ryto ir vakare). Dėl galimo ribavirino teratogeninio poveikio tablečių negalima laužyti ar traiškyti.</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Dozavimas</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Skirtina dozė</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Copegus dozė, priklauso nuo paciento kūno masės, </w:t>
      </w:r>
      <w:r w:rsidRPr="005E1DC0">
        <w:rPr>
          <w:rFonts w:ascii="Times New Roman" w:eastAsia="Times New Roman" w:hAnsi="Times New Roman" w:cs="Times New Roman"/>
          <w:i/>
          <w:lang w:eastAsia="lt-LT"/>
        </w:rPr>
        <w:t xml:space="preserve">viruso genotipo ir kito kartu </w:t>
      </w:r>
      <w:r w:rsidRPr="005E1DC0">
        <w:rPr>
          <w:rFonts w:ascii="Times New Roman" w:eastAsia="Calibri" w:hAnsi="Times New Roman" w:cs="Times New Roman"/>
          <w:i/>
          <w:lang w:eastAsia="lt-LT"/>
        </w:rPr>
        <w:t xml:space="preserve">vartojamo </w:t>
      </w:r>
      <w:r w:rsidRPr="005E1DC0">
        <w:rPr>
          <w:rFonts w:ascii="Times New Roman" w:eastAsia="Times New Roman" w:hAnsi="Times New Roman" w:cs="Times New Roman"/>
          <w:i/>
          <w:lang w:eastAsia="lt-LT"/>
        </w:rPr>
        <w:t>vaistinio</w:t>
      </w:r>
      <w:r w:rsidRPr="005E1DC0">
        <w:rPr>
          <w:rFonts w:ascii="Times New Roman" w:eastAsia="Calibri" w:hAnsi="Times New Roman" w:cs="Times New Roman"/>
          <w:i/>
          <w:lang w:eastAsia="lt-LT"/>
        </w:rPr>
        <w:t xml:space="preserve"> preparato</w:t>
      </w:r>
      <w:r w:rsidRPr="005E1DC0">
        <w:rPr>
          <w:rFonts w:ascii="Times New Roman" w:eastAsia="Times New Roman" w:hAnsi="Times New Roman" w:cs="Times New Roman"/>
          <w:lang w:eastAsia="lt-LT"/>
        </w:rPr>
        <w:t xml:space="preserve"> (žr. 1 lentelę). Copegus tabletės, padalijus paros dozę į dvi dalis (ryto ir vakaro), geriamos valgio metu kiekvieną dieną.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4003"/>
        <w:gridCol w:w="3022"/>
      </w:tblGrid>
      <w:tr w:rsidR="005E1DC0" w:rsidRPr="005E1DC0" w:rsidTr="00BB1B6B">
        <w:trPr>
          <w:cantSplit/>
        </w:trPr>
        <w:tc>
          <w:tcPr>
            <w:tcW w:w="5000" w:type="pct"/>
            <w:gridSpan w:val="3"/>
          </w:tcPr>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1 lentelė. Copegus dozavimo rekomendacijos atsižvelgiant į kartu skiriamą vaistinį preparatą</w:t>
            </w:r>
          </w:p>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p>
        </w:tc>
      </w:tr>
      <w:tr w:rsidR="005E1DC0" w:rsidRPr="005E1DC0" w:rsidTr="00BB1B6B">
        <w:trPr>
          <w:cantSplit/>
        </w:trPr>
        <w:tc>
          <w:tcPr>
            <w:tcW w:w="1123" w:type="pct"/>
          </w:tcPr>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Kartu skiriamąs vaistinis preparatas</w:t>
            </w:r>
          </w:p>
        </w:tc>
        <w:tc>
          <w:tcPr>
            <w:tcW w:w="2209" w:type="pct"/>
          </w:tcPr>
          <w:p w:rsidR="005E1DC0" w:rsidRPr="005E1DC0" w:rsidRDefault="005E1DC0" w:rsidP="005E1DC0">
            <w:pPr>
              <w:keepNext/>
              <w:tabs>
                <w:tab w:val="left" w:pos="567"/>
              </w:tabs>
              <w:spacing w:after="0" w:line="240" w:lineRule="auto"/>
              <w:outlineLvl w:val="1"/>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Copegus paros dozė</w:t>
            </w:r>
          </w:p>
        </w:tc>
        <w:tc>
          <w:tcPr>
            <w:tcW w:w="1668" w:type="pct"/>
          </w:tcPr>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Tablečių po 200/400 mg skaičius</w:t>
            </w:r>
          </w:p>
        </w:tc>
      </w:tr>
      <w:tr w:rsidR="005E1DC0" w:rsidRPr="005E1DC0" w:rsidTr="00BB1B6B">
        <w:trPr>
          <w:cantSplit/>
        </w:trPr>
        <w:tc>
          <w:tcPr>
            <w:tcW w:w="1123"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Tiesiogiai veikiantys priešvirusiniai vaistiniai preparatai (TVP)</w:t>
            </w:r>
          </w:p>
        </w:tc>
        <w:tc>
          <w:tcPr>
            <w:tcW w:w="220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 75 kg = 1000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3"/>
            </w:r>
            <w:r w:rsidRPr="005E1DC0">
              <w:rPr>
                <w:rFonts w:ascii="Times New Roman" w:eastAsia="Times New Roman" w:hAnsi="Times New Roman" w:cs="Times New Roman"/>
                <w:lang w:eastAsia="lt-LT"/>
              </w:rPr>
              <w:t> 75 kg = 1200 mg</w:t>
            </w:r>
          </w:p>
        </w:tc>
        <w:tc>
          <w:tcPr>
            <w:tcW w:w="1668"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 x 200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 ryte, 3 vakare)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 x 200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(3 ryte, 3 vakare)</w:t>
            </w:r>
          </w:p>
        </w:tc>
      </w:tr>
      <w:tr w:rsidR="005E1DC0" w:rsidRPr="005E1DC0" w:rsidTr="00BB1B6B">
        <w:trPr>
          <w:cantSplit/>
        </w:trPr>
        <w:tc>
          <w:tcPr>
            <w:tcW w:w="1123"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val="en-US" w:eastAsia="lt-LT"/>
              </w:rPr>
              <w:t>PegIFN alfa-2a</w:t>
            </w:r>
            <w:r w:rsidRPr="005E1DC0">
              <w:rPr>
                <w:rFonts w:ascii="Times New Roman" w:eastAsia="Times New Roman" w:hAnsi="Times New Roman" w:cs="Times New Roman"/>
                <w:b/>
                <w:bCs/>
                <w:lang w:val="en-US" w:eastAsia="lt-LT"/>
              </w:rPr>
              <w:t> </w:t>
            </w:r>
            <w:r w:rsidRPr="005E1DC0">
              <w:rPr>
                <w:rFonts w:ascii="Times New Roman" w:eastAsia="Times New Roman" w:hAnsi="Times New Roman" w:cs="Times New Roman"/>
                <w:b/>
                <w:bCs/>
                <w:i/>
                <w:iCs/>
                <w:lang w:val="en-US" w:eastAsia="lt-LT"/>
              </w:rPr>
              <w:t>kartu su TVP</w:t>
            </w:r>
          </w:p>
        </w:tc>
        <w:tc>
          <w:tcPr>
            <w:tcW w:w="220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 75 kg = 1000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3"/>
            </w:r>
            <w:r w:rsidRPr="005E1DC0">
              <w:rPr>
                <w:rFonts w:ascii="Times New Roman" w:eastAsia="Times New Roman" w:hAnsi="Times New Roman" w:cs="Times New Roman"/>
                <w:lang w:eastAsia="lt-LT"/>
              </w:rPr>
              <w:t> 75 kg = 1200 mg</w:t>
            </w:r>
          </w:p>
        </w:tc>
        <w:tc>
          <w:tcPr>
            <w:tcW w:w="1668"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 x 200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 ryte, 3 vakare)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 x 200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(3 ryte, 3 vakare)</w:t>
            </w:r>
          </w:p>
        </w:tc>
      </w:tr>
      <w:tr w:rsidR="005E1DC0" w:rsidRPr="005E1DC0" w:rsidTr="00BB1B6B">
        <w:trPr>
          <w:cantSplit/>
          <w:trHeight w:val="981"/>
        </w:trPr>
        <w:tc>
          <w:tcPr>
            <w:tcW w:w="1123" w:type="pct"/>
            <w:vMerge w:val="restar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val="en-US" w:eastAsia="lt-LT"/>
              </w:rPr>
              <w:lastRenderedPageBreak/>
              <w:t>PegIFN alfa-2a</w:t>
            </w:r>
            <w:r w:rsidRPr="005E1DC0">
              <w:rPr>
                <w:rFonts w:ascii="Times New Roman" w:eastAsia="Times New Roman" w:hAnsi="Times New Roman" w:cs="Times New Roman"/>
                <w:b/>
                <w:bCs/>
                <w:lang w:val="en-US" w:eastAsia="lt-LT"/>
              </w:rPr>
              <w:t> be</w:t>
            </w:r>
            <w:r w:rsidRPr="005E1DC0">
              <w:rPr>
                <w:rFonts w:ascii="Times New Roman" w:eastAsia="Times New Roman" w:hAnsi="Times New Roman" w:cs="Times New Roman"/>
                <w:b/>
                <w:bCs/>
                <w:i/>
                <w:iCs/>
                <w:lang w:val="en-US" w:eastAsia="lt-LT"/>
              </w:rPr>
              <w:t xml:space="preserve"> TVP</w:t>
            </w:r>
          </w:p>
        </w:tc>
        <w:tc>
          <w:tcPr>
            <w:tcW w:w="220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bCs/>
                <w:lang w:eastAsia="lt-LT"/>
              </w:rPr>
              <w:t>2 ar 3 genotipo HCV užsikrėtę negydyti pacientai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bCs/>
                <w:lang w:eastAsia="lt-LT"/>
              </w:rPr>
              <w:t>2, 3 ar 4 genotipo HCV ir ŽIV užsikrėtę pacientai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800 mg</w:t>
            </w:r>
          </w:p>
        </w:tc>
        <w:tc>
          <w:tcPr>
            <w:tcW w:w="1668"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 x 200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 ryte, 2 vakare)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arba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 x 400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(1 ryte, 1 vakare)</w:t>
            </w:r>
          </w:p>
        </w:tc>
      </w:tr>
      <w:tr w:rsidR="005E1DC0" w:rsidRPr="005E1DC0" w:rsidTr="00BB1B6B">
        <w:trPr>
          <w:cantSplit/>
          <w:trHeight w:val="690"/>
        </w:trPr>
        <w:tc>
          <w:tcPr>
            <w:tcW w:w="1123" w:type="pct"/>
            <w:vMerge/>
          </w:tcPr>
          <w:p w:rsidR="005E1DC0" w:rsidRPr="005E1DC0" w:rsidRDefault="005E1DC0" w:rsidP="005E1DC0">
            <w:pPr>
              <w:tabs>
                <w:tab w:val="left" w:pos="567"/>
              </w:tabs>
              <w:spacing w:after="0" w:line="240" w:lineRule="auto"/>
              <w:rPr>
                <w:rFonts w:ascii="Times New Roman" w:eastAsia="Times New Roman" w:hAnsi="Times New Roman" w:cs="Times New Roman"/>
                <w:lang w:val="en-US" w:eastAsia="lt-LT"/>
              </w:rPr>
            </w:pPr>
          </w:p>
        </w:tc>
        <w:tc>
          <w:tcPr>
            <w:tcW w:w="220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bCs/>
                <w:lang w:eastAsia="lt-LT"/>
              </w:rPr>
              <w:t>1 ar 4 genotipo HCV užsikrėtę pacientai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bCs/>
                <w:lang w:eastAsia="lt-LT"/>
              </w:rPr>
              <w:t>2 ar 3 genotipo HCV užsikrėtę jau gydyti pacientai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bCs/>
                <w:lang w:eastAsia="lt-LT"/>
              </w:rPr>
              <w:t>1 genotipo HCV ir ŽIV užsikrėtę pacientai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 75 kg = 1000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3"/>
            </w:r>
            <w:r w:rsidRPr="005E1DC0">
              <w:rPr>
                <w:rFonts w:ascii="Times New Roman" w:eastAsia="Times New Roman" w:hAnsi="Times New Roman" w:cs="Times New Roman"/>
                <w:lang w:eastAsia="lt-LT"/>
              </w:rPr>
              <w:t> 75 kg = 1200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tc>
        <w:tc>
          <w:tcPr>
            <w:tcW w:w="1668"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 x 200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 ryte, 3 vakare)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 x 200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(3 ryte, 3 vakare)</w:t>
            </w:r>
          </w:p>
        </w:tc>
      </w:tr>
      <w:tr w:rsidR="005E1DC0" w:rsidRPr="005E1DC0" w:rsidTr="00BB1B6B">
        <w:trPr>
          <w:cantSplit/>
        </w:trPr>
        <w:tc>
          <w:tcPr>
            <w:tcW w:w="1123"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val="en-US" w:eastAsia="lt-LT"/>
              </w:rPr>
              <w:t>IFN alfa-2a</w:t>
            </w:r>
            <w:r w:rsidRPr="005E1DC0">
              <w:rPr>
                <w:rFonts w:ascii="Times New Roman" w:eastAsia="Times New Roman" w:hAnsi="Times New Roman" w:cs="Times New Roman"/>
                <w:b/>
                <w:bCs/>
                <w:lang w:val="en-US" w:eastAsia="lt-LT"/>
              </w:rPr>
              <w:t> be</w:t>
            </w:r>
            <w:r w:rsidRPr="005E1DC0">
              <w:rPr>
                <w:rFonts w:ascii="Times New Roman" w:eastAsia="Times New Roman" w:hAnsi="Times New Roman" w:cs="Times New Roman"/>
                <w:b/>
                <w:bCs/>
                <w:i/>
                <w:iCs/>
                <w:lang w:val="en-US" w:eastAsia="lt-LT"/>
              </w:rPr>
              <w:t xml:space="preserve"> TVP</w:t>
            </w:r>
          </w:p>
        </w:tc>
        <w:tc>
          <w:tcPr>
            <w:tcW w:w="220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&lt;75 kg = 1000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3"/>
            </w:r>
            <w:r w:rsidRPr="005E1DC0">
              <w:rPr>
                <w:rFonts w:ascii="Times New Roman" w:eastAsia="Times New Roman" w:hAnsi="Times New Roman" w:cs="Times New Roman"/>
                <w:lang w:eastAsia="lt-LT"/>
              </w:rPr>
              <w:t>75 kg = 1200 mg</w:t>
            </w:r>
          </w:p>
        </w:tc>
        <w:tc>
          <w:tcPr>
            <w:tcW w:w="1668"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 x 200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 ryte, 3 vakare)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 x 200 mg</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(3 ryte, 3 vakare)</w:t>
            </w:r>
          </w:p>
        </w:tc>
      </w:tr>
      <w:tr w:rsidR="005E1DC0" w:rsidRPr="005E1DC0" w:rsidTr="00BB1B6B">
        <w:trPr>
          <w:cantSplit/>
          <w:trHeight w:val="250"/>
        </w:trPr>
        <w:tc>
          <w:tcPr>
            <w:tcW w:w="1123" w:type="pct"/>
            <w:vMerge w:val="restar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val="en-US" w:eastAsia="lt-LT"/>
              </w:rPr>
              <w:t xml:space="preserve">PegIFN alfa-2b </w:t>
            </w:r>
            <w:r w:rsidRPr="005E1DC0">
              <w:rPr>
                <w:rFonts w:ascii="Times New Roman" w:eastAsia="Times New Roman" w:hAnsi="Times New Roman" w:cs="Times New Roman"/>
                <w:b/>
                <w:bCs/>
                <w:i/>
                <w:iCs/>
                <w:lang w:val="en-US" w:eastAsia="lt-LT"/>
              </w:rPr>
              <w:t>kartu su arba be TVP</w:t>
            </w:r>
          </w:p>
        </w:tc>
        <w:tc>
          <w:tcPr>
            <w:tcW w:w="220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val="en-GB" w:eastAsia="lt-LT"/>
              </w:rPr>
              <w:t xml:space="preserve">&lt; 65 kg = </w:t>
            </w:r>
            <w:r w:rsidRPr="005E1DC0">
              <w:rPr>
                <w:rFonts w:ascii="Times New Roman" w:eastAsia="Times New Roman" w:hAnsi="Times New Roman" w:cs="Times New Roman"/>
                <w:lang w:eastAsia="lt-LT"/>
              </w:rPr>
              <w:t>800 mg</w:t>
            </w:r>
          </w:p>
        </w:tc>
        <w:tc>
          <w:tcPr>
            <w:tcW w:w="1668"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 x 200 mg</w:t>
            </w:r>
            <w:r w:rsidRPr="005E1DC0" w:rsidDel="001344C1">
              <w:rPr>
                <w:rFonts w:ascii="Times New Roman" w:eastAsia="Times New Roman" w:hAnsi="Times New Roman" w:cs="Times New Roman"/>
                <w:lang w:eastAsia="lt-LT"/>
              </w:rPr>
              <w:t xml:space="preserve"> </w:t>
            </w:r>
            <w:r w:rsidRPr="005E1DC0">
              <w:rPr>
                <w:rFonts w:ascii="Times New Roman" w:eastAsia="Times New Roman" w:hAnsi="Times New Roman" w:cs="Times New Roman"/>
                <w:lang w:eastAsia="lt-LT"/>
              </w:rPr>
              <w:t>(2 ryte, 2 vakare) arba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 x 400 mg (1 ryte, 1 vakare)</w:t>
            </w:r>
          </w:p>
        </w:tc>
      </w:tr>
      <w:tr w:rsidR="005E1DC0" w:rsidRPr="005E1DC0" w:rsidTr="00BB1B6B">
        <w:trPr>
          <w:cantSplit/>
          <w:trHeight w:val="252"/>
        </w:trPr>
        <w:tc>
          <w:tcPr>
            <w:tcW w:w="1123" w:type="pct"/>
            <w:vMerge/>
          </w:tcPr>
          <w:p w:rsidR="005E1DC0" w:rsidRPr="005E1DC0" w:rsidRDefault="005E1DC0" w:rsidP="005E1DC0">
            <w:pPr>
              <w:tabs>
                <w:tab w:val="left" w:pos="567"/>
              </w:tabs>
              <w:spacing w:after="0" w:line="240" w:lineRule="auto"/>
              <w:rPr>
                <w:rFonts w:ascii="Times New Roman" w:eastAsia="Times New Roman" w:hAnsi="Times New Roman" w:cs="Times New Roman"/>
                <w:lang w:val="en-US" w:eastAsia="lt-LT"/>
              </w:rPr>
            </w:pPr>
          </w:p>
        </w:tc>
        <w:tc>
          <w:tcPr>
            <w:tcW w:w="220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val="en-GB" w:eastAsia="lt-LT"/>
              </w:rPr>
              <w:t>65 – 80 kg = 10</w:t>
            </w:r>
            <w:r w:rsidRPr="005E1DC0">
              <w:rPr>
                <w:rFonts w:ascii="Times New Roman" w:eastAsia="Times New Roman" w:hAnsi="Times New Roman" w:cs="Times New Roman"/>
                <w:lang w:eastAsia="lt-LT"/>
              </w:rPr>
              <w:t>00 mg</w:t>
            </w:r>
          </w:p>
        </w:tc>
        <w:tc>
          <w:tcPr>
            <w:tcW w:w="1668"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 (2 ryte, 3 vakare)</w:t>
            </w:r>
          </w:p>
        </w:tc>
      </w:tr>
      <w:tr w:rsidR="005E1DC0" w:rsidRPr="005E1DC0" w:rsidTr="00BB1B6B">
        <w:trPr>
          <w:cantSplit/>
          <w:trHeight w:val="260"/>
        </w:trPr>
        <w:tc>
          <w:tcPr>
            <w:tcW w:w="1123" w:type="pct"/>
            <w:vMerge/>
          </w:tcPr>
          <w:p w:rsidR="005E1DC0" w:rsidRPr="005E1DC0" w:rsidRDefault="005E1DC0" w:rsidP="005E1DC0">
            <w:pPr>
              <w:tabs>
                <w:tab w:val="left" w:pos="567"/>
              </w:tabs>
              <w:spacing w:after="0" w:line="240" w:lineRule="auto"/>
              <w:rPr>
                <w:rFonts w:ascii="Times New Roman" w:eastAsia="Times New Roman" w:hAnsi="Times New Roman" w:cs="Times New Roman"/>
                <w:lang w:val="en-US" w:eastAsia="lt-LT"/>
              </w:rPr>
            </w:pPr>
          </w:p>
        </w:tc>
        <w:tc>
          <w:tcPr>
            <w:tcW w:w="220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val="en-GB" w:eastAsia="lt-LT"/>
              </w:rPr>
              <w:t>81 – 105 kg = 12</w:t>
            </w:r>
            <w:r w:rsidRPr="005E1DC0">
              <w:rPr>
                <w:rFonts w:ascii="Times New Roman" w:eastAsia="Times New Roman" w:hAnsi="Times New Roman" w:cs="Times New Roman"/>
                <w:lang w:eastAsia="lt-LT"/>
              </w:rPr>
              <w:t>00 mg</w:t>
            </w:r>
          </w:p>
        </w:tc>
        <w:tc>
          <w:tcPr>
            <w:tcW w:w="1668"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 (3 ryte, 3 vakare)</w:t>
            </w:r>
          </w:p>
        </w:tc>
      </w:tr>
      <w:tr w:rsidR="005E1DC0" w:rsidRPr="005E1DC0" w:rsidTr="00BB1B6B">
        <w:trPr>
          <w:cantSplit/>
          <w:trHeight w:val="194"/>
        </w:trPr>
        <w:tc>
          <w:tcPr>
            <w:tcW w:w="1123" w:type="pct"/>
            <w:vMerge/>
          </w:tcPr>
          <w:p w:rsidR="005E1DC0" w:rsidRPr="005E1DC0" w:rsidRDefault="005E1DC0" w:rsidP="005E1DC0">
            <w:pPr>
              <w:tabs>
                <w:tab w:val="left" w:pos="567"/>
              </w:tabs>
              <w:spacing w:after="0" w:line="240" w:lineRule="auto"/>
              <w:rPr>
                <w:rFonts w:ascii="Times New Roman" w:eastAsia="Times New Roman" w:hAnsi="Times New Roman" w:cs="Times New Roman"/>
                <w:lang w:val="en-US" w:eastAsia="lt-LT"/>
              </w:rPr>
            </w:pPr>
          </w:p>
        </w:tc>
        <w:tc>
          <w:tcPr>
            <w:tcW w:w="220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val="en-GB" w:eastAsia="lt-LT"/>
              </w:rPr>
              <w:t>&gt; 105kg = 14</w:t>
            </w:r>
            <w:r w:rsidRPr="005E1DC0">
              <w:rPr>
                <w:rFonts w:ascii="Times New Roman" w:eastAsia="Times New Roman" w:hAnsi="Times New Roman" w:cs="Times New Roman"/>
                <w:lang w:eastAsia="lt-LT"/>
              </w:rPr>
              <w:t>00 mg</w:t>
            </w:r>
          </w:p>
        </w:tc>
        <w:tc>
          <w:tcPr>
            <w:tcW w:w="1668"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7 (3 ryte, 4 vakare)</w:t>
            </w:r>
          </w:p>
        </w:tc>
      </w:tr>
    </w:tbl>
    <w:p w:rsidR="005E1DC0" w:rsidRPr="005E1DC0" w:rsidRDefault="005E1DC0" w:rsidP="005E1DC0">
      <w:pPr>
        <w:tabs>
          <w:tab w:val="left" w:pos="567"/>
        </w:tabs>
        <w:spacing w:after="0" w:line="240" w:lineRule="auto"/>
        <w:rPr>
          <w:rFonts w:ascii="Times New Roman" w:eastAsia="Times New Roman" w:hAnsi="Times New Roman" w:cs="Times New Roman"/>
          <w:i/>
          <w:lang w:eastAsia="lt-LT"/>
        </w:rPr>
      </w:pPr>
    </w:p>
    <w:p w:rsidR="005E1DC0" w:rsidRPr="005E1DC0" w:rsidRDefault="005E1DC0" w:rsidP="005E1DC0">
      <w:pPr>
        <w:tabs>
          <w:tab w:val="left" w:pos="567"/>
        </w:tabs>
        <w:spacing w:after="0" w:line="240" w:lineRule="auto"/>
        <w:rPr>
          <w:rFonts w:ascii="Times New Roman" w:eastAsia="Calibri" w:hAnsi="Times New Roman" w:cs="Times New Roman"/>
          <w:b/>
          <w:lang w:eastAsia="lt-LT"/>
        </w:rPr>
      </w:pPr>
      <w:r w:rsidRPr="005E1DC0">
        <w:rPr>
          <w:rFonts w:ascii="Times New Roman" w:eastAsia="Calibri" w:hAnsi="Times New Roman" w:cs="Times New Roman"/>
          <w:b/>
          <w:lang w:eastAsia="lt-LT"/>
        </w:rPr>
        <w:t>Gydymo trukmė</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Gydymo trukmė priklauso nuo kartu skiriamo vaistinio preparato ir gali priklausyti nuo įvairių paciento ar viruso savybių, tokių kaip viruso genotipas, gretutinių infekcijų būklė, anksčiau taikytas gydymas, atsakas į taikomą gydymą.</w:t>
      </w:r>
    </w:p>
    <w:p w:rsidR="005E1DC0" w:rsidRPr="005E1DC0" w:rsidRDefault="005E1DC0" w:rsidP="005E1DC0">
      <w:pPr>
        <w:tabs>
          <w:tab w:val="left" w:pos="567"/>
        </w:tabs>
        <w:spacing w:after="0" w:line="240" w:lineRule="auto"/>
        <w:rPr>
          <w:rFonts w:ascii="Times New Roman" w:eastAsia="Times New Roman" w:hAnsi="Times New Roman" w:cs="Times New Roman"/>
          <w:bCs/>
          <w:lang w:eastAsia="lt-LT"/>
        </w:rPr>
      </w:pPr>
      <w:r w:rsidRPr="005E1DC0">
        <w:rPr>
          <w:rFonts w:ascii="Times New Roman" w:eastAsia="Times New Roman" w:hAnsi="Times New Roman" w:cs="Times New Roman"/>
          <w:lang w:eastAsia="lt-LT"/>
        </w:rPr>
        <w:t>Žiūrėkite kitų kartu su Copegus skiriamų vaistinių preparatų PCS.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u w:val="single"/>
          <w:lang w:eastAsia="lt-LT"/>
        </w:rPr>
      </w:pPr>
      <w:r w:rsidRPr="005E1DC0">
        <w:rPr>
          <w:rFonts w:ascii="Times New Roman" w:eastAsia="Calibri" w:hAnsi="Times New Roman" w:cs="Times New Roman"/>
          <w:u w:val="single"/>
          <w:lang w:eastAsia="lt-LT"/>
        </w:rPr>
        <w:t>Dozavimo tikslinimas</w:t>
      </w:r>
      <w:r w:rsidRPr="005E1DC0">
        <w:rPr>
          <w:rFonts w:ascii="Times New Roman" w:eastAsia="Times New Roman" w:hAnsi="Times New Roman" w:cs="Times New Roman"/>
          <w:u w:val="single"/>
          <w:lang w:eastAsia="lt-LT"/>
        </w:rPr>
        <w:t xml:space="preserve"> dėl nepageidaujamų reakcijų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dozės keitimas priklauso nuo kartu skiriamų vaistinių preparatų.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pacientui pasireiškia sunki nepageidaujama reakcija, galimai susijusi su ribavirinu, jei reikia, kol nepageidaujama reakcija išnyks arba susilpnės ribavirino dozę reikia pakeisti arba jo vartojimą nutraukti. Dozės modifikavimo ir gydymo nutraukimo gairės, atsižvelgiant į paciento hemoglobino koncentraciją ir širdies būklę, yra pateiktos 2 lentelėje.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4497"/>
        <w:gridCol w:w="2481"/>
      </w:tblGrid>
      <w:tr w:rsidR="005E1DC0" w:rsidRPr="005E1DC0" w:rsidTr="00BB1B6B">
        <w:tc>
          <w:tcPr>
            <w:tcW w:w="5000" w:type="pct"/>
            <w:gridSpan w:val="3"/>
          </w:tcPr>
          <w:p w:rsidR="005E1DC0" w:rsidRPr="005E1DC0" w:rsidRDefault="005E1DC0" w:rsidP="005E1DC0">
            <w:pPr>
              <w:spacing w:after="0" w:line="240" w:lineRule="auto"/>
              <w:ind w:left="1134" w:hanging="1134"/>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2 lentelė.</w:t>
            </w:r>
            <w:r w:rsidRPr="005E1DC0">
              <w:rPr>
                <w:rFonts w:ascii="Times New Roman" w:eastAsia="Times New Roman" w:hAnsi="Times New Roman" w:cs="Times New Roman"/>
                <w:b/>
                <w:lang w:eastAsia="lt-LT"/>
              </w:rPr>
              <w:tab/>
              <w:t>Dozavimo modifikavimo dėl su gydymu susijusios anemijos rekomendacijos</w:t>
            </w:r>
          </w:p>
        </w:tc>
      </w:tr>
      <w:tr w:rsidR="005E1DC0" w:rsidRPr="005E1DC0" w:rsidTr="00BB1B6B">
        <w:tc>
          <w:tcPr>
            <w:tcW w:w="1149" w:type="pct"/>
          </w:tcPr>
          <w:p w:rsidR="005E1DC0" w:rsidRPr="005E1DC0" w:rsidRDefault="005E1DC0" w:rsidP="005E1DC0">
            <w:pPr>
              <w:tabs>
                <w:tab w:val="left" w:pos="567"/>
              </w:tabs>
              <w:spacing w:after="0" w:line="240" w:lineRule="auto"/>
              <w:rPr>
                <w:rFonts w:ascii="Times New Roman" w:eastAsia="Calibri" w:hAnsi="Times New Roman" w:cs="Times New Roman"/>
                <w:u w:val="single"/>
                <w:lang w:eastAsia="lt-LT"/>
              </w:rPr>
            </w:pPr>
            <w:r w:rsidRPr="005E1DC0">
              <w:rPr>
                <w:rFonts w:ascii="Times New Roman" w:eastAsia="Times New Roman" w:hAnsi="Times New Roman" w:cs="Times New Roman"/>
                <w:u w:val="single"/>
                <w:lang w:eastAsia="lt-LT"/>
              </w:rPr>
              <w:t>Laboratorinių tyrimų rodmenys</w:t>
            </w:r>
          </w:p>
        </w:tc>
        <w:tc>
          <w:tcPr>
            <w:tcW w:w="2482" w:type="pct"/>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Times New Roman" w:hAnsi="Times New Roman" w:cs="Times New Roman"/>
                <w:lang w:eastAsia="lt-LT"/>
              </w:rPr>
              <w:t xml:space="preserve">Sumažinti tik </w:t>
            </w:r>
            <w:r w:rsidRPr="005E1DC0">
              <w:rPr>
                <w:rFonts w:ascii="Times New Roman" w:eastAsia="Calibri" w:hAnsi="Times New Roman" w:cs="Times New Roman"/>
                <w:lang w:eastAsia="lt-LT"/>
              </w:rPr>
              <w:t>Copegus</w:t>
            </w:r>
            <w:r w:rsidRPr="005E1DC0">
              <w:rPr>
                <w:rFonts w:ascii="Times New Roman" w:eastAsia="Calibri" w:hAnsi="Times New Roman" w:cs="Times New Roman"/>
                <w:i/>
                <w:lang w:eastAsia="lt-LT"/>
              </w:rPr>
              <w:t xml:space="preserve"> </w:t>
            </w:r>
            <w:r w:rsidRPr="005E1DC0">
              <w:rPr>
                <w:rFonts w:ascii="Times New Roman" w:eastAsia="Times New Roman" w:hAnsi="Times New Roman" w:cs="Times New Roman"/>
                <w:lang w:eastAsia="lt-LT"/>
              </w:rPr>
              <w:t>dozę iki [1] [2], jei:</w:t>
            </w:r>
          </w:p>
        </w:tc>
        <w:tc>
          <w:tcPr>
            <w:tcW w:w="1368" w:type="pct"/>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Times New Roman" w:hAnsi="Times New Roman" w:cs="Times New Roman"/>
                <w:lang w:eastAsia="lt-LT"/>
              </w:rPr>
              <w:t>Nebevartoti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jei:</w:t>
            </w:r>
          </w:p>
        </w:tc>
      </w:tr>
      <w:tr w:rsidR="005E1DC0" w:rsidRPr="005E1DC0" w:rsidTr="00BB1B6B">
        <w:tc>
          <w:tcPr>
            <w:tcW w:w="114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Hemoglobinas, kai pacientai neserga jokia širdies liga</w:t>
            </w:r>
          </w:p>
        </w:tc>
        <w:tc>
          <w:tcPr>
            <w:tcW w:w="2482" w:type="pct"/>
          </w:tcPr>
          <w:p w:rsidR="005E1DC0" w:rsidRPr="005E1DC0" w:rsidRDefault="005E1DC0" w:rsidP="005E1DC0">
            <w:pPr>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 10 g/dl</w:t>
            </w:r>
          </w:p>
        </w:tc>
        <w:tc>
          <w:tcPr>
            <w:tcW w:w="1368" w:type="pct"/>
          </w:tcPr>
          <w:p w:rsidR="005E1DC0" w:rsidRPr="005E1DC0" w:rsidRDefault="005E1DC0" w:rsidP="005E1DC0">
            <w:pPr>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 8,5 g/dl</w:t>
            </w:r>
          </w:p>
        </w:tc>
      </w:tr>
      <w:tr w:rsidR="005E1DC0" w:rsidRPr="005E1DC0" w:rsidTr="00BB1B6B">
        <w:tc>
          <w:tcPr>
            <w:tcW w:w="1149"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Hemoglobinas, kai pacientai serga stabilia širdies liga</w:t>
            </w:r>
          </w:p>
        </w:tc>
        <w:tc>
          <w:tcPr>
            <w:tcW w:w="2482"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hemoglobino kiekis per bet kurias 4 gydymo savaites sumažėjo </w:t>
            </w:r>
            <w:r w:rsidRPr="005E1DC0">
              <w:rPr>
                <w:rFonts w:ascii="Times New Roman" w:eastAsia="Times New Roman" w:hAnsi="Times New Roman" w:cs="Times New Roman"/>
                <w:lang w:eastAsia="lt-LT"/>
              </w:rPr>
              <w:sym w:font="Symbol" w:char="F0B3"/>
            </w:r>
            <w:r w:rsidRPr="005E1DC0">
              <w:rPr>
                <w:rFonts w:ascii="Times New Roman" w:eastAsia="Times New Roman" w:hAnsi="Times New Roman" w:cs="Times New Roman"/>
                <w:lang w:eastAsia="lt-LT"/>
              </w:rPr>
              <w:t> 2 g/dl (ilgalaikis dozės mažinimas)</w:t>
            </w:r>
          </w:p>
        </w:tc>
        <w:tc>
          <w:tcPr>
            <w:tcW w:w="1368" w:type="pct"/>
          </w:tcPr>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 12 g/dl, nors jau 4 savaites dozė sumažinta</w:t>
            </w:r>
          </w:p>
        </w:tc>
      </w:tr>
    </w:tbl>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[1] Pacientams, vartojantiems po </w:t>
      </w:r>
      <w:r w:rsidRPr="005E1DC0">
        <w:rPr>
          <w:rFonts w:ascii="Times New Roman" w:eastAsia="Calibri" w:hAnsi="Times New Roman" w:cs="Times New Roman"/>
          <w:lang w:eastAsia="lt-LT"/>
        </w:rPr>
        <w:t>1000</w:t>
      </w:r>
      <w:r w:rsidRPr="005E1DC0">
        <w:rPr>
          <w:rFonts w:ascii="Times New Roman" w:eastAsia="Times New Roman" w:hAnsi="Times New Roman" w:cs="Times New Roman"/>
          <w:lang w:eastAsia="lt-LT"/>
        </w:rPr>
        <w:t> </w:t>
      </w:r>
      <w:r w:rsidRPr="005E1DC0">
        <w:rPr>
          <w:rFonts w:ascii="Times New Roman" w:eastAsia="Calibri" w:hAnsi="Times New Roman" w:cs="Times New Roman"/>
          <w:lang w:eastAsia="lt-LT"/>
        </w:rPr>
        <w:t>mg</w:t>
      </w:r>
      <w:r w:rsidRPr="005E1DC0">
        <w:rPr>
          <w:rFonts w:ascii="Times New Roman" w:eastAsia="Times New Roman" w:hAnsi="Times New Roman" w:cs="Times New Roman"/>
          <w:lang w:eastAsia="lt-LT"/>
        </w:rPr>
        <w:t xml:space="preserve"> (&lt; </w:t>
      </w:r>
      <w:r w:rsidRPr="005E1DC0">
        <w:rPr>
          <w:rFonts w:ascii="Times New Roman" w:eastAsia="Calibri" w:hAnsi="Times New Roman" w:cs="Times New Roman"/>
          <w:lang w:eastAsia="lt-LT"/>
        </w:rPr>
        <w:t>75 kg</w:t>
      </w:r>
      <w:bookmarkStart w:id="1" w:name="OLE_LINK1"/>
      <w:bookmarkStart w:id="2" w:name="OLE_LINK2"/>
      <w:r w:rsidRPr="005E1DC0">
        <w:rPr>
          <w:rFonts w:ascii="Times New Roman" w:eastAsia="Times New Roman" w:hAnsi="Times New Roman" w:cs="Times New Roman"/>
          <w:lang w:eastAsia="lt-LT"/>
        </w:rPr>
        <w:t>)</w:t>
      </w:r>
      <w:r w:rsidRPr="005E1DC0">
        <w:rPr>
          <w:rFonts w:ascii="Times New Roman" w:eastAsia="Calibri" w:hAnsi="Times New Roman" w:cs="Times New Roman"/>
          <w:lang w:eastAsia="lt-LT"/>
        </w:rPr>
        <w:t xml:space="preserve"> arba </w:t>
      </w:r>
      <w:bookmarkEnd w:id="1"/>
      <w:bookmarkEnd w:id="2"/>
      <w:r w:rsidRPr="005E1DC0">
        <w:rPr>
          <w:rFonts w:ascii="Times New Roman" w:eastAsia="Times New Roman" w:hAnsi="Times New Roman" w:cs="Times New Roman"/>
          <w:lang w:eastAsia="lt-LT"/>
        </w:rPr>
        <w:t>1200 mg (&gt; 75 kg),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dozę reikia sumažinti iki 600 mg per parą (geriama po vieną 200 mg tabletę ryte ir po dvi 200 mg tabletes arba po vieną 400 mg tabletę vakare). Jeigu šis nuokrypis išnyksta,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vėl galima pradėti gerti po 600 mg per parą, o vėliau, gydančiojo gydytojo nuožiūra, paros dozę padidinti iki 800 mg. Tačiau vėl paskirti didesnių dozių nerekomenduojama.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[2] Pacientams, vartojantiems po 800 mg (&lt; 65 kg), 1000 mg (65 – 80 kg), 1200 mg (81 – 105 kg) arba 1400 mg (&gt; 105 kg), pirmąją Copegus dozę reikia sumažinti 200 mg / per parą (išskyrus 1400 mg dozę vartojančius pacientus, kuriems dozė turi būti sumažinta 400 mg / per parą). Jeigu reikia, antrą kartą Copegus dozė sumažinama papildomai dar 200 mg / per parą. Pacientai, kuriems Copegus dozė yra sumažinta iki 600 mg per parą, turi gerti po vieną 200 mg tabletę ryte ir po dvi 200 mg tabletes vakare.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Kaip keisti peginterferono alfa arba interferono alfa dozę, ir/ar gydymą jais nutraukti sunkių nepageidaujamų reakcijų, galimai susijusių su gydymu minėtais vaistiniais preparatais, atvejais, žiūrėkite šių vaistinių preparatų PCS.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
          <w:u w:val="single"/>
          <w:lang w:eastAsia="lt-LT"/>
        </w:rPr>
      </w:pPr>
      <w:r w:rsidRPr="005E1DC0">
        <w:rPr>
          <w:rFonts w:ascii="Times New Roman" w:eastAsia="Times New Roman" w:hAnsi="Times New Roman" w:cs="Times New Roman"/>
          <w:i/>
          <w:u w:val="single"/>
          <w:lang w:eastAsia="lt-LT"/>
        </w:rPr>
        <w:t>Specialios gyventojų grupės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u w:val="single"/>
          <w:lang w:eastAsia="lt-LT"/>
        </w:rPr>
        <w:t>Vartojimas, kai susilpnėjusi inkstų funkcija.</w:t>
      </w:r>
      <w:r w:rsidRPr="005E1DC0">
        <w:rPr>
          <w:rFonts w:ascii="Times New Roman" w:eastAsia="Times New Roman" w:hAnsi="Times New Roman" w:cs="Times New Roman"/>
          <w:lang w:eastAsia="lt-LT"/>
        </w:rPr>
        <w:t xml:space="preserve"> Pacientams, kurių inkstų veikla susilpnėjusi, vartojant rekomenduojamas ribavirino dozes (patikslintas pagal kūno svorį, esant 75 kg skiriamajai ribai), reikšmingai padidėja ribavirino koncentracijos plazmoje. Pacientams, kurių kreatinino klirensas yra 50 ml/min. ar mažesnis, Copegus bendrąją paros dozę reikia sumažinti kaip nurodyta 3 lentelėje (taip pat žr. 5.2 skyrių).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6282"/>
      </w:tblGrid>
      <w:tr w:rsidR="005E1DC0" w:rsidRPr="005E1DC0" w:rsidTr="00BB1B6B">
        <w:trPr>
          <w:cantSplit/>
          <w:trHeight w:val="227"/>
        </w:trPr>
        <w:tc>
          <w:tcPr>
            <w:tcW w:w="9072" w:type="dxa"/>
            <w:gridSpan w:val="2"/>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Times New Roman" w:hAnsi="Times New Roman" w:cs="Times New Roman"/>
                <w:b/>
                <w:lang w:val="en-US" w:eastAsia="lt-LT"/>
              </w:rPr>
            </w:pPr>
            <w:r w:rsidRPr="005E1DC0">
              <w:rPr>
                <w:rFonts w:ascii="Times New Roman" w:eastAsia="Times New Roman" w:hAnsi="Times New Roman" w:cs="Times New Roman"/>
                <w:b/>
                <w:lang w:val="en-GB" w:eastAsia="lt-LT"/>
              </w:rPr>
              <w:t>3 lentelė. Dozės keitimas, kai inkstų veikla yra susilpnėjusi</w:t>
            </w:r>
          </w:p>
        </w:tc>
      </w:tr>
      <w:tr w:rsidR="005E1DC0" w:rsidRPr="005E1DC0" w:rsidTr="00BB1B6B">
        <w:trPr>
          <w:cantSplit/>
          <w:trHeight w:val="246"/>
        </w:trPr>
        <w:tc>
          <w:tcPr>
            <w:tcW w:w="2694" w:type="dxa"/>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Times New Roman" w:hAnsi="Times New Roman" w:cs="Times New Roman"/>
                <w:b/>
                <w:lang w:val="en-US" w:eastAsia="lt-LT"/>
              </w:rPr>
            </w:pPr>
            <w:r w:rsidRPr="005E1DC0">
              <w:rPr>
                <w:rFonts w:ascii="Times New Roman" w:eastAsia="Times New Roman" w:hAnsi="Times New Roman" w:cs="Times New Roman"/>
                <w:b/>
                <w:lang w:val="en-US" w:eastAsia="lt-LT"/>
              </w:rPr>
              <w:t>Kreatinino klirensas</w:t>
            </w:r>
          </w:p>
        </w:tc>
        <w:tc>
          <w:tcPr>
            <w:tcW w:w="6378" w:type="dxa"/>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jc w:val="center"/>
              <w:rPr>
                <w:rFonts w:ascii="Times New Roman" w:eastAsia="Times New Roman" w:hAnsi="Times New Roman" w:cs="Times New Roman"/>
                <w:b/>
                <w:lang w:val="en-US" w:eastAsia="lt-LT"/>
              </w:rPr>
            </w:pPr>
            <w:r w:rsidRPr="005E1DC0">
              <w:rPr>
                <w:rFonts w:ascii="Times New Roman" w:eastAsia="Times New Roman" w:hAnsi="Times New Roman" w:cs="Times New Roman"/>
                <w:b/>
                <w:lang w:val="en-US" w:eastAsia="lt-LT"/>
              </w:rPr>
              <w:t>Copegus dozė (per parą)</w:t>
            </w:r>
          </w:p>
        </w:tc>
      </w:tr>
      <w:tr w:rsidR="005E1DC0" w:rsidRPr="005E1DC0" w:rsidTr="00BB1B6B">
        <w:trPr>
          <w:cantSplit/>
          <w:trHeight w:val="122"/>
        </w:trPr>
        <w:tc>
          <w:tcPr>
            <w:tcW w:w="2694" w:type="dxa"/>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Times New Roman" w:hAnsi="Times New Roman" w:cs="Times New Roman"/>
                <w:lang w:val="en-US" w:eastAsia="lt-LT"/>
              </w:rPr>
            </w:pPr>
            <w:r w:rsidRPr="005E1DC0">
              <w:rPr>
                <w:rFonts w:ascii="Times New Roman" w:eastAsia="Times New Roman" w:hAnsi="Times New Roman" w:cs="Times New Roman"/>
                <w:lang w:val="en-US" w:eastAsia="lt-LT"/>
              </w:rPr>
              <w:t>Nuo 30 iki 50 ml/min</w:t>
            </w:r>
          </w:p>
        </w:tc>
        <w:tc>
          <w:tcPr>
            <w:tcW w:w="6378" w:type="dxa"/>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jc w:val="center"/>
              <w:rPr>
                <w:rFonts w:ascii="Times New Roman" w:eastAsia="Times New Roman" w:hAnsi="Times New Roman" w:cs="Times New Roman"/>
                <w:lang w:val="en-US" w:eastAsia="lt-LT"/>
              </w:rPr>
            </w:pPr>
            <w:r w:rsidRPr="005E1DC0">
              <w:rPr>
                <w:rFonts w:ascii="Times New Roman" w:eastAsia="Times New Roman" w:hAnsi="Times New Roman" w:cs="Times New Roman"/>
                <w:lang w:val="en-US" w:eastAsia="lt-LT"/>
              </w:rPr>
              <w:t>Keičiant 200 mg ir 400 mg dozes kas antrą dieną</w:t>
            </w:r>
          </w:p>
        </w:tc>
      </w:tr>
      <w:tr w:rsidR="005E1DC0" w:rsidRPr="005E1DC0" w:rsidTr="00BB1B6B">
        <w:trPr>
          <w:cantSplit/>
          <w:trHeight w:val="153"/>
        </w:trPr>
        <w:tc>
          <w:tcPr>
            <w:tcW w:w="2694" w:type="dxa"/>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Times New Roman" w:hAnsi="Times New Roman" w:cs="Times New Roman"/>
                <w:lang w:val="en-US" w:eastAsia="lt-LT"/>
              </w:rPr>
            </w:pPr>
            <w:r w:rsidRPr="005E1DC0">
              <w:rPr>
                <w:rFonts w:ascii="Times New Roman" w:eastAsia="Times New Roman" w:hAnsi="Times New Roman" w:cs="Times New Roman"/>
                <w:lang w:val="en-US" w:eastAsia="lt-LT"/>
              </w:rPr>
              <w:t>Mažesnis nei 30 ml/min</w:t>
            </w:r>
          </w:p>
        </w:tc>
        <w:tc>
          <w:tcPr>
            <w:tcW w:w="6378" w:type="dxa"/>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jc w:val="center"/>
              <w:rPr>
                <w:rFonts w:ascii="Times New Roman" w:eastAsia="Times New Roman" w:hAnsi="Times New Roman" w:cs="Times New Roman"/>
                <w:lang w:val="en-US" w:eastAsia="lt-LT"/>
              </w:rPr>
            </w:pPr>
            <w:r w:rsidRPr="005E1DC0">
              <w:rPr>
                <w:rFonts w:ascii="Times New Roman" w:eastAsia="Times New Roman" w:hAnsi="Times New Roman" w:cs="Times New Roman"/>
                <w:lang w:val="en-US" w:eastAsia="lt-LT"/>
              </w:rPr>
              <w:t>200 mg per parą</w:t>
            </w:r>
          </w:p>
        </w:tc>
      </w:tr>
      <w:tr w:rsidR="005E1DC0" w:rsidRPr="005E1DC0" w:rsidTr="00BB1B6B">
        <w:trPr>
          <w:cantSplit/>
          <w:trHeight w:val="172"/>
        </w:trPr>
        <w:tc>
          <w:tcPr>
            <w:tcW w:w="2694" w:type="dxa"/>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Times New Roman" w:hAnsi="Times New Roman" w:cs="Times New Roman"/>
                <w:lang w:val="en-US" w:eastAsia="lt-LT"/>
              </w:rPr>
            </w:pPr>
            <w:r w:rsidRPr="005E1DC0">
              <w:rPr>
                <w:rFonts w:ascii="Times New Roman" w:eastAsia="Times New Roman" w:hAnsi="Times New Roman" w:cs="Times New Roman"/>
                <w:lang w:val="en-US" w:eastAsia="lt-LT"/>
              </w:rPr>
              <w:t>Hemodializė</w:t>
            </w:r>
          </w:p>
        </w:tc>
        <w:tc>
          <w:tcPr>
            <w:tcW w:w="6378" w:type="dxa"/>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jc w:val="center"/>
              <w:rPr>
                <w:rFonts w:ascii="Times New Roman" w:eastAsia="Times New Roman" w:hAnsi="Times New Roman" w:cs="Times New Roman"/>
                <w:lang w:val="en-US" w:eastAsia="lt-LT"/>
              </w:rPr>
            </w:pPr>
            <w:r w:rsidRPr="005E1DC0">
              <w:rPr>
                <w:rFonts w:ascii="Times New Roman" w:eastAsia="Times New Roman" w:hAnsi="Times New Roman" w:cs="Times New Roman"/>
                <w:lang w:val="en-US" w:eastAsia="lt-LT"/>
              </w:rPr>
              <w:t>200 mg per parą</w:t>
            </w:r>
          </w:p>
        </w:tc>
      </w:tr>
    </w:tbl>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Gydymą reikia pradėti (ar tęsti, jeigu inkstų veikla sutrinka gydymo metu) itin atsargiai ir intensyviai kontroliuoti hemoglobino koncentraciją, taip pat, jeigu prireiktų, per visą gydymo laikotarpį taikyti koregavimo veiksmus (žr. </w:t>
      </w:r>
      <w:r w:rsidRPr="005E1DC0">
        <w:rPr>
          <w:rFonts w:ascii="Times New Roman" w:eastAsia="Times New Roman" w:hAnsi="Times New Roman" w:cs="Times New Roman"/>
          <w:bCs/>
          <w:lang w:eastAsia="lt-LT"/>
        </w:rPr>
        <w:t>4.4</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bCs/>
          <w:lang w:eastAsia="lt-LT"/>
        </w:rPr>
        <w:t>skyrių</w:t>
      </w:r>
      <w:r w:rsidRPr="005E1DC0">
        <w:rPr>
          <w:rFonts w:ascii="Times New Roman" w:eastAsia="Times New Roman" w:hAnsi="Times New Roman" w:cs="Times New Roman"/>
          <w:lang w:eastAsia="lt-LT"/>
        </w:rPr>
        <w: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atsiranda sunkių nepageidaujamų reakcijų arba laboratorinių nuokrypių, jeigu reikia, kol nepageidaujamos reakcijos išnyks arba palengvės, gydymą Copegus reikia nutraukti. Jeigu atnaujinus gydymą Copegus netoleravimas išlieka, Copegus vartojimą reikia nutraukti. Duomenų apie vaikus, kurių inkstų veikla sutrikusi, nėra.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Calibri" w:hAnsi="Times New Roman" w:cs="Times New Roman"/>
          <w:i/>
          <w:lang w:eastAsia="lt-LT"/>
        </w:rPr>
        <w:t>Vartojimas, kai susilpnėjusi kepenų funkcija.</w:t>
      </w:r>
      <w:r w:rsidRPr="005E1DC0">
        <w:rPr>
          <w:rFonts w:ascii="Times New Roman" w:eastAsia="Times New Roman" w:hAnsi="Times New Roman" w:cs="Times New Roman"/>
          <w:b/>
          <w:bCs/>
          <w:lang w:eastAsia="lt-LT"/>
        </w:rPr>
        <w:t xml:space="preserve"> </w:t>
      </w:r>
      <w:r w:rsidRPr="005E1DC0">
        <w:rPr>
          <w:rFonts w:ascii="Times New Roman" w:eastAsia="Times New Roman" w:hAnsi="Times New Roman" w:cs="Times New Roman"/>
          <w:lang w:eastAsia="lt-LT"/>
        </w:rPr>
        <w:t xml:space="preserve">Ribavirino farmakokinetikai kepenų funkcija poveikio neturi (žr. </w:t>
      </w:r>
      <w:r w:rsidRPr="005E1DC0">
        <w:rPr>
          <w:rFonts w:ascii="Times New Roman" w:eastAsia="Times New Roman" w:hAnsi="Times New Roman" w:cs="Times New Roman"/>
          <w:bCs/>
          <w:lang w:eastAsia="lt-LT"/>
        </w:rPr>
        <w:t>5.2</w:t>
      </w:r>
      <w:r w:rsidRPr="005E1DC0">
        <w:rPr>
          <w:rFonts w:ascii="Times New Roman" w:eastAsia="Times New Roman" w:hAnsi="Times New Roman" w:cs="Times New Roman"/>
          <w:lang w:eastAsia="lt-LT"/>
        </w:rPr>
        <w:t xml:space="preserve"> </w:t>
      </w:r>
      <w:r w:rsidRPr="005E1DC0">
        <w:rPr>
          <w:rFonts w:ascii="Times New Roman" w:eastAsia="Times New Roman" w:hAnsi="Times New Roman" w:cs="Times New Roman"/>
          <w:bCs/>
          <w:lang w:eastAsia="lt-LT"/>
        </w:rPr>
        <w:t>skyrių</w:t>
      </w:r>
      <w:r w:rsidRPr="005E1DC0">
        <w:rPr>
          <w:rFonts w:ascii="Times New Roman" w:eastAsia="Times New Roman" w:hAnsi="Times New Roman" w:cs="Times New Roman"/>
          <w:lang w:eastAsia="lt-LT"/>
        </w:rPr>
        <w:t>). Dėl to, kai pacientų kepenų funkcija pablogėjusi,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dozės tikslinti nereikia.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Calibri" w:hAnsi="Times New Roman" w:cs="Times New Roman"/>
          <w:i/>
          <w:lang w:eastAsia="lt-LT"/>
        </w:rPr>
        <w:t>Vartojimas pagyvenusiems, vyresniems nei 65 metų pacientams.</w:t>
      </w:r>
      <w:r w:rsidRPr="005E1DC0">
        <w:rPr>
          <w:rFonts w:ascii="Times New Roman" w:eastAsia="Calibri" w:hAnsi="Times New Roman" w:cs="Times New Roman"/>
          <w:b/>
          <w:i/>
          <w:lang w:eastAsia="lt-LT"/>
        </w:rPr>
        <w:t xml:space="preserve"> </w:t>
      </w:r>
      <w:r w:rsidRPr="005E1DC0">
        <w:rPr>
          <w:rFonts w:ascii="Times New Roman" w:eastAsia="Times New Roman" w:hAnsi="Times New Roman" w:cs="Times New Roman"/>
          <w:lang w:eastAsia="lt-LT"/>
        </w:rPr>
        <w:t>Atrodo, kad amžius neturi didelės reikšmės ribavirino farmakokinetikai. Tačiau šiems pacientams, kaip ir jaunesniems, prieš paskiriant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būtina ištirti inkstų veiklą.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
          <w:iCs/>
          <w:lang w:eastAsia="lt-LT"/>
        </w:rPr>
      </w:pPr>
      <w:r w:rsidRPr="005E1DC0">
        <w:rPr>
          <w:rFonts w:ascii="Times New Roman" w:eastAsia="Calibri" w:hAnsi="Times New Roman" w:cs="Times New Roman"/>
          <w:i/>
          <w:lang w:eastAsia="lt-LT"/>
        </w:rPr>
        <w:t>Vartojimas jaunesniems kaip 18 metų pacientams.</w:t>
      </w:r>
      <w:r w:rsidRPr="005E1DC0">
        <w:rPr>
          <w:rFonts w:ascii="Times New Roman" w:eastAsia="Times New Roman" w:hAnsi="Times New Roman" w:cs="Times New Roman"/>
          <w:lang w:eastAsia="lt-LT"/>
        </w:rPr>
        <w:t xml:space="preserve"> </w:t>
      </w:r>
      <w:r w:rsidRPr="005E1DC0">
        <w:rPr>
          <w:rFonts w:ascii="Times New Roman" w:eastAsia="Times New Roman" w:hAnsi="Times New Roman" w:cs="Times New Roman"/>
          <w:iCs/>
          <w:lang w:eastAsia="lt-LT"/>
        </w:rPr>
        <w:t xml:space="preserve">Copegus nerekomenduojama skirti jaunesniems kaip 18 metų vaikams ir paaugliams, nes duomenų apie hepatito C gydymui skiriamo derinio su kitais vaistiniais preparatais saugumą ir veiksmingumą nepakanka. </w:t>
      </w:r>
      <w:r w:rsidRPr="005E1DC0">
        <w:rPr>
          <w:rFonts w:ascii="Times New Roman" w:eastAsia="Times New Roman" w:hAnsi="Times New Roman" w:cs="Times New Roman"/>
          <w:lang w:eastAsia="lt-LT"/>
        </w:rPr>
        <w:t>Apie vartojimo kartu su peginterferonu alfa-2a saugumą ir veiksmingumą vaikams ir paaugliams (nuo 6 iki 18 metų) duomenų turima mažai. Copegus skiriant vaikui rizikos ir naudos santykį kiekvienu atveju reikia įvertinti individualiai (žr. 4.4 skyrių).</w:t>
      </w: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4.3</w:t>
      </w:r>
      <w:r w:rsidRPr="005E1DC0">
        <w:rPr>
          <w:rFonts w:ascii="Times New Roman" w:eastAsia="Times New Roman" w:hAnsi="Times New Roman" w:cs="Times New Roman"/>
          <w:b/>
          <w:bCs/>
          <w:lang w:eastAsia="lt-LT"/>
        </w:rPr>
        <w:tab/>
        <w:t>Kontraindikacijos</w:t>
      </w: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skirti draudžiama šiais atvejais: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Padidėjęs jautrumas ribavirinui arba bet kuriai 6.1 skyriuje nurodytai pagalbinei medžiagai.</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 xml:space="preserve">Nėščioms moterims (žr. </w:t>
      </w:r>
      <w:r w:rsidRPr="005E1DC0">
        <w:rPr>
          <w:rFonts w:ascii="Times New Roman" w:eastAsia="Times New Roman" w:hAnsi="Times New Roman" w:cs="Times New Roman"/>
          <w:bCs/>
          <w:lang w:eastAsia="lt-LT"/>
        </w:rPr>
        <w:t>4.4</w:t>
      </w:r>
      <w:r w:rsidRPr="005E1DC0">
        <w:rPr>
          <w:rFonts w:ascii="Times New Roman" w:eastAsia="Times New Roman" w:hAnsi="Times New Roman" w:cs="Times New Roman"/>
          <w:lang w:eastAsia="lt-LT"/>
        </w:rPr>
        <w:t xml:space="preserve"> </w:t>
      </w:r>
      <w:r w:rsidRPr="005E1DC0">
        <w:rPr>
          <w:rFonts w:ascii="Times New Roman" w:eastAsia="Times New Roman" w:hAnsi="Times New Roman" w:cs="Times New Roman"/>
          <w:bCs/>
          <w:lang w:eastAsia="lt-LT"/>
        </w:rPr>
        <w:t>skyrių</w:t>
      </w:r>
      <w:r w:rsidRPr="005E1DC0">
        <w:rPr>
          <w:rFonts w:ascii="Times New Roman" w:eastAsia="Times New Roman" w:hAnsi="Times New Roman" w:cs="Times New Roman"/>
          <w:lang w:eastAsia="lt-LT"/>
        </w:rPr>
        <w:t>). Draudžiama pradėti vartoti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tol, kol bus pateiktas neigiamas nėštumo mėginys, atliktas prieš pat gydymo pradžią.</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 xml:space="preserve">Krūtimi maitinančioms motinoms (žr. </w:t>
      </w:r>
      <w:r w:rsidRPr="005E1DC0">
        <w:rPr>
          <w:rFonts w:ascii="Times New Roman" w:eastAsia="Times New Roman" w:hAnsi="Times New Roman" w:cs="Times New Roman"/>
          <w:bCs/>
          <w:lang w:eastAsia="lt-LT"/>
        </w:rPr>
        <w:t>4.6</w:t>
      </w:r>
      <w:r w:rsidRPr="005E1DC0">
        <w:rPr>
          <w:rFonts w:ascii="Times New Roman" w:eastAsia="Times New Roman" w:hAnsi="Times New Roman" w:cs="Times New Roman"/>
          <w:lang w:eastAsia="lt-LT"/>
        </w:rPr>
        <w:t xml:space="preserve"> </w:t>
      </w:r>
      <w:r w:rsidRPr="005E1DC0">
        <w:rPr>
          <w:rFonts w:ascii="Times New Roman" w:eastAsia="Times New Roman" w:hAnsi="Times New Roman" w:cs="Times New Roman"/>
          <w:bCs/>
          <w:lang w:eastAsia="lt-LT"/>
        </w:rPr>
        <w:t>skyrių</w:t>
      </w:r>
      <w:r w:rsidRPr="005E1DC0">
        <w:rPr>
          <w:rFonts w:ascii="Times New Roman" w:eastAsia="Times New Roman" w:hAnsi="Times New Roman" w:cs="Times New Roman"/>
          <w:lang w:eastAsia="lt-LT"/>
        </w:rPr>
        <w:t>).</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Per paskutiniuosius šešis mėnesius sirgusiems sunkia širdies liga, įskaitant ir nestabilią ar nekontroliuojamą širdies ligą.</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w:t>
      </w:r>
      <w:r w:rsidRPr="005E1DC0">
        <w:rPr>
          <w:rFonts w:ascii="Times New Roman" w:eastAsia="Times New Roman" w:hAnsi="Times New Roman" w:cs="Times New Roman"/>
          <w:lang w:eastAsia="lt-LT"/>
        </w:rPr>
        <w:tab/>
        <w:t>Sergantiesiems hemoglobinopatijomis (pvz., talasemija, pjautuvine anemija).</w:t>
      </w:r>
    </w:p>
    <w:p w:rsidR="005E1DC0" w:rsidRPr="005E1DC0" w:rsidRDefault="005E1DC0" w:rsidP="005E1DC0">
      <w:pPr>
        <w:tabs>
          <w:tab w:val="left" w:pos="567"/>
        </w:tabs>
        <w:spacing w:after="0" w:line="240" w:lineRule="auto"/>
        <w:jc w:val="both"/>
        <w:rPr>
          <w:rFonts w:ascii="Times New Roman" w:eastAsia="Times New Roman" w:hAnsi="Times New Roman" w:cs="Times New Roman"/>
          <w:bCs/>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kontraindikacijas kitiems kartu su Copegus skiriamiems vaistiniams preparatams žiūrėkite šių vaistinių preparatų PCS.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4.4</w:t>
      </w:r>
      <w:r w:rsidRPr="005E1DC0">
        <w:rPr>
          <w:rFonts w:ascii="Times New Roman" w:eastAsia="Times New Roman" w:hAnsi="Times New Roman" w:cs="Times New Roman"/>
          <w:b/>
          <w:bCs/>
          <w:lang w:eastAsia="lt-LT"/>
        </w:rPr>
        <w:tab/>
        <w:t>Specialūs įspėjimai ir atsargumo priemonės</w:t>
      </w:r>
    </w:p>
    <w:p w:rsidR="005E1DC0" w:rsidRPr="005E1DC0" w:rsidRDefault="005E1DC0" w:rsidP="005E1DC0">
      <w:pPr>
        <w:tabs>
          <w:tab w:val="left" w:pos="567"/>
        </w:tabs>
        <w:spacing w:after="0" w:line="240" w:lineRule="auto"/>
        <w:jc w:val="both"/>
        <w:rPr>
          <w:rFonts w:ascii="Times New Roman" w:eastAsia="Times New Roman" w:hAnsi="Times New Roman" w:cs="Times New Roman"/>
          <w:bCs/>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Monoterapiją Copegus skirti draudžiama.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
          <w:u w:val="single"/>
          <w:lang w:eastAsia="lt-LT"/>
        </w:rPr>
      </w:pPr>
      <w:r w:rsidRPr="005E1DC0">
        <w:rPr>
          <w:rFonts w:ascii="Times New Roman" w:eastAsia="Times New Roman" w:hAnsi="Times New Roman" w:cs="Times New Roman"/>
          <w:i/>
          <w:u w:val="single"/>
          <w:lang w:eastAsia="lt-LT"/>
        </w:rPr>
        <w:t>Gydymas ribavirino ir (peg)interferono alfa deriniu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Yra keletas sunkių nepageidaujamų reakcijų, susijusių su gydymu ribavirino ir (peg)interferono alfa deriniu. Tai yra: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Sunkus poveikis psichikai ir centrinei nervų sistemai (pavyzdžiui, depresija, mintys apie savižudybę, bandymas nusižudyti, agresyvus elgesys ir t.t.);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Sunkūs akių sutrikimai;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Dantų ir periodonto sutrikimai;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Vaikų ir paauglių augimo slopinimas, kuris kai kuriems pacientams gali būti negrįžtamas.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Prieš paskirdami gydymą perskaitykite (peg)interferono alfa charakteristikų santraukoje informaciją apie šių nepageidaujamų reakcijų stebėsenos ir valdymo rekomendacijas.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tabs>
          <w:tab w:val="left" w:pos="567"/>
        </w:tabs>
        <w:spacing w:after="0" w:line="240" w:lineRule="auto"/>
        <w:rPr>
          <w:rFonts w:ascii="Times New Roman" w:eastAsia="Times New Roman" w:hAnsi="Times New Roman" w:cs="Times New Roman"/>
          <w:i/>
          <w:lang w:eastAsia="lt-LT"/>
        </w:rPr>
      </w:pPr>
      <w:r w:rsidRPr="005E1DC0">
        <w:rPr>
          <w:rFonts w:ascii="Times New Roman" w:eastAsia="Times New Roman" w:hAnsi="Times New Roman" w:cs="Times New Roman"/>
          <w:bCs/>
          <w:i/>
          <w:lang w:eastAsia="lt-LT"/>
        </w:rPr>
        <w:t>Teratogeninis pavojus.</w:t>
      </w:r>
      <w:r w:rsidRPr="005E1DC0">
        <w:rPr>
          <w:rFonts w:ascii="Times New Roman" w:eastAsia="Times New Roman" w:hAnsi="Times New Roman" w:cs="Times New Roman"/>
          <w:lang w:eastAsia="lt-LT"/>
        </w:rPr>
        <w:t xml:space="preserve"> Žr. </w:t>
      </w:r>
      <w:r w:rsidRPr="005E1DC0">
        <w:rPr>
          <w:rFonts w:ascii="Times New Roman" w:eastAsia="Times New Roman" w:hAnsi="Times New Roman" w:cs="Times New Roman"/>
          <w:bCs/>
          <w:lang w:eastAsia="lt-LT"/>
        </w:rPr>
        <w:t>4.6 skyrių</w:t>
      </w:r>
      <w:r w:rsidRPr="005E1DC0">
        <w:rPr>
          <w:rFonts w:ascii="Times New Roman" w:eastAsia="Times New Roman" w:hAnsi="Times New Roman" w:cs="Times New Roman"/>
          <w:lang w:eastAsia="lt-LT"/>
        </w:rPr>
        <w: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Prieš pradėdamas gydyti ribavirinu, gydytojas privalo suprantamai paaiškinti pacientui apie ribavirino teratogeninio poveikio riziką, būtiną veiksmingą ir nuolatinę kontracepciją, galimą neefektyvią kontracepciją ir nėštumo, prasidėjusio gydymo ribavirinu metu, galimas neigiamas pasekmes. Apie nuolatinius nėštumo laboratorinius tyrimus žiūrėkite skirsnį „Laboratoriniai tyrimai“.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Kancerogeniškumas</w:t>
      </w:r>
      <w:r w:rsidRPr="005E1DC0">
        <w:rPr>
          <w:rFonts w:ascii="Times New Roman" w:eastAsia="Times New Roman" w:hAnsi="Times New Roman" w:cs="Times New Roman"/>
          <w:i/>
          <w:lang w:eastAsia="lt-LT"/>
        </w:rPr>
        <w:t>.</w:t>
      </w:r>
      <w:r w:rsidRPr="005E1DC0">
        <w:rPr>
          <w:rFonts w:ascii="Times New Roman" w:eastAsia="Times New Roman" w:hAnsi="Times New Roman" w:cs="Times New Roman"/>
          <w:lang w:eastAsia="lt-LT"/>
        </w:rPr>
        <w:t xml:space="preserve"> Kai kuriais </w:t>
      </w:r>
      <w:r w:rsidRPr="005E1DC0">
        <w:rPr>
          <w:rFonts w:ascii="Times New Roman" w:eastAsia="Times New Roman" w:hAnsi="Times New Roman" w:cs="Times New Roman"/>
          <w:i/>
          <w:iCs/>
          <w:lang w:eastAsia="lt-LT"/>
        </w:rPr>
        <w:t>in vivo</w:t>
      </w:r>
      <w:r w:rsidRPr="005E1DC0">
        <w:rPr>
          <w:rFonts w:ascii="Times New Roman" w:eastAsia="Times New Roman" w:hAnsi="Times New Roman" w:cs="Times New Roman"/>
          <w:lang w:eastAsia="lt-LT"/>
        </w:rPr>
        <w:t xml:space="preserve"> ir </w:t>
      </w:r>
      <w:r w:rsidRPr="005E1DC0">
        <w:rPr>
          <w:rFonts w:ascii="Times New Roman" w:eastAsia="Times New Roman" w:hAnsi="Times New Roman" w:cs="Times New Roman"/>
          <w:i/>
          <w:iCs/>
          <w:lang w:eastAsia="lt-LT"/>
        </w:rPr>
        <w:t>in vitro</w:t>
      </w:r>
      <w:r w:rsidRPr="005E1DC0">
        <w:rPr>
          <w:rFonts w:ascii="Times New Roman" w:eastAsia="Times New Roman" w:hAnsi="Times New Roman" w:cs="Times New Roman"/>
          <w:lang w:eastAsia="lt-LT"/>
        </w:rPr>
        <w:t xml:space="preserve"> genotoksiškumo tyrimais nustatyta, kad ribavirinas pasižymi mutageniniu poveikiu. Negalima atmesti ribavirino kancerogeninio poveikio galimybės (žr. </w:t>
      </w:r>
      <w:r w:rsidRPr="005E1DC0">
        <w:rPr>
          <w:rFonts w:ascii="Times New Roman" w:eastAsia="Times New Roman" w:hAnsi="Times New Roman" w:cs="Times New Roman"/>
          <w:bCs/>
          <w:lang w:eastAsia="lt-LT"/>
        </w:rPr>
        <w:t>5.3</w:t>
      </w:r>
      <w:r w:rsidRPr="005E1DC0">
        <w:rPr>
          <w:rFonts w:ascii="Times New Roman" w:eastAsia="Times New Roman" w:hAnsi="Times New Roman" w:cs="Times New Roman"/>
          <w:lang w:eastAsia="lt-LT"/>
        </w:rPr>
        <w:t xml:space="preserve"> </w:t>
      </w:r>
      <w:r w:rsidRPr="005E1DC0">
        <w:rPr>
          <w:rFonts w:ascii="Times New Roman" w:eastAsia="Times New Roman" w:hAnsi="Times New Roman" w:cs="Times New Roman"/>
          <w:bCs/>
          <w:lang w:eastAsia="lt-LT"/>
        </w:rPr>
        <w:t>skyrių</w:t>
      </w:r>
      <w:r w:rsidRPr="005E1DC0">
        <w:rPr>
          <w:rFonts w:ascii="Times New Roman" w:eastAsia="Times New Roman" w:hAnsi="Times New Roman" w:cs="Times New Roman"/>
          <w:lang w:eastAsia="lt-LT"/>
        </w:rPr>
        <w: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Hemolizė, širdies ir kraujagyslių sistema</w:t>
      </w:r>
      <w:r w:rsidRPr="005E1DC0">
        <w:rPr>
          <w:rFonts w:ascii="Times New Roman" w:eastAsia="Times New Roman" w:hAnsi="Times New Roman" w:cs="Times New Roman"/>
          <w:i/>
          <w:lang w:eastAsia="lt-LT"/>
        </w:rPr>
        <w:t xml:space="preserve">. </w:t>
      </w:r>
      <w:r w:rsidRPr="005E1DC0">
        <w:rPr>
          <w:rFonts w:ascii="Times New Roman" w:eastAsia="Times New Roman" w:hAnsi="Times New Roman" w:cs="Times New Roman"/>
          <w:lang w:eastAsia="lt-LT"/>
        </w:rPr>
        <w:t>Pastebėta, kad iki 15 % pacientų, 48 savaites gydytų Copegus po 1000 mg arba 1200 mg ir peginterferono alfa-2a deriniu, ir iki 19 % pacientų, gydytų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ir interferono alfa-2a deriniu, hemoglobino koncentracija sumažėjo iki &lt;10 g/dl. Kai kartu su peginterferonu alfa-2a 24 savaites skirta 800 mg Copegus dozė, hemoglobino koncentracija iki &lt;10 g/dl sumažėjo 3 % pacientų. Rizika anemijai išsivystyti didesnė moterų tarpe. Nors ribavirinas tiesiogiai neveikia širdies ir kraujagyslių funkcijos, nuo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dėl su jo vartojimu susijusios anemijos gali sutrikti širdies veikla, paūmėti vainikinių arterijų ligos simptomai ar pasunkėti abi ligos. Todėl pacientams, sergantiems širdies liga,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 xml:space="preserve">būtina skirti atsargiai. Prieš pradedant gydymą, reikia įvertinti jų širdies veiklą ir gydymo metu pacientą nuolat kliniškai tirti; jei jo būklė bent kiek pablogėja, vaisto vartoti reikia liautis (žr. </w:t>
      </w:r>
      <w:r w:rsidRPr="005E1DC0">
        <w:rPr>
          <w:rFonts w:ascii="Times New Roman" w:eastAsia="Times New Roman" w:hAnsi="Times New Roman" w:cs="Times New Roman"/>
          <w:bCs/>
          <w:lang w:eastAsia="lt-LT"/>
        </w:rPr>
        <w:t>4.2 skyrių</w:t>
      </w:r>
      <w:r w:rsidRPr="005E1DC0">
        <w:rPr>
          <w:rFonts w:ascii="Times New Roman" w:eastAsia="Times New Roman" w:hAnsi="Times New Roman" w:cs="Times New Roman"/>
          <w:lang w:eastAsia="lt-LT"/>
        </w:rPr>
        <w:t>). Pacientus, kurie sirgo staziniu širdies nepakankamumu, miokardo infarktu ir (arba) kurių širdies ritmas buvo sutrikęs anksčiau ar dabar sutriko, būtina atidžiai stebėti. Tiems pacientams, kurių širdies funkcija nenormali, prieš gydymo kursą ir jo metu patartina užrašyti elektrokardiogramą. Širdies aritmijos (pirmiausia supraventrikulinė) paprastai sėkmingai gydomos tradiciniu būdu, bet kartais gali tekti gydymo šiuo vaistu kursą nutraukti.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Literatūroje buvo pranešimų, kad per 3-7 savaites po peginterferono ir ribavirino kartu su azatioprinu vartojimo pasitaikė pancitopenija ir kaulų čiulpų slopinimas. Nutraukus HCV antivirusinį ir kartu azatioprino vartojimą, šis toksinis poveikis kaulų čiulpams per 4-6 savaites buvo grįžtamas ir, vėl pradėjus gydyti bet kuriuo vienu šių preparatų, nebepasikartojo (žr. 4.5 skyrių).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ir peginterferono alfa-2a derinio vartojimas pacientams, kurie į ankstesnį gydymą nereagavo ir kuriems ankstesnis gydymas nutrauktas dėl nepageidaujamų hematologinių reiškinių, ištirtas nepakankamai. Gydytojai, svarstantys tų pacientų gydymo klausimą, turi rūpestingai įvertinti pakartotinio jų gydymo riziką ir naudą.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lastRenderedPageBreak/>
        <w:t>Ūminė padidėjusio jautrumo reakcija</w:t>
      </w:r>
      <w:r w:rsidRPr="005E1DC0">
        <w:rPr>
          <w:rFonts w:ascii="Times New Roman" w:eastAsia="Times New Roman" w:hAnsi="Times New Roman" w:cs="Times New Roman"/>
          <w:i/>
          <w:lang w:eastAsia="lt-LT"/>
        </w:rPr>
        <w:t xml:space="preserve">. </w:t>
      </w:r>
      <w:r w:rsidRPr="005E1DC0">
        <w:rPr>
          <w:rFonts w:ascii="Times New Roman" w:eastAsia="Times New Roman" w:hAnsi="Times New Roman" w:cs="Times New Roman"/>
          <w:lang w:eastAsia="lt-LT"/>
        </w:rPr>
        <w:t>Jei atsiranda ūminė padidėjusio jautrumo reakcija (pvz., dilgėlinė, angioedema, bronchų spazmas, anafilaksija), nedelsiant reikia liautis skirti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ir suteikti atitinkamą medicininę pagalbą. Dėl trumpalaikių bėrimų nutraukti gydymą nebūtina.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Kepenų funkcija</w:t>
      </w:r>
      <w:r w:rsidRPr="005E1DC0">
        <w:rPr>
          <w:rFonts w:ascii="Times New Roman" w:eastAsia="Times New Roman" w:hAnsi="Times New Roman" w:cs="Times New Roman"/>
          <w:i/>
          <w:lang w:eastAsia="lt-LT"/>
        </w:rPr>
        <w:t>.</w:t>
      </w:r>
      <w:r w:rsidRPr="005E1DC0">
        <w:rPr>
          <w:rFonts w:ascii="Times New Roman" w:eastAsia="Times New Roman" w:hAnsi="Times New Roman" w:cs="Times New Roman"/>
          <w:lang w:eastAsia="lt-LT"/>
        </w:rPr>
        <w:t xml:space="preserve"> Pacientams, kuriems gydymo metu atsiranda kepenų dekompensacijos požymių,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kartu su kitais vaistiniais preparatais vartojimą reikia nutraukti. Kai padidėjęs ALT aktyvumas, neatsižvelgiant į sumažintą vaisto dozę, progresuoja ir tampa kliniškai reikšmingas, ar kartu padidėja tiesioginio bilirubino koncentracija, gydymą reikia nutraukti.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Susilpnėjusi inkstų funkcija</w:t>
      </w:r>
      <w:r w:rsidRPr="005E1DC0">
        <w:rPr>
          <w:rFonts w:ascii="Times New Roman" w:eastAsia="Times New Roman" w:hAnsi="Times New Roman" w:cs="Times New Roman"/>
          <w:i/>
          <w:lang w:eastAsia="lt-LT"/>
        </w:rPr>
        <w:t>.</w:t>
      </w:r>
      <w:r w:rsidRPr="005E1DC0">
        <w:rPr>
          <w:rFonts w:ascii="Times New Roman" w:eastAsia="Times New Roman" w:hAnsi="Times New Roman" w:cs="Times New Roman"/>
          <w:lang w:eastAsia="lt-LT"/>
        </w:rPr>
        <w:t xml:space="preserve"> Kai pacientų inkstų funkcija sutrikusi, dėl akivaizdaus klirenso mažėjimo ribavirino farmakokinetika pakinta. Dėl to, prieš pradedant vartoti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visiems pacientams patartina įvertinti inkstų funkciją – geriausia nustatyti paciento kreatinino klirensą. Pacientams, kurių serume kreatinino kiekis yra &gt;2 mg/dl ar kreatinino klirensas mažesnis nei 50 ml per minutę, ribavirino koncentracijos plazmoje reikšmingai padidėja, todėl tokiems pacientams Copegus dozę rekomenduojama patikslinti (žr. 4.2 ir 5.2 skyrius).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Gydymo metu būtina nuolat tirti hemoglobino koncentraciją ir, jei reikia, taikyti koregavimo veiksmus (žr. </w:t>
      </w:r>
      <w:r w:rsidRPr="005E1DC0">
        <w:rPr>
          <w:rFonts w:ascii="Times New Roman" w:eastAsia="Times New Roman" w:hAnsi="Times New Roman" w:cs="Times New Roman"/>
          <w:bCs/>
          <w:lang w:eastAsia="lt-LT"/>
        </w:rPr>
        <w:t>4.2 skyrių</w:t>
      </w:r>
      <w:r w:rsidRPr="005E1DC0">
        <w:rPr>
          <w:rFonts w:ascii="Times New Roman" w:eastAsia="Times New Roman" w:hAnsi="Times New Roman" w:cs="Times New Roman"/>
          <w:lang w:eastAsia="lt-LT"/>
        </w:rPr>
        <w: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lang w:eastAsia="lt-LT"/>
        </w:rPr>
        <w:t xml:space="preserve">Transplantacija. </w:t>
      </w:r>
      <w:r w:rsidRPr="005E1DC0">
        <w:rPr>
          <w:rFonts w:ascii="Times New Roman" w:eastAsia="Times New Roman" w:hAnsi="Times New Roman" w:cs="Times New Roman"/>
          <w:lang w:eastAsia="lt-LT"/>
        </w:rPr>
        <w:t>Ar saugu ir veiksminga vartoti peginterferono alfa-2a bei Copegus pacientams, kuriems persodintos kepenys ar kiti organai, nenustatyta. Skiriant vien tik peginterferono alfa-2a arba jo skiriant kartu su Copegus, gauta pranešimų apie kepenų ir inkstų transplantatų atmetimo atvejus.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ŽIV-HCV koinfekcija</w:t>
      </w:r>
      <w:r w:rsidRPr="005E1DC0">
        <w:rPr>
          <w:rFonts w:ascii="Times New Roman" w:eastAsia="Times New Roman" w:hAnsi="Times New Roman" w:cs="Times New Roman"/>
          <w:i/>
          <w:lang w:eastAsia="lt-LT"/>
        </w:rPr>
        <w:t xml:space="preserve">. </w:t>
      </w:r>
      <w:r w:rsidRPr="005E1DC0">
        <w:rPr>
          <w:rFonts w:ascii="Times New Roman" w:eastAsia="Times New Roman" w:hAnsi="Times New Roman" w:cs="Times New Roman"/>
          <w:lang w:eastAsia="lt-LT"/>
        </w:rPr>
        <w:t>Būtina perskaityti atitinkamų antiretrovirusinių vaistinių preparatų, numatomų vartoti kartu su HCV infekcijai gydyti skiriamais vaistais, charakteristikų santraukas, kad būtų žinomi ir tinkamai gydomi toksiniai reiškiniai, kurie yra specifiniai kiekvienam preparatui ir gali iš dalies sutapti su ribavirino arba kito vaistinio preparato toksiniu poveikiu. Atliekant NR15961 tyrimą, kai pacientai tuo pat metu gydyti stavudinu ir interferonu su ribavirinu arba be jo, pankreatitas ir (arba) pieno rūgšties acidozė atsirado 3 % (12/398) pacientų.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Lėtiniu hepatitu C sergantiems pacientams, kurie dar užsikrėtę ŽIV ir gauna labai aktyvų antiretrovirusinį gydymą (LAARG), gali padidėti sunkaus nepageidaujamo poveikio pavojus (pvz., pieno rūgšties acidozė; periferinė neuropatija; pankreatitas).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Gaunantiems LAARG koinfekuotiems pacientams, kurių cirozė toli pažengusi, gydant juos Copegus ir interferonų deriniu, taip pat gali grėsti didesnis kepenų funkcijos dekompensacijos ir galbūt mirties pavojus. Koinfekuotų, ciroze sergančių pacientų pradiniai tyrimų rodmenys yra nepastovūs; jie galbūt susiję su kepenų dekompensacija, pvz., padidėjusi bilirubino koncentracija serume, sumažėjusi hemoglobino koncentracija, padidėjęs šarminės fosfatazės aktyvumas ar sumažėjęs trombocitų skaičius, taip pat su gydymu didanozinu (ddl). Dėl to, kai taikant LAARG dar skiriama peginterferono alfa-2a ir Copegus, reikalingas atsargumas (žr. </w:t>
      </w:r>
      <w:r w:rsidRPr="005E1DC0">
        <w:rPr>
          <w:rFonts w:ascii="Times New Roman" w:eastAsia="Times New Roman" w:hAnsi="Times New Roman" w:cs="Times New Roman"/>
          <w:bCs/>
          <w:lang w:eastAsia="lt-LT"/>
        </w:rPr>
        <w:t>4.5</w:t>
      </w:r>
      <w:r w:rsidRPr="005E1DC0">
        <w:rPr>
          <w:rFonts w:ascii="Times New Roman" w:eastAsia="Times New Roman" w:hAnsi="Times New Roman" w:cs="Times New Roman"/>
          <w:lang w:eastAsia="lt-LT"/>
        </w:rPr>
        <w:t> skyrių).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autoSpaceDE w:val="0"/>
        <w:autoSpaceDN w:val="0"/>
        <w:adjustRightInd w:val="0"/>
        <w:spacing w:after="0" w:line="240" w:lineRule="auto"/>
        <w:rPr>
          <w:rFonts w:ascii="Times New Roman" w:eastAsia="Times New Roman" w:hAnsi="Times New Roman" w:cs="Times New Roman"/>
          <w:lang w:eastAsia="de-AT"/>
        </w:rPr>
      </w:pPr>
      <w:r w:rsidRPr="005E1DC0">
        <w:rPr>
          <w:rFonts w:ascii="Times New Roman" w:eastAsia="Times New Roman" w:hAnsi="Times New Roman" w:cs="Times New Roman"/>
          <w:lang w:eastAsia="de-AT"/>
        </w:rPr>
        <w:t>Dėl padidėjusio anemijos pavojaus ribavirino kartu su zidovudinu vartoti nerekomenduojama (žr. 4.5 skyrių).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Gydymo metu koinfekuotus pacientus reikia atidžiai stebėti – ar neatsirado kepenų dekompensacijos požymių ir simptomų (įskaitant ascitą, encefalopatiją, kraujavimą iš veninių mazgų, pablogėjusią kepenų sintezės funkciją: pvz., Child-Pugh balų skaičiaus padidėjimą iki 7 ar daugiau). Child-Pugh balų skaičių gali keisti su gydymu susiję veiksniai (t. y., netiesioginė hiperbilirubinemija, sumažėjusi albumino koncentracija), kurie nebūtinai priskirtini kepenų dekompensacijai. Pacientams, kuriems atsiranda kepenų dekompensacija, gydymą Copegus ir kito vaistinio preparato deriniu reikia tuoj pat nutraukti.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Dėl toksinio poveikio mitochondrijoms rizikos nerekomenduojama Copegus vartoti kartu su didanozidu (žr. 4.5 skyrių). Be to, siekiant sumažinti iš dalies sutampančio toksinio poveikio mitochondrijoms riziką, reikia vengti vartoti Copegus kartu su stavudinu.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lastRenderedPageBreak/>
        <w:t>Laboratoriniai tyrimai</w:t>
      </w:r>
      <w:r w:rsidRPr="005E1DC0">
        <w:rPr>
          <w:rFonts w:ascii="Times New Roman" w:eastAsia="Times New Roman" w:hAnsi="Times New Roman" w:cs="Times New Roman"/>
          <w:i/>
          <w:lang w:eastAsia="lt-LT"/>
        </w:rPr>
        <w:t xml:space="preserve">. </w:t>
      </w:r>
      <w:r w:rsidRPr="005E1DC0">
        <w:rPr>
          <w:rFonts w:ascii="Times New Roman" w:eastAsia="Times New Roman" w:hAnsi="Times New Roman" w:cs="Times New Roman"/>
          <w:lang w:eastAsia="lt-LT"/>
        </w:rPr>
        <w:t>Prieš pradedant gydyti, visiems pacientams būtina atlikti standartinį hematologinį ir biocheminį ištyrimą (nustatyti bendrą ir diferencinį kraujo ląstelių ir trombocitų skaičių, elektrolitų, gliukozės, serumo kreatinino koncentracijas, kepenų funkcijos mėginius, šlapimo rūgšties koncentraciją). Priimtini pradiniai dydžiai, kurie prieš paskiriant Copegus gali būti laikomi rekomenduojamais, yra: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hemoglobino</w:t>
      </w:r>
      <w:r w:rsidRPr="005E1DC0">
        <w:rPr>
          <w:rFonts w:ascii="Times New Roman" w:eastAsia="Times New Roman" w:hAnsi="Times New Roman" w:cs="Times New Roman"/>
          <w:lang w:eastAsia="lt-LT"/>
        </w:rPr>
        <w:tab/>
      </w:r>
      <w:r w:rsidRPr="005E1DC0">
        <w:rPr>
          <w:rFonts w:ascii="Times New Roman" w:eastAsia="Times New Roman" w:hAnsi="Times New Roman" w:cs="Times New Roman"/>
          <w:lang w:eastAsia="lt-LT"/>
        </w:rPr>
        <w:sym w:font="Symbol" w:char="F0B3"/>
      </w:r>
      <w:r w:rsidRPr="005E1DC0">
        <w:rPr>
          <w:rFonts w:ascii="Times New Roman" w:eastAsia="Times New Roman" w:hAnsi="Times New Roman" w:cs="Times New Roman"/>
          <w:lang w:eastAsia="lt-LT"/>
        </w:rPr>
        <w:t xml:space="preserve">12 g/dl (moterims); </w:t>
      </w:r>
      <w:r w:rsidRPr="005E1DC0">
        <w:rPr>
          <w:rFonts w:ascii="Times New Roman" w:eastAsia="Times New Roman" w:hAnsi="Times New Roman" w:cs="Times New Roman"/>
          <w:lang w:eastAsia="lt-LT"/>
        </w:rPr>
        <w:sym w:font="Symbol" w:char="F0B3"/>
      </w:r>
      <w:r w:rsidRPr="005E1DC0">
        <w:rPr>
          <w:rFonts w:ascii="Times New Roman" w:eastAsia="Times New Roman" w:hAnsi="Times New Roman" w:cs="Times New Roman"/>
          <w:lang w:eastAsia="lt-LT"/>
        </w:rPr>
        <w:t>13 g/dl (vyrams).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Duomenų apie preparato veiksmingumą ir saugumą ŽIV-HCV koinfekuotiems pacientams, kurių CD4 ląstelių skaičius mažesnis nei 200 ląstelių/mkl, turima mažai. Dėl to pacientai, kurių CD4 ląstelių skaičius mažas, gydytini atsargiai.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Laboratorinius tyrimus reikia atlikti 2-tą ir 4-tą gydymo savaitę, vėliau periodiškai, atsižvelgiant į klinikinę ligos eigą.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Nuoroda vaisingo amžiaus moterims: pacientės moterys privalo daryti įprastą nėštumo mėginį kas mėnesį gydymo metu ir dar </w:t>
      </w:r>
      <w:r w:rsidR="003243CC">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kai jį baigia. Vyrų pacientų partnerės moterys irgi privalo atlikti įprastą nėštumo mėginį kas mėnesį, kol gydomas vyras ir dar </w:t>
      </w:r>
      <w:r w:rsidR="003243CC">
        <w:rPr>
          <w:rFonts w:ascii="Times New Roman" w:eastAsia="Times New Roman" w:hAnsi="Times New Roman" w:cs="Times New Roman"/>
          <w:lang w:eastAsia="lt-LT"/>
        </w:rPr>
        <w:t>6</w:t>
      </w:r>
      <w:r w:rsidRPr="005E1DC0">
        <w:rPr>
          <w:rFonts w:ascii="Times New Roman" w:eastAsia="Times New Roman" w:hAnsi="Times New Roman" w:cs="Times New Roman"/>
          <w:lang w:eastAsia="lt-LT"/>
        </w:rPr>
        <w:t xml:space="preserve"> mėnesius po jo gydymo pabaigos.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Dėl su Copegus vartojimu susijusios hemolizės gali didėti šlapimo rūgšties koncentracija ir dėl to išryškėti podagra, todėl į tai linkusius pacientus būtina nuolat atidžiai stebėti.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u w:val="single"/>
          <w:lang w:eastAsia="lt-LT"/>
        </w:rPr>
      </w:pPr>
      <w:r w:rsidRPr="005E1DC0">
        <w:rPr>
          <w:rFonts w:ascii="Times New Roman" w:eastAsia="Times New Roman" w:hAnsi="Times New Roman" w:cs="Times New Roman"/>
          <w:u w:val="single"/>
          <w:lang w:eastAsia="lt-LT"/>
        </w:rPr>
        <w:t>Pagalbinės medžiagos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200 mg plėvele dengtoje tabletėje yra mažiau nei 1 mmol natrio (23 mg), t.y. iš esmės „beveik neturi natrio“.</w:t>
      </w:r>
    </w:p>
    <w:p w:rsidR="005E1DC0" w:rsidRPr="005E1DC0" w:rsidRDefault="005E1DC0" w:rsidP="005E1DC0">
      <w:pPr>
        <w:tabs>
          <w:tab w:val="left" w:pos="567"/>
        </w:tabs>
        <w:spacing w:after="0" w:line="240" w:lineRule="auto"/>
        <w:rPr>
          <w:rFonts w:ascii="Times New Roman" w:eastAsia="Times New Roman" w:hAnsi="Times New Roman" w:cs="Times New Roman"/>
          <w:bCs/>
          <w:lang w:eastAsia="lt-LT"/>
        </w:rPr>
      </w:pPr>
    </w:p>
    <w:p w:rsidR="005E1DC0" w:rsidRPr="005E1DC0" w:rsidRDefault="005E1DC0" w:rsidP="005E1DC0">
      <w:pPr>
        <w:keepNext/>
        <w:keepLines/>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4.5</w:t>
      </w:r>
      <w:r w:rsidRPr="005E1DC0">
        <w:rPr>
          <w:rFonts w:ascii="Times New Roman" w:eastAsia="Times New Roman" w:hAnsi="Times New Roman" w:cs="Times New Roman"/>
          <w:b/>
          <w:bCs/>
          <w:lang w:eastAsia="lt-LT"/>
        </w:rPr>
        <w:tab/>
        <w:t>Sąveika su kitais vaistiniais preparatais ir kitokia sąveika</w:t>
      </w:r>
    </w:p>
    <w:p w:rsidR="005E1DC0" w:rsidRPr="005E1DC0" w:rsidRDefault="005E1DC0" w:rsidP="005E1DC0">
      <w:pPr>
        <w:keepNext/>
        <w:keepLines/>
        <w:tabs>
          <w:tab w:val="left" w:pos="567"/>
        </w:tabs>
        <w:spacing w:after="0" w:line="240" w:lineRule="auto"/>
        <w:jc w:val="both"/>
        <w:rPr>
          <w:rFonts w:ascii="Times New Roman" w:eastAsia="Times New Roman" w:hAnsi="Times New Roman" w:cs="Times New Roman"/>
          <w:b/>
          <w:bCs/>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Tirta ribavirino, vartojamo kartu su peginterferonu alfa-2a arba interferonu alfa-2b, ir antacidų sąveika. Ribavirino koncentracijos būna panašios, kai jis vartojamas vienas arba derinant jį su interferonu alfa-2b ar peginterferonu alfa-2a.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Nustojus vartoti Copegus</w:t>
      </w:r>
      <w:r w:rsidRPr="005E1DC0">
        <w:rPr>
          <w:rFonts w:ascii="Times New Roman" w:eastAsia="Times New Roman" w:hAnsi="Times New Roman" w:cs="Times New Roman"/>
          <w:i/>
          <w:iCs/>
          <w:lang w:eastAsia="lt-LT"/>
        </w:rPr>
        <w:t>,</w:t>
      </w:r>
      <w:r w:rsidRPr="005E1DC0">
        <w:rPr>
          <w:rFonts w:ascii="Times New Roman" w:eastAsia="Times New Roman" w:hAnsi="Times New Roman" w:cs="Times New Roman"/>
          <w:lang w:eastAsia="lt-LT"/>
        </w:rPr>
        <w:t xml:space="preserve"> dėl ilgo jo pusinės eliminacijos periodo kokios nors sąveikos galimybė išlieka iki 2 mėnesių (ribavirino pusinės eliminacijos 5 periodų trukmės).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iCs/>
          <w:lang w:eastAsia="lt-LT"/>
        </w:rPr>
        <w:t>In vitro</w:t>
      </w:r>
      <w:r w:rsidRPr="005E1DC0">
        <w:rPr>
          <w:rFonts w:ascii="Times New Roman" w:eastAsia="Times New Roman" w:hAnsi="Times New Roman" w:cs="Times New Roman"/>
          <w:lang w:eastAsia="lt-LT"/>
        </w:rPr>
        <w:t xml:space="preserve"> tyrimų duomenys, vartojant ir žmogaus, ir žiurkių kepenų mikrosomų preparatus, neparodė jokio su citochromo P450 fermento aktyvumu susijusio poveikio ribavirino metabolizmui. Ribavirinas citochromo P450 fermentų aktyvumo neslopina. Toksiškumo tyrimais nenustatyta, kad ribavirinas indukuotų kepenų fermentus. Dėl to susijusios su P450 fermentų aktyvumu sąveikos galimybė labai menka.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iCs/>
          <w:lang w:eastAsia="lt-LT"/>
        </w:rPr>
        <w:t>Antacidai</w:t>
      </w:r>
      <w:r w:rsidRPr="005E1DC0">
        <w:rPr>
          <w:rFonts w:ascii="Times New Roman" w:eastAsia="Times New Roman" w:hAnsi="Times New Roman" w:cs="Times New Roman"/>
          <w:lang w:eastAsia="lt-LT"/>
        </w:rPr>
        <w:t>. Kai ribavirino vartota kartu su antacidu, turinčiu magnio, aliuminio ir metikono, ribavirino 600 mg biologinis prieinamumas sumažėjo; AUC</w:t>
      </w:r>
      <w:r w:rsidRPr="005E1DC0">
        <w:rPr>
          <w:rFonts w:ascii="Times New Roman" w:eastAsia="Times New Roman" w:hAnsi="Times New Roman" w:cs="Times New Roman"/>
          <w:vertAlign w:val="subscript"/>
          <w:lang w:eastAsia="lt-LT"/>
        </w:rPr>
        <w:t>tf</w:t>
      </w:r>
      <w:r w:rsidRPr="005E1DC0">
        <w:rPr>
          <w:rFonts w:ascii="Times New Roman" w:eastAsia="Times New Roman" w:hAnsi="Times New Roman" w:cs="Times New Roman"/>
          <w:lang w:eastAsia="lt-LT"/>
        </w:rPr>
        <w:t xml:space="preserve"> sumažėjo 14 %. Gali būti, kad šio tyrimo metu ribavirino biologinis prieinamumas sumažėjo dėl lėtesnio jo transporto ar pakitusio pH. Manoma, kad ši sąveika kliniškai nereikšminga.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iCs/>
          <w:lang w:eastAsia="lt-LT"/>
        </w:rPr>
        <w:t>Nukleozidų analogai</w:t>
      </w:r>
      <w:r w:rsidRPr="005E1DC0">
        <w:rPr>
          <w:rFonts w:ascii="Times New Roman" w:eastAsia="Times New Roman" w:hAnsi="Times New Roman" w:cs="Times New Roman"/>
          <w:lang w:eastAsia="lt-LT"/>
        </w:rPr>
        <w:t xml:space="preserve">. Nustatyta, kad ribavirinas </w:t>
      </w:r>
      <w:r w:rsidRPr="005E1DC0">
        <w:rPr>
          <w:rFonts w:ascii="Times New Roman" w:eastAsia="Times New Roman" w:hAnsi="Times New Roman" w:cs="Times New Roman"/>
          <w:i/>
          <w:iCs/>
          <w:lang w:eastAsia="lt-LT"/>
        </w:rPr>
        <w:t>in vitro</w:t>
      </w:r>
      <w:r w:rsidRPr="005E1DC0">
        <w:rPr>
          <w:rFonts w:ascii="Times New Roman" w:eastAsia="Times New Roman" w:hAnsi="Times New Roman" w:cs="Times New Roman"/>
          <w:lang w:eastAsia="lt-LT"/>
        </w:rPr>
        <w:t xml:space="preserve"> slopina zidovudino ir stavudino fosforilinimą. Šių duomenų klinikinė reikšmė nežinoma. Tačiau dėl šių </w:t>
      </w:r>
      <w:r w:rsidRPr="005E1DC0">
        <w:rPr>
          <w:rFonts w:ascii="Times New Roman" w:eastAsia="Times New Roman" w:hAnsi="Times New Roman" w:cs="Times New Roman"/>
          <w:i/>
          <w:iCs/>
          <w:lang w:eastAsia="lt-LT"/>
        </w:rPr>
        <w:t>in vitro</w:t>
      </w:r>
      <w:r w:rsidRPr="005E1DC0">
        <w:rPr>
          <w:rFonts w:ascii="Times New Roman" w:eastAsia="Times New Roman" w:hAnsi="Times New Roman" w:cs="Times New Roman"/>
          <w:lang w:eastAsia="lt-LT"/>
        </w:rPr>
        <w:t xml:space="preserve"> gautų duomenų kyla klausimas, ar kartu su zidovudinu ar stavudinu vartojant Copegus, negali didėti ŽIV viremija plazmoje. Todėl patartina nuolat tikrinti ŽIV RNR koncentraciją plazmoje tų pacientų, kurie tuo pat metu gydomi Copegus preparatu ir vienu šių vaistų. Jei jų ŽIV RNR koncentracijos didėja, būtina iš naujo apsvarstyti, ar vartoti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kartu su atvirkštinės transkriptazės inhibitoriais.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iCs/>
          <w:lang w:eastAsia="lt-LT"/>
        </w:rPr>
        <w:t>Didanozinas</w:t>
      </w:r>
      <w:r w:rsidRPr="005E1DC0">
        <w:rPr>
          <w:rFonts w:ascii="Times New Roman" w:eastAsia="Times New Roman" w:hAnsi="Times New Roman" w:cs="Times New Roman"/>
          <w:lang w:eastAsia="lt-LT"/>
        </w:rPr>
        <w:t xml:space="preserve"> </w:t>
      </w:r>
      <w:r w:rsidRPr="005E1DC0">
        <w:rPr>
          <w:rFonts w:ascii="Times New Roman" w:eastAsia="Times New Roman" w:hAnsi="Times New Roman" w:cs="Times New Roman"/>
          <w:i/>
          <w:iCs/>
          <w:lang w:eastAsia="lt-LT"/>
        </w:rPr>
        <w:t>(ddI).</w:t>
      </w:r>
      <w:r w:rsidRPr="005E1DC0">
        <w:rPr>
          <w:rFonts w:ascii="Times New Roman" w:eastAsia="Times New Roman" w:hAnsi="Times New Roman" w:cs="Times New Roman"/>
          <w:lang w:eastAsia="lt-LT"/>
        </w:rPr>
        <w:t xml:space="preserve"> Ribavirino ir didanozino kartu vartoti nerekomenduojama. Kai didanozino vartojama kartu su ribavirinu, </w:t>
      </w:r>
      <w:r w:rsidRPr="005E1DC0">
        <w:rPr>
          <w:rFonts w:ascii="Times New Roman" w:eastAsia="Times New Roman" w:hAnsi="Times New Roman" w:cs="Times New Roman"/>
          <w:i/>
          <w:lang w:eastAsia="lt-LT"/>
        </w:rPr>
        <w:t>in vitro</w:t>
      </w:r>
      <w:r w:rsidRPr="005E1DC0">
        <w:rPr>
          <w:rFonts w:ascii="Times New Roman" w:eastAsia="Times New Roman" w:hAnsi="Times New Roman" w:cs="Times New Roman"/>
          <w:lang w:eastAsia="lt-LT"/>
        </w:rPr>
        <w:t xml:space="preserve"> ekspozicija didanozinui arba jo aktyviam metabolitui (dideoksadenozino 5’-trifosfatui) padidėja. Kartu vartojant ribavirino, gauta pranešimų apie mirtiną </w:t>
      </w:r>
      <w:r w:rsidRPr="005E1DC0">
        <w:rPr>
          <w:rFonts w:ascii="Times New Roman" w:eastAsia="Times New Roman" w:hAnsi="Times New Roman" w:cs="Times New Roman"/>
          <w:lang w:eastAsia="lt-LT"/>
        </w:rPr>
        <w:lastRenderedPageBreak/>
        <w:t>kepenų nepakankamumą, taip pat periferinę neuropatiją, pankreatitą ir simptominę hiperlaktatemiją/pieno rūgšties acidozę.</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lang w:eastAsia="lt-LT"/>
        </w:rPr>
        <w:t>Azatioprinas.</w:t>
      </w:r>
      <w:r w:rsidRPr="005E1DC0">
        <w:rPr>
          <w:rFonts w:ascii="Times New Roman" w:eastAsia="Times New Roman" w:hAnsi="Times New Roman" w:cs="Times New Roman"/>
          <w:lang w:eastAsia="lt-LT"/>
        </w:rPr>
        <w:t xml:space="preserve"> Ribavirinas, pasižymėdamas slopinančiu poveikiu inozinmonofosfato dehidrogenazei, gali paveikti azatioprino metabolizmą galbūt sukeldamas 6-metiltioinozinmonofosfato (6-MTIMF) kaupimąsi, kuris gali būti susijęs su toksiniu poveikiu azatioprinu gydomų pacientų kaulų čiulpams. Turi būti vengiama Copegus ir peginterferono alfa-2a vartojimo kartu su azatioprinu. Atskirais atvejais, kai Copegus ir azatioprino derinio vartojimo nauda pateisina galimą riziką, kartu vartojant azatioprino rekomenduojama atlikti atidų hematologinį monitoringą, siekiant nustatyti toksinio poveikio kaulų čiulpams požymius, kuriems atsiradus gydyti šiais vaistais turi būti liaujamasi (žr. 4.4 skyrių).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
          <w:lang w:eastAsia="lt-LT"/>
        </w:rPr>
      </w:pPr>
      <w:r w:rsidRPr="005E1DC0">
        <w:rPr>
          <w:rFonts w:ascii="Times New Roman" w:eastAsia="Times New Roman" w:hAnsi="Times New Roman" w:cs="Times New Roman"/>
          <w:i/>
          <w:lang w:eastAsia="lt-LT"/>
        </w:rPr>
        <w:t>ŽIV-HCV koinfekuoti pacientai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Kai 47 ŽIV-HCV koinfekuotiems pacientams atlikta 12 savaičių trukusi farmakokinetinių tyrimų dalis, nagrinėjanti ribavirino poveikį intraląsteliniam kai kurių nukleozidų atvirkštinės transkriptazės inhibitorių (lamivudino ir zidovudino ar stavudino) fosforilinimui, jokių aiškių vaistų sąveikos požymių nepastebėta. Tačiau dėl didelio duomenų nepastovumo, patikimumo intervalai buvo labai platūs. Kartu vartojami nukleozidų atvirkštinės transkriptazės inhibitoriai (NATI) plazmos ekspozicijos ribavirinui atrodo nepaveikė.</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autoSpaceDE w:val="0"/>
        <w:autoSpaceDN w:val="0"/>
        <w:adjustRightInd w:val="0"/>
        <w:spacing w:after="0" w:line="240" w:lineRule="auto"/>
        <w:rPr>
          <w:rFonts w:ascii="Times New Roman" w:eastAsia="Times New Roman" w:hAnsi="Times New Roman" w:cs="Times New Roman"/>
          <w:lang w:eastAsia="de-AT"/>
        </w:rPr>
      </w:pPr>
      <w:r w:rsidRPr="005E1DC0">
        <w:rPr>
          <w:rFonts w:ascii="Times New Roman" w:eastAsia="Times New Roman" w:hAnsi="Times New Roman" w:cs="Times New Roman"/>
          <w:lang w:eastAsia="de-AT"/>
        </w:rPr>
        <w:t>Gauta pranešimų, kad nuo ribavirino paūmėja anemija, kai ŽIV gydymo režimo metu kartu vartojama zidovudino, nors tikslus poveikio mechanizmas dar neišaiškintas. Dėl padidėjusio anemijos pavojaus ribavirino kartu su zidovudinu vartoti nerekomenduojama (žr. 4.4 skyrių). Jeigu anemija jau nustatyta, būtina apsvarstyti, ar taikant kombinuotą ARG (antiretrovirusinį gydymą) nepakeisti zidovudino. Tai yra ypač svarbu pacientams, kuriems zidovudinas sukėlė anemiją.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4.6</w:t>
      </w:r>
      <w:r w:rsidRPr="005E1DC0">
        <w:rPr>
          <w:rFonts w:ascii="Times New Roman" w:eastAsia="Times New Roman" w:hAnsi="Times New Roman" w:cs="Times New Roman"/>
          <w:b/>
          <w:bCs/>
          <w:lang w:eastAsia="lt-LT"/>
        </w:rPr>
        <w:tab/>
        <w:t>Vaisingumas, nėštumo ir žindymo laikotarpis</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bCs/>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iCs/>
          <w:lang w:eastAsia="lt-LT"/>
        </w:rPr>
        <w:t>Ikiklinikiniai duomenys</w:t>
      </w:r>
      <w:r w:rsidRPr="005E1DC0">
        <w:rPr>
          <w:rFonts w:ascii="Times New Roman" w:eastAsia="Times New Roman" w:hAnsi="Times New Roman" w:cs="Times New Roman"/>
          <w:lang w:eastAsia="lt-LT"/>
        </w:rPr>
        <w:t>. Įrodyta, kad ribavirinas gali sukelti reikšmingą teratogeninį ir (arba) embriocidinį poveikį visoms gyvūnų rūšims, kurioms atitinkamas poveikis tirtas, duodant daug mažesnes, nei rekomenduojama žmonėms, dozes. Buvo pastebėta kaukolės, gomurio, akių, žandikaulio, rankų ir kojų, griaučių, taip pat virškinimo trakto anomalijų. Didinant ribavirino dozę, jo teratogeninio poveikio dažnis ir sunkumas didėjo. Sumažėjo vaisių ir jauniklių išgyvenamumas.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iCs/>
          <w:lang w:eastAsia="lt-LT"/>
        </w:rPr>
        <w:t>Moterys pacientės</w:t>
      </w:r>
      <w:r w:rsidRPr="005E1DC0">
        <w:rPr>
          <w:rFonts w:ascii="Times New Roman" w:eastAsia="Times New Roman" w:hAnsi="Times New Roman" w:cs="Times New Roman"/>
          <w:lang w:eastAsia="lt-LT"/>
        </w:rPr>
        <w:t>. Nėščioms moterims vartoti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 xml:space="preserve">draudžiama (žr. </w:t>
      </w:r>
      <w:r w:rsidRPr="005E1DC0">
        <w:rPr>
          <w:rFonts w:ascii="Times New Roman" w:eastAsia="Times New Roman" w:hAnsi="Times New Roman" w:cs="Times New Roman"/>
          <w:bCs/>
          <w:lang w:eastAsia="lt-LT"/>
        </w:rPr>
        <w:t>4.3 ir 4.4 skyrius</w:t>
      </w:r>
      <w:r w:rsidRPr="005E1DC0">
        <w:rPr>
          <w:rFonts w:ascii="Times New Roman" w:eastAsia="Times New Roman" w:hAnsi="Times New Roman" w:cs="Times New Roman"/>
          <w:lang w:eastAsia="lt-LT"/>
        </w:rPr>
        <w:t>). Moterims pacientėms privalu itin rūpestingai stengtis nepastoti. Draudžiama pradėti vartoti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 xml:space="preserve">kol neįsitikinta, kad prieš pat gydymo pradžią atliktas nėštumo mėginys yra neigiamas. Bet kuris gimdymo reguliavimo metodas gali būti nesėkmingas. Todėl labai svarbu, kad vaisingo amžiaus moterys būtinai vartotų veiksmingas kontracepcines priemones per visą gydymo laikotarpį ir </w:t>
      </w:r>
      <w:r w:rsidR="003243CC">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po jo; visu šiuo laikotarpiu būtina kas mėnesį daryti įprastą nėštumo nustatymo mėginį. Jei gydymo metu ar per </w:t>
      </w:r>
      <w:r w:rsidR="003243CC">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po jo pabaigos pacientė pastoja, jai būtina paaiškinti apie reikšmingą ribavirino teratogeninio poveikio vaisiui riziką.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iCs/>
          <w:lang w:eastAsia="lt-LT"/>
        </w:rPr>
        <w:t>Pacientai vyrai ir jų partnerės moterys</w:t>
      </w:r>
      <w:r w:rsidRPr="005E1DC0">
        <w:rPr>
          <w:rFonts w:ascii="Times New Roman" w:eastAsia="Times New Roman" w:hAnsi="Times New Roman" w:cs="Times New Roman"/>
          <w:lang w:eastAsia="lt-LT"/>
        </w:rPr>
        <w:t>. Privalu itin rūpintis, kad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 xml:space="preserve">vartojančių pacientų vyrų partnerės nepastotų. Ribavirinas kaupiasi ląstelių viduje ir labai lėtai pasišalina iš organizmo. Tyrimų su gyvūnais metu ribavirinas sukėlė spermos pokyčių, duodant mažesnes nei klinikines jo dozes. Ar esantis spermoje ribavirinas sukels jam būdingą teratogeninį poveikį per kiaušinėlių apvaisinimą, nežinoma. Todėl būtina pacientams vyrams arba jų vaisingo amžiaus partnerėms moterims patarti, kad jie gydymo laikotarpiu ir dar </w:t>
      </w:r>
      <w:r w:rsidR="003243CC">
        <w:rPr>
          <w:rFonts w:ascii="Times New Roman" w:eastAsia="Times New Roman" w:hAnsi="Times New Roman" w:cs="Times New Roman"/>
          <w:lang w:eastAsia="lt-LT"/>
        </w:rPr>
        <w:t>6</w:t>
      </w:r>
      <w:r w:rsidRPr="005E1DC0">
        <w:rPr>
          <w:rFonts w:ascii="Times New Roman" w:eastAsia="Times New Roman" w:hAnsi="Times New Roman" w:cs="Times New Roman"/>
          <w:lang w:eastAsia="lt-LT"/>
        </w:rPr>
        <w:t xml:space="preserve"> mėnesius po jo vartotų veiksmingas kontracepcines priemones. Prieš pradedant gydyti būtina atlikti nėštumo mėginį. Vyrams, kurių partnerės yra nėščios, būtina nurodyti, jog jie, siekdami, kad kiek galima mažiau ribavirino patektų partnerei, naudotų prezervatyvą.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Žindymas</w:t>
      </w:r>
      <w:r w:rsidRPr="005E1DC0">
        <w:rPr>
          <w:rFonts w:ascii="Times New Roman" w:eastAsia="Times New Roman" w:hAnsi="Times New Roman" w:cs="Times New Roman"/>
          <w:i/>
          <w:lang w:eastAsia="lt-LT"/>
        </w:rPr>
        <w:t>.</w:t>
      </w:r>
      <w:r w:rsidRPr="005E1DC0">
        <w:rPr>
          <w:rFonts w:ascii="Times New Roman" w:eastAsia="Times New Roman" w:hAnsi="Times New Roman" w:cs="Times New Roman"/>
          <w:lang w:eastAsia="lt-LT"/>
        </w:rPr>
        <w:t xml:space="preserve"> Ar ribavirino patenka į moters pieną, nežinoma. Dėl galimų nepageidaujamų reakcijų žindomiems kūdikiams, prieš pradedant gydymą kūdikį žindyti reikia liautis.</w:t>
      </w:r>
    </w:p>
    <w:p w:rsidR="005E1DC0" w:rsidRDefault="005E1DC0" w:rsidP="005E1DC0">
      <w:pPr>
        <w:tabs>
          <w:tab w:val="left" w:pos="567"/>
        </w:tabs>
        <w:spacing w:after="0" w:line="240" w:lineRule="auto"/>
        <w:rPr>
          <w:rFonts w:ascii="Times New Roman" w:eastAsia="Times New Roman" w:hAnsi="Times New Roman" w:cs="Times New Roman"/>
          <w:lang w:eastAsia="lt-LT"/>
        </w:rPr>
      </w:pPr>
    </w:p>
    <w:p w:rsidR="00EE3F9F" w:rsidRDefault="00EE3F9F" w:rsidP="005E1DC0">
      <w:pPr>
        <w:tabs>
          <w:tab w:val="left" w:pos="567"/>
        </w:tabs>
        <w:spacing w:after="0" w:line="240" w:lineRule="auto"/>
        <w:rPr>
          <w:rFonts w:ascii="Times New Roman" w:eastAsia="Times New Roman" w:hAnsi="Times New Roman" w:cs="Times New Roman"/>
          <w:lang w:eastAsia="lt-LT"/>
        </w:rPr>
      </w:pPr>
    </w:p>
    <w:p w:rsidR="00EE3F9F" w:rsidRPr="005E1DC0" w:rsidRDefault="00EE3F9F"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lastRenderedPageBreak/>
        <w:t>4.7</w:t>
      </w:r>
      <w:r w:rsidRPr="005E1DC0">
        <w:rPr>
          <w:rFonts w:ascii="Times New Roman" w:eastAsia="Times New Roman" w:hAnsi="Times New Roman" w:cs="Times New Roman"/>
          <w:b/>
          <w:lang w:eastAsia="lt-LT"/>
        </w:rPr>
        <w:tab/>
        <w:t>Poveikis gebėjimui vairuoti ir valdyti mechanizmus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gebėjimo vairuoti ir valdyti mechanizmus neveikia arba veikia nereikšmingai. Vis dėlto kartu su Copegus vartojamas peginterferonas alfa, interferonas alfa-2a arba kitas vaistinis preparatas tai gali trikdyti. Daugiau informacijos apie kartu su Copegus skiriamą vaistinį preparatą rasite jo PCS.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4.8</w:t>
      </w:r>
      <w:r w:rsidRPr="005E1DC0">
        <w:rPr>
          <w:rFonts w:ascii="Times New Roman" w:eastAsia="Times New Roman" w:hAnsi="Times New Roman" w:cs="Times New Roman"/>
          <w:b/>
          <w:bCs/>
          <w:lang w:eastAsia="lt-LT"/>
        </w:rPr>
        <w:tab/>
        <w:t>Nepageidaujamas poveikis</w:t>
      </w: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p>
    <w:p w:rsid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Svarbiausia ribavirino saugos problema, pasireiškianti per pirmąsias gydymo savaites, yra hemolizinė anemija. Ši su gydymu ribavirinu susijusi hemolizinė anemija gali pabloginti širdies veiklą ir (arba) pasunkinti jau esančią širdies ligą. Be to, kai kuriems pacientams buvo pastebėtas šlapimo rūgšties ir netiesioginio bilirubino verčių, susijusių su hemolize, padidėjimas (žr. žemiau ir 4.4 skyrių).</w:t>
      </w:r>
    </w:p>
    <w:p w:rsidR="00EE3F9F" w:rsidRDefault="00EE3F9F" w:rsidP="005E1DC0">
      <w:pPr>
        <w:tabs>
          <w:tab w:val="left" w:pos="567"/>
        </w:tabs>
        <w:spacing w:after="0" w:line="240" w:lineRule="auto"/>
        <w:rPr>
          <w:rFonts w:ascii="Times New Roman" w:eastAsia="Times New Roman" w:hAnsi="Times New Roman" w:cs="Times New Roman"/>
          <w:lang w:eastAsia="lt-LT"/>
        </w:rPr>
      </w:pPr>
    </w:p>
    <w:p w:rsidR="00EE3F9F" w:rsidRPr="00EE3F9F" w:rsidRDefault="00EE3F9F" w:rsidP="00EE3F9F">
      <w:pPr>
        <w:tabs>
          <w:tab w:val="left" w:pos="567"/>
        </w:tabs>
        <w:spacing w:after="0" w:line="240" w:lineRule="auto"/>
        <w:rPr>
          <w:rFonts w:ascii="Times New Roman" w:eastAsia="Times New Roman" w:hAnsi="Times New Roman" w:cs="Times New Roman"/>
          <w:lang w:eastAsia="lt-LT"/>
        </w:rPr>
      </w:pPr>
      <w:r w:rsidRPr="00EE3F9F">
        <w:rPr>
          <w:rFonts w:ascii="Times New Roman" w:eastAsia="Times New Roman" w:hAnsi="Times New Roman" w:cs="Times New Roman"/>
          <w:lang w:eastAsia="lt-LT"/>
        </w:rPr>
        <w:t>Ribavirino vartojimas kartu su tiesiogiai veikiančiais priešvirusiniais vaistiniais preparatais (TVP)</w:t>
      </w:r>
    </w:p>
    <w:p w:rsidR="00EE3F9F" w:rsidRPr="00EE3F9F" w:rsidRDefault="00EE3F9F" w:rsidP="00EE3F9F">
      <w:pPr>
        <w:tabs>
          <w:tab w:val="left" w:pos="567"/>
        </w:tabs>
        <w:spacing w:after="0" w:line="240" w:lineRule="auto"/>
        <w:rPr>
          <w:rFonts w:ascii="Times New Roman" w:eastAsia="Times New Roman" w:hAnsi="Times New Roman" w:cs="Times New Roman"/>
          <w:lang w:eastAsia="lt-LT"/>
        </w:rPr>
      </w:pPr>
    </w:p>
    <w:p w:rsidR="00EE3F9F" w:rsidRPr="00EE3F9F" w:rsidRDefault="00EE3F9F" w:rsidP="00EE3F9F">
      <w:pPr>
        <w:tabs>
          <w:tab w:val="left" w:pos="567"/>
        </w:tabs>
        <w:spacing w:after="0" w:line="240" w:lineRule="auto"/>
        <w:rPr>
          <w:rFonts w:ascii="Times New Roman" w:eastAsia="Times New Roman" w:hAnsi="Times New Roman" w:cs="Times New Roman"/>
          <w:lang w:eastAsia="lt-LT"/>
        </w:rPr>
      </w:pPr>
      <w:r w:rsidRPr="00EE3F9F">
        <w:rPr>
          <w:rFonts w:ascii="Times New Roman" w:eastAsia="Times New Roman" w:hAnsi="Times New Roman" w:cs="Times New Roman"/>
          <w:lang w:eastAsia="lt-LT"/>
        </w:rPr>
        <w:t>Remiantis klinikinių tyrimų su suaugusiais pacientais, vartojusiais TVP kartu su ribavirinu, saugumo duomenimis, dažniausios nepageidaujamos reakcijos, nustatytos kaip susijusios su ribavirinu, buvo anemija, pykinimas, vėmimas, astenija, nuovargis, nemiga, kosulys, dusulys, niežėjimas ir bėrimas. Išskyrus anemiją, dauguma šių nepageidaujamų reakcijų buvo nesunkios ir išnyko nenutraukus gydymo.</w:t>
      </w:r>
    </w:p>
    <w:p w:rsidR="00EE3F9F" w:rsidRPr="00EE3F9F" w:rsidRDefault="00EE3F9F" w:rsidP="00EE3F9F">
      <w:pPr>
        <w:tabs>
          <w:tab w:val="left" w:pos="567"/>
        </w:tabs>
        <w:spacing w:after="0" w:line="240" w:lineRule="auto"/>
        <w:rPr>
          <w:rFonts w:ascii="Times New Roman" w:eastAsia="Times New Roman" w:hAnsi="Times New Roman" w:cs="Times New Roman"/>
          <w:lang w:eastAsia="lt-LT"/>
        </w:rPr>
      </w:pPr>
    </w:p>
    <w:p w:rsidR="00EE3F9F" w:rsidRPr="005E1DC0" w:rsidRDefault="00EE3F9F" w:rsidP="00EE3F9F">
      <w:pPr>
        <w:tabs>
          <w:tab w:val="left" w:pos="567"/>
        </w:tabs>
        <w:spacing w:after="0" w:line="240" w:lineRule="auto"/>
        <w:rPr>
          <w:rFonts w:ascii="Times New Roman" w:eastAsia="Times New Roman" w:hAnsi="Times New Roman" w:cs="Times New Roman"/>
          <w:lang w:eastAsia="lt-LT"/>
        </w:rPr>
      </w:pPr>
      <w:r w:rsidRPr="00EE3F9F">
        <w:rPr>
          <w:rFonts w:ascii="Times New Roman" w:eastAsia="Times New Roman" w:hAnsi="Times New Roman" w:cs="Times New Roman"/>
          <w:lang w:eastAsia="lt-LT"/>
        </w:rPr>
        <w:t>Ribavirino vartojimas kartu su interferonu alfa-2a arba peginterferonu alfa-2a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Šiame skyriuje išvardinti nepageidaujami reiškiniai yra pastebėti klinikinių tyrimų metu ir (arba) kaip nepageidaujamos reakcijos į vaistą užfiksuotos spontaniniais pranešimais daugiausia kai Copegus buvo vartojamas kartu su interferonu alfa-2a arba peginterferonu alfa-2a.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Nepageidaujami reiškiniai pacientams, vartojantiems Copegus ir interferono alfa-2a derinį, iš esmės yra tokie pat, kaip ir vartojant Copegus kartu su peginterferonu alfa-2a.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Kiekvienoje dažnio grupėje nepageidaujamas poveikis pateikiamas mažėjančio sunkumo tvarka.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Daugiau apie kitų kartu su Copegus vartojamų vaistinių preparatų pastebėtus nepageidaujamus poveikius, rasite šių vaistinių preparatų PCS.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u w:val="single"/>
          <w:lang w:eastAsia="lt-LT"/>
        </w:rPr>
      </w:pPr>
      <w:r w:rsidRPr="005E1DC0">
        <w:rPr>
          <w:rFonts w:ascii="Times New Roman" w:eastAsia="Times New Roman" w:hAnsi="Times New Roman" w:cs="Times New Roman"/>
          <w:u w:val="single"/>
          <w:lang w:eastAsia="lt-LT"/>
        </w:rPr>
        <w:t>Lėtinis hepatitas C</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Dažniausiai aprašomi nepageidaujami reiškiniai, atsiradę vartojant Copegus kartu su 180 mkg peginterferono alfa-2a, paprastai buvo lengvi arba vidutinio sunkumo. Dauguma jų buvo įveikiami ir nutraukti gydymą neprireikė.</w:t>
      </w:r>
    </w:p>
    <w:p w:rsidR="005E1DC0" w:rsidRPr="005E1DC0" w:rsidRDefault="005E1DC0" w:rsidP="005E1DC0">
      <w:pPr>
        <w:tabs>
          <w:tab w:val="left" w:pos="567"/>
        </w:tabs>
        <w:spacing w:after="0" w:line="240" w:lineRule="auto"/>
        <w:rPr>
          <w:rFonts w:ascii="Times New Roman" w:eastAsia="Times New Roman" w:hAnsi="Times New Roman" w:cs="Times New Roman"/>
          <w:i/>
          <w:lang w:eastAsia="lt-LT"/>
        </w:rPr>
      </w:pPr>
    </w:p>
    <w:p w:rsidR="005E1DC0" w:rsidRPr="005E1DC0" w:rsidRDefault="005E1DC0" w:rsidP="005E1DC0">
      <w:pPr>
        <w:spacing w:after="0" w:line="240" w:lineRule="auto"/>
        <w:rPr>
          <w:rFonts w:ascii="Times New Roman" w:eastAsia="Times New Roman" w:hAnsi="Times New Roman" w:cs="Times New Roman"/>
          <w:u w:val="single"/>
          <w:lang w:eastAsia="lt-LT"/>
        </w:rPr>
      </w:pPr>
      <w:r w:rsidRPr="005E1DC0">
        <w:rPr>
          <w:rFonts w:ascii="Times New Roman" w:eastAsia="Times New Roman" w:hAnsi="Times New Roman" w:cs="Times New Roman"/>
          <w:u w:val="single"/>
          <w:lang w:eastAsia="lt-LT"/>
        </w:rPr>
        <w:t>Lėtinis hepatitas C į ankstesnį gydymą nereagavusiems pacientams</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Apskritai, į ankstesnį gydymą nereagavusiems pacientams ir dar negydytiems pacientams Copegus ir peginterferono alfa-2a derinio saugumo pobūdis buvo panašus. Nereagavusių į ankstesnį gydymą pegiliuotu interferonu alfa-2b ir ribavirinu pacientų klinikinio tyrimo metu, gydant juos 48 arba 72 savaites, dėl nepageidaujamų reiškinių ar laboratorinių tyrimų nenormalių rodmenų gydymo nutraukimo dažnis dėl peginterferono alfa-2a ir Copegus vartojimo, gydant 48 savaites, buvo atitinkamai 6 % ir 7 %, o gydant 72 savaites – 12 % ir 13 %. Panašiai, gydant 72 savaites ciroze sergančius pacientus arba pacientus perėjimo į cirozę laikotarpiu, gydymas peginterferoniu alfa-2a ir gydymas Copegus buvo nutraukiamas dažniau (13 % ir 15 %) nei gydant 48 savaites (6 % ir 6 %). Pacientai, kuriems ankstesnis gydymas pegiliuotu interferonu alfa-2b ir ribavirinu nutrauktas dėl toksinio poveikio kraujodarai, į tyrimą nebuvo įtraukti.</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Kito klinikinio tyrimo metu nereagavusieji į ankstesnį gydymą pacientai, kurie sirgo progresuojančia kepenų fibroze arba ciroze (</w:t>
      </w:r>
      <w:r w:rsidRPr="005E1DC0">
        <w:rPr>
          <w:rFonts w:ascii="Times New Roman" w:eastAsia="Times New Roman" w:hAnsi="Times New Roman" w:cs="Times New Roman"/>
          <w:i/>
          <w:lang w:eastAsia="lt-LT"/>
        </w:rPr>
        <w:t>Ishak</w:t>
      </w:r>
      <w:r w:rsidRPr="005E1DC0">
        <w:rPr>
          <w:rFonts w:ascii="Times New Roman" w:eastAsia="Times New Roman" w:hAnsi="Times New Roman" w:cs="Times New Roman"/>
          <w:lang w:eastAsia="lt-LT"/>
        </w:rPr>
        <w:t xml:space="preserve"> balai nuo 3 iki 6) ir kurių pradiniai trombocitų skaičiai buvo tokie maži kaip 50 000/ mm</w:t>
      </w:r>
      <w:r w:rsidRPr="005E1DC0">
        <w:rPr>
          <w:rFonts w:ascii="Times New Roman" w:eastAsia="Times New Roman" w:hAnsi="Times New Roman" w:cs="Times New Roman"/>
          <w:vertAlign w:val="superscript"/>
          <w:lang w:eastAsia="lt-LT"/>
        </w:rPr>
        <w:t>3</w:t>
      </w:r>
      <w:r w:rsidRPr="005E1DC0">
        <w:rPr>
          <w:rFonts w:ascii="Times New Roman" w:eastAsia="Times New Roman" w:hAnsi="Times New Roman" w:cs="Times New Roman"/>
          <w:lang w:eastAsia="lt-LT"/>
        </w:rPr>
        <w:t xml:space="preserve">, gydyti 48 savaites. Hematologinių laboratorinių tyrimų nenormalūs </w:t>
      </w:r>
      <w:r w:rsidRPr="005E1DC0">
        <w:rPr>
          <w:rFonts w:ascii="Times New Roman" w:eastAsia="Times New Roman" w:hAnsi="Times New Roman" w:cs="Times New Roman"/>
          <w:lang w:eastAsia="lt-LT"/>
        </w:rPr>
        <w:lastRenderedPageBreak/>
        <w:t>rodmenys, pastebėti pirmųjų 20 gydymo savaičių laikotarpiu, buvo: anemija (26 % pacientų hemoglobino kiekis &lt;10 g/dl), neutropenija (30 % pacientų ANS &lt;750/mm</w:t>
      </w:r>
      <w:r w:rsidRPr="005E1DC0">
        <w:rPr>
          <w:rFonts w:ascii="Times New Roman" w:eastAsia="Times New Roman" w:hAnsi="Times New Roman" w:cs="Times New Roman"/>
          <w:vertAlign w:val="superscript"/>
          <w:lang w:eastAsia="lt-LT"/>
        </w:rPr>
        <w:t>3</w:t>
      </w:r>
      <w:r w:rsidRPr="005E1DC0">
        <w:rPr>
          <w:rFonts w:ascii="Times New Roman" w:eastAsia="Times New Roman" w:hAnsi="Times New Roman" w:cs="Times New Roman"/>
          <w:lang w:eastAsia="lt-LT"/>
        </w:rPr>
        <w:t>) ir trombocitopenija (13 % pacientų trombocitų skaičius &lt;50 000/ mm</w:t>
      </w:r>
      <w:r w:rsidRPr="005E1DC0">
        <w:rPr>
          <w:rFonts w:ascii="Times New Roman" w:eastAsia="Times New Roman" w:hAnsi="Times New Roman" w:cs="Times New Roman"/>
          <w:vertAlign w:val="superscript"/>
          <w:lang w:eastAsia="lt-LT"/>
        </w:rPr>
        <w:t>3</w:t>
      </w:r>
      <w:r w:rsidRPr="005E1DC0">
        <w:rPr>
          <w:rFonts w:ascii="Times New Roman" w:eastAsia="Times New Roman" w:hAnsi="Times New Roman" w:cs="Times New Roman"/>
          <w:lang w:eastAsia="lt-LT"/>
        </w:rPr>
        <w:t>) (žr. 4.4 skyrių).</w:t>
      </w:r>
    </w:p>
    <w:p w:rsidR="005E1DC0" w:rsidRPr="005E1DC0" w:rsidRDefault="005E1DC0" w:rsidP="005E1DC0">
      <w:pPr>
        <w:tabs>
          <w:tab w:val="left" w:pos="567"/>
        </w:tabs>
        <w:spacing w:after="0" w:line="240" w:lineRule="auto"/>
        <w:rPr>
          <w:rFonts w:ascii="Times New Roman" w:eastAsia="Times New Roman" w:hAnsi="Times New Roman" w:cs="Times New Roman"/>
          <w:i/>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u w:val="single"/>
          <w:lang w:eastAsia="lt-LT"/>
        </w:rPr>
      </w:pPr>
      <w:r w:rsidRPr="005E1DC0">
        <w:rPr>
          <w:rFonts w:ascii="Times New Roman" w:eastAsia="Times New Roman" w:hAnsi="Times New Roman" w:cs="Times New Roman"/>
          <w:u w:val="single"/>
          <w:lang w:eastAsia="lt-LT"/>
        </w:rPr>
        <w:t>Lėtinis hepatitas C ir žmogaus imunodeficito viruso koinfekcija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ŽIV-HCV koinfekuotiems pacientams vien peginterferono alfa-2a arba jo derinio su ribavirinu sukeliamų klinikinių nepageidaujamų reiškinių pobūdis buvo panašus į tą, kuris pastebėtas gydant HCV monoinfekuotus pacientus. ŽIV-HCV koinfekuotiems pacientams, gydomiems Copegus ir peginterferono alfa-2a deriniu, kitas aprašytas nepageidaujamas poveikis, atsiradęs nuo ≥ 1 % iki ≤ 2 % pacientų, buvo: hiperlaktacidemija /pieno rūgšties acidozė, gripas, pneumonija, nepastovi emocinė reakcija, apatija, ryklės ir gerklų skausmas, lūpos uždegimas, įgyta lipodistrofija ir chromaturija. Su peginterferono alfa-2a vartojimu pirmosiomis 4 savaitėmis buvo susijęs sumažėjęs absoliutus CD4+ ląstelių skaičius, nesumažėjus CD4+ ląstelių procentui. Sumažinus vaisto dozę arba  nustojus jo vartoti, CD4+ ląstelių skaičius vėl tapo toks pat, kaip anksčiau. Peginterferonas alfa-2a gydymo juo ir vėlesnio stebėjimo laikotarpiu ŽIV viremijos kontrolei pastebimo neigiamo poveikio neturėjo. Peginterferono saugumo koinfekuotiems pacientams, kurių CD4+ ląstelių skaičius &lt; 200/mkl, duomenų turima mažai (žr. peginterferono alfa-2a PCS).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 lentelėje pateikiamas nepageidaujamas poveikis pacientams, kurie gydyti Copegus daugiausia kartu su peginterferonu alfa-2a arba interferonu alfa-2a</w:t>
      </w:r>
    </w:p>
    <w:p w:rsidR="005E1DC0" w:rsidRPr="005E1DC0" w:rsidRDefault="005E1DC0" w:rsidP="005E1DC0">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rPr>
          <w:rFonts w:ascii="Times New Roman" w:eastAsia="Times New Roman" w:hAnsi="Times New Roman" w:cs="Times New Roman"/>
          <w:lang w:eastAsia="lt-LT"/>
        </w:rPr>
      </w:pPr>
      <w:r w:rsidRPr="005E1DC0">
        <w:rPr>
          <w:rFonts w:ascii="Times New Roman" w:eastAsia="Times New Roman" w:hAnsi="Times New Roman" w:cs="Times New Roman"/>
          <w:b/>
          <w:snapToGrid w:val="0"/>
          <w:kern w:val="28"/>
          <w:lang w:eastAsia="lt-LT"/>
        </w:rPr>
        <w:t>4 lentelė.</w:t>
      </w:r>
      <w:r w:rsidRPr="005E1DC0">
        <w:rPr>
          <w:rFonts w:ascii="Times New Roman" w:eastAsia="Times New Roman" w:hAnsi="Times New Roman" w:cs="Times New Roman"/>
          <w:b/>
          <w:snapToGrid w:val="0"/>
          <w:kern w:val="28"/>
          <w:lang w:eastAsia="lt-LT"/>
        </w:rPr>
        <w:tab/>
        <w:t>Nepageidaujamas poveikis HCV infekuotiems pacientams, kurie gydyti Copegus</w:t>
      </w:r>
      <w:r w:rsidRPr="005E1DC0">
        <w:rPr>
          <w:rFonts w:ascii="Times New Roman" w:eastAsia="Calibri" w:hAnsi="Times New Roman" w:cs="Times New Roman"/>
          <w:lang w:eastAsia="lt-LT"/>
        </w:rPr>
        <w:t xml:space="preserve"> </w:t>
      </w:r>
      <w:r w:rsidRPr="005E1DC0">
        <w:rPr>
          <w:rFonts w:ascii="Times New Roman" w:eastAsia="Times New Roman" w:hAnsi="Times New Roman" w:cs="Times New Roman"/>
          <w:b/>
          <w:snapToGrid w:val="0"/>
          <w:kern w:val="28"/>
          <w:lang w:eastAsia="lt-LT"/>
        </w:rPr>
        <w:t>daugiausia kartu su peginterferonu alfa-2a arba interferonu alfa-2a</w:t>
      </w:r>
    </w:p>
    <w:tbl>
      <w:tblPr>
        <w:tblW w:w="5045" w:type="pct"/>
        <w:tblLayout w:type="fixed"/>
        <w:tblLook w:val="0000" w:firstRow="0" w:lastRow="0" w:firstColumn="0" w:lastColumn="0" w:noHBand="0" w:noVBand="0"/>
      </w:tblPr>
      <w:tblGrid>
        <w:gridCol w:w="1158"/>
        <w:gridCol w:w="1216"/>
        <w:gridCol w:w="1578"/>
        <w:gridCol w:w="1410"/>
        <w:gridCol w:w="1388"/>
        <w:gridCol w:w="1240"/>
        <w:gridCol w:w="1152"/>
      </w:tblGrid>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Calibri" w:hAnsi="Times New Roman" w:cs="Times New Roman"/>
                <w:b/>
                <w:lang w:eastAsia="lt-LT"/>
              </w:rPr>
            </w:pPr>
            <w:r w:rsidRPr="005E1DC0">
              <w:rPr>
                <w:rFonts w:ascii="Times New Roman" w:eastAsia="Calibri" w:hAnsi="Times New Roman" w:cs="Times New Roman"/>
                <w:b/>
                <w:lang w:eastAsia="lt-LT"/>
              </w:rPr>
              <w:t>Organizmo sistema</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Labai dažnas ≥1/10</w:t>
            </w: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Dažnas</w:t>
            </w:r>
          </w:p>
          <w:p w:rsidR="005E1DC0" w:rsidRPr="005E1DC0" w:rsidRDefault="005E1DC0" w:rsidP="005E1DC0">
            <w:pPr>
              <w:keepNext/>
              <w:keepLines/>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≥1/100 iki &lt;1/10</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Nedažnas</w:t>
            </w:r>
          </w:p>
          <w:p w:rsidR="005E1DC0" w:rsidRPr="005E1DC0" w:rsidRDefault="005E1DC0" w:rsidP="005E1DC0">
            <w:pPr>
              <w:keepNext/>
              <w:keepLines/>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≥1/1000 iki &lt;1/100</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Retas</w:t>
            </w:r>
          </w:p>
          <w:p w:rsidR="005E1DC0" w:rsidRPr="005E1DC0" w:rsidRDefault="005E1DC0" w:rsidP="005E1DC0">
            <w:pPr>
              <w:keepNext/>
              <w:keepLines/>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≥1/10 000 iki &lt;1/1000</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Labai retas</w:t>
            </w:r>
          </w:p>
          <w:p w:rsidR="005E1DC0" w:rsidRPr="005E1DC0" w:rsidRDefault="005E1DC0" w:rsidP="005E1DC0">
            <w:pPr>
              <w:keepNext/>
              <w:keepLines/>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&lt;1/10000</w:t>
            </w: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Dažnis nežinomas*</w:t>
            </w: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Infekcijos ir infestacijos</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Viršutinių kvėpavimo takų infekcija, bronchitas, burnos kandidozė, paprastoji pūslelinė</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val="sv-SE" w:eastAsia="lt-LT"/>
              </w:rPr>
            </w:pPr>
            <w:r w:rsidRPr="005E1DC0">
              <w:rPr>
                <w:rFonts w:ascii="Times New Roman" w:eastAsia="Calibri" w:hAnsi="Times New Roman" w:cs="Times New Roman"/>
                <w:lang w:val="sv-SE" w:eastAsia="lt-LT"/>
              </w:rPr>
              <w:t>Apatinių kvėpavimo takų infekcija, pneumonija, šlapimo takų infekcija, odos infekcija</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val="sv-SE" w:eastAsia="lt-LT"/>
              </w:rPr>
            </w:pPr>
            <w:r w:rsidRPr="005E1DC0">
              <w:rPr>
                <w:rFonts w:ascii="Times New Roman" w:eastAsia="Calibri" w:hAnsi="Times New Roman" w:cs="Times New Roman"/>
                <w:lang w:val="sv-SE" w:eastAsia="lt-LT"/>
              </w:rPr>
              <w:t>Endokarditas, išorinės ausies uždegimas</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val="sv-SE"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val="sv-SE" w:eastAsia="lt-LT"/>
              </w:rPr>
            </w:pP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Kraujo ir limfinės sistemos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Anemija</w:t>
            </w:r>
            <w:r w:rsidRPr="005E1DC0">
              <w:rPr>
                <w:rFonts w:ascii="Times New Roman" w:eastAsia="Times New Roman" w:hAnsi="Times New Roman" w:cs="Times New Roman"/>
                <w:lang w:eastAsia="lt-LT"/>
              </w:rPr>
              <w:t>, neutropenija</w:t>
            </w: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Trombocitopenija, limfadenopatija</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Pancitopenija</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Aplazinė anemija</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Grynoji eritrocitų aplazija</w:t>
            </w: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Imuninės sistemos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Sarkoidozė,</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Tiroiditas</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Anafilaksija, sisteminė raudonoji vilkligė, reumatoidinis artritas</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Idiopatinė arba trombozinė trombocitopeninė purpura</w:t>
            </w: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Persodintų kepenų ar inkstų atmetimas, Vogt-Koyanagi-Harada liga</w:t>
            </w: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Endokrininiai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Hipotirozė, hipertirozė</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Diabetas</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Metabolizmo ir mitybos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Anoreksija</w:t>
            </w: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Dehidracija</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lastRenderedPageBreak/>
              <w:t>Psichikos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 xml:space="preserve">Depresija, nemiga </w:t>
            </w: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Pakitusi nuotaika, sutrikusios emocijos, nerimas, agresija, nervuotumas, susilpnėjęs lytinis potraukis</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Mintys apie savižudybę, haliucinacijos, pyktis</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val="fr-FR" w:eastAsia="lt-LT"/>
              </w:rPr>
              <w:t>Savižudybė, psichozinis sutrikimas</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Manija, bipolinis sutrikimas, mintys apie nužudymą</w:t>
            </w: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Nervų sistemos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Galvos skausmas, svaigulys, pablogėjęs dėmesio koncentravimas</w:t>
            </w: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Atminties (pa)blogėjimas, alpulys, silpnumas, migrena, hipestezija, hiperestezija, parestezija, drebulys, sutrikęs skonio pojūtis, košmarai, mieguistumas</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val="fr-FR" w:eastAsia="lt-LT"/>
              </w:rPr>
            </w:pPr>
            <w:r w:rsidRPr="005E1DC0">
              <w:rPr>
                <w:rFonts w:ascii="Times New Roman" w:eastAsia="Calibri" w:hAnsi="Times New Roman" w:cs="Times New Roman"/>
                <w:lang w:val="fr-FR" w:eastAsia="lt-LT"/>
              </w:rPr>
              <w:t>Periferinė neuropatija</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val="it-IT" w:eastAsia="lt-LT"/>
              </w:rPr>
            </w:pPr>
            <w:r w:rsidRPr="005E1DC0">
              <w:rPr>
                <w:rFonts w:ascii="Times New Roman" w:eastAsia="Calibri" w:hAnsi="Times New Roman" w:cs="Times New Roman"/>
                <w:lang w:val="it-IT" w:eastAsia="lt-LT"/>
              </w:rPr>
              <w:t>Koma, traukuliai, veidinio nervo paralyžius</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val="it-IT" w:eastAsia="lt-LT"/>
              </w:rPr>
            </w:pPr>
            <w:r w:rsidRPr="005E1DC0">
              <w:rPr>
                <w:rFonts w:ascii="Times New Roman" w:eastAsia="Times New Roman" w:hAnsi="Times New Roman" w:cs="Times New Roman"/>
                <w:lang w:val="it-IT" w:eastAsia="lt-LT"/>
              </w:rPr>
              <w:t>Galvos smegenų išemija</w:t>
            </w: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val="it-IT" w:eastAsia="lt-LT"/>
              </w:rPr>
            </w:pP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Akių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Miglotas regėjimas, akies skausmas, akies uždegimas, kseroftalmija</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Kraujo išsiliejimas į tinklainę</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Regimojo nervo neuropatija, regimojo nervo spenelio pabrinkimas, tinklainės kraujagyslių sutrikimas, retinopatija, ragenos opa</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Apakimas</w:t>
            </w: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Serozinė tinklainės atšoka</w:t>
            </w: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Ausų ir labirintų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Galvos svaigimas, ausies skausmas</w:t>
            </w:r>
            <w:r w:rsidRPr="005E1DC0">
              <w:rPr>
                <w:rFonts w:ascii="Times New Roman" w:eastAsia="Times New Roman" w:hAnsi="Times New Roman" w:cs="Times New Roman"/>
                <w:lang w:eastAsia="lt-LT"/>
              </w:rPr>
              <w:t>, spengimas ausyse</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val="fr-FR" w:eastAsia="lt-LT"/>
              </w:rPr>
              <w:t>Klausos netekimas</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Širdies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Tachikardija, palpitacijos, periferinė edema</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Miokardo infarktas, stazinis širdies nepakankamumas, krūtinės angina, supraventrikulinė tachikardija, aritmija, prieširdžių virpėjimas, perikarditas</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lastRenderedPageBreak/>
              <w:t>Kraujagyslių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Karščio pylimas</w:t>
            </w:r>
            <w:r w:rsidRPr="005E1DC0">
              <w:rPr>
                <w:rFonts w:ascii="Times New Roman" w:eastAsia="Times New Roman" w:hAnsi="Times New Roman" w:cs="Times New Roman"/>
                <w:lang w:eastAsia="lt-LT"/>
              </w:rPr>
              <w:t>, hipotenzija</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Hipertenzija</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Kraujo išsiliejimas į smegenis</w:t>
            </w:r>
            <w:r w:rsidRPr="005E1DC0">
              <w:rPr>
                <w:rFonts w:ascii="Times New Roman" w:eastAsia="Times New Roman" w:hAnsi="Times New Roman" w:cs="Times New Roman"/>
                <w:lang w:eastAsia="lt-LT"/>
              </w:rPr>
              <w:t>, vaskulitas</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Kvėpavimo sistemos, krūtinės ląstos ir tarpuplaučio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Dusulys, kosulys</w:t>
            </w: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Įtampos dusulys, kraujavimas iš nosies, nosiaryklės uždegimas, pabrinkę prienosiniai ančiai, pabrinkusi nosies gleivinė, rinitas, skaudama ryklė</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Švokštimas</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Intersticinis pneumonitas, nuo kurio mirštama; plaučių embolija</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Virškinimo trakto sutrikimai</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Viduriavimas, pykinimas, pilvo skausmas</w:t>
            </w: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Vėmimas, dispepsija, sutrikęs rijimas, burnos išopėjimas, dantenų kraujavimas, liežuvio uždegimas, stomatitas, dujų kaupimasis žarnyne, vidurių užkietėjimas, burnos džiūvimas</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Kraujavimas iš virškinimo trakto, lūpos uždegimas, dantenų uždegimas</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Pepsinė opa, pankreatitas</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Times New Roman" w:hAnsi="Times New Roman" w:cs="Times New Roman"/>
                <w:lang w:eastAsia="lt-LT"/>
              </w:rPr>
              <w:t>Išeminis kolitas, opinis kolitas, liežuvio pigmentacija</w:t>
            </w: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Kepenų, tulžies pūslės ir latakų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Sutrikusi kepenų funkcija</w:t>
            </w: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Kepenų funkcijos nepakankamumas, cholangitas, kepenų riebalinė infiltracija</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Odos ir poodinio audinio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Alopecija, odos uždegimas, niežulys, odos sausėjimas</w:t>
            </w: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Bėrimas, padidėjęs prakaitavimas, psoriazė, dilgėlinė, egzema, odos pažeidimas, fotosensibili reakcija, prakaitavimas naktį</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Toksinė epidermio nekrolizė, Stivenso-Džonsono (Stevens-Johnson) sindromas, angioedema, daugiaformė eritema</w:t>
            </w: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Height w:val="306"/>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lastRenderedPageBreak/>
              <w:t>Skeleto, raumenų ir jungiamojo audinio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Raumenų skausmas, sąnarių skausmas</w:t>
            </w: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Nugaros skausmas, artritas, raumenų silpnumas, kaulų skausmas, sprando skausmas, skeleto raumenų skausmas, mėšlungis</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Miozitas</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Rabdomiolizė</w:t>
            </w:r>
          </w:p>
        </w:tc>
      </w:tr>
      <w:tr w:rsidR="005E1DC0" w:rsidRPr="005E1DC0" w:rsidTr="00BB1B6B">
        <w:trPr>
          <w:cantSplit/>
          <w:trHeight w:val="306"/>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Inkstų ir šlapimų takų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Inkstų veiklos nepakankamumas, nefrozinis sindromas</w:t>
            </w:r>
          </w:p>
        </w:tc>
      </w:tr>
      <w:tr w:rsidR="005E1DC0" w:rsidRPr="005E1DC0" w:rsidTr="00BB1B6B">
        <w:trPr>
          <w:cantSplit/>
          <w:trHeight w:val="306"/>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Lytinės sistemos ir krūties sutrikimai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Lytinė bejėgystė</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Height w:val="306"/>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Bendrieji sutrikimai ir vartojimo vietos pažeidimai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Karščiavimas, sustingimas, skausmas, astenija, nuovargis, irzlumas</w:t>
            </w: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Krūtinės skausmas, į gripą panaši liga, negalavimas, letargija, karščio pylimas, troškulys</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Height w:val="267"/>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 xml:space="preserve">Tyrimai </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Sumažėjęs svoris</w:t>
            </w: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r w:rsidR="005E1DC0" w:rsidRPr="005E1DC0" w:rsidTr="00BB1B6B">
        <w:trPr>
          <w:cantSplit/>
          <w:trHeight w:val="306"/>
        </w:trPr>
        <w:tc>
          <w:tcPr>
            <w:tcW w:w="63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Sužalojimai</w:t>
            </w:r>
            <w:r w:rsidRPr="005E1DC0">
              <w:rPr>
                <w:rFonts w:ascii="Times New Roman" w:eastAsia="Times New Roman" w:hAnsi="Times New Roman" w:cs="Times New Roman"/>
                <w:lang w:eastAsia="lt-LT"/>
              </w:rPr>
              <w:t xml:space="preserve"> ir</w:t>
            </w:r>
            <w:r w:rsidRPr="005E1DC0">
              <w:rPr>
                <w:rFonts w:ascii="Times New Roman" w:eastAsia="Calibri" w:hAnsi="Times New Roman" w:cs="Times New Roman"/>
                <w:lang w:eastAsia="lt-LT"/>
              </w:rPr>
              <w:t xml:space="preserve"> apsinuodijimai</w:t>
            </w: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863"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7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75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Vaistinės medžiagos perdozavimas</w:t>
            </w:r>
          </w:p>
        </w:tc>
        <w:tc>
          <w:tcPr>
            <w:tcW w:w="67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c>
          <w:tcPr>
            <w:tcW w:w="630"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rPr>
                <w:rFonts w:ascii="Times New Roman" w:eastAsia="Calibri" w:hAnsi="Times New Roman" w:cs="Times New Roman"/>
                <w:lang w:eastAsia="lt-LT"/>
              </w:rPr>
            </w:pPr>
          </w:p>
        </w:tc>
      </w:tr>
    </w:tbl>
    <w:p w:rsidR="005E1DC0" w:rsidRPr="005E1DC0" w:rsidRDefault="005E1DC0" w:rsidP="005E1DC0">
      <w:pPr>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 pastebėti poregistraciniu laikotarpiu.</w:t>
      </w:r>
    </w:p>
    <w:p w:rsidR="005E1DC0" w:rsidRPr="005E1DC0" w:rsidRDefault="005E1DC0" w:rsidP="005E1DC0">
      <w:pPr>
        <w:autoSpaceDE w:val="0"/>
        <w:autoSpaceDN w:val="0"/>
        <w:adjustRightInd w:val="0"/>
        <w:spacing w:after="0" w:line="240" w:lineRule="auto"/>
        <w:rPr>
          <w:rFonts w:ascii="Times New Roman" w:eastAsia="Times New Roman" w:hAnsi="Times New Roman" w:cs="Times New Roman"/>
          <w:lang w:eastAsia="de-A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Laboratorinių tyrimų rodmenys</w:t>
      </w:r>
      <w:r w:rsidRPr="005E1DC0">
        <w:rPr>
          <w:rFonts w:ascii="Times New Roman" w:eastAsia="Times New Roman" w:hAnsi="Times New Roman" w:cs="Times New Roman"/>
          <w:i/>
          <w:lang w:eastAsia="lt-LT"/>
        </w:rPr>
        <w:t xml:space="preserve">. </w:t>
      </w:r>
      <w:r w:rsidRPr="005E1DC0">
        <w:rPr>
          <w:rFonts w:ascii="Times New Roman" w:eastAsia="Times New Roman" w:hAnsi="Times New Roman" w:cs="Times New Roman"/>
          <w:lang w:eastAsia="lt-LT"/>
        </w:rPr>
        <w:t xml:space="preserve">Klinikinių tyrimų metu, kai Copegus vartota kartu su peginterferonu alfa-2a arba interferonu alfa-2a, dauguma nenormaliai pakitusių laboratorinių tyrimų rodmenų tapo normalūs pakeitus dozę (žr. </w:t>
      </w:r>
      <w:r w:rsidRPr="005E1DC0">
        <w:rPr>
          <w:rFonts w:ascii="Times New Roman" w:eastAsia="Times New Roman" w:hAnsi="Times New Roman" w:cs="Times New Roman"/>
          <w:bCs/>
          <w:lang w:eastAsia="lt-LT"/>
        </w:rPr>
        <w:t>4.2 skyrių</w:t>
      </w:r>
      <w:r w:rsidRPr="005E1DC0">
        <w:rPr>
          <w:rFonts w:ascii="Times New Roman" w:eastAsia="Times New Roman" w:hAnsi="Times New Roman" w:cs="Times New Roman"/>
          <w:lang w:eastAsia="lt-LT"/>
        </w:rPr>
        <w:t>). Gydant peginterferono alfa-2a ir Copegus deriniu, iki 2 % pacientų padidėjo ALT aktyvumas, dėl to reikėjo keisti dozę arba nutraukti gydymą.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Gydymo metu dozę apribojantis ribavirino toksiškumo požymis yra hemolizė. Pastebėta, kad iki 15 % pacientų, 48 savaites gydytų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1000/1200 mg ir peginterferono alfa-2a deriniu, taip pat iki 19 % pacientų, gydytų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ir interferono alfa-2a deriniu, hemoglobino koncentracija sumažėjo iki &lt;10 g/dl. Kai kartu su peginterferonu alfa-2a 24 savaites vartota 800 mg Copegus dozė, hemoglobino koncentracija iki &lt;10 g/dl sumažėjo 3 % pacientų. Dažniausiai hemoglobino sumažėja ankstyvuoju gydymo periodu; vėliau dėl tuo pat metu atsiradusio kompensacinio retikulocitų pagausėjimo tai išsilygina.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Dažniausiai anemija, leukopenija ir trombocitopenija buvo neryškios (I laipsnio pagal PSO). II laipsnio pagal PSO laboratorinių pokyčių pastebėta: hemoglobino (4 % pacientų), leukocitų (24 % pacientų) ir trombocitų (2 % pacientų). Vidutinė (absoliutus neutrofilų skaičius, ANS: 0,749-0,5 x </w:t>
      </w:r>
      <w:r w:rsidRPr="005E1DC0">
        <w:rPr>
          <w:rFonts w:ascii="Times New Roman" w:eastAsia="Times New Roman" w:hAnsi="Times New Roman" w:cs="Times New Roman"/>
          <w:lang w:eastAsia="lt-LT"/>
        </w:rPr>
        <w:lastRenderedPageBreak/>
        <w:t>10</w:t>
      </w:r>
      <w:r w:rsidRPr="005E1DC0">
        <w:rPr>
          <w:rFonts w:ascii="Times New Roman" w:eastAsia="Times New Roman" w:hAnsi="Times New Roman" w:cs="Times New Roman"/>
          <w:vertAlign w:val="superscript"/>
          <w:lang w:eastAsia="lt-LT"/>
        </w:rPr>
        <w:t>9</w:t>
      </w:r>
      <w:r w:rsidRPr="005E1DC0">
        <w:rPr>
          <w:rFonts w:ascii="Times New Roman" w:eastAsia="Times New Roman" w:hAnsi="Times New Roman" w:cs="Times New Roman"/>
          <w:lang w:eastAsia="lt-LT"/>
        </w:rPr>
        <w:t>/l) ir ryški (ANS&lt;0,5 x 10</w:t>
      </w:r>
      <w:r w:rsidRPr="005E1DC0">
        <w:rPr>
          <w:rFonts w:ascii="Times New Roman" w:eastAsia="Times New Roman" w:hAnsi="Times New Roman" w:cs="Times New Roman"/>
          <w:vertAlign w:val="superscript"/>
          <w:lang w:eastAsia="lt-LT"/>
        </w:rPr>
        <w:t>9</w:t>
      </w:r>
      <w:r w:rsidRPr="005E1DC0">
        <w:rPr>
          <w:rFonts w:ascii="Times New Roman" w:eastAsia="Times New Roman" w:hAnsi="Times New Roman" w:cs="Times New Roman"/>
          <w:lang w:eastAsia="lt-LT"/>
        </w:rPr>
        <w:t>/l) neutropenija rasta 24 % (216 iš 887) ir 5 % (41 iš 887) pacientų, 48 savaites gydytų Copegus po 1000/1200 mg ir  peginterferono alfa-2a deriniu.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Pastebėta, kad kai kuriems pacientams, gydytiems Copegus ir peginterferono alfa-2a arba interferono alfa-2a deriniu, padidėjo šlapimo rūgšties ir netiesioginio bilirubino koncentracijos, kurios buvo susijusios su hemolize, bet, baigus gydyti, per 4 savaites jos vėl tapdavo tokios pat kaip prieš gydymą. Labai retai (2 pacientams iš 755) su tuo buvo susiję klinikiniai reiškiniai (ūminė podagra).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
          <w:lang w:eastAsia="lt-LT"/>
        </w:rPr>
      </w:pPr>
      <w:r w:rsidRPr="005E1DC0">
        <w:rPr>
          <w:rFonts w:ascii="Times New Roman" w:eastAsia="Times New Roman" w:hAnsi="Times New Roman" w:cs="Times New Roman"/>
          <w:i/>
          <w:lang w:eastAsia="lt-LT"/>
        </w:rPr>
        <w:t>ŽIV-HCV koinfekuotų pacientų laboratorinių tyrimų duomenys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Nors toksinis poveikis kraujodarai – neutropenija, trombocitopenija ir anemija – dažniau pasitaikė ŽIV-HCV koinfekuotiems pacientams, daugumai jų tai pavyko pašalinti pakeitus dozę ir pavartojus kraujodarą aktyvinančių faktorių; prieš laiką liautis gydyti reikėjo retai. Mažesnis nei 500 ląstelių/mm</w:t>
      </w:r>
      <w:r w:rsidRPr="005E1DC0">
        <w:rPr>
          <w:rFonts w:ascii="Times New Roman" w:eastAsia="Times New Roman" w:hAnsi="Times New Roman" w:cs="Times New Roman"/>
          <w:vertAlign w:val="superscript"/>
          <w:lang w:eastAsia="lt-LT"/>
        </w:rPr>
        <w:t>3</w:t>
      </w:r>
      <w:r w:rsidRPr="005E1DC0">
        <w:rPr>
          <w:rFonts w:ascii="Times New Roman" w:eastAsia="Times New Roman" w:hAnsi="Times New Roman" w:cs="Times New Roman"/>
          <w:lang w:eastAsia="lt-LT"/>
        </w:rPr>
        <w:t xml:space="preserve"> ANS nustatytas 13 % pacientų, kuriems taikyta peginterferono alfa-2a monoterapija, ir 11 % pacientų, gydytų vaistų deriniu. Mažesnis nei 50 000/mm</w:t>
      </w:r>
      <w:r w:rsidRPr="005E1DC0">
        <w:rPr>
          <w:rFonts w:ascii="Times New Roman" w:eastAsia="Times New Roman" w:hAnsi="Times New Roman" w:cs="Times New Roman"/>
          <w:vertAlign w:val="superscript"/>
          <w:lang w:eastAsia="lt-LT"/>
        </w:rPr>
        <w:t>3</w:t>
      </w:r>
      <w:r w:rsidRPr="005E1DC0">
        <w:rPr>
          <w:rFonts w:ascii="Times New Roman" w:eastAsia="Times New Roman" w:hAnsi="Times New Roman" w:cs="Times New Roman"/>
          <w:lang w:eastAsia="lt-LT"/>
        </w:rPr>
        <w:t xml:space="preserve"> trombocitų skaičius nustatytas 10 % pacientų, vartojusių vien peginterferono alfa-2a, ir 8 % pacientų, gydytų vaistų deriniu. Pranešama, kad anemija (hemoglobino &lt; 10g/dl) nustatyta 7 % pacientų, kai taikyta peginterferono alfa-2a monoterapija, ir 14 % pacientų, gydytų vaistinių preparatų deriniu.</w:t>
      </w:r>
    </w:p>
    <w:p w:rsidR="005E1DC0" w:rsidRPr="005E1DC0" w:rsidRDefault="005E1DC0" w:rsidP="005E1DC0">
      <w:pPr>
        <w:tabs>
          <w:tab w:val="left" w:pos="567"/>
        </w:tabs>
        <w:spacing w:after="0" w:line="240" w:lineRule="auto"/>
        <w:rPr>
          <w:rFonts w:ascii="Times New Roman" w:eastAsia="Times New Roman" w:hAnsi="Times New Roman" w:cs="Times New Roman"/>
          <w:u w:val="single"/>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u w:val="single"/>
          <w:lang w:eastAsia="lt-LT"/>
        </w:rPr>
      </w:pPr>
      <w:r w:rsidRPr="005E1DC0">
        <w:rPr>
          <w:rFonts w:ascii="Times New Roman" w:eastAsia="Times New Roman" w:hAnsi="Times New Roman" w:cs="Times New Roman"/>
          <w:u w:val="single"/>
          <w:lang w:eastAsia="lt-LT"/>
        </w:rPr>
        <w:t>Pranešimas apie įtariamas nepageidaujamas reakcijas</w:t>
      </w:r>
    </w:p>
    <w:p w:rsidR="005E1DC0" w:rsidRPr="005E1DC0" w:rsidRDefault="005E1DC0" w:rsidP="005E1DC0">
      <w:pPr>
        <w:keepNext/>
        <w:keepLines/>
        <w:tabs>
          <w:tab w:val="left" w:pos="567"/>
        </w:tabs>
        <w:autoSpaceDE w:val="0"/>
        <w:autoSpaceDN w:val="0"/>
        <w:adjustRightInd w:val="0"/>
        <w:spacing w:after="0" w:line="240" w:lineRule="auto"/>
        <w:rPr>
          <w:rFonts w:ascii="Times New Roman" w:eastAsia="Times New Roman" w:hAnsi="Times New Roman" w:cs="Times New Roman"/>
          <w:noProof/>
          <w:snapToGrid w:val="0"/>
          <w:szCs w:val="24"/>
        </w:rPr>
      </w:pPr>
      <w:r w:rsidRPr="005E1DC0">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5E1DC0">
          <w:rPr>
            <w:rFonts w:ascii="Times New Roman" w:eastAsia="Times New Roman" w:hAnsi="Times New Roman" w:cs="Times New Roman"/>
            <w:noProof/>
            <w:snapToGrid w:val="0"/>
            <w:color w:val="0000FF"/>
            <w:szCs w:val="24"/>
          </w:rPr>
          <w:t>http://www.vvkt.lt</w:t>
        </w:r>
      </w:hyperlink>
      <w:r w:rsidRPr="005E1DC0">
        <w:rPr>
          <w:rFonts w:ascii="Times New Roman" w:eastAsia="Times New Roman" w:hAnsi="Times New Roman" w:cs="Times New Roman"/>
          <w:noProof/>
          <w:snapToGrid w:val="0"/>
          <w:szCs w:val="24"/>
        </w:rPr>
        <w: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4.9</w:t>
      </w:r>
      <w:r w:rsidRPr="005E1DC0">
        <w:rPr>
          <w:rFonts w:ascii="Times New Roman" w:eastAsia="Times New Roman" w:hAnsi="Times New Roman" w:cs="Times New Roman"/>
          <w:b/>
          <w:bCs/>
          <w:lang w:eastAsia="lt-LT"/>
        </w:rPr>
        <w:tab/>
        <w:t>Perdozavimas</w:t>
      </w:r>
    </w:p>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Apie Copegus perdozavimo atvejus klinikinių tyrimų metu nepranešama. Žmonėms, suvartojusiems daugiau nei keturis kartus didesnes negu didžiausios rekomenduojamos dozes, pastebėta hipokalcemija ir hipomagnezemija. Daugeliu šių atvejų ribavirino vartota į veną. Kadangi ribavirino pasiskirstymo tūris yra didelis, hemodialize pašalinti reikšmingą ribavirino kiekį nėra efektyvu.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5.</w:t>
      </w:r>
      <w:r w:rsidRPr="005E1DC0">
        <w:rPr>
          <w:rFonts w:ascii="Times New Roman" w:eastAsia="Times New Roman" w:hAnsi="Times New Roman" w:cs="Times New Roman"/>
          <w:b/>
          <w:bCs/>
          <w:lang w:eastAsia="lt-LT"/>
        </w:rPr>
        <w:tab/>
        <w:t>FARMAKOLOGINĖS SAVYBĖS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5.1</w:t>
      </w:r>
      <w:r w:rsidRPr="005E1DC0">
        <w:rPr>
          <w:rFonts w:ascii="Times New Roman" w:eastAsia="Times New Roman" w:hAnsi="Times New Roman" w:cs="Times New Roman"/>
          <w:b/>
          <w:bCs/>
          <w:lang w:eastAsia="lt-LT"/>
        </w:rPr>
        <w:tab/>
        <w:t>Farmakodinaminės savybės</w:t>
      </w:r>
    </w:p>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Farmakoterapinė grupė – nukleozidai ir nukleotidai (tiksliau – atvirkštinės transkriptazės inhibitoriai), ATC kodas – </w:t>
      </w:r>
      <w:r w:rsidRPr="005E1DC0">
        <w:rPr>
          <w:rFonts w:ascii="Times New Roman" w:eastAsia="Calibri" w:hAnsi="Times New Roman" w:cs="Times New Roman"/>
          <w:lang w:eastAsia="lt-LT"/>
        </w:rPr>
        <w:t xml:space="preserve">J05A </w:t>
      </w:r>
      <w:r w:rsidRPr="005E1DC0">
        <w:rPr>
          <w:rFonts w:ascii="Times New Roman" w:eastAsia="Times New Roman" w:hAnsi="Times New Roman" w:cs="Times New Roman"/>
          <w:szCs w:val="20"/>
          <w:lang w:eastAsia="ja-JP"/>
        </w:rPr>
        <w:t>P01</w:t>
      </w:r>
      <w:r w:rsidRPr="005E1DC0">
        <w:rPr>
          <w:rFonts w:ascii="Times New Roman" w:eastAsia="Times New Roman" w:hAnsi="Times New Roman" w:cs="Times New Roman"/>
          <w:lang w:eastAsia="lt-LT"/>
        </w:rPr>
        <w: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Veikimo mechanizmas</w:t>
      </w:r>
      <w:r w:rsidRPr="005E1DC0">
        <w:rPr>
          <w:rFonts w:ascii="Times New Roman" w:eastAsia="Times New Roman" w:hAnsi="Times New Roman" w:cs="Times New Roman"/>
          <w:i/>
          <w:lang w:eastAsia="lt-LT"/>
        </w:rPr>
        <w:t xml:space="preserve">. </w:t>
      </w:r>
      <w:r w:rsidRPr="005E1DC0">
        <w:rPr>
          <w:rFonts w:ascii="Times New Roman" w:eastAsia="Times New Roman" w:hAnsi="Times New Roman" w:cs="Times New Roman"/>
          <w:lang w:eastAsia="lt-LT"/>
        </w:rPr>
        <w:t xml:space="preserve">Ribavirinas yra sintetinis nukleozidų analogas, kuris </w:t>
      </w:r>
      <w:r w:rsidRPr="005E1DC0">
        <w:rPr>
          <w:rFonts w:ascii="Times New Roman" w:eastAsia="Times New Roman" w:hAnsi="Times New Roman" w:cs="Times New Roman"/>
          <w:i/>
          <w:iCs/>
          <w:lang w:eastAsia="lt-LT"/>
        </w:rPr>
        <w:t>in vitro</w:t>
      </w:r>
      <w:r w:rsidRPr="005E1DC0">
        <w:rPr>
          <w:rFonts w:ascii="Times New Roman" w:eastAsia="Times New Roman" w:hAnsi="Times New Roman" w:cs="Times New Roman"/>
          <w:lang w:eastAsia="lt-LT"/>
        </w:rPr>
        <w:t xml:space="preserve"> veikia kai kuriuos RNR ir DNR virusus. Kokiu būdu ribavirinas veikia HCV, nežinoma.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Sergantiems hepatitu C pacientams, kurie vartodami po 180 mkg peginterferono alfa-2a į gydymą reagavo, HCV RNR mažėjo dvifaziškai. Pacientams, kuriems pasiseka sukelti ilgalaikį atsaką, pirmoji mažėjimo fazė esti praėjus 24-36 valandoms po pirmosios peginterferono alfa-2a dozės; po to seka antroji mažėjimo fazė, kuri trunka sekančias 4-16 savaites. Copegus per pirmąsias 4-6 savaites pacientų, gydomų Copegus ir pegiliuoto interferono alfa-2a arba interferono alfa deriniu,  pradinei virusų kinetikai reikšmingo poveikio neturėjo.</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Keleto klinikinių tyrimų metu bandyta gydyti lėtinį hepatitą C vien geriamu ribavirinu. Šių tyrimų rezultatai parodė, kad ribavirino monoterapija, kai pacientai buvo gydomi 6-12 mėnesių ir 6 mėnesius stebimi, neturėjo jokio poveikio hepatitą sukeliančių virusų (HCV RNR) išnykimui, taip pat nepagerino kepenų histologinių pokyčių.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tabs>
          <w:tab w:val="left" w:pos="567"/>
        </w:tabs>
        <w:spacing w:after="0" w:line="240" w:lineRule="auto"/>
        <w:rPr>
          <w:rFonts w:ascii="Times New Roman" w:eastAsia="Times New Roman" w:hAnsi="Times New Roman" w:cs="Times New Roman"/>
          <w:i/>
          <w:u w:val="single"/>
          <w:lang w:eastAsia="lt-LT"/>
        </w:rPr>
      </w:pPr>
      <w:r w:rsidRPr="005E1DC0">
        <w:rPr>
          <w:rFonts w:ascii="Times New Roman" w:eastAsia="Times New Roman" w:hAnsi="Times New Roman" w:cs="Times New Roman"/>
          <w:i/>
          <w:u w:val="single"/>
          <w:lang w:eastAsia="lt-LT"/>
        </w:rPr>
        <w:lastRenderedPageBreak/>
        <w:t>Klinikinis veiksmingumas ir saugumas</w:t>
      </w:r>
    </w:p>
    <w:p w:rsidR="005E1DC0" w:rsidRPr="005E1DC0" w:rsidRDefault="005E1DC0" w:rsidP="005E1DC0">
      <w:pPr>
        <w:tabs>
          <w:tab w:val="left" w:pos="567"/>
        </w:tabs>
        <w:spacing w:after="0" w:line="240" w:lineRule="auto"/>
        <w:rPr>
          <w:rFonts w:ascii="Times New Roman" w:eastAsia="Times New Roman" w:hAnsi="Times New Roman" w:cs="Times New Roman"/>
          <w:bCs/>
          <w:i/>
          <w:u w:val="single"/>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
          <w:u w:val="single"/>
          <w:lang w:eastAsia="lt-LT"/>
        </w:rPr>
      </w:pPr>
      <w:r w:rsidRPr="005E1DC0">
        <w:rPr>
          <w:rFonts w:ascii="Times New Roman" w:eastAsia="Times New Roman" w:hAnsi="Times New Roman" w:cs="Times New Roman"/>
          <w:i/>
          <w:u w:val="single"/>
          <w:lang w:eastAsia="lt-LT"/>
        </w:rPr>
        <w:t>Copegus derinys su TVP</w:t>
      </w:r>
    </w:p>
    <w:p w:rsidR="005E1DC0" w:rsidRPr="005E1DC0" w:rsidRDefault="005E1DC0" w:rsidP="005E1DC0">
      <w:pPr>
        <w:tabs>
          <w:tab w:val="left" w:pos="567"/>
        </w:tabs>
        <w:spacing w:after="0" w:line="240" w:lineRule="auto"/>
        <w:rPr>
          <w:rFonts w:ascii="Times New Roman" w:eastAsia="Times New Roman" w:hAnsi="Times New Roman" w:cs="Times New Roman"/>
          <w:bCs/>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Išsamų tokio derinio klinikinių duomenų aprašą rasite atitinkamo tiesiogiai veikiančio priešvirusinio (TVP) vaistinio preparato PCS. Šioje PCS yra išsamiai aprašytas tik Copegus skyrimas kartu su (peg)interferonu.</w:t>
      </w:r>
    </w:p>
    <w:p w:rsidR="005E1DC0" w:rsidRPr="005E1DC0" w:rsidRDefault="005E1DC0" w:rsidP="005E1DC0">
      <w:pPr>
        <w:tabs>
          <w:tab w:val="left" w:pos="567"/>
        </w:tabs>
        <w:spacing w:after="0" w:line="240" w:lineRule="auto"/>
        <w:rPr>
          <w:rFonts w:ascii="Times New Roman" w:eastAsia="Times New Roman" w:hAnsi="Times New Roman" w:cs="Times New Roman"/>
          <w:bCs/>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
          <w:u w:val="single"/>
          <w:lang w:eastAsia="lt-LT"/>
        </w:rPr>
      </w:pPr>
      <w:r w:rsidRPr="005E1DC0">
        <w:rPr>
          <w:rFonts w:ascii="Times New Roman" w:eastAsia="Times New Roman" w:hAnsi="Times New Roman" w:cs="Times New Roman"/>
          <w:i/>
          <w:u w:val="single"/>
          <w:lang w:eastAsia="lt-LT"/>
        </w:rPr>
        <w:t>Copegus derinys su peginterferonu alfa-2a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
          <w:lang w:eastAsia="lt-LT"/>
        </w:rPr>
      </w:pPr>
      <w:r w:rsidRPr="005E1DC0">
        <w:rPr>
          <w:rFonts w:ascii="Times New Roman" w:eastAsia="Times New Roman" w:hAnsi="Times New Roman" w:cs="Times New Roman"/>
          <w:i/>
          <w:lang w:eastAsia="lt-LT"/>
        </w:rPr>
        <w:t>Atsako nuspėjamumas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Žiūrėkite peginterferono alfa-2a PCS.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lang w:eastAsia="lt-LT"/>
        </w:rPr>
        <w:t xml:space="preserve">Tyrimų rezultatai </w:t>
      </w:r>
      <w:r w:rsidRPr="005E1DC0">
        <w:rPr>
          <w:rFonts w:ascii="Times New Roman" w:eastAsia="Times New Roman" w:hAnsi="Times New Roman" w:cs="Times New Roman"/>
          <w:i/>
          <w:iCs/>
          <w:lang w:eastAsia="lt-LT"/>
        </w:rPr>
        <w:t>gydant dar negydytus pacientus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ir peginterferono alfa-2a derinio efektyvumas ir saugumas nustatytas dviejų centrinių tyrimų (NV15801+NV15942) metu, kai iš viso gydyti 2 405 pacientai. Visiems klinikiniams tyrimams buvo atrinkti interferonu negydyti pacientai, sergantys lėtiniu hepatitu C, kurį patvirtino nustatomos HCV RNR koncentracijos serume, padidėjęs ALT aktyvumas ir kepenų biopsija, rodanti lėtinio hepatito C infekciją atitinkančius pokyčius. Į NR15961 tyrimą buvo įtraukti tik ŽIV-HCV koinfekuoti pacientai (žr. 13 lentelę). Šių pacientų ŽIV infekcija buvo stabili, ir vidutinis CD4 ląstelių skaičius - apie 500 ląstelių/mkl.</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Atliekant NV15801 tyrimą (gydytas 1 121 pacientas), palygintas 48 savaites trukusio gydymo peginterferono alfa-2a (po 180 mkg kartą per savaitę) ir Copegus (po 1000 arba 1200 mg per parą) derinio efektyvumas su peginterferono alfa-2a monoterapijos arba kombinuoto gydymo interferonu alfa-2b ir ribavirinu efektyvumu. Nustatyta, kad peginterferono alfa-2a ir Copegus derinys buvo ryškiai efektyvesnis negu interferono alfa-2b ir ribavirino derinys arba peginterferono alfa-2a monoterapija.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Atliekant NV15942 tyrimą (gydyti 1 284 pacientai), palygintas dviejų gydymo trukmių (24 savaičių ir 48 savaičių) ir dviejų Copegus dozavimo (po 800 mg ir 1000/1200 mg) režimų veiksmingumas.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Apie HCV monoinfekuotų ir ŽIV-HVC koinfekuotų pacientų gydymo režimus, gydymo trukmę ir tyrimo rezultatus žiūrėkite atitinkamai 5, 6, 7 ir 13 lenteles. Virusologinis atsakas apibūdinamas kaip būklė, kai matuojant COBAS AMPLICOR</w:t>
      </w:r>
      <w:r w:rsidRPr="005E1DC0">
        <w:rPr>
          <w:rFonts w:ascii="Times New Roman" w:eastAsia="Times New Roman" w:hAnsi="Times New Roman" w:cs="Times New Roman"/>
          <w:vertAlign w:val="superscript"/>
          <w:lang w:eastAsia="lt-LT"/>
        </w:rPr>
        <w:t>TM</w:t>
      </w:r>
      <w:r w:rsidRPr="005E1DC0">
        <w:rPr>
          <w:rFonts w:ascii="Times New Roman" w:eastAsia="Times New Roman" w:hAnsi="Times New Roman" w:cs="Times New Roman"/>
          <w:lang w:eastAsia="lt-LT"/>
        </w:rPr>
        <w:t xml:space="preserve"> HCV testu, 2,0 variantu (susekimo ribos 100 kopijų/ml, ekvivalentiškų 50 tarptautinių vienetų/ml), HCV RNR neberandama, o ilgalaikis atsakas – kai praėjus maždaug 6 mėnesiams nuo gydymo pabaigos, vienas mėginys būna neigiamas.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tbl>
      <w:tblPr>
        <w:tblW w:w="5000" w:type="pct"/>
        <w:tblLayout w:type="fixed"/>
        <w:tblLook w:val="0000" w:firstRow="0" w:lastRow="0" w:firstColumn="0" w:lastColumn="0" w:noHBand="0" w:noVBand="0"/>
      </w:tblPr>
      <w:tblGrid>
        <w:gridCol w:w="1951"/>
        <w:gridCol w:w="2508"/>
        <w:gridCol w:w="2370"/>
        <w:gridCol w:w="2231"/>
      </w:tblGrid>
      <w:tr w:rsidR="005E1DC0" w:rsidRPr="005E1DC0" w:rsidTr="00BB1B6B">
        <w:trPr>
          <w:trHeight w:val="350"/>
        </w:trPr>
        <w:tc>
          <w:tcPr>
            <w:tcW w:w="5000" w:type="pct"/>
            <w:gridSpan w:val="4"/>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ind w:left="1080" w:hanging="1080"/>
              <w:rPr>
                <w:rFonts w:ascii="Times New Roman" w:eastAsia="Times New Roman" w:hAnsi="Times New Roman" w:cs="Times New Roman"/>
                <w:b/>
                <w:color w:val="000000"/>
                <w:lang w:eastAsia="lt-LT"/>
              </w:rPr>
            </w:pPr>
            <w:r w:rsidRPr="005E1DC0">
              <w:rPr>
                <w:rFonts w:ascii="Times New Roman" w:eastAsia="Times New Roman" w:hAnsi="Times New Roman" w:cs="Times New Roman"/>
                <w:b/>
                <w:lang w:eastAsia="lt-LT"/>
              </w:rPr>
              <w:t>5 lentelė.</w:t>
            </w:r>
            <w:r w:rsidRPr="005E1DC0">
              <w:rPr>
                <w:rFonts w:ascii="Times New Roman" w:eastAsia="Times New Roman" w:hAnsi="Times New Roman" w:cs="Times New Roman"/>
                <w:b/>
                <w:lang w:eastAsia="lt-LT"/>
              </w:rPr>
              <w:tab/>
              <w:t>Visos populiacijos (įskaitant nesergančius ir sergančius kepenų ciroze pacientus) virusologinis atsakas</w:t>
            </w:r>
          </w:p>
        </w:tc>
      </w:tr>
      <w:tr w:rsidR="005E1DC0" w:rsidRPr="005E1DC0" w:rsidTr="00BB1B6B">
        <w:trPr>
          <w:trHeight w:val="350"/>
        </w:trPr>
        <w:tc>
          <w:tcPr>
            <w:tcW w:w="1077"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rPr>
                <w:rFonts w:ascii="Times New Roman" w:eastAsia="Times New Roman" w:hAnsi="Times New Roman" w:cs="Times New Roman"/>
                <w:lang w:eastAsia="lt-LT"/>
              </w:rPr>
            </w:pPr>
          </w:p>
        </w:tc>
        <w:tc>
          <w:tcPr>
            <w:tcW w:w="1384"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b/>
                <w:lang w:eastAsia="lt-LT"/>
              </w:rPr>
            </w:pPr>
            <w:r w:rsidRPr="005E1DC0">
              <w:rPr>
                <w:rFonts w:ascii="Times New Roman" w:eastAsia="Times New Roman" w:hAnsi="Times New Roman" w:cs="Times New Roman"/>
                <w:b/>
                <w:color w:val="000000"/>
                <w:lang w:eastAsia="lt-LT"/>
              </w:rPr>
              <w:t xml:space="preserve"> NV15942 tyrimas</w:t>
            </w:r>
          </w:p>
        </w:tc>
        <w:tc>
          <w:tcPr>
            <w:tcW w:w="2539" w:type="pct"/>
            <w:gridSpan w:val="2"/>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 xml:space="preserve"> NV15801 tyrimas</w:t>
            </w:r>
          </w:p>
          <w:p w:rsidR="005E1DC0" w:rsidRPr="005E1DC0" w:rsidRDefault="005E1DC0" w:rsidP="005E1DC0">
            <w:pPr>
              <w:keepNext/>
              <w:tabs>
                <w:tab w:val="left" w:pos="567"/>
              </w:tabs>
              <w:spacing w:after="0" w:line="240" w:lineRule="auto"/>
              <w:rPr>
                <w:rFonts w:ascii="Times New Roman" w:eastAsia="Times New Roman" w:hAnsi="Times New Roman" w:cs="Times New Roman"/>
                <w:b/>
                <w:lang w:eastAsia="lt-LT"/>
              </w:rPr>
            </w:pPr>
          </w:p>
        </w:tc>
      </w:tr>
      <w:tr w:rsidR="005E1DC0" w:rsidRPr="005E1DC0" w:rsidTr="00BB1B6B">
        <w:tc>
          <w:tcPr>
            <w:tcW w:w="1077"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p>
        </w:tc>
        <w:tc>
          <w:tcPr>
            <w:tcW w:w="1384"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Copegus</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1000/1200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mg</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ir</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lang w:eastAsia="lt-LT"/>
              </w:rPr>
              <w:t>peginterferonas alfa-2a</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180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mkg</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p>
        </w:tc>
        <w:tc>
          <w:tcPr>
            <w:tcW w:w="130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Copegus</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1000/1200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mg</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ir</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lang w:eastAsia="lt-LT"/>
              </w:rPr>
              <w:t>peginterferonas alfa-2a</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color w:val="000000"/>
                <w:lang w:eastAsia="lt-LT"/>
              </w:rPr>
              <w:t>180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mkg</w:t>
            </w:r>
          </w:p>
        </w:tc>
        <w:tc>
          <w:tcPr>
            <w:tcW w:w="123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Ribavirinas</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1000/1200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mg</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 xml:space="preserve">ir </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interferonas alfa-2b</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color w:val="000000"/>
                <w:lang w:eastAsia="lt-LT"/>
              </w:rPr>
              <w:t>3</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milijonai TV</w:t>
            </w:r>
          </w:p>
        </w:tc>
      </w:tr>
      <w:tr w:rsidR="005E1DC0" w:rsidRPr="005E1DC0" w:rsidTr="00BB1B6B">
        <w:tc>
          <w:tcPr>
            <w:tcW w:w="1077"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p>
        </w:tc>
        <w:tc>
          <w:tcPr>
            <w:tcW w:w="1384"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(N = 436)</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color w:val="000000"/>
                <w:lang w:eastAsia="lt-LT"/>
              </w:rPr>
              <w:t>48 savaitės</w:t>
            </w:r>
          </w:p>
        </w:tc>
        <w:tc>
          <w:tcPr>
            <w:tcW w:w="130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(N = 453)</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color w:val="000000"/>
                <w:lang w:eastAsia="lt-LT"/>
              </w:rPr>
              <w:t>48 savaitės</w:t>
            </w:r>
          </w:p>
        </w:tc>
        <w:tc>
          <w:tcPr>
            <w:tcW w:w="123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(N = 444)</w:t>
            </w:r>
          </w:p>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color w:val="000000"/>
                <w:lang w:eastAsia="lt-LT"/>
              </w:rPr>
              <w:t>48 savaitės</w:t>
            </w:r>
          </w:p>
        </w:tc>
      </w:tr>
      <w:tr w:rsidR="005E1DC0" w:rsidRPr="005E1DC0" w:rsidTr="00BB1B6B">
        <w:tc>
          <w:tcPr>
            <w:tcW w:w="1077"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Atsakas baigus gydyti</w:t>
            </w:r>
          </w:p>
        </w:tc>
        <w:tc>
          <w:tcPr>
            <w:tcW w:w="1384"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68 %</w:t>
            </w:r>
          </w:p>
        </w:tc>
        <w:tc>
          <w:tcPr>
            <w:tcW w:w="130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69 %</w:t>
            </w:r>
          </w:p>
        </w:tc>
        <w:tc>
          <w:tcPr>
            <w:tcW w:w="123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color w:val="000000"/>
                <w:lang w:eastAsia="lt-LT"/>
              </w:rPr>
              <w:t>52 %</w:t>
            </w:r>
          </w:p>
        </w:tc>
      </w:tr>
      <w:tr w:rsidR="005E1DC0" w:rsidRPr="005E1DC0" w:rsidTr="00BB1B6B">
        <w:tc>
          <w:tcPr>
            <w:tcW w:w="1077"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Bendrasis tvarus atsakas</w:t>
            </w:r>
          </w:p>
        </w:tc>
        <w:tc>
          <w:tcPr>
            <w:tcW w:w="1384"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color w:val="000000"/>
                <w:lang w:eastAsia="lt-LT"/>
              </w:rPr>
              <w:t>63 %</w:t>
            </w:r>
          </w:p>
        </w:tc>
        <w:tc>
          <w:tcPr>
            <w:tcW w:w="130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54 %*</w:t>
            </w:r>
          </w:p>
        </w:tc>
        <w:tc>
          <w:tcPr>
            <w:tcW w:w="123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tabs>
                <w:tab w:val="left" w:pos="567"/>
              </w:tabs>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color w:val="000000"/>
                <w:lang w:eastAsia="lt-LT"/>
              </w:rPr>
              <w:t>45 %*</w:t>
            </w:r>
          </w:p>
        </w:tc>
      </w:tr>
      <w:tr w:rsidR="005E1DC0" w:rsidRPr="005E1DC0" w:rsidTr="00BB1B6B">
        <w:tc>
          <w:tcPr>
            <w:tcW w:w="5000" w:type="pct"/>
            <w:gridSpan w:val="4"/>
            <w:tcBorders>
              <w:top w:val="single" w:sz="4" w:space="0" w:color="auto"/>
            </w:tcBorders>
          </w:tcPr>
          <w:p w:rsidR="005E1DC0" w:rsidRPr="005E1DC0" w:rsidRDefault="005E1DC0" w:rsidP="005E1DC0">
            <w:pPr>
              <w:keepNext/>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*skirtumo 95 % pasikliautinasis intervalas - nuo 3 % iki 16 </w:t>
            </w:r>
            <w:r w:rsidRPr="005E1DC0">
              <w:rPr>
                <w:rFonts w:ascii="Times New Roman" w:eastAsia="Times New Roman" w:hAnsi="Times New Roman" w:cs="Times New Roman"/>
                <w:lang w:eastAsia="lt-LT"/>
              </w:rPr>
              <w:t>% </w:t>
            </w:r>
            <w:r w:rsidRPr="005E1DC0">
              <w:rPr>
                <w:rFonts w:ascii="Times New Roman" w:eastAsia="Calibri" w:hAnsi="Times New Roman" w:cs="Times New Roman"/>
                <w:lang w:eastAsia="lt-LT"/>
              </w:rPr>
              <w:t xml:space="preserve">, p reikšmė (stratifikuotas </w:t>
            </w:r>
            <w:r w:rsidRPr="005E1DC0">
              <w:rPr>
                <w:rFonts w:ascii="Times New Roman" w:eastAsia="Calibri" w:hAnsi="Times New Roman" w:cs="Times New Roman"/>
                <w:i/>
                <w:lang w:eastAsia="lt-LT"/>
              </w:rPr>
              <w:t>Cochran-Mantel-Haenszel</w:t>
            </w:r>
            <w:r w:rsidRPr="005E1DC0">
              <w:rPr>
                <w:rFonts w:ascii="Times New Roman" w:eastAsia="Calibri" w:hAnsi="Times New Roman" w:cs="Times New Roman"/>
                <w:lang w:eastAsia="lt-LT"/>
              </w:rPr>
              <w:t xml:space="preserve"> testas) = 0,003</w:t>
            </w:r>
          </w:p>
        </w:tc>
      </w:tr>
    </w:tbl>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HCV monoinfekuotų pacientų, gydytų Copegus ir peginterferono alfa-2a deriniu, virusologinio atsako, atsižvelgiant į genotipą ir prieš gydymą esančią viremiją, taip pat atsižvelgiant į genotipą, prieš gydymą esančią viremiją ir greitą virusologinį atsaką 4</w:t>
      </w:r>
      <w:r w:rsidRPr="005E1DC0">
        <w:rPr>
          <w:rFonts w:ascii="Times New Roman" w:eastAsia="Times New Roman" w:hAnsi="Times New Roman" w:cs="Times New Roman"/>
          <w:lang w:eastAsia="lt-LT"/>
        </w:rPr>
        <w:noBreakHyphen/>
        <w:t>ąją savaitę, apibendrinimas pateiktas, atitinkamai, 6 ir 7 lentelėje. NV15942 tyrimo rezultatai suteikia loginį pagrindą rekomenduojamiems gydymo, atsižvelgiant į genotipą, pradinę viremiją ir virusologinį atsaką 4</w:t>
      </w:r>
      <w:r w:rsidRPr="005E1DC0">
        <w:rPr>
          <w:rFonts w:ascii="Times New Roman" w:eastAsia="Times New Roman" w:hAnsi="Times New Roman" w:cs="Times New Roman"/>
          <w:lang w:eastAsia="lt-LT"/>
        </w:rPr>
        <w:noBreakHyphen/>
        <w:t>ąją savaitę, režimams (žr. 1, 6 ir 7 lenteles).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Esanti arba nesanti cirozė apskritai neturėjo įtakos gydymo režimų skirtumui; dėl to, kai yra 1, 2 ar 3 virusų genotipas, gydymo rekomendacijos nuo šios charakteristikos pradinio lygmens nepriklauso.</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tbl>
      <w:tblPr>
        <w:tblW w:w="5019" w:type="pct"/>
        <w:tblLayout w:type="fixed"/>
        <w:tblLook w:val="0000" w:firstRow="0" w:lastRow="0" w:firstColumn="0" w:lastColumn="0" w:noHBand="0" w:noVBand="0"/>
      </w:tblPr>
      <w:tblGrid>
        <w:gridCol w:w="1390"/>
        <w:gridCol w:w="1210"/>
        <w:gridCol w:w="1235"/>
        <w:gridCol w:w="1251"/>
        <w:gridCol w:w="1350"/>
        <w:gridCol w:w="1239"/>
        <w:gridCol w:w="1419"/>
      </w:tblGrid>
      <w:tr w:rsidR="005E1DC0" w:rsidRPr="005E1DC0" w:rsidTr="00BB1B6B">
        <w:tc>
          <w:tcPr>
            <w:tcW w:w="5000" w:type="pct"/>
            <w:gridSpan w:val="7"/>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ind w:left="999" w:hanging="999"/>
              <w:rPr>
                <w:rFonts w:ascii="Times New Roman" w:eastAsia="Times New Roman" w:hAnsi="Times New Roman" w:cs="Times New Roman"/>
                <w:b/>
                <w:color w:val="000000"/>
                <w:lang w:eastAsia="lt-LT"/>
              </w:rPr>
            </w:pPr>
            <w:r w:rsidRPr="005E1DC0">
              <w:rPr>
                <w:rFonts w:ascii="Times New Roman" w:eastAsia="Times New Roman" w:hAnsi="Times New Roman" w:cs="Times New Roman"/>
                <w:b/>
                <w:lang w:eastAsia="lt-LT"/>
              </w:rPr>
              <w:t>6 lentelė.</w:t>
            </w:r>
            <w:r w:rsidRPr="005E1DC0">
              <w:rPr>
                <w:rFonts w:ascii="Times New Roman" w:eastAsia="Times New Roman" w:hAnsi="Times New Roman" w:cs="Times New Roman"/>
                <w:b/>
                <w:lang w:eastAsia="lt-LT"/>
              </w:rPr>
              <w:tab/>
              <w:t xml:space="preserve">Ilgalaikis virusologinis atsakas, atsižvelgiant į genotipą ir prieš gydymą esančios viremijos dydį, po gydymo Copegus ir </w:t>
            </w:r>
            <w:r w:rsidRPr="005E1DC0">
              <w:rPr>
                <w:rFonts w:ascii="Times New Roman" w:eastAsia="Times New Roman" w:hAnsi="Times New Roman" w:cs="Times New Roman"/>
                <w:b/>
                <w:bCs/>
                <w:lang w:eastAsia="lt-LT"/>
              </w:rPr>
              <w:t>peginterferono alfa-2a deriniu</w:t>
            </w:r>
          </w:p>
        </w:tc>
      </w:tr>
      <w:tr w:rsidR="005E1DC0" w:rsidRPr="005E1DC0" w:rsidTr="00BB1B6B">
        <w:tc>
          <w:tcPr>
            <w:tcW w:w="7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lang w:eastAsia="lt-LT"/>
              </w:rPr>
            </w:pPr>
          </w:p>
        </w:tc>
        <w:tc>
          <w:tcPr>
            <w:tcW w:w="2774" w:type="pct"/>
            <w:gridSpan w:val="4"/>
            <w:tcBorders>
              <w:top w:val="single" w:sz="4" w:space="0" w:color="auto"/>
              <w:left w:val="single" w:sz="4" w:space="0" w:color="auto"/>
              <w:bottom w:val="single" w:sz="4" w:space="0" w:color="auto"/>
              <w:right w:val="single" w:sz="4" w:space="0" w:color="auto"/>
            </w:tcBorders>
          </w:tcPr>
          <w:p w:rsidR="005E1DC0" w:rsidRPr="005E1DC0" w:rsidRDefault="005E1DC0" w:rsidP="005E1DC0">
            <w:pPr>
              <w:tabs>
                <w:tab w:val="left" w:pos="567"/>
              </w:tabs>
              <w:spacing w:after="0" w:line="240" w:lineRule="auto"/>
              <w:jc w:val="center"/>
              <w:outlineLvl w:val="8"/>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NV15942 tyrimas</w:t>
            </w:r>
          </w:p>
        </w:tc>
        <w:tc>
          <w:tcPr>
            <w:tcW w:w="1461" w:type="pct"/>
            <w:gridSpan w:val="2"/>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NV15801 tyrimas</w:t>
            </w:r>
          </w:p>
        </w:tc>
      </w:tr>
      <w:tr w:rsidR="005E1DC0" w:rsidRPr="005E1DC0" w:rsidTr="00BB1B6B">
        <w:tc>
          <w:tcPr>
            <w:tcW w:w="7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lang w:eastAsia="lt-LT"/>
              </w:rPr>
            </w:pP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b/>
                <w:color w:val="000000"/>
                <w:lang w:eastAsia="lt-LT"/>
              </w:rPr>
              <w:t>Copegus</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800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ir</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PEG-IFN alfa-2a</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180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mkg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color w:val="000000"/>
                <w:lang w:eastAsia="lt-LT"/>
              </w:rPr>
              <w:t>24 savaitės</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lang w:eastAsia="lt-LT"/>
              </w:rPr>
            </w:pPr>
          </w:p>
        </w:tc>
        <w:tc>
          <w:tcPr>
            <w:tcW w:w="67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Copegus</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1000/ 1200 mg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ir</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PEG-IFN alfa-2a</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180</w:t>
            </w:r>
            <w:r w:rsidRPr="005E1DC0">
              <w:rPr>
                <w:rFonts w:ascii="Times New Roman" w:eastAsia="Times New Roman" w:hAnsi="Times New Roman" w:cs="Times New Roman"/>
                <w:lang w:eastAsia="lt-LT"/>
              </w:rPr>
              <w:t> mk</w:t>
            </w:r>
            <w:r w:rsidRPr="005E1DC0">
              <w:rPr>
                <w:rFonts w:ascii="Times New Roman" w:eastAsia="Times New Roman" w:hAnsi="Times New Roman" w:cs="Times New Roman"/>
                <w:color w:val="000000"/>
                <w:lang w:eastAsia="lt-LT"/>
              </w:rPr>
              <w:t>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lang w:eastAsia="lt-LT"/>
              </w:rPr>
            </w:pPr>
            <w:r w:rsidRPr="005E1DC0">
              <w:rPr>
                <w:rFonts w:ascii="Times New Roman" w:eastAsia="Times New Roman" w:hAnsi="Times New Roman" w:cs="Times New Roman"/>
                <w:color w:val="000000"/>
                <w:lang w:eastAsia="lt-LT"/>
              </w:rPr>
              <w:t>24 savaitės</w:t>
            </w:r>
          </w:p>
        </w:tc>
        <w:tc>
          <w:tcPr>
            <w:tcW w:w="68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b/>
                <w:color w:val="000000"/>
                <w:lang w:eastAsia="lt-LT"/>
              </w:rPr>
              <w:t>Copegus</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800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ir</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PEG-IFN alfa-2a</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180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mkg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48 savaitės</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lang w:eastAsia="lt-LT"/>
              </w:rPr>
            </w:pPr>
          </w:p>
        </w:tc>
        <w:tc>
          <w:tcPr>
            <w:tcW w:w="742"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Copegus</w:t>
            </w:r>
          </w:p>
          <w:p w:rsidR="005E1DC0" w:rsidRPr="005E1DC0" w:rsidRDefault="005E1DC0" w:rsidP="005E1DC0">
            <w:pPr>
              <w:keepNext/>
              <w:keepLine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1000/1200 mg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ir</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 xml:space="preserve">PEG-IFN </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alfa-2a</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180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mkg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48 savaitės</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lang w:eastAsia="lt-LT"/>
              </w:rPr>
            </w:pPr>
          </w:p>
        </w:tc>
        <w:tc>
          <w:tcPr>
            <w:tcW w:w="68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Copegus</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1000/ 1200 mg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ir</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PEG-IFN alfa-2a</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color w:val="000000"/>
                <w:lang w:eastAsia="lt-LT"/>
              </w:rPr>
              <w:t>180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mkg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48 savaitės</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lang w:eastAsia="lt-LT"/>
              </w:rPr>
            </w:pPr>
          </w:p>
        </w:tc>
        <w:tc>
          <w:tcPr>
            <w:tcW w:w="77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Ribavirinas</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1000/1200</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color w:val="000000"/>
                <w:lang w:eastAsia="lt-LT"/>
              </w:rPr>
              <w:t>mg</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ir</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interferonas</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b/>
                <w:color w:val="000000"/>
                <w:lang w:eastAsia="lt-LT"/>
              </w:rPr>
            </w:pPr>
            <w:r w:rsidRPr="005E1DC0">
              <w:rPr>
                <w:rFonts w:ascii="Times New Roman" w:eastAsia="Times New Roman" w:hAnsi="Times New Roman" w:cs="Times New Roman"/>
                <w:b/>
                <w:color w:val="000000"/>
                <w:lang w:eastAsia="lt-LT"/>
              </w:rPr>
              <w:t>alfa-2b</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3</w:t>
            </w:r>
            <w:r w:rsidRPr="005E1DC0">
              <w:rPr>
                <w:rFonts w:ascii="Times New Roman" w:eastAsia="Times New Roman" w:hAnsi="Times New Roman" w:cs="Times New Roman"/>
                <w:lang w:eastAsia="lt-LT"/>
              </w:rPr>
              <w:t> mln</w:t>
            </w:r>
            <w:r w:rsidRPr="005E1DC0">
              <w:rPr>
                <w:rFonts w:ascii="Times New Roman" w:eastAsia="Times New Roman" w:hAnsi="Times New Roman" w:cs="Times New Roman"/>
                <w:color w:val="000000"/>
                <w:lang w:eastAsia="lt-LT"/>
              </w:rPr>
              <w:t xml:space="preserve"> TV</w:t>
            </w: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p>
          <w:p w:rsidR="005E1DC0" w:rsidRPr="005E1DC0" w:rsidRDefault="005E1DC0" w:rsidP="005E1DC0">
            <w:pPr>
              <w:keepNext/>
              <w:keepLines/>
              <w:tabs>
                <w:tab w:val="left" w:pos="567"/>
              </w:tabs>
              <w:spacing w:after="0" w:line="240" w:lineRule="auto"/>
              <w:jc w:val="center"/>
              <w:rPr>
                <w:rFonts w:ascii="Times New Roman" w:eastAsia="Times New Roman" w:hAnsi="Times New Roman" w:cs="Times New Roman"/>
                <w:color w:val="000000"/>
                <w:lang w:eastAsia="lt-LT"/>
              </w:rPr>
            </w:pPr>
            <w:r w:rsidRPr="005E1DC0">
              <w:rPr>
                <w:rFonts w:ascii="Times New Roman" w:eastAsia="Times New Roman" w:hAnsi="Times New Roman" w:cs="Times New Roman"/>
                <w:color w:val="000000"/>
                <w:lang w:eastAsia="lt-LT"/>
              </w:rPr>
              <w:t>48 savaitės</w:t>
            </w:r>
          </w:p>
          <w:p w:rsidR="005E1DC0" w:rsidRPr="005E1DC0" w:rsidRDefault="005E1DC0" w:rsidP="005E1DC0">
            <w:pPr>
              <w:keepNext/>
              <w:keepLines/>
              <w:tabs>
                <w:tab w:val="left" w:pos="567"/>
              </w:tabs>
              <w:spacing w:after="0" w:line="240" w:lineRule="auto"/>
              <w:ind w:firstLine="34"/>
              <w:jc w:val="center"/>
              <w:rPr>
                <w:rFonts w:ascii="Times New Roman" w:eastAsia="Times New Roman" w:hAnsi="Times New Roman" w:cs="Times New Roman"/>
                <w:b/>
                <w:lang w:eastAsia="lt-LT"/>
              </w:rPr>
            </w:pPr>
          </w:p>
        </w:tc>
      </w:tr>
      <w:tr w:rsidR="005E1DC0" w:rsidRPr="005E1DC0" w:rsidTr="00BB1B6B">
        <w:tc>
          <w:tcPr>
            <w:tcW w:w="7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Genotipas 1</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Neryški viremija</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Ryški viremija</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29 % (29/101)</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41 % (21/51)</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16 % (8/50)</w:t>
            </w:r>
          </w:p>
        </w:tc>
        <w:tc>
          <w:tcPr>
            <w:tcW w:w="67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42 % (49/118)</w:t>
            </w:r>
            <w:r w:rsidRPr="005E1DC0">
              <w:rPr>
                <w:rFonts w:ascii="Times New Roman" w:eastAsia="Times New Roman" w:hAnsi="Times New Roman" w:cs="Times New Roman"/>
                <w:color w:val="000000"/>
                <w:lang w:eastAsia="lt-LT"/>
              </w:rPr>
              <w:t>†</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52 % (37/71)</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26 % (12/47)</w:t>
            </w:r>
          </w:p>
        </w:tc>
        <w:tc>
          <w:tcPr>
            <w:tcW w:w="68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41 % (102/250)*</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55 % (33/60)</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36 %</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(69/190)</w:t>
            </w:r>
          </w:p>
        </w:tc>
        <w:tc>
          <w:tcPr>
            <w:tcW w:w="742"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lang w:eastAsia="lt-LT"/>
              </w:rPr>
              <w:t>52 %</w:t>
            </w:r>
            <w:r w:rsidRPr="005E1DC0">
              <w:rPr>
                <w:rFonts w:ascii="Times New Roman" w:eastAsia="Times New Roman" w:hAnsi="Times New Roman" w:cs="Times New Roman"/>
                <w:lang w:eastAsia="lt-LT"/>
              </w:rPr>
              <w:t xml:space="preserve"> (142/271)*</w:t>
            </w:r>
            <w:r w:rsidRPr="005E1DC0">
              <w:rPr>
                <w:rFonts w:ascii="Times New Roman" w:eastAsia="Times New Roman" w:hAnsi="Times New Roman" w:cs="Times New Roman"/>
                <w:color w:val="000000"/>
                <w:lang w:eastAsia="lt-LT"/>
              </w:rPr>
              <w:t>†</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lang w:eastAsia="lt-LT"/>
              </w:rPr>
              <w:t>65 %</w:t>
            </w:r>
            <w:r w:rsidRPr="005E1DC0">
              <w:rPr>
                <w:rFonts w:ascii="Times New Roman" w:eastAsia="Times New Roman" w:hAnsi="Times New Roman" w:cs="Times New Roman"/>
                <w:lang w:eastAsia="lt-LT"/>
              </w:rPr>
              <w:t xml:space="preserve"> (55/85)</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lang w:eastAsia="lt-LT"/>
              </w:rPr>
              <w:t>47 %</w:t>
            </w:r>
            <w:r w:rsidRPr="005E1DC0">
              <w:rPr>
                <w:rFonts w:ascii="Times New Roman" w:eastAsia="Times New Roman" w:hAnsi="Times New Roman" w:cs="Times New Roman"/>
                <w:lang w:eastAsia="lt-LT"/>
              </w:rPr>
              <w:t xml:space="preserve"> (87/186)</w:t>
            </w:r>
          </w:p>
        </w:tc>
        <w:tc>
          <w:tcPr>
            <w:tcW w:w="68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45 % (134/298)</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53 % (61/115)</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40 % (73/182)</w:t>
            </w:r>
          </w:p>
        </w:tc>
        <w:tc>
          <w:tcPr>
            <w:tcW w:w="77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36 % (103/285)</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44 % (41/94)</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33 % (62/189)</w:t>
            </w:r>
          </w:p>
        </w:tc>
      </w:tr>
      <w:tr w:rsidR="005E1DC0" w:rsidRPr="005E1DC0" w:rsidTr="00BB1B6B">
        <w:tc>
          <w:tcPr>
            <w:tcW w:w="7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Genotipas 2 arba 3</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Neryški viremija</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Ryški viremija</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lang w:eastAsia="lt-LT"/>
              </w:rPr>
              <w:t>84 %</w:t>
            </w:r>
            <w:r w:rsidRPr="005E1DC0">
              <w:rPr>
                <w:rFonts w:ascii="Times New Roman" w:eastAsia="Times New Roman" w:hAnsi="Times New Roman" w:cs="Times New Roman"/>
                <w:lang w:eastAsia="lt-LT"/>
              </w:rPr>
              <w:t xml:space="preserve"> (81/96)</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lang w:eastAsia="lt-LT"/>
              </w:rPr>
              <w:t>85 %</w:t>
            </w:r>
            <w:r w:rsidRPr="005E1DC0">
              <w:rPr>
                <w:rFonts w:ascii="Times New Roman" w:eastAsia="Times New Roman" w:hAnsi="Times New Roman" w:cs="Times New Roman"/>
                <w:lang w:eastAsia="lt-LT"/>
              </w:rPr>
              <w:t xml:space="preserve"> (29/34)</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
                <w:lang w:eastAsia="lt-LT"/>
              </w:rPr>
              <w:t>84 %</w:t>
            </w:r>
            <w:r w:rsidRPr="005E1DC0">
              <w:rPr>
                <w:rFonts w:ascii="Times New Roman" w:eastAsia="Times New Roman" w:hAnsi="Times New Roman" w:cs="Times New Roman"/>
                <w:lang w:eastAsia="lt-LT"/>
              </w:rPr>
              <w:t xml:space="preserve"> (52/62)</w:t>
            </w:r>
          </w:p>
        </w:tc>
        <w:tc>
          <w:tcPr>
            <w:tcW w:w="67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81 % (117/144)</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83 % (39/47)</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80 % (78/97)</w:t>
            </w:r>
          </w:p>
        </w:tc>
        <w:tc>
          <w:tcPr>
            <w:tcW w:w="68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79 % (78/99)</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88 % (29/33)</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74 % (49/66)</w:t>
            </w:r>
          </w:p>
        </w:tc>
        <w:tc>
          <w:tcPr>
            <w:tcW w:w="742"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80 % (123/153)</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77 % (37/48)</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82 % (86/105)</w:t>
            </w:r>
          </w:p>
        </w:tc>
        <w:tc>
          <w:tcPr>
            <w:tcW w:w="68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71 % (100/140)</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76 % (28/37)</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70 % (72/103)</w:t>
            </w:r>
          </w:p>
        </w:tc>
        <w:tc>
          <w:tcPr>
            <w:tcW w:w="77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61 % (88/145)</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65 % (34/52)</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58 % (54/93)</w:t>
            </w:r>
          </w:p>
        </w:tc>
      </w:tr>
      <w:tr w:rsidR="005E1DC0" w:rsidRPr="005E1DC0" w:rsidTr="00BB1B6B">
        <w:tc>
          <w:tcPr>
            <w:tcW w:w="7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Genotipas 4</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tc>
        <w:tc>
          <w:tcPr>
            <w:tcW w:w="665"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0 % (0/5)</w:t>
            </w:r>
          </w:p>
        </w:tc>
        <w:tc>
          <w:tcPr>
            <w:tcW w:w="67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67 % (8/12)</w:t>
            </w:r>
          </w:p>
        </w:tc>
        <w:tc>
          <w:tcPr>
            <w:tcW w:w="688"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63 % (5/8)</w:t>
            </w:r>
          </w:p>
        </w:tc>
        <w:tc>
          <w:tcPr>
            <w:tcW w:w="742"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82 % (9/11)</w:t>
            </w:r>
          </w:p>
        </w:tc>
        <w:tc>
          <w:tcPr>
            <w:tcW w:w="681"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77 % (10/13)</w:t>
            </w:r>
          </w:p>
        </w:tc>
        <w:tc>
          <w:tcPr>
            <w:tcW w:w="779" w:type="pct"/>
            <w:tcBorders>
              <w:top w:val="single" w:sz="4" w:space="0" w:color="auto"/>
              <w:left w:val="single" w:sz="4" w:space="0" w:color="auto"/>
              <w:bottom w:val="single" w:sz="4" w:space="0" w:color="auto"/>
              <w:right w:val="single" w:sz="4" w:space="0" w:color="auto"/>
            </w:tcBorders>
          </w:tcPr>
          <w:p w:rsidR="005E1DC0" w:rsidRPr="005E1DC0" w:rsidRDefault="005E1DC0" w:rsidP="005E1DC0">
            <w:pPr>
              <w:keepNext/>
              <w:keepLines/>
              <w:tabs>
                <w:tab w:val="left" w:pos="567"/>
              </w:tabs>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45 % (5/11)</w:t>
            </w:r>
          </w:p>
        </w:tc>
      </w:tr>
    </w:tbl>
    <w:p w:rsidR="005E1DC0" w:rsidRPr="005E1DC0" w:rsidRDefault="005E1DC0" w:rsidP="005E1DC0">
      <w:pPr>
        <w:tabs>
          <w:tab w:val="left" w:pos="567"/>
        </w:tabs>
        <w:spacing w:after="0" w:line="240" w:lineRule="auto"/>
        <w:ind w:left="142" w:hanging="142"/>
        <w:rPr>
          <w:rFonts w:ascii="Times New Roman" w:eastAsia="Calibri" w:hAnsi="Times New Roman" w:cs="Times New Roman"/>
          <w:lang w:eastAsia="lt-LT"/>
        </w:rPr>
      </w:pPr>
      <w:r w:rsidRPr="005E1DC0">
        <w:rPr>
          <w:rFonts w:ascii="Times New Roman" w:eastAsia="Calibri" w:hAnsi="Times New Roman" w:cs="Times New Roman"/>
          <w:lang w:eastAsia="lt-LT"/>
        </w:rPr>
        <w:t>Neryški viremija = ≤ 800000 TV/ml; ryški viremija = &gt; 800000 TV/ml.</w:t>
      </w:r>
    </w:p>
    <w:p w:rsidR="005E1DC0" w:rsidRPr="005E1DC0" w:rsidRDefault="005E1DC0" w:rsidP="005E1DC0">
      <w:pPr>
        <w:tabs>
          <w:tab w:val="left" w:pos="567"/>
        </w:tabs>
        <w:spacing w:after="0" w:line="240" w:lineRule="auto"/>
        <w:ind w:left="142" w:hanging="142"/>
        <w:rPr>
          <w:rFonts w:ascii="Times New Roman" w:eastAsia="Calibri" w:hAnsi="Times New Roman" w:cs="Times New Roman"/>
          <w:lang w:eastAsia="lt-LT"/>
        </w:rPr>
      </w:pPr>
      <w:r w:rsidRPr="005E1DC0">
        <w:rPr>
          <w:rFonts w:ascii="Times New Roman" w:eastAsia="Calibri" w:hAnsi="Times New Roman" w:cs="Times New Roman"/>
          <w:lang w:eastAsia="lt-LT"/>
        </w:rPr>
        <w:t xml:space="preserve">*Copegus 1000/1200 mg + peginterferono alfa-2a 180 mkg 48 savaites, palyginti su Copegus 800 mg + peginterferono alfa-2a 180 mkg 48 savaites: pranašumo santykis (esant 95 % PI) </w:t>
      </w:r>
      <w:r w:rsidRPr="005E1DC0">
        <w:rPr>
          <w:rFonts w:ascii="Times New Roman" w:eastAsia="Calibri" w:hAnsi="Times New Roman" w:cs="Times New Roman"/>
          <w:color w:val="000000"/>
          <w:lang w:eastAsia="lt-LT"/>
        </w:rPr>
        <w:t xml:space="preserve">= 1,52 (1,07-2,17); </w:t>
      </w:r>
      <w:r w:rsidRPr="005E1DC0">
        <w:rPr>
          <w:rFonts w:ascii="Times New Roman" w:eastAsia="Calibri" w:hAnsi="Times New Roman" w:cs="Times New Roman"/>
          <w:i/>
          <w:lang w:eastAsia="lt-LT"/>
        </w:rPr>
        <w:t>p</w:t>
      </w:r>
      <w:r w:rsidRPr="005E1DC0">
        <w:rPr>
          <w:rFonts w:ascii="Times New Roman" w:eastAsia="Calibri" w:hAnsi="Times New Roman" w:cs="Times New Roman"/>
          <w:lang w:eastAsia="lt-LT"/>
        </w:rPr>
        <w:t xml:space="preserve"> reikšmė (stratifikuotas </w:t>
      </w:r>
      <w:r w:rsidRPr="005E1DC0">
        <w:rPr>
          <w:rFonts w:ascii="Times New Roman" w:eastAsia="Calibri" w:hAnsi="Times New Roman" w:cs="Times New Roman"/>
          <w:i/>
          <w:lang w:eastAsia="lt-LT"/>
        </w:rPr>
        <w:t>Cochran-Mantel-Haenszel</w:t>
      </w:r>
      <w:r w:rsidRPr="005E1DC0">
        <w:rPr>
          <w:rFonts w:ascii="Times New Roman" w:eastAsia="Calibri" w:hAnsi="Times New Roman" w:cs="Times New Roman"/>
          <w:lang w:eastAsia="lt-LT"/>
        </w:rPr>
        <w:t xml:space="preserve"> testas) = 0,020.</w:t>
      </w:r>
    </w:p>
    <w:p w:rsidR="005E1DC0" w:rsidRPr="005E1DC0" w:rsidRDefault="005E1DC0" w:rsidP="005E1DC0">
      <w:pPr>
        <w:tabs>
          <w:tab w:val="left" w:pos="567"/>
        </w:tabs>
        <w:spacing w:after="0" w:line="240" w:lineRule="auto"/>
        <w:ind w:left="142" w:hanging="142"/>
        <w:rPr>
          <w:rFonts w:ascii="Times New Roman" w:eastAsia="Calibri" w:hAnsi="Times New Roman" w:cs="Times New Roman"/>
          <w:lang w:eastAsia="lt-LT"/>
        </w:rPr>
      </w:pPr>
      <w:r w:rsidRPr="005E1DC0">
        <w:rPr>
          <w:rFonts w:ascii="Times New Roman" w:eastAsia="Calibri" w:hAnsi="Times New Roman" w:cs="Times New Roman"/>
          <w:color w:val="000000"/>
          <w:lang w:eastAsia="lt-LT"/>
        </w:rPr>
        <w:t>†</w:t>
      </w:r>
      <w:r w:rsidRPr="005E1DC0">
        <w:rPr>
          <w:rFonts w:ascii="Times New Roman" w:eastAsia="Calibri" w:hAnsi="Times New Roman" w:cs="Times New Roman"/>
          <w:lang w:eastAsia="lt-LT"/>
        </w:rPr>
        <w:t xml:space="preserve">Copegus 1000/1200 mg + peginterferono alfa-2a 180 mkg 48 savaites, palyginti su Copegus 1000/1200 mg + peginterferono alfa-2a 180 mkg 24 savaites: pranašumo santykis (esant 95 % PI) </w:t>
      </w:r>
      <w:r w:rsidRPr="005E1DC0">
        <w:rPr>
          <w:rFonts w:ascii="Times New Roman" w:eastAsia="Calibri" w:hAnsi="Times New Roman" w:cs="Times New Roman"/>
          <w:color w:val="000000"/>
          <w:lang w:eastAsia="lt-LT"/>
        </w:rPr>
        <w:t xml:space="preserve">= 2,12 (1,30-3,46); </w:t>
      </w:r>
      <w:r w:rsidRPr="005E1DC0">
        <w:rPr>
          <w:rFonts w:ascii="Times New Roman" w:eastAsia="Calibri" w:hAnsi="Times New Roman" w:cs="Times New Roman"/>
          <w:i/>
          <w:lang w:eastAsia="lt-LT"/>
        </w:rPr>
        <w:t>p</w:t>
      </w:r>
      <w:r w:rsidRPr="005E1DC0">
        <w:rPr>
          <w:rFonts w:ascii="Times New Roman" w:eastAsia="Calibri" w:hAnsi="Times New Roman" w:cs="Times New Roman"/>
          <w:lang w:eastAsia="lt-LT"/>
        </w:rPr>
        <w:t xml:space="preserve"> reikšmė (stratifikuotas </w:t>
      </w:r>
      <w:r w:rsidRPr="005E1DC0">
        <w:rPr>
          <w:rFonts w:ascii="Times New Roman" w:eastAsia="Calibri" w:hAnsi="Times New Roman" w:cs="Times New Roman"/>
          <w:i/>
          <w:lang w:eastAsia="lt-LT"/>
        </w:rPr>
        <w:t>Cochran-Mantel-Haenszel</w:t>
      </w:r>
      <w:r w:rsidRPr="005E1DC0">
        <w:rPr>
          <w:rFonts w:ascii="Times New Roman" w:eastAsia="Calibri" w:hAnsi="Times New Roman" w:cs="Times New Roman"/>
          <w:lang w:eastAsia="lt-LT"/>
        </w:rPr>
        <w:t xml:space="preserve"> testas) = 0,002.</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Galimybė svarstyti gydymo sutrumpinimą iki 24 savaičių genotipų 1 ir 4 virusais infekuotiems pacientams nagrinėta, remiantis NV15942 ir ML17131 tyrimų metu pastebėtu ilgai išliekančiu greitu virusologiniu atsaku, nustatytu 4</w:t>
      </w:r>
      <w:r w:rsidRPr="005E1DC0">
        <w:rPr>
          <w:rFonts w:ascii="Times New Roman" w:eastAsia="Times New Roman" w:hAnsi="Times New Roman" w:cs="Times New Roman"/>
          <w:lang w:eastAsia="lt-LT"/>
        </w:rPr>
        <w:noBreakHyphen/>
        <w:t>ąją savaitę (žr. 7 lentelę).</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1080" w:hanging="1080"/>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lastRenderedPageBreak/>
        <w:t>7 lentelė.</w:t>
      </w:r>
      <w:r w:rsidRPr="005E1DC0">
        <w:rPr>
          <w:rFonts w:ascii="Times New Roman" w:eastAsia="Times New Roman" w:hAnsi="Times New Roman" w:cs="Times New Roman"/>
          <w:b/>
          <w:bCs/>
          <w:lang w:eastAsia="lt-LT"/>
        </w:rPr>
        <w:tab/>
        <w:t>Ilgalaikis virusologinis atsakas po pacientų, infekuotų genotipo 1 ir 4 HCV, gydymo Copegus ir peginterferono alfa-2a deriniu, atsižvelgiant į greitą virusologinį atsaką 4</w:t>
      </w:r>
      <w:r w:rsidRPr="005E1DC0">
        <w:rPr>
          <w:rFonts w:ascii="Times New Roman" w:eastAsia="Times New Roman" w:hAnsi="Times New Roman" w:cs="Times New Roman"/>
          <w:b/>
          <w:bCs/>
          <w:lang w:eastAsia="lt-LT"/>
        </w:rPr>
        <w:noBreakHyphen/>
        <w:t>ąją savaitę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6"/>
        <w:gridCol w:w="2334"/>
        <w:gridCol w:w="2334"/>
        <w:gridCol w:w="2366"/>
      </w:tblGrid>
      <w:tr w:rsidR="005E1DC0" w:rsidRPr="005E1DC0" w:rsidTr="00BB1B6B">
        <w:tc>
          <w:tcPr>
            <w:tcW w:w="3694" w:type="pct"/>
            <w:gridSpan w:val="3"/>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 xml:space="preserve">                                         NV15942 tyrimas</w:t>
            </w:r>
          </w:p>
        </w:tc>
        <w:tc>
          <w:tcPr>
            <w:tcW w:w="1306"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ML17131 tyrimas</w:t>
            </w:r>
          </w:p>
        </w:tc>
      </w:tr>
      <w:tr w:rsidR="005E1DC0" w:rsidRPr="005E1DC0" w:rsidTr="00BB1B6B">
        <w:tc>
          <w:tcPr>
            <w:tcW w:w="111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p>
        </w:tc>
        <w:tc>
          <w:tcPr>
            <w:tcW w:w="128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Copegus</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1000/1200 mg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ir</w:t>
            </w:r>
          </w:p>
          <w:p w:rsidR="005E1DC0" w:rsidRPr="005E1DC0" w:rsidRDefault="005E1DC0" w:rsidP="005E1DC0">
            <w:pPr>
              <w:keepNext/>
              <w:tabs>
                <w:tab w:val="left" w:pos="567"/>
              </w:tabs>
              <w:autoSpaceDE w:val="0"/>
              <w:autoSpaceDN w:val="0"/>
              <w:adjustRightInd w:val="0"/>
              <w:spacing w:after="0" w:line="240" w:lineRule="auto"/>
              <w:ind w:firstLine="57"/>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 xml:space="preserve"> peginterferonas alfa-2a</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5E1DC0">
              <w:rPr>
                <w:rFonts w:ascii="Times New Roman" w:eastAsia="Calibri" w:hAnsi="Times New Roman" w:cs="Times New Roman"/>
                <w:lang w:val="it-IT" w:eastAsia="lt-LT"/>
              </w:rPr>
              <w:t>180 mkg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lang w:eastAsia="lt-LT"/>
              </w:rPr>
              <w:t>24 savaitės</w:t>
            </w:r>
          </w:p>
        </w:tc>
        <w:tc>
          <w:tcPr>
            <w:tcW w:w="128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Copegus</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1000/1200 mg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ir</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 xml:space="preserve"> peginterferonas alfa-2a</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5E1DC0">
              <w:rPr>
                <w:rFonts w:ascii="Times New Roman" w:eastAsia="Calibri" w:hAnsi="Times New Roman" w:cs="Times New Roman"/>
                <w:lang w:val="it-IT" w:eastAsia="lt-LT"/>
              </w:rPr>
              <w:t>180 mkg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lang w:eastAsia="lt-LT"/>
              </w:rPr>
              <w:t>48 savaitės</w:t>
            </w:r>
          </w:p>
        </w:tc>
        <w:tc>
          <w:tcPr>
            <w:tcW w:w="1306"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Copegus</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1000/1200 mg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ir</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 xml:space="preserve"> peginterferonas alfa-2a</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5E1DC0">
              <w:rPr>
                <w:rFonts w:ascii="Times New Roman" w:eastAsia="Calibri" w:hAnsi="Times New Roman" w:cs="Times New Roman"/>
                <w:lang w:val="it-IT" w:eastAsia="lt-LT"/>
              </w:rPr>
              <w:t>180 mkg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24 savaitės</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p>
        </w:tc>
      </w:tr>
      <w:tr w:rsidR="005E1DC0" w:rsidRPr="005E1DC0" w:rsidTr="00BB1B6B">
        <w:tc>
          <w:tcPr>
            <w:tcW w:w="1118" w:type="pct"/>
          </w:tcPr>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b/>
                <w:lang w:eastAsia="lt-LT"/>
              </w:rPr>
            </w:pPr>
            <w:r w:rsidRPr="005E1DC0">
              <w:rPr>
                <w:rFonts w:ascii="Times New Roman" w:eastAsia="Calibri" w:hAnsi="Times New Roman" w:cs="Times New Roman"/>
                <w:b/>
                <w:lang w:eastAsia="lt-LT"/>
              </w:rPr>
              <w:t>Genotipas 1, GVA</w:t>
            </w:r>
          </w:p>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Neryški viremija</w:t>
            </w:r>
          </w:p>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Ryški viremija</w:t>
            </w:r>
          </w:p>
        </w:tc>
        <w:tc>
          <w:tcPr>
            <w:tcW w:w="128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90 % (28/31)</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93 % (25/27)</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75 % (3/4)</w:t>
            </w:r>
          </w:p>
        </w:tc>
        <w:tc>
          <w:tcPr>
            <w:tcW w:w="128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92 % (47/51)</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96 % (26/27)</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88 % (21/24)</w:t>
            </w:r>
          </w:p>
        </w:tc>
        <w:tc>
          <w:tcPr>
            <w:tcW w:w="1306"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77 % (59/77)</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80 % (52/65)</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58 % (7/12)</w:t>
            </w:r>
          </w:p>
        </w:tc>
      </w:tr>
      <w:tr w:rsidR="005E1DC0" w:rsidRPr="005E1DC0" w:rsidTr="00BB1B6B">
        <w:tc>
          <w:tcPr>
            <w:tcW w:w="1118" w:type="pct"/>
          </w:tcPr>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b/>
                <w:lang w:eastAsia="lt-LT"/>
              </w:rPr>
            </w:pPr>
            <w:r w:rsidRPr="005E1DC0">
              <w:rPr>
                <w:rFonts w:ascii="Times New Roman" w:eastAsia="Calibri" w:hAnsi="Times New Roman" w:cs="Times New Roman"/>
                <w:b/>
                <w:lang w:eastAsia="lt-LT"/>
              </w:rPr>
              <w:t>Genotipas 1, nėra GVA</w:t>
            </w:r>
          </w:p>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Neryški viremija</w:t>
            </w:r>
          </w:p>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Ryški viremija</w:t>
            </w:r>
          </w:p>
        </w:tc>
        <w:tc>
          <w:tcPr>
            <w:tcW w:w="128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24 % (21/87)</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27 % (12/44)</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21 % (9/43)</w:t>
            </w:r>
          </w:p>
        </w:tc>
        <w:tc>
          <w:tcPr>
            <w:tcW w:w="128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43 % (95/220)</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50 % (31/62)</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41 % (64/158)</w:t>
            </w:r>
          </w:p>
        </w:tc>
        <w:tc>
          <w:tcPr>
            <w:tcW w:w="1306"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w:t>
            </w:r>
          </w:p>
        </w:tc>
      </w:tr>
      <w:tr w:rsidR="005E1DC0" w:rsidRPr="005E1DC0" w:rsidTr="00BB1B6B">
        <w:tc>
          <w:tcPr>
            <w:tcW w:w="1118" w:type="pct"/>
          </w:tcPr>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b/>
                <w:lang w:eastAsia="lt-LT"/>
              </w:rPr>
            </w:pPr>
            <w:r w:rsidRPr="005E1DC0">
              <w:rPr>
                <w:rFonts w:ascii="Times New Roman" w:eastAsia="Calibri" w:hAnsi="Times New Roman" w:cs="Times New Roman"/>
                <w:b/>
                <w:lang w:eastAsia="lt-LT"/>
              </w:rPr>
              <w:t>Genotipas 4, GVA</w:t>
            </w:r>
          </w:p>
        </w:tc>
        <w:tc>
          <w:tcPr>
            <w:tcW w:w="128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(5/6)</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p>
        </w:tc>
        <w:tc>
          <w:tcPr>
            <w:tcW w:w="128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(5/5)</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p>
        </w:tc>
        <w:tc>
          <w:tcPr>
            <w:tcW w:w="1306"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92 % (22/24)</w:t>
            </w:r>
          </w:p>
        </w:tc>
      </w:tr>
      <w:tr w:rsidR="005E1DC0" w:rsidRPr="005E1DC0" w:rsidTr="00BB1B6B">
        <w:tc>
          <w:tcPr>
            <w:tcW w:w="1118" w:type="pct"/>
          </w:tcPr>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b/>
                <w:lang w:eastAsia="lt-LT"/>
              </w:rPr>
            </w:pPr>
            <w:r w:rsidRPr="005E1DC0">
              <w:rPr>
                <w:rFonts w:ascii="Times New Roman" w:eastAsia="Calibri" w:hAnsi="Times New Roman" w:cs="Times New Roman"/>
                <w:b/>
                <w:lang w:eastAsia="lt-LT"/>
              </w:rPr>
              <w:t>Genotipas 4, nėra GVA</w:t>
            </w:r>
          </w:p>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b/>
                <w:lang w:eastAsia="lt-LT"/>
              </w:rPr>
            </w:pPr>
          </w:p>
        </w:tc>
        <w:tc>
          <w:tcPr>
            <w:tcW w:w="128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(3/6)</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p>
        </w:tc>
        <w:tc>
          <w:tcPr>
            <w:tcW w:w="1288"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(4/6)</w:t>
            </w:r>
          </w:p>
        </w:tc>
        <w:tc>
          <w:tcPr>
            <w:tcW w:w="1306"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p>
        </w:tc>
      </w:tr>
    </w:tbl>
    <w:p w:rsidR="005E1DC0" w:rsidRPr="005E1DC0" w:rsidRDefault="005E1DC0" w:rsidP="005E1DC0">
      <w:pPr>
        <w:tabs>
          <w:tab w:val="left" w:pos="567"/>
        </w:tabs>
        <w:spacing w:after="0" w:line="240" w:lineRule="auto"/>
        <w:ind w:left="142" w:hanging="142"/>
        <w:rPr>
          <w:rFonts w:ascii="Times New Roman" w:eastAsia="Calibri" w:hAnsi="Times New Roman" w:cs="Times New Roman"/>
          <w:i/>
          <w:lang w:eastAsia="lt-LT"/>
        </w:rPr>
      </w:pPr>
      <w:r w:rsidRPr="005E1DC0">
        <w:rPr>
          <w:rFonts w:ascii="Times New Roman" w:eastAsia="Calibri" w:hAnsi="Times New Roman" w:cs="Times New Roman"/>
          <w:i/>
          <w:lang w:eastAsia="lt-LT"/>
        </w:rPr>
        <w:t>Neryški viremija</w:t>
      </w:r>
      <w:r w:rsidRPr="005E1DC0">
        <w:rPr>
          <w:rFonts w:ascii="Times New Roman" w:eastAsia="Times New Roman" w:hAnsi="Times New Roman" w:cs="Times New Roman"/>
          <w:i/>
          <w:iCs/>
          <w:lang w:eastAsia="lt-LT"/>
        </w:rPr>
        <w:t xml:space="preserve"> </w:t>
      </w:r>
      <w:r w:rsidRPr="005E1DC0">
        <w:rPr>
          <w:rFonts w:ascii="Times New Roman" w:eastAsia="Calibri" w:hAnsi="Times New Roman" w:cs="Times New Roman"/>
          <w:i/>
          <w:lang w:eastAsia="lt-LT"/>
        </w:rPr>
        <w:t>= ≤ 800000 TV/ml; ryški viremija</w:t>
      </w:r>
      <w:r w:rsidRPr="005E1DC0">
        <w:rPr>
          <w:rFonts w:ascii="Times New Roman" w:eastAsia="Times New Roman" w:hAnsi="Times New Roman" w:cs="Times New Roman"/>
          <w:i/>
          <w:iCs/>
          <w:lang w:eastAsia="lt-LT"/>
        </w:rPr>
        <w:t xml:space="preserve"> </w:t>
      </w:r>
      <w:r w:rsidRPr="005E1DC0">
        <w:rPr>
          <w:rFonts w:ascii="Times New Roman" w:eastAsia="Calibri" w:hAnsi="Times New Roman" w:cs="Times New Roman"/>
          <w:i/>
          <w:lang w:eastAsia="lt-LT"/>
        </w:rPr>
        <w:t>= &gt; 800000 TV/ml</w:t>
      </w:r>
    </w:p>
    <w:p w:rsidR="005E1DC0" w:rsidRPr="005E1DC0" w:rsidRDefault="005E1DC0" w:rsidP="005E1DC0">
      <w:pPr>
        <w:keepNext/>
        <w:keepLines/>
        <w:tabs>
          <w:tab w:val="left" w:pos="567"/>
        </w:tabs>
        <w:spacing w:after="0" w:line="240" w:lineRule="auto"/>
        <w:ind w:left="142" w:hanging="142"/>
        <w:rPr>
          <w:rFonts w:ascii="Times New Roman" w:eastAsia="Calibri" w:hAnsi="Times New Roman" w:cs="Times New Roman"/>
          <w:i/>
          <w:lang w:eastAsia="lt-LT"/>
        </w:rPr>
      </w:pPr>
      <w:r w:rsidRPr="005E1DC0">
        <w:rPr>
          <w:rFonts w:ascii="Times New Roman" w:eastAsia="Calibri" w:hAnsi="Times New Roman" w:cs="Times New Roman"/>
          <w:i/>
          <w:lang w:eastAsia="lt-LT"/>
        </w:rPr>
        <w:t>GVA = greitas virusologinis atsakas (HCV RNR neaptinkama) 4</w:t>
      </w:r>
      <w:r w:rsidRPr="005E1DC0">
        <w:rPr>
          <w:rFonts w:ascii="Times New Roman" w:eastAsia="Times New Roman" w:hAnsi="Times New Roman" w:cs="Times New Roman"/>
          <w:i/>
          <w:iCs/>
          <w:lang w:eastAsia="lt-LT"/>
        </w:rPr>
        <w:noBreakHyphen/>
        <w:t>ąją</w:t>
      </w:r>
      <w:r w:rsidRPr="005E1DC0">
        <w:rPr>
          <w:rFonts w:ascii="Times New Roman" w:eastAsia="Calibri" w:hAnsi="Times New Roman" w:cs="Times New Roman"/>
          <w:i/>
          <w:lang w:eastAsia="lt-LT"/>
        </w:rPr>
        <w:t xml:space="preserve"> savaitę ir HCV RNR neaptinkama 24</w:t>
      </w:r>
      <w:r w:rsidRPr="005E1DC0">
        <w:rPr>
          <w:rFonts w:ascii="Times New Roman" w:eastAsia="Calibri" w:hAnsi="Times New Roman" w:cs="Times New Roman"/>
          <w:i/>
          <w:lang w:eastAsia="lt-LT"/>
        </w:rPr>
        <w:noBreakHyphen/>
        <w:t>ąją savaitę</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Nors ir riboti, tyrimų duomenys parodė, kad gydymo sutrumpinimas iki 24 savaičių gali būti susijęs su didesne atkryčio rizika (žr. 8 lentelę).</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1080" w:hanging="1080"/>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8 lentelė.</w:t>
      </w:r>
      <w:r w:rsidRPr="005E1DC0">
        <w:rPr>
          <w:rFonts w:ascii="Times New Roman" w:eastAsia="Times New Roman" w:hAnsi="Times New Roman" w:cs="Times New Roman"/>
          <w:b/>
          <w:bCs/>
          <w:lang w:eastAsia="lt-LT"/>
        </w:rPr>
        <w:tab/>
        <w:t>Virusologinės reakcijos recidyvas pabaigus gydymą pacientų, kuriems buvo greitas virusologinis atsakas, populiacijoje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160"/>
        <w:gridCol w:w="2218"/>
        <w:gridCol w:w="2361"/>
      </w:tblGrid>
      <w:tr w:rsidR="005E1DC0" w:rsidRPr="005E1DC0" w:rsidTr="00BB1B6B">
        <w:tc>
          <w:tcPr>
            <w:tcW w:w="1281"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p>
        </w:tc>
        <w:tc>
          <w:tcPr>
            <w:tcW w:w="2416" w:type="pct"/>
            <w:gridSpan w:val="2"/>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NV15942 tyrimas</w:t>
            </w:r>
          </w:p>
        </w:tc>
        <w:tc>
          <w:tcPr>
            <w:tcW w:w="1303"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NV15801 tyrimas</w:t>
            </w:r>
          </w:p>
        </w:tc>
      </w:tr>
      <w:tr w:rsidR="005E1DC0" w:rsidRPr="005E1DC0" w:rsidTr="00BB1B6B">
        <w:tc>
          <w:tcPr>
            <w:tcW w:w="1281"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p>
        </w:tc>
        <w:tc>
          <w:tcPr>
            <w:tcW w:w="1192"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Copegus</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1000/1200 mg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ir</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 xml:space="preserve"> peginterferonas alfa-2a</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5E1DC0">
              <w:rPr>
                <w:rFonts w:ascii="Times New Roman" w:eastAsia="Calibri" w:hAnsi="Times New Roman" w:cs="Times New Roman"/>
                <w:lang w:val="it-IT" w:eastAsia="lt-LT"/>
              </w:rPr>
              <w:t>180 mkg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24 savaitės</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p>
        </w:tc>
        <w:tc>
          <w:tcPr>
            <w:tcW w:w="1224"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Copegus</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1000/1200 mg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ir</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 xml:space="preserve"> peginterferonas alfa-2a</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5E1DC0">
              <w:rPr>
                <w:rFonts w:ascii="Times New Roman" w:eastAsia="Calibri" w:hAnsi="Times New Roman" w:cs="Times New Roman"/>
                <w:lang w:val="it-IT" w:eastAsia="lt-LT"/>
              </w:rPr>
              <w:t>180 mkg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48 savaitės</w:t>
            </w:r>
          </w:p>
        </w:tc>
        <w:tc>
          <w:tcPr>
            <w:tcW w:w="1303"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Copegus</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1000/1200 mg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ir</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 xml:space="preserve"> peginterferonas alfa-2a</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r w:rsidRPr="005E1DC0">
              <w:rPr>
                <w:rFonts w:ascii="Times New Roman" w:eastAsia="Calibri" w:hAnsi="Times New Roman" w:cs="Times New Roman"/>
                <w:lang w:val="it-IT" w:eastAsia="lt-LT"/>
              </w:rPr>
              <w:t>180 mkg</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it-IT" w:eastAsia="lt-LT"/>
              </w:rPr>
            </w:pP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lang w:eastAsia="lt-LT"/>
              </w:rPr>
              <w:t>48 savaitės</w:t>
            </w:r>
          </w:p>
        </w:tc>
      </w:tr>
      <w:tr w:rsidR="005E1DC0" w:rsidRPr="005E1DC0" w:rsidTr="00BB1B6B">
        <w:tc>
          <w:tcPr>
            <w:tcW w:w="1281" w:type="pct"/>
          </w:tcPr>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b/>
                <w:lang w:eastAsia="lt-LT"/>
              </w:rPr>
            </w:pPr>
            <w:r w:rsidRPr="005E1DC0">
              <w:rPr>
                <w:rFonts w:ascii="Times New Roman" w:eastAsia="Calibri" w:hAnsi="Times New Roman" w:cs="Times New Roman"/>
                <w:b/>
                <w:lang w:eastAsia="lt-LT"/>
              </w:rPr>
              <w:t>Genotipas 1, GVA</w:t>
            </w:r>
          </w:p>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b/>
                <w:lang w:eastAsia="lt-LT"/>
              </w:rPr>
            </w:pPr>
          </w:p>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Neryški viremija</w:t>
            </w:r>
          </w:p>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Ryški viremija</w:t>
            </w:r>
          </w:p>
        </w:tc>
        <w:tc>
          <w:tcPr>
            <w:tcW w:w="1192"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6,7 % (2/30)</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3,8 % (1/26)</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25 % (1/4)</w:t>
            </w:r>
          </w:p>
        </w:tc>
        <w:tc>
          <w:tcPr>
            <w:tcW w:w="1224"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5E1DC0">
              <w:rPr>
                <w:rFonts w:ascii="Times New Roman" w:eastAsia="Calibri" w:hAnsi="Times New Roman" w:cs="Times New Roman"/>
                <w:lang w:val="fr-FR" w:eastAsia="lt-LT"/>
              </w:rPr>
              <w:t>4,3 % (2/47)</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5E1DC0">
              <w:rPr>
                <w:rFonts w:ascii="Times New Roman" w:eastAsia="Calibri" w:hAnsi="Times New Roman" w:cs="Times New Roman"/>
                <w:lang w:val="fr-FR" w:eastAsia="lt-LT"/>
              </w:rPr>
              <w:t>0 % (0/25)</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5E1DC0">
              <w:rPr>
                <w:rFonts w:ascii="Times New Roman" w:eastAsia="Calibri" w:hAnsi="Times New Roman" w:cs="Times New Roman"/>
                <w:lang w:val="fr-FR" w:eastAsia="lt-LT"/>
              </w:rPr>
              <w:t>9,1 % (2/22)</w:t>
            </w:r>
          </w:p>
        </w:tc>
        <w:tc>
          <w:tcPr>
            <w:tcW w:w="1303"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5E1DC0">
              <w:rPr>
                <w:rFonts w:ascii="Times New Roman" w:eastAsia="Calibri" w:hAnsi="Times New Roman" w:cs="Times New Roman"/>
                <w:lang w:val="fr-FR" w:eastAsia="lt-LT"/>
              </w:rPr>
              <w:t>0 % (0/24)</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5E1DC0">
              <w:rPr>
                <w:rFonts w:ascii="Times New Roman" w:eastAsia="Calibri" w:hAnsi="Times New Roman" w:cs="Times New Roman"/>
                <w:lang w:val="fr-FR" w:eastAsia="lt-LT"/>
              </w:rPr>
              <w:t>0 % (0/17)</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5E1DC0">
              <w:rPr>
                <w:rFonts w:ascii="Times New Roman" w:eastAsia="Calibri" w:hAnsi="Times New Roman" w:cs="Times New Roman"/>
                <w:lang w:val="fr-FR" w:eastAsia="lt-LT"/>
              </w:rPr>
              <w:t>0 % (0/7)</w:t>
            </w:r>
          </w:p>
        </w:tc>
      </w:tr>
      <w:tr w:rsidR="005E1DC0" w:rsidRPr="005E1DC0" w:rsidTr="00BB1B6B">
        <w:tc>
          <w:tcPr>
            <w:tcW w:w="1281" w:type="pct"/>
          </w:tcPr>
          <w:p w:rsidR="005E1DC0" w:rsidRPr="005E1DC0" w:rsidRDefault="005E1DC0" w:rsidP="005E1DC0">
            <w:pPr>
              <w:keepNext/>
              <w:tabs>
                <w:tab w:val="left" w:pos="567"/>
              </w:tabs>
              <w:autoSpaceDE w:val="0"/>
              <w:autoSpaceDN w:val="0"/>
              <w:adjustRightInd w:val="0"/>
              <w:spacing w:after="0" w:line="240" w:lineRule="auto"/>
              <w:rPr>
                <w:rFonts w:ascii="Times New Roman" w:eastAsia="Calibri" w:hAnsi="Times New Roman" w:cs="Times New Roman"/>
                <w:b/>
                <w:lang w:val="fr-FR" w:eastAsia="lt-LT"/>
              </w:rPr>
            </w:pPr>
            <w:r w:rsidRPr="005E1DC0">
              <w:rPr>
                <w:rFonts w:ascii="Times New Roman" w:eastAsia="Calibri" w:hAnsi="Times New Roman" w:cs="Times New Roman"/>
                <w:b/>
                <w:lang w:val="fr-FR" w:eastAsia="lt-LT"/>
              </w:rPr>
              <w:t>Genotipas 4, GVA</w:t>
            </w:r>
          </w:p>
        </w:tc>
        <w:tc>
          <w:tcPr>
            <w:tcW w:w="1192"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5E1DC0">
              <w:rPr>
                <w:rFonts w:ascii="Times New Roman" w:eastAsia="Calibri" w:hAnsi="Times New Roman" w:cs="Times New Roman"/>
                <w:lang w:val="fr-FR" w:eastAsia="lt-LT"/>
              </w:rPr>
              <w:t>(0/5)</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p>
        </w:tc>
        <w:tc>
          <w:tcPr>
            <w:tcW w:w="1224"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5E1DC0">
              <w:rPr>
                <w:rFonts w:ascii="Times New Roman" w:eastAsia="Calibri" w:hAnsi="Times New Roman" w:cs="Times New Roman"/>
                <w:lang w:val="fr-FR" w:eastAsia="lt-LT"/>
              </w:rPr>
              <w:t>(0/5)</w:t>
            </w:r>
          </w:p>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p>
        </w:tc>
        <w:tc>
          <w:tcPr>
            <w:tcW w:w="1303" w:type="pct"/>
          </w:tcPr>
          <w:p w:rsidR="005E1DC0" w:rsidRPr="005E1DC0" w:rsidRDefault="005E1DC0" w:rsidP="005E1DC0">
            <w:pPr>
              <w:keepNext/>
              <w:tabs>
                <w:tab w:val="left" w:pos="567"/>
              </w:tabs>
              <w:autoSpaceDE w:val="0"/>
              <w:autoSpaceDN w:val="0"/>
              <w:adjustRightInd w:val="0"/>
              <w:spacing w:after="0" w:line="240" w:lineRule="auto"/>
              <w:jc w:val="center"/>
              <w:rPr>
                <w:rFonts w:ascii="Times New Roman" w:eastAsia="Calibri" w:hAnsi="Times New Roman" w:cs="Times New Roman"/>
                <w:lang w:val="fr-FR" w:eastAsia="lt-LT"/>
              </w:rPr>
            </w:pPr>
            <w:r w:rsidRPr="005E1DC0">
              <w:rPr>
                <w:rFonts w:ascii="Times New Roman" w:eastAsia="Calibri" w:hAnsi="Times New Roman" w:cs="Times New Roman"/>
                <w:lang w:val="fr-FR" w:eastAsia="lt-LT"/>
              </w:rPr>
              <w:t>0 % (0/4)</w:t>
            </w:r>
          </w:p>
        </w:tc>
      </w:tr>
    </w:tbl>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Gydymo trukmės sutrumpinimo iki 16 savaičių galimybė pacientams, infekuotiems genotipo 2 arba 3 virusais, tirta remiantis pastebėtu ilgai trunkančiu virusologiniu atsaku pacientams, kuriems NV17317 tyrimo metu buvo greitas virusologinis atsakas 4</w:t>
      </w:r>
      <w:r w:rsidRPr="005E1DC0">
        <w:rPr>
          <w:rFonts w:ascii="Times New Roman" w:eastAsia="Times New Roman" w:hAnsi="Times New Roman" w:cs="Times New Roman"/>
          <w:lang w:eastAsia="lt-LT"/>
        </w:rPr>
        <w:noBreakHyphen/>
        <w:t>ąją savaitę (žr. 9 lentelę).</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NV17317 tyrimo metu, kai gydyti genotipo 2 arba 3 virusais infekuoti pacientai, visiems pacientams skirta peginterferono alfa-2a po 180 mikrogramų kas savaitę ir Copegus po 800 mg; pacientai buvo atrinkti į gydomus 16 arba 24 savaites. Apskritai, gydant 16 savaičių, ilgalaikis virusologinis atsakas pasiektas rečiau (65 %) nei gydant 24 savaites (76 %) (p &lt; 0,0001).</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Ilgalaikis virusologinis atsakas, pasiektas gydant 16 savaičių ir gydant 24 savaites, taip pat buvo nagrinėjamas, atliekant pacientų, kurių HCV RNR rodmuo 4 savaitę buvo neigiamas ir pradinė NRV, pogrupių retrospektyvinę analizę (žr. 9 lentelę).</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080" w:hanging="1080"/>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9 lentelė.</w:t>
      </w:r>
      <w:r w:rsidRPr="005E1DC0">
        <w:rPr>
          <w:rFonts w:ascii="Times New Roman" w:eastAsia="Times New Roman" w:hAnsi="Times New Roman" w:cs="Times New Roman"/>
          <w:b/>
          <w:bCs/>
          <w:lang w:eastAsia="lt-LT"/>
        </w:rPr>
        <w:tab/>
        <w:t>Ilgalaikis virusologinis atsakas bendrai ir atsižvelgiant į greitą virusologinį atsaką 4</w:t>
      </w:r>
      <w:r w:rsidRPr="005E1DC0">
        <w:rPr>
          <w:rFonts w:ascii="Times New Roman" w:eastAsia="Times New Roman" w:hAnsi="Times New Roman" w:cs="Times New Roman"/>
          <w:b/>
          <w:bCs/>
          <w:lang w:eastAsia="lt-LT"/>
        </w:rPr>
        <w:noBreakHyphen/>
        <w:t>ąją savaitę po pacientų, infekuotų 2 arba 3 genotipo HCV, gydymo Copegus ir peginterferono alfa-2a deriniu</w: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1843"/>
        <w:gridCol w:w="1778"/>
        <w:gridCol w:w="2086"/>
        <w:gridCol w:w="1151"/>
      </w:tblGrid>
      <w:tr w:rsidR="005E1DC0" w:rsidRPr="005E1DC0" w:rsidTr="00BB1B6B">
        <w:tc>
          <w:tcPr>
            <w:tcW w:w="5000" w:type="pct"/>
            <w:gridSpan w:val="5"/>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NV17317 tyrimas</w:t>
            </w:r>
          </w:p>
        </w:tc>
      </w:tr>
      <w:tr w:rsidR="005E1DC0" w:rsidRPr="005E1DC0" w:rsidTr="00BB1B6B">
        <w:tc>
          <w:tcPr>
            <w:tcW w:w="1235"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highlight w:val="green"/>
                <w:lang w:eastAsia="lt-LT"/>
              </w:rPr>
            </w:pPr>
          </w:p>
        </w:tc>
        <w:tc>
          <w:tcPr>
            <w:tcW w:w="1012"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Copegus</w:t>
            </w:r>
            <w:r w:rsidRPr="005E1DC0">
              <w:rPr>
                <w:rFonts w:ascii="Times New Roman" w:eastAsia="Calibri" w:hAnsi="Times New Roman" w:cs="Times New Roman"/>
                <w:lang w:val="pt-BR" w:eastAsia="lt-LT"/>
              </w:rPr>
              <w:t xml:space="preserve"> 800 mg</w:t>
            </w:r>
            <w:r w:rsidRPr="005E1DC0">
              <w:rPr>
                <w:rFonts w:ascii="Times New Roman" w:eastAsia="Calibri" w:hAnsi="Times New Roman" w:cs="Times New Roman"/>
                <w:lang w:val="pt-BR" w:eastAsia="lt-LT"/>
              </w:rPr>
              <w:br/>
              <w:t>ir</w:t>
            </w:r>
            <w:r w:rsidRPr="005E1DC0">
              <w:rPr>
                <w:rFonts w:ascii="Times New Roman" w:eastAsia="Calibri" w:hAnsi="Times New Roman" w:cs="Times New Roman"/>
                <w:lang w:val="pt-BR" w:eastAsia="lt-LT"/>
              </w:rPr>
              <w:br/>
            </w:r>
            <w:r w:rsidRPr="005E1DC0">
              <w:rPr>
                <w:rFonts w:ascii="Times New Roman" w:eastAsia="Calibri" w:hAnsi="Times New Roman" w:cs="Times New Roman"/>
                <w:b/>
                <w:lang w:val="pt-BR" w:eastAsia="lt-LT"/>
              </w:rPr>
              <w:t xml:space="preserve">peginterferonas </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b/>
                <w:lang w:val="pt-BR" w:eastAsia="lt-LT"/>
              </w:rPr>
              <w:t xml:space="preserve">alfa-2a </w:t>
            </w:r>
            <w:r w:rsidRPr="005E1DC0">
              <w:rPr>
                <w:rFonts w:ascii="Times New Roman" w:eastAsia="Calibri" w:hAnsi="Times New Roman" w:cs="Times New Roman"/>
                <w:lang w:val="pt-BR" w:eastAsia="lt-LT"/>
              </w:rPr>
              <w:t>180 mkg</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16 savaičių</w:t>
            </w:r>
          </w:p>
        </w:tc>
        <w:tc>
          <w:tcPr>
            <w:tcW w:w="976"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Copegus</w:t>
            </w:r>
            <w:r w:rsidRPr="005E1DC0">
              <w:rPr>
                <w:rFonts w:ascii="Times New Roman" w:eastAsia="Calibri" w:hAnsi="Times New Roman" w:cs="Times New Roman"/>
                <w:lang w:val="pt-BR" w:eastAsia="lt-LT"/>
              </w:rPr>
              <w:t xml:space="preserve"> 800 mg</w:t>
            </w:r>
            <w:r w:rsidRPr="005E1DC0">
              <w:rPr>
                <w:rFonts w:ascii="Times New Roman" w:eastAsia="Calibri" w:hAnsi="Times New Roman" w:cs="Times New Roman"/>
                <w:lang w:val="pt-BR" w:eastAsia="lt-LT"/>
              </w:rPr>
              <w:br/>
              <w:t>ir</w:t>
            </w:r>
            <w:r w:rsidRPr="005E1DC0">
              <w:rPr>
                <w:rFonts w:ascii="Times New Roman" w:eastAsia="Calibri" w:hAnsi="Times New Roman" w:cs="Times New Roman"/>
                <w:lang w:val="pt-BR" w:eastAsia="lt-LT"/>
              </w:rPr>
              <w:br/>
            </w:r>
            <w:r w:rsidRPr="005E1DC0">
              <w:rPr>
                <w:rFonts w:ascii="Times New Roman" w:eastAsia="Calibri" w:hAnsi="Times New Roman" w:cs="Times New Roman"/>
                <w:b/>
                <w:lang w:val="pt-BR" w:eastAsia="lt-LT"/>
              </w:rPr>
              <w:t xml:space="preserve">peginterferonas </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b/>
                <w:lang w:val="pt-BR" w:eastAsia="lt-LT"/>
              </w:rPr>
              <w:t xml:space="preserve">alfa-2a </w:t>
            </w:r>
            <w:r w:rsidRPr="005E1DC0">
              <w:rPr>
                <w:rFonts w:ascii="Times New Roman" w:eastAsia="Calibri" w:hAnsi="Times New Roman" w:cs="Times New Roman"/>
                <w:lang w:val="pt-BR" w:eastAsia="lt-LT"/>
              </w:rPr>
              <w:t>180 mkg</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24 savaitės</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p>
        </w:tc>
        <w:tc>
          <w:tcPr>
            <w:tcW w:w="1145"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b/>
                <w:kern w:val="2"/>
                <w:lang w:eastAsia="lt-LT"/>
              </w:rPr>
            </w:pPr>
            <w:r w:rsidRPr="005E1DC0">
              <w:rPr>
                <w:rFonts w:ascii="Times New Roman" w:eastAsia="Calibri" w:hAnsi="Times New Roman" w:cs="Times New Roman"/>
                <w:b/>
                <w:kern w:val="2"/>
                <w:lang w:eastAsia="lt-LT"/>
              </w:rPr>
              <w:t>Gydymo rezultatų skirtumas</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b/>
                <w:kern w:val="2"/>
                <w:lang w:eastAsia="lt-LT"/>
              </w:rPr>
            </w:pPr>
            <w:r w:rsidRPr="005E1DC0">
              <w:rPr>
                <w:rFonts w:ascii="Times New Roman" w:eastAsia="Calibri" w:hAnsi="Times New Roman" w:cs="Times New Roman"/>
                <w:b/>
                <w:lang w:eastAsia="lt-LT"/>
              </w:rPr>
              <w:t>95 %</w:t>
            </w:r>
            <w:r w:rsidRPr="005E1DC0">
              <w:rPr>
                <w:rFonts w:ascii="Times New Roman" w:eastAsia="Calibri" w:hAnsi="Times New Roman" w:cs="Times New Roman"/>
                <w:b/>
                <w:kern w:val="2"/>
                <w:lang w:eastAsia="lt-LT"/>
              </w:rPr>
              <w:t>PI</w:t>
            </w:r>
          </w:p>
        </w:tc>
        <w:tc>
          <w:tcPr>
            <w:tcW w:w="633"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p reikšmė</w:t>
            </w:r>
          </w:p>
        </w:tc>
      </w:tr>
      <w:tr w:rsidR="005E1DC0" w:rsidRPr="005E1DC0" w:rsidTr="00BB1B6B">
        <w:tc>
          <w:tcPr>
            <w:tcW w:w="1235" w:type="pct"/>
          </w:tcPr>
          <w:p w:rsidR="005E1DC0" w:rsidRPr="005E1DC0" w:rsidRDefault="005E1DC0" w:rsidP="005E1DC0">
            <w:pPr>
              <w:keepNext/>
              <w:autoSpaceDE w:val="0"/>
              <w:autoSpaceDN w:val="0"/>
              <w:adjustRightInd w:val="0"/>
              <w:spacing w:after="0" w:line="240" w:lineRule="auto"/>
              <w:rPr>
                <w:rFonts w:ascii="Times New Roman" w:eastAsia="Calibri" w:hAnsi="Times New Roman" w:cs="Times New Roman"/>
                <w:highlight w:val="green"/>
                <w:lang w:eastAsia="lt-LT"/>
              </w:rPr>
            </w:pPr>
            <w:r w:rsidRPr="005E1DC0">
              <w:rPr>
                <w:rFonts w:ascii="Times New Roman" w:eastAsia="Calibri" w:hAnsi="Times New Roman" w:cs="Times New Roman"/>
                <w:b/>
                <w:lang w:eastAsia="lt-LT"/>
              </w:rPr>
              <w:t>Genotipas 2 arba 3</w:t>
            </w:r>
          </w:p>
        </w:tc>
        <w:tc>
          <w:tcPr>
            <w:tcW w:w="1012"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lang w:eastAsia="lt-LT"/>
              </w:rPr>
              <w:t xml:space="preserve">65 % (443/679) </w:t>
            </w:r>
          </w:p>
        </w:tc>
        <w:tc>
          <w:tcPr>
            <w:tcW w:w="976"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lang w:eastAsia="lt-LT"/>
              </w:rPr>
              <w:t>76 % (478/630)</w:t>
            </w:r>
          </w:p>
        </w:tc>
        <w:tc>
          <w:tcPr>
            <w:tcW w:w="1145"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kern w:val="2"/>
                <w:lang w:eastAsia="lt-LT"/>
              </w:rPr>
            </w:pPr>
            <w:r w:rsidRPr="005E1DC0">
              <w:rPr>
                <w:rFonts w:ascii="Times New Roman" w:eastAsia="Calibri" w:hAnsi="Times New Roman" w:cs="Times New Roman"/>
                <w:kern w:val="2"/>
                <w:lang w:eastAsia="lt-LT"/>
              </w:rPr>
              <w:t>-10,6 % [-15,5 %; -0,06 %]</w:t>
            </w:r>
          </w:p>
        </w:tc>
        <w:tc>
          <w:tcPr>
            <w:tcW w:w="633"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P &lt; 0,0001</w:t>
            </w:r>
          </w:p>
        </w:tc>
      </w:tr>
      <w:tr w:rsidR="005E1DC0" w:rsidRPr="005E1DC0" w:rsidTr="00BB1B6B">
        <w:tc>
          <w:tcPr>
            <w:tcW w:w="1235" w:type="pct"/>
          </w:tcPr>
          <w:p w:rsidR="005E1DC0" w:rsidRPr="005E1DC0" w:rsidRDefault="005E1DC0" w:rsidP="005E1DC0">
            <w:pPr>
              <w:keepNext/>
              <w:autoSpaceDE w:val="0"/>
              <w:autoSpaceDN w:val="0"/>
              <w:adjustRightInd w:val="0"/>
              <w:spacing w:after="0" w:line="240" w:lineRule="auto"/>
              <w:rPr>
                <w:rFonts w:ascii="Times New Roman" w:eastAsia="Calibri" w:hAnsi="Times New Roman" w:cs="Times New Roman"/>
                <w:b/>
                <w:lang w:eastAsia="lt-LT"/>
              </w:rPr>
            </w:pPr>
            <w:r w:rsidRPr="005E1DC0">
              <w:rPr>
                <w:rFonts w:ascii="Times New Roman" w:eastAsia="Calibri" w:hAnsi="Times New Roman" w:cs="Times New Roman"/>
                <w:b/>
                <w:lang w:eastAsia="lt-LT"/>
              </w:rPr>
              <w:t>Genotipas 2 arba 3, GVA</w:t>
            </w:r>
          </w:p>
          <w:p w:rsidR="005E1DC0" w:rsidRPr="005E1DC0" w:rsidRDefault="005E1DC0" w:rsidP="005E1DC0">
            <w:pPr>
              <w:keepNext/>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Neryški viremija</w:t>
            </w:r>
          </w:p>
          <w:p w:rsidR="005E1DC0" w:rsidRPr="005E1DC0" w:rsidRDefault="005E1DC0" w:rsidP="005E1DC0">
            <w:pPr>
              <w:keepNext/>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Ryški viremija</w:t>
            </w:r>
          </w:p>
          <w:p w:rsidR="005E1DC0" w:rsidRPr="005E1DC0" w:rsidRDefault="005E1DC0" w:rsidP="005E1DC0">
            <w:pPr>
              <w:keepNext/>
              <w:autoSpaceDE w:val="0"/>
              <w:autoSpaceDN w:val="0"/>
              <w:adjustRightInd w:val="0"/>
              <w:spacing w:after="0" w:line="240" w:lineRule="auto"/>
              <w:rPr>
                <w:rFonts w:ascii="Times New Roman" w:eastAsia="Calibri" w:hAnsi="Times New Roman" w:cs="Times New Roman"/>
                <w:highlight w:val="green"/>
                <w:lang w:eastAsia="lt-LT"/>
              </w:rPr>
            </w:pPr>
          </w:p>
        </w:tc>
        <w:tc>
          <w:tcPr>
            <w:tcW w:w="1012"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82 % (378/461)</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89 % (147/166)</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78 % (231/295)</w:t>
            </w:r>
          </w:p>
        </w:tc>
        <w:tc>
          <w:tcPr>
            <w:tcW w:w="976"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90 % (370/410)</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94 % (141/150)</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88 % (229/260)</w:t>
            </w:r>
          </w:p>
        </w:tc>
        <w:tc>
          <w:tcPr>
            <w:tcW w:w="1145"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kern w:val="2"/>
                <w:lang w:eastAsia="lt-LT"/>
              </w:rPr>
            </w:pPr>
            <w:r w:rsidRPr="005E1DC0">
              <w:rPr>
                <w:rFonts w:ascii="Times New Roman" w:eastAsia="Calibri" w:hAnsi="Times New Roman" w:cs="Times New Roman"/>
                <w:kern w:val="2"/>
                <w:lang w:eastAsia="lt-LT"/>
              </w:rPr>
              <w:t>-8,2 % [-12,8 </w:t>
            </w:r>
            <w:r w:rsidRPr="005E1DC0">
              <w:rPr>
                <w:rFonts w:ascii="Times New Roman" w:eastAsia="Times New Roman" w:hAnsi="Times New Roman" w:cs="Times New Roman"/>
                <w:bCs/>
                <w:kern w:val="2"/>
                <w:lang w:eastAsia="sv-SE"/>
              </w:rPr>
              <w:t>%;</w:t>
            </w:r>
            <w:r w:rsidRPr="005E1DC0">
              <w:rPr>
                <w:rFonts w:ascii="Times New Roman" w:eastAsia="Calibri" w:hAnsi="Times New Roman" w:cs="Times New Roman"/>
                <w:kern w:val="2"/>
                <w:lang w:eastAsia="lt-LT"/>
              </w:rPr>
              <w:t xml:space="preserve"> -3,7 %]</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kern w:val="2"/>
                <w:lang w:eastAsia="lt-LT"/>
              </w:rPr>
            </w:pPr>
            <w:r w:rsidRPr="005E1DC0">
              <w:rPr>
                <w:rFonts w:ascii="Times New Roman" w:eastAsia="Calibri" w:hAnsi="Times New Roman" w:cs="Times New Roman"/>
                <w:kern w:val="2"/>
                <w:lang w:eastAsia="lt-LT"/>
              </w:rPr>
              <w:t>-5,4 % [-12 </w:t>
            </w:r>
            <w:r w:rsidRPr="005E1DC0">
              <w:rPr>
                <w:rFonts w:ascii="Times New Roman" w:eastAsia="Times New Roman" w:hAnsi="Times New Roman" w:cs="Times New Roman"/>
                <w:bCs/>
                <w:kern w:val="2"/>
                <w:lang w:eastAsia="sv-SE"/>
              </w:rPr>
              <w:t>%;</w:t>
            </w:r>
            <w:r w:rsidRPr="005E1DC0">
              <w:rPr>
                <w:rFonts w:ascii="Times New Roman" w:eastAsia="Calibri" w:hAnsi="Times New Roman" w:cs="Times New Roman"/>
                <w:kern w:val="2"/>
                <w:lang w:eastAsia="lt-LT"/>
              </w:rPr>
              <w:t xml:space="preserve"> 0,9 %]</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kern w:val="2"/>
                <w:lang w:eastAsia="lt-LT"/>
              </w:rPr>
            </w:pPr>
            <w:r w:rsidRPr="005E1DC0">
              <w:rPr>
                <w:rFonts w:ascii="Times New Roman" w:eastAsia="Calibri" w:hAnsi="Times New Roman" w:cs="Times New Roman"/>
                <w:kern w:val="2"/>
                <w:lang w:eastAsia="lt-LT"/>
              </w:rPr>
              <w:t>-9,7 % [-15,9 </w:t>
            </w:r>
            <w:r w:rsidRPr="005E1DC0">
              <w:rPr>
                <w:rFonts w:ascii="Times New Roman" w:eastAsia="Times New Roman" w:hAnsi="Times New Roman" w:cs="Times New Roman"/>
                <w:bCs/>
                <w:kern w:val="2"/>
                <w:lang w:eastAsia="sv-SE"/>
              </w:rPr>
              <w:t>%;-</w:t>
            </w:r>
            <w:r w:rsidRPr="005E1DC0">
              <w:rPr>
                <w:rFonts w:ascii="Times New Roman" w:eastAsia="Calibri" w:hAnsi="Times New Roman" w:cs="Times New Roman"/>
                <w:kern w:val="2"/>
                <w:lang w:eastAsia="lt-LT"/>
              </w:rPr>
              <w:t>3,6 %]</w:t>
            </w:r>
          </w:p>
        </w:tc>
        <w:tc>
          <w:tcPr>
            <w:tcW w:w="633"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P = 0,0006</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P = 0,11</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P = 0,002</w:t>
            </w:r>
          </w:p>
        </w:tc>
      </w:tr>
    </w:tbl>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Neryški viremija = ≤ 800000 TV/ml; Ryški viremija = &gt; 800000 TV/ml</w:t>
      </w: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GVA = greitas virusologinis atsakas (HCV RNR neaptinkama) 4</w:t>
      </w:r>
      <w:r w:rsidRPr="005E1DC0">
        <w:rPr>
          <w:rFonts w:ascii="Times New Roman" w:eastAsia="Times New Roman" w:hAnsi="Times New Roman" w:cs="Times New Roman"/>
          <w:iCs/>
          <w:lang w:eastAsia="lt-LT"/>
        </w:rPr>
        <w:noBreakHyphen/>
        <w:t>ąją</w:t>
      </w:r>
      <w:r w:rsidRPr="005E1DC0">
        <w:rPr>
          <w:rFonts w:ascii="Times New Roman" w:eastAsia="Calibri" w:hAnsi="Times New Roman" w:cs="Times New Roman"/>
          <w:lang w:eastAsia="lt-LT"/>
        </w:rPr>
        <w:t xml:space="preserve"> savaitę</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Šiuo metu nėra aišku, ar aukštesnė Copegus dozė (1000/1200 mg/d pagal kūno svorį) lemia didesnį IVR dažnį, nei sutrumpintas iki 16 savaičių gydymas 800 mg/per parą doze.</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Žemiau pateikti duomenys rodo, kad gydymo sutrumpinimas iki 16 savaičių yra susijęs su didesne recidyvo rizika (žr. 10 lentelę).</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080" w:hanging="1080"/>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10 lentelė.</w:t>
      </w:r>
      <w:r w:rsidRPr="005E1DC0">
        <w:rPr>
          <w:rFonts w:ascii="Times New Roman" w:eastAsia="Times New Roman" w:hAnsi="Times New Roman" w:cs="Times New Roman"/>
          <w:b/>
          <w:bCs/>
          <w:lang w:eastAsia="lt-LT"/>
        </w:rPr>
        <w:tab/>
        <w:t>Virusologinio atsako recidyvas, pabaigus gydyti 2 arba 3 genotipo virusais  infekuotus pacientus, kuriems buvo greitas virusologinis atsakas</w:t>
      </w:r>
    </w:p>
    <w:p w:rsidR="005E1DC0" w:rsidRPr="005E1DC0" w:rsidRDefault="005E1DC0" w:rsidP="005E1DC0">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080" w:hanging="1080"/>
        <w:rPr>
          <w:rFonts w:ascii="Times New Roman" w:eastAsia="Times New Roman" w:hAnsi="Times New Roman" w:cs="Times New Roman"/>
          <w:b/>
          <w:bCs/>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1718"/>
        <w:gridCol w:w="1727"/>
        <w:gridCol w:w="1984"/>
        <w:gridCol w:w="1287"/>
      </w:tblGrid>
      <w:tr w:rsidR="005E1DC0" w:rsidRPr="005E1DC0" w:rsidTr="00BB1B6B">
        <w:tc>
          <w:tcPr>
            <w:tcW w:w="1294"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p>
        </w:tc>
        <w:tc>
          <w:tcPr>
            <w:tcW w:w="3706" w:type="pct"/>
            <w:gridSpan w:val="4"/>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NV17317 tyrimas</w:t>
            </w:r>
          </w:p>
        </w:tc>
      </w:tr>
      <w:tr w:rsidR="005E1DC0" w:rsidRPr="005E1DC0" w:rsidTr="00BB1B6B">
        <w:tc>
          <w:tcPr>
            <w:tcW w:w="1294"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p>
        </w:tc>
        <w:tc>
          <w:tcPr>
            <w:tcW w:w="948"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Copegus</w:t>
            </w:r>
            <w:r w:rsidRPr="005E1DC0">
              <w:rPr>
                <w:rFonts w:ascii="Times New Roman" w:eastAsia="Calibri" w:hAnsi="Times New Roman" w:cs="Times New Roman"/>
                <w:lang w:val="pt-BR" w:eastAsia="lt-LT"/>
              </w:rPr>
              <w:t xml:space="preserve"> 800 mg</w:t>
            </w:r>
            <w:r w:rsidRPr="005E1DC0">
              <w:rPr>
                <w:rFonts w:ascii="Times New Roman" w:eastAsia="Calibri" w:hAnsi="Times New Roman" w:cs="Times New Roman"/>
                <w:lang w:val="pt-BR" w:eastAsia="lt-LT"/>
              </w:rPr>
              <w:br/>
              <w:t>ir</w:t>
            </w:r>
            <w:r w:rsidRPr="005E1DC0">
              <w:rPr>
                <w:rFonts w:ascii="Times New Roman" w:eastAsia="Calibri" w:hAnsi="Times New Roman" w:cs="Times New Roman"/>
                <w:lang w:val="pt-BR" w:eastAsia="lt-LT"/>
              </w:rPr>
              <w:br/>
            </w:r>
            <w:r w:rsidRPr="005E1DC0">
              <w:rPr>
                <w:rFonts w:ascii="Times New Roman" w:eastAsia="Calibri" w:hAnsi="Times New Roman" w:cs="Times New Roman"/>
                <w:b/>
                <w:lang w:val="pt-BR" w:eastAsia="lt-LT"/>
              </w:rPr>
              <w:t xml:space="preserve">peginterferonas </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b/>
                <w:lang w:val="pt-BR" w:eastAsia="lt-LT"/>
              </w:rPr>
              <w:t xml:space="preserve">alfa-2a </w:t>
            </w:r>
            <w:r w:rsidRPr="005E1DC0">
              <w:rPr>
                <w:rFonts w:ascii="Times New Roman" w:eastAsia="Calibri" w:hAnsi="Times New Roman" w:cs="Times New Roman"/>
                <w:lang w:val="pt-BR" w:eastAsia="lt-LT"/>
              </w:rPr>
              <w:t>180 mkg</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16 savaičių</w:t>
            </w:r>
          </w:p>
        </w:tc>
        <w:tc>
          <w:tcPr>
            <w:tcW w:w="953"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val="pt-BR" w:eastAsia="lt-LT"/>
              </w:rPr>
            </w:pPr>
            <w:r w:rsidRPr="005E1DC0">
              <w:rPr>
                <w:rFonts w:ascii="Times New Roman" w:eastAsia="Calibri" w:hAnsi="Times New Roman" w:cs="Times New Roman"/>
                <w:b/>
                <w:lang w:val="pt-BR" w:eastAsia="lt-LT"/>
              </w:rPr>
              <w:t>Copegus</w:t>
            </w:r>
            <w:r w:rsidRPr="005E1DC0">
              <w:rPr>
                <w:rFonts w:ascii="Times New Roman" w:eastAsia="Calibri" w:hAnsi="Times New Roman" w:cs="Times New Roman"/>
                <w:lang w:val="pt-BR" w:eastAsia="lt-LT"/>
              </w:rPr>
              <w:t xml:space="preserve"> 800 mg</w:t>
            </w:r>
            <w:r w:rsidRPr="005E1DC0">
              <w:rPr>
                <w:rFonts w:ascii="Times New Roman" w:eastAsia="Calibri" w:hAnsi="Times New Roman" w:cs="Times New Roman"/>
                <w:lang w:val="pt-BR" w:eastAsia="lt-LT"/>
              </w:rPr>
              <w:br/>
              <w:t>ir</w:t>
            </w:r>
            <w:r w:rsidRPr="005E1DC0">
              <w:rPr>
                <w:rFonts w:ascii="Times New Roman" w:eastAsia="Calibri" w:hAnsi="Times New Roman" w:cs="Times New Roman"/>
                <w:lang w:val="pt-BR" w:eastAsia="lt-LT"/>
              </w:rPr>
              <w:br/>
            </w:r>
            <w:r w:rsidRPr="005E1DC0">
              <w:rPr>
                <w:rFonts w:ascii="Times New Roman" w:eastAsia="Calibri" w:hAnsi="Times New Roman" w:cs="Times New Roman"/>
                <w:b/>
                <w:lang w:val="pt-BR" w:eastAsia="lt-LT"/>
              </w:rPr>
              <w:t xml:space="preserve">peginterferonas </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b/>
                <w:lang w:val="pt-BR" w:eastAsia="lt-LT"/>
              </w:rPr>
              <w:t xml:space="preserve">alfa-2a </w:t>
            </w:r>
            <w:r w:rsidRPr="005E1DC0">
              <w:rPr>
                <w:rFonts w:ascii="Times New Roman" w:eastAsia="Calibri" w:hAnsi="Times New Roman" w:cs="Times New Roman"/>
                <w:lang w:val="pt-BR" w:eastAsia="lt-LT"/>
              </w:rPr>
              <w:t>180 mkg</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val="pt-BR" w:eastAsia="lt-LT"/>
              </w:rPr>
            </w:pPr>
            <w:r w:rsidRPr="005E1DC0">
              <w:rPr>
                <w:rFonts w:ascii="Times New Roman" w:eastAsia="Calibri" w:hAnsi="Times New Roman" w:cs="Times New Roman"/>
                <w:lang w:val="pt-BR" w:eastAsia="lt-LT"/>
              </w:rPr>
              <w:t>24 savaitės</w:t>
            </w:r>
          </w:p>
        </w:tc>
        <w:tc>
          <w:tcPr>
            <w:tcW w:w="1095"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b/>
                <w:kern w:val="2"/>
                <w:lang w:eastAsia="lt-LT"/>
              </w:rPr>
            </w:pPr>
            <w:r w:rsidRPr="005E1DC0">
              <w:rPr>
                <w:rFonts w:ascii="Times New Roman" w:eastAsia="Calibri" w:hAnsi="Times New Roman" w:cs="Times New Roman"/>
                <w:b/>
                <w:kern w:val="2"/>
                <w:lang w:eastAsia="lt-LT"/>
              </w:rPr>
              <w:t>Gydymo rezultatų skirtumas</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95 %</w:t>
            </w:r>
            <w:r w:rsidRPr="005E1DC0">
              <w:rPr>
                <w:rFonts w:ascii="Times New Roman" w:eastAsia="Calibri" w:hAnsi="Times New Roman" w:cs="Times New Roman"/>
                <w:b/>
                <w:kern w:val="2"/>
                <w:lang w:eastAsia="lt-LT"/>
              </w:rPr>
              <w:t>PI</w:t>
            </w:r>
          </w:p>
        </w:tc>
        <w:tc>
          <w:tcPr>
            <w:tcW w:w="710"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p reikšmė</w:t>
            </w:r>
          </w:p>
        </w:tc>
      </w:tr>
      <w:tr w:rsidR="005E1DC0" w:rsidRPr="005E1DC0" w:rsidTr="00BB1B6B">
        <w:tc>
          <w:tcPr>
            <w:tcW w:w="1294" w:type="pct"/>
          </w:tcPr>
          <w:p w:rsidR="005E1DC0" w:rsidRPr="005E1DC0" w:rsidRDefault="005E1DC0" w:rsidP="005E1DC0">
            <w:pPr>
              <w:keepNext/>
              <w:autoSpaceDE w:val="0"/>
              <w:autoSpaceDN w:val="0"/>
              <w:adjustRightInd w:val="0"/>
              <w:spacing w:after="0" w:line="240" w:lineRule="auto"/>
              <w:rPr>
                <w:rFonts w:ascii="Times New Roman" w:eastAsia="Calibri" w:hAnsi="Times New Roman" w:cs="Times New Roman"/>
                <w:b/>
                <w:lang w:eastAsia="lt-LT"/>
              </w:rPr>
            </w:pPr>
            <w:r w:rsidRPr="005E1DC0">
              <w:rPr>
                <w:rFonts w:ascii="Times New Roman" w:eastAsia="Calibri" w:hAnsi="Times New Roman" w:cs="Times New Roman"/>
                <w:b/>
                <w:lang w:eastAsia="lt-LT"/>
              </w:rPr>
              <w:t>Genotipas 2 arba 3, GVA</w:t>
            </w:r>
          </w:p>
          <w:p w:rsidR="005E1DC0" w:rsidRPr="005E1DC0" w:rsidRDefault="005E1DC0" w:rsidP="005E1DC0">
            <w:pPr>
              <w:keepNext/>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Neryški viremija</w:t>
            </w:r>
          </w:p>
          <w:p w:rsidR="005E1DC0" w:rsidRPr="005E1DC0" w:rsidRDefault="005E1DC0" w:rsidP="005E1DC0">
            <w:pPr>
              <w:keepNext/>
              <w:autoSpaceDE w:val="0"/>
              <w:autoSpaceDN w:val="0"/>
              <w:adjustRightInd w:val="0"/>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Ryški viremija</w:t>
            </w:r>
          </w:p>
          <w:p w:rsidR="005E1DC0" w:rsidRPr="005E1DC0" w:rsidRDefault="005E1DC0" w:rsidP="005E1DC0">
            <w:pPr>
              <w:keepNext/>
              <w:autoSpaceDE w:val="0"/>
              <w:autoSpaceDN w:val="0"/>
              <w:adjustRightInd w:val="0"/>
              <w:spacing w:after="0" w:line="240" w:lineRule="auto"/>
              <w:rPr>
                <w:rFonts w:ascii="Times New Roman" w:eastAsia="Calibri" w:hAnsi="Times New Roman" w:cs="Times New Roman"/>
                <w:lang w:eastAsia="lt-LT"/>
              </w:rPr>
            </w:pPr>
          </w:p>
        </w:tc>
        <w:tc>
          <w:tcPr>
            <w:tcW w:w="948"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15 % (67/439)</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6 % (10/155)</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20 % (57/284)</w:t>
            </w:r>
          </w:p>
        </w:tc>
        <w:tc>
          <w:tcPr>
            <w:tcW w:w="953"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6 % (23/386)</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1 % (2/141)</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9 % (21/245)</w:t>
            </w:r>
          </w:p>
        </w:tc>
        <w:tc>
          <w:tcPr>
            <w:tcW w:w="1095"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9,3 % [5,2 %; 13,6 %]</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5 % [0,6 %; 10,3 %]</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11,5 % [5,6 %; 17,4 %]</w:t>
            </w:r>
          </w:p>
        </w:tc>
        <w:tc>
          <w:tcPr>
            <w:tcW w:w="710"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P &lt; 0,0001</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P = 0,04</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lang w:eastAsia="lt-LT"/>
              </w:rPr>
            </w:pPr>
            <w:r w:rsidRPr="005E1DC0">
              <w:rPr>
                <w:rFonts w:ascii="Times New Roman" w:eastAsia="Calibri" w:hAnsi="Times New Roman" w:cs="Times New Roman"/>
                <w:lang w:eastAsia="lt-LT"/>
              </w:rPr>
              <w:t>P = 0,0002</w:t>
            </w:r>
          </w:p>
        </w:tc>
      </w:tr>
    </w:tbl>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spacing w:after="0" w:line="240" w:lineRule="auto"/>
        <w:rPr>
          <w:rFonts w:ascii="Times New Roman" w:eastAsia="Times New Roman" w:hAnsi="Times New Roman" w:cs="Times New Roman"/>
          <w:i/>
          <w:u w:val="single"/>
          <w:lang w:eastAsia="lt-LT"/>
        </w:rPr>
      </w:pPr>
      <w:r w:rsidRPr="005E1DC0">
        <w:rPr>
          <w:rFonts w:ascii="Times New Roman" w:eastAsia="Times New Roman" w:hAnsi="Times New Roman" w:cs="Times New Roman"/>
          <w:i/>
          <w:u w:val="single"/>
          <w:lang w:eastAsia="lt-LT"/>
        </w:rPr>
        <w:lastRenderedPageBreak/>
        <w:t>Lėtinis hepatitas C į ankstesnį gydymą nereagavusiems pacientams</w:t>
      </w:r>
    </w:p>
    <w:p w:rsidR="005E1DC0" w:rsidRPr="005E1DC0" w:rsidRDefault="005E1DC0" w:rsidP="005E1DC0">
      <w:pPr>
        <w:keepNext/>
        <w:keepLines/>
        <w:spacing w:after="0" w:line="240" w:lineRule="auto"/>
        <w:rPr>
          <w:rFonts w:ascii="Times New Roman" w:eastAsia="Times New Roman" w:hAnsi="Times New Roman" w:cs="Times New Roman"/>
          <w:lang w:eastAsia="lt-LT"/>
        </w:rPr>
      </w:pPr>
    </w:p>
    <w:p w:rsidR="005E1DC0" w:rsidRPr="005E1DC0" w:rsidRDefault="005E1DC0" w:rsidP="005E1DC0">
      <w:pPr>
        <w:keepNext/>
        <w:keepLine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MV17150 tyrimo metu pacientai, kurie nereagavo į ankstesnį gydymą pegiliuotu interferonu alfa-2b ir ribavirinu, buvo atsitiktine tvarka suskirstyti į keturias skirtingai gydomų pacientų grupes: </w:t>
      </w:r>
    </w:p>
    <w:p w:rsidR="005E1DC0" w:rsidRPr="005E1DC0" w:rsidRDefault="005E1DC0" w:rsidP="005E1DC0">
      <w:pPr>
        <w:numPr>
          <w:ilvl w:val="0"/>
          <w:numId w:val="33"/>
        </w:numPr>
        <w:tabs>
          <w:tab w:val="num" w:pos="284"/>
        </w:tabs>
        <w:spacing w:after="0" w:line="240" w:lineRule="auto"/>
        <w:ind w:left="284" w:hanging="284"/>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peginterferonas alfa-2a po 360 mkg per savaitę 12 savaičių, paskui po 180 mkg per savaitę kitas 60 savaičių;</w:t>
      </w:r>
    </w:p>
    <w:p w:rsidR="005E1DC0" w:rsidRPr="005E1DC0" w:rsidRDefault="005E1DC0" w:rsidP="005E1DC0">
      <w:pPr>
        <w:numPr>
          <w:ilvl w:val="0"/>
          <w:numId w:val="33"/>
        </w:numPr>
        <w:tabs>
          <w:tab w:val="num" w:pos="284"/>
        </w:tabs>
        <w:spacing w:after="0" w:line="240" w:lineRule="auto"/>
        <w:ind w:left="284" w:hanging="284"/>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peginterferonas alfa-2a po 360 mkg per savaitę 12 savaičių, paskui po 180 mkg per savaitę kitas 36 savaites;</w:t>
      </w:r>
    </w:p>
    <w:p w:rsidR="005E1DC0" w:rsidRPr="005E1DC0" w:rsidRDefault="005E1DC0" w:rsidP="005E1DC0">
      <w:pPr>
        <w:numPr>
          <w:ilvl w:val="0"/>
          <w:numId w:val="33"/>
        </w:numPr>
        <w:tabs>
          <w:tab w:val="num" w:pos="284"/>
        </w:tabs>
        <w:spacing w:after="0" w:line="240" w:lineRule="auto"/>
        <w:ind w:left="284" w:hanging="284"/>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peginterferonas alfa-2a po 180 mkg per savaitę 72 savaites;</w:t>
      </w:r>
    </w:p>
    <w:p w:rsidR="005E1DC0" w:rsidRPr="005E1DC0" w:rsidRDefault="005E1DC0" w:rsidP="005E1DC0">
      <w:pPr>
        <w:numPr>
          <w:ilvl w:val="0"/>
          <w:numId w:val="33"/>
        </w:numPr>
        <w:tabs>
          <w:tab w:val="num" w:pos="284"/>
        </w:tabs>
        <w:spacing w:after="0" w:line="240" w:lineRule="auto"/>
        <w:ind w:left="284" w:hanging="284"/>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peginterferonas alfa-2a po 180 mkg per savaitę 48 savaites.</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Visiems pacientams buvo skiriama Copegus (1000 arba 1200 mg per parą) kartu su peginterferonu alfa-2a. Pabaigus gydymą visų grupių pacientai buvo stebimi 24 savaites.</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Daugeriopa regresija ir bendros grupių duomenų analizės, įvertinus gydymo trukmės ir indukcinio dozavimo įtaką, aiškiai nustatė, kad siekiant sukelti ilgalaikį virusologinį atsaką, 72 savaičių gydymo trukmė buvo svarbiausia. Ilgalaikio virusologinio atsako (IVA) skirtumai, atsižvelgiant į gydymo trukmę, demografiją ir geriausią atsaką į ankstesnį gydymą, pateikti 11 lentelėje.</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11 lentelė.</w:t>
      </w:r>
      <w:r w:rsidRPr="005E1DC0">
        <w:rPr>
          <w:rFonts w:ascii="Times New Roman" w:eastAsia="Times New Roman" w:hAnsi="Times New Roman" w:cs="Times New Roman"/>
          <w:b/>
          <w:lang w:eastAsia="lt-LT"/>
        </w:rPr>
        <w:tab/>
        <w:t>Virusologinis atsakas (VA) 12</w:t>
      </w:r>
      <w:r w:rsidRPr="005E1DC0">
        <w:rPr>
          <w:rFonts w:ascii="Times New Roman" w:eastAsia="Times New Roman" w:hAnsi="Times New Roman" w:cs="Times New Roman"/>
          <w:b/>
          <w:lang w:eastAsia="lt-LT"/>
        </w:rPr>
        <w:noBreakHyphen/>
        <w:t>ąją savaitę ir ilgalaikis virusologinis atsakas (IVA) pacientams, kuriems po gydymo Copegus ir peginterferono alfa-2a deriniu 12 savaitę buvo virusologinis atsakas ir kurie ankščiau į gydymą peginterferonu alfa-2b+ribavirinu nereagavo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51"/>
        <w:gridCol w:w="1966"/>
        <w:gridCol w:w="1966"/>
      </w:tblGrid>
      <w:tr w:rsidR="005E1DC0" w:rsidRPr="005E1DC0" w:rsidTr="00BB1B6B">
        <w:tc>
          <w:tcPr>
            <w:tcW w:w="1643" w:type="pct"/>
          </w:tcPr>
          <w:p w:rsidR="005E1DC0" w:rsidRPr="005E1DC0" w:rsidRDefault="005E1DC0" w:rsidP="005E1DC0">
            <w:pPr>
              <w:keepNext/>
              <w:spacing w:after="0" w:line="240" w:lineRule="auto"/>
              <w:rPr>
                <w:rFonts w:ascii="Times New Roman" w:eastAsia="Times New Roman" w:hAnsi="Times New Roman" w:cs="Times New Roman"/>
                <w:i/>
                <w:iCs/>
                <w:lang w:eastAsia="lt-LT"/>
              </w:rPr>
            </w:pPr>
          </w:p>
        </w:tc>
        <w:tc>
          <w:tcPr>
            <w:tcW w:w="1187" w:type="pct"/>
          </w:tcPr>
          <w:p w:rsidR="005E1DC0" w:rsidRPr="005E1DC0" w:rsidRDefault="005E1DC0" w:rsidP="005E1DC0">
            <w:pPr>
              <w:spacing w:after="0" w:line="240" w:lineRule="auto"/>
              <w:jc w:val="center"/>
              <w:rPr>
                <w:rFonts w:ascii="Times New Roman" w:eastAsia="Times New Roman" w:hAnsi="Times New Roman" w:cs="Times New Roman"/>
                <w:b/>
                <w:lang w:val="pt-BR"/>
              </w:rPr>
            </w:pPr>
            <w:r w:rsidRPr="005E1DC0">
              <w:rPr>
                <w:rFonts w:ascii="Times New Roman" w:eastAsia="Times New Roman" w:hAnsi="Times New Roman" w:cs="Times New Roman"/>
                <w:b/>
                <w:lang w:val="pt-BR"/>
              </w:rPr>
              <w:t xml:space="preserve">Copegus </w:t>
            </w:r>
          </w:p>
          <w:p w:rsidR="005E1DC0" w:rsidRPr="005E1DC0" w:rsidRDefault="005E1DC0" w:rsidP="005E1DC0">
            <w:pPr>
              <w:spacing w:after="0" w:line="240" w:lineRule="auto"/>
              <w:jc w:val="center"/>
              <w:rPr>
                <w:rFonts w:ascii="Times New Roman" w:eastAsia="Times New Roman" w:hAnsi="Times New Roman" w:cs="Times New Roman"/>
                <w:lang w:val="pt-BR"/>
              </w:rPr>
            </w:pPr>
            <w:r w:rsidRPr="005E1DC0">
              <w:rPr>
                <w:rFonts w:ascii="Times New Roman" w:eastAsia="Times New Roman" w:hAnsi="Times New Roman" w:cs="Times New Roman"/>
                <w:lang w:val="pt-BR"/>
              </w:rPr>
              <w:t>1000/1200 mg</w:t>
            </w:r>
          </w:p>
          <w:p w:rsidR="005E1DC0" w:rsidRPr="005E1DC0" w:rsidRDefault="005E1DC0" w:rsidP="005E1DC0">
            <w:pPr>
              <w:spacing w:after="0" w:line="240" w:lineRule="auto"/>
              <w:jc w:val="center"/>
              <w:rPr>
                <w:rFonts w:ascii="Times New Roman" w:eastAsia="Times New Roman" w:hAnsi="Times New Roman" w:cs="Times New Roman"/>
                <w:b/>
                <w:lang w:val="pt-BR"/>
              </w:rPr>
            </w:pPr>
            <w:r w:rsidRPr="005E1DC0">
              <w:rPr>
                <w:rFonts w:ascii="Times New Roman" w:eastAsia="Times New Roman" w:hAnsi="Times New Roman" w:cs="Times New Roman"/>
                <w:b/>
                <w:lang w:val="pt-BR"/>
              </w:rPr>
              <w:t>ir</w:t>
            </w:r>
          </w:p>
          <w:p w:rsidR="005E1DC0" w:rsidRPr="005E1DC0" w:rsidRDefault="005E1DC0" w:rsidP="005E1DC0">
            <w:pPr>
              <w:spacing w:after="0" w:line="240" w:lineRule="auto"/>
              <w:jc w:val="center"/>
              <w:rPr>
                <w:rFonts w:ascii="Times New Roman" w:eastAsia="Times New Roman" w:hAnsi="Times New Roman" w:cs="Times New Roman"/>
                <w:b/>
                <w:lang w:val="pt-BR"/>
              </w:rPr>
            </w:pPr>
            <w:r w:rsidRPr="005E1DC0">
              <w:rPr>
                <w:rFonts w:ascii="Times New Roman" w:eastAsia="Times New Roman" w:hAnsi="Times New Roman" w:cs="Times New Roman"/>
                <w:b/>
                <w:lang w:val="pt-BR"/>
              </w:rPr>
              <w:t xml:space="preserve">peginterferonas </w:t>
            </w:r>
          </w:p>
          <w:p w:rsidR="005E1DC0" w:rsidRPr="005E1DC0" w:rsidRDefault="005E1DC0" w:rsidP="005E1DC0">
            <w:pPr>
              <w:spacing w:after="0" w:line="240" w:lineRule="auto"/>
              <w:jc w:val="center"/>
              <w:rPr>
                <w:rFonts w:ascii="Times New Roman" w:eastAsia="Times New Roman" w:hAnsi="Times New Roman" w:cs="Times New Roman"/>
                <w:lang w:val="pt-BR"/>
              </w:rPr>
            </w:pPr>
            <w:r w:rsidRPr="005E1DC0">
              <w:rPr>
                <w:rFonts w:ascii="Times New Roman" w:eastAsia="Times New Roman" w:hAnsi="Times New Roman" w:cs="Times New Roman"/>
                <w:b/>
                <w:lang w:val="pt-BR"/>
              </w:rPr>
              <w:t xml:space="preserve">alfa-2a </w:t>
            </w:r>
            <w:r w:rsidRPr="005E1DC0">
              <w:rPr>
                <w:rFonts w:ascii="Times New Roman" w:eastAsia="Times New Roman" w:hAnsi="Times New Roman" w:cs="Times New Roman"/>
                <w:lang w:val="pt-BR"/>
              </w:rPr>
              <w:t>360/180 arba 180</w:t>
            </w:r>
            <w:r w:rsidRPr="005E1DC0">
              <w:rPr>
                <w:rFonts w:ascii="Times New Roman" w:eastAsia="Times New Roman" w:hAnsi="Times New Roman" w:cs="Times New Roman"/>
              </w:rPr>
              <w:t> mk</w:t>
            </w:r>
            <w:r w:rsidRPr="005E1DC0">
              <w:rPr>
                <w:rFonts w:ascii="Times New Roman" w:eastAsia="Times New Roman" w:hAnsi="Times New Roman" w:cs="Times New Roman"/>
                <w:lang w:val="pt-BR"/>
              </w:rPr>
              <w:t>g</w:t>
            </w:r>
            <w:r w:rsidRPr="005E1DC0">
              <w:rPr>
                <w:rFonts w:ascii="Times New Roman" w:eastAsia="Times New Roman" w:hAnsi="Times New Roman" w:cs="Times New Roman"/>
                <w:b/>
                <w:lang w:val="pt-BR"/>
              </w:rPr>
              <w:t xml:space="preserve"> </w:t>
            </w:r>
            <w:r w:rsidRPr="005E1DC0">
              <w:rPr>
                <w:rFonts w:ascii="Times New Roman" w:eastAsia="Times New Roman" w:hAnsi="Times New Roman" w:cs="Times New Roman"/>
                <w:b/>
                <w:lang w:val="pt-BR"/>
              </w:rPr>
              <w:br/>
            </w:r>
            <w:r w:rsidRPr="005E1DC0">
              <w:rPr>
                <w:rFonts w:ascii="Times New Roman" w:eastAsia="Times New Roman" w:hAnsi="Times New Roman" w:cs="Times New Roman"/>
                <w:lang w:val="pt-BR"/>
              </w:rPr>
              <w:t>72 arba 48 savaitės</w:t>
            </w:r>
            <w:r w:rsidRPr="005E1DC0">
              <w:rPr>
                <w:rFonts w:ascii="Times New Roman" w:eastAsia="Times New Roman" w:hAnsi="Times New Roman" w:cs="Times New Roman"/>
                <w:lang w:val="pt-BR"/>
              </w:rPr>
              <w:br/>
              <w:t>(N = 942)</w:t>
            </w:r>
          </w:p>
          <w:p w:rsidR="005E1DC0" w:rsidRPr="005E1DC0" w:rsidRDefault="005E1DC0" w:rsidP="005E1DC0">
            <w:pPr>
              <w:spacing w:after="0" w:line="240" w:lineRule="auto"/>
              <w:jc w:val="center"/>
              <w:rPr>
                <w:rFonts w:ascii="Times New Roman" w:eastAsia="Times New Roman" w:hAnsi="Times New Roman" w:cs="Times New Roman"/>
                <w:b/>
                <w:lang w:val="fi-FI"/>
              </w:rPr>
            </w:pPr>
            <w:r w:rsidRPr="005E1DC0">
              <w:rPr>
                <w:rFonts w:ascii="Times New Roman" w:eastAsia="Times New Roman" w:hAnsi="Times New Roman" w:cs="Times New Roman"/>
                <w:b/>
                <w:lang w:val="fi-FI"/>
              </w:rPr>
              <w:t>Pacientai, kuriems yra</w:t>
            </w:r>
          </w:p>
          <w:p w:rsidR="005E1DC0" w:rsidRPr="005E1DC0" w:rsidRDefault="005E1DC0" w:rsidP="005E1DC0">
            <w:pPr>
              <w:keepNext/>
              <w:spacing w:after="0" w:line="240" w:lineRule="auto"/>
              <w:jc w:val="center"/>
              <w:rPr>
                <w:rFonts w:ascii="Times New Roman" w:eastAsia="Times New Roman" w:hAnsi="Times New Roman" w:cs="Times New Roman"/>
                <w:i/>
                <w:iCs/>
                <w:lang w:val="fr-FR" w:eastAsia="lt-LT"/>
              </w:rPr>
            </w:pPr>
            <w:r w:rsidRPr="005E1DC0">
              <w:rPr>
                <w:rFonts w:ascii="Times New Roman" w:eastAsia="Times New Roman" w:hAnsi="Times New Roman" w:cs="Times New Roman"/>
                <w:b/>
                <w:lang w:val="fr-FR" w:eastAsia="lt-LT"/>
              </w:rPr>
              <w:t>VA 12 savaitę</w:t>
            </w:r>
            <w:r w:rsidRPr="005E1DC0">
              <w:rPr>
                <w:rFonts w:ascii="Times New Roman" w:eastAsia="Times New Roman" w:hAnsi="Times New Roman" w:cs="Times New Roman"/>
                <w:b/>
                <w:vertAlign w:val="superscript"/>
                <w:lang w:val="fr-FR" w:eastAsia="lt-LT"/>
              </w:rPr>
              <w:t xml:space="preserve"> a</w:t>
            </w:r>
            <w:r w:rsidRPr="005E1DC0">
              <w:rPr>
                <w:rFonts w:ascii="Times New Roman" w:eastAsia="Times New Roman" w:hAnsi="Times New Roman" w:cs="Times New Roman"/>
                <w:b/>
                <w:lang w:val="fr-FR" w:eastAsia="lt-LT"/>
              </w:rPr>
              <w:br/>
              <w:t>(N = 876)</w:t>
            </w:r>
          </w:p>
        </w:tc>
        <w:tc>
          <w:tcPr>
            <w:tcW w:w="1085" w:type="pct"/>
          </w:tcPr>
          <w:p w:rsidR="005E1DC0" w:rsidRPr="005E1DC0" w:rsidRDefault="005E1DC0" w:rsidP="005E1DC0">
            <w:pPr>
              <w:spacing w:after="0" w:line="240" w:lineRule="auto"/>
              <w:jc w:val="center"/>
              <w:rPr>
                <w:rFonts w:ascii="Times New Roman" w:eastAsia="Times New Roman" w:hAnsi="Times New Roman" w:cs="Times New Roman"/>
                <w:b/>
                <w:lang w:val="pt-BR"/>
              </w:rPr>
            </w:pPr>
            <w:r w:rsidRPr="005E1DC0">
              <w:rPr>
                <w:rFonts w:ascii="Times New Roman" w:eastAsia="Times New Roman" w:hAnsi="Times New Roman" w:cs="Times New Roman"/>
                <w:b/>
                <w:lang w:val="pt-BR"/>
              </w:rPr>
              <w:t xml:space="preserve">Copegus </w:t>
            </w:r>
          </w:p>
          <w:p w:rsidR="005E1DC0" w:rsidRPr="005E1DC0" w:rsidRDefault="005E1DC0" w:rsidP="005E1DC0">
            <w:pPr>
              <w:spacing w:after="0" w:line="240" w:lineRule="auto"/>
              <w:jc w:val="center"/>
              <w:rPr>
                <w:rFonts w:ascii="Times New Roman" w:eastAsia="Times New Roman" w:hAnsi="Times New Roman" w:cs="Times New Roman"/>
                <w:lang w:val="pt-BR"/>
              </w:rPr>
            </w:pPr>
            <w:r w:rsidRPr="005E1DC0">
              <w:rPr>
                <w:rFonts w:ascii="Times New Roman" w:eastAsia="Times New Roman" w:hAnsi="Times New Roman" w:cs="Times New Roman"/>
                <w:lang w:val="pt-BR"/>
              </w:rPr>
              <w:t>1000/1200 mg</w:t>
            </w:r>
          </w:p>
          <w:p w:rsidR="005E1DC0" w:rsidRPr="005E1DC0" w:rsidRDefault="005E1DC0" w:rsidP="005E1DC0">
            <w:pPr>
              <w:spacing w:after="0" w:line="240" w:lineRule="auto"/>
              <w:jc w:val="center"/>
              <w:rPr>
                <w:rFonts w:ascii="Times New Roman" w:eastAsia="Times New Roman" w:hAnsi="Times New Roman" w:cs="Times New Roman"/>
                <w:b/>
                <w:lang w:val="pt-BR"/>
              </w:rPr>
            </w:pPr>
            <w:r w:rsidRPr="005E1DC0">
              <w:rPr>
                <w:rFonts w:ascii="Times New Roman" w:eastAsia="Times New Roman" w:hAnsi="Times New Roman" w:cs="Times New Roman"/>
                <w:b/>
                <w:lang w:val="pt-BR"/>
              </w:rPr>
              <w:t>ir</w:t>
            </w:r>
          </w:p>
          <w:p w:rsidR="005E1DC0" w:rsidRPr="005E1DC0" w:rsidRDefault="005E1DC0" w:rsidP="005E1DC0">
            <w:pPr>
              <w:keepNext/>
              <w:spacing w:after="0" w:line="240" w:lineRule="auto"/>
              <w:jc w:val="center"/>
              <w:rPr>
                <w:rFonts w:ascii="Times New Roman" w:eastAsia="Times New Roman" w:hAnsi="Times New Roman" w:cs="Times New Roman"/>
                <w:b/>
                <w:lang w:val="pt-BR" w:eastAsia="lt-LT"/>
              </w:rPr>
            </w:pPr>
            <w:r w:rsidRPr="005E1DC0">
              <w:rPr>
                <w:rFonts w:ascii="Times New Roman" w:eastAsia="Times New Roman" w:hAnsi="Times New Roman" w:cs="Times New Roman"/>
                <w:b/>
                <w:lang w:val="pt-BR" w:eastAsia="lt-LT"/>
              </w:rPr>
              <w:t xml:space="preserve">peginterferonas alfa-2a </w:t>
            </w:r>
            <w:r w:rsidRPr="005E1DC0">
              <w:rPr>
                <w:rFonts w:ascii="Times New Roman" w:eastAsia="Times New Roman" w:hAnsi="Times New Roman" w:cs="Times New Roman"/>
                <w:lang w:val="pt-BR" w:eastAsia="lt-LT"/>
              </w:rPr>
              <w:t>360/180 arba 180</w:t>
            </w:r>
            <w:r w:rsidRPr="005E1DC0">
              <w:rPr>
                <w:rFonts w:ascii="Times New Roman" w:eastAsia="Times New Roman" w:hAnsi="Times New Roman" w:cs="Times New Roman"/>
                <w:lang w:eastAsia="lt-LT"/>
              </w:rPr>
              <w:t> mk</w:t>
            </w:r>
            <w:r w:rsidRPr="005E1DC0">
              <w:rPr>
                <w:rFonts w:ascii="Times New Roman" w:eastAsia="Times New Roman" w:hAnsi="Times New Roman" w:cs="Times New Roman"/>
                <w:lang w:val="pt-BR" w:eastAsia="lt-LT"/>
              </w:rPr>
              <w:t>g</w:t>
            </w:r>
            <w:r w:rsidRPr="005E1DC0">
              <w:rPr>
                <w:rFonts w:ascii="Times New Roman" w:eastAsia="Times New Roman" w:hAnsi="Times New Roman" w:cs="Times New Roman"/>
                <w:b/>
                <w:lang w:val="pt-BR" w:eastAsia="lt-LT"/>
              </w:rPr>
              <w:t xml:space="preserve"> </w:t>
            </w:r>
          </w:p>
          <w:p w:rsidR="005E1DC0" w:rsidRPr="005E1DC0" w:rsidRDefault="005E1DC0" w:rsidP="005E1DC0">
            <w:pPr>
              <w:keepNext/>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72 savaitės</w:t>
            </w:r>
            <w:r w:rsidRPr="005E1DC0">
              <w:rPr>
                <w:rFonts w:ascii="Times New Roman" w:eastAsia="Times New Roman" w:hAnsi="Times New Roman" w:cs="Times New Roman"/>
                <w:lang w:eastAsia="lt-LT"/>
              </w:rPr>
              <w:br/>
              <w:t>(N = 473)</w:t>
            </w:r>
          </w:p>
          <w:p w:rsidR="005E1DC0" w:rsidRPr="005E1DC0" w:rsidRDefault="005E1DC0" w:rsidP="005E1DC0">
            <w:pPr>
              <w:keepNext/>
              <w:spacing w:after="0" w:line="240" w:lineRule="auto"/>
              <w:jc w:val="center"/>
              <w:rPr>
                <w:rFonts w:ascii="Times New Roman" w:eastAsia="Times New Roman" w:hAnsi="Times New Roman" w:cs="Times New Roman"/>
                <w:b/>
                <w:i/>
                <w:iCs/>
                <w:lang w:val="pt-BR" w:eastAsia="lt-LT"/>
              </w:rPr>
            </w:pPr>
            <w:r w:rsidRPr="005E1DC0">
              <w:rPr>
                <w:rFonts w:ascii="Times New Roman" w:eastAsia="Times New Roman" w:hAnsi="Times New Roman" w:cs="Times New Roman"/>
                <w:b/>
                <w:lang w:val="pt-BR" w:eastAsia="lt-LT"/>
              </w:rPr>
              <w:t>IVA pacientams, kuriems yra VA 12 savaitę</w:t>
            </w:r>
            <w:r w:rsidRPr="005E1DC0">
              <w:rPr>
                <w:rFonts w:ascii="Times New Roman" w:eastAsia="Times New Roman" w:hAnsi="Times New Roman" w:cs="Times New Roman"/>
                <w:b/>
                <w:vertAlign w:val="superscript"/>
                <w:lang w:val="pt-BR" w:eastAsia="lt-LT"/>
              </w:rPr>
              <w:t xml:space="preserve"> b</w:t>
            </w:r>
            <w:r w:rsidRPr="005E1DC0">
              <w:rPr>
                <w:rFonts w:ascii="Times New Roman" w:eastAsia="Times New Roman" w:hAnsi="Times New Roman" w:cs="Times New Roman"/>
                <w:b/>
                <w:lang w:val="pt-BR" w:eastAsia="lt-LT"/>
              </w:rPr>
              <w:br/>
              <w:t>(N = 100)</w:t>
            </w:r>
          </w:p>
        </w:tc>
        <w:tc>
          <w:tcPr>
            <w:tcW w:w="1085" w:type="pct"/>
          </w:tcPr>
          <w:p w:rsidR="005E1DC0" w:rsidRPr="005E1DC0" w:rsidRDefault="005E1DC0" w:rsidP="005E1DC0">
            <w:pPr>
              <w:spacing w:after="0" w:line="240" w:lineRule="auto"/>
              <w:jc w:val="center"/>
              <w:rPr>
                <w:rFonts w:ascii="Times New Roman" w:eastAsia="Times New Roman" w:hAnsi="Times New Roman" w:cs="Times New Roman"/>
                <w:lang w:val="pt-BR"/>
              </w:rPr>
            </w:pPr>
            <w:r w:rsidRPr="005E1DC0">
              <w:rPr>
                <w:rFonts w:ascii="Times New Roman" w:eastAsia="Times New Roman" w:hAnsi="Times New Roman" w:cs="Times New Roman"/>
                <w:b/>
                <w:lang w:val="pt-BR"/>
              </w:rPr>
              <w:t>Copegus</w:t>
            </w:r>
            <w:r w:rsidRPr="005E1DC0">
              <w:rPr>
                <w:rFonts w:ascii="Times New Roman" w:eastAsia="Times New Roman" w:hAnsi="Times New Roman" w:cs="Times New Roman"/>
                <w:lang w:val="pt-BR"/>
              </w:rPr>
              <w:t xml:space="preserve"> </w:t>
            </w:r>
          </w:p>
          <w:p w:rsidR="005E1DC0" w:rsidRPr="005E1DC0" w:rsidRDefault="005E1DC0" w:rsidP="005E1DC0">
            <w:pPr>
              <w:spacing w:after="0" w:line="240" w:lineRule="auto"/>
              <w:jc w:val="center"/>
              <w:rPr>
                <w:rFonts w:ascii="Times New Roman" w:eastAsia="Times New Roman" w:hAnsi="Times New Roman" w:cs="Times New Roman"/>
                <w:lang w:val="pt-BR"/>
              </w:rPr>
            </w:pPr>
            <w:r w:rsidRPr="005E1DC0">
              <w:rPr>
                <w:rFonts w:ascii="Times New Roman" w:eastAsia="Times New Roman" w:hAnsi="Times New Roman" w:cs="Times New Roman"/>
                <w:lang w:val="pt-BR"/>
              </w:rPr>
              <w:t>1000/1200 mg</w:t>
            </w:r>
          </w:p>
          <w:p w:rsidR="005E1DC0" w:rsidRPr="005E1DC0" w:rsidRDefault="005E1DC0" w:rsidP="005E1DC0">
            <w:pPr>
              <w:spacing w:after="0" w:line="240" w:lineRule="auto"/>
              <w:jc w:val="center"/>
              <w:rPr>
                <w:rFonts w:ascii="Times New Roman" w:eastAsia="Times New Roman" w:hAnsi="Times New Roman" w:cs="Times New Roman"/>
                <w:b/>
                <w:lang w:val="pt-BR"/>
              </w:rPr>
            </w:pPr>
            <w:r w:rsidRPr="005E1DC0">
              <w:rPr>
                <w:rFonts w:ascii="Times New Roman" w:eastAsia="Times New Roman" w:hAnsi="Times New Roman" w:cs="Times New Roman"/>
                <w:b/>
                <w:lang w:val="pt-BR"/>
              </w:rPr>
              <w:t>ir</w:t>
            </w:r>
          </w:p>
          <w:p w:rsidR="005E1DC0" w:rsidRPr="005E1DC0" w:rsidRDefault="005E1DC0" w:rsidP="005E1DC0">
            <w:pPr>
              <w:keepNext/>
              <w:spacing w:after="0" w:line="240" w:lineRule="auto"/>
              <w:jc w:val="center"/>
              <w:rPr>
                <w:rFonts w:ascii="Times New Roman" w:eastAsia="Times New Roman" w:hAnsi="Times New Roman" w:cs="Times New Roman"/>
                <w:b/>
                <w:lang w:val="pt-BR" w:eastAsia="lt-LT"/>
              </w:rPr>
            </w:pPr>
            <w:r w:rsidRPr="005E1DC0">
              <w:rPr>
                <w:rFonts w:ascii="Times New Roman" w:eastAsia="Times New Roman" w:hAnsi="Times New Roman" w:cs="Times New Roman"/>
                <w:b/>
                <w:lang w:val="pt-BR" w:eastAsia="lt-LT"/>
              </w:rPr>
              <w:t>peginterferonas alfa-2a</w:t>
            </w:r>
            <w:r w:rsidRPr="005E1DC0">
              <w:rPr>
                <w:rFonts w:ascii="Times New Roman" w:eastAsia="Times New Roman" w:hAnsi="Times New Roman" w:cs="Times New Roman"/>
                <w:lang w:val="pt-BR" w:eastAsia="lt-LT"/>
              </w:rPr>
              <w:t xml:space="preserve"> 360/180 arba 180</w:t>
            </w:r>
            <w:r w:rsidRPr="005E1DC0">
              <w:rPr>
                <w:rFonts w:ascii="Times New Roman" w:eastAsia="Times New Roman" w:hAnsi="Times New Roman" w:cs="Times New Roman"/>
                <w:lang w:eastAsia="lt-LT"/>
              </w:rPr>
              <w:t> mk</w:t>
            </w:r>
            <w:r w:rsidRPr="005E1DC0">
              <w:rPr>
                <w:rFonts w:ascii="Times New Roman" w:eastAsia="Times New Roman" w:hAnsi="Times New Roman" w:cs="Times New Roman"/>
                <w:lang w:val="pt-BR" w:eastAsia="lt-LT"/>
              </w:rPr>
              <w:t>g</w:t>
            </w:r>
            <w:r w:rsidRPr="005E1DC0">
              <w:rPr>
                <w:rFonts w:ascii="Times New Roman" w:eastAsia="Times New Roman" w:hAnsi="Times New Roman" w:cs="Times New Roman"/>
                <w:b/>
                <w:lang w:val="pt-BR" w:eastAsia="lt-LT"/>
              </w:rPr>
              <w:t xml:space="preserve"> </w:t>
            </w:r>
          </w:p>
          <w:p w:rsidR="005E1DC0" w:rsidRPr="005E1DC0" w:rsidRDefault="005E1DC0" w:rsidP="005E1DC0">
            <w:pPr>
              <w:keepNext/>
              <w:spacing w:after="0" w:line="240" w:lineRule="auto"/>
              <w:jc w:val="center"/>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48 savaitės</w:t>
            </w:r>
            <w:r w:rsidRPr="005E1DC0">
              <w:rPr>
                <w:rFonts w:ascii="Times New Roman" w:eastAsia="Times New Roman" w:hAnsi="Times New Roman" w:cs="Times New Roman"/>
                <w:lang w:eastAsia="lt-LT"/>
              </w:rPr>
              <w:br/>
              <w:t>(N = 469)</w:t>
            </w:r>
          </w:p>
          <w:p w:rsidR="005E1DC0" w:rsidRPr="005E1DC0" w:rsidRDefault="005E1DC0" w:rsidP="005E1DC0">
            <w:pPr>
              <w:keepNext/>
              <w:spacing w:after="0" w:line="240" w:lineRule="auto"/>
              <w:jc w:val="center"/>
              <w:rPr>
                <w:rFonts w:ascii="Times New Roman" w:eastAsia="Times New Roman" w:hAnsi="Times New Roman" w:cs="Times New Roman"/>
                <w:b/>
                <w:i/>
                <w:iCs/>
                <w:lang w:val="pt-BR" w:eastAsia="lt-LT"/>
              </w:rPr>
            </w:pPr>
            <w:r w:rsidRPr="005E1DC0">
              <w:rPr>
                <w:rFonts w:ascii="Times New Roman" w:eastAsia="Times New Roman" w:hAnsi="Times New Roman" w:cs="Times New Roman"/>
                <w:b/>
                <w:lang w:val="pt-BR" w:eastAsia="lt-LT"/>
              </w:rPr>
              <w:t>IVA pacientams, kuriems yra VA 12 savaitę</w:t>
            </w:r>
            <w:r w:rsidRPr="005E1DC0">
              <w:rPr>
                <w:rFonts w:ascii="Times New Roman" w:eastAsia="Times New Roman" w:hAnsi="Times New Roman" w:cs="Times New Roman"/>
                <w:b/>
                <w:vertAlign w:val="superscript"/>
                <w:lang w:val="pt-BR" w:eastAsia="lt-LT"/>
              </w:rPr>
              <w:t xml:space="preserve"> b </w:t>
            </w:r>
            <w:r w:rsidRPr="005E1DC0">
              <w:rPr>
                <w:rFonts w:ascii="Times New Roman" w:eastAsia="Times New Roman" w:hAnsi="Times New Roman" w:cs="Times New Roman"/>
                <w:b/>
                <w:lang w:val="pt-BR" w:eastAsia="lt-LT"/>
              </w:rPr>
              <w:br/>
              <w:t>(N = 57)</w:t>
            </w:r>
          </w:p>
        </w:tc>
      </w:tr>
      <w:tr w:rsidR="005E1DC0" w:rsidRPr="005E1DC0" w:rsidTr="00BB1B6B">
        <w:trPr>
          <w:trHeight w:val="785"/>
        </w:trPr>
        <w:tc>
          <w:tcPr>
            <w:tcW w:w="1643" w:type="pct"/>
          </w:tcPr>
          <w:p w:rsidR="005E1DC0" w:rsidRPr="005E1DC0" w:rsidRDefault="005E1DC0" w:rsidP="005E1DC0">
            <w:pPr>
              <w:keepNext/>
              <w:spacing w:after="0" w:line="240" w:lineRule="auto"/>
              <w:rPr>
                <w:rFonts w:ascii="Times New Roman" w:eastAsia="Times New Roman" w:hAnsi="Times New Roman" w:cs="Times New Roman"/>
                <w:b/>
                <w:i/>
                <w:iCs/>
                <w:lang w:val="pt-BR" w:eastAsia="lt-LT"/>
              </w:rPr>
            </w:pPr>
            <w:r w:rsidRPr="005E1DC0">
              <w:rPr>
                <w:rFonts w:ascii="Times New Roman" w:eastAsia="Times New Roman" w:hAnsi="Times New Roman" w:cs="Times New Roman"/>
                <w:b/>
                <w:lang w:val="pt-BR" w:eastAsia="lt-LT"/>
              </w:rPr>
              <w:t>Iš viso</w:t>
            </w:r>
          </w:p>
          <w:p w:rsidR="005E1DC0" w:rsidRPr="005E1DC0" w:rsidRDefault="005E1DC0" w:rsidP="005E1DC0">
            <w:pPr>
              <w:keepNext/>
              <w:spacing w:after="0" w:line="240" w:lineRule="auto"/>
              <w:rPr>
                <w:rFonts w:ascii="Times New Roman" w:eastAsia="Times New Roman" w:hAnsi="Times New Roman" w:cs="Times New Roman"/>
                <w:i/>
                <w:iCs/>
                <w:lang w:val="pt-BR" w:eastAsia="lt-LT"/>
              </w:rPr>
            </w:pPr>
            <w:r w:rsidRPr="005E1DC0">
              <w:rPr>
                <w:rFonts w:ascii="Times New Roman" w:eastAsia="Times New Roman" w:hAnsi="Times New Roman" w:cs="Times New Roman"/>
                <w:lang w:val="pt-BR" w:eastAsia="lt-LT"/>
              </w:rPr>
              <w:t xml:space="preserve">    Neryški viremija</w:t>
            </w:r>
          </w:p>
          <w:p w:rsidR="005E1DC0" w:rsidRPr="005E1DC0" w:rsidRDefault="005E1DC0" w:rsidP="005E1DC0">
            <w:pPr>
              <w:keepNext/>
              <w:spacing w:after="0" w:line="240" w:lineRule="auto"/>
              <w:rPr>
                <w:rFonts w:ascii="Times New Roman" w:eastAsia="Times New Roman" w:hAnsi="Times New Roman" w:cs="Times New Roman"/>
                <w:i/>
                <w:iCs/>
                <w:lang w:val="pt-BR" w:eastAsia="lt-LT"/>
              </w:rPr>
            </w:pPr>
            <w:r w:rsidRPr="005E1DC0">
              <w:rPr>
                <w:rFonts w:ascii="Times New Roman" w:eastAsia="Times New Roman" w:hAnsi="Times New Roman" w:cs="Times New Roman"/>
                <w:lang w:val="pt-BR" w:eastAsia="lt-LT"/>
              </w:rPr>
              <w:t xml:space="preserve">    Ryški viremija</w:t>
            </w:r>
          </w:p>
        </w:tc>
        <w:tc>
          <w:tcPr>
            <w:tcW w:w="1187" w:type="pct"/>
          </w:tcPr>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val="pt-BR" w:eastAsia="lt-LT"/>
              </w:rPr>
              <w:t xml:space="preserve">   </w:t>
            </w:r>
            <w:r w:rsidRPr="005E1DC0">
              <w:rPr>
                <w:rFonts w:ascii="Times New Roman" w:eastAsia="Times New Roman" w:hAnsi="Times New Roman" w:cs="Times New Roman"/>
                <w:lang w:eastAsia="lt-LT"/>
              </w:rPr>
              <w:t>18 % (157/876)</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35 % (56/159)</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14 % (97/686)</w:t>
            </w:r>
          </w:p>
        </w:tc>
        <w:tc>
          <w:tcPr>
            <w:tcW w:w="1085" w:type="pct"/>
          </w:tcPr>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57 % (57/100)</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63 % (22/35)</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54 % (34/63)</w:t>
            </w:r>
          </w:p>
        </w:tc>
        <w:tc>
          <w:tcPr>
            <w:tcW w:w="1085" w:type="pct"/>
          </w:tcPr>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35 % (20/57)</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38 % (8/21)</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32 % (11/34)</w:t>
            </w:r>
          </w:p>
        </w:tc>
      </w:tr>
      <w:tr w:rsidR="005E1DC0" w:rsidRPr="005E1DC0" w:rsidTr="00BB1B6B">
        <w:tc>
          <w:tcPr>
            <w:tcW w:w="1643" w:type="pct"/>
          </w:tcPr>
          <w:p w:rsidR="005E1DC0" w:rsidRPr="005E1DC0" w:rsidRDefault="005E1DC0" w:rsidP="005E1DC0">
            <w:pPr>
              <w:keepNext/>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Genotipas 1/4</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Neryški viremija</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Ryški viremija</w:t>
            </w:r>
          </w:p>
        </w:tc>
        <w:tc>
          <w:tcPr>
            <w:tcW w:w="1187" w:type="pct"/>
          </w:tcPr>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17 % (140/846)</w:t>
            </w:r>
          </w:p>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35 % (54/154)</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13 % (84/663)</w:t>
            </w:r>
          </w:p>
        </w:tc>
        <w:tc>
          <w:tcPr>
            <w:tcW w:w="1085" w:type="pct"/>
          </w:tcPr>
          <w:p w:rsidR="005E1DC0" w:rsidRPr="005E1DC0" w:rsidRDefault="005E1DC0" w:rsidP="005E1DC0">
            <w:pPr>
              <w:keepNext/>
              <w:spacing w:after="0" w:line="240" w:lineRule="auto"/>
              <w:ind w:firstLine="240"/>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55 % (52/94)</w:t>
            </w:r>
          </w:p>
          <w:p w:rsidR="005E1DC0" w:rsidRPr="005E1DC0" w:rsidRDefault="005E1DC0" w:rsidP="005E1DC0">
            <w:pPr>
              <w:keepNext/>
              <w:spacing w:after="0" w:line="240" w:lineRule="auto"/>
              <w:ind w:firstLine="240"/>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63 % (22/35)</w:t>
            </w:r>
          </w:p>
          <w:p w:rsidR="005E1DC0" w:rsidRPr="005E1DC0" w:rsidRDefault="005E1DC0" w:rsidP="005E1DC0">
            <w:pPr>
              <w:keepNext/>
              <w:spacing w:after="0" w:line="240" w:lineRule="auto"/>
              <w:ind w:firstLine="240"/>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52 % (30/58)</w:t>
            </w:r>
          </w:p>
        </w:tc>
        <w:tc>
          <w:tcPr>
            <w:tcW w:w="1085" w:type="pct"/>
          </w:tcPr>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35 % (16/46)</w:t>
            </w:r>
          </w:p>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37 % (7/19)</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35 % (9/26)</w:t>
            </w:r>
          </w:p>
        </w:tc>
      </w:tr>
      <w:tr w:rsidR="005E1DC0" w:rsidRPr="005E1DC0" w:rsidTr="00BB1B6B">
        <w:tc>
          <w:tcPr>
            <w:tcW w:w="1643" w:type="pct"/>
          </w:tcPr>
          <w:p w:rsidR="005E1DC0" w:rsidRPr="005E1DC0" w:rsidRDefault="005E1DC0" w:rsidP="005E1DC0">
            <w:pPr>
              <w:keepNext/>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Genotipas 2/3</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Neryški viremija</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Ryški viremija</w:t>
            </w:r>
          </w:p>
        </w:tc>
        <w:tc>
          <w:tcPr>
            <w:tcW w:w="1187" w:type="pct"/>
          </w:tcPr>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58 % (15/26)</w:t>
            </w:r>
          </w:p>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(2/5)</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(11/19)</w:t>
            </w:r>
          </w:p>
        </w:tc>
        <w:tc>
          <w:tcPr>
            <w:tcW w:w="1085" w:type="pct"/>
          </w:tcPr>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(4/5)</w:t>
            </w:r>
          </w:p>
          <w:p w:rsidR="005E1DC0" w:rsidRPr="005E1DC0" w:rsidRDefault="005E1DC0" w:rsidP="005E1DC0">
            <w:pPr>
              <w:keepNext/>
              <w:spacing w:after="0" w:line="240" w:lineRule="auto"/>
              <w:ind w:firstLine="225"/>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p>
          <w:p w:rsidR="005E1DC0" w:rsidRPr="005E1DC0" w:rsidRDefault="005E1DC0" w:rsidP="005E1DC0">
            <w:pPr>
              <w:keepNext/>
              <w:spacing w:after="0" w:line="240" w:lineRule="auto"/>
              <w:ind w:firstLine="225"/>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(3/4)</w:t>
            </w:r>
          </w:p>
        </w:tc>
        <w:tc>
          <w:tcPr>
            <w:tcW w:w="1085" w:type="pct"/>
          </w:tcPr>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(3/10)</w:t>
            </w:r>
          </w:p>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(1/2)</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(1/7)</w:t>
            </w:r>
          </w:p>
        </w:tc>
      </w:tr>
      <w:tr w:rsidR="005E1DC0" w:rsidRPr="005E1DC0" w:rsidTr="00BB1B6B">
        <w:tc>
          <w:tcPr>
            <w:tcW w:w="1643" w:type="pct"/>
          </w:tcPr>
          <w:p w:rsidR="005E1DC0" w:rsidRPr="005E1DC0" w:rsidRDefault="005E1DC0" w:rsidP="005E1DC0">
            <w:pPr>
              <w:keepNext/>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Cirozės būklė</w:t>
            </w:r>
          </w:p>
          <w:p w:rsidR="005E1DC0" w:rsidRPr="005E1DC0" w:rsidRDefault="005E1DC0" w:rsidP="005E1DC0">
            <w:pPr>
              <w:keepNext/>
              <w:spacing w:after="0" w:line="240" w:lineRule="auto"/>
              <w:ind w:firstLine="225"/>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Cirozė yra</w:t>
            </w:r>
          </w:p>
          <w:p w:rsidR="005E1DC0" w:rsidRPr="005E1DC0" w:rsidRDefault="005E1DC0" w:rsidP="005E1DC0">
            <w:pPr>
              <w:keepNext/>
              <w:spacing w:after="0" w:line="240" w:lineRule="auto"/>
              <w:ind w:firstLine="225"/>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Cirozės nėra</w:t>
            </w:r>
          </w:p>
        </w:tc>
        <w:tc>
          <w:tcPr>
            <w:tcW w:w="1187" w:type="pct"/>
          </w:tcPr>
          <w:p w:rsidR="005E1DC0" w:rsidRPr="005E1DC0" w:rsidRDefault="005E1DC0" w:rsidP="005E1DC0">
            <w:pPr>
              <w:keepNext/>
              <w:spacing w:after="0" w:line="240" w:lineRule="auto"/>
              <w:rPr>
                <w:rFonts w:ascii="Times New Roman" w:eastAsia="Times New Roman" w:hAnsi="Times New Roman" w:cs="Times New Roman"/>
                <w:lang w:eastAsia="lt-LT"/>
              </w:rPr>
            </w:pPr>
          </w:p>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8 % (19/239)</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22 % (137/633)</w:t>
            </w:r>
          </w:p>
        </w:tc>
        <w:tc>
          <w:tcPr>
            <w:tcW w:w="1085" w:type="pct"/>
          </w:tcPr>
          <w:p w:rsidR="005E1DC0" w:rsidRPr="005E1DC0" w:rsidRDefault="005E1DC0" w:rsidP="005E1DC0">
            <w:pPr>
              <w:keepNext/>
              <w:spacing w:after="0" w:line="240" w:lineRule="auto"/>
              <w:rPr>
                <w:rFonts w:ascii="Times New Roman" w:eastAsia="Times New Roman" w:hAnsi="Times New Roman" w:cs="Times New Roman"/>
                <w:lang w:eastAsia="lt-LT"/>
              </w:rPr>
            </w:pPr>
          </w:p>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(6/13)</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59 % (51/87)</w:t>
            </w:r>
          </w:p>
        </w:tc>
        <w:tc>
          <w:tcPr>
            <w:tcW w:w="1085" w:type="pct"/>
          </w:tcPr>
          <w:p w:rsidR="005E1DC0" w:rsidRPr="005E1DC0" w:rsidRDefault="005E1DC0" w:rsidP="005E1DC0">
            <w:pPr>
              <w:keepNext/>
              <w:spacing w:after="0" w:line="240" w:lineRule="auto"/>
              <w:rPr>
                <w:rFonts w:ascii="Times New Roman" w:eastAsia="Times New Roman" w:hAnsi="Times New Roman" w:cs="Times New Roman"/>
                <w:lang w:eastAsia="lt-LT"/>
              </w:rPr>
            </w:pPr>
          </w:p>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              (3/6)</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34 % (17/50)</w:t>
            </w:r>
          </w:p>
        </w:tc>
      </w:tr>
      <w:tr w:rsidR="005E1DC0" w:rsidRPr="005E1DC0" w:rsidTr="00BB1B6B">
        <w:tc>
          <w:tcPr>
            <w:tcW w:w="1643" w:type="pct"/>
          </w:tcPr>
          <w:p w:rsidR="005E1DC0" w:rsidRPr="005E1DC0" w:rsidRDefault="005E1DC0" w:rsidP="005E1DC0">
            <w:pPr>
              <w:keepNext/>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Geriausias atsakas ankstesnio gydymo metu</w:t>
            </w:r>
          </w:p>
          <w:p w:rsidR="005E1DC0" w:rsidRPr="005E1DC0" w:rsidRDefault="005E1DC0" w:rsidP="005E1DC0">
            <w:pPr>
              <w:keepNext/>
              <w:spacing w:after="0" w:line="240" w:lineRule="auto"/>
              <w:rPr>
                <w:rFonts w:ascii="Times New Roman" w:eastAsia="Times New Roman" w:hAnsi="Times New Roman" w:cs="Times New Roman"/>
                <w:lang w:val="nl-BE" w:eastAsia="lt-LT"/>
              </w:rPr>
            </w:pPr>
            <w:r w:rsidRPr="005E1DC0">
              <w:rPr>
                <w:rFonts w:ascii="Times New Roman" w:eastAsia="Times New Roman" w:hAnsi="Times New Roman" w:cs="Times New Roman"/>
                <w:lang w:val="nl-BE" w:eastAsia="lt-LT"/>
              </w:rPr>
              <w:t>HCV RNR</w:t>
            </w:r>
            <w:r w:rsidRPr="005E1DC0">
              <w:rPr>
                <w:rFonts w:ascii="Times New Roman" w:eastAsia="Times New Roman" w:hAnsi="Times New Roman" w:cs="Times New Roman"/>
                <w:lang w:eastAsia="lt-LT"/>
              </w:rPr>
              <w:t xml:space="preserve"> </w:t>
            </w:r>
            <w:r w:rsidRPr="005E1DC0">
              <w:rPr>
                <w:rFonts w:ascii="Times New Roman" w:eastAsia="Times New Roman" w:hAnsi="Times New Roman" w:cs="Times New Roman"/>
                <w:lang w:val="nl-BE" w:eastAsia="lt-LT"/>
              </w:rPr>
              <w:t>sumažėjo</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lang w:eastAsia="lt-LT"/>
              </w:rPr>
              <w:sym w:font="Symbol" w:char="F0B3"/>
            </w:r>
            <w:r w:rsidRPr="005E1DC0">
              <w:rPr>
                <w:rFonts w:ascii="Times New Roman" w:eastAsia="Times New Roman" w:hAnsi="Times New Roman" w:cs="Times New Roman"/>
                <w:lang w:val="nl-BE" w:eastAsia="lt-LT"/>
              </w:rPr>
              <w:t>2log</w:t>
            </w:r>
            <w:r w:rsidRPr="005E1DC0">
              <w:rPr>
                <w:rFonts w:ascii="Times New Roman" w:eastAsia="Times New Roman" w:hAnsi="Times New Roman" w:cs="Times New Roman"/>
                <w:vertAlign w:val="subscript"/>
                <w:lang w:val="nl-BE" w:eastAsia="lt-LT"/>
              </w:rPr>
              <w:t>10</w:t>
            </w:r>
          </w:p>
          <w:p w:rsidR="005E1DC0" w:rsidRPr="005E1DC0" w:rsidRDefault="005E1DC0" w:rsidP="005E1DC0">
            <w:pPr>
              <w:keepNext/>
              <w:spacing w:after="0" w:line="240" w:lineRule="auto"/>
              <w:rPr>
                <w:rFonts w:ascii="Times New Roman" w:eastAsia="Times New Roman" w:hAnsi="Times New Roman" w:cs="Times New Roman"/>
                <w:lang w:val="nl-BE" w:eastAsia="lt-LT"/>
              </w:rPr>
            </w:pPr>
            <w:r w:rsidRPr="005E1DC0">
              <w:rPr>
                <w:rFonts w:ascii="Times New Roman" w:eastAsia="Times New Roman" w:hAnsi="Times New Roman" w:cs="Times New Roman"/>
                <w:lang w:val="nl-BE" w:eastAsia="lt-LT"/>
              </w:rPr>
              <w:t>HCV RNR</w:t>
            </w:r>
            <w:r w:rsidRPr="005E1DC0">
              <w:rPr>
                <w:rFonts w:ascii="Times New Roman" w:eastAsia="Times New Roman" w:hAnsi="Times New Roman" w:cs="Times New Roman"/>
                <w:lang w:eastAsia="lt-LT"/>
              </w:rPr>
              <w:t xml:space="preserve"> </w:t>
            </w:r>
            <w:r w:rsidRPr="005E1DC0">
              <w:rPr>
                <w:rFonts w:ascii="Times New Roman" w:eastAsia="Times New Roman" w:hAnsi="Times New Roman" w:cs="Times New Roman"/>
                <w:lang w:val="nl-BE" w:eastAsia="lt-LT"/>
              </w:rPr>
              <w:t>sumažėjo</w:t>
            </w:r>
            <w:r w:rsidRPr="005E1DC0">
              <w:rPr>
                <w:rFonts w:ascii="Times New Roman" w:eastAsia="Times New Roman" w:hAnsi="Times New Roman" w:cs="Times New Roman"/>
                <w:lang w:eastAsia="lt-LT"/>
              </w:rPr>
              <w:t> </w:t>
            </w:r>
            <w:r w:rsidRPr="005E1DC0">
              <w:rPr>
                <w:rFonts w:ascii="Times New Roman" w:eastAsia="Times New Roman" w:hAnsi="Times New Roman" w:cs="Times New Roman"/>
                <w:lang w:val="nl-BE" w:eastAsia="lt-LT"/>
              </w:rPr>
              <w:t xml:space="preserve"> &lt;2log</w:t>
            </w:r>
            <w:r w:rsidRPr="005E1DC0">
              <w:rPr>
                <w:rFonts w:ascii="Times New Roman" w:eastAsia="Times New Roman" w:hAnsi="Times New Roman" w:cs="Times New Roman"/>
                <w:vertAlign w:val="subscript"/>
                <w:lang w:val="nl-BE" w:eastAsia="lt-LT"/>
              </w:rPr>
              <w:t>10</w:t>
            </w:r>
          </w:p>
          <w:p w:rsidR="005E1DC0" w:rsidRPr="005E1DC0" w:rsidRDefault="005E1DC0" w:rsidP="005E1DC0">
            <w:pPr>
              <w:keepNext/>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Geriausio ankstesnio atsako nebuvo</w:t>
            </w:r>
          </w:p>
        </w:tc>
        <w:tc>
          <w:tcPr>
            <w:tcW w:w="1187" w:type="pct"/>
          </w:tcPr>
          <w:p w:rsidR="005E1DC0" w:rsidRPr="005E1DC0" w:rsidRDefault="005E1DC0" w:rsidP="005E1DC0">
            <w:pPr>
              <w:keepNext/>
              <w:spacing w:after="0" w:line="240" w:lineRule="auto"/>
              <w:rPr>
                <w:rFonts w:ascii="Times New Roman" w:eastAsia="Times New Roman" w:hAnsi="Times New Roman" w:cs="Times New Roman"/>
                <w:lang w:val="nl-BE" w:eastAsia="lt-LT"/>
              </w:rPr>
            </w:pPr>
          </w:p>
          <w:p w:rsidR="005E1DC0" w:rsidRPr="005E1DC0" w:rsidRDefault="005E1DC0" w:rsidP="005E1DC0">
            <w:pPr>
              <w:keepNext/>
              <w:spacing w:after="0" w:line="240" w:lineRule="auto"/>
              <w:rPr>
                <w:rFonts w:ascii="Times New Roman" w:eastAsia="Times New Roman" w:hAnsi="Times New Roman" w:cs="Times New Roman"/>
                <w:lang w:val="nl-BE" w:eastAsia="lt-LT"/>
              </w:rPr>
            </w:pPr>
          </w:p>
          <w:p w:rsidR="005E1DC0" w:rsidRPr="005E1DC0" w:rsidRDefault="005E1DC0" w:rsidP="005E1DC0">
            <w:pPr>
              <w:keepNext/>
              <w:spacing w:after="0" w:line="240" w:lineRule="auto"/>
              <w:rPr>
                <w:rFonts w:ascii="Times New Roman" w:eastAsia="Times New Roman" w:hAnsi="Times New Roman" w:cs="Times New Roman"/>
                <w:lang w:val="nl-BE" w:eastAsia="lt-LT"/>
              </w:rPr>
            </w:pPr>
            <w:r w:rsidRPr="005E1DC0">
              <w:rPr>
                <w:rFonts w:ascii="Times New Roman" w:eastAsia="Times New Roman" w:hAnsi="Times New Roman" w:cs="Times New Roman"/>
                <w:lang w:val="nl-BE" w:eastAsia="lt-LT"/>
              </w:rPr>
              <w:t xml:space="preserve">   28 % (34/121)</w:t>
            </w:r>
          </w:p>
          <w:p w:rsidR="005E1DC0" w:rsidRPr="005E1DC0" w:rsidRDefault="005E1DC0" w:rsidP="005E1DC0">
            <w:pPr>
              <w:keepNext/>
              <w:spacing w:after="0" w:line="240" w:lineRule="auto"/>
              <w:rPr>
                <w:rFonts w:ascii="Times New Roman" w:eastAsia="Times New Roman" w:hAnsi="Times New Roman" w:cs="Times New Roman"/>
                <w:lang w:val="nl-BE" w:eastAsia="lt-LT"/>
              </w:rPr>
            </w:pPr>
            <w:r w:rsidRPr="005E1DC0">
              <w:rPr>
                <w:rFonts w:ascii="Times New Roman" w:eastAsia="Times New Roman" w:hAnsi="Times New Roman" w:cs="Times New Roman"/>
                <w:lang w:val="nl-BE" w:eastAsia="lt-LT"/>
              </w:rPr>
              <w:t xml:space="preserve">   12 % (39/323)</w:t>
            </w:r>
          </w:p>
          <w:p w:rsidR="005E1DC0" w:rsidRPr="005E1DC0" w:rsidRDefault="005E1DC0" w:rsidP="005E1DC0">
            <w:pPr>
              <w:keepNext/>
              <w:spacing w:after="0" w:line="240" w:lineRule="auto"/>
              <w:rPr>
                <w:rFonts w:ascii="Times New Roman" w:eastAsia="Times New Roman" w:hAnsi="Times New Roman" w:cs="Times New Roman"/>
                <w:lang w:val="nl-BE" w:eastAsia="lt-LT"/>
              </w:rPr>
            </w:pPr>
            <w:r w:rsidRPr="005E1DC0">
              <w:rPr>
                <w:rFonts w:ascii="Times New Roman" w:eastAsia="Times New Roman" w:hAnsi="Times New Roman" w:cs="Times New Roman"/>
                <w:lang w:eastAsia="lt-LT"/>
              </w:rPr>
              <w:t xml:space="preserve">   19 % (84/432)</w:t>
            </w:r>
          </w:p>
          <w:p w:rsidR="005E1DC0" w:rsidRPr="005E1DC0" w:rsidRDefault="005E1DC0" w:rsidP="005E1DC0">
            <w:pPr>
              <w:keepNext/>
              <w:spacing w:after="0" w:line="240" w:lineRule="auto"/>
              <w:rPr>
                <w:rFonts w:ascii="Times New Roman" w:eastAsia="Times New Roman" w:hAnsi="Times New Roman" w:cs="Times New Roman"/>
                <w:i/>
                <w:iCs/>
                <w:lang w:eastAsia="lt-LT"/>
              </w:rPr>
            </w:pPr>
          </w:p>
        </w:tc>
        <w:tc>
          <w:tcPr>
            <w:tcW w:w="1085" w:type="pct"/>
          </w:tcPr>
          <w:p w:rsidR="005E1DC0" w:rsidRPr="005E1DC0" w:rsidRDefault="005E1DC0" w:rsidP="005E1DC0">
            <w:pPr>
              <w:keepNext/>
              <w:spacing w:after="0" w:line="240" w:lineRule="auto"/>
              <w:rPr>
                <w:rFonts w:ascii="Times New Roman" w:eastAsia="Times New Roman" w:hAnsi="Times New Roman" w:cs="Times New Roman"/>
                <w:lang w:val="nl-BE" w:eastAsia="lt-LT"/>
              </w:rPr>
            </w:pPr>
          </w:p>
          <w:p w:rsidR="005E1DC0" w:rsidRPr="005E1DC0" w:rsidRDefault="005E1DC0" w:rsidP="005E1DC0">
            <w:pPr>
              <w:keepNext/>
              <w:spacing w:after="0" w:line="240" w:lineRule="auto"/>
              <w:rPr>
                <w:rFonts w:ascii="Times New Roman" w:eastAsia="Times New Roman" w:hAnsi="Times New Roman" w:cs="Times New Roman"/>
                <w:lang w:val="nl-BE" w:eastAsia="lt-LT"/>
              </w:rPr>
            </w:pPr>
          </w:p>
          <w:p w:rsidR="005E1DC0" w:rsidRPr="005E1DC0" w:rsidRDefault="005E1DC0" w:rsidP="005E1DC0">
            <w:pPr>
              <w:keepNext/>
              <w:spacing w:after="0" w:line="240" w:lineRule="auto"/>
              <w:ind w:firstLine="240"/>
              <w:rPr>
                <w:rFonts w:ascii="Times New Roman" w:eastAsia="Times New Roman" w:hAnsi="Times New Roman" w:cs="Times New Roman"/>
                <w:lang w:val="nl-BE" w:eastAsia="lt-LT"/>
              </w:rPr>
            </w:pPr>
            <w:r w:rsidRPr="005E1DC0">
              <w:rPr>
                <w:rFonts w:ascii="Times New Roman" w:eastAsia="Times New Roman" w:hAnsi="Times New Roman" w:cs="Times New Roman"/>
                <w:lang w:val="nl-BE" w:eastAsia="lt-LT"/>
              </w:rPr>
              <w:t xml:space="preserve">    68 % (15/22)</w:t>
            </w:r>
          </w:p>
          <w:p w:rsidR="005E1DC0" w:rsidRPr="005E1DC0" w:rsidRDefault="005E1DC0" w:rsidP="005E1DC0">
            <w:pPr>
              <w:keepNext/>
              <w:spacing w:after="0" w:line="240" w:lineRule="auto"/>
              <w:ind w:firstLine="240"/>
              <w:rPr>
                <w:rFonts w:ascii="Times New Roman" w:eastAsia="Times New Roman" w:hAnsi="Times New Roman" w:cs="Times New Roman"/>
                <w:lang w:val="nl-BE" w:eastAsia="lt-LT"/>
              </w:rPr>
            </w:pPr>
            <w:r w:rsidRPr="005E1DC0">
              <w:rPr>
                <w:rFonts w:ascii="Times New Roman" w:eastAsia="Times New Roman" w:hAnsi="Times New Roman" w:cs="Times New Roman"/>
                <w:lang w:val="nl-BE" w:eastAsia="lt-LT"/>
              </w:rPr>
              <w:t xml:space="preserve">    64 % (16/25)</w:t>
            </w:r>
          </w:p>
          <w:p w:rsidR="005E1DC0" w:rsidRPr="005E1DC0" w:rsidRDefault="005E1DC0" w:rsidP="005E1DC0">
            <w:pPr>
              <w:keepNext/>
              <w:spacing w:after="0" w:line="240" w:lineRule="auto"/>
              <w:ind w:firstLine="240"/>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49 % (26/53)</w:t>
            </w:r>
          </w:p>
        </w:tc>
        <w:tc>
          <w:tcPr>
            <w:tcW w:w="1085" w:type="pct"/>
          </w:tcPr>
          <w:p w:rsidR="005E1DC0" w:rsidRPr="005E1DC0" w:rsidRDefault="005E1DC0" w:rsidP="005E1DC0">
            <w:pPr>
              <w:keepNext/>
              <w:spacing w:after="0" w:line="240" w:lineRule="auto"/>
              <w:rPr>
                <w:rFonts w:ascii="Times New Roman" w:eastAsia="Times New Roman" w:hAnsi="Times New Roman" w:cs="Times New Roman"/>
                <w:lang w:val="nl-BE" w:eastAsia="lt-LT"/>
              </w:rPr>
            </w:pPr>
          </w:p>
          <w:p w:rsidR="005E1DC0" w:rsidRPr="005E1DC0" w:rsidRDefault="005E1DC0" w:rsidP="005E1DC0">
            <w:pPr>
              <w:keepNext/>
              <w:spacing w:after="0" w:line="240" w:lineRule="auto"/>
              <w:rPr>
                <w:rFonts w:ascii="Times New Roman" w:eastAsia="Times New Roman" w:hAnsi="Times New Roman" w:cs="Times New Roman"/>
                <w:lang w:val="nl-BE" w:eastAsia="lt-LT"/>
              </w:rPr>
            </w:pPr>
          </w:p>
          <w:p w:rsidR="005E1DC0" w:rsidRPr="005E1DC0" w:rsidRDefault="005E1DC0" w:rsidP="005E1DC0">
            <w:pPr>
              <w:keepNext/>
              <w:spacing w:after="0" w:line="240" w:lineRule="auto"/>
              <w:rPr>
                <w:rFonts w:ascii="Times New Roman" w:eastAsia="Times New Roman" w:hAnsi="Times New Roman" w:cs="Times New Roman"/>
                <w:lang w:val="nl-BE" w:eastAsia="lt-LT"/>
              </w:rPr>
            </w:pPr>
            <w:r w:rsidRPr="005E1DC0">
              <w:rPr>
                <w:rFonts w:ascii="Times New Roman" w:eastAsia="Times New Roman" w:hAnsi="Times New Roman" w:cs="Times New Roman"/>
                <w:lang w:val="nl-BE" w:eastAsia="lt-LT"/>
              </w:rPr>
              <w:t xml:space="preserve">              (6/12)</w:t>
            </w:r>
          </w:p>
          <w:p w:rsidR="005E1DC0" w:rsidRPr="005E1DC0" w:rsidRDefault="005E1DC0" w:rsidP="005E1DC0">
            <w:pPr>
              <w:keepNext/>
              <w:spacing w:after="0" w:line="240" w:lineRule="auto"/>
              <w:rPr>
                <w:rFonts w:ascii="Times New Roman" w:eastAsia="Times New Roman" w:hAnsi="Times New Roman" w:cs="Times New Roman"/>
                <w:lang w:val="nl-BE" w:eastAsia="lt-LT"/>
              </w:rPr>
            </w:pPr>
            <w:r w:rsidRPr="005E1DC0">
              <w:rPr>
                <w:rFonts w:ascii="Times New Roman" w:eastAsia="Times New Roman" w:hAnsi="Times New Roman" w:cs="Times New Roman"/>
                <w:lang w:val="nl-BE" w:eastAsia="lt-LT"/>
              </w:rPr>
              <w:t xml:space="preserve">              (5/14)</w:t>
            </w:r>
          </w:p>
          <w:p w:rsidR="005E1DC0" w:rsidRPr="005E1DC0" w:rsidRDefault="005E1DC0" w:rsidP="005E1DC0">
            <w:pPr>
              <w:keepNext/>
              <w:spacing w:after="0" w:line="240" w:lineRule="auto"/>
              <w:rPr>
                <w:rFonts w:ascii="Times New Roman" w:eastAsia="Times New Roman" w:hAnsi="Times New Roman" w:cs="Times New Roman"/>
                <w:i/>
                <w:iCs/>
                <w:lang w:eastAsia="lt-LT"/>
              </w:rPr>
            </w:pPr>
            <w:r w:rsidRPr="005E1DC0">
              <w:rPr>
                <w:rFonts w:ascii="Times New Roman" w:eastAsia="Times New Roman" w:hAnsi="Times New Roman" w:cs="Times New Roman"/>
                <w:lang w:eastAsia="lt-LT"/>
              </w:rPr>
              <w:t xml:space="preserve">     29 % (9/31)</w:t>
            </w:r>
          </w:p>
        </w:tc>
      </w:tr>
    </w:tbl>
    <w:p w:rsidR="005E1DC0" w:rsidRPr="005E1DC0" w:rsidRDefault="005E1DC0" w:rsidP="005E1DC0">
      <w:pPr>
        <w:keepNext/>
        <w:keepLines/>
        <w:spacing w:after="0" w:line="240" w:lineRule="auto"/>
        <w:ind w:left="142" w:hanging="142"/>
        <w:rPr>
          <w:rFonts w:ascii="Times New Roman" w:eastAsia="Calibri" w:hAnsi="Times New Roman" w:cs="Times New Roman"/>
          <w:lang w:eastAsia="lt-LT"/>
        </w:rPr>
      </w:pPr>
      <w:r w:rsidRPr="005E1DC0">
        <w:rPr>
          <w:rFonts w:ascii="Times New Roman" w:eastAsia="Calibri" w:hAnsi="Times New Roman" w:cs="Times New Roman"/>
          <w:lang w:eastAsia="lt-LT"/>
        </w:rPr>
        <w:t>Ryški viremija = &gt; 800000</w:t>
      </w:r>
      <w:r w:rsidRPr="005E1DC0">
        <w:rPr>
          <w:rFonts w:ascii="Times New Roman" w:eastAsia="Times New Roman" w:hAnsi="Times New Roman" w:cs="Times New Roman"/>
          <w:iCs/>
          <w:lang w:eastAsia="lt-LT"/>
        </w:rPr>
        <w:t> </w:t>
      </w:r>
      <w:r w:rsidRPr="005E1DC0">
        <w:rPr>
          <w:rFonts w:ascii="Times New Roman" w:eastAsia="Calibri" w:hAnsi="Times New Roman" w:cs="Times New Roman"/>
          <w:lang w:eastAsia="lt-LT"/>
        </w:rPr>
        <w:t>TV/m, neryški viremija = ≤ 800000</w:t>
      </w:r>
      <w:r w:rsidRPr="005E1DC0">
        <w:rPr>
          <w:rFonts w:ascii="Times New Roman" w:eastAsia="Times New Roman" w:hAnsi="Times New Roman" w:cs="Times New Roman"/>
          <w:iCs/>
          <w:lang w:eastAsia="lt-LT"/>
        </w:rPr>
        <w:t> </w:t>
      </w:r>
      <w:r w:rsidRPr="005E1DC0">
        <w:rPr>
          <w:rFonts w:ascii="Times New Roman" w:eastAsia="Calibri" w:hAnsi="Times New Roman" w:cs="Times New Roman"/>
          <w:lang w:eastAsia="lt-LT"/>
        </w:rPr>
        <w:t>TV/ml;</w:t>
      </w:r>
    </w:p>
    <w:p w:rsidR="005E1DC0" w:rsidRPr="005E1DC0" w:rsidRDefault="005E1DC0" w:rsidP="005E1DC0">
      <w:pPr>
        <w:spacing w:after="0" w:line="240" w:lineRule="auto"/>
        <w:ind w:left="142" w:hanging="142"/>
        <w:rPr>
          <w:rFonts w:ascii="Times New Roman" w:eastAsia="Calibri" w:hAnsi="Times New Roman" w:cs="Times New Roman"/>
          <w:lang w:eastAsia="lt-LT"/>
        </w:rPr>
      </w:pPr>
      <w:r w:rsidRPr="005E1DC0">
        <w:rPr>
          <w:rFonts w:ascii="Times New Roman" w:eastAsia="Calibri" w:hAnsi="Times New Roman" w:cs="Times New Roman"/>
          <w:lang w:eastAsia="lt-LT"/>
        </w:rPr>
        <w:t>a Pacientai, kuriems 12-ąją savaitę virusų nuslopinimas pasiektas (HCV RNR neaptinkama, &lt;50 TV/ml), t.y. pacientai, kuriems, kaip manoma, 12</w:t>
      </w:r>
      <w:r w:rsidRPr="005E1DC0">
        <w:rPr>
          <w:rFonts w:ascii="Times New Roman" w:eastAsia="Calibri" w:hAnsi="Times New Roman" w:cs="Times New Roman"/>
          <w:lang w:eastAsia="lt-LT"/>
        </w:rPr>
        <w:noBreakHyphen/>
        <w:t>ąją savaitę yra virusologinis atsakas. Pacientų, kurių HCV RNR rezultatų 12 savaitę nėra, duomenys į analizę neįtraukti.</w:t>
      </w:r>
    </w:p>
    <w:p w:rsidR="005E1DC0" w:rsidRPr="005E1DC0" w:rsidRDefault="005E1DC0" w:rsidP="005E1DC0">
      <w:pPr>
        <w:spacing w:after="0" w:line="240" w:lineRule="auto"/>
        <w:ind w:left="142" w:hanging="142"/>
        <w:rPr>
          <w:rFonts w:ascii="Times New Roman" w:eastAsia="Calibri" w:hAnsi="Times New Roman" w:cs="Times New Roman"/>
          <w:lang w:eastAsia="lt-LT"/>
        </w:rPr>
      </w:pPr>
      <w:r w:rsidRPr="005E1DC0">
        <w:rPr>
          <w:rFonts w:ascii="Times New Roman" w:eastAsia="Calibri" w:hAnsi="Times New Roman" w:cs="Times New Roman"/>
          <w:lang w:eastAsia="lt-LT"/>
        </w:rPr>
        <w:lastRenderedPageBreak/>
        <w:t>b Pacientai, kuriems 12-ąją savaitę virusų nuslopinimas pasiektas, bet nėra HCV RNR rezultatų stebėjimo periodo pabaigoje, jie laikomi nereagavusiais.</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HALT-C tyrimo metu lėtiniu hepatitu C ir kepenų progresuojančia fibroze arba ciroze sergantys pacientai, kurie nereagavo į ankstesnę monoterapiją interferonu alfa arba pegiliuotu interferonu alfa, taip pat derinant gydymą jais su ribavirinu, buvo gydyti peginterferonu alfa-2a po 180 µg per savaitę ir Copegus po 1000/1200 mg dozėmis per parą. Pacientai, kuriems po 20 savaičių gydymo HCV RNR buvo neaptinkama, toliau buvo gydomi peginterferono alfa-2a ir Copegus deriniu iš viso 48 savaites, paskui, baigus gydymą, stebimi 24 savaites. Ilgalaikio virusologinio atsako tikimybė, atsižvelgiant į ankstesnio gydymo režimą, yra skirtinga; žr. 12 lentelę.</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keepNext/>
        <w:spacing w:after="0" w:line="240" w:lineRule="auto"/>
        <w:outlineLvl w:val="0"/>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12 lentelė.</w:t>
      </w:r>
      <w:r w:rsidRPr="005E1DC0">
        <w:rPr>
          <w:rFonts w:ascii="Times New Roman" w:eastAsia="Times New Roman" w:hAnsi="Times New Roman" w:cs="Times New Roman"/>
          <w:b/>
          <w:lang w:eastAsia="lt-LT"/>
        </w:rPr>
        <w:tab/>
        <w:t>Ilgalaikis virusologinis atsakas HALT-C klinikinio tyrimo metu, atsižvelgiant į nereagavusios į ankstesnį gydymą populiacijos gydymo režimą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4838"/>
      </w:tblGrid>
      <w:tr w:rsidR="005E1DC0" w:rsidRPr="005E1DC0" w:rsidTr="00BB1B6B">
        <w:tc>
          <w:tcPr>
            <w:tcW w:w="2330" w:type="pct"/>
          </w:tcPr>
          <w:p w:rsidR="005E1DC0" w:rsidRPr="005E1DC0" w:rsidRDefault="005E1DC0" w:rsidP="005E1DC0">
            <w:pPr>
              <w:keepNext/>
              <w:spacing w:after="0" w:line="240" w:lineRule="auto"/>
              <w:outlineLvl w:val="0"/>
              <w:rPr>
                <w:rFonts w:ascii="Times New Roman" w:eastAsia="Calibri" w:hAnsi="Times New Roman" w:cs="Times New Roman"/>
                <w:b/>
                <w:lang w:eastAsia="lt-LT"/>
              </w:rPr>
            </w:pPr>
          </w:p>
          <w:p w:rsidR="005E1DC0" w:rsidRPr="005E1DC0" w:rsidRDefault="005E1DC0" w:rsidP="005E1DC0">
            <w:pPr>
              <w:keepNext/>
              <w:spacing w:after="0" w:line="240" w:lineRule="auto"/>
              <w:outlineLvl w:val="0"/>
              <w:rPr>
                <w:rFonts w:ascii="Times New Roman" w:eastAsia="Calibri" w:hAnsi="Times New Roman" w:cs="Times New Roman"/>
                <w:b/>
                <w:lang w:eastAsia="lt-LT"/>
              </w:rPr>
            </w:pPr>
          </w:p>
          <w:p w:rsidR="005E1DC0" w:rsidRPr="005E1DC0" w:rsidRDefault="005E1DC0" w:rsidP="005E1DC0">
            <w:pPr>
              <w:keepNext/>
              <w:spacing w:after="0" w:line="240" w:lineRule="auto"/>
              <w:outlineLvl w:val="0"/>
              <w:rPr>
                <w:rFonts w:ascii="Times New Roman" w:eastAsia="Calibri" w:hAnsi="Times New Roman" w:cs="Times New Roman"/>
                <w:b/>
                <w:lang w:eastAsia="lt-LT"/>
              </w:rPr>
            </w:pPr>
          </w:p>
          <w:p w:rsidR="005E1DC0" w:rsidRPr="005E1DC0" w:rsidRDefault="005E1DC0" w:rsidP="005E1DC0">
            <w:pPr>
              <w:keepNext/>
              <w:spacing w:after="40" w:line="240" w:lineRule="auto"/>
              <w:outlineLvl w:val="0"/>
              <w:rPr>
                <w:rFonts w:ascii="Times New Roman" w:eastAsia="Calibri" w:hAnsi="Times New Roman" w:cs="Times New Roman"/>
                <w:b/>
                <w:lang w:eastAsia="lt-LT"/>
              </w:rPr>
            </w:pPr>
            <w:r w:rsidRPr="005E1DC0">
              <w:rPr>
                <w:rFonts w:ascii="Times New Roman" w:eastAsia="Calibri" w:hAnsi="Times New Roman" w:cs="Times New Roman"/>
                <w:b/>
                <w:lang w:eastAsia="lt-LT"/>
              </w:rPr>
              <w:t>Ankstesnis gydymas</w:t>
            </w:r>
          </w:p>
        </w:tc>
        <w:tc>
          <w:tcPr>
            <w:tcW w:w="2670" w:type="pct"/>
          </w:tcPr>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 xml:space="preserve">Copegus </w:t>
            </w:r>
            <w:r w:rsidRPr="005E1DC0">
              <w:rPr>
                <w:rFonts w:ascii="Times New Roman" w:eastAsia="Calibri" w:hAnsi="Times New Roman" w:cs="Times New Roman"/>
                <w:lang w:eastAsia="lt-LT"/>
              </w:rPr>
              <w:t>1000/1200 mg</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ir</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peginterferonas alfa-2a</w:t>
            </w:r>
            <w:r w:rsidRPr="005E1DC0">
              <w:rPr>
                <w:rFonts w:ascii="Times New Roman" w:eastAsia="Calibri" w:hAnsi="Times New Roman" w:cs="Times New Roman"/>
                <w:lang w:eastAsia="lt-LT"/>
              </w:rPr>
              <w:t xml:space="preserve"> 180 mkg</w:t>
            </w:r>
          </w:p>
          <w:p w:rsidR="005E1DC0" w:rsidRPr="005E1DC0" w:rsidRDefault="005E1DC0" w:rsidP="005E1DC0">
            <w:pPr>
              <w:keepNext/>
              <w:autoSpaceDE w:val="0"/>
              <w:autoSpaceDN w:val="0"/>
              <w:adjustRightInd w:val="0"/>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lang w:eastAsia="lt-LT"/>
              </w:rPr>
              <w:t>48 savaites</w:t>
            </w:r>
          </w:p>
        </w:tc>
      </w:tr>
      <w:tr w:rsidR="005E1DC0" w:rsidRPr="005E1DC0" w:rsidTr="00BB1B6B">
        <w:tc>
          <w:tcPr>
            <w:tcW w:w="2330" w:type="pct"/>
          </w:tcPr>
          <w:p w:rsidR="005E1DC0" w:rsidRPr="005E1DC0" w:rsidRDefault="005E1DC0" w:rsidP="005E1DC0">
            <w:pPr>
              <w:keepNext/>
              <w:spacing w:before="60" w:after="60" w:line="240" w:lineRule="auto"/>
              <w:outlineLvl w:val="0"/>
              <w:rPr>
                <w:rFonts w:ascii="Times New Roman" w:eastAsia="Calibri" w:hAnsi="Times New Roman" w:cs="Times New Roman"/>
                <w:b/>
                <w:lang w:eastAsia="lt-LT"/>
              </w:rPr>
            </w:pPr>
            <w:r w:rsidRPr="005E1DC0">
              <w:rPr>
                <w:rFonts w:ascii="Times New Roman" w:eastAsia="Calibri" w:hAnsi="Times New Roman" w:cs="Times New Roman"/>
                <w:b/>
                <w:lang w:eastAsia="lt-LT"/>
              </w:rPr>
              <w:t>Interferonas</w:t>
            </w:r>
          </w:p>
        </w:tc>
        <w:tc>
          <w:tcPr>
            <w:tcW w:w="2670" w:type="pct"/>
          </w:tcPr>
          <w:p w:rsidR="005E1DC0" w:rsidRPr="005E1DC0" w:rsidRDefault="005E1DC0" w:rsidP="005E1DC0">
            <w:pPr>
              <w:keepNext/>
              <w:spacing w:before="60" w:after="60" w:line="240" w:lineRule="auto"/>
              <w:jc w:val="center"/>
              <w:outlineLvl w:val="0"/>
              <w:rPr>
                <w:rFonts w:ascii="Times New Roman" w:eastAsia="Calibri" w:hAnsi="Times New Roman" w:cs="Times New Roman"/>
                <w:b/>
                <w:lang w:eastAsia="lt-LT"/>
              </w:rPr>
            </w:pPr>
            <w:r w:rsidRPr="005E1DC0">
              <w:rPr>
                <w:rFonts w:ascii="Times New Roman" w:eastAsia="Calibri" w:hAnsi="Times New Roman" w:cs="Times New Roman"/>
                <w:lang w:eastAsia="lt-LT"/>
              </w:rPr>
              <w:t>27 % (70/255)</w:t>
            </w:r>
          </w:p>
        </w:tc>
      </w:tr>
      <w:tr w:rsidR="005E1DC0" w:rsidRPr="005E1DC0" w:rsidTr="00BB1B6B">
        <w:tc>
          <w:tcPr>
            <w:tcW w:w="2330" w:type="pct"/>
          </w:tcPr>
          <w:p w:rsidR="005E1DC0" w:rsidRPr="005E1DC0" w:rsidRDefault="005E1DC0" w:rsidP="005E1DC0">
            <w:pPr>
              <w:keepNext/>
              <w:spacing w:after="60" w:line="240" w:lineRule="auto"/>
              <w:outlineLvl w:val="0"/>
              <w:rPr>
                <w:rFonts w:ascii="Times New Roman" w:eastAsia="Calibri" w:hAnsi="Times New Roman" w:cs="Times New Roman"/>
                <w:b/>
                <w:lang w:eastAsia="lt-LT"/>
              </w:rPr>
            </w:pPr>
            <w:r w:rsidRPr="005E1DC0">
              <w:rPr>
                <w:rFonts w:ascii="Times New Roman" w:eastAsia="Calibri" w:hAnsi="Times New Roman" w:cs="Times New Roman"/>
                <w:b/>
                <w:lang w:eastAsia="lt-LT"/>
              </w:rPr>
              <w:t>Pegiliuotas interferonas</w:t>
            </w:r>
          </w:p>
        </w:tc>
        <w:tc>
          <w:tcPr>
            <w:tcW w:w="2670" w:type="pct"/>
          </w:tcPr>
          <w:p w:rsidR="005E1DC0" w:rsidRPr="005E1DC0" w:rsidRDefault="005E1DC0" w:rsidP="005E1DC0">
            <w:pPr>
              <w:keepNext/>
              <w:spacing w:after="60" w:line="240" w:lineRule="auto"/>
              <w:jc w:val="center"/>
              <w:outlineLvl w:val="0"/>
              <w:rPr>
                <w:rFonts w:ascii="Times New Roman" w:eastAsia="Calibri" w:hAnsi="Times New Roman" w:cs="Times New Roman"/>
                <w:b/>
                <w:lang w:eastAsia="lt-LT"/>
              </w:rPr>
            </w:pPr>
            <w:r w:rsidRPr="005E1DC0">
              <w:rPr>
                <w:rFonts w:ascii="Times New Roman" w:eastAsia="Calibri" w:hAnsi="Times New Roman" w:cs="Times New Roman"/>
                <w:lang w:eastAsia="lt-LT"/>
              </w:rPr>
              <w:t>34 % (13/38)</w:t>
            </w:r>
          </w:p>
        </w:tc>
      </w:tr>
      <w:tr w:rsidR="005E1DC0" w:rsidRPr="005E1DC0" w:rsidTr="00BB1B6B">
        <w:tc>
          <w:tcPr>
            <w:tcW w:w="2330" w:type="pct"/>
          </w:tcPr>
          <w:p w:rsidR="005E1DC0" w:rsidRPr="005E1DC0" w:rsidRDefault="005E1DC0" w:rsidP="005E1DC0">
            <w:pPr>
              <w:keepNext/>
              <w:spacing w:after="60" w:line="240" w:lineRule="auto"/>
              <w:outlineLvl w:val="0"/>
              <w:rPr>
                <w:rFonts w:ascii="Times New Roman" w:eastAsia="Calibri" w:hAnsi="Times New Roman" w:cs="Times New Roman"/>
                <w:b/>
                <w:lang w:eastAsia="lt-LT"/>
              </w:rPr>
            </w:pPr>
            <w:r w:rsidRPr="005E1DC0">
              <w:rPr>
                <w:rFonts w:ascii="Times New Roman" w:eastAsia="Calibri" w:hAnsi="Times New Roman" w:cs="Times New Roman"/>
                <w:b/>
                <w:lang w:eastAsia="lt-LT"/>
              </w:rPr>
              <w:t>Interferonas + ribavirinas</w:t>
            </w:r>
          </w:p>
        </w:tc>
        <w:tc>
          <w:tcPr>
            <w:tcW w:w="2670" w:type="pct"/>
          </w:tcPr>
          <w:p w:rsidR="005E1DC0" w:rsidRPr="005E1DC0" w:rsidRDefault="005E1DC0" w:rsidP="005E1DC0">
            <w:pPr>
              <w:keepNext/>
              <w:spacing w:after="60" w:line="240" w:lineRule="auto"/>
              <w:jc w:val="center"/>
              <w:outlineLvl w:val="0"/>
              <w:rPr>
                <w:rFonts w:ascii="Times New Roman" w:eastAsia="Calibri" w:hAnsi="Times New Roman" w:cs="Times New Roman"/>
                <w:b/>
                <w:lang w:eastAsia="lt-LT"/>
              </w:rPr>
            </w:pPr>
            <w:r w:rsidRPr="005E1DC0">
              <w:rPr>
                <w:rFonts w:ascii="Times New Roman" w:eastAsia="Calibri" w:hAnsi="Times New Roman" w:cs="Times New Roman"/>
                <w:lang w:eastAsia="lt-LT"/>
              </w:rPr>
              <w:t>13 % (90/692)</w:t>
            </w:r>
          </w:p>
        </w:tc>
      </w:tr>
      <w:tr w:rsidR="005E1DC0" w:rsidRPr="005E1DC0" w:rsidTr="00BB1B6B">
        <w:tc>
          <w:tcPr>
            <w:tcW w:w="2330" w:type="pct"/>
          </w:tcPr>
          <w:p w:rsidR="005E1DC0" w:rsidRPr="005E1DC0" w:rsidRDefault="005E1DC0" w:rsidP="005E1DC0">
            <w:pPr>
              <w:spacing w:after="60" w:line="240" w:lineRule="auto"/>
              <w:outlineLvl w:val="0"/>
              <w:rPr>
                <w:rFonts w:ascii="Times New Roman" w:eastAsia="Calibri" w:hAnsi="Times New Roman" w:cs="Times New Roman"/>
                <w:b/>
                <w:lang w:eastAsia="lt-LT"/>
              </w:rPr>
            </w:pPr>
            <w:r w:rsidRPr="005E1DC0">
              <w:rPr>
                <w:rFonts w:ascii="Times New Roman" w:eastAsia="Calibri" w:hAnsi="Times New Roman" w:cs="Times New Roman"/>
                <w:b/>
                <w:lang w:eastAsia="lt-LT"/>
              </w:rPr>
              <w:t>Pegiliuotas interferonas + ribavirinas</w:t>
            </w:r>
          </w:p>
        </w:tc>
        <w:tc>
          <w:tcPr>
            <w:tcW w:w="2670" w:type="pct"/>
          </w:tcPr>
          <w:p w:rsidR="005E1DC0" w:rsidRPr="005E1DC0" w:rsidRDefault="005E1DC0" w:rsidP="005E1DC0">
            <w:pPr>
              <w:spacing w:after="60" w:line="240" w:lineRule="auto"/>
              <w:jc w:val="center"/>
              <w:outlineLvl w:val="0"/>
              <w:rPr>
                <w:rFonts w:ascii="Times New Roman" w:eastAsia="Calibri" w:hAnsi="Times New Roman" w:cs="Times New Roman"/>
                <w:b/>
                <w:lang w:eastAsia="lt-LT"/>
              </w:rPr>
            </w:pPr>
            <w:r w:rsidRPr="005E1DC0">
              <w:rPr>
                <w:rFonts w:ascii="Times New Roman" w:eastAsia="Calibri" w:hAnsi="Times New Roman" w:cs="Times New Roman"/>
                <w:lang w:eastAsia="lt-LT"/>
              </w:rPr>
              <w:t>11 % (7/61)</w:t>
            </w:r>
          </w:p>
        </w:tc>
      </w:tr>
    </w:tbl>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
          <w:lang w:eastAsia="lt-LT"/>
        </w:rPr>
      </w:pPr>
      <w:r w:rsidRPr="005E1DC0">
        <w:rPr>
          <w:rFonts w:ascii="Times New Roman" w:eastAsia="Times New Roman" w:hAnsi="Times New Roman" w:cs="Times New Roman"/>
          <w:i/>
          <w:lang w:eastAsia="lt-LT"/>
        </w:rPr>
        <w:t>HCV infekuoti pacientai, kurių ALT aktyvumas normalus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NR16071 tyrimo metu HCV infekuoti pacientai, kurių ALT aktyvumas buvo normalus, atlikus jų atranką, gydyti peginterferonu alfa-2a po 180 mkg per savaitę ir Copegus po 800 mg per parą deriniu 24 arba 48 savaites, o baigus gydyti stebėti 24 savaites arba išvis negydyti 72 savaites (kontrolinė grupė). Pranešama, kad šio tyrimo metu taikyti gydymo režimai sukėlė panašų ilgalaikį virusologinį atsaką (IVA) kaip atitinkamas gydymas NV15942 tyrimo metu.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autoSpaceDE w:val="0"/>
        <w:autoSpaceDN w:val="0"/>
        <w:adjustRightInd w:val="0"/>
        <w:spacing w:after="0" w:line="240" w:lineRule="auto"/>
        <w:rPr>
          <w:rFonts w:ascii="Times New Roman" w:eastAsia="PMingLiU" w:hAnsi="Times New Roman" w:cs="Times New Roman"/>
          <w:color w:val="000000"/>
          <w:lang w:eastAsia="zh-CN"/>
        </w:rPr>
      </w:pPr>
      <w:r w:rsidRPr="005E1DC0">
        <w:rPr>
          <w:rFonts w:ascii="Times New Roman" w:eastAsia="PMingLiU" w:hAnsi="Times New Roman" w:cs="Times New Roman"/>
          <w:i/>
          <w:iCs/>
          <w:color w:val="000000"/>
          <w:lang w:eastAsia="zh-CN"/>
        </w:rPr>
        <w:t>Vaikai ir paaugliai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Tyrėjų remiamo CHIPS tyrimo (Lėtinio hepatito C tarptautinio pediatrinio tyrimo) metu 65 vaikai ir paaugliai (6-18 metų), infekuoti lėtinio hepatito C virusais, buvo gydyti peginterferonu alfa-2a po 100 mkg/m</w:t>
      </w:r>
      <w:r w:rsidRPr="005E1DC0">
        <w:rPr>
          <w:rFonts w:ascii="Times New Roman" w:eastAsia="Times New Roman" w:hAnsi="Times New Roman" w:cs="Times New Roman"/>
          <w:vertAlign w:val="superscript"/>
          <w:lang w:eastAsia="lt-LT"/>
        </w:rPr>
        <w:t>2</w:t>
      </w:r>
      <w:r w:rsidRPr="005E1DC0">
        <w:rPr>
          <w:rFonts w:ascii="Times New Roman" w:eastAsia="Times New Roman" w:hAnsi="Times New Roman" w:cs="Times New Roman"/>
          <w:lang w:eastAsia="lt-LT"/>
        </w:rPr>
        <w:t xml:space="preserve"> į poodį kartą per savaitę ir Copegus po 15 mg/kg per parą 24 savaites (2 ir 3 genotipas) arba 48 savaites (visi kiti genotipai). Preliminarūs ir negausūs saugumo duomenys parodė, kad akivaizdaus nukrypimo nuo šio derinio žinomo saugumo profilio infekuotiems lėtiniu HCV suaugusiesiems nėra, bet, svarbu, kad negauta pranešimų apie galimą poveikį augimui. Veiksmingumo rezultatai buvo panašūs į tuos, kurie nustatyti suaugusiesiems.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tabs>
          <w:tab w:val="left" w:pos="567"/>
        </w:tabs>
        <w:spacing w:after="0" w:line="240" w:lineRule="auto"/>
        <w:rPr>
          <w:rFonts w:ascii="Times New Roman" w:eastAsia="Times New Roman" w:hAnsi="Times New Roman" w:cs="Times New Roman"/>
          <w:i/>
          <w:lang w:eastAsia="lt-LT"/>
        </w:rPr>
      </w:pPr>
      <w:r w:rsidRPr="005E1DC0">
        <w:rPr>
          <w:rFonts w:ascii="Times New Roman" w:eastAsia="Times New Roman" w:hAnsi="Times New Roman" w:cs="Times New Roman"/>
          <w:i/>
          <w:lang w:eastAsia="lt-LT"/>
        </w:rPr>
        <w:t>ŽIV-HCV koinfekuoti pacientai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ŽIV-HCV koinfekuotų pacientų, kurie gydyti Copegus ir peginterferono alfa-2a deriniu, virusologinių atsakų, atsižvelgiant į genotipą ir prieš gydymą buvusią viremiją, suma pateikta 13 lentelėje toliau.</w:t>
      </w:r>
    </w:p>
    <w:p w:rsidR="005E1DC0" w:rsidRPr="005E1DC0" w:rsidRDefault="005E1DC0" w:rsidP="005E1DC0">
      <w:pPr>
        <w:keepNext/>
        <w:tabs>
          <w:tab w:val="left" w:pos="567"/>
        </w:tabs>
        <w:spacing w:after="0" w:line="240" w:lineRule="auto"/>
        <w:rPr>
          <w:rFonts w:ascii="Times New Roman" w:eastAsia="Times New Roman" w:hAnsi="Times New Roman" w:cs="Times New Roman"/>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2178"/>
        <w:gridCol w:w="2452"/>
        <w:gridCol w:w="2647"/>
      </w:tblGrid>
      <w:tr w:rsidR="005E1DC0" w:rsidRPr="005E1DC0" w:rsidTr="00BB1B6B">
        <w:tc>
          <w:tcPr>
            <w:tcW w:w="5000" w:type="pct"/>
            <w:gridSpan w:val="4"/>
          </w:tcPr>
          <w:p w:rsidR="005E1DC0" w:rsidRPr="005E1DC0" w:rsidRDefault="005E1DC0" w:rsidP="005E1DC0">
            <w:pPr>
              <w:keepNext/>
              <w:tabs>
                <w:tab w:val="left" w:pos="567"/>
              </w:tabs>
              <w:spacing w:after="0" w:line="240" w:lineRule="auto"/>
              <w:ind w:left="1152" w:hanging="1152"/>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13 lentelė.    Ilgalaikis virusologinis atsakas, atsižvelgiant į genotipą ir prieš gydymą buvusią viremiją, po ŽIV-HCV koinfekuotų pacientų gydymo Copegus ir peginterferono alfa-2a deriniu</w:t>
            </w:r>
          </w:p>
        </w:tc>
      </w:tr>
      <w:tr w:rsidR="005E1DC0" w:rsidRPr="005E1DC0" w:rsidTr="00BB1B6B">
        <w:tc>
          <w:tcPr>
            <w:tcW w:w="5000" w:type="pct"/>
            <w:gridSpan w:val="4"/>
          </w:tcPr>
          <w:p w:rsidR="005E1DC0" w:rsidRPr="005E1DC0" w:rsidRDefault="005E1DC0" w:rsidP="005E1DC0">
            <w:pPr>
              <w:keepNext/>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NR15961 tyrimas</w:t>
            </w:r>
          </w:p>
        </w:tc>
      </w:tr>
      <w:tr w:rsidR="005E1DC0" w:rsidRPr="005E1DC0" w:rsidTr="00BB1B6B">
        <w:trPr>
          <w:trHeight w:val="890"/>
        </w:trPr>
        <w:tc>
          <w:tcPr>
            <w:tcW w:w="984"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b/>
                <w:color w:val="000000"/>
                <w:lang w:eastAsia="lt-LT"/>
              </w:rPr>
            </w:pPr>
          </w:p>
        </w:tc>
        <w:tc>
          <w:tcPr>
            <w:tcW w:w="1202"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b/>
                <w:color w:val="000000"/>
                <w:lang w:eastAsia="lt-LT"/>
              </w:rPr>
              <w:t>Interferonas alfa-2</w:t>
            </w:r>
            <w:r w:rsidRPr="005E1DC0">
              <w:rPr>
                <w:rFonts w:ascii="Times New Roman" w:eastAsia="Calibri" w:hAnsi="Times New Roman" w:cs="Times New Roman"/>
                <w:color w:val="000000"/>
                <w:lang w:eastAsia="lt-LT"/>
              </w:rPr>
              <w:t>a</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3 milijonai TV</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ir</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b/>
                <w:color w:val="000000"/>
                <w:lang w:eastAsia="lt-LT"/>
              </w:rPr>
            </w:pPr>
            <w:r w:rsidRPr="005E1DC0">
              <w:rPr>
                <w:rFonts w:ascii="Times New Roman" w:eastAsia="Calibri" w:hAnsi="Times New Roman" w:cs="Times New Roman"/>
                <w:b/>
                <w:color w:val="000000"/>
                <w:lang w:eastAsia="lt-LT"/>
              </w:rPr>
              <w:t>Copegus 800 mg</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48 savaitės</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b/>
                <w:color w:val="000000"/>
                <w:lang w:eastAsia="lt-LT"/>
              </w:rPr>
            </w:pPr>
          </w:p>
        </w:tc>
        <w:tc>
          <w:tcPr>
            <w:tcW w:w="1353"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b/>
                <w:color w:val="000000"/>
                <w:lang w:eastAsia="lt-LT"/>
              </w:rPr>
            </w:pPr>
            <w:r w:rsidRPr="005E1DC0">
              <w:rPr>
                <w:rFonts w:ascii="Times New Roman" w:eastAsia="Calibri" w:hAnsi="Times New Roman" w:cs="Times New Roman"/>
                <w:b/>
                <w:color w:val="000000"/>
                <w:lang w:eastAsia="lt-LT"/>
              </w:rPr>
              <w:t>Peginterferonas alfa-2a</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180 mkg</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ir</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b/>
                <w:color w:val="000000"/>
                <w:lang w:eastAsia="lt-LT"/>
              </w:rPr>
            </w:pPr>
            <w:r w:rsidRPr="005E1DC0">
              <w:rPr>
                <w:rFonts w:ascii="Times New Roman" w:eastAsia="Calibri" w:hAnsi="Times New Roman" w:cs="Times New Roman"/>
                <w:b/>
                <w:color w:val="000000"/>
                <w:lang w:eastAsia="lt-LT"/>
              </w:rPr>
              <w:t>placebas</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48 savaitės</w:t>
            </w:r>
          </w:p>
        </w:tc>
        <w:tc>
          <w:tcPr>
            <w:tcW w:w="1461"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b/>
                <w:color w:val="000000"/>
                <w:lang w:eastAsia="lt-LT"/>
              </w:rPr>
            </w:pPr>
            <w:r w:rsidRPr="005E1DC0">
              <w:rPr>
                <w:rFonts w:ascii="Times New Roman" w:eastAsia="Calibri" w:hAnsi="Times New Roman" w:cs="Times New Roman"/>
                <w:b/>
                <w:color w:val="000000"/>
                <w:lang w:eastAsia="lt-LT"/>
              </w:rPr>
              <w:t>Peginterferonas alfa-2a</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180 mkg</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ir</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b/>
                <w:color w:val="000000"/>
                <w:lang w:eastAsia="lt-LT"/>
              </w:rPr>
            </w:pPr>
            <w:r w:rsidRPr="005E1DC0">
              <w:rPr>
                <w:rFonts w:ascii="Times New Roman" w:eastAsia="Calibri" w:hAnsi="Times New Roman" w:cs="Times New Roman"/>
                <w:b/>
                <w:color w:val="000000"/>
                <w:lang w:eastAsia="lt-LT"/>
              </w:rPr>
              <w:t>Copegus 800 mg</w:t>
            </w:r>
          </w:p>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48 savaitės</w:t>
            </w:r>
          </w:p>
        </w:tc>
      </w:tr>
      <w:tr w:rsidR="005E1DC0" w:rsidRPr="005E1DC0" w:rsidTr="00BB1B6B">
        <w:trPr>
          <w:trHeight w:val="381"/>
        </w:trPr>
        <w:tc>
          <w:tcPr>
            <w:tcW w:w="984"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b/>
                <w:color w:val="000000"/>
                <w:lang w:eastAsia="lt-LT"/>
              </w:rPr>
            </w:pPr>
            <w:r w:rsidRPr="005E1DC0">
              <w:rPr>
                <w:rFonts w:ascii="Times New Roman" w:eastAsia="Calibri" w:hAnsi="Times New Roman" w:cs="Times New Roman"/>
                <w:b/>
                <w:color w:val="000000"/>
                <w:lang w:eastAsia="lt-LT"/>
              </w:rPr>
              <w:t>Iš viso pacientų</w:t>
            </w:r>
          </w:p>
        </w:tc>
        <w:tc>
          <w:tcPr>
            <w:tcW w:w="1202"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12 % (33/285)*</w:t>
            </w:r>
          </w:p>
        </w:tc>
        <w:tc>
          <w:tcPr>
            <w:tcW w:w="1353"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20 % (58/286)*</w:t>
            </w:r>
          </w:p>
        </w:tc>
        <w:tc>
          <w:tcPr>
            <w:tcW w:w="1461"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40 % (116/289)*</w:t>
            </w:r>
          </w:p>
        </w:tc>
      </w:tr>
      <w:tr w:rsidR="005E1DC0" w:rsidRPr="005E1DC0" w:rsidTr="00BB1B6B">
        <w:tc>
          <w:tcPr>
            <w:tcW w:w="984"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b/>
                <w:color w:val="000000"/>
                <w:lang w:eastAsia="lt-LT"/>
              </w:rPr>
            </w:pPr>
            <w:r w:rsidRPr="005E1DC0">
              <w:rPr>
                <w:rFonts w:ascii="Times New Roman" w:eastAsia="Calibri" w:hAnsi="Times New Roman" w:cs="Times New Roman"/>
                <w:b/>
                <w:color w:val="000000"/>
                <w:lang w:eastAsia="lt-LT"/>
              </w:rPr>
              <w:t>Genotipas 1</w:t>
            </w:r>
          </w:p>
        </w:tc>
        <w:tc>
          <w:tcPr>
            <w:tcW w:w="1202"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7 % (12/171)</w:t>
            </w:r>
          </w:p>
        </w:tc>
        <w:tc>
          <w:tcPr>
            <w:tcW w:w="1353"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14 % (24/175)</w:t>
            </w:r>
          </w:p>
        </w:tc>
        <w:tc>
          <w:tcPr>
            <w:tcW w:w="1461"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29 % (51/176)</w:t>
            </w:r>
          </w:p>
        </w:tc>
      </w:tr>
      <w:tr w:rsidR="005E1DC0" w:rsidRPr="005E1DC0" w:rsidTr="00BB1B6B">
        <w:tc>
          <w:tcPr>
            <w:tcW w:w="984"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Neryški viremija</w:t>
            </w:r>
          </w:p>
        </w:tc>
        <w:tc>
          <w:tcPr>
            <w:tcW w:w="1202"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19 % (8/42)</w:t>
            </w:r>
          </w:p>
        </w:tc>
        <w:tc>
          <w:tcPr>
            <w:tcW w:w="1353"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38 % (17/45)</w:t>
            </w:r>
          </w:p>
        </w:tc>
        <w:tc>
          <w:tcPr>
            <w:tcW w:w="1461"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61 % (28/46)</w:t>
            </w:r>
          </w:p>
        </w:tc>
      </w:tr>
      <w:tr w:rsidR="005E1DC0" w:rsidRPr="005E1DC0" w:rsidTr="00BB1B6B">
        <w:tc>
          <w:tcPr>
            <w:tcW w:w="984"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lastRenderedPageBreak/>
              <w:t xml:space="preserve">Ryški viremija </w:t>
            </w:r>
          </w:p>
        </w:tc>
        <w:tc>
          <w:tcPr>
            <w:tcW w:w="1202"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3 % (4/129)</w:t>
            </w:r>
          </w:p>
        </w:tc>
        <w:tc>
          <w:tcPr>
            <w:tcW w:w="1353"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5 % (7/130)</w:t>
            </w:r>
          </w:p>
        </w:tc>
        <w:tc>
          <w:tcPr>
            <w:tcW w:w="1461"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18 % (23/130)</w:t>
            </w:r>
          </w:p>
        </w:tc>
      </w:tr>
      <w:tr w:rsidR="005E1DC0" w:rsidRPr="005E1DC0" w:rsidTr="00BB1B6B">
        <w:tc>
          <w:tcPr>
            <w:tcW w:w="984"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color w:val="000000"/>
                <w:lang w:eastAsia="lt-LT"/>
              </w:rPr>
            </w:pPr>
          </w:p>
        </w:tc>
        <w:tc>
          <w:tcPr>
            <w:tcW w:w="1202"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p>
        </w:tc>
        <w:tc>
          <w:tcPr>
            <w:tcW w:w="1353"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p>
        </w:tc>
        <w:tc>
          <w:tcPr>
            <w:tcW w:w="1461"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p>
        </w:tc>
      </w:tr>
      <w:tr w:rsidR="005E1DC0" w:rsidRPr="005E1DC0" w:rsidTr="00BB1B6B">
        <w:tc>
          <w:tcPr>
            <w:tcW w:w="984"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b/>
                <w:color w:val="000000"/>
                <w:lang w:eastAsia="lt-LT"/>
              </w:rPr>
            </w:pPr>
            <w:r w:rsidRPr="005E1DC0">
              <w:rPr>
                <w:rFonts w:ascii="Times New Roman" w:eastAsia="Calibri" w:hAnsi="Times New Roman" w:cs="Times New Roman"/>
                <w:b/>
                <w:color w:val="000000"/>
                <w:lang w:eastAsia="lt-LT"/>
              </w:rPr>
              <w:t>Genotipas 2/3</w:t>
            </w:r>
          </w:p>
        </w:tc>
        <w:tc>
          <w:tcPr>
            <w:tcW w:w="1202"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20 % (18/89)</w:t>
            </w:r>
          </w:p>
        </w:tc>
        <w:tc>
          <w:tcPr>
            <w:tcW w:w="1353"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36 % (32/90)</w:t>
            </w:r>
          </w:p>
        </w:tc>
        <w:tc>
          <w:tcPr>
            <w:tcW w:w="1461"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62 % (59/95)</w:t>
            </w:r>
          </w:p>
        </w:tc>
      </w:tr>
      <w:tr w:rsidR="005E1DC0" w:rsidRPr="005E1DC0" w:rsidTr="00BB1B6B">
        <w:tc>
          <w:tcPr>
            <w:tcW w:w="984"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Neryški viremija</w:t>
            </w:r>
          </w:p>
        </w:tc>
        <w:tc>
          <w:tcPr>
            <w:tcW w:w="1202"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27 % (8/30)</w:t>
            </w:r>
          </w:p>
        </w:tc>
        <w:tc>
          <w:tcPr>
            <w:tcW w:w="1353"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38 % (9/24)</w:t>
            </w:r>
          </w:p>
        </w:tc>
        <w:tc>
          <w:tcPr>
            <w:tcW w:w="1461"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61 % (17/28)</w:t>
            </w:r>
          </w:p>
        </w:tc>
      </w:tr>
      <w:tr w:rsidR="005E1DC0" w:rsidRPr="005E1DC0" w:rsidTr="00BB1B6B">
        <w:tc>
          <w:tcPr>
            <w:tcW w:w="984"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Ryški viremija</w:t>
            </w:r>
          </w:p>
        </w:tc>
        <w:tc>
          <w:tcPr>
            <w:tcW w:w="1202"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17 % (10/59)</w:t>
            </w:r>
          </w:p>
        </w:tc>
        <w:tc>
          <w:tcPr>
            <w:tcW w:w="1353"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35 % (23/66)</w:t>
            </w:r>
          </w:p>
        </w:tc>
        <w:tc>
          <w:tcPr>
            <w:tcW w:w="1461" w:type="pct"/>
          </w:tcPr>
          <w:p w:rsidR="005E1DC0" w:rsidRPr="005E1DC0" w:rsidRDefault="005E1DC0" w:rsidP="005E1DC0">
            <w:pPr>
              <w:autoSpaceDE w:val="0"/>
              <w:autoSpaceDN w:val="0"/>
              <w:adjustRightInd w:val="0"/>
              <w:spacing w:after="0" w:line="240" w:lineRule="auto"/>
              <w:jc w:val="center"/>
              <w:rPr>
                <w:rFonts w:ascii="Times New Roman" w:eastAsia="Calibri" w:hAnsi="Times New Roman" w:cs="Times New Roman"/>
                <w:color w:val="000000"/>
                <w:lang w:eastAsia="lt-LT"/>
              </w:rPr>
            </w:pPr>
            <w:r w:rsidRPr="005E1DC0">
              <w:rPr>
                <w:rFonts w:ascii="Times New Roman" w:eastAsia="Calibri" w:hAnsi="Times New Roman" w:cs="Times New Roman"/>
                <w:color w:val="000000"/>
                <w:lang w:eastAsia="lt-LT"/>
              </w:rPr>
              <w:t>63 % (42/67)</w:t>
            </w:r>
          </w:p>
        </w:tc>
      </w:tr>
      <w:tr w:rsidR="005E1DC0" w:rsidRPr="005E1DC0" w:rsidTr="00BB1B6B">
        <w:tc>
          <w:tcPr>
            <w:tcW w:w="984"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color w:val="000000"/>
                <w:lang w:eastAsia="lt-LT"/>
              </w:rPr>
            </w:pPr>
          </w:p>
        </w:tc>
        <w:tc>
          <w:tcPr>
            <w:tcW w:w="1202"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color w:val="000000"/>
                <w:lang w:eastAsia="lt-LT"/>
              </w:rPr>
            </w:pPr>
          </w:p>
        </w:tc>
        <w:tc>
          <w:tcPr>
            <w:tcW w:w="1353"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color w:val="000000"/>
                <w:lang w:eastAsia="lt-LT"/>
              </w:rPr>
            </w:pPr>
          </w:p>
        </w:tc>
        <w:tc>
          <w:tcPr>
            <w:tcW w:w="1461" w:type="pct"/>
          </w:tcPr>
          <w:p w:rsidR="005E1DC0" w:rsidRPr="005E1DC0" w:rsidRDefault="005E1DC0" w:rsidP="005E1DC0">
            <w:pPr>
              <w:autoSpaceDE w:val="0"/>
              <w:autoSpaceDN w:val="0"/>
              <w:adjustRightInd w:val="0"/>
              <w:spacing w:after="0" w:line="240" w:lineRule="auto"/>
              <w:rPr>
                <w:rFonts w:ascii="Times New Roman" w:eastAsia="Calibri" w:hAnsi="Times New Roman" w:cs="Times New Roman"/>
                <w:color w:val="000000"/>
                <w:lang w:eastAsia="lt-LT"/>
              </w:rPr>
            </w:pPr>
          </w:p>
        </w:tc>
      </w:tr>
    </w:tbl>
    <w:p w:rsidR="005E1DC0" w:rsidRPr="005E1DC0" w:rsidRDefault="005E1DC0" w:rsidP="005E1DC0">
      <w:pPr>
        <w:keepNext/>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Neryški viremija= ≤ 800000 TV/ml; ryški viremija= &gt; 800000 TV/ml</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 xml:space="preserve">*Peginterferono alfa-2a 180 mkg ir Copegus 800 mg, palyginti su interferono alfa-2a 3 milijonai TV ir ribavirino 800 mg: pranašumo santykis (esant 95 % PI) = 5,40 (3,42 - 8,54); p reikšmė (stratifikuotas </w:t>
      </w:r>
      <w:r w:rsidRPr="005E1DC0">
        <w:rPr>
          <w:rFonts w:ascii="Times New Roman" w:eastAsia="Calibri" w:hAnsi="Times New Roman" w:cs="Times New Roman"/>
          <w:i/>
          <w:lang w:eastAsia="lt-LT"/>
        </w:rPr>
        <w:t>Cochran-Mantel-Haenszel</w:t>
      </w:r>
      <w:r w:rsidRPr="005E1DC0">
        <w:rPr>
          <w:rFonts w:ascii="Times New Roman" w:eastAsia="Calibri" w:hAnsi="Times New Roman" w:cs="Times New Roman"/>
          <w:lang w:eastAsia="lt-LT"/>
        </w:rPr>
        <w:t xml:space="preserve"> testas) = &lt; 0,0001</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 xml:space="preserve">* Peginterferono alfa-2a 180 mkg ir Copegus 800 mg, palyginti su peginterferono 180 mkg: pranašumo santykis (esant 95 % PI) = 2,89 (1,93 - 4,32); p reikšmė (stratifikuotas </w:t>
      </w:r>
      <w:r w:rsidRPr="005E1DC0">
        <w:rPr>
          <w:rFonts w:ascii="Times New Roman" w:eastAsia="Calibri" w:hAnsi="Times New Roman" w:cs="Times New Roman"/>
          <w:i/>
          <w:lang w:eastAsia="lt-LT"/>
        </w:rPr>
        <w:t>Cochran-Mantel-Haenszel</w:t>
      </w:r>
      <w:r w:rsidRPr="005E1DC0">
        <w:rPr>
          <w:rFonts w:ascii="Times New Roman" w:eastAsia="Calibri" w:hAnsi="Times New Roman" w:cs="Times New Roman"/>
          <w:lang w:eastAsia="lt-LT"/>
        </w:rPr>
        <w:t xml:space="preserve"> testas) = &lt; 0,0001</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 xml:space="preserve">* Interferono alfa-2a 3 MTV ir Copegus 800 mg, palyginti su peginterferono alfa-2a 180 mkg: pranašumo santykis (esant 95 % PI) = 0,53 (0,33 - 0,85); p reikšmė (stratifikuotas </w:t>
      </w:r>
      <w:r w:rsidRPr="005E1DC0">
        <w:rPr>
          <w:rFonts w:ascii="Times New Roman" w:eastAsia="Calibri" w:hAnsi="Times New Roman" w:cs="Times New Roman"/>
          <w:i/>
          <w:lang w:eastAsia="lt-LT"/>
        </w:rPr>
        <w:t>Cochran-Mantel-Haenszel</w:t>
      </w:r>
      <w:r w:rsidRPr="005E1DC0">
        <w:rPr>
          <w:rFonts w:ascii="Times New Roman" w:eastAsia="Calibri" w:hAnsi="Times New Roman" w:cs="Times New Roman"/>
          <w:lang w:eastAsia="lt-LT"/>
        </w:rPr>
        <w:t xml:space="preserve"> testas) = &lt; 0,0084</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outlineLvl w:val="0"/>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Paskesnio tyrimo (NV18209) metu buvo lyginamas ŽIV ir genotipo 1 HCV koinfekuotų pacientų gydymas, skiriant peginterferono alfa-2a po 180 mikrogramų per savaitę ir Copegus 800 mg ar 1000 mg (&lt; 75 kg)/1200 mg (</w:t>
      </w:r>
      <w:r w:rsidRPr="005E1DC0">
        <w:rPr>
          <w:rFonts w:ascii="Times New Roman" w:eastAsia="Times New Roman" w:hAnsi="Times New Roman" w:cs="Times New Roman"/>
          <w:lang w:eastAsia="lt-LT"/>
        </w:rPr>
        <w:sym w:font="Symbol" w:char="F0B3"/>
      </w:r>
      <w:r w:rsidRPr="005E1DC0">
        <w:rPr>
          <w:rFonts w:ascii="Times New Roman" w:eastAsia="Times New Roman" w:hAnsi="Times New Roman" w:cs="Times New Roman"/>
          <w:lang w:eastAsia="lt-LT"/>
        </w:rPr>
        <w:t> 75 kg) per parą 48 savaites. Šis tyrimas neturėjo įtakos efektyvumo vertinimui. Saugumo pobūdis abiejose Copegus grupėse atitiko žinomą gydymo peginterferono alfa-2a ir Copegus deriniu saugumo pobūdį ir jokių svarbių skirtumų neparodė, išskyrus nežymų anemijos atvejų padidėjimą grupėje, gaunančioje didelę Copegus dozę.</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
          <w:u w:val="single"/>
          <w:lang w:eastAsia="lt-LT"/>
        </w:rPr>
      </w:pPr>
      <w:r w:rsidRPr="005E1DC0">
        <w:rPr>
          <w:rFonts w:ascii="Times New Roman" w:eastAsia="Times New Roman" w:hAnsi="Times New Roman" w:cs="Times New Roman"/>
          <w:i/>
          <w:u w:val="single"/>
          <w:lang w:eastAsia="lt-LT"/>
        </w:rPr>
        <w:t>Ribavirinas derinant su interferonu alfa-2a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Klinikinių tyrimų metu palygintas vien interferono alfa-2a ir jo derinio su geriamu ribavirinu gydomasis efektyvumas, gydant pacientus, kuriems virusologiškai, biochemiškai ir histologiškai patvirtintas lėtinis hepatitas C ir kurie anksčiau nebuvo gydyti arba kurių liga recidyvavo. Ilgalaikis biocheminis ir virusologinis atsakas, taip pat histologinių pokyčių pagerėjimas vertinti, praėjus šešiems mėnesiams po gydymo pabaigos.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Statistiškai reikšmingai 10 kartų (nuo 4 % iki 43 %; p &lt; 0,01) daugiau buvo stebėtas ilgalaikis virusologinis ir biocheminis atsakas, gydant pacientus, kurių liga recidyvavo (M23136; N = 99). Gydant vaistų deriniu, taip pat buvo palankesnis atsako dažnis, atsižvelgiant į HCV genotipą ir pradinę viremiją. Užsikrėtusius 1 genotipo HCV pacientus gydant vaistų deriniu ir vien interferonu (monoterapija), ilgalaikių reakcijų buvo atitinkamai 28 % ir 0 %, o užsikrėtusius ne 1 genotipo HCV – atitinkamai 58 % ir 8 %. Be to, nuo vaistų derinio labiau pagerėjo histologiniai pokyčiai. Tai patvirtinta palankiais (monoterapiją palyginus su vaistų derinio veiksmingumu – 6 % ir 48 %; p &lt; 0,04) mažo paskelbto klinikinio tyrimo duomenimis, kai anksčiau negydyti pacientai (N = 40) vartojo interferono alfa-2a (po 3 milijonus TV 3 kartus per savaitę) kartu su ribavirinu.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5.2</w:t>
      </w:r>
      <w:r w:rsidRPr="005E1DC0">
        <w:rPr>
          <w:rFonts w:ascii="Times New Roman" w:eastAsia="Times New Roman" w:hAnsi="Times New Roman" w:cs="Times New Roman"/>
          <w:b/>
          <w:bCs/>
          <w:lang w:eastAsia="lt-LT"/>
        </w:rPr>
        <w:tab/>
        <w:t>Farmakokinetinės savybės</w:t>
      </w: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Išgėrus vienkartinę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dozę, ribavirinas greitai rezorbuojamas (vidutinė T</w:t>
      </w:r>
      <w:r w:rsidRPr="005E1DC0">
        <w:rPr>
          <w:rFonts w:ascii="Times New Roman" w:eastAsia="Times New Roman" w:hAnsi="Times New Roman" w:cs="Times New Roman"/>
          <w:vertAlign w:val="subscript"/>
          <w:lang w:eastAsia="lt-LT"/>
        </w:rPr>
        <w:t xml:space="preserve">max </w:t>
      </w:r>
      <w:r w:rsidRPr="005E1DC0">
        <w:rPr>
          <w:rFonts w:ascii="Times New Roman" w:eastAsia="Times New Roman" w:hAnsi="Times New Roman" w:cs="Times New Roman"/>
          <w:lang w:eastAsia="lt-LT"/>
        </w:rPr>
        <w:t>= 1-2 valandos). Po vienkartinių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dozių vidutinis galutinės fazės ribavirino pusinės eliminacijos periodas yra 140-160 valandų. Literatūros duomenimis, ribavirino absorbcija vyksta ekstensyviai; apie 10 % radioaktyviu elementu žymėtos dozės pašalinama su išmatomis. Tačiau matyt dėl ikisisteminio metabolizmo absoliutus biologinis prieinamumas yra apytikriai 45 % - 65 %. Po vienkartinių 200-1200 miligramų ribavirino dozių priklausomybė tarp dozės ir AUC</w:t>
      </w:r>
      <w:r w:rsidRPr="005E1DC0">
        <w:rPr>
          <w:rFonts w:ascii="Times New Roman" w:eastAsia="Times New Roman" w:hAnsi="Times New Roman" w:cs="Times New Roman"/>
          <w:vertAlign w:val="subscript"/>
          <w:lang w:eastAsia="lt-LT"/>
        </w:rPr>
        <w:t>tf</w:t>
      </w:r>
      <w:r w:rsidRPr="005E1DC0">
        <w:rPr>
          <w:rFonts w:ascii="Times New Roman" w:eastAsia="Times New Roman" w:hAnsi="Times New Roman" w:cs="Times New Roman"/>
          <w:lang w:eastAsia="lt-LT"/>
        </w:rPr>
        <w:t xml:space="preserve"> yra apytikriai linijinė. Po vienkartinės 600 miligramų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dozės vidutinis menamas geriamo ribavirino klirensas yra 22-29 litrai per valandą. Išgerto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pasiskirstymo tūris yra apytikriai 4500 litrų. Ribavirinas su plazmos baltymais nesijungia.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Nustatyta, kad po išgertų vienkartinių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dozių ribavirino farmakokinetika atskirų žmonių ir to paties žmogaus organizme nėra pastovi (ir AUC ir C</w:t>
      </w:r>
      <w:r w:rsidRPr="005E1DC0">
        <w:rPr>
          <w:rFonts w:ascii="Times New Roman" w:eastAsia="Times New Roman" w:hAnsi="Times New Roman" w:cs="Times New Roman"/>
          <w:vertAlign w:val="subscript"/>
          <w:lang w:eastAsia="lt-LT"/>
        </w:rPr>
        <w:t>max</w:t>
      </w:r>
      <w:r w:rsidRPr="005E1DC0">
        <w:rPr>
          <w:rFonts w:ascii="Times New Roman" w:eastAsia="Times New Roman" w:hAnsi="Times New Roman" w:cs="Times New Roman"/>
          <w:lang w:eastAsia="lt-LT"/>
        </w:rPr>
        <w:t xml:space="preserve"> tam pačiam žmogui kinta </w:t>
      </w:r>
      <w:r w:rsidRPr="005E1DC0">
        <w:rPr>
          <w:rFonts w:ascii="Times New Roman" w:eastAsia="Times New Roman" w:hAnsi="Times New Roman" w:cs="Times New Roman"/>
          <w:lang w:eastAsia="lt-LT"/>
        </w:rPr>
        <w:sym w:font="Symbol" w:char="F0A3"/>
      </w:r>
      <w:r w:rsidRPr="005E1DC0">
        <w:rPr>
          <w:rFonts w:ascii="Times New Roman" w:eastAsia="Times New Roman" w:hAnsi="Times New Roman" w:cs="Times New Roman"/>
          <w:lang w:eastAsia="lt-LT"/>
        </w:rPr>
        <w:t xml:space="preserve"> 25 %), tai gali būti susiję su ekstensyviu ikisisteminiu metabolizmu ir vaisto pernešimu į kraują ir iš jo.</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Ribavirino transportas, išskyrus plazmą, plačiausiai ištirtas eritrocituose ir nustatyta, kad pirmiausia jis vyksta per e</w:t>
      </w:r>
      <w:r w:rsidRPr="005E1DC0">
        <w:rPr>
          <w:rFonts w:ascii="Times New Roman" w:eastAsia="Times New Roman" w:hAnsi="Times New Roman" w:cs="Times New Roman"/>
          <w:vertAlign w:val="subscript"/>
          <w:lang w:eastAsia="lt-LT"/>
        </w:rPr>
        <w:t>s</w:t>
      </w:r>
      <w:r w:rsidRPr="005E1DC0">
        <w:rPr>
          <w:rFonts w:ascii="Times New Roman" w:eastAsia="Times New Roman" w:hAnsi="Times New Roman" w:cs="Times New Roman"/>
          <w:lang w:eastAsia="lt-LT"/>
        </w:rPr>
        <w:t>-tipo balansuojantį nukleozidų pernešimą. Šis pernešimo tipas virtualiai būdingas visoms ląstelių rūšims ir galbūt dėl to ribavirinas pasižymi dideliu pasiskirstymo tūriu. Visame kraujyje ir plazmoje esančio ribavirino santykis yra 60:1; pernelyg daug ribavirino kraujyje būna dėl ribavirino nukleotidų kaupimosi eritrocituose.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Ribavirinas metabolizuojamas dviem būdais: 1) vykstant grįžtamajam fosforilinimui, 2) vykstant irimui, apimančiam dezriboksilinimą ir amido hidrolizę, dėl kurių susidaro triazolo karboksirūgšties metabolitas. Ir ribavirinas, ir abu jo triazolo karboksiamido bei triazolo karboksirūgšties metabolitai šalinami per inkstus.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Literatūros duomenimis, vartojant kartotines ribavirino dozes, jis ekstensyviai kaupiasi plazmoje – tuomet jo AUC</w:t>
      </w:r>
      <w:r w:rsidRPr="005E1DC0">
        <w:rPr>
          <w:rFonts w:ascii="Times New Roman" w:eastAsia="Times New Roman" w:hAnsi="Times New Roman" w:cs="Times New Roman"/>
          <w:vertAlign w:val="subscript"/>
          <w:lang w:eastAsia="lt-LT"/>
        </w:rPr>
        <w:t>12h</w:t>
      </w:r>
      <w:r w:rsidRPr="005E1DC0">
        <w:rPr>
          <w:rFonts w:ascii="Times New Roman" w:eastAsia="Times New Roman" w:hAnsi="Times New Roman" w:cs="Times New Roman"/>
          <w:lang w:eastAsia="lt-LT"/>
        </w:rPr>
        <w:t xml:space="preserve"> yra 6 kartus didesnis, palyginti su vienkartinės dozės atitinkamais rodmenimis. Geriant po 600 mg du kartus per parą, pastovi koncentracija – vidutiniškai apie 2200 ng/ml – susidaro maždaug per 4 savaites. Nustojus vartoti vaisto, pusinės eliminacijos periodas buvo maždaug 300 valandų; tai tikriausiai atspindi lėtą eliminaciją iš kitų nei plazma audinių.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lang w:eastAsia="lt-LT"/>
        </w:rPr>
        <w:t xml:space="preserve">Maisto poveikis. </w:t>
      </w:r>
      <w:r w:rsidRPr="005E1DC0">
        <w:rPr>
          <w:rFonts w:ascii="Times New Roman" w:eastAsia="Times New Roman" w:hAnsi="Times New Roman" w:cs="Times New Roman"/>
          <w:lang w:eastAsia="lt-LT"/>
        </w:rPr>
        <w:t>Išgertos vienkartinės 600 mg Copegus dozės biologinis prieinamumas padidėjo, kai kartu buvo valgoma labai riebaus maisto. Kai Copegus</w:t>
      </w:r>
      <w:r w:rsidRPr="005E1DC0">
        <w:rPr>
          <w:rFonts w:ascii="Times New Roman" w:eastAsia="Times New Roman" w:hAnsi="Times New Roman" w:cs="Times New Roman"/>
          <w:i/>
          <w:iCs/>
          <w:lang w:eastAsia="lt-LT"/>
        </w:rPr>
        <w:t xml:space="preserve"> </w:t>
      </w:r>
      <w:r w:rsidRPr="005E1DC0">
        <w:rPr>
          <w:rFonts w:ascii="Times New Roman" w:eastAsia="Times New Roman" w:hAnsi="Times New Roman" w:cs="Times New Roman"/>
          <w:lang w:eastAsia="lt-LT"/>
        </w:rPr>
        <w:t>išgerta valgant ypač riebius pusryčius, palyginti su išgertu nevalgius, organizmo ekspozicijos ribavirinui parametrai – AUC</w:t>
      </w:r>
      <w:r w:rsidRPr="005E1DC0">
        <w:rPr>
          <w:rFonts w:ascii="Times New Roman" w:eastAsia="Times New Roman" w:hAnsi="Times New Roman" w:cs="Times New Roman"/>
          <w:vertAlign w:val="subscript"/>
          <w:lang w:eastAsia="lt-LT"/>
        </w:rPr>
        <w:t>(0-192h)</w:t>
      </w:r>
      <w:r w:rsidRPr="005E1DC0">
        <w:rPr>
          <w:rFonts w:ascii="Times New Roman" w:eastAsia="Times New Roman" w:hAnsi="Times New Roman" w:cs="Times New Roman"/>
          <w:lang w:eastAsia="lt-LT"/>
        </w:rPr>
        <w:t xml:space="preserve"> ir C</w:t>
      </w:r>
      <w:r w:rsidRPr="005E1DC0">
        <w:rPr>
          <w:rFonts w:ascii="Times New Roman" w:eastAsia="Times New Roman" w:hAnsi="Times New Roman" w:cs="Times New Roman"/>
          <w:vertAlign w:val="subscript"/>
          <w:lang w:eastAsia="lt-LT"/>
        </w:rPr>
        <w:t>max</w:t>
      </w:r>
      <w:r w:rsidRPr="005E1DC0">
        <w:rPr>
          <w:rFonts w:ascii="Times New Roman" w:eastAsia="Times New Roman" w:hAnsi="Times New Roman" w:cs="Times New Roman"/>
          <w:lang w:eastAsia="lt-LT"/>
        </w:rPr>
        <w:t xml:space="preserve"> – padidėjo atitinkamai 42 % ir 66 %. Šių vienkartinės dozės tyrimų rezultatų klinikinė reikšmė nežinoma. Ekspozicija ribavirinui po kartotinių dozių, kai vaisto buvo geriama valgant, pacientų, vartojusių peginterferono alfa-2a kartu su Copegus ir interferono alfa-2b kartu su ribavirinu, buvo panaši. Siekiant sudaryti optimalią ribavirino koncentraciją plazmoje, rekomenduojama vartoti ribavirino valgymo metu.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lang w:eastAsia="lt-LT"/>
        </w:rPr>
        <w:t xml:space="preserve">Inkstų veikla. </w:t>
      </w:r>
      <w:r w:rsidRPr="005E1DC0">
        <w:rPr>
          <w:rFonts w:ascii="Times New Roman" w:eastAsia="Times New Roman" w:hAnsi="Times New Roman" w:cs="Times New Roman"/>
          <w:lang w:eastAsia="lt-LT"/>
        </w:rPr>
        <w:t>Pacientų, kurių kreatinino klirensas yra 50 ml/min ir mažesnis, įskaitant GSIL sergančius ir nuolat dializuojamus pacientus, organizme ribavirino tariamasis klirensas yra mažesnis ir siekia maždaug 30 % klirenso pacientų, kurių inkstų veikla yra normali. Remiantis nedideliu tyrimu su pacientais, kuriems buvo vidutinio sunkumo ar sunkus inkstų pažeidimas (kreatinino klirensas 50 ml/min ir mažesnis), Copegus vartojusiais sumažintomis paros dozėmis, atitinkamai, po 600 mg ir 400 mg, ribavirino ekspozicija plazmoje (AUC) buvo nuo 20 % iki 30 % didesnė, lyginant su įprastą Copegus dozę vartojusiais pacientais, kurių inkstų veikla buvo normali (kreatinino klirensas &gt; 80 ml/min). GSIL sirgusiems ir nuolat dializuojamiems pacientams, vartojusiems 200 mg Copegus paros dozę, vidutinė ribavirino ekspozicija (AUC) buvo maždaug 20 % mažesnė už ekspozicijos įprastą 1000 mg ar 1200 mg Copegus paros dozę vartojusių pacientų, kurių inkstų veikla buvo normali, organizme. Hemodialize iš plazmos galima pašalinti maždaug 50 % ribavirino, nes dėl jo didelio pasiskirstymo tūrio hemodialize pašalinti reikšmingą ribavirino kiekį nėra efektyvu. Šiame tyrime tirtas dozes vartojusiems pacientams, kuriems buvo vidutinio sunkumo ar sunkus inkstų pažeidimas, buvo stebėtas padidėjęs nepageidaujamų reakcijų į vaistą dažnis.</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Remiantis farmakokinetikos modeliavimu ir imitavimu, pacientams, kuriems yra reikšminga inkstų pažaida, rekomenduojama patikslinti dozę (žr. 4.2 skyrių). Tikėtina, kad pakoreguotos dozės lems ribavirino koncentraciją plazmoje, panašią į įprastą Copegus dozę vartojančių pacientų, kurių inkstų veikla normali, organizme. Dauguma rekomenduojamųjų dozių buvo nustatytos FK modeliavimo ir imitavimo būdu, jos klinikinių tyrimų metu nėra ištirtos.</w:t>
      </w: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Kepenų funkcija</w:t>
      </w:r>
      <w:r w:rsidRPr="005E1DC0">
        <w:rPr>
          <w:rFonts w:ascii="Times New Roman" w:eastAsia="Times New Roman" w:hAnsi="Times New Roman" w:cs="Times New Roman"/>
          <w:i/>
          <w:lang w:eastAsia="lt-LT"/>
        </w:rPr>
        <w:t xml:space="preserve">. </w:t>
      </w:r>
      <w:r w:rsidRPr="005E1DC0">
        <w:rPr>
          <w:rFonts w:ascii="Times New Roman" w:eastAsia="Times New Roman" w:hAnsi="Times New Roman" w:cs="Times New Roman"/>
          <w:lang w:eastAsia="lt-LT"/>
        </w:rPr>
        <w:t xml:space="preserve">Vienkartinių ribavirino dozių farmakokinetika, kai pacientų kepenų funkcija yra šiek tiek, vidutiniškai ar ryškiai sutrikusi (pagal </w:t>
      </w:r>
      <w:r w:rsidRPr="005E1DC0">
        <w:rPr>
          <w:rFonts w:ascii="Times New Roman" w:eastAsia="Times New Roman" w:hAnsi="Times New Roman" w:cs="Times New Roman"/>
          <w:i/>
          <w:lang w:eastAsia="lt-LT"/>
        </w:rPr>
        <w:t>Child-Pugh</w:t>
      </w:r>
      <w:r w:rsidRPr="005E1DC0">
        <w:rPr>
          <w:rFonts w:ascii="Times New Roman" w:eastAsia="Times New Roman" w:hAnsi="Times New Roman" w:cs="Times New Roman"/>
          <w:lang w:eastAsia="lt-LT"/>
        </w:rPr>
        <w:t xml:space="preserve"> klasifikaciją A, B, C laipsnis), panaši kaip kontrolinės grupės žmonių, kurių kepenų funkcija normali.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Pagyvenę (vyresni nei 65 metų) pacientai</w:t>
      </w:r>
      <w:r w:rsidRPr="005E1DC0">
        <w:rPr>
          <w:rFonts w:ascii="Times New Roman" w:eastAsia="Times New Roman" w:hAnsi="Times New Roman" w:cs="Times New Roman"/>
          <w:i/>
          <w:lang w:eastAsia="lt-LT"/>
        </w:rPr>
        <w:t xml:space="preserve">. </w:t>
      </w:r>
      <w:r w:rsidRPr="005E1DC0">
        <w:rPr>
          <w:rFonts w:ascii="Times New Roman" w:eastAsia="Times New Roman" w:hAnsi="Times New Roman" w:cs="Times New Roman"/>
          <w:lang w:eastAsia="lt-LT"/>
        </w:rPr>
        <w:t>Vaisto farmakokinetika pagyvenusių žmonių organizme specifiškai nebuvo įvertinta. Tačiau paskelbtais populiacijos farmakokinetinių tyrimų duomenimis, ne amžius, o inkstų funkcija buvo svarbiausias ribavirino kinetiką lemiantis veiksnys.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lastRenderedPageBreak/>
        <w:t>Jaunesni nei 18 metų pacientai</w:t>
      </w:r>
      <w:r w:rsidRPr="005E1DC0">
        <w:rPr>
          <w:rFonts w:ascii="Times New Roman" w:eastAsia="Times New Roman" w:hAnsi="Times New Roman" w:cs="Times New Roman"/>
          <w:i/>
          <w:lang w:eastAsia="lt-LT"/>
        </w:rPr>
        <w:t>.</w:t>
      </w:r>
      <w:r w:rsidRPr="005E1DC0">
        <w:rPr>
          <w:rFonts w:ascii="Times New Roman" w:eastAsia="Times New Roman" w:hAnsi="Times New Roman" w:cs="Times New Roman"/>
          <w:lang w:eastAsia="lt-LT"/>
        </w:rPr>
        <w:t xml:space="preserve"> Žiūrėkite vaistinio preparato, skirto šiai populiacijai vartoti kartu su Copegus, PCS. Jaunesniems nei 18 metų pacientams ribavirino farmakokinetikos analizė nėra atlikta.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bCs/>
          <w:i/>
          <w:lang w:eastAsia="lt-LT"/>
        </w:rPr>
        <w:t>Populiacijos farmakokinetika</w:t>
      </w:r>
      <w:r w:rsidRPr="005E1DC0">
        <w:rPr>
          <w:rFonts w:ascii="Times New Roman" w:eastAsia="Times New Roman" w:hAnsi="Times New Roman" w:cs="Times New Roman"/>
          <w:i/>
          <w:lang w:eastAsia="lt-LT"/>
        </w:rPr>
        <w:t xml:space="preserve">. </w:t>
      </w:r>
      <w:r w:rsidRPr="005E1DC0">
        <w:rPr>
          <w:rFonts w:ascii="Times New Roman" w:eastAsia="Times New Roman" w:hAnsi="Times New Roman" w:cs="Times New Roman"/>
          <w:lang w:eastAsia="lt-LT"/>
        </w:rPr>
        <w:t>Populiacijos farmakokinetikos analizė atlikta remiantis penkių klinikinių tyrimų metu nustatytomis vaisto koncentracijų plazmoje reikšmėmis. Nors kūno svoris ir rasė statistiškai keitė vienas kito klirenso modelį, bet kliniškai reikšmingas buvo tik kūno svorio poveikis. Klirensas didėjo kaip kūno svorio funkcija, ir buvo apskaičiuota, kad, kintant kūno svoriui nuo 44 iki 155 kg, jis kito nuo 17,7 iki 24,8 l/val. Kreatinino klirensas (net toks mažas kaip 34 ml/min.) ribavirino klirensui poveikio neturėjo.</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lang w:eastAsia="lt-LT"/>
        </w:rPr>
        <w:t xml:space="preserve">Patekimas į sėklos skystį. </w:t>
      </w:r>
      <w:r w:rsidRPr="005E1DC0">
        <w:rPr>
          <w:rFonts w:ascii="Times New Roman" w:eastAsia="Times New Roman" w:hAnsi="Times New Roman" w:cs="Times New Roman"/>
          <w:lang w:eastAsia="lt-LT"/>
        </w:rPr>
        <w:t>Buvo tirtas ribavirino patekimas į spermą. Ribavirino koncentracija sėklos skystyje yra maždaug du kartus didesnė nei serume. Vis dėlto moters sisteminė ekspozicija ribavirinu po lytinių santykių su gydomu pacientu yra apytikriai apskaičiuota ir, lyginant su terapine ribavirino koncentracija plazmoje, yra ypač maža.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5.3</w:t>
      </w:r>
      <w:r w:rsidRPr="005E1DC0">
        <w:rPr>
          <w:rFonts w:ascii="Times New Roman" w:eastAsia="Times New Roman" w:hAnsi="Times New Roman" w:cs="Times New Roman"/>
          <w:b/>
          <w:bCs/>
          <w:lang w:eastAsia="lt-LT"/>
        </w:rPr>
        <w:tab/>
        <w:t>Ikiklinikinių saugumo tyrimų duomenys</w:t>
      </w:r>
    </w:p>
    <w:p w:rsidR="005E1DC0" w:rsidRPr="005E1DC0" w:rsidRDefault="005E1DC0" w:rsidP="005E1DC0">
      <w:pPr>
        <w:keepNext/>
        <w:tabs>
          <w:tab w:val="left" w:pos="567"/>
        </w:tabs>
        <w:spacing w:after="0" w:line="240" w:lineRule="auto"/>
        <w:jc w:val="both"/>
        <w:rPr>
          <w:rFonts w:ascii="Times New Roman" w:eastAsia="Times New Roman" w:hAnsi="Times New Roman" w:cs="Times New Roman"/>
          <w:b/>
          <w:bCs/>
          <w:lang w:eastAsia="lt-LT"/>
        </w:rPr>
      </w:pPr>
    </w:p>
    <w:p w:rsidR="005E1DC0" w:rsidRPr="005E1DC0" w:rsidRDefault="005E1DC0" w:rsidP="005E1DC0">
      <w:pPr>
        <w:keepNext/>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Ribavirinas veikia embriotoksiškai ir (arba) teratogeniškai visas gyvūnų rūšis, kurioms šie poveikiai tirti, duodant daug mažesnes negu rekomenduojamas žmonėms dozes. Pastebėta kaukolės, gomurio, akių, žandikaulių, rankų ir kojų, skeleto ir virškinimo trakto anomalijų. Didėjant dozei, teratogeninis poveikis dažnėja ir sunkėja. Mažėja vaisių ir jauniklių išgyvenamumas.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Tiriant poveikį gyvūnams, tarp jų šunims ir beždžionėms, nustatyta, kad ribavirinas pirmiausia toksiškai veikia eritrocitus. Pradėjus duoti vaisto, netrukus atsiranda anemija, bet, kai vaisto nustojama duoti, ji greitai išnyksta. Hipoplazinė anemija pastebėta tik žiurkėms, kai poūmio tyrimo metu duotos didelės 160 mg/kg per parą dozės.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Ribavirino toksiškumo tyrimų metu nuo kartotinių dozių sumažėjęs leukocitų ir (arba) limfocitų skaičius nuolat pastebėtas graužikams bei šunims ir laikinai – poūmio toksiškumo tyrimų metu – beždžionėms. Kartotinių dozių toksiškumo žiurkėms tyrimai parodė, kad sunyko užkrūčio liaukos limfoidinis audinys ir (arba) nuo užkrūčio liaukos priklausančios blužnies zonos (periarteriolių limfoidinis dangalas, baltoji pulpa) ir mezenteriniai  limfmazgiai. Buvo pastebėta, kad nuo kartotinių ribavirino dozių šunims labiau išsiplėtė arba nekrozavo dvylikapirštės žarnos žarninės kriptos, taip pat atsirado plonųjų žarnų lėtinis uždegimas ir klubinės žarnos erozijų.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Tiriant kartotinių ribavirino dozių pelėms sukeliamus sėklidžių ir spermos pokyčius, nustatyta, kad spermos anomalijų pasitaiko nuo dozių, kurios gyvūnams daug mažesnės nei gydomosios. Nustojus duoti vaisto, sėklidžių funkcija nuo ribavirino sukelto toksinio poveikio visiškai atsitaiso per vieną ar du spermatogenezės ciklus.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Genotoksiškumo tyrimai parodė, kad ribavirinas šiek tiek pasižymi genotoksiniu aktyvumu. Ribavirinas turėjo poveikį, atliekant </w:t>
      </w:r>
      <w:r w:rsidRPr="005E1DC0">
        <w:rPr>
          <w:rFonts w:ascii="Times New Roman" w:eastAsia="Times New Roman" w:hAnsi="Times New Roman" w:cs="Times New Roman"/>
          <w:i/>
          <w:iCs/>
          <w:lang w:eastAsia="lt-LT"/>
        </w:rPr>
        <w:t>in vitro</w:t>
      </w:r>
      <w:r w:rsidRPr="005E1DC0">
        <w:rPr>
          <w:rFonts w:ascii="Times New Roman" w:eastAsia="Times New Roman" w:hAnsi="Times New Roman" w:cs="Times New Roman"/>
          <w:lang w:eastAsia="lt-LT"/>
        </w:rPr>
        <w:t xml:space="preserve"> transformacijos bandinį. Genotoksinis aktyvumas pastebėtas, atliekant </w:t>
      </w:r>
      <w:r w:rsidRPr="005E1DC0">
        <w:rPr>
          <w:rFonts w:ascii="Times New Roman" w:eastAsia="Times New Roman" w:hAnsi="Times New Roman" w:cs="Times New Roman"/>
          <w:i/>
          <w:iCs/>
          <w:lang w:eastAsia="lt-LT"/>
        </w:rPr>
        <w:t>in vivo</w:t>
      </w:r>
      <w:r w:rsidRPr="005E1DC0">
        <w:rPr>
          <w:rFonts w:ascii="Times New Roman" w:eastAsia="Times New Roman" w:hAnsi="Times New Roman" w:cs="Times New Roman"/>
          <w:lang w:eastAsia="lt-LT"/>
        </w:rPr>
        <w:t xml:space="preserve"> jo poveikio pelių mikrobranduoliui bandymus. Dominantinio letalinio paveldimumo bandymo su žiurkėmis duomenys buvo neigiami; tai rodo, kad, jei žiurkėms atsiranda mutacijų, jos neperduodamos per patinų gametas. Gali būti, kad ribavirinas žmogų veikia kancerogeniškai.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Ribavirino ir peginterferono alfa-2a derinys beždžionėms kokio nors netikėto toksinio poveikio nesukėlė. Svarbiausias su gydymu susijęs pokytis buvo laikina lengva ar apysunkė anemija, kuri buvo sunkesnė už anemiją, sukeliamą kiekvienos šių medžiagų, kai jos vartojamos atskirai.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6.</w:t>
      </w:r>
      <w:r w:rsidRPr="005E1DC0">
        <w:rPr>
          <w:rFonts w:ascii="Times New Roman" w:eastAsia="Times New Roman" w:hAnsi="Times New Roman" w:cs="Times New Roman"/>
          <w:b/>
          <w:bCs/>
          <w:lang w:eastAsia="lt-LT"/>
        </w:rPr>
        <w:tab/>
        <w:t>FARMACINĖ INFORMACIJA</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6.1</w:t>
      </w:r>
      <w:r w:rsidRPr="005E1DC0">
        <w:rPr>
          <w:rFonts w:ascii="Times New Roman" w:eastAsia="Times New Roman" w:hAnsi="Times New Roman" w:cs="Times New Roman"/>
          <w:b/>
          <w:bCs/>
          <w:lang w:eastAsia="lt-LT"/>
        </w:rPr>
        <w:tab/>
        <w:t>Pagalbinių medžiagų sąrašas</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spacing w:after="0" w:line="240" w:lineRule="auto"/>
        <w:rPr>
          <w:rFonts w:ascii="Times New Roman" w:eastAsia="Times New Roman" w:hAnsi="Times New Roman" w:cs="Times New Roman"/>
          <w:bCs/>
          <w:i/>
          <w:lang w:eastAsia="lt-LT"/>
        </w:rPr>
      </w:pPr>
      <w:r w:rsidRPr="005E1DC0">
        <w:rPr>
          <w:rFonts w:ascii="Times New Roman" w:eastAsia="Times New Roman" w:hAnsi="Times New Roman" w:cs="Times New Roman"/>
          <w:bCs/>
          <w:i/>
          <w:lang w:eastAsia="lt-LT"/>
        </w:rPr>
        <w:t>Tabletės branduolys</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Pregelifikuotas kukurūzų krakmolas</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Karboksimetilkrakmolo A natrio druska</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Mikrokristalinė celiuliozė</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Kukurūzų krakmolas</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Magnio stearatas</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i/>
          <w:lang w:eastAsia="lt-LT"/>
        </w:rPr>
        <w:t>Tabletės plėvelė</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Hipromeliozė</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Talkas</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Titano dioksidas (E171)</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Geltonasis geležies oksidas (E172)</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Raudonasis geležies oksidas (E172)</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Etilceliuliozės vandeninė dispersija</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Triacetinas</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6.2</w:t>
      </w:r>
      <w:r w:rsidRPr="005E1DC0">
        <w:rPr>
          <w:rFonts w:ascii="Times New Roman" w:eastAsia="Times New Roman" w:hAnsi="Times New Roman" w:cs="Times New Roman"/>
          <w:b/>
          <w:bCs/>
          <w:lang w:eastAsia="lt-LT"/>
        </w:rPr>
        <w:tab/>
        <w:t>Nesuderinamumas</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Duomenys nebūtini.</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6.3</w:t>
      </w:r>
      <w:r w:rsidRPr="005E1DC0">
        <w:rPr>
          <w:rFonts w:ascii="Times New Roman" w:eastAsia="Times New Roman" w:hAnsi="Times New Roman" w:cs="Times New Roman"/>
          <w:b/>
          <w:bCs/>
          <w:lang w:eastAsia="lt-LT"/>
        </w:rPr>
        <w:tab/>
        <w:t>Tinkamumo laikas</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 metai.</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6.4</w:t>
      </w:r>
      <w:r w:rsidRPr="005E1DC0">
        <w:rPr>
          <w:rFonts w:ascii="Times New Roman" w:eastAsia="Times New Roman" w:hAnsi="Times New Roman" w:cs="Times New Roman"/>
          <w:b/>
          <w:bCs/>
          <w:lang w:eastAsia="lt-LT"/>
        </w:rPr>
        <w:tab/>
        <w:t>Specialios laikymo sąlygos</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noProof/>
          <w:lang w:eastAsia="lt-LT"/>
        </w:rPr>
        <w:t xml:space="preserve">Šiam vaistiniam preparatui </w:t>
      </w:r>
      <w:r w:rsidRPr="005E1DC0">
        <w:rPr>
          <w:rFonts w:ascii="Times New Roman" w:eastAsia="Times New Roman" w:hAnsi="Times New Roman" w:cs="Times New Roman"/>
          <w:lang w:eastAsia="lt-LT"/>
        </w:rPr>
        <w:t>specialių laikymo sąlygų nereikia.</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6.5</w:t>
      </w:r>
      <w:r w:rsidRPr="005E1DC0">
        <w:rPr>
          <w:rFonts w:ascii="Times New Roman" w:eastAsia="Times New Roman" w:hAnsi="Times New Roman" w:cs="Times New Roman"/>
          <w:b/>
          <w:bCs/>
          <w:lang w:eastAsia="lt-LT"/>
        </w:rPr>
        <w:tab/>
        <w:t>Talpykės pobūdis ir jos turinys</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tiekiamas didelio tankio polietileno (DTPE) buteliuose, uždarytuose vaikų neatidaromais užsukamais polipropileno dangteliais, po 28, 42, 112 arba 168 tabletes.</w:t>
      </w:r>
    </w:p>
    <w:p w:rsidR="005E1DC0" w:rsidRPr="005E1DC0" w:rsidRDefault="005E1DC0" w:rsidP="005E1DC0">
      <w:pPr>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Gali būti tiekiamos ne visų dydžių pakuotės.</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6.6</w:t>
      </w:r>
      <w:r w:rsidRPr="005E1DC0">
        <w:rPr>
          <w:rFonts w:ascii="Times New Roman" w:eastAsia="Times New Roman" w:hAnsi="Times New Roman" w:cs="Times New Roman"/>
          <w:b/>
          <w:bCs/>
          <w:lang w:eastAsia="lt-LT"/>
        </w:rPr>
        <w:tab/>
        <w:t>Specialūs reikalavimai atliekoms tvarkyti</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Specialių reikalavimų nėra.</w:t>
      </w:r>
    </w:p>
    <w:p w:rsidR="005E1DC0" w:rsidRPr="005E1DC0" w:rsidRDefault="005E1DC0" w:rsidP="005E1DC0">
      <w:pPr>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Nesuvartotą preparatą ar atliekas reikia tvarkyti laikantis vietinių reikalavimų.</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7.</w:t>
      </w:r>
      <w:r w:rsidRPr="005E1DC0">
        <w:rPr>
          <w:rFonts w:ascii="Times New Roman" w:eastAsia="Times New Roman" w:hAnsi="Times New Roman" w:cs="Times New Roman"/>
          <w:b/>
          <w:bCs/>
          <w:lang w:eastAsia="lt-LT"/>
        </w:rPr>
        <w:tab/>
      </w:r>
      <w:r w:rsidRPr="005E1DC0">
        <w:rPr>
          <w:rFonts w:ascii="Times New Roman" w:eastAsia="Times New Roman" w:hAnsi="Times New Roman" w:cs="Times New Roman"/>
          <w:b/>
          <w:lang w:eastAsia="lt-LT"/>
        </w:rPr>
        <w:t>REGISTRUOTOJAS</w:t>
      </w:r>
    </w:p>
    <w:p w:rsidR="005E1DC0" w:rsidRPr="005E1DC0" w:rsidRDefault="005E1DC0" w:rsidP="005E1DC0">
      <w:pPr>
        <w:spacing w:after="0" w:line="240" w:lineRule="auto"/>
        <w:jc w:val="both"/>
        <w:rPr>
          <w:rFonts w:ascii="Times New Roman" w:eastAsia="Times New Roman" w:hAnsi="Times New Roman" w:cs="Times New Roman"/>
          <w:bCs/>
          <w:lang w:eastAsia="lt-LT"/>
        </w:rPr>
      </w:pPr>
    </w:p>
    <w:p w:rsidR="005E1DC0" w:rsidRPr="005E1DC0" w:rsidRDefault="005E1DC0" w:rsidP="005E1DC0">
      <w:pPr>
        <w:spacing w:after="0" w:line="240" w:lineRule="auto"/>
        <w:jc w:val="both"/>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UAB „Roche Lietuva“</w:t>
      </w:r>
    </w:p>
    <w:p w:rsidR="005E1DC0" w:rsidRPr="005E1DC0" w:rsidRDefault="005E1DC0" w:rsidP="005E1DC0">
      <w:pPr>
        <w:spacing w:after="0" w:line="240" w:lineRule="auto"/>
        <w:jc w:val="both"/>
        <w:rPr>
          <w:rFonts w:ascii="Times New Roman" w:eastAsia="Times New Roman" w:hAnsi="Times New Roman" w:cs="Times New Roman"/>
          <w:bCs/>
          <w:lang w:eastAsia="lt-LT"/>
        </w:rPr>
      </w:pPr>
      <w:r w:rsidRPr="005E1DC0">
        <w:rPr>
          <w:rFonts w:ascii="Times New Roman" w:eastAsia="Times New Roman" w:hAnsi="Times New Roman" w:cs="Times New Roman"/>
          <w:bCs/>
          <w:vanish/>
          <w:lang w:eastAsia="lt-LT"/>
        </w:rPr>
        <w:t>J.</w:t>
      </w:r>
      <w:r w:rsidRPr="005E1DC0">
        <w:rPr>
          <w:rFonts w:ascii="Times New Roman" w:eastAsia="Times New Roman" w:hAnsi="Times New Roman" w:cs="Times New Roman"/>
          <w:bCs/>
          <w:lang w:eastAsia="lt-LT"/>
        </w:rPr>
        <w:t>Jasinskio g. 16b</w:t>
      </w:r>
    </w:p>
    <w:p w:rsidR="005E1DC0" w:rsidRPr="005E1DC0" w:rsidRDefault="005E1DC0" w:rsidP="005E1DC0">
      <w:pPr>
        <w:spacing w:after="0" w:line="240" w:lineRule="auto"/>
        <w:jc w:val="both"/>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LT-01112 Vilnius</w:t>
      </w:r>
    </w:p>
    <w:p w:rsidR="005E1DC0" w:rsidRPr="005E1DC0" w:rsidRDefault="005E1DC0" w:rsidP="005E1DC0">
      <w:pPr>
        <w:spacing w:after="0" w:line="240" w:lineRule="auto"/>
        <w:jc w:val="both"/>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Lietuva</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keepNext/>
        <w:tabs>
          <w:tab w:val="left" w:pos="567"/>
        </w:tabs>
        <w:spacing w:after="0" w:line="240" w:lineRule="auto"/>
        <w:ind w:left="567" w:hanging="567"/>
        <w:outlineLvl w:val="1"/>
        <w:rPr>
          <w:rFonts w:ascii="Times New Roman" w:eastAsia="Times New Roman" w:hAnsi="Times New Roman" w:cs="Times New Roman"/>
          <w:b/>
        </w:rPr>
      </w:pPr>
      <w:r w:rsidRPr="005E1DC0">
        <w:rPr>
          <w:rFonts w:ascii="Times New Roman" w:eastAsia="Times New Roman" w:hAnsi="Times New Roman" w:cs="Times New Roman"/>
          <w:bCs/>
        </w:rPr>
        <w:t>8.</w:t>
      </w:r>
      <w:r w:rsidRPr="005E1DC0">
        <w:rPr>
          <w:rFonts w:ascii="Times New Roman" w:eastAsia="Times New Roman" w:hAnsi="Times New Roman" w:cs="Times New Roman"/>
          <w:bCs/>
        </w:rPr>
        <w:tab/>
      </w:r>
      <w:r w:rsidRPr="005E1DC0">
        <w:rPr>
          <w:rFonts w:ascii="Times New Roman" w:eastAsia="Calibri" w:hAnsi="Times New Roman" w:cs="Times New Roman"/>
          <w:b/>
        </w:rPr>
        <w:t>REGISTRACIJOS PAŽYMĖJIMO NUMERIAI</w:t>
      </w:r>
    </w:p>
    <w:p w:rsidR="005E1DC0" w:rsidRPr="005E1DC0" w:rsidRDefault="005E1DC0" w:rsidP="005E1DC0">
      <w:pPr>
        <w:spacing w:after="0" w:line="240" w:lineRule="auto"/>
        <w:jc w:val="both"/>
        <w:rPr>
          <w:rFonts w:ascii="Times New Roman" w:eastAsia="Times New Roman" w:hAnsi="Times New Roman" w:cs="Times New Roman"/>
          <w:bCs/>
          <w:lang w:eastAsia="lt-LT"/>
        </w:rPr>
      </w:pPr>
    </w:p>
    <w:p w:rsidR="005E1DC0" w:rsidRPr="005E1DC0" w:rsidRDefault="005E1DC0" w:rsidP="005E1DC0">
      <w:pPr>
        <w:spacing w:after="0" w:line="240" w:lineRule="auto"/>
        <w:jc w:val="both"/>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N28 - LT/1/04/0111/001</w:t>
      </w:r>
    </w:p>
    <w:p w:rsidR="005E1DC0" w:rsidRPr="005E1DC0" w:rsidRDefault="005E1DC0" w:rsidP="005E1DC0">
      <w:pPr>
        <w:spacing w:after="0" w:line="240" w:lineRule="auto"/>
        <w:jc w:val="both"/>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N42 – LT/1/04/0111/002</w:t>
      </w:r>
    </w:p>
    <w:p w:rsidR="005E1DC0" w:rsidRPr="005E1DC0" w:rsidRDefault="005E1DC0" w:rsidP="005E1DC0">
      <w:pPr>
        <w:spacing w:after="0" w:line="240" w:lineRule="auto"/>
        <w:jc w:val="both"/>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N112 – LT/1/04/0111/003</w:t>
      </w:r>
    </w:p>
    <w:p w:rsidR="005E1DC0" w:rsidRPr="005E1DC0" w:rsidRDefault="005E1DC0" w:rsidP="005E1DC0">
      <w:pPr>
        <w:spacing w:after="0" w:line="240" w:lineRule="auto"/>
        <w:jc w:val="both"/>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N168 – LT/1/04/0111/004</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9.</w:t>
      </w:r>
      <w:r w:rsidRPr="005E1DC0">
        <w:rPr>
          <w:rFonts w:ascii="Times New Roman" w:eastAsia="Times New Roman" w:hAnsi="Times New Roman" w:cs="Times New Roman"/>
          <w:b/>
          <w:bCs/>
          <w:lang w:eastAsia="lt-LT"/>
        </w:rPr>
        <w:tab/>
      </w:r>
      <w:r w:rsidRPr="005E1DC0">
        <w:rPr>
          <w:rFonts w:ascii="Times New Roman" w:eastAsia="Calibri" w:hAnsi="Times New Roman" w:cs="Times New Roman"/>
          <w:b/>
        </w:rPr>
        <w:t>REGISTRAVIMO / PERREGISTRAVIMO DATA</w:t>
      </w:r>
    </w:p>
    <w:p w:rsidR="005E1DC0" w:rsidRPr="005E1DC0" w:rsidRDefault="005E1DC0" w:rsidP="005E1DC0">
      <w:pPr>
        <w:spacing w:after="0" w:line="240" w:lineRule="auto"/>
        <w:jc w:val="both"/>
        <w:rPr>
          <w:rFonts w:ascii="Times New Roman" w:eastAsia="Times New Roman" w:hAnsi="Times New Roman" w:cs="Times New Roman"/>
          <w:b/>
          <w:bCs/>
          <w:lang w:eastAsia="lt-LT"/>
        </w:rPr>
      </w:pPr>
    </w:p>
    <w:p w:rsidR="005E1DC0" w:rsidRPr="005E1DC0" w:rsidRDefault="005E1DC0" w:rsidP="005E1DC0">
      <w:pPr>
        <w:spacing w:after="0" w:line="240" w:lineRule="auto"/>
        <w:jc w:val="both"/>
        <w:rPr>
          <w:rFonts w:ascii="Times New Roman" w:eastAsia="Times New Roman" w:hAnsi="Times New Roman" w:cs="Times New Roman"/>
          <w:lang w:eastAsia="lt-LT"/>
        </w:rPr>
      </w:pPr>
      <w:r w:rsidRPr="005E1DC0">
        <w:rPr>
          <w:rFonts w:ascii="Times New Roman" w:eastAsia="Calibri" w:hAnsi="Times New Roman" w:cs="Times New Roman"/>
        </w:rPr>
        <w:lastRenderedPageBreak/>
        <w:t xml:space="preserve">Registravimo data  </w:t>
      </w:r>
      <w:r w:rsidRPr="005E1DC0">
        <w:rPr>
          <w:rFonts w:ascii="Times New Roman" w:eastAsia="Times New Roman" w:hAnsi="Times New Roman" w:cs="Times New Roman"/>
          <w:lang w:eastAsia="lt-LT"/>
        </w:rPr>
        <w:t>2007 m. lapkričio 30 d.</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10.</w:t>
      </w:r>
      <w:r w:rsidRPr="005E1DC0">
        <w:rPr>
          <w:rFonts w:ascii="Times New Roman" w:eastAsia="Times New Roman" w:hAnsi="Times New Roman" w:cs="Times New Roman"/>
          <w:b/>
          <w:bCs/>
          <w:lang w:eastAsia="lt-LT"/>
        </w:rPr>
        <w:tab/>
        <w:t>TEKSTO PERŽIŪROS DATA</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A201D4" w:rsidP="005E1DC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2021 m. </w:t>
      </w:r>
      <w:r w:rsidR="00EE3F9F">
        <w:rPr>
          <w:rFonts w:ascii="Times New Roman" w:eastAsia="Times New Roman" w:hAnsi="Times New Roman" w:cs="Times New Roman"/>
          <w:lang w:eastAsia="lt-LT"/>
        </w:rPr>
        <w:t>rugpjūčio 22</w:t>
      </w:r>
      <w:r>
        <w:rPr>
          <w:rFonts w:ascii="Times New Roman" w:eastAsia="Times New Roman" w:hAnsi="Times New Roman" w:cs="Times New Roman"/>
          <w:lang w:eastAsia="lt-LT"/>
        </w:rPr>
        <w:t xml:space="preserve"> d.</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color w:val="0000FF"/>
          <w:lang w:eastAsia="lt-LT"/>
        </w:rPr>
      </w:pPr>
      <w:r w:rsidRPr="005E1DC0">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(VVKT) interneto svetainėje </w:t>
      </w:r>
      <w:r w:rsidRPr="005E1DC0">
        <w:rPr>
          <w:rFonts w:ascii="Times New Roman" w:eastAsia="Times New Roman" w:hAnsi="Times New Roman" w:cs="Times New Roman"/>
          <w:color w:val="0000FF"/>
          <w:lang w:eastAsia="lt-LT"/>
        </w:rPr>
        <w:t>http://www.vvkt.lt/</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br w:type="page"/>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r w:rsidRPr="005E1DC0">
        <w:rPr>
          <w:rFonts w:ascii="Times New Roman" w:eastAsia="Calibri" w:hAnsi="Times New Roman" w:cs="Times New Roman"/>
          <w:b/>
          <w:kern w:val="28"/>
          <w:lang w:eastAsia="lt-LT"/>
        </w:rPr>
        <w:t>II PRIEDAS</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5E1DC0">
        <w:rPr>
          <w:rFonts w:ascii="Times New Roman" w:eastAsia="Calibri" w:hAnsi="Times New Roman" w:cs="Times New Roman"/>
          <w:b/>
          <w:caps/>
        </w:rPr>
        <w:t>REGISTRACIJOS SĄLYGOS</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tabs>
          <w:tab w:val="left" w:pos="1701"/>
        </w:tabs>
        <w:spacing w:after="0" w:line="240" w:lineRule="auto"/>
        <w:ind w:left="1701" w:hanging="567"/>
        <w:rPr>
          <w:rFonts w:ascii="Times New Roman" w:eastAsia="Calibri" w:hAnsi="Times New Roman" w:cs="Times New Roman"/>
          <w:highlight w:val="yellow"/>
          <w:lang w:eastAsia="lt-LT"/>
        </w:rPr>
      </w:pPr>
      <w:r w:rsidRPr="005E1DC0">
        <w:rPr>
          <w:rFonts w:ascii="Times New Roman" w:eastAsia="Calibri" w:hAnsi="Times New Roman" w:cs="Times New Roman"/>
          <w:b/>
          <w:lang w:eastAsia="lt-LT"/>
        </w:rPr>
        <w:t>A.</w:t>
      </w:r>
      <w:r w:rsidRPr="005E1DC0">
        <w:rPr>
          <w:rFonts w:ascii="Times New Roman" w:eastAsia="Calibri" w:hAnsi="Times New Roman" w:cs="Times New Roman"/>
          <w:b/>
          <w:lang w:eastAsia="lt-LT"/>
        </w:rPr>
        <w:tab/>
        <w:t>BIOLOGINĖS VEIKLIOSIOS MEDŽIAGOS GAMINTOJAS IR GAMYBOS LICENCIJOS TURĖTOJAS, ATSAKINGAS UŽ SERIJŲ IŠLEIDIMĄ</w:t>
      </w:r>
    </w:p>
    <w:p w:rsidR="005E1DC0" w:rsidRPr="005E1DC0" w:rsidRDefault="005E1DC0" w:rsidP="005E1DC0">
      <w:pPr>
        <w:spacing w:after="0" w:line="240" w:lineRule="auto"/>
        <w:rPr>
          <w:rFonts w:ascii="Times New Roman" w:eastAsia="Calibri" w:hAnsi="Times New Roman" w:cs="Times New Roman"/>
          <w:highlight w:val="yellow"/>
          <w:lang w:eastAsia="lt-LT"/>
        </w:rPr>
      </w:pPr>
    </w:p>
    <w:p w:rsidR="005E1DC0" w:rsidRPr="005E1DC0" w:rsidRDefault="005E1DC0" w:rsidP="005E1DC0">
      <w:pPr>
        <w:tabs>
          <w:tab w:val="left" w:pos="1701"/>
        </w:tabs>
        <w:spacing w:after="0" w:line="240" w:lineRule="auto"/>
        <w:ind w:left="1701" w:hanging="567"/>
        <w:rPr>
          <w:rFonts w:ascii="Times New Roman" w:eastAsia="Calibri" w:hAnsi="Times New Roman" w:cs="Times New Roman"/>
          <w:lang w:eastAsia="lt-LT"/>
        </w:rPr>
      </w:pPr>
      <w:r w:rsidRPr="005E1DC0">
        <w:rPr>
          <w:rFonts w:ascii="Times New Roman" w:eastAsia="Calibri" w:hAnsi="Times New Roman" w:cs="Times New Roman"/>
          <w:b/>
          <w:lang w:eastAsia="lt-LT"/>
        </w:rPr>
        <w:t>B.</w:t>
      </w:r>
      <w:r w:rsidRPr="005E1DC0">
        <w:rPr>
          <w:rFonts w:ascii="Times New Roman" w:eastAsia="Calibri" w:hAnsi="Times New Roman" w:cs="Times New Roman"/>
          <w:b/>
          <w:lang w:eastAsia="lt-LT"/>
        </w:rPr>
        <w:tab/>
      </w:r>
      <w:r w:rsidRPr="005E1DC0">
        <w:rPr>
          <w:rFonts w:ascii="Times New Roman" w:eastAsia="Calibri" w:hAnsi="Times New Roman" w:cs="Times New Roman"/>
          <w:b/>
        </w:rPr>
        <w:t>TIEKIMO IR VARTOJIMO SĄLYGOS AR APRIBOJIMAI</w:t>
      </w:r>
    </w:p>
    <w:p w:rsidR="005E1DC0" w:rsidRPr="005E1DC0" w:rsidRDefault="005E1DC0" w:rsidP="005E1DC0">
      <w:pPr>
        <w:spacing w:after="0" w:line="240" w:lineRule="auto"/>
        <w:rPr>
          <w:rFonts w:ascii="Times New Roman" w:eastAsia="Calibri" w:hAnsi="Times New Roman" w:cs="Times New Roman"/>
          <w:highlight w:val="yellow"/>
          <w:lang w:eastAsia="lt-LT"/>
        </w:rPr>
      </w:pP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p>
    <w:p w:rsidR="005E1DC0" w:rsidRPr="005E1DC0" w:rsidRDefault="005E1DC0" w:rsidP="005E1DC0">
      <w:pPr>
        <w:keepNext/>
        <w:tabs>
          <w:tab w:val="left" w:pos="180"/>
          <w:tab w:val="left" w:pos="567"/>
        </w:tabs>
        <w:spacing w:after="0" w:line="240" w:lineRule="auto"/>
        <w:ind w:left="180" w:hanging="180"/>
        <w:outlineLvl w:val="1"/>
        <w:rPr>
          <w:rFonts w:ascii="Times New Roman" w:eastAsia="Calibri" w:hAnsi="Times New Roman" w:cs="Times New Roman"/>
          <w:lang w:eastAsia="lt-LT"/>
        </w:rPr>
      </w:pPr>
      <w:r w:rsidRPr="005E1DC0">
        <w:rPr>
          <w:rFonts w:ascii="Times New Roman" w:eastAsia="Calibri" w:hAnsi="Times New Roman" w:cs="Times New Roman"/>
          <w:lang w:eastAsia="lt-LT"/>
        </w:rPr>
        <w:br w:type="page"/>
      </w:r>
      <w:r w:rsidRPr="005E1DC0">
        <w:rPr>
          <w:rFonts w:ascii="Times New Roman" w:eastAsia="Calibri" w:hAnsi="Times New Roman" w:cs="Times New Roman"/>
          <w:lang w:eastAsia="lt-LT"/>
        </w:rPr>
        <w:lastRenderedPageBreak/>
        <w:t xml:space="preserve">A. </w:t>
      </w:r>
      <w:r w:rsidRPr="005E1DC0">
        <w:rPr>
          <w:rFonts w:ascii="Times New Roman" w:eastAsia="Calibri" w:hAnsi="Times New Roman" w:cs="Times New Roman"/>
          <w:b/>
          <w:lang w:eastAsia="lt-LT"/>
        </w:rPr>
        <w:t>BIOLOGINĖS VEIKLIOSIOS MEDŽIAGOS GAMINTOJAS IR GAMYBOS LICENCIJOS TURĖTOJAS, ATSAKINGAS UŽ SERIJŲ IŠLEIDIMĄ</w:t>
      </w:r>
    </w:p>
    <w:p w:rsidR="005E1DC0" w:rsidRPr="005E1DC0" w:rsidRDefault="005E1DC0" w:rsidP="005E1DC0">
      <w:pPr>
        <w:spacing w:after="0" w:line="240" w:lineRule="auto"/>
        <w:rPr>
          <w:rFonts w:ascii="Times New Roman" w:eastAsia="Calibri" w:hAnsi="Times New Roman" w:cs="Times New Roman"/>
          <w:highlight w:val="yellow"/>
          <w:lang w:eastAsia="lt-LT"/>
        </w:rPr>
      </w:pPr>
    </w:p>
    <w:p w:rsidR="005E1DC0" w:rsidRPr="005E1DC0" w:rsidRDefault="005E1DC0" w:rsidP="005E1DC0">
      <w:pPr>
        <w:tabs>
          <w:tab w:val="left" w:pos="567"/>
        </w:tabs>
        <w:spacing w:after="0" w:line="240" w:lineRule="auto"/>
        <w:rPr>
          <w:rFonts w:ascii="Times New Roman" w:eastAsia="Calibri" w:hAnsi="Times New Roman" w:cs="Times New Roman"/>
          <w:noProof/>
          <w:u w:val="single"/>
          <w:lang w:eastAsia="lt-LT"/>
        </w:rPr>
      </w:pPr>
      <w:r w:rsidRPr="005E1DC0">
        <w:rPr>
          <w:rFonts w:ascii="Times New Roman" w:eastAsia="Calibri" w:hAnsi="Times New Roman" w:cs="Times New Roman"/>
          <w:noProof/>
          <w:u w:val="single"/>
          <w:lang w:eastAsia="lt-LT"/>
        </w:rPr>
        <w:t>Gamintojo, atsakingo už serijų išleidimą, pavadinimas ir adresas</w:t>
      </w:r>
    </w:p>
    <w:p w:rsidR="005E1DC0" w:rsidRPr="005E1DC0" w:rsidRDefault="005E1DC0" w:rsidP="005E1DC0">
      <w:pPr>
        <w:tabs>
          <w:tab w:val="left" w:pos="567"/>
        </w:tabs>
        <w:spacing w:after="0" w:line="240" w:lineRule="auto"/>
        <w:rPr>
          <w:rFonts w:ascii="Times New Roman" w:eastAsia="Calibri" w:hAnsi="Times New Roman" w:cs="Times New Roman"/>
          <w:i/>
          <w:noProof/>
          <w:lang w:eastAsia="lt-LT"/>
        </w:rPr>
      </w:pPr>
    </w:p>
    <w:p w:rsidR="005E1DC0" w:rsidRPr="005E1DC0" w:rsidRDefault="005E1DC0" w:rsidP="005E1DC0">
      <w:pPr>
        <w:spacing w:after="0" w:line="240" w:lineRule="auto"/>
        <w:rPr>
          <w:rFonts w:ascii="Times New Roman" w:eastAsia="Calibri" w:hAnsi="Times New Roman" w:cs="Times New Roman"/>
          <w:lang w:eastAsia="de-DE"/>
        </w:rPr>
      </w:pPr>
      <w:r w:rsidRPr="005E1DC0">
        <w:rPr>
          <w:rFonts w:ascii="Times New Roman" w:eastAsia="Calibri" w:hAnsi="Times New Roman" w:cs="Times New Roman"/>
          <w:lang w:eastAsia="de-DE"/>
        </w:rPr>
        <w:t>Roche Pharma AG</w:t>
      </w:r>
    </w:p>
    <w:p w:rsidR="005E1DC0" w:rsidRPr="005E1DC0" w:rsidRDefault="005E1DC0" w:rsidP="005E1DC0">
      <w:pPr>
        <w:numPr>
          <w:ilvl w:val="12"/>
          <w:numId w:val="0"/>
        </w:numPr>
        <w:spacing w:after="0" w:line="240" w:lineRule="auto"/>
        <w:ind w:right="-2"/>
        <w:rPr>
          <w:rFonts w:ascii="Times New Roman" w:eastAsia="Calibri" w:hAnsi="Times New Roman" w:cs="Times New Roman"/>
          <w:lang w:eastAsia="ja-JP"/>
        </w:rPr>
      </w:pPr>
      <w:r w:rsidRPr="005E1DC0">
        <w:rPr>
          <w:rFonts w:ascii="Times New Roman" w:eastAsia="Calibri" w:hAnsi="Times New Roman" w:cs="Times New Roman"/>
          <w:lang w:eastAsia="ja-JP"/>
        </w:rPr>
        <w:t>Emil-Barell-Strasse 1</w:t>
      </w:r>
    </w:p>
    <w:p w:rsidR="005E1DC0" w:rsidRPr="005E1DC0" w:rsidRDefault="005E1DC0" w:rsidP="005E1DC0">
      <w:pPr>
        <w:numPr>
          <w:ilvl w:val="12"/>
          <w:numId w:val="0"/>
        </w:numPr>
        <w:spacing w:after="0" w:line="240" w:lineRule="auto"/>
        <w:ind w:right="-2"/>
        <w:rPr>
          <w:rFonts w:ascii="Times New Roman" w:eastAsia="Calibri" w:hAnsi="Times New Roman" w:cs="Times New Roman"/>
          <w:lang w:eastAsia="ja-JP"/>
        </w:rPr>
      </w:pPr>
      <w:r w:rsidRPr="005E1DC0">
        <w:rPr>
          <w:rFonts w:ascii="Times New Roman" w:eastAsia="Calibri" w:hAnsi="Times New Roman" w:cs="Times New Roman"/>
          <w:lang w:eastAsia="ja-JP"/>
        </w:rPr>
        <w:t>D-79639 Grenzach-Wyhlen</w:t>
      </w: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ja-JP"/>
        </w:rPr>
        <w:t>Vokietija</w:t>
      </w:r>
    </w:p>
    <w:p w:rsidR="005E1DC0" w:rsidRPr="005E1DC0" w:rsidRDefault="005E1DC0" w:rsidP="005E1DC0">
      <w:pPr>
        <w:tabs>
          <w:tab w:val="left" w:pos="567"/>
        </w:tabs>
        <w:spacing w:after="0" w:line="240" w:lineRule="auto"/>
        <w:rPr>
          <w:rFonts w:ascii="Times New Roman" w:eastAsia="Calibri" w:hAnsi="Times New Roman" w:cs="Times New Roman"/>
          <w:i/>
          <w:noProof/>
          <w:lang w:eastAsia="lt-LT"/>
        </w:rPr>
      </w:pPr>
    </w:p>
    <w:p w:rsidR="005E1DC0" w:rsidRPr="005E1DC0" w:rsidRDefault="005E1DC0" w:rsidP="005E1DC0">
      <w:pPr>
        <w:tabs>
          <w:tab w:val="left" w:pos="567"/>
        </w:tabs>
        <w:spacing w:after="0" w:line="240" w:lineRule="auto"/>
        <w:rPr>
          <w:rFonts w:ascii="Times New Roman" w:eastAsia="Calibri" w:hAnsi="Times New Roman" w:cs="Times New Roman"/>
          <w:i/>
          <w:noProof/>
          <w:lang w:eastAsia="lt-LT"/>
        </w:rPr>
      </w:pPr>
    </w:p>
    <w:p w:rsidR="005E1DC0" w:rsidRPr="005E1DC0" w:rsidRDefault="005E1DC0" w:rsidP="005E1DC0">
      <w:pPr>
        <w:tabs>
          <w:tab w:val="left" w:pos="567"/>
        </w:tabs>
        <w:spacing w:after="0" w:line="240" w:lineRule="auto"/>
        <w:rPr>
          <w:rFonts w:ascii="Times New Roman" w:eastAsia="Calibri" w:hAnsi="Times New Roman" w:cs="Times New Roman"/>
          <w:i/>
          <w:noProof/>
          <w:lang w:eastAsia="lt-LT"/>
        </w:rPr>
      </w:pPr>
      <w:r w:rsidRPr="005E1DC0">
        <w:rPr>
          <w:rFonts w:ascii="Times New Roman" w:eastAsia="Calibri" w:hAnsi="Times New Roman" w:cs="Times New Roman"/>
          <w:b/>
          <w:noProof/>
          <w:lang w:eastAsia="lt-LT"/>
        </w:rPr>
        <w:t xml:space="preserve">B. </w:t>
      </w:r>
      <w:r w:rsidRPr="005E1DC0">
        <w:rPr>
          <w:rFonts w:ascii="Times New Roman" w:eastAsia="Calibri" w:hAnsi="Times New Roman" w:cs="Times New Roman"/>
          <w:b/>
          <w:lang w:eastAsia="lt-LT"/>
        </w:rPr>
        <w:t>REGISTRACIJOS  SĄLYGOS</w:t>
      </w:r>
    </w:p>
    <w:p w:rsidR="005E1DC0" w:rsidRPr="005E1DC0" w:rsidRDefault="005E1DC0" w:rsidP="005E1DC0">
      <w:pPr>
        <w:tabs>
          <w:tab w:val="left" w:pos="567"/>
        </w:tabs>
        <w:spacing w:after="0" w:line="240" w:lineRule="auto"/>
        <w:rPr>
          <w:rFonts w:ascii="Times New Roman" w:eastAsia="Calibri" w:hAnsi="Times New Roman" w:cs="Times New Roman"/>
          <w:i/>
          <w:noProof/>
          <w:lang w:eastAsia="lt-LT"/>
        </w:rPr>
      </w:pPr>
    </w:p>
    <w:p w:rsidR="005E1DC0" w:rsidRPr="005E1DC0" w:rsidRDefault="005E1DC0" w:rsidP="005E1DC0">
      <w:pPr>
        <w:tabs>
          <w:tab w:val="left" w:pos="567"/>
        </w:tabs>
        <w:spacing w:after="0" w:line="240" w:lineRule="auto"/>
        <w:rPr>
          <w:rFonts w:ascii="Times New Roman" w:eastAsia="Calibri" w:hAnsi="Times New Roman" w:cs="Times New Roman"/>
          <w:b/>
          <w:noProof/>
          <w:lang w:eastAsia="lt-LT"/>
        </w:rPr>
      </w:pPr>
      <w:r w:rsidRPr="005E1DC0">
        <w:rPr>
          <w:rFonts w:ascii="Times New Roman" w:eastAsia="Calibri" w:hAnsi="Times New Roman" w:cs="Times New Roman"/>
          <w:b/>
          <w:noProof/>
          <w:lang w:eastAsia="lt-LT"/>
        </w:rPr>
        <w:t xml:space="preserve">TIEKIMO IR VARTOJIMO SĄLYGOS AR APRIBOJIMAI, TAIKOMI </w:t>
      </w:r>
      <w:r w:rsidRPr="005E1DC0">
        <w:rPr>
          <w:rFonts w:ascii="Times New Roman" w:eastAsia="Calibri" w:hAnsi="Times New Roman" w:cs="Times New Roman"/>
          <w:b/>
          <w:lang w:eastAsia="lt-LT"/>
        </w:rPr>
        <w:t>REGISTRUOTOJUI</w:t>
      </w: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r w:rsidRPr="005E1DC0">
        <w:rPr>
          <w:rFonts w:ascii="Times New Roman" w:eastAsia="Calibri" w:hAnsi="Times New Roman" w:cs="Times New Roman"/>
          <w:noProof/>
          <w:lang w:eastAsia="lt-LT"/>
        </w:rPr>
        <w:t>Receptinis vaistinis preparatas</w:t>
      </w: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keepNext/>
        <w:keepLines/>
        <w:tabs>
          <w:tab w:val="left" w:pos="0"/>
        </w:tabs>
        <w:spacing w:after="0" w:line="240" w:lineRule="auto"/>
        <w:outlineLvl w:val="2"/>
        <w:rPr>
          <w:rFonts w:ascii="Times New Roman" w:eastAsia="Calibri" w:hAnsi="Times New Roman" w:cs="Times New Roman"/>
          <w:lang w:eastAsia="lt-LT"/>
        </w:rPr>
      </w:pPr>
      <w:r w:rsidRPr="005E1DC0">
        <w:rPr>
          <w:rFonts w:ascii="Times New Roman" w:eastAsia="Calibri" w:hAnsi="Times New Roman" w:cs="Times New Roman"/>
          <w:b/>
          <w:kern w:val="28"/>
          <w:lang w:eastAsia="lt-LT"/>
        </w:rPr>
        <w:t>SĄLYGOS AR APRIBOJIMAI, SKIRTI SAUGIAM IR VEIKSMINGAM VAISTINIO PREPARATO VARTOJIMUI UŽTIKRINTI</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Nebūtini.</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br w:type="page"/>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r w:rsidRPr="005E1DC0">
        <w:rPr>
          <w:rFonts w:ascii="Times New Roman" w:eastAsia="Calibri" w:hAnsi="Times New Roman" w:cs="Times New Roman"/>
          <w:b/>
          <w:kern w:val="28"/>
          <w:lang w:eastAsia="lt-LT"/>
        </w:rPr>
        <w:t>III PRIEDAS</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tabs>
          <w:tab w:val="left" w:pos="567"/>
        </w:tabs>
        <w:spacing w:after="0" w:line="240" w:lineRule="auto"/>
        <w:jc w:val="center"/>
        <w:rPr>
          <w:rFonts w:ascii="Times New Roman" w:eastAsia="Calibri" w:hAnsi="Times New Roman" w:cs="Times New Roman"/>
          <w:b/>
          <w:lang w:eastAsia="lt-LT"/>
        </w:rPr>
      </w:pPr>
      <w:r w:rsidRPr="005E1DC0">
        <w:rPr>
          <w:rFonts w:ascii="Times New Roman" w:eastAsia="Calibri" w:hAnsi="Times New Roman" w:cs="Times New Roman"/>
          <w:b/>
          <w:lang w:eastAsia="lt-LT"/>
        </w:rPr>
        <w:t xml:space="preserve">ŽENKLINIMAS IR PAKUOTĖS LAPELIS </w:t>
      </w: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br w:type="page"/>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jc w:val="center"/>
        <w:outlineLvl w:val="0"/>
        <w:rPr>
          <w:rFonts w:ascii="Times New Roman" w:eastAsia="Calibri"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Calibri" w:hAnsi="Times New Roman" w:cs="Times New Roman"/>
          <w:lang w:eastAsia="lt-LT"/>
        </w:rPr>
      </w:pPr>
      <w:r w:rsidRPr="005E1DC0">
        <w:rPr>
          <w:rFonts w:ascii="Times New Roman" w:eastAsia="Calibri" w:hAnsi="Times New Roman" w:cs="Times New Roman"/>
          <w:b/>
          <w:kern w:val="28"/>
          <w:lang w:eastAsia="lt-LT"/>
        </w:rPr>
        <w:t>A. ŽENKLINIMAS</w:t>
      </w: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noProof/>
          <w:lang w:eastAsia="lt-LT"/>
        </w:rPr>
      </w:pPr>
      <w:r w:rsidRPr="005E1DC0">
        <w:rPr>
          <w:rFonts w:ascii="Times New Roman" w:eastAsia="Calibri" w:hAnsi="Times New Roman" w:cs="Times New Roman"/>
          <w:lang w:eastAsia="lt-LT"/>
        </w:rPr>
        <w:br w:type="page"/>
      </w:r>
      <w:r w:rsidRPr="005E1DC0">
        <w:rPr>
          <w:rFonts w:ascii="Times New Roman" w:eastAsia="Calibri" w:hAnsi="Times New Roman" w:cs="Times New Roman"/>
          <w:b/>
          <w:noProof/>
          <w:lang w:eastAsia="lt-LT"/>
        </w:rPr>
        <w:lastRenderedPageBreak/>
        <w:t>INFORMACIJA ANT IŠORINĖS IR VIDINĖS PAKUOTĖS</w:t>
      </w: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Cs/>
          <w:noProof/>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Cs/>
          <w:caps/>
          <w:noProof/>
          <w:lang w:eastAsia="lt-LT"/>
        </w:rPr>
      </w:pPr>
      <w:r w:rsidRPr="005E1DC0">
        <w:rPr>
          <w:rFonts w:ascii="Times New Roman" w:eastAsia="Calibri" w:hAnsi="Times New Roman" w:cs="Times New Roman"/>
          <w:b/>
          <w:caps/>
          <w:noProof/>
          <w:lang w:eastAsia="lt-LT"/>
        </w:rPr>
        <w:t>Išorinė dėžutė ir butelio etiketė/200 mg plėvele dengtA tabletė</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1.</w:t>
      </w:r>
      <w:r w:rsidRPr="005E1DC0">
        <w:rPr>
          <w:rFonts w:ascii="Times New Roman" w:eastAsia="Calibri" w:hAnsi="Times New Roman" w:cs="Times New Roman"/>
          <w:b/>
          <w:noProof/>
          <w:lang w:eastAsia="lt-LT"/>
        </w:rPr>
        <w:tab/>
        <w:t>VAISTINIO PREPARATO PAVADINIMAS</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keepNext/>
        <w:spacing w:after="0" w:line="240" w:lineRule="auto"/>
        <w:outlineLvl w:val="1"/>
        <w:rPr>
          <w:rFonts w:ascii="Times New Roman" w:eastAsia="Calibri" w:hAnsi="Times New Roman" w:cs="Times New Roman"/>
          <w:b/>
          <w:lang w:eastAsia="lt-LT"/>
        </w:rPr>
      </w:pPr>
      <w:r w:rsidRPr="005E1DC0">
        <w:rPr>
          <w:rFonts w:ascii="Times New Roman" w:eastAsia="Calibri" w:hAnsi="Times New Roman" w:cs="Times New Roman"/>
          <w:lang w:eastAsia="lt-LT"/>
        </w:rPr>
        <w:t>Copegus 200 mg plėvele dengtos tabletės</w:t>
      </w: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Ribavirinum</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noProof/>
          <w:lang w:eastAsia="lt-LT"/>
        </w:rPr>
      </w:pPr>
      <w:r w:rsidRPr="005E1DC0">
        <w:rPr>
          <w:rFonts w:ascii="Times New Roman" w:eastAsia="Calibri" w:hAnsi="Times New Roman" w:cs="Times New Roman"/>
          <w:b/>
          <w:noProof/>
          <w:lang w:eastAsia="lt-LT"/>
        </w:rPr>
        <w:t>2.</w:t>
      </w:r>
      <w:r w:rsidRPr="005E1DC0">
        <w:rPr>
          <w:rFonts w:ascii="Times New Roman" w:eastAsia="Calibri" w:hAnsi="Times New Roman" w:cs="Times New Roman"/>
          <w:b/>
          <w:noProof/>
          <w:lang w:eastAsia="lt-LT"/>
        </w:rPr>
        <w:tab/>
        <w:t>VEIKLIOJI MEDŽIAGA IR JOS KIEKIS</w:t>
      </w:r>
    </w:p>
    <w:p w:rsidR="005E1DC0" w:rsidRPr="005E1DC0" w:rsidRDefault="005E1DC0" w:rsidP="005E1DC0">
      <w:pPr>
        <w:spacing w:after="0" w:line="240" w:lineRule="auto"/>
        <w:jc w:val="both"/>
        <w:rPr>
          <w:rFonts w:ascii="Times New Roman" w:eastAsia="Calibri" w:hAnsi="Times New Roman" w:cs="Times New Roman"/>
          <w:lang w:eastAsia="lt-LT"/>
        </w:rPr>
      </w:pPr>
    </w:p>
    <w:p w:rsidR="005E1DC0" w:rsidRPr="005E1DC0" w:rsidRDefault="005E1DC0" w:rsidP="005E1DC0">
      <w:pPr>
        <w:spacing w:after="0" w:line="240" w:lineRule="auto"/>
        <w:jc w:val="both"/>
        <w:rPr>
          <w:rFonts w:ascii="Times New Roman" w:eastAsia="Calibri" w:hAnsi="Times New Roman" w:cs="Times New Roman"/>
          <w:lang w:eastAsia="lt-LT"/>
        </w:rPr>
      </w:pPr>
      <w:r w:rsidRPr="005E1DC0">
        <w:rPr>
          <w:rFonts w:ascii="Times New Roman" w:eastAsia="Calibri" w:hAnsi="Times New Roman" w:cs="Times New Roman"/>
          <w:lang w:eastAsia="lt-LT"/>
        </w:rPr>
        <w:t>Vienoje plėvele dengtoje tabletėje yra 200 mg ribavirino.</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3.</w:t>
      </w:r>
      <w:r w:rsidRPr="005E1DC0">
        <w:rPr>
          <w:rFonts w:ascii="Times New Roman" w:eastAsia="Calibri" w:hAnsi="Times New Roman" w:cs="Times New Roman"/>
          <w:b/>
          <w:noProof/>
          <w:lang w:eastAsia="lt-LT"/>
        </w:rPr>
        <w:tab/>
        <w:t>PAGALBINIŲ MEDŽIAGŲ SĄRAŠAS</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4.</w:t>
      </w:r>
      <w:r w:rsidRPr="005E1DC0">
        <w:rPr>
          <w:rFonts w:ascii="Times New Roman" w:eastAsia="Calibri" w:hAnsi="Times New Roman" w:cs="Times New Roman"/>
          <w:b/>
          <w:noProof/>
          <w:lang w:eastAsia="lt-LT"/>
        </w:rPr>
        <w:tab/>
      </w:r>
      <w:r w:rsidRPr="005E1DC0">
        <w:rPr>
          <w:rFonts w:ascii="Times New Roman" w:eastAsia="Calibri" w:hAnsi="Times New Roman" w:cs="Times New Roman"/>
          <w:b/>
          <w:lang w:eastAsia="lt-LT"/>
        </w:rPr>
        <w:t>FARMACINĖ FORMA</w:t>
      </w:r>
      <w:r w:rsidRPr="005E1DC0">
        <w:rPr>
          <w:rFonts w:ascii="Times New Roman" w:eastAsia="Calibri" w:hAnsi="Times New Roman" w:cs="Times New Roman"/>
          <w:lang w:eastAsia="lt-LT"/>
        </w:rPr>
        <w:t xml:space="preserve"> </w:t>
      </w:r>
      <w:r w:rsidRPr="005E1DC0">
        <w:rPr>
          <w:rFonts w:ascii="Times New Roman" w:eastAsia="Calibri" w:hAnsi="Times New Roman" w:cs="Times New Roman"/>
          <w:b/>
          <w:noProof/>
          <w:lang w:eastAsia="lt-LT"/>
        </w:rPr>
        <w:t>IR KIEKIS PAKUOTĖJE</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28 plėvele dengtos tabletės</w:t>
      </w:r>
    </w:p>
    <w:p w:rsidR="005E1DC0" w:rsidRPr="005E1DC0" w:rsidRDefault="005E1DC0" w:rsidP="005E1DC0">
      <w:pPr>
        <w:spacing w:after="0" w:line="240" w:lineRule="auto"/>
        <w:rPr>
          <w:rFonts w:ascii="Times New Roman" w:eastAsia="Calibri" w:hAnsi="Times New Roman" w:cs="Times New Roman"/>
          <w:highlight w:val="lightGray"/>
          <w:lang w:eastAsia="lt-LT"/>
        </w:rPr>
      </w:pPr>
      <w:r w:rsidRPr="005E1DC0">
        <w:rPr>
          <w:rFonts w:ascii="Times New Roman" w:eastAsia="Calibri" w:hAnsi="Times New Roman" w:cs="Times New Roman"/>
          <w:highlight w:val="lightGray"/>
          <w:lang w:eastAsia="lt-LT"/>
        </w:rPr>
        <w:t>42 plėvele dengtos tabletės</w:t>
      </w:r>
    </w:p>
    <w:p w:rsidR="005E1DC0" w:rsidRPr="005E1DC0" w:rsidRDefault="005E1DC0" w:rsidP="005E1DC0">
      <w:pPr>
        <w:spacing w:after="0" w:line="240" w:lineRule="auto"/>
        <w:rPr>
          <w:rFonts w:ascii="Times New Roman" w:eastAsia="Calibri" w:hAnsi="Times New Roman" w:cs="Times New Roman"/>
          <w:highlight w:val="lightGray"/>
          <w:lang w:eastAsia="lt-LT"/>
        </w:rPr>
      </w:pPr>
      <w:r w:rsidRPr="005E1DC0">
        <w:rPr>
          <w:rFonts w:ascii="Times New Roman" w:eastAsia="Calibri" w:hAnsi="Times New Roman" w:cs="Times New Roman"/>
          <w:highlight w:val="lightGray"/>
          <w:lang w:eastAsia="lt-LT"/>
        </w:rPr>
        <w:t>112 plėvele dengtų tablečių</w:t>
      </w: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highlight w:val="lightGray"/>
          <w:lang w:eastAsia="lt-LT"/>
        </w:rPr>
        <w:t>168 plėvele dengtos tabletės</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5.</w:t>
      </w:r>
      <w:r w:rsidRPr="005E1DC0">
        <w:rPr>
          <w:rFonts w:ascii="Times New Roman" w:eastAsia="Calibri" w:hAnsi="Times New Roman" w:cs="Times New Roman"/>
          <w:b/>
          <w:noProof/>
          <w:lang w:eastAsia="lt-LT"/>
        </w:rPr>
        <w:tab/>
        <w:t>VARTOJIMO METODAS IR BŪDAS</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Vartoti per burną.</w:t>
      </w:r>
    </w:p>
    <w:p w:rsidR="005E1DC0" w:rsidRPr="005E1DC0" w:rsidRDefault="005E1DC0" w:rsidP="005E1DC0">
      <w:pPr>
        <w:spacing w:after="0" w:line="240" w:lineRule="auto"/>
        <w:ind w:left="567" w:hanging="567"/>
        <w:rPr>
          <w:rFonts w:ascii="Times New Roman" w:eastAsia="Calibri" w:hAnsi="Times New Roman" w:cs="Times New Roman"/>
          <w:lang w:eastAsia="lt-LT"/>
        </w:rPr>
      </w:pPr>
      <w:r w:rsidRPr="005E1DC0">
        <w:rPr>
          <w:rFonts w:ascii="Times New Roman" w:eastAsia="Calibri" w:hAnsi="Times New Roman" w:cs="Times New Roman"/>
          <w:lang w:eastAsia="lt-LT"/>
        </w:rPr>
        <w:t>Prieš vartojimą perskaitykite pakuotės lapelį.</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6.</w:t>
      </w:r>
      <w:r w:rsidRPr="005E1DC0">
        <w:rPr>
          <w:rFonts w:ascii="Times New Roman" w:eastAsia="Calibri" w:hAnsi="Times New Roman" w:cs="Times New Roman"/>
          <w:b/>
          <w:noProof/>
          <w:lang w:eastAsia="lt-LT"/>
        </w:rPr>
        <w:tab/>
      </w:r>
      <w:r w:rsidRPr="005E1DC0">
        <w:rPr>
          <w:rFonts w:ascii="Times New Roman" w:eastAsia="Calibri" w:hAnsi="Times New Roman" w:cs="Times New Roman"/>
          <w:b/>
          <w:bCs/>
          <w:noProof/>
          <w:lang w:eastAsia="lt-LT"/>
        </w:rPr>
        <w:t>SPECIALUS ĮSPĖJIMAS, KAD VAISTINĮ PREPARATĄ BŪTINA LAIKYTI VAIKAMS NEPASTEBIMOJE IR NEPASIEKIAMOJE VIETOJE</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Laikyti vaikams nepastebimoje ir nepasiekiamoje vietoje.</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7.</w:t>
      </w:r>
      <w:r w:rsidRPr="005E1DC0">
        <w:rPr>
          <w:rFonts w:ascii="Times New Roman" w:eastAsia="Calibri" w:hAnsi="Times New Roman" w:cs="Times New Roman"/>
          <w:b/>
          <w:noProof/>
          <w:lang w:eastAsia="lt-LT"/>
        </w:rPr>
        <w:tab/>
      </w:r>
      <w:r w:rsidRPr="005E1DC0">
        <w:rPr>
          <w:rFonts w:ascii="Times New Roman" w:eastAsia="Calibri" w:hAnsi="Times New Roman" w:cs="Times New Roman"/>
          <w:b/>
          <w:bCs/>
          <w:noProof/>
          <w:lang w:eastAsia="lt-LT"/>
        </w:rPr>
        <w:t>KITAS SPECIALUS ĮSPĖJIMAS (JEI REIKIA)</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r w:rsidRPr="005E1DC0">
        <w:rPr>
          <w:rFonts w:ascii="Times New Roman" w:eastAsia="Calibri" w:hAnsi="Times New Roman" w:cs="Times New Roman"/>
          <w:noProof/>
          <w:lang w:eastAsia="lt-LT"/>
        </w:rPr>
        <w:t>Tablečių negalima smulkinti arba laužyti. Reikia nuryti visą tabletę.</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8.</w:t>
      </w:r>
      <w:r w:rsidRPr="005E1DC0">
        <w:rPr>
          <w:rFonts w:ascii="Times New Roman" w:eastAsia="Calibri" w:hAnsi="Times New Roman" w:cs="Times New Roman"/>
          <w:b/>
          <w:noProof/>
          <w:lang w:eastAsia="lt-LT"/>
        </w:rPr>
        <w:tab/>
      </w:r>
      <w:r w:rsidRPr="005E1DC0">
        <w:rPr>
          <w:rFonts w:ascii="Times New Roman" w:eastAsia="Calibri" w:hAnsi="Times New Roman" w:cs="Times New Roman"/>
          <w:b/>
          <w:bCs/>
          <w:noProof/>
          <w:lang w:eastAsia="lt-LT"/>
        </w:rPr>
        <w:t>TINKAMUMO LAIKAS</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Tinka iki {mm/MMMM}</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9.</w:t>
      </w:r>
      <w:r w:rsidRPr="005E1DC0">
        <w:rPr>
          <w:rFonts w:ascii="Times New Roman" w:eastAsia="Calibri" w:hAnsi="Times New Roman" w:cs="Times New Roman"/>
          <w:b/>
          <w:noProof/>
          <w:lang w:eastAsia="lt-LT"/>
        </w:rPr>
        <w:tab/>
      </w:r>
      <w:r w:rsidRPr="005E1DC0">
        <w:rPr>
          <w:rFonts w:ascii="Times New Roman" w:eastAsia="Calibri" w:hAnsi="Times New Roman" w:cs="Times New Roman"/>
          <w:b/>
          <w:caps/>
          <w:noProof/>
          <w:lang w:eastAsia="lt-LT"/>
        </w:rPr>
        <w:t>SPECIALIOS laikymo sąlygos</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b/>
          <w:lang w:eastAsia="lt-LT"/>
        </w:rPr>
        <w:t>10.</w:t>
      </w:r>
      <w:r w:rsidRPr="005E1DC0">
        <w:rPr>
          <w:rFonts w:ascii="Times New Roman" w:eastAsia="Calibri" w:hAnsi="Times New Roman" w:cs="Times New Roman"/>
          <w:b/>
          <w:lang w:eastAsia="lt-LT"/>
        </w:rPr>
        <w:tab/>
        <w:t>SPECIALIOS ATSARGUMO PRIEMONĖS DĖL NESUVARTOTO VAISTINIO PREPARATO AR JO ATLIEKŲ TVARKYMO (JEI REIKIA)</w:t>
      </w: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lang w:eastAsia="lt-LT"/>
        </w:rPr>
      </w:pPr>
      <w:r w:rsidRPr="005E1DC0">
        <w:rPr>
          <w:rFonts w:ascii="Times New Roman" w:eastAsia="Calibri" w:hAnsi="Times New Roman" w:cs="Times New Roman"/>
          <w:b/>
          <w:noProof/>
          <w:lang w:eastAsia="lt-LT"/>
        </w:rPr>
        <w:lastRenderedPageBreak/>
        <w:t>11.</w:t>
      </w:r>
      <w:r w:rsidRPr="005E1DC0">
        <w:rPr>
          <w:rFonts w:ascii="Times New Roman" w:eastAsia="Calibri" w:hAnsi="Times New Roman" w:cs="Times New Roman"/>
          <w:b/>
          <w:noProof/>
          <w:lang w:eastAsia="lt-LT"/>
        </w:rPr>
        <w:tab/>
      </w:r>
      <w:r w:rsidRPr="005E1DC0">
        <w:rPr>
          <w:rFonts w:ascii="Times New Roman" w:eastAsia="Calibri" w:hAnsi="Times New Roman" w:cs="Times New Roman"/>
          <w:b/>
          <w:caps/>
          <w:noProof/>
          <w:lang w:eastAsia="lt-LT"/>
        </w:rPr>
        <w:t>REGISTRUOTOJO pavadinimas ir adresas</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Calibri" w:hAnsi="Times New Roman" w:cs="Times New Roman"/>
          <w:lang w:eastAsia="lt-LT"/>
        </w:rPr>
      </w:pPr>
      <w:r w:rsidRPr="005E1DC0">
        <w:rPr>
          <w:rFonts w:ascii="Times New Roman" w:eastAsia="Calibri" w:hAnsi="Times New Roman" w:cs="Times New Roman"/>
          <w:lang w:eastAsia="lt-LT"/>
        </w:rPr>
        <w:t>UAB „Roche Lietuva“,</w:t>
      </w:r>
    </w:p>
    <w:p w:rsidR="005E1DC0" w:rsidRPr="005E1DC0" w:rsidRDefault="005E1DC0" w:rsidP="005E1DC0">
      <w:pPr>
        <w:tabs>
          <w:tab w:val="left" w:pos="567"/>
        </w:tabs>
        <w:spacing w:after="0" w:line="240" w:lineRule="auto"/>
        <w:jc w:val="both"/>
        <w:rPr>
          <w:rFonts w:ascii="Times New Roman" w:eastAsia="Calibri" w:hAnsi="Times New Roman" w:cs="Times New Roman"/>
          <w:lang w:eastAsia="lt-LT"/>
        </w:rPr>
      </w:pPr>
      <w:r w:rsidRPr="005E1DC0">
        <w:rPr>
          <w:rFonts w:ascii="Times New Roman" w:eastAsia="Calibri" w:hAnsi="Times New Roman" w:cs="Times New Roman"/>
          <w:lang w:eastAsia="lt-LT"/>
        </w:rPr>
        <w:t xml:space="preserve">J.Jasinskio 16b, </w:t>
      </w:r>
    </w:p>
    <w:p w:rsidR="005E1DC0" w:rsidRPr="005E1DC0" w:rsidRDefault="005E1DC0" w:rsidP="005E1DC0">
      <w:pPr>
        <w:tabs>
          <w:tab w:val="left" w:pos="567"/>
        </w:tabs>
        <w:spacing w:after="0" w:line="240" w:lineRule="auto"/>
        <w:jc w:val="both"/>
        <w:rPr>
          <w:rFonts w:ascii="Times New Roman" w:eastAsia="Calibri" w:hAnsi="Times New Roman" w:cs="Times New Roman"/>
          <w:lang w:eastAsia="lt-LT"/>
        </w:rPr>
      </w:pPr>
      <w:r w:rsidRPr="005E1DC0">
        <w:rPr>
          <w:rFonts w:ascii="Times New Roman" w:eastAsia="Calibri" w:hAnsi="Times New Roman" w:cs="Times New Roman"/>
          <w:lang w:eastAsia="lt-LT"/>
        </w:rPr>
        <w:t xml:space="preserve">LT-01112 Vilnius, </w:t>
      </w:r>
    </w:p>
    <w:p w:rsidR="005E1DC0" w:rsidRPr="005E1DC0" w:rsidRDefault="005E1DC0" w:rsidP="005E1DC0">
      <w:pPr>
        <w:tabs>
          <w:tab w:val="left" w:pos="567"/>
        </w:tabs>
        <w:spacing w:after="0" w:line="240" w:lineRule="auto"/>
        <w:jc w:val="both"/>
        <w:rPr>
          <w:rFonts w:ascii="Times New Roman" w:eastAsia="Calibri" w:hAnsi="Times New Roman" w:cs="Times New Roman"/>
          <w:lang w:eastAsia="lt-LT"/>
        </w:rPr>
      </w:pPr>
      <w:r w:rsidRPr="005E1DC0">
        <w:rPr>
          <w:rFonts w:ascii="Times New Roman" w:eastAsia="Calibri" w:hAnsi="Times New Roman" w:cs="Times New Roman"/>
          <w:lang w:eastAsia="lt-LT"/>
        </w:rPr>
        <w:t>Lietuva</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12.</w:t>
      </w:r>
      <w:r w:rsidRPr="005E1DC0">
        <w:rPr>
          <w:rFonts w:ascii="Times New Roman" w:eastAsia="Calibri" w:hAnsi="Times New Roman" w:cs="Times New Roman"/>
          <w:b/>
          <w:noProof/>
          <w:lang w:eastAsia="lt-LT"/>
        </w:rPr>
        <w:tab/>
      </w:r>
      <w:r w:rsidRPr="005E1DC0">
        <w:rPr>
          <w:rFonts w:ascii="Times New Roman" w:eastAsia="Calibri" w:hAnsi="Times New Roman" w:cs="Times New Roman"/>
          <w:b/>
          <w:caps/>
          <w:noProof/>
          <w:lang w:eastAsia="lt-LT"/>
        </w:rPr>
        <w:t>REGISTRACIJOS PAŽYMĖJIMO numeri</w:t>
      </w:r>
      <w:r w:rsidRPr="005E1DC0">
        <w:rPr>
          <w:rFonts w:ascii="Times New Roman" w:eastAsia="Calibri" w:hAnsi="Times New Roman" w:cs="Times New Roman"/>
          <w:b/>
          <w:noProof/>
          <w:lang w:eastAsia="lt-LT"/>
        </w:rPr>
        <w:t>AI</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jc w:val="both"/>
        <w:rPr>
          <w:rFonts w:ascii="Times New Roman" w:eastAsia="Calibri" w:hAnsi="Times New Roman" w:cs="Times New Roman"/>
          <w:bCs/>
          <w:lang w:eastAsia="lt-LT"/>
        </w:rPr>
      </w:pPr>
      <w:r w:rsidRPr="005E1DC0">
        <w:rPr>
          <w:rFonts w:ascii="Times New Roman" w:eastAsia="Calibri" w:hAnsi="Times New Roman" w:cs="Times New Roman"/>
          <w:bCs/>
          <w:lang w:eastAsia="lt-LT"/>
        </w:rPr>
        <w:t>N28 - LT/1/04/0111/001</w:t>
      </w:r>
    </w:p>
    <w:p w:rsidR="005E1DC0" w:rsidRPr="005E1DC0" w:rsidRDefault="005E1DC0" w:rsidP="005E1DC0">
      <w:pPr>
        <w:spacing w:after="0" w:line="240" w:lineRule="auto"/>
        <w:jc w:val="both"/>
        <w:rPr>
          <w:rFonts w:ascii="Times New Roman" w:eastAsia="Calibri" w:hAnsi="Times New Roman" w:cs="Times New Roman"/>
          <w:bCs/>
          <w:lang w:eastAsia="lt-LT"/>
        </w:rPr>
      </w:pPr>
      <w:r w:rsidRPr="005E1DC0">
        <w:rPr>
          <w:rFonts w:ascii="Times New Roman" w:eastAsia="Calibri" w:hAnsi="Times New Roman" w:cs="Times New Roman"/>
          <w:bCs/>
          <w:lang w:eastAsia="lt-LT"/>
        </w:rPr>
        <w:t>N42 – LT/1/04/0111/002</w:t>
      </w:r>
    </w:p>
    <w:p w:rsidR="005E1DC0" w:rsidRPr="005E1DC0" w:rsidRDefault="005E1DC0" w:rsidP="005E1DC0">
      <w:pPr>
        <w:spacing w:after="0" w:line="240" w:lineRule="auto"/>
        <w:jc w:val="both"/>
        <w:rPr>
          <w:rFonts w:ascii="Times New Roman" w:eastAsia="Calibri" w:hAnsi="Times New Roman" w:cs="Times New Roman"/>
          <w:bCs/>
          <w:lang w:eastAsia="lt-LT"/>
        </w:rPr>
      </w:pPr>
      <w:r w:rsidRPr="005E1DC0">
        <w:rPr>
          <w:rFonts w:ascii="Times New Roman" w:eastAsia="Calibri" w:hAnsi="Times New Roman" w:cs="Times New Roman"/>
          <w:bCs/>
          <w:lang w:eastAsia="lt-LT"/>
        </w:rPr>
        <w:t>N112 – LT/1/04/0111/003</w:t>
      </w:r>
    </w:p>
    <w:p w:rsidR="005E1DC0" w:rsidRPr="005E1DC0" w:rsidRDefault="005E1DC0" w:rsidP="005E1DC0">
      <w:pPr>
        <w:spacing w:after="0" w:line="240" w:lineRule="auto"/>
        <w:jc w:val="both"/>
        <w:rPr>
          <w:rFonts w:ascii="Times New Roman" w:eastAsia="Calibri" w:hAnsi="Times New Roman" w:cs="Times New Roman"/>
          <w:bCs/>
          <w:lang w:eastAsia="lt-LT"/>
        </w:rPr>
      </w:pPr>
      <w:r w:rsidRPr="005E1DC0">
        <w:rPr>
          <w:rFonts w:ascii="Times New Roman" w:eastAsia="Calibri" w:hAnsi="Times New Roman" w:cs="Times New Roman"/>
          <w:bCs/>
          <w:lang w:eastAsia="lt-LT"/>
        </w:rPr>
        <w:t>N168 – LT/1/04/0111/004</w:t>
      </w: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13.</w:t>
      </w:r>
      <w:r w:rsidRPr="005E1DC0">
        <w:rPr>
          <w:rFonts w:ascii="Times New Roman" w:eastAsia="Calibri" w:hAnsi="Times New Roman" w:cs="Times New Roman"/>
          <w:b/>
          <w:noProof/>
          <w:lang w:eastAsia="lt-LT"/>
        </w:rPr>
        <w:tab/>
        <w:t>SERIJOS NUMERIS</w:t>
      </w: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Serija {numeris}</w:t>
      </w: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14.</w:t>
      </w:r>
      <w:r w:rsidRPr="005E1DC0">
        <w:rPr>
          <w:rFonts w:ascii="Times New Roman" w:eastAsia="Calibri" w:hAnsi="Times New Roman" w:cs="Times New Roman"/>
          <w:b/>
          <w:noProof/>
          <w:lang w:eastAsia="lt-LT"/>
        </w:rPr>
        <w:tab/>
      </w:r>
      <w:r w:rsidRPr="005E1DC0">
        <w:rPr>
          <w:rFonts w:ascii="Times New Roman" w:eastAsia="Calibri" w:hAnsi="Times New Roman" w:cs="Times New Roman"/>
          <w:b/>
          <w:caps/>
          <w:noProof/>
          <w:lang w:eastAsia="lt-LT"/>
        </w:rPr>
        <w:t>PARDAVIMO (iŠDAVIMO) tvarka</w:t>
      </w: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tabs>
          <w:tab w:val="left" w:pos="567"/>
        </w:tabs>
        <w:spacing w:after="0" w:line="240" w:lineRule="auto"/>
        <w:ind w:left="567" w:hanging="567"/>
        <w:rPr>
          <w:rFonts w:ascii="Times New Roman" w:eastAsia="Calibri" w:hAnsi="Times New Roman" w:cs="Times New Roman"/>
          <w:noProof/>
          <w:lang w:eastAsia="lt-LT"/>
        </w:rPr>
      </w:pPr>
      <w:r w:rsidRPr="005E1DC0">
        <w:rPr>
          <w:rFonts w:ascii="Times New Roman" w:eastAsia="Calibri" w:hAnsi="Times New Roman" w:cs="Times New Roman"/>
          <w:noProof/>
          <w:lang w:eastAsia="lt-LT"/>
        </w:rPr>
        <w:t>Receptinis vaistas.</w:t>
      </w: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15.</w:t>
      </w:r>
      <w:r w:rsidRPr="005E1DC0">
        <w:rPr>
          <w:rFonts w:ascii="Times New Roman" w:eastAsia="Calibri" w:hAnsi="Times New Roman" w:cs="Times New Roman"/>
          <w:b/>
          <w:noProof/>
          <w:lang w:eastAsia="lt-LT"/>
        </w:rPr>
        <w:tab/>
      </w:r>
      <w:r w:rsidRPr="005E1DC0">
        <w:rPr>
          <w:rFonts w:ascii="Times New Roman" w:eastAsia="Calibri" w:hAnsi="Times New Roman" w:cs="Times New Roman"/>
          <w:b/>
          <w:caps/>
          <w:noProof/>
          <w:lang w:eastAsia="lt-LT"/>
        </w:rPr>
        <w:t>vartojimo instrukcijA</w:t>
      </w: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tabs>
          <w:tab w:val="left" w:pos="567"/>
        </w:tabs>
        <w:spacing w:after="0" w:line="240" w:lineRule="auto"/>
        <w:rPr>
          <w:rFonts w:ascii="Times New Roman" w:eastAsia="Calibri" w:hAnsi="Times New Roman" w:cs="Times New Roman"/>
          <w:noProof/>
          <w:lang w:eastAsia="lt-LT"/>
        </w:rPr>
      </w:pPr>
    </w:p>
    <w:p w:rsidR="005E1DC0" w:rsidRPr="005E1DC0" w:rsidRDefault="005E1DC0" w:rsidP="005E1D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lang w:eastAsia="lt-LT"/>
        </w:rPr>
      </w:pPr>
      <w:r w:rsidRPr="005E1DC0">
        <w:rPr>
          <w:rFonts w:ascii="Times New Roman" w:eastAsia="Calibri" w:hAnsi="Times New Roman" w:cs="Times New Roman"/>
          <w:b/>
          <w:noProof/>
          <w:lang w:eastAsia="lt-LT"/>
        </w:rPr>
        <w:t>16.</w:t>
      </w:r>
      <w:r w:rsidRPr="005E1DC0">
        <w:rPr>
          <w:rFonts w:ascii="Times New Roman" w:eastAsia="Calibri" w:hAnsi="Times New Roman" w:cs="Times New Roman"/>
          <w:b/>
          <w:noProof/>
          <w:lang w:eastAsia="lt-LT"/>
        </w:rPr>
        <w:tab/>
        <w:t>INFORMACIJA BRAILIO RAŠTU</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r w:rsidRPr="005E1DC0">
        <w:rPr>
          <w:rFonts w:ascii="Times New Roman" w:eastAsia="Calibri" w:hAnsi="Times New Roman" w:cs="Times New Roman"/>
          <w:lang w:eastAsia="lt-LT"/>
        </w:rPr>
        <w:t>copegus 200 mg (tik ant išorinės pakuotės)</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noProof/>
          <w:shd w:val="clear" w:color="auto" w:fill="CCCCCC"/>
          <w:lang w:eastAsia="lt-LT" w:bidi="lt-LT"/>
        </w:rPr>
      </w:pPr>
    </w:p>
    <w:p w:rsidR="005E1DC0" w:rsidRPr="005E1DC0" w:rsidRDefault="005E1DC0" w:rsidP="005E1DC0">
      <w:pPr>
        <w:keepNext/>
        <w:numPr>
          <w:ilvl w:val="1"/>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5E1DC0">
        <w:rPr>
          <w:rFonts w:ascii="Times New Roman" w:eastAsia="Times New Roman" w:hAnsi="Times New Roman" w:cs="Times New Roman"/>
          <w:b/>
          <w:noProof/>
          <w:szCs w:val="20"/>
          <w:lang w:eastAsia="lt-LT" w:bidi="lt-LT"/>
        </w:rPr>
        <w:t>UNIKALUS IDENTIFIKATORIUS – 2D BRŪKŠNINIS KODAS</w:t>
      </w:r>
    </w:p>
    <w:p w:rsidR="005E1DC0" w:rsidRPr="005E1DC0" w:rsidRDefault="005E1DC0" w:rsidP="005E1DC0">
      <w:pPr>
        <w:spacing w:after="0" w:line="240" w:lineRule="auto"/>
        <w:rPr>
          <w:rFonts w:ascii="Times New Roman" w:eastAsia="Times New Roman" w:hAnsi="Times New Roman" w:cs="Times New Roman"/>
          <w:noProof/>
          <w:szCs w:val="20"/>
          <w:lang w:eastAsia="lt-LT" w:bidi="lt-LT"/>
        </w:rPr>
      </w:pPr>
    </w:p>
    <w:p w:rsidR="005E1DC0" w:rsidRPr="005E1DC0" w:rsidRDefault="005E1DC0" w:rsidP="005E1DC0">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5E1DC0">
        <w:rPr>
          <w:rFonts w:ascii="Times New Roman" w:eastAsia="Times New Roman" w:hAnsi="Times New Roman" w:cs="Times New Roman"/>
          <w:noProof/>
          <w:szCs w:val="20"/>
          <w:highlight w:val="lightGray"/>
          <w:lang w:eastAsia="lt-LT" w:bidi="lt-LT"/>
        </w:rPr>
        <w:t>2D brūkšninis kodas su nurodytu unikaliu identifikatoriumi.</w:t>
      </w:r>
    </w:p>
    <w:p w:rsidR="005E1DC0" w:rsidRPr="005E1DC0" w:rsidRDefault="005E1DC0" w:rsidP="005E1DC0">
      <w:pPr>
        <w:spacing w:after="0" w:line="240" w:lineRule="auto"/>
        <w:rPr>
          <w:rFonts w:ascii="Times New Roman" w:eastAsia="Times New Roman" w:hAnsi="Times New Roman" w:cs="Times New Roman"/>
          <w:noProof/>
          <w:szCs w:val="20"/>
          <w:lang w:eastAsia="lt-LT" w:bidi="lt-LT"/>
        </w:rPr>
      </w:pPr>
    </w:p>
    <w:p w:rsidR="005E1DC0" w:rsidRPr="005E1DC0" w:rsidRDefault="005E1DC0" w:rsidP="005E1DC0">
      <w:pPr>
        <w:spacing w:after="0" w:line="240" w:lineRule="auto"/>
        <w:rPr>
          <w:rFonts w:ascii="Times New Roman" w:eastAsia="Times New Roman" w:hAnsi="Times New Roman" w:cs="Times New Roman"/>
          <w:noProof/>
          <w:szCs w:val="20"/>
          <w:lang w:eastAsia="lt-LT" w:bidi="lt-LT"/>
        </w:rPr>
      </w:pPr>
    </w:p>
    <w:p w:rsidR="005E1DC0" w:rsidRPr="005E1DC0" w:rsidRDefault="005E1DC0" w:rsidP="005E1DC0">
      <w:pPr>
        <w:keepNext/>
        <w:numPr>
          <w:ilvl w:val="1"/>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zCs w:val="20"/>
          <w:lang w:eastAsia="lt-LT" w:bidi="lt-LT"/>
        </w:rPr>
      </w:pPr>
      <w:r w:rsidRPr="005E1DC0">
        <w:rPr>
          <w:rFonts w:ascii="Times New Roman" w:eastAsia="Times New Roman" w:hAnsi="Times New Roman" w:cs="Times New Roman"/>
          <w:b/>
          <w:noProof/>
          <w:szCs w:val="20"/>
          <w:lang w:eastAsia="lt-LT" w:bidi="lt-LT"/>
        </w:rPr>
        <w:t>UNIKALUS IDENTIFIKATORIUS – ŽMONĖMS SUPRANTAMI DUOMENYS</w:t>
      </w:r>
    </w:p>
    <w:p w:rsidR="005E1DC0" w:rsidRPr="005E1DC0" w:rsidRDefault="005E1DC0" w:rsidP="005E1DC0">
      <w:pPr>
        <w:spacing w:after="0" w:line="240" w:lineRule="auto"/>
        <w:rPr>
          <w:rFonts w:ascii="Times New Roman" w:eastAsia="Times New Roman" w:hAnsi="Times New Roman" w:cs="Times New Roman"/>
          <w:noProof/>
          <w:szCs w:val="20"/>
          <w:lang w:eastAsia="lt-LT" w:bidi="lt-LT"/>
        </w:rPr>
      </w:pPr>
    </w:p>
    <w:p w:rsidR="005E1DC0" w:rsidRPr="005E1DC0" w:rsidRDefault="005E1DC0" w:rsidP="005E1DC0">
      <w:pPr>
        <w:tabs>
          <w:tab w:val="left" w:pos="567"/>
        </w:tabs>
        <w:spacing w:after="0" w:line="260" w:lineRule="exact"/>
        <w:rPr>
          <w:rFonts w:ascii="Times New Roman" w:eastAsia="Times New Roman" w:hAnsi="Times New Roman" w:cs="Times New Roman"/>
          <w:color w:val="008000"/>
          <w:lang w:eastAsia="lt-LT" w:bidi="lt-LT"/>
        </w:rPr>
      </w:pPr>
      <w:r w:rsidRPr="005E1DC0">
        <w:rPr>
          <w:rFonts w:ascii="Times New Roman" w:eastAsia="Times New Roman" w:hAnsi="Times New Roman" w:cs="Times New Roman"/>
          <w:szCs w:val="20"/>
          <w:lang w:eastAsia="lt-LT" w:bidi="lt-LT"/>
        </w:rPr>
        <w:t>PC:</w:t>
      </w:r>
    </w:p>
    <w:p w:rsidR="005E1DC0" w:rsidRPr="005E1DC0" w:rsidRDefault="005E1DC0" w:rsidP="005E1DC0">
      <w:pPr>
        <w:tabs>
          <w:tab w:val="left" w:pos="567"/>
        </w:tabs>
        <w:spacing w:after="0" w:line="260" w:lineRule="exact"/>
        <w:rPr>
          <w:rFonts w:ascii="Times New Roman" w:eastAsia="Times New Roman" w:hAnsi="Times New Roman" w:cs="Times New Roman"/>
          <w:lang w:eastAsia="lt-LT" w:bidi="lt-LT"/>
        </w:rPr>
      </w:pPr>
      <w:r w:rsidRPr="005E1DC0">
        <w:rPr>
          <w:rFonts w:ascii="Times New Roman" w:eastAsia="Times New Roman" w:hAnsi="Times New Roman" w:cs="Times New Roman"/>
          <w:szCs w:val="20"/>
          <w:lang w:eastAsia="lt-LT" w:bidi="lt-LT"/>
        </w:rPr>
        <w:t>SN:</w:t>
      </w:r>
    </w:p>
    <w:p w:rsidR="005E1DC0" w:rsidRPr="005E1DC0" w:rsidRDefault="005E1DC0" w:rsidP="005E1DC0">
      <w:pPr>
        <w:tabs>
          <w:tab w:val="left" w:pos="567"/>
        </w:tabs>
        <w:spacing w:after="0" w:line="260" w:lineRule="exact"/>
        <w:rPr>
          <w:rFonts w:ascii="Times New Roman" w:eastAsia="Times New Roman" w:hAnsi="Times New Roman" w:cs="Times New Roman"/>
          <w:lang w:eastAsia="lt-LT" w:bidi="lt-LT"/>
        </w:rPr>
      </w:pPr>
      <w:r w:rsidRPr="005E1DC0">
        <w:rPr>
          <w:rFonts w:ascii="Times New Roman" w:eastAsia="Times New Roman" w:hAnsi="Times New Roman" w:cs="Times New Roman"/>
          <w:szCs w:val="20"/>
          <w:lang w:eastAsia="lt-LT" w:bidi="lt-LT"/>
        </w:rPr>
        <w:t>NN:</w:t>
      </w:r>
    </w:p>
    <w:p w:rsidR="005E1DC0" w:rsidRPr="005E1DC0" w:rsidRDefault="005E1DC0" w:rsidP="005E1DC0">
      <w:pPr>
        <w:tabs>
          <w:tab w:val="left" w:pos="567"/>
        </w:tabs>
        <w:spacing w:after="0" w:line="240" w:lineRule="auto"/>
        <w:rPr>
          <w:rFonts w:ascii="Times New Roman" w:eastAsia="Calibri" w:hAnsi="Times New Roman" w:cs="Times New Roman"/>
          <w:lang w:eastAsia="lt-LT"/>
        </w:rPr>
      </w:pPr>
    </w:p>
    <w:p w:rsidR="005E1DC0" w:rsidRPr="005E1DC0" w:rsidRDefault="005E1DC0" w:rsidP="005E1DC0">
      <w:pPr>
        <w:spacing w:after="200" w:line="276" w:lineRule="auto"/>
        <w:rPr>
          <w:rFonts w:ascii="Times New Roman" w:eastAsia="Calibri" w:hAnsi="Times New Roman" w:cs="Times New Roman"/>
          <w:lang w:eastAsia="lt-LT"/>
        </w:rPr>
      </w:pPr>
      <w:r w:rsidRPr="005E1DC0">
        <w:rPr>
          <w:rFonts w:ascii="Times New Roman" w:eastAsia="Calibri" w:hAnsi="Times New Roman" w:cs="Times New Roman"/>
          <w:lang w:eastAsia="lt-LT"/>
        </w:rPr>
        <w:br w:type="page"/>
      </w: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p>
    <w:p w:rsidR="005E1DC0" w:rsidRPr="005E1DC0" w:rsidRDefault="005E1DC0" w:rsidP="005E1DC0">
      <w:pPr>
        <w:spacing w:after="0" w:line="240" w:lineRule="auto"/>
        <w:jc w:val="center"/>
        <w:outlineLvl w:val="0"/>
        <w:rPr>
          <w:rFonts w:ascii="Times New Roman" w:eastAsia="Times New Roman" w:hAnsi="Times New Roman" w:cs="Times New Roman"/>
          <w:b/>
          <w:kern w:val="28"/>
          <w:lang w:eastAsia="lt-LT"/>
        </w:rPr>
      </w:pPr>
      <w:r w:rsidRPr="005E1DC0">
        <w:rPr>
          <w:rFonts w:ascii="Times New Roman" w:eastAsia="Times New Roman" w:hAnsi="Times New Roman" w:cs="Times New Roman"/>
          <w:b/>
          <w:kern w:val="28"/>
          <w:lang w:eastAsia="lt-LT"/>
        </w:rPr>
        <w:t>B. PAKUOTĖS LAPELIS</w:t>
      </w:r>
    </w:p>
    <w:p w:rsidR="005E1DC0" w:rsidRPr="005E1DC0" w:rsidRDefault="005E1DC0" w:rsidP="005E1DC0">
      <w:pPr>
        <w:tabs>
          <w:tab w:val="left" w:pos="567"/>
        </w:tabs>
        <w:spacing w:after="0" w:line="240" w:lineRule="auto"/>
        <w:jc w:val="center"/>
        <w:outlineLvl w:val="0"/>
        <w:rPr>
          <w:rFonts w:ascii="Times New Roman" w:eastAsia="Times New Roman" w:hAnsi="Times New Roman" w:cs="Times New Roman"/>
          <w:b/>
          <w:noProof/>
          <w:lang w:eastAsia="lt-LT"/>
        </w:rPr>
      </w:pPr>
      <w:r w:rsidRPr="005E1DC0">
        <w:rPr>
          <w:rFonts w:ascii="Times New Roman" w:eastAsia="Times New Roman" w:hAnsi="Times New Roman" w:cs="Times New Roman"/>
          <w:lang w:eastAsia="lt-LT"/>
        </w:rPr>
        <w:br w:type="page"/>
      </w:r>
      <w:r w:rsidRPr="005E1DC0">
        <w:rPr>
          <w:rFonts w:ascii="Times New Roman" w:eastAsia="Times New Roman" w:hAnsi="Times New Roman" w:cs="Times New Roman"/>
          <w:b/>
          <w:noProof/>
          <w:lang w:eastAsia="lt-LT"/>
        </w:rPr>
        <w:lastRenderedPageBreak/>
        <w:t>Pakuotės lapelis: informacija vartotojui</w:t>
      </w:r>
    </w:p>
    <w:p w:rsidR="005E1DC0" w:rsidRPr="005E1DC0" w:rsidRDefault="005E1DC0" w:rsidP="005E1DC0">
      <w:pPr>
        <w:tabs>
          <w:tab w:val="left" w:pos="567"/>
        </w:tabs>
        <w:spacing w:after="0" w:line="240" w:lineRule="auto"/>
        <w:jc w:val="center"/>
        <w:outlineLvl w:val="0"/>
        <w:rPr>
          <w:rFonts w:ascii="Times New Roman" w:eastAsia="Times New Roman" w:hAnsi="Times New Roman" w:cs="Times New Roman"/>
          <w:b/>
          <w:noProof/>
          <w:lang w:eastAsia="lt-LT"/>
        </w:rPr>
      </w:pPr>
    </w:p>
    <w:p w:rsidR="005E1DC0" w:rsidRPr="005E1DC0" w:rsidRDefault="005E1DC0" w:rsidP="005E1DC0">
      <w:pPr>
        <w:tabs>
          <w:tab w:val="left" w:pos="567"/>
        </w:tabs>
        <w:spacing w:after="0" w:line="240" w:lineRule="auto"/>
        <w:jc w:val="center"/>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Copegus 200 mg plėvele dengtos tabletės</w:t>
      </w:r>
    </w:p>
    <w:p w:rsidR="005E1DC0" w:rsidRPr="005E1DC0" w:rsidRDefault="005E1DC0" w:rsidP="005E1DC0">
      <w:pPr>
        <w:tabs>
          <w:tab w:val="left" w:pos="567"/>
        </w:tabs>
        <w:spacing w:after="0" w:line="240" w:lineRule="auto"/>
        <w:jc w:val="center"/>
        <w:rPr>
          <w:rFonts w:ascii="Times New Roman" w:eastAsia="Times New Roman" w:hAnsi="Times New Roman" w:cs="Times New Roman"/>
          <w:bCs/>
          <w:lang w:eastAsia="lt-LT"/>
        </w:rPr>
      </w:pPr>
      <w:r w:rsidRPr="005E1DC0">
        <w:rPr>
          <w:rFonts w:ascii="Times New Roman" w:eastAsia="Times New Roman" w:hAnsi="Times New Roman" w:cs="Times New Roman"/>
          <w:bCs/>
          <w:lang w:eastAsia="lt-LT"/>
        </w:rPr>
        <w:t>Ribavirinas</w:t>
      </w:r>
    </w:p>
    <w:p w:rsidR="005E1DC0" w:rsidRPr="005E1DC0" w:rsidRDefault="005E1DC0" w:rsidP="005E1DC0">
      <w:pPr>
        <w:tabs>
          <w:tab w:val="left" w:pos="567"/>
        </w:tabs>
        <w:spacing w:after="0" w:line="240" w:lineRule="auto"/>
        <w:jc w:val="center"/>
        <w:rPr>
          <w:rFonts w:ascii="Times New Roman" w:eastAsia="Times New Roman" w:hAnsi="Times New Roman" w:cs="Times New Roman"/>
          <w:noProof/>
          <w:lang w:eastAsia="lt-LT"/>
        </w:rPr>
      </w:pPr>
    </w:p>
    <w:p w:rsidR="005E1DC0" w:rsidRPr="005E1DC0" w:rsidRDefault="005E1DC0" w:rsidP="005E1DC0">
      <w:pPr>
        <w:tabs>
          <w:tab w:val="left" w:pos="0"/>
        </w:tabs>
        <w:spacing w:after="0" w:line="240" w:lineRule="auto"/>
        <w:rPr>
          <w:rFonts w:ascii="Times New Roman" w:eastAsia="Times New Roman" w:hAnsi="Times New Roman" w:cs="Times New Roman"/>
          <w:b/>
          <w:noProof/>
          <w:lang w:eastAsia="lt-LT"/>
        </w:rPr>
      </w:pPr>
      <w:r w:rsidRPr="005E1DC0">
        <w:rPr>
          <w:rFonts w:ascii="Times New Roman" w:eastAsia="Times New Roman" w:hAnsi="Times New Roman" w:cs="Times New Roman"/>
          <w:b/>
          <w:lang w:eastAsia="lt-LT"/>
        </w:rPr>
        <w:t>Atidžiai perskaitykite visą šį lapelį, prieš pradėdami vartoti vaistą, nes jame pateikiama Jums svarbi informacija</w:t>
      </w:r>
      <w:r w:rsidRPr="005E1DC0">
        <w:rPr>
          <w:rFonts w:ascii="Times New Roman" w:eastAsia="Times New Roman" w:hAnsi="Times New Roman" w:cs="Times New Roman"/>
          <w:b/>
          <w:noProof/>
          <w:lang w:eastAsia="lt-LT"/>
        </w:rPr>
        <w:t>.</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w:t>
      </w:r>
      <w:r w:rsidRPr="005E1DC0">
        <w:rPr>
          <w:rFonts w:ascii="Times New Roman" w:eastAsia="Times New Roman" w:hAnsi="Times New Roman" w:cs="Times New Roman"/>
          <w:noProof/>
          <w:lang w:eastAsia="lt-LT"/>
        </w:rPr>
        <w:tab/>
        <w:t>Neišmeskite lapelio, nes vėl gali prireikti jį perskaityti.</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w:t>
      </w:r>
      <w:r w:rsidRPr="005E1DC0">
        <w:rPr>
          <w:rFonts w:ascii="Times New Roman" w:eastAsia="Times New Roman" w:hAnsi="Times New Roman" w:cs="Times New Roman"/>
          <w:noProof/>
          <w:lang w:eastAsia="lt-LT"/>
        </w:rPr>
        <w:tab/>
        <w:t>Jeigu kiltų daugiau klausimų, kreipkitės į gydytoją arba vaistininką.</w:t>
      </w:r>
    </w:p>
    <w:p w:rsidR="005E1DC0" w:rsidRPr="005E1DC0" w:rsidRDefault="005E1DC0" w:rsidP="005E1DC0">
      <w:pPr>
        <w:numPr>
          <w:ilvl w:val="0"/>
          <w:numId w:val="3"/>
        </w:numPr>
        <w:tabs>
          <w:tab w:val="left" w:pos="567"/>
        </w:tabs>
        <w:spacing w:after="0" w:line="260" w:lineRule="exact"/>
        <w:ind w:left="567" w:hanging="567"/>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Šis vaistas skirtas tik Jums, todėl kitiems žmonėms jo duoti negalima. Vaistas gali jiems pakenkti (</w:t>
      </w:r>
      <w:r w:rsidRPr="005E1DC0">
        <w:rPr>
          <w:rFonts w:ascii="Times New Roman" w:eastAsia="Times New Roman" w:hAnsi="Times New Roman" w:cs="Times New Roman"/>
          <w:lang w:eastAsia="lt-LT"/>
        </w:rPr>
        <w:t>net tiems, kurių</w:t>
      </w:r>
      <w:r w:rsidRPr="005E1DC0">
        <w:rPr>
          <w:rFonts w:ascii="Times New Roman" w:eastAsia="Times New Roman" w:hAnsi="Times New Roman" w:cs="Times New Roman"/>
          <w:noProof/>
          <w:lang w:eastAsia="lt-LT"/>
        </w:rPr>
        <w:t xml:space="preserve"> ligos požymiai yra tokie patys kaip Jūsų).</w:t>
      </w:r>
    </w:p>
    <w:p w:rsidR="005E1DC0" w:rsidRPr="005E1DC0" w:rsidRDefault="005E1DC0" w:rsidP="005E1DC0">
      <w:pPr>
        <w:numPr>
          <w:ilvl w:val="0"/>
          <w:numId w:val="3"/>
        </w:numPr>
        <w:tabs>
          <w:tab w:val="left" w:pos="567"/>
        </w:tabs>
        <w:spacing w:after="0" w:line="260" w:lineRule="exact"/>
        <w:ind w:left="567" w:hanging="567"/>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Jeigu pasireiškė šalutinis poveikis (net jeigu jis šiame lapelyje nenurodytas), kreipkitės į gydytoją arba vaistininką.</w:t>
      </w:r>
      <w:r w:rsidRPr="005E1DC0">
        <w:rPr>
          <w:rFonts w:ascii="Times New Roman" w:eastAsia="Times New Roman" w:hAnsi="Times New Roman" w:cs="Times New Roman"/>
          <w:noProof/>
          <w:snapToGrid w:val="0"/>
        </w:rPr>
        <w:t xml:space="preserve"> </w:t>
      </w:r>
      <w:r w:rsidRPr="005E1DC0">
        <w:rPr>
          <w:rFonts w:ascii="Times New Roman" w:eastAsia="Times New Roman" w:hAnsi="Times New Roman" w:cs="Times New Roman"/>
          <w:noProof/>
          <w:lang w:eastAsia="lt-LT"/>
        </w:rPr>
        <w:t>Žr. 4 skyrių.</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keepNext/>
        <w:tabs>
          <w:tab w:val="left" w:pos="567"/>
        </w:tabs>
        <w:spacing w:after="0" w:line="260" w:lineRule="exact"/>
        <w:jc w:val="both"/>
        <w:outlineLvl w:val="3"/>
        <w:rPr>
          <w:rFonts w:ascii="Times New Roman" w:eastAsia="Times New Roman" w:hAnsi="Times New Roman" w:cs="Times New Roman"/>
          <w:b/>
        </w:rPr>
      </w:pPr>
      <w:r w:rsidRPr="005E1DC0">
        <w:rPr>
          <w:rFonts w:ascii="Times New Roman" w:eastAsia="Times New Roman" w:hAnsi="Times New Roman" w:cs="Times New Roman"/>
          <w:b/>
        </w:rPr>
        <w:t>Apie ką rašoma šiame lapelyje?</w:t>
      </w:r>
    </w:p>
    <w:p w:rsidR="005E1DC0" w:rsidRPr="005E1DC0" w:rsidRDefault="005E1DC0" w:rsidP="005E1DC0">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1.</w:t>
      </w:r>
      <w:r w:rsidRPr="005E1DC0">
        <w:rPr>
          <w:rFonts w:ascii="Times New Roman" w:eastAsia="Times New Roman" w:hAnsi="Times New Roman" w:cs="Times New Roman"/>
          <w:lang w:eastAsia="lt-LT"/>
        </w:rPr>
        <w:tab/>
        <w:t>Kas yra Copegus ir kam jis vartojamas</w:t>
      </w:r>
    </w:p>
    <w:p w:rsidR="005E1DC0" w:rsidRPr="005E1DC0" w:rsidRDefault="005E1DC0" w:rsidP="005E1DC0">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2.</w:t>
      </w:r>
      <w:r w:rsidRPr="005E1DC0">
        <w:rPr>
          <w:rFonts w:ascii="Times New Roman" w:eastAsia="Times New Roman" w:hAnsi="Times New Roman" w:cs="Times New Roman"/>
          <w:lang w:eastAsia="lt-LT"/>
        </w:rPr>
        <w:tab/>
        <w:t>Kas žinotina prieš vartojant Copegus</w:t>
      </w:r>
    </w:p>
    <w:p w:rsidR="005E1DC0" w:rsidRPr="005E1DC0" w:rsidRDefault="005E1DC0" w:rsidP="005E1DC0">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3.</w:t>
      </w:r>
      <w:r w:rsidRPr="005E1DC0">
        <w:rPr>
          <w:rFonts w:ascii="Times New Roman" w:eastAsia="Times New Roman" w:hAnsi="Times New Roman" w:cs="Times New Roman"/>
          <w:lang w:eastAsia="lt-LT"/>
        </w:rPr>
        <w:tab/>
        <w:t>Kaip vartoti Copegus</w:t>
      </w:r>
    </w:p>
    <w:p w:rsidR="005E1DC0" w:rsidRPr="005E1DC0" w:rsidRDefault="005E1DC0" w:rsidP="005E1DC0">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4.</w:t>
      </w:r>
      <w:r w:rsidRPr="005E1DC0">
        <w:rPr>
          <w:rFonts w:ascii="Times New Roman" w:eastAsia="Times New Roman" w:hAnsi="Times New Roman" w:cs="Times New Roman"/>
          <w:lang w:eastAsia="lt-LT"/>
        </w:rPr>
        <w:tab/>
        <w:t>Galimas šalutinis poveikis</w:t>
      </w:r>
    </w:p>
    <w:p w:rsidR="005E1DC0" w:rsidRPr="005E1DC0" w:rsidRDefault="005E1DC0" w:rsidP="005E1DC0">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5.</w:t>
      </w:r>
      <w:r w:rsidRPr="005E1DC0">
        <w:rPr>
          <w:rFonts w:ascii="Times New Roman" w:eastAsia="Times New Roman" w:hAnsi="Times New Roman" w:cs="Times New Roman"/>
          <w:lang w:eastAsia="lt-LT"/>
        </w:rPr>
        <w:tab/>
        <w:t>Kaip laikyti Copegus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6.</w:t>
      </w:r>
      <w:r w:rsidRPr="005E1DC0">
        <w:rPr>
          <w:rFonts w:ascii="Times New Roman" w:eastAsia="Times New Roman" w:hAnsi="Times New Roman" w:cs="Times New Roman"/>
          <w:lang w:eastAsia="lt-LT"/>
        </w:rPr>
        <w:tab/>
        <w:t>Pakuotės turinys ir kita informacija</w:t>
      </w:r>
    </w:p>
    <w:p w:rsidR="005E1DC0" w:rsidRPr="005E1DC0" w:rsidRDefault="005E1DC0" w:rsidP="005E1DC0">
      <w:pPr>
        <w:keepNext/>
        <w:spacing w:after="0" w:line="240" w:lineRule="auto"/>
        <w:outlineLvl w:val="1"/>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ind w:left="567" w:hanging="567"/>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ind w:left="540" w:hanging="540"/>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1.</w:t>
      </w:r>
      <w:r w:rsidRPr="005E1DC0">
        <w:rPr>
          <w:rFonts w:ascii="Times New Roman" w:eastAsia="Times New Roman" w:hAnsi="Times New Roman" w:cs="Times New Roman"/>
          <w:b/>
          <w:bCs/>
          <w:lang w:eastAsia="lt-LT"/>
        </w:rPr>
        <w:tab/>
        <w:t>Kas yra Copegus ir kam jis vartojamas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Ribavirinas, kuris yra Copegus veiklioji virusus veikianti medžiaga, slopina daugelio virusų tipų, tarp jų hepatito C virusų (galinčių sukelti kepenų infekcinę ligą, vadinamą hepatitu C), dauginimąsi.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vartojama kartu su kitais vaistais kai kurioms lėtinio hepatito C formoms gydyti.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vartojamas tik kartu su kitais hepatitui C gydyti skirtais vaistais. Vieną Copegus vartoti draudžiama.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perskaitykite kitų kartu su Copegus vartojamų vaistų pakuočių lapelius.</w:t>
      </w:r>
    </w:p>
    <w:p w:rsidR="005E1DC0" w:rsidRPr="005E1DC0" w:rsidRDefault="005E1DC0" w:rsidP="005E1DC0">
      <w:pPr>
        <w:tabs>
          <w:tab w:val="left" w:pos="567"/>
        </w:tabs>
        <w:spacing w:after="0" w:line="240" w:lineRule="auto"/>
        <w:ind w:left="540" w:hanging="540"/>
        <w:jc w:val="both"/>
        <w:rPr>
          <w:rFonts w:ascii="Times New Roman" w:eastAsia="Calibri" w:hAnsi="Times New Roman" w:cs="Times New Roman"/>
          <w:lang w:eastAsia="lt-LT"/>
        </w:rPr>
      </w:pPr>
    </w:p>
    <w:p w:rsidR="005E1DC0" w:rsidRPr="005E1DC0" w:rsidRDefault="005E1DC0" w:rsidP="005E1DC0">
      <w:pPr>
        <w:tabs>
          <w:tab w:val="left" w:pos="567"/>
        </w:tabs>
        <w:spacing w:after="0" w:line="240" w:lineRule="auto"/>
        <w:ind w:left="540" w:hanging="540"/>
        <w:jc w:val="both"/>
        <w:rPr>
          <w:rFonts w:ascii="Times New Roman" w:eastAsia="Calibri" w:hAnsi="Times New Roman" w:cs="Times New Roman"/>
          <w:lang w:eastAsia="lt-LT"/>
        </w:rPr>
      </w:pPr>
    </w:p>
    <w:p w:rsidR="005E1DC0" w:rsidRPr="005E1DC0" w:rsidRDefault="005E1DC0" w:rsidP="005E1DC0">
      <w:pPr>
        <w:tabs>
          <w:tab w:val="left" w:pos="567"/>
        </w:tabs>
        <w:spacing w:after="0" w:line="240" w:lineRule="auto"/>
        <w:ind w:left="540" w:hanging="540"/>
        <w:jc w:val="both"/>
        <w:rPr>
          <w:rFonts w:ascii="Times New Roman" w:eastAsia="Times New Roman" w:hAnsi="Times New Roman" w:cs="Times New Roman"/>
          <w:b/>
          <w:bCs/>
          <w:i/>
          <w:iCs/>
          <w:lang w:eastAsia="lt-LT"/>
        </w:rPr>
      </w:pPr>
      <w:r w:rsidRPr="005E1DC0">
        <w:rPr>
          <w:rFonts w:ascii="Times New Roman" w:eastAsia="Times New Roman" w:hAnsi="Times New Roman" w:cs="Times New Roman"/>
          <w:b/>
          <w:bCs/>
          <w:lang w:eastAsia="lt-LT"/>
        </w:rPr>
        <w:t>2.</w:t>
      </w:r>
      <w:r w:rsidRPr="005E1DC0">
        <w:rPr>
          <w:rFonts w:ascii="Times New Roman" w:eastAsia="Times New Roman" w:hAnsi="Times New Roman" w:cs="Times New Roman"/>
          <w:b/>
          <w:bCs/>
          <w:lang w:eastAsia="lt-LT"/>
        </w:rPr>
        <w:tab/>
        <w:t>Kas žinotina prieš vartojant Copegus</w:t>
      </w: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rPr>
          <w:rFonts w:ascii="Times New Roman" w:eastAsia="Calibri" w:hAnsi="Times New Roman" w:cs="Times New Roman"/>
          <w:b/>
          <w:lang w:eastAsia="lt-LT"/>
        </w:rPr>
      </w:pPr>
      <w:r w:rsidRPr="005E1DC0">
        <w:rPr>
          <w:rFonts w:ascii="Times New Roman" w:eastAsia="Times New Roman" w:hAnsi="Times New Roman" w:cs="Times New Roman"/>
          <w:b/>
          <w:lang w:eastAsia="lt-LT"/>
        </w:rPr>
        <w:t>Copegus vartoti negalima:</w:t>
      </w:r>
    </w:p>
    <w:p w:rsidR="005E1DC0" w:rsidRPr="005E1DC0" w:rsidRDefault="005E1DC0" w:rsidP="005E1DC0">
      <w:pPr>
        <w:tabs>
          <w:tab w:val="left" w:pos="567"/>
        </w:tabs>
        <w:spacing w:after="0" w:line="240" w:lineRule="auto"/>
        <w:rPr>
          <w:rFonts w:ascii="Times New Roman" w:eastAsia="Times New Roman" w:hAnsi="Times New Roman" w:cs="Times New Roman"/>
          <w:u w:val="single"/>
          <w:lang w:eastAsia="lt-LT"/>
        </w:rPr>
      </w:pPr>
    </w:p>
    <w:p w:rsidR="005E1DC0" w:rsidRPr="005E1DC0" w:rsidRDefault="005E1DC0" w:rsidP="005E1DC0">
      <w:pPr>
        <w:numPr>
          <w:ilvl w:val="0"/>
          <w:numId w:val="30"/>
        </w:num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yra alergija ribavirinui arba bet kuriai pagalbinei šio vaisto medžiagai (jos išvardytos 6 skyriuje),</w:t>
      </w:r>
    </w:p>
    <w:p w:rsidR="005E1DC0" w:rsidRPr="005E1DC0" w:rsidRDefault="005E1DC0" w:rsidP="005E1DC0">
      <w:pPr>
        <w:numPr>
          <w:ilvl w:val="0"/>
          <w:numId w:val="30"/>
        </w:num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esate nėščia ar maitinate krūtimi (žr. skyrių „Nėštumas ir žindymo laikotarpis”),</w:t>
      </w:r>
    </w:p>
    <w:p w:rsidR="005E1DC0" w:rsidRPr="005E1DC0" w:rsidRDefault="005E1DC0" w:rsidP="005E1DC0">
      <w:pPr>
        <w:numPr>
          <w:ilvl w:val="0"/>
          <w:numId w:val="30"/>
        </w:num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turėjote širdies priepuolį arba per paskutiniuosius šešis mėnesius Jus kamavo kokia nors kita sunki širdies liga,</w:t>
      </w:r>
    </w:p>
    <w:p w:rsidR="005E1DC0" w:rsidRPr="005E1DC0" w:rsidRDefault="005E1DC0" w:rsidP="005E1DC0">
      <w:pPr>
        <w:numPr>
          <w:ilvl w:val="0"/>
          <w:numId w:val="30"/>
        </w:num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Jums yra kraujo sutrikimas, toks kaip pjautuvinių ląstelių anemija ar talasemija (raudonųjų kraujo kūnelių susilpnėjimas ir suirimas).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perskaitykite kitų kartu su Copegus vartojamų vaistų pakuočių lapelius.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sergate pažengusia kepenų liga (pvz., Jūsų oda yra pageltusi, o pilve yra susikaupę pernelyg daug skysčio), nevartokite Copegus kartu su vaistais, vadinamais interferonu arba pegiliuotu interferonu.</w:t>
      </w:r>
    </w:p>
    <w:p w:rsidR="005E1DC0" w:rsidRPr="005E1DC0" w:rsidRDefault="005E1DC0" w:rsidP="005E1DC0">
      <w:pPr>
        <w:spacing w:after="0" w:line="240" w:lineRule="auto"/>
        <w:ind w:left="540" w:hanging="540"/>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Įspėjimai ir atsargumo priemonės</w:t>
      </w: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Pasitarkite su gydytoju, prieš pradėdami vartoti Copegus: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esate vaisingo amžiaus moteris (žr. skyrių „Nėštumas ir žindymo laikotarpis”).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sym w:font="Symbol" w:char="F0B7"/>
      </w:r>
      <w:r w:rsidRPr="005E1DC0">
        <w:rPr>
          <w:rFonts w:ascii="Times New Roman" w:eastAsia="Times New Roman" w:hAnsi="Times New Roman" w:cs="Times New Roman"/>
          <w:lang w:eastAsia="lt-LT"/>
        </w:rPr>
        <w:tab/>
        <w:t>Jeigu esate vyras ir Jūsų partnerė yra vaisingo amžiaus moteris (žr. skyrių „Nėštumas ir žindymo laikotarpis”).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turite skundų dėl širdies veiklos. Šiuo atveju Jus reikės nuolat atidžiai stebėti. Rekomenduojama prieš gydymą ir jo metu registruoti elektrokardiogramą (EKG).</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atsiranda širdies veiklos sutrikimų kartu su dideliu nuovargiu. Tai gali būti dėl Copegus sukeltos mažakraujystės.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kada nors sirgote mažakraujyste (bendrai, mažakraujystės rizika didesnė moterims nei vyrams).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turite skundų dėl inkstų veiklos. Gali prireikti sumažinti Copegus dozę.</w:t>
      </w:r>
    </w:p>
    <w:p w:rsidR="005E1DC0" w:rsidRPr="005E1DC0" w:rsidRDefault="005E1DC0" w:rsidP="005E1DC0">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Jums buvo persodintas organas (kepenys ar inkstas) arba artimiausioje ateityje planuojama atlikti organo persodinimo operaciją.</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atsiranda alerginės reakcijos simptomų, tokių kaip pasunkėjęs kvėpavimas, švokštimas, staiga pabrinkusi oda ir gleivinės, niežulys ar bėrimai. Nedelsdami nustokite vartoti Copegus ir tuoj pat ieškokite medicininės pagalbos.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kada nors sirgote depresija arba gydymosi Copegus preparatu metu atsiranda simptomų, susijusių su depresija (pvz., liūdesys, prislėgta nuotaika ir t.t.) (žr. 4 skyrių).</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esate suaugęs pacientas, piktnaudžiaujantis arba praeityje piktnaudžiavęs psichiką veikiančiomis medžiagomis (pvz., alkoholiu ar narkotikais).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esate jaunesni nei 18 metų. Copegus ir peginterferono alfa-2a arba interferono alfa-2a derinio veiksmingumas ir saugumas jaunesniems nei 18 metų pacientams įvertintas nepakankamai.</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esate dar užsikrėtę ŽIV ir gydotės bet kokiu vaistiniu preparatu nuo ŽIV.</w:t>
      </w:r>
    </w:p>
    <w:p w:rsidR="005E1DC0" w:rsidRPr="005E1DC0" w:rsidRDefault="005E1DC0" w:rsidP="005E1DC0">
      <w:pPr>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sym w:font="Symbol" w:char="F0B7"/>
      </w:r>
      <w:r w:rsidRPr="005E1DC0">
        <w:rPr>
          <w:rFonts w:ascii="Times New Roman" w:eastAsia="Times New Roman" w:hAnsi="Times New Roman" w:cs="Times New Roman"/>
          <w:lang w:eastAsia="lt-LT"/>
        </w:rPr>
        <w:tab/>
        <w:t>Jeigu Jūsų ankstesnis gydymas nuo hepatito C nutrauktas dėl mažakraujystės ar mažo kraujo kūnelių skaičiaus.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Prieš gydymą Copegus preparatu būtina visiems pacientams ištirti inkstų veiklą. Prieš pradedant gydyti Copegus preparatu gydytojas taip pat būtinai turi ištirti Jūsų kraują. Kraujo tyrimai turi būti kartojami po 2 ir 4 gydymo savaičių, vėliau - taip dažnai kaip, gydytojo nuomone, tai būtina.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Jeigu esate vaisingo amžiau moteris, Jums būtina prieš gydymosi Copegus preparatu pradžią, gydymosi juo metu ir </w:t>
      </w:r>
      <w:r w:rsidR="003243CC">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po gydymo kiekvieną mėnesį daryti nėštumo nustatymo mėginį (žr. skyrių „Nėštumas ir žindymo laikotarpis”).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Žemiau išvardinti sunkūs šalutiniai poveikiai yra susiję visų pirma su Copegus vartojimu kartu su interferonu alfa-2a arba peginterferonu alfa-2a, o daugiau informacijos apie šias saugumo problemas rasite šių vaistų pakuotės lapeliuose:</w:t>
      </w:r>
    </w:p>
    <w:p w:rsidR="005E1DC0" w:rsidRPr="005E1DC0" w:rsidRDefault="005E1DC0" w:rsidP="005E1DC0">
      <w:pPr>
        <w:numPr>
          <w:ilvl w:val="0"/>
          <w:numId w:val="45"/>
        </w:numPr>
        <w:tabs>
          <w:tab w:val="left" w:pos="567"/>
        </w:tabs>
        <w:spacing w:after="0" w:line="240" w:lineRule="auto"/>
        <w:contextualSpacing/>
        <w:rPr>
          <w:rFonts w:ascii="Times New Roman" w:eastAsia="Times New Roman" w:hAnsi="Times New Roman" w:cs="Times New Roman"/>
        </w:rPr>
      </w:pPr>
      <w:r w:rsidRPr="005E1DC0">
        <w:rPr>
          <w:rFonts w:ascii="Times New Roman" w:eastAsia="Times New Roman" w:hAnsi="Times New Roman" w:cs="Times New Roman"/>
        </w:rPr>
        <w:t>Poveikis psichikai ir centrinei nervų sistemai (pavyzdžiui, depresija, mintys apie savižudybę, bandymas nusižudyti, agresyvus elgesys ir t. t.). Pastebėję, kad Jus kamuoja depresija, turite minčių apie savižudybę ar pasikeitė Jūsų elgesys, būtinai kreipkitės pagalbos. Jūs galbūt norėsite paprašyti šeimos nario ar artimo draugo, kad jis padėtų Jums išlikti budriems įvertinant depresijos požymius ar Jūsų elgesio pokyčius;</w:t>
      </w:r>
    </w:p>
    <w:p w:rsidR="005E1DC0" w:rsidRPr="005E1DC0" w:rsidRDefault="005E1DC0" w:rsidP="005E1DC0">
      <w:pPr>
        <w:numPr>
          <w:ilvl w:val="0"/>
          <w:numId w:val="45"/>
        </w:numPr>
        <w:tabs>
          <w:tab w:val="left" w:pos="567"/>
        </w:tabs>
        <w:spacing w:after="0" w:line="240" w:lineRule="auto"/>
        <w:contextualSpacing/>
        <w:rPr>
          <w:rFonts w:ascii="Times New Roman" w:eastAsia="Times New Roman" w:hAnsi="Times New Roman" w:cs="Times New Roman"/>
        </w:rPr>
      </w:pPr>
      <w:r w:rsidRPr="005E1DC0">
        <w:rPr>
          <w:rFonts w:ascii="Times New Roman" w:eastAsia="Times New Roman" w:hAnsi="Times New Roman" w:cs="Times New Roman"/>
        </w:rPr>
        <w:t>Sunkus akių sutrikimas;</w:t>
      </w:r>
    </w:p>
    <w:p w:rsidR="005E1DC0" w:rsidRPr="005E1DC0" w:rsidRDefault="005E1DC0" w:rsidP="005E1DC0">
      <w:pPr>
        <w:numPr>
          <w:ilvl w:val="0"/>
          <w:numId w:val="45"/>
        </w:numPr>
        <w:tabs>
          <w:tab w:val="left" w:pos="567"/>
        </w:tabs>
        <w:spacing w:after="0" w:line="240" w:lineRule="auto"/>
        <w:contextualSpacing/>
        <w:rPr>
          <w:rFonts w:ascii="Times New Roman" w:eastAsia="Times New Roman" w:hAnsi="Times New Roman" w:cs="Times New Roman"/>
        </w:rPr>
      </w:pPr>
      <w:r w:rsidRPr="005E1DC0">
        <w:rPr>
          <w:rFonts w:ascii="Times New Roman" w:eastAsia="Times New Roman" w:hAnsi="Times New Roman" w:cs="Times New Roman"/>
        </w:rPr>
        <w:t>Dantų ir periodonto sutrikimai. Copegus kartu su peginterferonu alfa-2a gydytiems pacientams yra pastebėta dantų ir dantenų sutrikimų. Jūs turite kruopščiai valytis dantis du kartus per parą ir reguliariai juos tikrintis. Be to, kai kurie pacientai gali vemti. Jeigu Jums pasitaikytų ši reakcija, būtinai po to kruopščiai praskalaukite burną.</w:t>
      </w:r>
    </w:p>
    <w:p w:rsidR="005E1DC0" w:rsidRPr="005E1DC0" w:rsidRDefault="005E1DC0" w:rsidP="005E1DC0">
      <w:pPr>
        <w:numPr>
          <w:ilvl w:val="0"/>
          <w:numId w:val="45"/>
        </w:numPr>
        <w:tabs>
          <w:tab w:val="left" w:pos="567"/>
        </w:tabs>
        <w:spacing w:after="0" w:line="240" w:lineRule="auto"/>
        <w:contextualSpacing/>
        <w:rPr>
          <w:rFonts w:ascii="Times New Roman" w:eastAsia="Times New Roman" w:hAnsi="Times New Roman" w:cs="Times New Roman"/>
        </w:rPr>
      </w:pPr>
      <w:r w:rsidRPr="005E1DC0">
        <w:rPr>
          <w:rFonts w:ascii="Times New Roman" w:eastAsia="Times New Roman" w:hAnsi="Times New Roman" w:cs="Times New Roman"/>
        </w:rPr>
        <w:t>Vaikų ir paauglių augimo slopinimas, kuris kai kuriems pacientams gali būti negrįžtamas.</w:t>
      </w:r>
    </w:p>
    <w:p w:rsidR="005E1DC0" w:rsidRPr="005E1DC0" w:rsidRDefault="005E1DC0" w:rsidP="005E1DC0">
      <w:pPr>
        <w:spacing w:after="0" w:line="240" w:lineRule="auto"/>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Kiti vaistai ir Copegus</w:t>
      </w: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vartojate arba neseniai vartojote kitų vaistų, įskaitant įsigytus be recepto, pasakykite gydytojui arba vaistininkui.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Pacientams, kurie dar užsikrėtę ir ŽIV: pasakykite savo gydytojui, jei Jūs gydotės vaistais nuo ŽIV.</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Su labai aktyviais antiretrovirusiniais vaistais (LAARV), kuriais gydoma ŽIV, yra susiję šalutiniai poveikiai - pieno rūgšties acidozė (organizme daugėja pieno rūgšties, dėl to rūgštėja kraujas) ir pablogėjusi kepenų veikla. Jei Jūs vartojate LAARV, peginterferono alfa-2a arba interferono alfa-2a ir papildomai pradėsite vartoti Copegus, gali didėti pieno rūgšties acidozės ar kepenų veiklos nepakankamumo pavojus. Jūsų gydytojas nuolat stebės, ar neatsirado šių šalutinių reiškinių požymių ar simptomų.</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vartojate zidovudino ar stavudino, nes esate užsikrėtę ŽIV arba sergate AIDS, Copegus gali susilpninti šių vaistų poveikį. Todėl reguliariai bus tiriamas Jūsų kraujas, norint įsitikinti, kad ŽIV infekcija nestiprėja. Jeigu ji stiprėtų, gydytojas gali nuspęsti nutraukti Jūsų gydymą Copegus preparatu. Be to, pacientams, kurie vartoja zidovudino kartu su Copegus ir alfa interferonais, yra padidėjusi anemijos atsiradimo rizika.</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ir didanozino (kuriuo gydoma ŽIV ) kartu vartoti nerekomenduojama. Kai kuris šalutinis didanozino poveikis (pvz., kepenų pažeidimas, plaštakų ir (arba) pėdų dilgčiojimas bei skausmingumas, kasos uždegimas) gali pasitaikyti daug dažniau.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Pacientams, kurie vartoja azatioprino kartu su Copegus ir peginterferonu, yra padidėjusi sunkių kraujo sutrikimų atsiradimo rizika.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perskaitykite kitų kartu su Copegus vartojamų vaistų pakuočių lapelius.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Ribavirino gali išlikti Jūsų organizme iki 2 mėnesių, todėl prieš pradėdami gydytis bet kuriuo kitu šiame lapelyje paminėtu vaistu turite pasitarti su gydytoju arba vaistininku.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Copegus vartojimas su maistu ir gėrimais</w:t>
      </w: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plėvele dengtos tabletės paprastai geriamos du kartus per dieną valgant (rytą ir vakare) ir jas reikia nuryti nekramtytas.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Nėštumas ir žindymo laikotarpis</w:t>
      </w: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Prieš vartojant bet kokį vaistą būtina pasitarti su gydytoju ar vaistininku.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Copegus gali būti labai žalingas negimusiam kūdikiui; jis gali sukelti apsigimimų. Todėl, jeigu Jūs esate </w:t>
      </w:r>
      <w:r w:rsidRPr="005E1DC0">
        <w:rPr>
          <w:rFonts w:ascii="Times New Roman" w:eastAsia="Times New Roman" w:hAnsi="Times New Roman" w:cs="Times New Roman"/>
          <w:b/>
          <w:lang w:eastAsia="lt-LT"/>
        </w:rPr>
        <w:t>pacientė moteris</w:t>
      </w:r>
      <w:r w:rsidRPr="005E1DC0">
        <w:rPr>
          <w:rFonts w:ascii="Times New Roman" w:eastAsia="Times New Roman" w:hAnsi="Times New Roman" w:cs="Times New Roman"/>
          <w:lang w:eastAsia="lt-LT"/>
        </w:rPr>
        <w:t xml:space="preserve">, labai svarbu, kad nepastotumėte gydymosi metu ir </w:t>
      </w:r>
      <w:r w:rsidR="003243CC">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po gydymosi. Copegus gali pažeisti spermą ir pakenkti gemalui (negimusiam kūdikiui). Todėl, jeigu Jūs esate </w:t>
      </w:r>
      <w:r w:rsidRPr="005E1DC0">
        <w:rPr>
          <w:rFonts w:ascii="Times New Roman" w:eastAsia="Times New Roman" w:hAnsi="Times New Roman" w:cs="Times New Roman"/>
          <w:b/>
          <w:lang w:eastAsia="lt-LT"/>
        </w:rPr>
        <w:t>pacientas vyras</w:t>
      </w:r>
      <w:r w:rsidRPr="005E1DC0">
        <w:rPr>
          <w:rFonts w:ascii="Times New Roman" w:eastAsia="Times New Roman" w:hAnsi="Times New Roman" w:cs="Times New Roman"/>
          <w:lang w:eastAsia="lt-LT"/>
        </w:rPr>
        <w:t xml:space="preserve">, labai svarbu, kad Jūsų partnerė nepastotų Jūsų gydymosi metu ir </w:t>
      </w:r>
      <w:r w:rsidR="003243CC">
        <w:rPr>
          <w:rFonts w:ascii="Times New Roman" w:eastAsia="Times New Roman" w:hAnsi="Times New Roman" w:cs="Times New Roman"/>
          <w:lang w:eastAsia="lt-LT"/>
        </w:rPr>
        <w:t>6</w:t>
      </w:r>
      <w:r w:rsidRPr="005E1DC0">
        <w:rPr>
          <w:rFonts w:ascii="Times New Roman" w:eastAsia="Times New Roman" w:hAnsi="Times New Roman" w:cs="Times New Roman"/>
          <w:lang w:eastAsia="lt-LT"/>
        </w:rPr>
        <w:t xml:space="preserve"> mėnesius baigus Jūsų gydymą.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Jeigu esate vaisingo amžiaus </w:t>
      </w:r>
      <w:r w:rsidRPr="005E1DC0">
        <w:rPr>
          <w:rFonts w:ascii="Times New Roman" w:eastAsia="Times New Roman" w:hAnsi="Times New Roman" w:cs="Times New Roman"/>
          <w:b/>
          <w:lang w:eastAsia="lt-LT"/>
        </w:rPr>
        <w:t>moteris</w:t>
      </w:r>
      <w:r w:rsidRPr="005E1DC0">
        <w:rPr>
          <w:rFonts w:ascii="Times New Roman" w:eastAsia="Times New Roman" w:hAnsi="Times New Roman" w:cs="Times New Roman"/>
          <w:lang w:eastAsia="lt-LT"/>
        </w:rPr>
        <w:t xml:space="preserve">, kuri gydoma Copegus preparatu, būtina, kad Jūsų nėštumo nustatymo mėginys būtų neigiamas prieš pradedant gydytis Copegus, kiekvieną mėnesį gydymosi metu ir </w:t>
      </w:r>
      <w:r w:rsidR="003243CC">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po gydymosi. Jūs būtinai turite naudoti veiksmingą kontracepcijos priemonę Jūsų gydymosi metu ir </w:t>
      </w:r>
      <w:r w:rsidR="003243CC">
        <w:rPr>
          <w:rFonts w:ascii="Times New Roman" w:eastAsia="Times New Roman" w:hAnsi="Times New Roman" w:cs="Times New Roman"/>
          <w:lang w:eastAsia="lt-LT"/>
        </w:rPr>
        <w:t>9</w:t>
      </w:r>
      <w:r w:rsidRPr="005E1DC0">
        <w:rPr>
          <w:rFonts w:ascii="Times New Roman" w:eastAsia="Times New Roman" w:hAnsi="Times New Roman" w:cs="Times New Roman"/>
          <w:lang w:eastAsia="lt-LT"/>
        </w:rPr>
        <w:t xml:space="preserve"> mėnesius baigus gydytis. Tai galite aptarti su savo gydytoju. Jeigu Copegus preparatu gydomas Jūsų partneris vyras, prašom skaityti skirsnį „Jeigu esate </w:t>
      </w:r>
      <w:r w:rsidRPr="005E1DC0">
        <w:rPr>
          <w:rFonts w:ascii="Times New Roman" w:eastAsia="Times New Roman" w:hAnsi="Times New Roman" w:cs="Times New Roman"/>
          <w:b/>
          <w:lang w:eastAsia="lt-LT"/>
        </w:rPr>
        <w:t>vyras</w:t>
      </w:r>
      <w:r w:rsidRPr="005E1DC0">
        <w:rPr>
          <w:rFonts w:ascii="Times New Roman" w:eastAsia="Times New Roman" w:hAnsi="Times New Roman" w:cs="Times New Roman"/>
          <w:lang w:eastAsia="lt-LT"/>
        </w:rPr>
        <w: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Jeigu esate </w:t>
      </w:r>
      <w:r w:rsidRPr="005E1DC0">
        <w:rPr>
          <w:rFonts w:ascii="Times New Roman" w:eastAsia="Times New Roman" w:hAnsi="Times New Roman" w:cs="Times New Roman"/>
          <w:b/>
          <w:lang w:eastAsia="lt-LT"/>
        </w:rPr>
        <w:t>vyras</w:t>
      </w:r>
      <w:r w:rsidRPr="005E1DC0">
        <w:rPr>
          <w:rFonts w:ascii="Times New Roman" w:eastAsia="Times New Roman" w:hAnsi="Times New Roman" w:cs="Times New Roman"/>
          <w:lang w:eastAsia="lt-LT"/>
        </w:rPr>
        <w:t xml:space="preserve">, kuris vartoja Copegus, Jums negalima turėti lytinių santykių su nėščia moterimi, nebent naudojate prezervatyvą. Tai sumažina galimybę ribavirinui patekti į moters organizmą. Jeigu Jūsų partnerė nėra nėščia, bet yra vaisingo amžiaus moteris, ji būtinai turi daryti nėštumo mėginį kiekvieną mėnesį Jūsų gydymosi metu ir </w:t>
      </w:r>
      <w:r w:rsidR="003243CC">
        <w:rPr>
          <w:rFonts w:ascii="Times New Roman" w:eastAsia="Times New Roman" w:hAnsi="Times New Roman" w:cs="Times New Roman"/>
          <w:lang w:eastAsia="lt-LT"/>
        </w:rPr>
        <w:t>6</w:t>
      </w:r>
      <w:r w:rsidRPr="005E1DC0">
        <w:rPr>
          <w:rFonts w:ascii="Times New Roman" w:eastAsia="Times New Roman" w:hAnsi="Times New Roman" w:cs="Times New Roman"/>
          <w:lang w:eastAsia="lt-LT"/>
        </w:rPr>
        <w:t xml:space="preserve"> mėnesius po gydymo pabaigos. Jūs arba Jūsų partnerė būtinai turi naudoti veiksmingą kontracepcijos priemonę Jūsų gydymosi metu ir </w:t>
      </w:r>
      <w:r w:rsidR="003243CC">
        <w:rPr>
          <w:rFonts w:ascii="Times New Roman" w:eastAsia="Times New Roman" w:hAnsi="Times New Roman" w:cs="Times New Roman"/>
          <w:lang w:eastAsia="lt-LT"/>
        </w:rPr>
        <w:t>6</w:t>
      </w:r>
      <w:r w:rsidRPr="005E1DC0">
        <w:rPr>
          <w:rFonts w:ascii="Times New Roman" w:eastAsia="Times New Roman" w:hAnsi="Times New Roman" w:cs="Times New Roman"/>
          <w:lang w:eastAsia="lt-LT"/>
        </w:rPr>
        <w:t xml:space="preserve"> mėnesius baigus gydymą. Tai galite aptarti su savo gydytoju. Jeigu Jūsų partnerė moteris gydoma Copegus preparatu, skaitykite skirsnį „Jeigu esate </w:t>
      </w:r>
      <w:r w:rsidRPr="005E1DC0">
        <w:rPr>
          <w:rFonts w:ascii="Times New Roman" w:eastAsia="Times New Roman" w:hAnsi="Times New Roman" w:cs="Times New Roman"/>
          <w:b/>
          <w:lang w:eastAsia="lt-LT"/>
        </w:rPr>
        <w:t>moteris</w:t>
      </w:r>
      <w:r w:rsidRPr="005E1DC0">
        <w:rPr>
          <w:rFonts w:ascii="Times New Roman" w:eastAsia="Times New Roman" w:hAnsi="Times New Roman" w:cs="Times New Roman"/>
          <w:lang w:eastAsia="lt-LT"/>
        </w:rPr>
        <w: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Prieš vartojant bet kokį vaistą, būtina pasitarti su gydytoju arba vaistininku.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Ar Copegus patenka į moters pieną, nežinoma. Kadangi Copegus gali pažeisti kūdikį, jį vartojant kūdikio žindyti negalima. Jeigu gydymas Copegus preparatu būtinas, kūdikį žindyti reikia liautis.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perskaitykite kitų kartu su Copegus hepatitui C gydyti vartojamų vaistų pakuočių lapelius.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Vairavimas ir mechanizmų valdymas</w:t>
      </w:r>
    </w:p>
    <w:p w:rsidR="005E1DC0" w:rsidRPr="005E1DC0" w:rsidRDefault="005E1DC0" w:rsidP="005E1DC0">
      <w:pPr>
        <w:keepNext/>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Jūsų gebėjimą vairuoti ir valdyti mechanizmus veikia nereikšmingai.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Tačiau kiti kartu su Copegus vartojami vaistai tokį poveikį gali turėti. Perskaitykite kitų kartu su Copegus vartojamų vaistų pakuočių lapelius.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Natris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200 mg plėvele dengtoje tabletėje yra mažiau nei 1 mmol natrio (23 mg), t.y. iš esmės „beveik neturi natrio“.</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keepNext/>
        <w:keepLines/>
        <w:spacing w:after="0" w:line="240" w:lineRule="auto"/>
        <w:ind w:left="540" w:hanging="540"/>
        <w:rPr>
          <w:rFonts w:ascii="Times New Roman" w:eastAsia="Times New Roman" w:hAnsi="Times New Roman" w:cs="Times New Roman"/>
          <w:b/>
          <w:bCs/>
          <w:i/>
          <w:iCs/>
          <w:lang w:eastAsia="lt-LT"/>
        </w:rPr>
      </w:pPr>
      <w:r w:rsidRPr="005E1DC0">
        <w:rPr>
          <w:rFonts w:ascii="Times New Roman" w:eastAsia="Times New Roman" w:hAnsi="Times New Roman" w:cs="Times New Roman"/>
          <w:b/>
          <w:bCs/>
          <w:lang w:eastAsia="lt-LT"/>
        </w:rPr>
        <w:t>3.</w:t>
      </w:r>
      <w:r w:rsidRPr="005E1DC0">
        <w:rPr>
          <w:rFonts w:ascii="Times New Roman" w:eastAsia="Times New Roman" w:hAnsi="Times New Roman" w:cs="Times New Roman"/>
          <w:b/>
          <w:bCs/>
          <w:lang w:eastAsia="lt-LT"/>
        </w:rPr>
        <w:tab/>
        <w:t>Kaip vartoti Copegus</w:t>
      </w:r>
    </w:p>
    <w:p w:rsidR="005E1DC0" w:rsidRPr="005E1DC0" w:rsidRDefault="005E1DC0" w:rsidP="005E1DC0">
      <w:pPr>
        <w:keepNext/>
        <w:keepLines/>
        <w:spacing w:after="0" w:line="240" w:lineRule="auto"/>
        <w:rPr>
          <w:rFonts w:ascii="Times New Roman" w:eastAsia="Times New Roman" w:hAnsi="Times New Roman" w:cs="Times New Roman"/>
          <w:b/>
          <w:bCs/>
          <w:i/>
          <w:iCs/>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Visada vartokite šį vaistą tiksliai kaip nurodė gydytojas, Jeigu abejojate, kreipkitės į gydytoją arba vaistininką. Gydytojas parinks Jums tinkamą dozę, atsižvelgdamas į Jūsų kūno masę, viruso tipą ir kitą kartu su Copegus skiriamą vaistą.</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Rekomenduojamoji dozė svyruoja nuo 800 mg iki 1400 mg per parą ir priklauso nuo kitų vaistų, kuriuos Jūs vartojate kartu su Copegus: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800 mg per parą: gerkite 2 Copegus 200 mg tabletes ryte ir 2 tabletes vakare;</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1000 mg per parą: gerkite 2 Copegus 200 mg tabletes ryte ir 3 tabletes vakare;</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1200 mg per parą: gerkite 3 Copegus 200 mg tabletes ryte ir 3 tabletes vakare;</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1400 mg per parą: gerkite 3 Copegus 200 mg tabletes ryte ir 4 tabletes vakare.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vartojate vaistų derinį, laikykitės dozavimo režimo, kurį nurodė Jūsų gydytojas ir taip pat perskaitykite kitų vaistų pakuočių lapelius.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Tabletes nurykite nekramtytas ir vartokite jas valgant.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Kadangi ribavirinas yra teratogeniškas (gali sukelti negimusio kūdikio nenormalumų), su tabletėmis reikia elgtis atsargiai -</w:t>
      </w:r>
      <w:r w:rsidRPr="005E1DC0">
        <w:rPr>
          <w:rFonts w:ascii="Times New Roman" w:eastAsia="Times New Roman" w:hAnsi="Times New Roman" w:cs="Times New Roman"/>
          <w:b/>
          <w:lang w:eastAsia="lt-LT"/>
        </w:rPr>
        <w:t xml:space="preserve"> jų negalima laužyti ar traiškyti</w:t>
      </w:r>
      <w:r w:rsidRPr="005E1DC0">
        <w:rPr>
          <w:rFonts w:ascii="Times New Roman" w:eastAsia="Times New Roman" w:hAnsi="Times New Roman" w:cs="Times New Roman"/>
          <w:lang w:eastAsia="lt-LT"/>
        </w:rPr>
        <w:t>. Jeigu netyčia palietėte aplūžusias tabletes, visas kūno vietas, kuriomis prisilietėte prie tablečių, kruopščiai nuplaukite vandeniu su muilu. Jeigu kiek nors tablečių miltelių pateko į akis, rūpestingai išplaukite jas steriliu arba, jei sterilaus neturite, paprastu vandeniu.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Kiek laiko turėsite vartoti Copegus plėvele dengtas tabletes, priklauso nuo viruso, kuriuo Jūs užsikrėtę, tipo, kito vaisto, kuriuo dar esate gydomas, </w:t>
      </w:r>
      <w:r w:rsidRPr="005E1DC0">
        <w:rPr>
          <w:rFonts w:ascii="Times New Roman" w:eastAsia="Times New Roman" w:hAnsi="Times New Roman" w:cs="Times New Roman"/>
          <w:bCs/>
          <w:lang w:eastAsia="lt-LT"/>
        </w:rPr>
        <w:t>atsako į gydymą ir nuo to, ar jau buvote anksčiau gydytas</w:t>
      </w:r>
      <w:r w:rsidRPr="005E1DC0">
        <w:rPr>
          <w:rFonts w:ascii="Times New Roman" w:eastAsia="Times New Roman" w:hAnsi="Times New Roman" w:cs="Times New Roman"/>
          <w:lang w:eastAsia="lt-LT"/>
        </w:rPr>
        <w:t>. Prašome pasitarti su gydytoju ir gydytis jo rekomenduotą laiką.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Jums daugiau nei 65 metai, prieš Copegus vartojimą turite pasitarti su gydytoju.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Jums atrodo, kad Copegus veikia pernelyg stipriai arba pernelyg silpnai, pasakykite gydytojui arba vaistininkui.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šalutinis poveikis atsiranda gydymo metu, gydytojas gali patikslinti vaisto dozę arba išvis nutraukti gydymą.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 to, perskaitykite kitų su Copegus hepatitui C gydyti vartojamų vaistų pakuočių lapelius.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Ką daryti pavartojus per didelę Copegus dozę?</w:t>
      </w: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Kiek galima greičiau kreipkitės į gydytoją arba vaistininką.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Pamiršus pavartoti Copegus</w:t>
      </w: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Negalima vartoti dvigubos dozės, norint kompensuoti praleistą dozę.</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pamiršote išgerti vieną dozę, kai tik prisiminsite ją išgerkite, o kitą dozę gerkite įprastu laiku.</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Nustojus vartoti Copegus</w:t>
      </w: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Tik gydytojas gali nuspręsti, kada gydymą reikia užbaigti. Niekada nenutraukite gydymo savo nuožiūra, nes liga, nuo kurios Jūs gydoma(s), gali atsinaujinti ar pablogėti.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kiltų daugiau klausimų dėl šio vaisto vartojimo, kreipkitės į gydytoją arba vaistininką.</w:t>
      </w:r>
    </w:p>
    <w:p w:rsidR="005E1DC0" w:rsidRPr="005E1DC0" w:rsidRDefault="005E1DC0" w:rsidP="005E1DC0">
      <w:pPr>
        <w:tabs>
          <w:tab w:val="left" w:pos="567"/>
        </w:tabs>
        <w:spacing w:after="0" w:line="240" w:lineRule="auto"/>
        <w:jc w:val="both"/>
        <w:rPr>
          <w:rFonts w:ascii="Times New Roman" w:eastAsia="Calibri" w:hAnsi="Times New Roman" w:cs="Times New Roman"/>
          <w:lang w:eastAsia="lt-LT"/>
        </w:rPr>
      </w:pPr>
    </w:p>
    <w:p w:rsidR="005E1DC0" w:rsidRPr="005E1DC0" w:rsidRDefault="005E1DC0" w:rsidP="005E1DC0">
      <w:pPr>
        <w:spacing w:after="0" w:line="240" w:lineRule="auto"/>
        <w:rPr>
          <w:rFonts w:ascii="Times New Roman" w:eastAsia="Calibri" w:hAnsi="Times New Roman" w:cs="Times New Roman"/>
          <w:lang w:eastAsia="lt-LT"/>
        </w:rPr>
      </w:pPr>
    </w:p>
    <w:p w:rsidR="005E1DC0" w:rsidRPr="005E1DC0" w:rsidRDefault="005E1DC0" w:rsidP="005E1DC0">
      <w:pPr>
        <w:keepNext/>
        <w:keepLines/>
        <w:tabs>
          <w:tab w:val="left" w:pos="567"/>
        </w:tabs>
        <w:spacing w:after="0" w:line="240" w:lineRule="auto"/>
        <w:ind w:left="539" w:hanging="539"/>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4.</w:t>
      </w:r>
      <w:r w:rsidRPr="005E1DC0">
        <w:rPr>
          <w:rFonts w:ascii="Times New Roman" w:eastAsia="Times New Roman" w:hAnsi="Times New Roman" w:cs="Times New Roman"/>
          <w:b/>
          <w:bCs/>
          <w:lang w:eastAsia="lt-LT"/>
        </w:rPr>
        <w:tab/>
        <w:t>Galimas šalutinis poveikis</w:t>
      </w:r>
    </w:p>
    <w:p w:rsidR="005E1DC0" w:rsidRPr="005E1DC0" w:rsidRDefault="005E1DC0" w:rsidP="005E1DC0">
      <w:pPr>
        <w:keepNext/>
        <w:keepLines/>
        <w:tabs>
          <w:tab w:val="left" w:pos="567"/>
        </w:tabs>
        <w:spacing w:after="0" w:line="240" w:lineRule="auto"/>
        <w:jc w:val="both"/>
        <w:rPr>
          <w:rFonts w:ascii="Times New Roman" w:eastAsia="Times New Roman" w:hAnsi="Times New Roman" w:cs="Times New Roman"/>
          <w:b/>
          <w:bCs/>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Šis vaistas, kaip ir visi kiti, gali sukelti šalutinį poveikį, nors jis pasireiškia ne visiems žmonėms.</w:t>
      </w:r>
    </w:p>
    <w:p w:rsidR="005E1DC0" w:rsidRPr="005E1DC0" w:rsidRDefault="005E1DC0" w:rsidP="005E1DC0">
      <w:pPr>
        <w:tabs>
          <w:tab w:val="left" w:pos="567"/>
        </w:tabs>
        <w:spacing w:after="0" w:line="240" w:lineRule="auto"/>
        <w:rPr>
          <w:rFonts w:ascii="Times New Roman" w:eastAsia="Calibri"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Pranešimas apie šalutinį poveikį</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tiesiogiai, užpildę interneto svetainėje </w:t>
      </w:r>
      <w:hyperlink r:id="rId8" w:history="1">
        <w:r w:rsidRPr="005E1DC0">
          <w:rPr>
            <w:rFonts w:ascii="Times New Roman" w:eastAsia="Times New Roman" w:hAnsi="Times New Roman" w:cs="Times New Roman"/>
            <w:color w:val="0000FF"/>
            <w:u w:val="single"/>
            <w:lang w:eastAsia="lt-LT"/>
          </w:rPr>
          <w:t>www.vvkt.lt</w:t>
        </w:r>
      </w:hyperlink>
      <w:r w:rsidRPr="005E1DC0">
        <w:rPr>
          <w:rFonts w:ascii="Times New Roman" w:eastAsia="Times New Roman" w:hAnsi="Times New Roman" w:cs="Times New Roman"/>
          <w:lang w:eastAsia="lt-LT"/>
        </w:rPr>
        <w:t xml:space="preserve"> esančią formą, paštu Valstybinei vaistų kontrolės tarnybai prie Lietuvos Respublikos sveikatos apsaugos ministerijos, Žirmūnų g. 139A, LT 09120 Vilnius, tel: 8 800 73568, faksu 8 800 20131 arba el. paštu </w:t>
      </w:r>
      <w:hyperlink r:id="rId9" w:history="1">
        <w:r w:rsidRPr="005E1DC0">
          <w:rPr>
            <w:rFonts w:ascii="Times New Roman" w:eastAsia="Times New Roman" w:hAnsi="Times New Roman" w:cs="Times New Roman"/>
            <w:color w:val="0000FF"/>
            <w:u w:val="single"/>
            <w:lang w:eastAsia="lt-LT"/>
          </w:rPr>
          <w:t>NepageidaujamaR@vvkt.lt</w:t>
        </w:r>
      </w:hyperlink>
      <w:r w:rsidRPr="005E1DC0">
        <w:rPr>
          <w:rFonts w:ascii="Times New Roman" w:eastAsia="Times New Roman" w:hAnsi="Times New Roman" w:cs="Times New Roman"/>
          <w:lang w:eastAsia="lt-LT"/>
        </w:rPr>
        <w:t>. Pranešdami apie šalutinį poveikį galite mums padėti gauti daugiau informacijos apie šio vaisto saugumą.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Gydymo metu gydytojas reguliariai paims Jūsų kraujo, norėdamas stebėti baltųjų kraujo kūnelių (ląstelių, kurios kovoja su infekcija), raudonųjų kraujo kūnelių (ląstelių, kurios perneša deguonį), trombocitų (kurie skatina kraują krešėti), kepenų veiklos ar kitų laboratorinių tyrimų rodmenų pokyčius.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Nedelsdami kreipkitės į gydytoją, jeigu pastebėjote, kad atsirado bet kuris šių šalutinių poveikių: stiprus krūtinės skausmas; nepaliaujamas kosulys; nereguliarus širdies plakimas; sutrikęs kvėpavimas; sumišimas; depresija; stiprus skrandžio skausmas; kraujas išmatose (arba juodos, deguto spalvos išmatos); stiprus kraujavimas iš nosies; karščiavimas ar šaltkrėtis; sutrikęs regėjimas. Šie šalutiniai poveikiai gali būti sunkūs ir Jums gali prireikti skubios medicininės pagalbos.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Labai dažnas (galintis pasireikšti daugiau nei 1 iš 10 pacientų) šalutinis poveikis, vartojant pegiliuoto interferono ir ribavirino derinį, yra: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Kraujo sutrikimai: anemija (mažas raudonųjų kraujo kūnelių skaičius), neutropenija (mažas baltųjų kraujo kūnelių skaičius).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Metabolizmo sutrikimai: prastas apetitas.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Psichikos sutrikimas: depresija (prislėgta nuotaika, bloga nuomonė apie save ar beviltiškumo jausmas), nemiga.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Nervų sistemos sutrikimai: galvos skausmas, sutrikęs dėmesio koncentravimas ir svaigulys.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Kvėpavimo sistemos sutrikimai: kosulys, dusulys.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Virškinimo trakto sutrikimai: viduriavimas, pykinimas, pilvo skausmas.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Odos sutrikimai: plaukų slinkimas ir odos reakcijos (įskaitant niežulį, odos uždegimą ir odos sausmę).</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Skeleto raumenų sutrikimai: sąnarių ir raumenų skausmas.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Bendrieji sutrikimai: karščiavimas, silpnumas, nuovargis, drebulys, šaltkrėtis, skausmas ir padidėjęs jaudrumas (tampa lengva nuliūdinti).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Dažnas (galintis pasireikšti mažiau nei 1 iš 10 pacientų) šalutinis poveikis, vartojant pegiliuoto alfa interferono ir ribavirino derinį, yra: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Infekcijos: viršutinių kvėpavimo takų infekcinės ligos, bronchitas, burnos grybelinė infekcija ir pūslelinė (dažna pasikartojanti virusinė infekcija, kuri pažeidžia lūpas, burną).</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Kraujo sutrikimai: sumažėjęs trombocitų (skatinančių kraują krešėti) skaičius ir padidėję limfmazgiai.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Endokrininiai sutrikimai: sustiprėjusi ir susilpnėjusi skydliaukės veikla.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Psichikos sutrikimai: nuotaikos ar emocijų pokyčiai, nerimas, agresija, nervuotumas, susilpnėjęs lytinis potraukis.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Nervų sistemos sutrikimai: pablogėjusi atmintis, apalpimas, susilpnėjusi raumenų jėga, migrena, sustingimas, dilgčiojimo, deginimo pojūtis, drebulys, skonio pojūčio pokyčiai, košmarai, mieguistumas.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Akių sutrikimai: miglotas regėjimas, akių skausmas, akių uždegimas ir akių džiūvimas.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Ausų sutrikimai: kambario sukimosi pojūtis, ausies skausmas, skambėjimas ausyse.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Širdies sutrikimai: greitas širdies ritmas, širdies susitraukimų pulsacija, rankų ir kojų tinimas.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Kraujagyslių sutrikimai: karščio pylimas, kraujospūdžio sumažėjimas.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Kvėpavimo sistemos sutrikimai: dusulys fizinio krūvio metu, kraujavimas iš nosies, nosies ir ryklės uždegimas, nosies ir prienosinių ančių (oru užpildytų ertmių, esančių galvos ir veido kauluose) infekcijos, sloga, skaudama ryklė.</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Virškinimo trakto sutrikimai: vėmimas, sutrikęs virškinimas, pasunkėjęs rijimas, burnos opėjimas, kraujuojančios dantenos, liežuvio ir burnos gleivinės uždegimas, dujų kaupimasis (pernelyg didelis oro ir dujų kiekis) žarnyne, vidurių užkietėjimas, burnos džiūvimas.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Odos sutrikimai: bėrimas, padidėjęs prakaitavimas, žvynelinė (psoriazė), dilgėlinė, egzema, padidėjęs jautrumas saulės spinduliams, prakaitavimas naktį.</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Skeleto ir raumenų sutrikimai: nugaros skausmas, sąnarių uždegimas, raumenų silpnumas, kaulų skausmas, sprando skausmas, raumenų skausmas, mėšlungiai.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Lytinės sistemos sutrikimai: impotencija (lytinė bejėgystė).</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Bendrieji sutrikimai: krūtinės skausmas, į gripą panašus susirgimas, negalavimas, letargija (panaši į ilgą miegą būsena), karščio pylimai, troškulys, sumažėjęs svoris.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Nedažnas (galintis pasireikšti mažiau nei 1 iš 100 pacientų) šalutinis poveikis, vartojant pegiliuoto alfa interferono ir ribavirino derinį, yra: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Infekcijos: apatinių kvėpavimo takų infekcijos, šlapimo takų infekcija, odos infekcija.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Imuninės sistemos sutrikimai: sarkoidozė (uždegimo apimti audinių plotai po visą kūną), skydliaukės uždegimas.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Endokrininiai sutrikimai: diabetas (padidėjęs cukraus kiekis kraujyje).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Metabolizmo sutrikimai: dehidracija.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Psichikos sutrikimai: mintys apie savižudybę, haliucinacijos (nenormalus suvokimas), pyktis.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Nervų sistemos sutrikimai: periferinė neuropatija (galūnes įnervuojančių nervų veiklos sutrikimas).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Akių sutrikimai: kraujo išsiliejimas į tinklainę (užpakalinę akies dalį).</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Ausų ir labirintų sutrikimai: apkurtimas.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Kraujagyslių sutrikimai: padidėjęs kraujospūdis.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Kvėpavimo sistemos sutrikimai: švokštimas.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Virškinimo trakto sutrikimai: kraujavimas iš virškinimo trakto, lūpų uždegimas, dantenų uždegimas.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Kepenų sutrikimai: sutrikusi kepenų veikla.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Retas (galintis pasireikšti mažiau nei 1 iš 1000 pacientų) šalutinis poveikis, vartojant pegiliuoto alfa interferono ir ribavirino derinį, yra: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Infekcijos: širdies infekcija, išorinės ausies infekcija.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Kraujo sutrikimai: labai sumažėjęs raudonųjų kraujo kūnelių, baltųjų kraujo kūnelių ir trombocitų skaičius.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Imuninės sistemos sutrikimai: sunki alerginė reakcija, sisteminė raudonoji vilkligė (liga, kai kūną pažeidžia jo paties ląstelės), reumatoidinis artritas (autoimuninė liga).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Psichikos sutrikimai: savižudybė, psichoziniai sutrikimai (sunkūs asmenybės pažeidimai ir pablogėjusi įprasta socialinė veikla).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Nervų sistemos sutrikimai: koma (gili ilgalaikė būklė be sąmonės), priepuoliai, veidinio nervo paralyžius.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Akių sutrikimai: regos nervo uždegimas ir pabrinkimas, tinklainės uždegimas, ragenos opėjimas.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Širdies sutrikimai: širdies priepuolis, širdies veiklos nepakankamumas, širdies skausmas, greitas širdies ritmas, širdies ritmo sutrikimai arba širdiplėvės uždegimas.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Kraujagyslių sutrikimai: kraujo išsiliejimas į smegenis, vaskulitas (kraujagyslių uždegimas).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Kvėpavimo sistemos sutrikimai: intersticinė pneumonija (plaučių uždegimas, nuo kurio mirštama), kraujo krešuliai plaučiuose.</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Virškinimo trakto sutrikimai: skrandžio opa, kasos uždegimas.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Kepenų sutrikimai: kepenų veiklos nepakankamumas, tulžies latako uždegimas, kepenų riebalinė infiltracija.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Skeleto ir raumenų sutrikimai: raumenų uždegimas.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Sužalojimai ar apsinuodijimai: veikliosios medžiagos perdozavimas.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Labai retas (galintis pasireikšti mažiau nei 1 iš 10 000 pacientų) šalutinis poveikis, vartojant pegiliuoto alfa interferono ir ribavirino derinį, yra: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Imuninės sistemos sutrikimai: idiopatinė (arba trombozinė) trombocitopeninė purpura (greičiau atsiranda mėlynių, kraujavimas, sumažėja trombocitų skaičius, išryškėja mažakraujystė ir ypatingas silpnumas).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Akių sutrikimai: regėjimo netekimas.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Nervų sistemos sutrikimai: insultas.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Odos sutrikimai: toksinė epidermio nekrolizė / Stivenso-Džonsono sindromas / daugiaformė eritema (įvairūs daugiau ar mažiau sunkūs bėrimai, kurie gali būti susiję su pūslėmis burnos, nosies, akių ir kitose gleivinėse), angioedema (odos ir gleivinių pabrinkimas).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autoSpaceDE w:val="0"/>
        <w:autoSpaceDN w:val="0"/>
        <w:adjustRightInd w:val="0"/>
        <w:spacing w:after="0" w:line="240" w:lineRule="auto"/>
        <w:rPr>
          <w:rFonts w:ascii="Times New Roman" w:eastAsia="Times New Roman" w:hAnsi="Times New Roman" w:cs="Times New Roman"/>
          <w:lang w:eastAsia="de-AT"/>
        </w:rPr>
      </w:pPr>
      <w:r w:rsidRPr="005E1DC0">
        <w:rPr>
          <w:rFonts w:ascii="Times New Roman" w:eastAsia="Times New Roman" w:hAnsi="Times New Roman" w:cs="Times New Roman"/>
          <w:lang w:eastAsia="de-AT"/>
        </w:rPr>
        <w:t>Nepageidaujami reiškiniai, kurių dažnis nežinomas:</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Kraujo sutrikimai: gryna raudonųjų kraujo kūnelių aplazija (sunki anemijos forma, kai raudonųjų kraujo kūnelių gamyba yra sumažėjusi ar išvis nevyksta); ji gali pasireikšti tokiais simptomais, kaip didelio nuovargio pojūtis ir energijos stoka.</w:t>
      </w:r>
    </w:p>
    <w:p w:rsidR="005E1DC0" w:rsidRPr="005E1DC0" w:rsidRDefault="005E1DC0" w:rsidP="005E1DC0">
      <w:pPr>
        <w:spacing w:after="0" w:line="240" w:lineRule="auto"/>
        <w:rPr>
          <w:rFonts w:ascii="Times New Roman" w:eastAsia="Times New Roman" w:hAnsi="Times New Roman" w:cs="Times New Roman"/>
          <w:iCs/>
          <w:lang w:eastAsia="lt-LT"/>
        </w:rPr>
      </w:pPr>
      <w:r w:rsidRPr="005E1DC0">
        <w:rPr>
          <w:rFonts w:ascii="Times New Roman" w:eastAsia="Times New Roman" w:hAnsi="Times New Roman" w:cs="Times New Roman"/>
          <w:lang w:eastAsia="lt-LT"/>
        </w:rPr>
        <w:t xml:space="preserve">Imuninės sistemos sutrikimai: </w:t>
      </w:r>
      <w:r w:rsidRPr="005E1DC0">
        <w:rPr>
          <w:rFonts w:ascii="Times New Roman" w:eastAsia="Times New Roman" w:hAnsi="Times New Roman" w:cs="Times New Roman"/>
          <w:iCs/>
          <w:lang w:eastAsia="lt-LT"/>
        </w:rPr>
        <w:t>persodintų kepenų ar inksto atmetimo reakcija, Vogt Koyangi Harada sindromas-reta liga, pasireiškianti klausos ir regos praradimu, bei odos pigmentacija.</w:t>
      </w:r>
    </w:p>
    <w:p w:rsidR="005E1DC0" w:rsidRPr="005E1DC0" w:rsidRDefault="005E1DC0" w:rsidP="005E1DC0">
      <w:pPr>
        <w:spacing w:after="0" w:line="240" w:lineRule="auto"/>
        <w:rPr>
          <w:rFonts w:ascii="Times New Roman" w:eastAsia="Times New Roman" w:hAnsi="Times New Roman" w:cs="Times New Roman"/>
          <w:lang w:eastAsia="de-AT"/>
        </w:rPr>
      </w:pPr>
      <w:r w:rsidRPr="005E1DC0">
        <w:rPr>
          <w:rFonts w:ascii="Times New Roman" w:eastAsia="Times New Roman" w:hAnsi="Times New Roman" w:cs="Times New Roman"/>
          <w:lang w:eastAsia="lt-LT"/>
        </w:rPr>
        <w:t>Psichikos sutrikimai: manija (nenormaliai pakilios nuotaikos epizodai) ir bipoliniai sutrikimai (nenormaliai pakilios nuotaikos epizodai, besikaitaliojantys su liūdesiu ar beviltiškumu).</w:t>
      </w:r>
    </w:p>
    <w:p w:rsidR="005E1DC0" w:rsidRPr="005E1DC0" w:rsidRDefault="005E1DC0" w:rsidP="005E1DC0">
      <w:pPr>
        <w:autoSpaceDE w:val="0"/>
        <w:autoSpaceDN w:val="0"/>
        <w:adjustRightInd w:val="0"/>
        <w:spacing w:after="0" w:line="240" w:lineRule="auto"/>
        <w:rPr>
          <w:rFonts w:ascii="Times New Roman" w:eastAsia="Times New Roman" w:hAnsi="Times New Roman" w:cs="Times New Roman"/>
          <w:lang w:eastAsia="de-AT"/>
        </w:rPr>
      </w:pPr>
      <w:r w:rsidRPr="005E1DC0">
        <w:rPr>
          <w:rFonts w:ascii="Times New Roman" w:eastAsia="Times New Roman" w:hAnsi="Times New Roman" w:cs="Times New Roman"/>
          <w:lang w:eastAsia="de-AT"/>
        </w:rPr>
        <w:t>Akių sutrikimai: reta tinklainės atšokos forma, kai į tinklainę patenka skysčio.</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Virškinimo trakto sutrikimai: išeminis kolitas (nepakankama kraujotaka storojoje žarnoje), opinis kolitas (storosios žarnos uždegimas, sąlygojant išopėjimą, dėl ko atsiranda viduriavimas), liežuvio spalvos pokyčiai.</w:t>
      </w: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Skeleto ir raumenų sutrikimai: sunkus raumenų pažeidimas ir skausmas.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Inkstų sutrikimai: inkstai nustoja tinkamai veikę, kiti inkstų ligas rodantys nusiskundimai.</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Jūs esate užsikrėtę abiem virusais - ir HCV, ir ŽIV bei gydomi LAARV (labai aktyviais antiretrovirusiniais vaistais), papildomai prie peginterferono alfa-2a arba interferono alfa-2a paskirtas Copegus gali sukelti mirtiną kepenų veiklos nepakankamumą, periferinę neuropatiją (plaštakų ar pėdų sustingimą, dilgčiojimą ar skausmą), kasos uždegimą (galimi simptomai - skrandžio skausmas, pykinimas ir vėmimas), pieno rūgšties acidozę (padidėjusį pieno rūgšties kiekį organizme, dėl ko rūgštėja kraujas), gripą, plaučių uždegimą, afekto labilumą (nuotaikos kitimus), apatiją (letargiją), ryklės ir gerklų skausmą (užpakalinės burnos pusės ir ryklės skausmą), cheilitą (lūpų džiūvimą ir įtrūkimus), įgytą lipodistrofiją (riebalų padaugėjimą viršutinėje nugaros ir sprando srityje) ir chromaturiją (šlapimo spalvos pakitimą).</w:t>
      </w:r>
    </w:p>
    <w:p w:rsidR="005E1DC0" w:rsidRDefault="005E1DC0" w:rsidP="005E1DC0">
      <w:pPr>
        <w:tabs>
          <w:tab w:val="left" w:pos="567"/>
        </w:tabs>
        <w:spacing w:after="0" w:line="240" w:lineRule="auto"/>
        <w:rPr>
          <w:rFonts w:ascii="Times New Roman" w:eastAsia="Times New Roman" w:hAnsi="Times New Roman" w:cs="Times New Roman"/>
          <w:lang w:eastAsia="lt-LT"/>
        </w:rPr>
      </w:pPr>
    </w:p>
    <w:p w:rsidR="00866DAE" w:rsidRPr="00866DAE" w:rsidRDefault="00866DAE" w:rsidP="00866DAE">
      <w:pPr>
        <w:tabs>
          <w:tab w:val="left" w:pos="567"/>
        </w:tabs>
        <w:spacing w:after="0" w:line="240" w:lineRule="auto"/>
        <w:rPr>
          <w:rFonts w:ascii="Times New Roman" w:eastAsia="Times New Roman" w:hAnsi="Times New Roman" w:cs="Times New Roman"/>
          <w:lang w:eastAsia="lt-LT"/>
        </w:rPr>
      </w:pPr>
      <w:r w:rsidRPr="00866DAE">
        <w:rPr>
          <w:rFonts w:ascii="Times New Roman" w:eastAsia="Times New Roman" w:hAnsi="Times New Roman" w:cs="Times New Roman"/>
          <w:lang w:eastAsia="lt-LT"/>
        </w:rPr>
        <w:t>Šiame skyriuje išvardyti šalutiniai poveikiai buvo pastebėti daugiausia Copegus vartojant kartu su vaistais, kurių sudėtyje yra interferono.</w:t>
      </w:r>
    </w:p>
    <w:p w:rsidR="00866DAE" w:rsidRPr="00866DAE" w:rsidRDefault="00866DAE" w:rsidP="00866DAE">
      <w:pPr>
        <w:tabs>
          <w:tab w:val="left" w:pos="567"/>
        </w:tabs>
        <w:spacing w:after="0" w:line="240" w:lineRule="auto"/>
        <w:rPr>
          <w:rFonts w:ascii="Times New Roman" w:eastAsia="Times New Roman" w:hAnsi="Times New Roman" w:cs="Times New Roman"/>
          <w:lang w:eastAsia="lt-LT"/>
        </w:rPr>
      </w:pPr>
    </w:p>
    <w:p w:rsidR="00866DAE" w:rsidRPr="00866DAE" w:rsidRDefault="00866DAE" w:rsidP="00866DAE">
      <w:pPr>
        <w:tabs>
          <w:tab w:val="left" w:pos="567"/>
        </w:tabs>
        <w:spacing w:after="0" w:line="240" w:lineRule="auto"/>
        <w:rPr>
          <w:rFonts w:ascii="Times New Roman" w:eastAsia="Times New Roman" w:hAnsi="Times New Roman" w:cs="Times New Roman"/>
          <w:lang w:eastAsia="lt-LT"/>
        </w:rPr>
      </w:pPr>
      <w:r w:rsidRPr="00866DAE">
        <w:rPr>
          <w:rFonts w:ascii="Times New Roman" w:eastAsia="Times New Roman" w:hAnsi="Times New Roman" w:cs="Times New Roman"/>
          <w:lang w:eastAsia="lt-LT"/>
        </w:rPr>
        <w:t>Kai klinikinių tyrimų su suaugusiais pacientais metu šis vaistas buvo vartojamas kartu su kitais vaistais hepatitui C gydyti (dar vadinamais tiesiogiai veikiančiais priešvirusiniais vaistais), dažniausiai stebėti šio vaisto šalutiniai poveikiai buvo anemija (mažas eritrocitų skaičius), pykinimas, vėmimas, nuovargis, bendras silpnumas, nemiga (sunku miegoti), kosulys, dusulys, niežėjimas ir bėrimas.</w:t>
      </w:r>
    </w:p>
    <w:p w:rsidR="00866DAE" w:rsidRPr="00866DAE" w:rsidRDefault="00866DAE" w:rsidP="00866DAE">
      <w:pPr>
        <w:tabs>
          <w:tab w:val="left" w:pos="567"/>
        </w:tabs>
        <w:spacing w:after="0" w:line="240" w:lineRule="auto"/>
        <w:rPr>
          <w:rFonts w:ascii="Times New Roman" w:eastAsia="Times New Roman" w:hAnsi="Times New Roman" w:cs="Times New Roman"/>
          <w:lang w:eastAsia="lt-LT"/>
        </w:rPr>
      </w:pPr>
    </w:p>
    <w:p w:rsidR="00866DAE" w:rsidRDefault="00866DAE" w:rsidP="00866DAE">
      <w:pPr>
        <w:tabs>
          <w:tab w:val="left" w:pos="567"/>
        </w:tabs>
        <w:spacing w:after="0" w:line="240" w:lineRule="auto"/>
        <w:rPr>
          <w:rFonts w:ascii="Times New Roman" w:eastAsia="Times New Roman" w:hAnsi="Times New Roman" w:cs="Times New Roman"/>
          <w:lang w:eastAsia="lt-LT"/>
        </w:rPr>
      </w:pPr>
      <w:r w:rsidRPr="00866DAE">
        <w:rPr>
          <w:rFonts w:ascii="Times New Roman" w:eastAsia="Times New Roman" w:hAnsi="Times New Roman" w:cs="Times New Roman"/>
          <w:lang w:eastAsia="lt-LT"/>
        </w:rPr>
        <w:t>Informacijos apie kitų kartu su Copegus vartojamų vaistų šalutinį poveikį taip pat rasite šių vaistų pakuočių lapeliuose.</w:t>
      </w:r>
    </w:p>
    <w:p w:rsidR="00866DAE" w:rsidRPr="005E1DC0" w:rsidRDefault="00866DAE"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Jeigu pasireiškė šalutinis poveikis, įskaitant šiame lapelyje nenurodytą, pasakykite gydytojui arba vaistininkui.</w:t>
      </w:r>
    </w:p>
    <w:p w:rsidR="005E1DC0" w:rsidRPr="005E1DC0" w:rsidRDefault="005E1DC0" w:rsidP="005E1DC0">
      <w:pPr>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ind w:left="540" w:hanging="540"/>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5.</w:t>
      </w:r>
      <w:r w:rsidRPr="005E1DC0">
        <w:rPr>
          <w:rFonts w:ascii="Times New Roman" w:eastAsia="Times New Roman" w:hAnsi="Times New Roman" w:cs="Times New Roman"/>
          <w:b/>
          <w:bCs/>
          <w:lang w:eastAsia="lt-LT"/>
        </w:rPr>
        <w:tab/>
        <w:t>Kaip laikyti Copegus</w:t>
      </w: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lastRenderedPageBreak/>
        <w:t>Šį vaistą laikykite vaikams nepastebimoje ir nepasiekiamoje vietoje.</w:t>
      </w:r>
    </w:p>
    <w:p w:rsidR="005E1DC0" w:rsidRPr="005E1DC0" w:rsidRDefault="005E1DC0" w:rsidP="005E1DC0">
      <w:pPr>
        <w:tabs>
          <w:tab w:val="left" w:pos="567"/>
        </w:tabs>
        <w:spacing w:after="0" w:line="240" w:lineRule="auto"/>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Cs/>
          <w:noProof/>
          <w:lang w:eastAsia="lt-LT"/>
        </w:rPr>
      </w:pPr>
      <w:r w:rsidRPr="005E1DC0">
        <w:rPr>
          <w:rFonts w:ascii="Times New Roman" w:eastAsia="Times New Roman" w:hAnsi="Times New Roman" w:cs="Times New Roman"/>
          <w:iCs/>
          <w:noProof/>
          <w:lang w:eastAsia="lt-LT"/>
        </w:rPr>
        <w:t>Ant dėžutės ir buteliuko po „Tinka iki“ nurodytam tinkamumo laikui pasibaigus, Copegus vartoti negalima. Vaistas tinka vartoti iki paskutinės nurodyto mėnesio dienos.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noProof/>
          <w:lang w:eastAsia="lt-LT"/>
        </w:rPr>
        <w:t xml:space="preserve">Šiam vaistiniam preparatui </w:t>
      </w:r>
      <w:r w:rsidRPr="005E1DC0">
        <w:rPr>
          <w:rFonts w:ascii="Times New Roman" w:eastAsia="Times New Roman" w:hAnsi="Times New Roman" w:cs="Times New Roman"/>
          <w:lang w:eastAsia="lt-LT"/>
        </w:rPr>
        <w:t>specialių laikymo sąlygų nereikia.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iCs/>
          <w:lang w:eastAsia="lt-LT"/>
        </w:rPr>
      </w:pPr>
      <w:r w:rsidRPr="005E1DC0">
        <w:rPr>
          <w:rFonts w:ascii="Times New Roman" w:eastAsia="Times New Roman" w:hAnsi="Times New Roman" w:cs="Times New Roman"/>
          <w:iCs/>
          <w:lang w:eastAsia="lt-LT"/>
        </w:rPr>
        <w:t>Jeigu buteliukas arba pakuotė pažeista, Copegus vartoti negalima.</w:t>
      </w:r>
    </w:p>
    <w:p w:rsidR="005E1DC0" w:rsidRPr="005E1DC0" w:rsidRDefault="005E1DC0" w:rsidP="005E1DC0">
      <w:pPr>
        <w:tabs>
          <w:tab w:val="left" w:pos="567"/>
        </w:tabs>
        <w:spacing w:after="0" w:line="240" w:lineRule="auto"/>
        <w:rPr>
          <w:rFonts w:ascii="Times New Roman" w:eastAsia="Times New Roman" w:hAnsi="Times New Roman" w:cs="Times New Roman"/>
          <w:iCs/>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Vaistų negalima išmesti į kanalizaciją arba su buitinėmis</w:t>
      </w:r>
      <w:r w:rsidRPr="005E1DC0">
        <w:rPr>
          <w:rFonts w:ascii="Times New Roman" w:eastAsia="Times New Roman" w:hAnsi="Times New Roman" w:cs="Times New Roman"/>
          <w:noProof/>
          <w:color w:val="993366"/>
          <w:lang w:eastAsia="lt-LT"/>
        </w:rPr>
        <w:t xml:space="preserve"> </w:t>
      </w:r>
      <w:r w:rsidRPr="005E1DC0">
        <w:rPr>
          <w:rFonts w:ascii="Times New Roman" w:eastAsia="Times New Roman" w:hAnsi="Times New Roman" w:cs="Times New Roman"/>
          <w:noProof/>
          <w:lang w:eastAsia="lt-LT"/>
        </w:rPr>
        <w:t>atliekomis. Kaip išmesti nereikalingus vaistus, klauskite vaistininko. Šios priemonės padės apsaugoti aplinką.</w:t>
      </w:r>
    </w:p>
    <w:p w:rsidR="005E1DC0" w:rsidRPr="005E1DC0" w:rsidRDefault="005E1DC0" w:rsidP="005E1DC0">
      <w:pPr>
        <w:tabs>
          <w:tab w:val="left" w:pos="567"/>
        </w:tabs>
        <w:spacing w:after="0" w:line="240" w:lineRule="auto"/>
        <w:jc w:val="both"/>
        <w:rPr>
          <w:rFonts w:ascii="Times New Roman" w:eastAsia="Times New Roman" w:hAnsi="Times New Roman" w:cs="Times New Roman"/>
          <w:noProof/>
          <w:lang w:eastAsia="lt-LT"/>
        </w:rPr>
      </w:pPr>
    </w:p>
    <w:p w:rsidR="005E1DC0" w:rsidRPr="005E1DC0" w:rsidRDefault="005E1DC0" w:rsidP="005E1DC0">
      <w:pPr>
        <w:spacing w:after="0" w:line="240" w:lineRule="auto"/>
        <w:rPr>
          <w:rFonts w:ascii="Times New Roman" w:eastAsia="Times New Roman" w:hAnsi="Times New Roman" w:cs="Times New Roman"/>
          <w:i/>
          <w:iCs/>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6.</w:t>
      </w:r>
      <w:r w:rsidRPr="005E1DC0">
        <w:rPr>
          <w:rFonts w:ascii="Times New Roman" w:eastAsia="Times New Roman" w:hAnsi="Times New Roman" w:cs="Times New Roman"/>
          <w:b/>
          <w:lang w:eastAsia="lt-LT"/>
        </w:rPr>
        <w:tab/>
        <w:t>Pakuotės turinys ir kita informacija</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ind w:left="540" w:hanging="540"/>
        <w:jc w:val="both"/>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Copegus sudėtis</w:t>
      </w:r>
    </w:p>
    <w:p w:rsidR="005E1DC0" w:rsidRPr="005E1DC0" w:rsidRDefault="005E1DC0" w:rsidP="005E1DC0">
      <w:pPr>
        <w:tabs>
          <w:tab w:val="left" w:pos="567"/>
        </w:tabs>
        <w:spacing w:after="0" w:line="240" w:lineRule="auto"/>
        <w:ind w:left="540" w:hanging="540"/>
        <w:jc w:val="both"/>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Kiekvienoje plėvele dengtoje tabletėje yra 200 mg ribavirino.</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w:t>
      </w:r>
      <w:r w:rsidRPr="005E1DC0">
        <w:rPr>
          <w:rFonts w:ascii="Times New Roman" w:eastAsia="Times New Roman" w:hAnsi="Times New Roman" w:cs="Times New Roman"/>
          <w:lang w:eastAsia="lt-LT"/>
        </w:rPr>
        <w:tab/>
        <w:t>Pagalbinės medžiagos: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b/>
        <w:t>Tabletės branduolys: pregelifikuotas kukurūzų krakmolas, karboksimetilkrakmolo A natrio druska, mikrokristalinė celiuliozė kukurūzų krakmolas, magnio stearatas.</w:t>
      </w:r>
    </w:p>
    <w:p w:rsidR="005E1DC0" w:rsidRPr="005E1DC0" w:rsidRDefault="005E1DC0" w:rsidP="005E1DC0">
      <w:pPr>
        <w:tabs>
          <w:tab w:val="left" w:pos="567"/>
        </w:tabs>
        <w:spacing w:after="0" w:line="240" w:lineRule="auto"/>
        <w:ind w:left="567" w:hanging="567"/>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ab/>
        <w:t>Tabletės plėvelė: hipromeliozė, talkas, titano dioksidas (E171), geltonasis geležies oksidas (E172), raudonasis geležies oksidas (E172), etilceliuliozės vandeninė dispersija, triacetinas.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Copegus išvaizda ir kiekis pakuotėje</w:t>
      </w:r>
    </w:p>
    <w:p w:rsidR="005E1DC0" w:rsidRPr="005E1DC0" w:rsidRDefault="005E1DC0" w:rsidP="005E1DC0">
      <w:pPr>
        <w:keepNext/>
        <w:keepLines/>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keepNext/>
        <w:keepLines/>
        <w:tabs>
          <w:tab w:val="left" w:pos="567"/>
          <w:tab w:val="left" w:pos="6660"/>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Šviesiai rožinės spalvos, plokščios, ovalios, plėvele dengtos tabletės, kurių vienoje pusėje yra žymė „RIB 200”, kitoje – „ROCHE”.</w:t>
      </w:r>
    </w:p>
    <w:p w:rsidR="005E1DC0" w:rsidRPr="005E1DC0" w:rsidRDefault="005E1DC0" w:rsidP="005E1DC0">
      <w:pPr>
        <w:keepNext/>
        <w:keepLines/>
        <w:tabs>
          <w:tab w:val="left" w:pos="567"/>
          <w:tab w:val="left" w:pos="6660"/>
        </w:tabs>
        <w:spacing w:after="0" w:line="240" w:lineRule="auto"/>
        <w:rPr>
          <w:rFonts w:ascii="Times New Roman" w:eastAsia="Times New Roman" w:hAnsi="Times New Roman" w:cs="Times New Roman"/>
          <w:lang w:eastAsia="lt-LT"/>
        </w:rPr>
      </w:pPr>
    </w:p>
    <w:p w:rsidR="005E1DC0" w:rsidRPr="005E1DC0" w:rsidRDefault="005E1DC0" w:rsidP="005E1DC0">
      <w:pPr>
        <w:keepNext/>
        <w:keepLines/>
        <w:tabs>
          <w:tab w:val="left" w:pos="567"/>
        </w:tabs>
        <w:spacing w:after="0" w:line="240" w:lineRule="auto"/>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Copegus 200 mg plėvele dengtos tabletės tiekiamos buteliuose, kuriuose yra po 28, 42, 112 arba 168 tabletes. Gali būti tiekiamos ne visų dydžių pakuotės.</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Registruotojas</w:t>
      </w:r>
    </w:p>
    <w:p w:rsidR="005E1DC0" w:rsidRPr="005E1DC0" w:rsidRDefault="005E1DC0" w:rsidP="005E1DC0">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UAB „Roche Lietuva“</w:t>
      </w:r>
    </w:p>
    <w:p w:rsidR="005E1DC0" w:rsidRPr="005E1DC0" w:rsidRDefault="005E1DC0" w:rsidP="005E1DC0">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J.Jasinskio g. 16b</w:t>
      </w:r>
    </w:p>
    <w:p w:rsidR="005E1DC0" w:rsidRPr="005E1DC0" w:rsidRDefault="005E1DC0" w:rsidP="005E1DC0">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LT-01112 Vilnius</w:t>
      </w:r>
    </w:p>
    <w:p w:rsidR="005E1DC0" w:rsidRPr="005E1DC0" w:rsidRDefault="005E1DC0" w:rsidP="005E1DC0">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Lietuva</w:t>
      </w: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b/>
          <w:bCs/>
          <w:lang w:eastAsia="lt-LT"/>
        </w:rPr>
      </w:pPr>
      <w:r w:rsidRPr="005E1DC0">
        <w:rPr>
          <w:rFonts w:ascii="Times New Roman" w:eastAsia="Times New Roman" w:hAnsi="Times New Roman" w:cs="Times New Roman"/>
          <w:b/>
          <w:bCs/>
          <w:lang w:eastAsia="lt-LT"/>
        </w:rPr>
        <w:t>Gamintojas</w:t>
      </w:r>
    </w:p>
    <w:p w:rsidR="005E1DC0" w:rsidRPr="005E1DC0" w:rsidRDefault="005E1DC0" w:rsidP="005E1DC0">
      <w:pPr>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Roche Pharma AG</w:t>
      </w:r>
    </w:p>
    <w:p w:rsidR="005E1DC0" w:rsidRPr="005E1DC0" w:rsidRDefault="005E1DC0" w:rsidP="005E1DC0">
      <w:pPr>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Emil-Barell-Strasse 1</w:t>
      </w:r>
    </w:p>
    <w:p w:rsidR="005E1DC0" w:rsidRPr="005E1DC0" w:rsidRDefault="005E1DC0" w:rsidP="005E1DC0">
      <w:pPr>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D-79639 Grenzach-Wyhlen</w:t>
      </w:r>
    </w:p>
    <w:p w:rsidR="005E1DC0" w:rsidRPr="005E1DC0" w:rsidRDefault="005E1DC0" w:rsidP="005E1DC0">
      <w:pPr>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Vokietija</w:t>
      </w:r>
    </w:p>
    <w:p w:rsidR="005E1DC0" w:rsidRPr="005E1DC0" w:rsidRDefault="005E1DC0" w:rsidP="005E1DC0">
      <w:pPr>
        <w:tabs>
          <w:tab w:val="left" w:pos="567"/>
        </w:tabs>
        <w:spacing w:after="0" w:line="240" w:lineRule="auto"/>
        <w:jc w:val="both"/>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jc w:val="both"/>
        <w:rPr>
          <w:rFonts w:ascii="Times New Roman" w:eastAsia="Times New Roman" w:hAnsi="Times New Roman" w:cs="Times New Roman"/>
          <w:lang w:eastAsia="lt-LT"/>
        </w:rPr>
      </w:pPr>
    </w:p>
    <w:p w:rsidR="005E1DC0" w:rsidRPr="005E1DC0" w:rsidRDefault="005E1DC0" w:rsidP="005E1DC0">
      <w:pPr>
        <w:spacing w:after="0" w:line="240" w:lineRule="auto"/>
        <w:rPr>
          <w:rFonts w:ascii="Times New Roman" w:eastAsia="Times New Roman" w:hAnsi="Times New Roman" w:cs="Times New Roman"/>
        </w:rPr>
      </w:pPr>
      <w:r w:rsidRPr="005E1DC0">
        <w:rPr>
          <w:rFonts w:ascii="Times New Roman" w:eastAsia="Times New Roman" w:hAnsi="Times New Roman" w:cs="Times New Roman"/>
        </w:rPr>
        <w:t>Jeigu apie šį vaistą norite sužinoti daugiau, kreipkitės į registruotoją.</w:t>
      </w:r>
    </w:p>
    <w:tbl>
      <w:tblPr>
        <w:tblW w:w="4678" w:type="dxa"/>
        <w:tblInd w:w="-34" w:type="dxa"/>
        <w:tblLayout w:type="fixed"/>
        <w:tblLook w:val="0000" w:firstRow="0" w:lastRow="0" w:firstColumn="0" w:lastColumn="0" w:noHBand="0" w:noVBand="0"/>
      </w:tblPr>
      <w:tblGrid>
        <w:gridCol w:w="4678"/>
      </w:tblGrid>
      <w:tr w:rsidR="005E1DC0" w:rsidRPr="005E1DC0" w:rsidTr="00BB1B6B">
        <w:tc>
          <w:tcPr>
            <w:tcW w:w="4678" w:type="dxa"/>
          </w:tcPr>
          <w:p w:rsidR="005E1DC0" w:rsidRPr="005E1DC0" w:rsidRDefault="005E1DC0" w:rsidP="005E1DC0">
            <w:pPr>
              <w:suppressAutoHyphens/>
              <w:spacing w:after="0" w:line="240" w:lineRule="auto"/>
              <w:rPr>
                <w:rFonts w:ascii="Times New Roman" w:eastAsia="Times New Roman" w:hAnsi="Times New Roman" w:cs="Times New Roman"/>
                <w:noProof/>
                <w:lang w:eastAsia="lt-LT"/>
              </w:rPr>
            </w:pPr>
            <w:r w:rsidRPr="005E1DC0">
              <w:rPr>
                <w:rFonts w:ascii="Times New Roman" w:eastAsia="Times New Roman" w:hAnsi="Times New Roman" w:cs="Times New Roman"/>
                <w:noProof/>
                <w:lang w:eastAsia="lt-LT"/>
              </w:rPr>
              <w:t>UAB „Roche Lietuva”</w:t>
            </w:r>
          </w:p>
          <w:p w:rsidR="005E1DC0" w:rsidRPr="005E1DC0" w:rsidRDefault="005E1DC0" w:rsidP="005E1DC0">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J.Jasinskio g. 16b</w:t>
            </w:r>
          </w:p>
          <w:p w:rsidR="005E1DC0" w:rsidRPr="005E1DC0" w:rsidRDefault="005E1DC0" w:rsidP="005E1DC0">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LT-01112 Vilnius</w:t>
            </w:r>
          </w:p>
          <w:p w:rsidR="005E1DC0" w:rsidRPr="005E1DC0" w:rsidRDefault="005E1DC0" w:rsidP="005E1DC0">
            <w:pPr>
              <w:tabs>
                <w:tab w:val="left" w:pos="567"/>
              </w:tabs>
              <w:spacing w:after="0" w:line="240" w:lineRule="auto"/>
              <w:jc w:val="both"/>
              <w:rPr>
                <w:rFonts w:ascii="Times New Roman" w:eastAsia="Times New Roman" w:hAnsi="Times New Roman" w:cs="Times New Roman"/>
                <w:lang w:eastAsia="lt-LT"/>
              </w:rPr>
            </w:pPr>
            <w:r w:rsidRPr="005E1DC0">
              <w:rPr>
                <w:rFonts w:ascii="Times New Roman" w:eastAsia="Times New Roman" w:hAnsi="Times New Roman" w:cs="Times New Roman"/>
                <w:lang w:eastAsia="lt-LT"/>
              </w:rPr>
              <w:t>Tel. +370 5 2546799</w:t>
            </w:r>
          </w:p>
        </w:tc>
      </w:tr>
    </w:tbl>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p>
    <w:p w:rsidR="005E1DC0" w:rsidRPr="005E1DC0" w:rsidRDefault="005E1DC0" w:rsidP="005E1DC0">
      <w:pPr>
        <w:tabs>
          <w:tab w:val="left" w:pos="567"/>
        </w:tabs>
        <w:spacing w:after="0" w:line="240" w:lineRule="auto"/>
        <w:rPr>
          <w:rFonts w:ascii="Times New Roman" w:eastAsia="Times New Roman" w:hAnsi="Times New Roman" w:cs="Times New Roman"/>
          <w:b/>
          <w:lang w:eastAsia="lt-LT"/>
        </w:rPr>
      </w:pPr>
      <w:r w:rsidRPr="005E1DC0">
        <w:rPr>
          <w:rFonts w:ascii="Times New Roman" w:eastAsia="Times New Roman" w:hAnsi="Times New Roman" w:cs="Times New Roman"/>
          <w:b/>
          <w:lang w:eastAsia="lt-LT"/>
        </w:rPr>
        <w:t xml:space="preserve">Šis pakuotės lapelis paskutinį kartą patvirtintas </w:t>
      </w:r>
      <w:r w:rsidR="00A201D4">
        <w:rPr>
          <w:rFonts w:ascii="Times New Roman" w:eastAsia="Times New Roman" w:hAnsi="Times New Roman" w:cs="Times New Roman"/>
          <w:b/>
          <w:lang w:eastAsia="lt-LT"/>
        </w:rPr>
        <w:t>2021-0</w:t>
      </w:r>
      <w:r w:rsidR="00866DAE">
        <w:rPr>
          <w:rFonts w:ascii="Times New Roman" w:eastAsia="Times New Roman" w:hAnsi="Times New Roman" w:cs="Times New Roman"/>
          <w:b/>
          <w:lang w:eastAsia="lt-LT"/>
        </w:rPr>
        <w:t>8</w:t>
      </w:r>
      <w:r w:rsidR="00A201D4">
        <w:rPr>
          <w:rFonts w:ascii="Times New Roman" w:eastAsia="Times New Roman" w:hAnsi="Times New Roman" w:cs="Times New Roman"/>
          <w:b/>
          <w:lang w:eastAsia="lt-LT"/>
        </w:rPr>
        <w:t>-</w:t>
      </w:r>
      <w:r w:rsidR="00866DAE">
        <w:rPr>
          <w:rFonts w:ascii="Times New Roman" w:eastAsia="Times New Roman" w:hAnsi="Times New Roman" w:cs="Times New Roman"/>
          <w:b/>
          <w:lang w:eastAsia="lt-LT"/>
        </w:rPr>
        <w:t>22</w:t>
      </w:r>
      <w:r w:rsidR="00A201D4">
        <w:rPr>
          <w:rFonts w:ascii="Times New Roman" w:eastAsia="Times New Roman" w:hAnsi="Times New Roman" w:cs="Times New Roman"/>
          <w:b/>
          <w:lang w:eastAsia="lt-LT"/>
        </w:rPr>
        <w:t>.</w:t>
      </w:r>
    </w:p>
    <w:p w:rsidR="005E1DC0" w:rsidRPr="005E1DC0" w:rsidRDefault="005E1DC0" w:rsidP="005E1DC0">
      <w:pPr>
        <w:tabs>
          <w:tab w:val="left" w:pos="567"/>
        </w:tabs>
        <w:spacing w:after="0" w:line="240" w:lineRule="auto"/>
        <w:rPr>
          <w:rFonts w:ascii="Times New Roman" w:eastAsia="Times New Roman" w:hAnsi="Times New Roman" w:cs="Times New Roman"/>
          <w:lang w:eastAsia="lt-LT"/>
        </w:rPr>
      </w:pPr>
    </w:p>
    <w:p w:rsidR="005E1DC0" w:rsidRDefault="005E1DC0" w:rsidP="005E1DC0">
      <w:pPr>
        <w:tabs>
          <w:tab w:val="left" w:pos="567"/>
        </w:tabs>
        <w:spacing w:after="0" w:line="240" w:lineRule="auto"/>
        <w:rPr>
          <w:rFonts w:ascii="Times New Roman" w:eastAsia="Calibri" w:hAnsi="Times New Roman" w:cs="Times New Roman"/>
          <w:color w:val="0000FF"/>
          <w:u w:val="single"/>
          <w:lang w:eastAsia="lt-LT"/>
        </w:rPr>
      </w:pPr>
      <w:r w:rsidRPr="005E1DC0">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(VVKT) interneto svetainėje </w:t>
      </w:r>
      <w:hyperlink r:id="rId10" w:history="1">
        <w:r w:rsidRPr="005E1DC0">
          <w:rPr>
            <w:rFonts w:ascii="Times New Roman" w:eastAsia="Calibri" w:hAnsi="Times New Roman" w:cs="Times New Roman"/>
            <w:color w:val="0000FF"/>
            <w:u w:val="single"/>
            <w:lang w:eastAsia="lt-LT"/>
          </w:rPr>
          <w:t>http://www.vvkt.lt/</w:t>
        </w:r>
      </w:hyperlink>
    </w:p>
    <w:p w:rsidR="001A409D" w:rsidRPr="005E1DC0" w:rsidRDefault="001A409D" w:rsidP="00866DAE">
      <w:pPr>
        <w:tabs>
          <w:tab w:val="left" w:pos="567"/>
        </w:tabs>
        <w:spacing w:after="0" w:line="240" w:lineRule="auto"/>
        <w:rPr>
          <w:rFonts w:ascii="Times New Roman" w:eastAsia="Calibri" w:hAnsi="Times New Roman" w:cs="Times New Roman"/>
          <w:color w:val="0000FF"/>
          <w:u w:val="single"/>
          <w:lang w:eastAsia="lt-LT"/>
        </w:rPr>
      </w:pPr>
    </w:p>
    <w:sectPr w:rsidR="001A409D" w:rsidRPr="005E1DC0" w:rsidSect="00BB1B6B">
      <w:headerReference w:type="default" r:id="rId11"/>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9A2" w:rsidRDefault="004A19A2">
      <w:pPr>
        <w:spacing w:after="0" w:line="240" w:lineRule="auto"/>
      </w:pPr>
      <w:r>
        <w:separator/>
      </w:r>
    </w:p>
  </w:endnote>
  <w:endnote w:type="continuationSeparator" w:id="0">
    <w:p w:rsidR="004A19A2" w:rsidRDefault="004A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6B" w:rsidRDefault="00BB1B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rsidR="00BB1B6B" w:rsidRDefault="00BB1B6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6B" w:rsidRDefault="00BB1B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585">
      <w:rPr>
        <w:rStyle w:val="Puslapionumeris"/>
        <w:noProof/>
      </w:rPr>
      <w:t>2</w:t>
    </w:r>
    <w:r>
      <w:rPr>
        <w:rStyle w:val="Puslapionumeris"/>
      </w:rPr>
      <w:fldChar w:fldCharType="end"/>
    </w:r>
  </w:p>
  <w:p w:rsidR="00BB1B6B" w:rsidRDefault="00BB1B6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9A2" w:rsidRDefault="004A19A2">
      <w:pPr>
        <w:spacing w:after="0" w:line="240" w:lineRule="auto"/>
      </w:pPr>
      <w:r>
        <w:separator/>
      </w:r>
    </w:p>
  </w:footnote>
  <w:footnote w:type="continuationSeparator" w:id="0">
    <w:p w:rsidR="004A19A2" w:rsidRDefault="004A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6B" w:rsidRDefault="00BB1B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100C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EAB5B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4E403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7E1D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D4DC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7435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802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5073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D467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CCE4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2C3F2A"/>
    <w:multiLevelType w:val="multilevel"/>
    <w:tmpl w:val="B22E07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B005E5"/>
    <w:multiLevelType w:val="hybridMultilevel"/>
    <w:tmpl w:val="CC7A06C0"/>
    <w:lvl w:ilvl="0" w:tplc="35BAA74E">
      <w:start w:val="1"/>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2525E"/>
    <w:multiLevelType w:val="hybridMultilevel"/>
    <w:tmpl w:val="71AA139E"/>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09559B"/>
    <w:multiLevelType w:val="multilevel"/>
    <w:tmpl w:val="1930AC62"/>
    <w:lvl w:ilvl="0">
      <w:start w:val="1"/>
      <w:numFmt w:val="bullet"/>
      <w:lvlText w:val=""/>
      <w:lvlJc w:val="left"/>
      <w:pPr>
        <w:tabs>
          <w:tab w:val="num" w:pos="720"/>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648E4"/>
    <w:multiLevelType w:val="multilevel"/>
    <w:tmpl w:val="69BCCAC0"/>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971F0A"/>
    <w:multiLevelType w:val="hybridMultilevel"/>
    <w:tmpl w:val="1970493A"/>
    <w:lvl w:ilvl="0" w:tplc="990E41F2">
      <w:start w:val="1"/>
      <w:numFmt w:val="bullet"/>
      <w:lvlText w:val=""/>
      <w:lvlJc w:val="left"/>
      <w:pPr>
        <w:tabs>
          <w:tab w:val="num" w:pos="567"/>
        </w:tabs>
        <w:ind w:left="454" w:hanging="454"/>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F73D0A"/>
    <w:multiLevelType w:val="hybridMultilevel"/>
    <w:tmpl w:val="B22E07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9D62E2"/>
    <w:multiLevelType w:val="multilevel"/>
    <w:tmpl w:val="1970493A"/>
    <w:lvl w:ilvl="0">
      <w:start w:val="1"/>
      <w:numFmt w:val="bullet"/>
      <w:lvlText w:val=""/>
      <w:lvlJc w:val="left"/>
      <w:pPr>
        <w:tabs>
          <w:tab w:val="num" w:pos="567"/>
        </w:tabs>
        <w:ind w:left="454" w:hanging="45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3B0EBF"/>
    <w:multiLevelType w:val="hybridMultilevel"/>
    <w:tmpl w:val="B622D57A"/>
    <w:lvl w:ilvl="0" w:tplc="E96EAAEC">
      <w:start w:val="1"/>
      <w:numFmt w:val="bullet"/>
      <w:lvlText w:val=""/>
      <w:lvlJc w:val="left"/>
      <w:pPr>
        <w:tabs>
          <w:tab w:val="num" w:pos="720"/>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3A4907"/>
    <w:multiLevelType w:val="hybridMultilevel"/>
    <w:tmpl w:val="907EA160"/>
    <w:lvl w:ilvl="0" w:tplc="E96EAAEC">
      <w:start w:val="1"/>
      <w:numFmt w:val="bullet"/>
      <w:lvlText w:val=""/>
      <w:lvlJc w:val="left"/>
      <w:pPr>
        <w:tabs>
          <w:tab w:val="num" w:pos="720"/>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7B45A6"/>
    <w:multiLevelType w:val="hybridMultilevel"/>
    <w:tmpl w:val="5A444276"/>
    <w:lvl w:ilvl="0" w:tplc="608C3888">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7129B9"/>
    <w:multiLevelType w:val="hybridMultilevel"/>
    <w:tmpl w:val="D6C4B18C"/>
    <w:lvl w:ilvl="0" w:tplc="0226CC2A">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E24575"/>
    <w:multiLevelType w:val="singleLevel"/>
    <w:tmpl w:val="AA5ADB5A"/>
    <w:lvl w:ilvl="0">
      <w:start w:val="1"/>
      <w:numFmt w:val="decimal"/>
      <w:lvlText w:val="%1."/>
      <w:lvlJc w:val="left"/>
      <w:pPr>
        <w:tabs>
          <w:tab w:val="num" w:pos="570"/>
        </w:tabs>
        <w:ind w:left="570" w:hanging="570"/>
      </w:pPr>
      <w:rPr>
        <w:rFonts w:cs="Times New Roman" w:hint="default"/>
      </w:rPr>
    </w:lvl>
  </w:abstractNum>
  <w:abstractNum w:abstractNumId="24" w15:restartNumberingAfterBreak="0">
    <w:nsid w:val="38C22602"/>
    <w:multiLevelType w:val="hybridMultilevel"/>
    <w:tmpl w:val="CB065CDC"/>
    <w:lvl w:ilvl="0" w:tplc="BE48659A">
      <w:start w:val="1"/>
      <w:numFmt w:val="bullet"/>
      <w:lvlText w:val=""/>
      <w:lvlJc w:val="left"/>
      <w:pPr>
        <w:tabs>
          <w:tab w:val="num" w:pos="567"/>
        </w:tabs>
        <w:ind w:left="454" w:hanging="454"/>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FD11D7"/>
    <w:multiLevelType w:val="hybridMultilevel"/>
    <w:tmpl w:val="0D4EAD6C"/>
    <w:lvl w:ilvl="0" w:tplc="2400556C">
      <w:start w:val="1"/>
      <w:numFmt w:val="bullet"/>
      <w:lvlText w:val=""/>
      <w:lvlJc w:val="left"/>
      <w:pPr>
        <w:tabs>
          <w:tab w:val="num" w:pos="720"/>
        </w:tabs>
        <w:ind w:left="720" w:hanging="363"/>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97B2C"/>
    <w:multiLevelType w:val="hybridMultilevel"/>
    <w:tmpl w:val="1930AC62"/>
    <w:lvl w:ilvl="0" w:tplc="E96EAAEC">
      <w:start w:val="1"/>
      <w:numFmt w:val="bullet"/>
      <w:lvlText w:val=""/>
      <w:lvlJc w:val="left"/>
      <w:pPr>
        <w:tabs>
          <w:tab w:val="num" w:pos="720"/>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EA4D88"/>
    <w:multiLevelType w:val="hybridMultilevel"/>
    <w:tmpl w:val="70F499CA"/>
    <w:lvl w:ilvl="0" w:tplc="A2122F3C">
      <w:start w:val="10"/>
      <w:numFmt w:val="decimal"/>
      <w:lvlText w:val="%1."/>
      <w:lvlJc w:val="left"/>
      <w:pPr>
        <w:tabs>
          <w:tab w:val="num" w:pos="1065"/>
        </w:tabs>
        <w:ind w:left="1065" w:hanging="70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876E53"/>
    <w:multiLevelType w:val="hybridMultilevel"/>
    <w:tmpl w:val="5FA4777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51B6B"/>
    <w:multiLevelType w:val="hybridMultilevel"/>
    <w:tmpl w:val="20A253F8"/>
    <w:lvl w:ilvl="0" w:tplc="C64E1428">
      <w:start w:val="5"/>
      <w:numFmt w:val="bullet"/>
      <w:lvlText w:val="-"/>
      <w:lvlJc w:val="left"/>
      <w:pPr>
        <w:tabs>
          <w:tab w:val="num" w:pos="567"/>
        </w:tabs>
        <w:ind w:left="567"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9F78F2"/>
    <w:multiLevelType w:val="hybridMultilevel"/>
    <w:tmpl w:val="59F8095A"/>
    <w:lvl w:ilvl="0" w:tplc="84DC6F66">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7431B"/>
    <w:multiLevelType w:val="hybridMultilevel"/>
    <w:tmpl w:val="69BCCAC0"/>
    <w:lvl w:ilvl="0" w:tplc="0226CC2A">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EA04C4"/>
    <w:multiLevelType w:val="hybridMultilevel"/>
    <w:tmpl w:val="E7EA84D6"/>
    <w:lvl w:ilvl="0" w:tplc="E96EAAEC">
      <w:start w:val="1"/>
      <w:numFmt w:val="bullet"/>
      <w:lvlText w:val=""/>
      <w:lvlJc w:val="left"/>
      <w:pPr>
        <w:tabs>
          <w:tab w:val="num" w:pos="720"/>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1794D"/>
    <w:multiLevelType w:val="hybridMultilevel"/>
    <w:tmpl w:val="0B16C36C"/>
    <w:lvl w:ilvl="0" w:tplc="3B0C88E4">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D833E7"/>
    <w:multiLevelType w:val="hybridMultilevel"/>
    <w:tmpl w:val="3EC0B95E"/>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0110EC6"/>
    <w:multiLevelType w:val="hybridMultilevel"/>
    <w:tmpl w:val="036EF3C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F44A4"/>
    <w:multiLevelType w:val="hybridMultilevel"/>
    <w:tmpl w:val="0270F87E"/>
    <w:lvl w:ilvl="0" w:tplc="0226CC2A">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E55DE1"/>
    <w:multiLevelType w:val="hybridMultilevel"/>
    <w:tmpl w:val="60702966"/>
    <w:lvl w:ilvl="0" w:tplc="C64E1428">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D00C8"/>
    <w:multiLevelType w:val="hybridMultilevel"/>
    <w:tmpl w:val="7076B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702B23"/>
    <w:multiLevelType w:val="multilevel"/>
    <w:tmpl w:val="59F8095A"/>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E79E4"/>
    <w:multiLevelType w:val="hybridMultilevel"/>
    <w:tmpl w:val="D6D08304"/>
    <w:lvl w:ilvl="0" w:tplc="A5CADD6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A6164B"/>
    <w:multiLevelType w:val="hybridMultilevel"/>
    <w:tmpl w:val="8BAA84C2"/>
    <w:lvl w:ilvl="0" w:tplc="B00C5A30">
      <w:start w:val="1"/>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00D28"/>
    <w:multiLevelType w:val="hybridMultilevel"/>
    <w:tmpl w:val="4E1A9C08"/>
    <w:lvl w:ilvl="0" w:tplc="FD788292">
      <w:start w:val="1"/>
      <w:numFmt w:val="upperLetter"/>
      <w:lvlText w:val="%1."/>
      <w:lvlJc w:val="left"/>
      <w:pPr>
        <w:ind w:left="5670" w:hanging="5670"/>
      </w:pPr>
      <w:rPr>
        <w:rFonts w:hint="default"/>
        <w:b/>
      </w:rPr>
    </w:lvl>
    <w:lvl w:ilvl="1" w:tplc="C988F3B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41"/>
  </w:num>
  <w:num w:numId="2">
    <w:abstractNumId w:val="42"/>
  </w:num>
  <w:num w:numId="3">
    <w:abstractNumId w:val="10"/>
    <w:lvlOverride w:ilvl="0">
      <w:lvl w:ilvl="0">
        <w:start w:val="1"/>
        <w:numFmt w:val="bullet"/>
        <w:lvlText w:val="-"/>
        <w:legacy w:legacy="1" w:legacySpace="0" w:legacyIndent="360"/>
        <w:lvlJc w:val="left"/>
        <w:pPr>
          <w:ind w:left="360" w:hanging="360"/>
        </w:pPr>
      </w:lvl>
    </w:lvlOverride>
  </w:num>
  <w:num w:numId="4">
    <w:abstractNumId w:val="16"/>
  </w:num>
  <w:num w:numId="5">
    <w:abstractNumId w:val="18"/>
  </w:num>
  <w:num w:numId="6">
    <w:abstractNumId w:val="24"/>
  </w:num>
  <w:num w:numId="7">
    <w:abstractNumId w:val="32"/>
  </w:num>
  <w:num w:numId="8">
    <w:abstractNumId w:val="19"/>
  </w:num>
  <w:num w:numId="9">
    <w:abstractNumId w:val="20"/>
  </w:num>
  <w:num w:numId="10">
    <w:abstractNumId w:val="26"/>
  </w:num>
  <w:num w:numId="11">
    <w:abstractNumId w:val="14"/>
  </w:num>
  <w:num w:numId="12">
    <w:abstractNumId w:val="29"/>
  </w:num>
  <w:num w:numId="13">
    <w:abstractNumId w:val="38"/>
  </w:num>
  <w:num w:numId="14">
    <w:abstractNumId w:val="1"/>
  </w:num>
  <w:num w:numId="15">
    <w:abstractNumId w:val="23"/>
  </w:num>
  <w:num w:numId="16">
    <w:abstractNumId w:val="34"/>
  </w:num>
  <w:num w:numId="17">
    <w:abstractNumId w:val="28"/>
  </w:num>
  <w:num w:numId="18">
    <w:abstractNumId w:val="13"/>
  </w:num>
  <w:num w:numId="19">
    <w:abstractNumId w:val="36"/>
  </w:num>
  <w:num w:numId="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7"/>
  </w:num>
  <w:num w:numId="22">
    <w:abstractNumId w:val="11"/>
  </w:num>
  <w:num w:numId="23">
    <w:abstractNumId w:val="30"/>
  </w:num>
  <w:num w:numId="24">
    <w:abstractNumId w:val="40"/>
  </w:num>
  <w:num w:numId="25">
    <w:abstractNumId w:val="22"/>
  </w:num>
  <w:num w:numId="26">
    <w:abstractNumId w:val="12"/>
  </w:num>
  <w:num w:numId="27">
    <w:abstractNumId w:val="37"/>
  </w:num>
  <w:num w:numId="28">
    <w:abstractNumId w:val="31"/>
  </w:num>
  <w:num w:numId="29">
    <w:abstractNumId w:val="15"/>
  </w:num>
  <w:num w:numId="30">
    <w:abstractNumId w:val="21"/>
  </w:num>
  <w:num w:numId="31">
    <w:abstractNumId w:val="27"/>
  </w:num>
  <w:num w:numId="32">
    <w:abstractNumId w:val="35"/>
  </w:num>
  <w:num w:numId="33">
    <w:abstractNumId w:val="25"/>
  </w:num>
  <w:num w:numId="34">
    <w:abstractNumId w:val="33"/>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0"/>
  </w:num>
  <w:num w:numId="44">
    <w:abstractNumId w:val="10"/>
    <w:lvlOverride w:ilvl="0">
      <w:lvl w:ilvl="0">
        <w:start w:val="4"/>
        <w:numFmt w:val="bullet"/>
        <w:lvlText w:val="-"/>
        <w:legacy w:legacy="1" w:legacySpace="0" w:legacyIndent="583"/>
        <w:lvlJc w:val="left"/>
        <w:pPr>
          <w:ind w:left="583" w:hanging="583"/>
        </w:pPr>
        <w:rPr>
          <w:b/>
        </w:rPr>
      </w:lvl>
    </w:lvlOverride>
  </w:num>
  <w:num w:numId="45">
    <w:abstractNumId w:val="39"/>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C0"/>
    <w:rsid w:val="001A409D"/>
    <w:rsid w:val="00210C20"/>
    <w:rsid w:val="002660C2"/>
    <w:rsid w:val="00314A5F"/>
    <w:rsid w:val="003243CC"/>
    <w:rsid w:val="004A19A2"/>
    <w:rsid w:val="00556074"/>
    <w:rsid w:val="005E1DC0"/>
    <w:rsid w:val="0078649E"/>
    <w:rsid w:val="00866DAE"/>
    <w:rsid w:val="00960259"/>
    <w:rsid w:val="00A201D4"/>
    <w:rsid w:val="00BB1B6B"/>
    <w:rsid w:val="00CF3585"/>
    <w:rsid w:val="00D0173A"/>
    <w:rsid w:val="00D62911"/>
    <w:rsid w:val="00EE3F9F"/>
    <w:rsid w:val="00F150A9"/>
    <w:rsid w:val="00F3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948C1-AA03-492A-BAFA-517E2B63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5E1DC0"/>
    <w:pPr>
      <w:keepNext/>
      <w:spacing w:after="0" w:line="240" w:lineRule="auto"/>
      <w:outlineLvl w:val="0"/>
    </w:pPr>
    <w:rPr>
      <w:rFonts w:ascii="Times New Roman" w:eastAsia="Calibri" w:hAnsi="Times New Roman" w:cs="Times New Roman"/>
      <w:b/>
      <w:szCs w:val="20"/>
      <w:lang w:eastAsia="lt-LT"/>
    </w:rPr>
  </w:style>
  <w:style w:type="paragraph" w:styleId="Antrat2">
    <w:name w:val="heading 2"/>
    <w:basedOn w:val="prastasis"/>
    <w:next w:val="prastasis"/>
    <w:link w:val="Antrat2Diagrama"/>
    <w:autoRedefine/>
    <w:qFormat/>
    <w:rsid w:val="005E1DC0"/>
    <w:pPr>
      <w:keepNext/>
      <w:spacing w:after="0" w:line="240" w:lineRule="auto"/>
      <w:outlineLvl w:val="1"/>
    </w:pPr>
    <w:rPr>
      <w:rFonts w:ascii="Times New Roman" w:eastAsia="Calibri" w:hAnsi="Times New Roman" w:cs="Times New Roman"/>
      <w:b/>
      <w:szCs w:val="20"/>
      <w:lang w:eastAsia="lt-LT"/>
    </w:rPr>
  </w:style>
  <w:style w:type="paragraph" w:styleId="Antrat3">
    <w:name w:val="heading 3"/>
    <w:basedOn w:val="prastasis"/>
    <w:next w:val="prastasis"/>
    <w:link w:val="Antrat3Diagrama"/>
    <w:autoRedefine/>
    <w:qFormat/>
    <w:rsid w:val="005E1DC0"/>
    <w:pPr>
      <w:keepNext/>
      <w:spacing w:after="0" w:line="240" w:lineRule="auto"/>
      <w:outlineLvl w:val="2"/>
    </w:pPr>
    <w:rPr>
      <w:rFonts w:ascii="Times New Roman" w:eastAsia="Calibri" w:hAnsi="Times New Roman" w:cs="Times New Roman"/>
      <w:b/>
      <w:bCs/>
      <w:iCs/>
      <w:lang w:eastAsia="lt-LT"/>
    </w:rPr>
  </w:style>
  <w:style w:type="paragraph" w:styleId="Antrat4">
    <w:name w:val="heading 4"/>
    <w:basedOn w:val="prastasis"/>
    <w:next w:val="prastasis"/>
    <w:link w:val="Antrat4Diagrama"/>
    <w:qFormat/>
    <w:rsid w:val="005E1DC0"/>
    <w:pPr>
      <w:keepNext/>
      <w:spacing w:after="0" w:line="240" w:lineRule="auto"/>
      <w:jc w:val="both"/>
      <w:outlineLvl w:val="3"/>
    </w:pPr>
    <w:rPr>
      <w:rFonts w:ascii="Times New Roman" w:eastAsia="Calibri" w:hAnsi="Times New Roman" w:cs="Times New Roman"/>
      <w:szCs w:val="20"/>
      <w:u w:val="single"/>
      <w:lang w:eastAsia="lt-LT"/>
    </w:rPr>
  </w:style>
  <w:style w:type="paragraph" w:styleId="Antrat5">
    <w:name w:val="heading 5"/>
    <w:basedOn w:val="prastasis"/>
    <w:next w:val="prastasis"/>
    <w:link w:val="Antrat5Diagrama"/>
    <w:qFormat/>
    <w:rsid w:val="005E1DC0"/>
    <w:pPr>
      <w:spacing w:before="240" w:after="60" w:line="240" w:lineRule="auto"/>
      <w:outlineLvl w:val="4"/>
    </w:pPr>
    <w:rPr>
      <w:rFonts w:ascii="Times New Roman" w:eastAsia="Calibri" w:hAnsi="Times New Roman" w:cs="Times New Roman"/>
      <w:b/>
      <w:bCs/>
      <w:i/>
      <w:iCs/>
      <w:sz w:val="26"/>
      <w:szCs w:val="26"/>
      <w:lang w:eastAsia="lt-LT"/>
    </w:rPr>
  </w:style>
  <w:style w:type="paragraph" w:styleId="Antrat6">
    <w:name w:val="heading 6"/>
    <w:basedOn w:val="prastasis"/>
    <w:next w:val="prastasis"/>
    <w:link w:val="Antrat6Diagrama"/>
    <w:qFormat/>
    <w:rsid w:val="005E1DC0"/>
    <w:pPr>
      <w:spacing w:before="240" w:after="60" w:line="240" w:lineRule="auto"/>
      <w:outlineLvl w:val="5"/>
    </w:pPr>
    <w:rPr>
      <w:rFonts w:ascii="Times New Roman" w:eastAsia="Calibri" w:hAnsi="Times New Roman" w:cs="Times New Roman"/>
      <w:b/>
      <w:bCs/>
      <w:lang w:eastAsia="lt-LT"/>
    </w:rPr>
  </w:style>
  <w:style w:type="paragraph" w:styleId="Antrat7">
    <w:name w:val="heading 7"/>
    <w:basedOn w:val="prastasis"/>
    <w:next w:val="prastasis"/>
    <w:link w:val="Antrat7Diagrama"/>
    <w:qFormat/>
    <w:rsid w:val="005E1DC0"/>
    <w:pPr>
      <w:spacing w:before="240" w:after="60" w:line="240" w:lineRule="auto"/>
      <w:outlineLvl w:val="6"/>
    </w:pPr>
    <w:rPr>
      <w:rFonts w:ascii="Times New Roman" w:eastAsia="Calibri" w:hAnsi="Times New Roman" w:cs="Times New Roman"/>
      <w:sz w:val="24"/>
      <w:szCs w:val="24"/>
      <w:lang w:eastAsia="lt-LT"/>
    </w:rPr>
  </w:style>
  <w:style w:type="paragraph" w:styleId="Antrat8">
    <w:name w:val="heading 8"/>
    <w:basedOn w:val="prastasis"/>
    <w:next w:val="prastasis"/>
    <w:link w:val="Antrat8Diagrama"/>
    <w:qFormat/>
    <w:rsid w:val="005E1DC0"/>
    <w:pPr>
      <w:spacing w:before="240" w:after="60" w:line="240" w:lineRule="auto"/>
      <w:outlineLvl w:val="7"/>
    </w:pPr>
    <w:rPr>
      <w:rFonts w:ascii="Times New Roman" w:eastAsia="Calibri" w:hAnsi="Times New Roman" w:cs="Times New Roman"/>
      <w:i/>
      <w:iCs/>
      <w:sz w:val="24"/>
      <w:szCs w:val="24"/>
      <w:lang w:eastAsia="lt-LT"/>
    </w:rPr>
  </w:style>
  <w:style w:type="paragraph" w:styleId="Antrat9">
    <w:name w:val="heading 9"/>
    <w:basedOn w:val="prastasis"/>
    <w:next w:val="prastasis"/>
    <w:link w:val="Antrat9Diagrama"/>
    <w:qFormat/>
    <w:rsid w:val="005E1DC0"/>
    <w:pPr>
      <w:spacing w:before="240" w:after="60" w:line="240" w:lineRule="auto"/>
      <w:outlineLvl w:val="8"/>
    </w:pPr>
    <w:rPr>
      <w:rFonts w:ascii="Arial" w:eastAsia="Calibri"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E1DC0"/>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5E1DC0"/>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5E1DC0"/>
    <w:rPr>
      <w:rFonts w:ascii="Times New Roman" w:eastAsia="Calibri" w:hAnsi="Times New Roman" w:cs="Times New Roman"/>
      <w:b/>
      <w:bCs/>
      <w:iCs/>
      <w:lang w:eastAsia="lt-LT"/>
    </w:rPr>
  </w:style>
  <w:style w:type="character" w:customStyle="1" w:styleId="Antrat4Diagrama">
    <w:name w:val="Antraštė 4 Diagrama"/>
    <w:basedOn w:val="Numatytasispastraiposriftas"/>
    <w:link w:val="Antrat4"/>
    <w:rsid w:val="005E1DC0"/>
    <w:rPr>
      <w:rFonts w:ascii="Times New Roman" w:eastAsia="Calibri" w:hAnsi="Times New Roman" w:cs="Times New Roman"/>
      <w:szCs w:val="20"/>
      <w:u w:val="single"/>
      <w:lang w:eastAsia="lt-LT"/>
    </w:rPr>
  </w:style>
  <w:style w:type="character" w:customStyle="1" w:styleId="Antrat5Diagrama">
    <w:name w:val="Antraštė 5 Diagrama"/>
    <w:basedOn w:val="Numatytasispastraiposriftas"/>
    <w:link w:val="Antrat5"/>
    <w:rsid w:val="005E1DC0"/>
    <w:rPr>
      <w:rFonts w:ascii="Times New Roman" w:eastAsia="Calibri" w:hAnsi="Times New Roman" w:cs="Times New Roman"/>
      <w:b/>
      <w:bCs/>
      <w:i/>
      <w:iCs/>
      <w:sz w:val="26"/>
      <w:szCs w:val="26"/>
      <w:lang w:eastAsia="lt-LT"/>
    </w:rPr>
  </w:style>
  <w:style w:type="character" w:customStyle="1" w:styleId="Antrat6Diagrama">
    <w:name w:val="Antraštė 6 Diagrama"/>
    <w:basedOn w:val="Numatytasispastraiposriftas"/>
    <w:link w:val="Antrat6"/>
    <w:rsid w:val="005E1DC0"/>
    <w:rPr>
      <w:rFonts w:ascii="Times New Roman" w:eastAsia="Calibri" w:hAnsi="Times New Roman" w:cs="Times New Roman"/>
      <w:b/>
      <w:bCs/>
      <w:lang w:eastAsia="lt-LT"/>
    </w:rPr>
  </w:style>
  <w:style w:type="character" w:customStyle="1" w:styleId="Antrat7Diagrama">
    <w:name w:val="Antraštė 7 Diagrama"/>
    <w:basedOn w:val="Numatytasispastraiposriftas"/>
    <w:link w:val="Antrat7"/>
    <w:rsid w:val="005E1DC0"/>
    <w:rPr>
      <w:rFonts w:ascii="Times New Roman" w:eastAsia="Calibri" w:hAnsi="Times New Roman" w:cs="Times New Roman"/>
      <w:sz w:val="24"/>
      <w:szCs w:val="24"/>
      <w:lang w:eastAsia="lt-LT"/>
    </w:rPr>
  </w:style>
  <w:style w:type="character" w:customStyle="1" w:styleId="Antrat8Diagrama">
    <w:name w:val="Antraštė 8 Diagrama"/>
    <w:basedOn w:val="Numatytasispastraiposriftas"/>
    <w:link w:val="Antrat8"/>
    <w:rsid w:val="005E1DC0"/>
    <w:rPr>
      <w:rFonts w:ascii="Times New Roman" w:eastAsia="Calibri" w:hAnsi="Times New Roman" w:cs="Times New Roman"/>
      <w:i/>
      <w:iCs/>
      <w:sz w:val="24"/>
      <w:szCs w:val="24"/>
      <w:lang w:eastAsia="lt-LT"/>
    </w:rPr>
  </w:style>
  <w:style w:type="character" w:customStyle="1" w:styleId="Antrat9Diagrama">
    <w:name w:val="Antraštė 9 Diagrama"/>
    <w:basedOn w:val="Numatytasispastraiposriftas"/>
    <w:link w:val="Antrat9"/>
    <w:rsid w:val="005E1DC0"/>
    <w:rPr>
      <w:rFonts w:ascii="Arial" w:eastAsia="Calibri" w:hAnsi="Arial" w:cs="Arial"/>
      <w:lang w:eastAsia="lt-LT"/>
    </w:rPr>
  </w:style>
  <w:style w:type="numbering" w:customStyle="1" w:styleId="NoList1">
    <w:name w:val="No List1"/>
    <w:next w:val="Sraonra"/>
    <w:uiPriority w:val="99"/>
    <w:semiHidden/>
    <w:unhideWhenUsed/>
    <w:rsid w:val="005E1DC0"/>
  </w:style>
  <w:style w:type="paragraph" w:styleId="Debesliotekstas">
    <w:name w:val="Balloon Text"/>
    <w:basedOn w:val="prastasis"/>
    <w:link w:val="DebesliotekstasDiagrama"/>
    <w:semiHidden/>
    <w:rsid w:val="005E1DC0"/>
    <w:pPr>
      <w:spacing w:after="0" w:line="240" w:lineRule="auto"/>
    </w:pPr>
    <w:rPr>
      <w:sz w:val="16"/>
      <w:lang w:val="en-US" w:eastAsia="ja-JP"/>
    </w:rPr>
  </w:style>
  <w:style w:type="character" w:customStyle="1" w:styleId="DebesliotekstasDiagrama">
    <w:name w:val="Debesėlio tekstas Diagrama"/>
    <w:basedOn w:val="Numatytasispastraiposriftas"/>
    <w:link w:val="Debesliotekstas"/>
    <w:semiHidden/>
    <w:rsid w:val="005E1DC0"/>
    <w:rPr>
      <w:sz w:val="16"/>
      <w:lang w:val="en-US" w:eastAsia="ja-JP"/>
    </w:rPr>
  </w:style>
  <w:style w:type="numbering" w:customStyle="1" w:styleId="Sraonra1">
    <w:name w:val="Sąrašo nėra1"/>
    <w:next w:val="Sraonra"/>
    <w:semiHidden/>
    <w:unhideWhenUsed/>
    <w:rsid w:val="005E1DC0"/>
  </w:style>
  <w:style w:type="numbering" w:customStyle="1" w:styleId="Sraonra11">
    <w:name w:val="Sąrašo nėra11"/>
    <w:next w:val="Sraonra"/>
    <w:semiHidden/>
    <w:rsid w:val="005E1DC0"/>
  </w:style>
  <w:style w:type="paragraph" w:styleId="Pagrindinistekstas">
    <w:name w:val="Body Text"/>
    <w:basedOn w:val="prastasis"/>
    <w:link w:val="PagrindinistekstasDiagrama"/>
    <w:rsid w:val="005E1DC0"/>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rsid w:val="005E1DC0"/>
    <w:rPr>
      <w:rFonts w:ascii="Times New Roman" w:eastAsia="Calibri" w:hAnsi="Times New Roman" w:cs="Times New Roman"/>
      <w:szCs w:val="20"/>
      <w:lang w:eastAsia="lt-LT"/>
    </w:rPr>
  </w:style>
  <w:style w:type="paragraph" w:styleId="Porat">
    <w:name w:val="footer"/>
    <w:basedOn w:val="prastasis"/>
    <w:link w:val="PoratDiagrama"/>
    <w:rsid w:val="005E1DC0"/>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rsid w:val="005E1DC0"/>
    <w:rPr>
      <w:rFonts w:ascii="Times New Roman" w:eastAsia="Calibri" w:hAnsi="Times New Roman" w:cs="Times New Roman"/>
      <w:szCs w:val="20"/>
      <w:lang w:eastAsia="lt-LT"/>
    </w:rPr>
  </w:style>
  <w:style w:type="character" w:styleId="Puslapionumeris">
    <w:name w:val="page number"/>
    <w:rsid w:val="005E1DC0"/>
    <w:rPr>
      <w:rFonts w:cs="Times New Roman"/>
    </w:rPr>
  </w:style>
  <w:style w:type="paragraph" w:styleId="Pavadinimas">
    <w:name w:val="Title"/>
    <w:basedOn w:val="prastasis"/>
    <w:link w:val="PavadinimasDiagrama"/>
    <w:autoRedefine/>
    <w:qFormat/>
    <w:rsid w:val="005E1DC0"/>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5E1DC0"/>
    <w:rPr>
      <w:rFonts w:ascii="Times New Roman" w:eastAsia="Calibri" w:hAnsi="Times New Roman" w:cs="Times New Roman"/>
      <w:b/>
      <w:kern w:val="28"/>
      <w:szCs w:val="20"/>
      <w:lang w:eastAsia="lt-LT"/>
    </w:rPr>
  </w:style>
  <w:style w:type="character" w:styleId="Hipersaitas">
    <w:name w:val="Hyperlink"/>
    <w:rsid w:val="005E1DC0"/>
    <w:rPr>
      <w:rFonts w:cs="Times New Roman"/>
      <w:color w:val="0000FF"/>
      <w:u w:val="single"/>
    </w:rPr>
  </w:style>
  <w:style w:type="paragraph" w:styleId="Pagrindinistekstas2">
    <w:name w:val="Body Text 2"/>
    <w:basedOn w:val="prastasis"/>
    <w:link w:val="Pagrindinistekstas2Diagrama"/>
    <w:rsid w:val="005E1DC0"/>
    <w:pPr>
      <w:spacing w:after="120" w:line="480" w:lineRule="auto"/>
    </w:pPr>
    <w:rPr>
      <w:rFonts w:ascii="Times New Roman" w:eastAsia="Calibri" w:hAnsi="Times New Roman" w:cs="Times New Roman"/>
      <w:szCs w:val="20"/>
      <w:lang w:eastAsia="lt-LT"/>
    </w:rPr>
  </w:style>
  <w:style w:type="character" w:customStyle="1" w:styleId="Pagrindinistekstas2Diagrama">
    <w:name w:val="Pagrindinis tekstas 2 Diagrama"/>
    <w:basedOn w:val="Numatytasispastraiposriftas"/>
    <w:link w:val="Pagrindinistekstas2"/>
    <w:rsid w:val="005E1DC0"/>
    <w:rPr>
      <w:rFonts w:ascii="Times New Roman" w:eastAsia="Calibri" w:hAnsi="Times New Roman" w:cs="Times New Roman"/>
      <w:szCs w:val="20"/>
      <w:lang w:eastAsia="lt-LT"/>
    </w:rPr>
  </w:style>
  <w:style w:type="paragraph" w:customStyle="1" w:styleId="TextTi10">
    <w:name w:val="Text:Ti10"/>
    <w:basedOn w:val="prastasis"/>
    <w:rsid w:val="005E1DC0"/>
    <w:pPr>
      <w:spacing w:after="0" w:line="240" w:lineRule="auto"/>
    </w:pPr>
    <w:rPr>
      <w:rFonts w:ascii="Times New Roman" w:eastAsia="Calibri" w:hAnsi="Times New Roman" w:cs="Times New Roman"/>
      <w:szCs w:val="20"/>
      <w:lang w:val="en-US"/>
    </w:rPr>
  </w:style>
  <w:style w:type="paragraph" w:styleId="Dokumentoinaostekstas">
    <w:name w:val="endnote text"/>
    <w:basedOn w:val="prastasis"/>
    <w:link w:val="DokumentoinaostekstasDiagrama"/>
    <w:semiHidden/>
    <w:rsid w:val="005E1DC0"/>
    <w:pPr>
      <w:tabs>
        <w:tab w:val="left" w:pos="567"/>
      </w:tabs>
      <w:spacing w:after="0" w:line="240" w:lineRule="auto"/>
    </w:pPr>
    <w:rPr>
      <w:rFonts w:ascii="Times New Roman" w:eastAsia="Calibri"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5E1DC0"/>
    <w:rPr>
      <w:rFonts w:ascii="Times New Roman" w:eastAsia="Calibri" w:hAnsi="Times New Roman" w:cs="Times New Roman"/>
      <w:szCs w:val="20"/>
      <w:lang w:val="en-GB"/>
    </w:rPr>
  </w:style>
  <w:style w:type="paragraph" w:customStyle="1" w:styleId="StyleTextTi12AsianMSMincho9ptBold">
    <w:name w:val="Style Text:Ti12 + (Asian) MS Mincho 9 pt Bold"/>
    <w:basedOn w:val="prastasis"/>
    <w:rsid w:val="005E1DC0"/>
    <w:pPr>
      <w:spacing w:after="0" w:line="280" w:lineRule="atLeast"/>
    </w:pPr>
    <w:rPr>
      <w:rFonts w:ascii="Times New Roman" w:eastAsia="MS Mincho" w:hAnsi="Times New Roman" w:cs="Times New Roman"/>
      <w:b/>
      <w:bCs/>
      <w:sz w:val="18"/>
      <w:szCs w:val="24"/>
      <w:lang w:val="en-US" w:eastAsia="de-DE"/>
    </w:rPr>
  </w:style>
  <w:style w:type="paragraph" w:customStyle="1" w:styleId="Annex">
    <w:name w:val="Annex"/>
    <w:basedOn w:val="prastasis"/>
    <w:next w:val="prastasis"/>
    <w:rsid w:val="005E1DC0"/>
    <w:pPr>
      <w:spacing w:after="0" w:line="240" w:lineRule="auto"/>
      <w:jc w:val="center"/>
    </w:pPr>
    <w:rPr>
      <w:rFonts w:ascii="Times New Roman" w:eastAsia="Calibri" w:hAnsi="Times New Roman" w:cs="Times New Roman"/>
      <w:b/>
      <w:szCs w:val="20"/>
      <w:lang w:val="en-US" w:eastAsia="ja-JP"/>
    </w:rPr>
  </w:style>
  <w:style w:type="paragraph" w:customStyle="1" w:styleId="Description">
    <w:name w:val="Description"/>
    <w:basedOn w:val="prastasis"/>
    <w:next w:val="prastasis"/>
    <w:rsid w:val="005E1DC0"/>
    <w:pPr>
      <w:spacing w:after="0" w:line="240" w:lineRule="auto"/>
    </w:pPr>
    <w:rPr>
      <w:rFonts w:ascii="Times New Roman" w:eastAsia="Calibri" w:hAnsi="Times New Roman" w:cs="Times New Roman"/>
      <w:szCs w:val="20"/>
      <w:lang w:val="en-US" w:eastAsia="ja-JP"/>
    </w:rPr>
  </w:style>
  <w:style w:type="paragraph" w:customStyle="1" w:styleId="HangingIndent">
    <w:name w:val="HangingIndent"/>
    <w:basedOn w:val="prastasis"/>
    <w:link w:val="HangingIndentChar"/>
    <w:rsid w:val="005E1DC0"/>
    <w:pPr>
      <w:spacing w:after="0" w:line="240" w:lineRule="auto"/>
      <w:ind w:left="567" w:hanging="567"/>
    </w:pPr>
    <w:rPr>
      <w:rFonts w:ascii="Times New Roman" w:eastAsia="Times New Roman" w:hAnsi="Times New Roman" w:cs="Times New Roman"/>
      <w:sz w:val="20"/>
      <w:szCs w:val="20"/>
      <w:lang w:val="en-US" w:eastAsia="ja-JP"/>
    </w:rPr>
  </w:style>
  <w:style w:type="character" w:customStyle="1" w:styleId="HangingIndentChar">
    <w:name w:val="HangingIndent Char"/>
    <w:link w:val="HangingIndent"/>
    <w:locked/>
    <w:rsid w:val="005E1DC0"/>
    <w:rPr>
      <w:rFonts w:ascii="Times New Roman" w:eastAsia="Times New Roman" w:hAnsi="Times New Roman" w:cs="Times New Roman"/>
      <w:sz w:val="20"/>
      <w:szCs w:val="20"/>
      <w:lang w:val="en-US" w:eastAsia="ja-JP"/>
    </w:rPr>
  </w:style>
  <w:style w:type="paragraph" w:customStyle="1" w:styleId="BTEMEASMCA">
    <w:name w:val="BT EMEA_SMCA"/>
    <w:basedOn w:val="prastasis"/>
    <w:link w:val="BTEMEASMCAChar"/>
    <w:autoRedefine/>
    <w:rsid w:val="005E1DC0"/>
    <w:pPr>
      <w:spacing w:after="0" w:line="240" w:lineRule="auto"/>
    </w:pPr>
    <w:rPr>
      <w:rFonts w:ascii="Times New Roman" w:eastAsia="Times New Roman" w:hAnsi="Times New Roman" w:cs="Times New Roman"/>
      <w:noProof/>
      <w:sz w:val="20"/>
      <w:szCs w:val="20"/>
      <w:lang w:eastAsia="lt-LT"/>
    </w:rPr>
  </w:style>
  <w:style w:type="character" w:customStyle="1" w:styleId="BTEMEASMCAChar">
    <w:name w:val="BT EMEA_SMCA Char"/>
    <w:link w:val="BTEMEASMCA"/>
    <w:locked/>
    <w:rsid w:val="005E1DC0"/>
    <w:rPr>
      <w:rFonts w:ascii="Times New Roman" w:eastAsia="Times New Roman" w:hAnsi="Times New Roman" w:cs="Times New Roman"/>
      <w:noProof/>
      <w:sz w:val="20"/>
      <w:szCs w:val="20"/>
      <w:lang w:eastAsia="lt-LT"/>
    </w:rPr>
  </w:style>
  <w:style w:type="paragraph" w:customStyle="1" w:styleId="TTEMEASMCA">
    <w:name w:val="TT EMEA_SMCA"/>
    <w:basedOn w:val="Antrat1"/>
    <w:link w:val="TTEMEASMCAChar"/>
    <w:autoRedefine/>
    <w:rsid w:val="005E1DC0"/>
    <w:pPr>
      <w:keepNext w:val="0"/>
      <w:tabs>
        <w:tab w:val="left" w:pos="567"/>
      </w:tabs>
      <w:ind w:left="567" w:hanging="567"/>
      <w:jc w:val="center"/>
    </w:pPr>
    <w:rPr>
      <w:rFonts w:eastAsia="Times New Roman"/>
      <w:caps/>
      <w:sz w:val="20"/>
      <w:lang w:val="en-US"/>
    </w:rPr>
  </w:style>
  <w:style w:type="character" w:customStyle="1" w:styleId="TTEMEASMCAChar">
    <w:name w:val="TT EMEA_SMCA Char"/>
    <w:link w:val="TTEMEASMCA"/>
    <w:locked/>
    <w:rsid w:val="005E1DC0"/>
    <w:rPr>
      <w:rFonts w:ascii="Times New Roman" w:eastAsia="Times New Roman" w:hAnsi="Times New Roman" w:cs="Times New Roman"/>
      <w:b/>
      <w:caps/>
      <w:sz w:val="20"/>
      <w:szCs w:val="20"/>
      <w:lang w:val="en-US" w:eastAsia="lt-LT"/>
    </w:rPr>
  </w:style>
  <w:style w:type="paragraph" w:customStyle="1" w:styleId="BTAnIIEMEASMCA">
    <w:name w:val="BT(AnII) EMEA_SMCA"/>
    <w:basedOn w:val="Debesliotekstas"/>
    <w:autoRedefine/>
    <w:rsid w:val="005E1DC0"/>
    <w:pPr>
      <w:tabs>
        <w:tab w:val="left" w:pos="1701"/>
      </w:tabs>
      <w:ind w:left="1701" w:hanging="567"/>
    </w:pPr>
    <w:rPr>
      <w:rFonts w:ascii="Times New Roman" w:eastAsia="Calibri" w:hAnsi="Times New Roman" w:cs="Tahoma"/>
      <w:b/>
      <w:sz w:val="22"/>
      <w:lang w:val="en-GB" w:eastAsia="en-US"/>
    </w:rPr>
  </w:style>
  <w:style w:type="paragraph" w:customStyle="1" w:styleId="PI-1EMEASMCA">
    <w:name w:val="PI-1 EMEA_SMCA"/>
    <w:basedOn w:val="Antrat2"/>
    <w:autoRedefine/>
    <w:rsid w:val="005E1DC0"/>
    <w:pPr>
      <w:tabs>
        <w:tab w:val="left" w:pos="567"/>
      </w:tabs>
      <w:ind w:left="567" w:hanging="567"/>
    </w:pPr>
    <w:rPr>
      <w:szCs w:val="22"/>
      <w:lang w:eastAsia="en-US"/>
    </w:rPr>
  </w:style>
  <w:style w:type="paragraph" w:customStyle="1" w:styleId="BTuEMEASMCA">
    <w:name w:val="BT(u) EMEA_SMCA"/>
    <w:basedOn w:val="BTEMEASMCA"/>
    <w:autoRedefine/>
    <w:rsid w:val="005E1DC0"/>
    <w:rPr>
      <w:u w:val="single"/>
    </w:rPr>
  </w:style>
  <w:style w:type="paragraph" w:customStyle="1" w:styleId="PI-2EMEASMCA">
    <w:name w:val="PI-2 EMEA_SMCA"/>
    <w:basedOn w:val="Antrat3"/>
    <w:autoRedefine/>
    <w:rsid w:val="005E1DC0"/>
    <w:pPr>
      <w:keepLines/>
      <w:tabs>
        <w:tab w:val="left" w:pos="0"/>
      </w:tabs>
    </w:pPr>
    <w:rPr>
      <w:bCs w:val="0"/>
      <w:iCs w:val="0"/>
      <w:kern w:val="28"/>
      <w:lang w:eastAsia="en-US"/>
    </w:rPr>
  </w:style>
  <w:style w:type="paragraph" w:customStyle="1" w:styleId="PI-1labEMEASMCA">
    <w:name w:val="PI-1_lab EMEA_SMCA"/>
    <w:basedOn w:val="prastasis"/>
    <w:link w:val="PI-1labEMEASMCAChar"/>
    <w:autoRedefine/>
    <w:rsid w:val="005E1DC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link w:val="PI-1labEMEASMCA"/>
    <w:locked/>
    <w:rsid w:val="005E1DC0"/>
    <w:rPr>
      <w:rFonts w:ascii="Times New Roman" w:eastAsia="Times New Roman" w:hAnsi="Times New Roman" w:cs="Times New Roman"/>
      <w:b/>
      <w:noProof/>
      <w:sz w:val="20"/>
      <w:szCs w:val="20"/>
      <w:lang w:eastAsia="lt-LT"/>
    </w:rPr>
  </w:style>
  <w:style w:type="paragraph" w:customStyle="1" w:styleId="Default">
    <w:name w:val="Default"/>
    <w:rsid w:val="005E1DC0"/>
    <w:pPr>
      <w:autoSpaceDE w:val="0"/>
      <w:autoSpaceDN w:val="0"/>
      <w:adjustRightInd w:val="0"/>
      <w:spacing w:after="0" w:line="240" w:lineRule="auto"/>
    </w:pPr>
    <w:rPr>
      <w:rFonts w:ascii="Times New Roman" w:eastAsia="PMingLiU" w:hAnsi="Times New Roman" w:cs="Times New Roman"/>
      <w:color w:val="000000"/>
      <w:sz w:val="24"/>
      <w:szCs w:val="24"/>
      <w:lang w:val="en-US" w:eastAsia="zh-CN"/>
    </w:rPr>
  </w:style>
  <w:style w:type="paragraph" w:styleId="Paantrat">
    <w:name w:val="Subtitle"/>
    <w:basedOn w:val="prastasis"/>
    <w:link w:val="PaantratDiagrama"/>
    <w:qFormat/>
    <w:rsid w:val="005E1DC0"/>
    <w:pPr>
      <w:autoSpaceDE w:val="0"/>
      <w:autoSpaceDN w:val="0"/>
      <w:adjustRightInd w:val="0"/>
      <w:spacing w:after="0" w:line="240" w:lineRule="auto"/>
      <w:jc w:val="center"/>
    </w:pPr>
    <w:rPr>
      <w:rFonts w:ascii="TimesNewRoman,Bold" w:eastAsia="Calibri"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5E1DC0"/>
    <w:rPr>
      <w:rFonts w:ascii="TimesNewRoman,Bold" w:eastAsia="Calibri" w:hAnsi="TimesNewRoman,Bold" w:cs="Times New Roman"/>
      <w:b/>
      <w:color w:val="000000"/>
      <w:szCs w:val="20"/>
      <w:lang w:val="en-US" w:eastAsia="lt-LT"/>
    </w:rPr>
  </w:style>
  <w:style w:type="paragraph" w:styleId="Pagrindiniotekstotrauka">
    <w:name w:val="Body Text Indent"/>
    <w:basedOn w:val="prastasis"/>
    <w:link w:val="PagrindiniotekstotraukaDiagrama"/>
    <w:rsid w:val="005E1DC0"/>
    <w:pPr>
      <w:spacing w:after="120" w:line="240" w:lineRule="auto"/>
      <w:ind w:left="283"/>
    </w:pPr>
    <w:rPr>
      <w:rFonts w:ascii="Times New Roman" w:eastAsia="Calibri"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rsid w:val="005E1DC0"/>
    <w:rPr>
      <w:rFonts w:ascii="Times New Roman" w:eastAsia="Calibri" w:hAnsi="Times New Roman" w:cs="Times New Roman"/>
      <w:szCs w:val="20"/>
      <w:lang w:eastAsia="lt-LT"/>
    </w:rPr>
  </w:style>
  <w:style w:type="paragraph" w:styleId="Pagrindinistekstas3">
    <w:name w:val="Body Text 3"/>
    <w:basedOn w:val="prastasis"/>
    <w:link w:val="Pagrindinistekstas3Diagrama"/>
    <w:rsid w:val="005E1DC0"/>
    <w:pPr>
      <w:spacing w:after="0" w:line="240" w:lineRule="auto"/>
      <w:jc w:val="center"/>
    </w:pPr>
    <w:rPr>
      <w:rFonts w:ascii="Times New Roman" w:eastAsia="Calibri" w:hAnsi="Times New Roman" w:cs="Times New Roman"/>
      <w:b/>
      <w:bCs/>
      <w:sz w:val="24"/>
      <w:szCs w:val="24"/>
    </w:rPr>
  </w:style>
  <w:style w:type="character" w:customStyle="1" w:styleId="Pagrindinistekstas3Diagrama">
    <w:name w:val="Pagrindinis tekstas 3 Diagrama"/>
    <w:basedOn w:val="Numatytasispastraiposriftas"/>
    <w:link w:val="Pagrindinistekstas3"/>
    <w:rsid w:val="005E1DC0"/>
    <w:rPr>
      <w:rFonts w:ascii="Times New Roman" w:eastAsia="Calibri" w:hAnsi="Times New Roman" w:cs="Times New Roman"/>
      <w:b/>
      <w:bCs/>
      <w:sz w:val="24"/>
      <w:szCs w:val="24"/>
    </w:rPr>
  </w:style>
  <w:style w:type="paragraph" w:styleId="Antrats">
    <w:name w:val="header"/>
    <w:basedOn w:val="prastasis"/>
    <w:link w:val="AntratsDiagrama"/>
    <w:rsid w:val="005E1DC0"/>
    <w:pPr>
      <w:tabs>
        <w:tab w:val="center" w:pos="4153"/>
        <w:tab w:val="right" w:pos="8306"/>
      </w:tabs>
      <w:spacing w:after="0" w:line="240" w:lineRule="auto"/>
    </w:pPr>
    <w:rPr>
      <w:rFonts w:ascii="Times New Roman" w:eastAsia="Calibri" w:hAnsi="Times New Roman" w:cs="Times New Roman"/>
      <w:sz w:val="24"/>
      <w:szCs w:val="24"/>
      <w:lang w:val="en-GB"/>
    </w:rPr>
  </w:style>
  <w:style w:type="character" w:customStyle="1" w:styleId="AntratsDiagrama">
    <w:name w:val="Antraštės Diagrama"/>
    <w:basedOn w:val="Numatytasispastraiposriftas"/>
    <w:link w:val="Antrats"/>
    <w:rsid w:val="005E1DC0"/>
    <w:rPr>
      <w:rFonts w:ascii="Times New Roman" w:eastAsia="Calibri" w:hAnsi="Times New Roman" w:cs="Times New Roman"/>
      <w:sz w:val="24"/>
      <w:szCs w:val="24"/>
      <w:lang w:val="en-GB"/>
    </w:rPr>
  </w:style>
  <w:style w:type="paragraph" w:styleId="Komentarotekstas">
    <w:name w:val="annotation text"/>
    <w:basedOn w:val="prastasis"/>
    <w:link w:val="KomentarotekstasDiagrama"/>
    <w:rsid w:val="005E1DC0"/>
    <w:pPr>
      <w:spacing w:after="0" w:line="240" w:lineRule="auto"/>
    </w:pPr>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5E1DC0"/>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rsid w:val="005E1DC0"/>
    <w:rPr>
      <w:b/>
      <w:bCs/>
    </w:rPr>
  </w:style>
  <w:style w:type="character" w:customStyle="1" w:styleId="KomentarotemaDiagrama">
    <w:name w:val="Komentaro tema Diagrama"/>
    <w:basedOn w:val="KomentarotekstasDiagrama"/>
    <w:link w:val="Komentarotema"/>
    <w:rsid w:val="005E1DC0"/>
    <w:rPr>
      <w:rFonts w:ascii="Times New Roman" w:eastAsia="Calibri" w:hAnsi="Times New Roman" w:cs="Times New Roman"/>
      <w:b/>
      <w:bCs/>
      <w:sz w:val="20"/>
      <w:szCs w:val="20"/>
      <w:lang w:eastAsia="lt-LT"/>
    </w:rPr>
  </w:style>
  <w:style w:type="character" w:styleId="Komentaronuoroda">
    <w:name w:val="annotation reference"/>
    <w:rsid w:val="005E1DC0"/>
    <w:rPr>
      <w:rFonts w:cs="Times New Roman"/>
      <w:sz w:val="16"/>
    </w:rPr>
  </w:style>
  <w:style w:type="paragraph" w:styleId="Sraopastraipa">
    <w:name w:val="List Paragraph"/>
    <w:basedOn w:val="prastasis"/>
    <w:qFormat/>
    <w:rsid w:val="005E1DC0"/>
    <w:pPr>
      <w:spacing w:after="200" w:line="276" w:lineRule="auto"/>
      <w:ind w:left="720"/>
      <w:contextualSpacing/>
    </w:pPr>
    <w:rPr>
      <w:rFonts w:ascii="Calibri" w:eastAsia="Times New Roman" w:hAnsi="Calibri" w:cs="Times New Roman"/>
    </w:rPr>
  </w:style>
  <w:style w:type="paragraph" w:customStyle="1" w:styleId="Sraopastraipa1">
    <w:name w:val="Sąrašo pastraipa1"/>
    <w:basedOn w:val="prastasis"/>
    <w:rsid w:val="005E1DC0"/>
    <w:pPr>
      <w:spacing w:after="200" w:line="276" w:lineRule="auto"/>
      <w:ind w:left="720"/>
      <w:contextualSpacing/>
    </w:pPr>
    <w:rPr>
      <w:rFonts w:ascii="Calibri" w:eastAsia="Times New Roman" w:hAnsi="Calibri" w:cs="Times New Roman"/>
    </w:rPr>
  </w:style>
  <w:style w:type="paragraph" w:styleId="Pataisymai">
    <w:name w:val="Revision"/>
    <w:hidden/>
    <w:uiPriority w:val="99"/>
    <w:semiHidden/>
    <w:rsid w:val="005E1DC0"/>
    <w:pPr>
      <w:spacing w:after="0" w:line="240" w:lineRule="auto"/>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60748</Words>
  <Characters>34627</Characters>
  <Application>Microsoft Office Word</Application>
  <DocSecurity>4</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95185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Kuodiene, Liucija {MWJC~Vilnius}</dc:creator>
  <cp:keywords/>
  <dc:description/>
  <cp:lastModifiedBy>Albina Burkauskaitė</cp:lastModifiedBy>
  <cp:revision>2</cp:revision>
  <cp:lastPrinted>2020-12-16T06:23:00Z</cp:lastPrinted>
  <dcterms:created xsi:type="dcterms:W3CDTF">2021-10-26T07:40:00Z</dcterms:created>
  <dcterms:modified xsi:type="dcterms:W3CDTF">2021-10-26T07:40:00Z</dcterms:modified>
</cp:coreProperties>
</file>