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TTEMEASMCA"/>
      </w:pPr>
      <w:bookmarkStart w:id="0" w:name="_Toc129243096"/>
      <w:bookmarkStart w:id="1" w:name="_Toc129243221"/>
      <w:r>
        <w:t>I PRIEDAS</w:t>
      </w:r>
      <w:bookmarkEnd w:id="0"/>
      <w:bookmarkEnd w:id="1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TTEMEASMCA"/>
      </w:pPr>
      <w:bookmarkStart w:id="2" w:name="_Toc129243097"/>
      <w:bookmarkStart w:id="3" w:name="_Toc129243222"/>
      <w:r>
        <w:t>PREPARATO CHARAKTERISTIKŲ SANTRAUKA</w:t>
      </w:r>
      <w:bookmarkEnd w:id="2"/>
      <w:bookmarkEnd w:id="3"/>
    </w:p>
    <w:p w:rsidR="00955A5A" w:rsidRDefault="00955A5A" w:rsidP="00955A5A">
      <w:pPr>
        <w:pStyle w:val="PI-1EMEASMCA"/>
        <w:rPr>
          <w:bCs/>
          <w:iCs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pStyle w:val="PI-1EMEASMCA"/>
      </w:pPr>
    </w:p>
    <w:p w:rsidR="00955A5A" w:rsidRDefault="00955A5A" w:rsidP="00955A5A">
      <w:pPr>
        <w:pStyle w:val="PI-1EMEASMCA"/>
      </w:pPr>
    </w:p>
    <w:p w:rsidR="00955A5A" w:rsidRDefault="00955A5A" w:rsidP="00955A5A">
      <w:pPr>
        <w:pStyle w:val="PI-1EMEASMCA"/>
      </w:pPr>
    </w:p>
    <w:p w:rsidR="00955A5A" w:rsidRDefault="00955A5A" w:rsidP="00955A5A">
      <w:pPr>
        <w:pStyle w:val="PI-1EMEASMCA"/>
      </w:pPr>
      <w:r>
        <w:br w:type="page"/>
      </w:r>
      <w:bookmarkStart w:id="4" w:name="_Toc129243098"/>
      <w:bookmarkStart w:id="5" w:name="_Toc129243223"/>
      <w:r>
        <w:lastRenderedPageBreak/>
        <w:t>1.</w:t>
      </w:r>
      <w:r>
        <w:tab/>
        <w:t>VAISTINIO PREPARATO PAVADINIMAS</w:t>
      </w:r>
      <w:bookmarkEnd w:id="4"/>
      <w:bookmarkEnd w:id="5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proofErr w:type="spellStart"/>
      <w:r>
        <w:rPr>
          <w:noProof w:val="0"/>
        </w:rPr>
        <w:t>Vesicare</w:t>
      </w:r>
      <w:proofErr w:type="spellEnd"/>
      <w:r>
        <w:rPr>
          <w:noProof w:val="0"/>
        </w:rPr>
        <w:t xml:space="preserve"> 5 mg plėvele dengtos tabletės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EMEASMCA"/>
      </w:pPr>
      <w:bookmarkStart w:id="6" w:name="_Toc129243099"/>
      <w:bookmarkStart w:id="7" w:name="_Toc129243224"/>
      <w:r>
        <w:t>2.</w:t>
      </w:r>
      <w:r>
        <w:tab/>
        <w:t>KOKYBINĖ IR KIEKYBINĖ SUDĖTIS</w:t>
      </w:r>
      <w:bookmarkEnd w:id="6"/>
      <w:bookmarkEnd w:id="7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agrindinistekstas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Vienoje </w:t>
      </w:r>
      <w:proofErr w:type="spellStart"/>
      <w:r>
        <w:rPr>
          <w:color w:val="000000"/>
          <w:sz w:val="22"/>
          <w:szCs w:val="22"/>
          <w:lang w:val="lt-LT"/>
        </w:rPr>
        <w:t>Vesicare</w:t>
      </w:r>
      <w:proofErr w:type="spellEnd"/>
      <w:r>
        <w:rPr>
          <w:color w:val="000000"/>
          <w:sz w:val="22"/>
          <w:szCs w:val="22"/>
          <w:lang w:val="lt-LT"/>
        </w:rPr>
        <w:t xml:space="preserve"> 5 mg plėvele dengtoje tabletėje yra 5 mg </w:t>
      </w:r>
      <w:proofErr w:type="spellStart"/>
      <w:r>
        <w:rPr>
          <w:color w:val="000000"/>
          <w:sz w:val="22"/>
          <w:szCs w:val="22"/>
          <w:lang w:val="lt-LT"/>
        </w:rPr>
        <w:t>solifenacino</w:t>
      </w:r>
      <w:proofErr w:type="spellEnd"/>
      <w:r>
        <w:rPr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color w:val="000000"/>
          <w:sz w:val="22"/>
          <w:szCs w:val="22"/>
          <w:lang w:val="lt-LT"/>
        </w:rPr>
        <w:t>sukcinato</w:t>
      </w:r>
      <w:proofErr w:type="spellEnd"/>
      <w:r>
        <w:rPr>
          <w:color w:val="000000"/>
          <w:sz w:val="22"/>
          <w:szCs w:val="22"/>
          <w:lang w:val="lt-LT"/>
        </w:rPr>
        <w:t xml:space="preserve">, atitinkančio 3,8 mg </w:t>
      </w:r>
      <w:proofErr w:type="spellStart"/>
      <w:r>
        <w:rPr>
          <w:color w:val="000000"/>
          <w:sz w:val="22"/>
          <w:szCs w:val="22"/>
          <w:lang w:val="lt-LT"/>
        </w:rPr>
        <w:t>solifenacino</w:t>
      </w:r>
      <w:proofErr w:type="spellEnd"/>
      <w:r>
        <w:rPr>
          <w:color w:val="000000"/>
          <w:sz w:val="22"/>
          <w:szCs w:val="22"/>
          <w:lang w:val="lt-LT"/>
        </w:rPr>
        <w:t xml:space="preserve">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 xml:space="preserve">Pagalbinė medžiaga, kurios poveikis žinomas: laktozės </w:t>
      </w:r>
      <w:proofErr w:type="spellStart"/>
      <w:r>
        <w:rPr>
          <w:noProof w:val="0"/>
        </w:rPr>
        <w:t>monohidratas</w:t>
      </w:r>
      <w:proofErr w:type="spellEnd"/>
      <w:r>
        <w:rPr>
          <w:noProof w:val="0"/>
        </w:rPr>
        <w:t xml:space="preserve"> (107,5 mg)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  <w:color w:val="000000"/>
        </w:rPr>
        <w:t>Visos pagalbinės medžiagos išvardytos 6.1 skyriuje.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EMEASMCA"/>
      </w:pPr>
      <w:bookmarkStart w:id="8" w:name="_Toc129243100"/>
      <w:bookmarkStart w:id="9" w:name="_Toc129243225"/>
      <w:r>
        <w:t>3.</w:t>
      </w:r>
      <w:r>
        <w:tab/>
        <w:t>FARMACINĖ FORMA</w:t>
      </w:r>
      <w:bookmarkEnd w:id="8"/>
      <w:bookmarkEnd w:id="9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agrindinistekstas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Plėvele dengta tabletė.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pStyle w:val="BTEMEASMCA"/>
        <w:rPr>
          <w:noProof w:val="0"/>
        </w:rPr>
      </w:pP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5 mg plėvele dengta tabletė yra apvali, šviesiai geltona. Vienoje jos pusėje yra </w:t>
      </w:r>
      <w:r>
        <w:rPr>
          <w:lang w:eastAsia="lt-LT"/>
        </w:rPr>
        <w:drawing>
          <wp:inline distT="0" distB="0" distL="0" distR="0" wp14:anchorId="6C3F2474" wp14:editId="4D666393">
            <wp:extent cx="180975" cy="1428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218" b="87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 w:val="0"/>
          <w:color w:val="000000"/>
        </w:rPr>
        <w:t>ženklas ir skaitmuo „150“.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EMEASMCA"/>
      </w:pPr>
      <w:bookmarkStart w:id="10" w:name="_Toc129243101"/>
      <w:bookmarkStart w:id="11" w:name="_Toc129243226"/>
      <w:r>
        <w:t>4.</w:t>
      </w:r>
      <w:r>
        <w:tab/>
        <w:t>KLINIKINĖ INFORMACIJA</w:t>
      </w:r>
      <w:bookmarkEnd w:id="10"/>
      <w:bookmarkEnd w:id="11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bookmarkStart w:id="12" w:name="_Toc129243102"/>
      <w:bookmarkStart w:id="13" w:name="_Toc129243227"/>
      <w:r>
        <w:t>4.1</w:t>
      </w:r>
      <w:r>
        <w:tab/>
        <w:t>Terapinės indikacijos</w:t>
      </w:r>
      <w:bookmarkEnd w:id="12"/>
      <w:bookmarkEnd w:id="13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  <w:color w:val="000000"/>
        </w:rPr>
        <w:t xml:space="preserve">Simptominis nesuvaldomo šlapimo nelaikymo ir (ar) padažnėjusio bei priverstinio </w:t>
      </w:r>
      <w:proofErr w:type="spellStart"/>
      <w:r>
        <w:rPr>
          <w:noProof w:val="0"/>
          <w:color w:val="000000"/>
        </w:rPr>
        <w:t>šlapinimosi</w:t>
      </w:r>
      <w:proofErr w:type="spellEnd"/>
      <w:r>
        <w:rPr>
          <w:noProof w:val="0"/>
          <w:color w:val="000000"/>
        </w:rPr>
        <w:t>, galinčio atsirasti pacientams, kuriems yra padidėjusio šlapimo pūslės aktyvumo sindromas, gydymas.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bookmarkStart w:id="14" w:name="_Toc129243103"/>
      <w:bookmarkStart w:id="15" w:name="_Toc129243228"/>
      <w:r>
        <w:t>4.2</w:t>
      </w:r>
      <w:r>
        <w:tab/>
        <w:t>Dozavimas ir vartojimo metodas</w:t>
      </w:r>
      <w:bookmarkEnd w:id="14"/>
      <w:bookmarkEnd w:id="15"/>
    </w:p>
    <w:p w:rsidR="00955A5A" w:rsidRPr="00F379AD" w:rsidRDefault="00955A5A" w:rsidP="00955A5A">
      <w:pPr>
        <w:pStyle w:val="Pagrindinistekstas"/>
        <w:spacing w:before="120" w:line="360" w:lineRule="auto"/>
        <w:rPr>
          <w:color w:val="000000"/>
          <w:sz w:val="22"/>
          <w:u w:val="single"/>
          <w:lang w:val="lt-LT"/>
        </w:rPr>
      </w:pPr>
      <w:r w:rsidRPr="00EB165F">
        <w:rPr>
          <w:color w:val="000000"/>
          <w:sz w:val="22"/>
          <w:u w:val="single"/>
          <w:lang w:val="lt-LT"/>
        </w:rPr>
        <w:t xml:space="preserve">Dozavimas </w:t>
      </w:r>
    </w:p>
    <w:p w:rsidR="00955A5A" w:rsidRDefault="00955A5A" w:rsidP="00955A5A">
      <w:pPr>
        <w:rPr>
          <w:sz w:val="22"/>
          <w:szCs w:val="22"/>
        </w:rPr>
      </w:pPr>
      <w:r w:rsidRPr="00EB165F">
        <w:rPr>
          <w:i/>
          <w:sz w:val="22"/>
        </w:rPr>
        <w:t xml:space="preserve">Suaugę žmonės, įskaitant senyvus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Rekomenduojama gerti po 5 mg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sukcinato</w:t>
      </w:r>
      <w:proofErr w:type="spellEnd"/>
      <w:r>
        <w:rPr>
          <w:sz w:val="22"/>
          <w:szCs w:val="22"/>
        </w:rPr>
        <w:t xml:space="preserve"> kartą per parą. Prireikus dozę galima didinti ir gerti po 10 mg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sukcinato</w:t>
      </w:r>
      <w:proofErr w:type="spellEnd"/>
      <w:r>
        <w:rPr>
          <w:sz w:val="22"/>
          <w:szCs w:val="22"/>
        </w:rPr>
        <w:t xml:space="preserve"> kartą per parą. </w:t>
      </w:r>
    </w:p>
    <w:p w:rsidR="00955A5A" w:rsidRDefault="00955A5A" w:rsidP="00955A5A">
      <w:pPr>
        <w:rPr>
          <w:i/>
          <w:iCs/>
          <w:sz w:val="22"/>
          <w:szCs w:val="22"/>
          <w:u w:val="single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i/>
          <w:iCs/>
          <w:sz w:val="22"/>
          <w:szCs w:val="22"/>
        </w:rPr>
        <w:t>Vaikų populiacija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saugumas ir veiksmingumas vaikams dar neištirti, todėl jo negalima vartoti vaikams.</w:t>
      </w:r>
    </w:p>
    <w:p w:rsidR="00955A5A" w:rsidRPr="00F379AD" w:rsidRDefault="00955A5A" w:rsidP="00955A5A">
      <w:pPr>
        <w:rPr>
          <w:sz w:val="22"/>
        </w:rPr>
      </w:pPr>
    </w:p>
    <w:p w:rsidR="00955A5A" w:rsidRDefault="00955A5A" w:rsidP="00955A5A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Pacientai, kurių inkstų funkcija sutrikusi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>Jeigu yra lengvas arba vidutinio laipsnio inkstų funkcijos sutrikimas (</w:t>
      </w:r>
      <w:proofErr w:type="spellStart"/>
      <w:r>
        <w:rPr>
          <w:sz w:val="22"/>
          <w:szCs w:val="22"/>
        </w:rPr>
        <w:t>kreatinino</w:t>
      </w:r>
      <w:proofErr w:type="spellEnd"/>
      <w:r>
        <w:rPr>
          <w:sz w:val="22"/>
          <w:szCs w:val="22"/>
        </w:rPr>
        <w:t xml:space="preserve"> klirensas didesnis kaip 30 ml/min.), dozės koreguoti nereikia, o jeigu inkstų funkcijos sutrikimas sunkus (</w:t>
      </w:r>
      <w:proofErr w:type="spellStart"/>
      <w:r>
        <w:rPr>
          <w:sz w:val="22"/>
          <w:szCs w:val="22"/>
        </w:rPr>
        <w:t>kreatinino</w:t>
      </w:r>
      <w:proofErr w:type="spellEnd"/>
      <w:r>
        <w:rPr>
          <w:sz w:val="22"/>
          <w:szCs w:val="22"/>
        </w:rPr>
        <w:t xml:space="preserve"> klirensas ne didesnis kaip 30 ml/min.), reikia gydyti atsargiai ir vaistinio preparato vartoti ne daugiau kaip 5 mg kartą per parą (žr. 5.2 skyrių).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Pacientai, kurių kepenų funkcija sutrikusi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Jeigu yra lengvas kepenų funkcijos sutrikimas, dozės koreguoti nereikia. Jeigu kepenų funkcijos sutrikimas vidutinio laipsnio (7 </w:t>
      </w: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9 balai pagal </w:t>
      </w:r>
      <w:proofErr w:type="spellStart"/>
      <w:r>
        <w:rPr>
          <w:sz w:val="22"/>
          <w:szCs w:val="22"/>
        </w:rPr>
        <w:t>Child-Pugh</w:t>
      </w:r>
      <w:proofErr w:type="spellEnd"/>
      <w:r>
        <w:rPr>
          <w:sz w:val="22"/>
          <w:szCs w:val="22"/>
        </w:rPr>
        <w:t xml:space="preserve"> skalę), pacientus būtina gydyti atsargiai, vaistinio preparato jiems galima vartoti ne daugiau kaip 5 mg kartą per parą (žr. 5.2 skyrių).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Vaistiniai preparatai, stipriai slopinantys </w:t>
      </w:r>
      <w:proofErr w:type="spellStart"/>
      <w:r>
        <w:rPr>
          <w:i/>
          <w:iCs/>
          <w:sz w:val="22"/>
          <w:szCs w:val="22"/>
        </w:rPr>
        <w:t>citochromą</w:t>
      </w:r>
      <w:proofErr w:type="spellEnd"/>
      <w:r>
        <w:rPr>
          <w:i/>
          <w:iCs/>
          <w:sz w:val="22"/>
          <w:szCs w:val="22"/>
        </w:rPr>
        <w:t xml:space="preserve"> P 450 3A4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Vartojant kartu su </w:t>
      </w:r>
      <w:proofErr w:type="spellStart"/>
      <w:r>
        <w:rPr>
          <w:sz w:val="22"/>
          <w:szCs w:val="22"/>
        </w:rPr>
        <w:t>ketokonazolu</w:t>
      </w:r>
      <w:proofErr w:type="spellEnd"/>
      <w:r>
        <w:rPr>
          <w:sz w:val="22"/>
          <w:szCs w:val="22"/>
        </w:rPr>
        <w:t xml:space="preserve"> ar kitu stipriu CYP3A4 inhibitoriumi (skiriant terapines pastarojo dozes), pvz., </w:t>
      </w:r>
      <w:proofErr w:type="spellStart"/>
      <w:r>
        <w:rPr>
          <w:sz w:val="22"/>
          <w:szCs w:val="22"/>
        </w:rPr>
        <w:t>ritonaviru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nelfinaviru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itrakonazolu</w:t>
      </w:r>
      <w:proofErr w:type="spellEnd"/>
      <w:r>
        <w:rPr>
          <w:sz w:val="22"/>
          <w:szCs w:val="22"/>
        </w:rPr>
        <w:t xml:space="preserve">, negalima vartoti didesnės kaip 5 mg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dozės (žr. 4.5 skyrių).</w:t>
      </w:r>
    </w:p>
    <w:p w:rsidR="00955A5A" w:rsidRDefault="00955A5A" w:rsidP="00955A5A">
      <w:pPr>
        <w:rPr>
          <w:i/>
          <w:sz w:val="22"/>
          <w:szCs w:val="22"/>
        </w:rPr>
      </w:pPr>
    </w:p>
    <w:p w:rsidR="00955A5A" w:rsidRPr="00F379AD" w:rsidRDefault="00955A5A" w:rsidP="00955A5A">
      <w:pPr>
        <w:keepNext/>
        <w:rPr>
          <w:sz w:val="22"/>
          <w:u w:val="single"/>
        </w:rPr>
      </w:pPr>
      <w:r w:rsidRPr="00EB165F">
        <w:rPr>
          <w:sz w:val="22"/>
          <w:u w:val="single"/>
        </w:rPr>
        <w:lastRenderedPageBreak/>
        <w:t xml:space="preserve">Vartojimo metodas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tabletę reikia vartoti per burną nesmulkintą, užgeriant skysčiu. Jos vartojimas nuo valgio laiko nepriklauso.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bookmarkStart w:id="16" w:name="_Toc129243104"/>
      <w:bookmarkStart w:id="17" w:name="_Toc129243229"/>
      <w:r>
        <w:t>4.3</w:t>
      </w:r>
      <w:r>
        <w:tab/>
        <w:t>Kontraindikacijos</w:t>
      </w:r>
      <w:bookmarkEnd w:id="16"/>
      <w:bookmarkEnd w:id="17"/>
    </w:p>
    <w:p w:rsidR="00955A5A" w:rsidRDefault="00955A5A" w:rsidP="00955A5A"/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Šlapimo susilaikymas, sunki virškinimo trakto būklė, įskaitant toksinį gaubtinės žarnos padidėjimą, </w:t>
      </w:r>
      <w:proofErr w:type="spellStart"/>
      <w:r>
        <w:rPr>
          <w:sz w:val="22"/>
          <w:szCs w:val="22"/>
        </w:rPr>
        <w:t>generalizuota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miastenija</w:t>
      </w:r>
      <w:proofErr w:type="spellEnd"/>
      <w:r>
        <w:rPr>
          <w:sz w:val="22"/>
          <w:szCs w:val="22"/>
        </w:rPr>
        <w:t xml:space="preserve">, uždaro kampo glaukoma arba tokių būklių atsiradimo rizika.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 xml:space="preserve">Padidėjęs jautrumas veikliajai arba bet kuriai 6.1 skyriuje nurodytai pagalbinei medžiagai.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bookmarkStart w:id="18" w:name="OLE_LINK3"/>
      <w:bookmarkStart w:id="19" w:name="OLE_LINK4"/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ab/>
      </w:r>
      <w:bookmarkEnd w:id="18"/>
      <w:bookmarkEnd w:id="19"/>
      <w:r>
        <w:rPr>
          <w:sz w:val="22"/>
          <w:szCs w:val="22"/>
        </w:rPr>
        <w:t xml:space="preserve">Atliekama hemodializė (žr. 5.2 skyrių).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ab/>
        <w:t>Sunkus</w:t>
      </w:r>
      <w:r w:rsidRPr="00EB165F">
        <w:rPr>
          <w:color w:val="000000"/>
          <w:sz w:val="22"/>
        </w:rPr>
        <w:t xml:space="preserve"> </w:t>
      </w:r>
      <w:r>
        <w:rPr>
          <w:sz w:val="22"/>
          <w:szCs w:val="22"/>
        </w:rPr>
        <w:t xml:space="preserve">kepenų funkcijos sutrikimas (žr. 5.2 skyrių). </w:t>
      </w:r>
    </w:p>
    <w:p w:rsidR="00955A5A" w:rsidRDefault="00955A5A" w:rsidP="00955A5A">
      <w:pPr>
        <w:ind w:left="360" w:hanging="36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ab/>
        <w:t>Sunkus</w:t>
      </w:r>
      <w:r w:rsidRPr="00EB165F">
        <w:rPr>
          <w:color w:val="000000"/>
          <w:sz w:val="22"/>
        </w:rPr>
        <w:t xml:space="preserve"> </w:t>
      </w:r>
      <w:r>
        <w:rPr>
          <w:sz w:val="22"/>
          <w:szCs w:val="22"/>
        </w:rPr>
        <w:t xml:space="preserve">inkstų funkcijos sutrikimas ar vidutinis kepenų funkcijos sutrikimas, kai pacientas kartu gydomas stipriu CYP3A4 inhibitoriumi, pvz., </w:t>
      </w:r>
      <w:proofErr w:type="spellStart"/>
      <w:r>
        <w:rPr>
          <w:sz w:val="22"/>
          <w:szCs w:val="22"/>
        </w:rPr>
        <w:t>ketokonazolu</w:t>
      </w:r>
      <w:proofErr w:type="spellEnd"/>
      <w:r>
        <w:rPr>
          <w:sz w:val="22"/>
          <w:szCs w:val="22"/>
        </w:rPr>
        <w:t xml:space="preserve"> (žr. 4.5 skyrių).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bookmarkStart w:id="20" w:name="_Toc129243105"/>
      <w:bookmarkStart w:id="21" w:name="_Toc129243230"/>
      <w:r>
        <w:t>4.4</w:t>
      </w:r>
      <w:r>
        <w:tab/>
        <w:t>Specialūs įspėjimai ir atsargumo priemonės</w:t>
      </w:r>
      <w:bookmarkEnd w:id="20"/>
      <w:bookmarkEnd w:id="21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Prieš pradedant vartoti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reikia nustatyti, ar nėra kitokių dažno </w:t>
      </w:r>
      <w:proofErr w:type="spellStart"/>
      <w:r>
        <w:rPr>
          <w:sz w:val="22"/>
          <w:szCs w:val="22"/>
        </w:rPr>
        <w:t>šlapinimosi</w:t>
      </w:r>
      <w:proofErr w:type="spellEnd"/>
      <w:r>
        <w:rPr>
          <w:sz w:val="22"/>
          <w:szCs w:val="22"/>
        </w:rPr>
        <w:t xml:space="preserve"> priežasčių (širdies nepakankamumo ar inkstų ligos). Jeigu yra šlapimo takų infekcija, reikia pradėti tinkamą antibakterinį gydymą.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būtina atsargiai vartoti pacientams, jei yra: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kliniškai reikšminga </w:t>
      </w:r>
      <w:r w:rsidRPr="00EB165F">
        <w:rPr>
          <w:color w:val="000000"/>
          <w:sz w:val="22"/>
        </w:rPr>
        <w:t>šlapimo pūslės obstrukcija, kelianti šlapimo susilaikymo riziką;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obstrukcinis virškinimo trakto sutrikimas;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pablogėjusios virškinimo trakto peristaltikos rizika; </w:t>
      </w:r>
    </w:p>
    <w:p w:rsidR="00955A5A" w:rsidRDefault="00955A5A" w:rsidP="00955A5A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sunkus inkstų funkcijos sutrikimas, </w:t>
      </w:r>
      <w:proofErr w:type="spellStart"/>
      <w:r>
        <w:rPr>
          <w:sz w:val="22"/>
          <w:szCs w:val="22"/>
        </w:rPr>
        <w:t>t.y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kreatinino</w:t>
      </w:r>
      <w:proofErr w:type="spellEnd"/>
      <w:r>
        <w:rPr>
          <w:sz w:val="22"/>
          <w:szCs w:val="22"/>
        </w:rPr>
        <w:t xml:space="preserve"> klirensas ne didesnis kaip 30 ml/min. (žr. 4.2 ir 5.2 skyrius). Tokiems pacientams negalima vartoti didesnės kaip 5 mg dozės; </w:t>
      </w:r>
    </w:p>
    <w:p w:rsidR="00955A5A" w:rsidRDefault="00955A5A" w:rsidP="00955A5A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vidutinio laipsnio kepenų funkcijos sutrikimas, </w:t>
      </w:r>
      <w:proofErr w:type="spellStart"/>
      <w:r>
        <w:rPr>
          <w:sz w:val="22"/>
          <w:szCs w:val="22"/>
        </w:rPr>
        <w:t>t.y</w:t>
      </w:r>
      <w:proofErr w:type="spellEnd"/>
      <w:r>
        <w:rPr>
          <w:sz w:val="22"/>
          <w:szCs w:val="22"/>
        </w:rPr>
        <w:t xml:space="preserve">. 7 </w:t>
      </w: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9 balai pagal </w:t>
      </w:r>
      <w:proofErr w:type="spellStart"/>
      <w:r>
        <w:rPr>
          <w:sz w:val="22"/>
          <w:szCs w:val="22"/>
        </w:rPr>
        <w:t>Child-Pugh</w:t>
      </w:r>
      <w:proofErr w:type="spellEnd"/>
      <w:r>
        <w:rPr>
          <w:sz w:val="22"/>
          <w:szCs w:val="22"/>
        </w:rPr>
        <w:t xml:space="preserve"> skalę (žr. 4.2 ir 5.2 skyrius). Tokiems pacientams negalima vartoti didesnės kaip 5 mg dozės;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kartu vartojama stiprių CYP3A4 inhibitorių, pvz., </w:t>
      </w:r>
      <w:proofErr w:type="spellStart"/>
      <w:r>
        <w:rPr>
          <w:sz w:val="22"/>
          <w:szCs w:val="22"/>
        </w:rPr>
        <w:t>ketokonazolo</w:t>
      </w:r>
      <w:proofErr w:type="spellEnd"/>
      <w:r>
        <w:rPr>
          <w:sz w:val="22"/>
          <w:szCs w:val="22"/>
        </w:rPr>
        <w:t xml:space="preserve"> (žr. 4.2 ir 4.5 skyrius); </w:t>
      </w:r>
    </w:p>
    <w:p w:rsidR="00955A5A" w:rsidRDefault="00955A5A" w:rsidP="00955A5A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stemplinės</w:t>
      </w:r>
      <w:proofErr w:type="spellEnd"/>
      <w:r>
        <w:rPr>
          <w:sz w:val="22"/>
          <w:szCs w:val="22"/>
        </w:rPr>
        <w:t xml:space="preserve"> angos išvarža arba </w:t>
      </w:r>
      <w:proofErr w:type="spellStart"/>
      <w:r>
        <w:rPr>
          <w:sz w:val="22"/>
          <w:szCs w:val="22"/>
        </w:rPr>
        <w:t>gastroezofaginis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refliuksas</w:t>
      </w:r>
      <w:proofErr w:type="spellEnd"/>
      <w:r>
        <w:rPr>
          <w:sz w:val="22"/>
          <w:szCs w:val="22"/>
        </w:rPr>
        <w:t xml:space="preserve">, jei kartu vartojama vaistinių preparatų (pvz., </w:t>
      </w:r>
      <w:proofErr w:type="spellStart"/>
      <w:r>
        <w:rPr>
          <w:sz w:val="22"/>
          <w:szCs w:val="22"/>
        </w:rPr>
        <w:t>bisfosfonatų</w:t>
      </w:r>
      <w:proofErr w:type="spellEnd"/>
      <w:r>
        <w:rPr>
          <w:sz w:val="22"/>
          <w:szCs w:val="22"/>
        </w:rPr>
        <w:t xml:space="preserve">), dėl kurių poveikio gali atsirasti ar paūmėti </w:t>
      </w:r>
      <w:proofErr w:type="spellStart"/>
      <w:r>
        <w:rPr>
          <w:sz w:val="22"/>
          <w:szCs w:val="22"/>
        </w:rPr>
        <w:t>ezofagitas</w:t>
      </w:r>
      <w:proofErr w:type="spellEnd"/>
      <w:r>
        <w:rPr>
          <w:sz w:val="22"/>
          <w:szCs w:val="22"/>
        </w:rPr>
        <w:t xml:space="preserve">;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autonominė neuropatija.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Pailgėjusio QT intervalo ir </w:t>
      </w:r>
      <w:proofErr w:type="spellStart"/>
      <w:r>
        <w:rPr>
          <w:i/>
          <w:sz w:val="22"/>
          <w:szCs w:val="22"/>
        </w:rPr>
        <w:t>Torsade</w:t>
      </w:r>
      <w:proofErr w:type="spellEnd"/>
      <w:r>
        <w:rPr>
          <w:i/>
          <w:sz w:val="22"/>
          <w:szCs w:val="22"/>
        </w:rPr>
        <w:t xml:space="preserve"> de </w:t>
      </w:r>
      <w:proofErr w:type="spellStart"/>
      <w:r>
        <w:rPr>
          <w:i/>
          <w:sz w:val="22"/>
          <w:szCs w:val="22"/>
        </w:rPr>
        <w:t>Pointes</w:t>
      </w:r>
      <w:proofErr w:type="spellEnd"/>
      <w:r>
        <w:rPr>
          <w:sz w:val="22"/>
          <w:szCs w:val="22"/>
        </w:rPr>
        <w:t xml:space="preserve"> pasireiškimo atvejų pastebėta tiems pacientams, kuriems buvo rizikos veiksnių, pavyzdžiui, anksčiau nustatytas ilgo QT intervalo sindromas ir </w:t>
      </w:r>
      <w:proofErr w:type="spellStart"/>
      <w:r>
        <w:rPr>
          <w:sz w:val="22"/>
          <w:szCs w:val="22"/>
        </w:rPr>
        <w:t>hipokalemija</w:t>
      </w:r>
      <w:proofErr w:type="spellEnd"/>
      <w:r>
        <w:rPr>
          <w:sz w:val="22"/>
          <w:szCs w:val="22"/>
        </w:rPr>
        <w:t>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Ar ligoniams, kuriems dėl </w:t>
      </w:r>
      <w:proofErr w:type="spellStart"/>
      <w:r>
        <w:rPr>
          <w:sz w:val="22"/>
          <w:szCs w:val="22"/>
        </w:rPr>
        <w:t>neurogeninių</w:t>
      </w:r>
      <w:proofErr w:type="spellEnd"/>
      <w:r>
        <w:rPr>
          <w:sz w:val="22"/>
          <w:szCs w:val="22"/>
        </w:rPr>
        <w:t xml:space="preserve"> priežasčių pernelyg padidėjęs šlapimo pūslę sutraukiančiojo raumens (</w:t>
      </w:r>
      <w:proofErr w:type="spellStart"/>
      <w:r>
        <w:rPr>
          <w:sz w:val="22"/>
          <w:szCs w:val="22"/>
        </w:rPr>
        <w:t>detrusoriaus</w:t>
      </w:r>
      <w:proofErr w:type="spellEnd"/>
      <w:r>
        <w:rPr>
          <w:sz w:val="22"/>
          <w:szCs w:val="22"/>
        </w:rPr>
        <w:t xml:space="preserve">) jautrumas, vaistinį preparatą vartoti saugu ir veiksminga, dar nenustatyta.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Pacientams, kuriems yra retas paveldimas </w:t>
      </w:r>
      <w:proofErr w:type="spellStart"/>
      <w:r>
        <w:rPr>
          <w:sz w:val="22"/>
          <w:szCs w:val="22"/>
        </w:rPr>
        <w:t>galaktozės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netoleravimas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Lapp</w:t>
      </w:r>
      <w:proofErr w:type="spellEnd"/>
      <w:r>
        <w:rPr>
          <w:sz w:val="22"/>
          <w:szCs w:val="22"/>
        </w:rPr>
        <w:t xml:space="preserve"> laktazės trūkumas ar gliukozės ir </w:t>
      </w:r>
      <w:proofErr w:type="spellStart"/>
      <w:r>
        <w:rPr>
          <w:sz w:val="22"/>
          <w:szCs w:val="22"/>
        </w:rPr>
        <w:t>galaktozės</w:t>
      </w:r>
      <w:proofErr w:type="spellEnd"/>
      <w:r>
        <w:rPr>
          <w:sz w:val="22"/>
          <w:szCs w:val="22"/>
        </w:rPr>
        <w:t xml:space="preserve"> absorbcijos sutrikimas, šio vaistinio preparato vartoti negalima.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Kai kuriems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sukcinatą</w:t>
      </w:r>
      <w:proofErr w:type="spellEnd"/>
      <w:r>
        <w:rPr>
          <w:color w:val="000000"/>
          <w:sz w:val="22"/>
          <w:szCs w:val="22"/>
        </w:rPr>
        <w:t xml:space="preserve"> vartojantiems pacientams pasireiškė </w:t>
      </w:r>
      <w:proofErr w:type="spellStart"/>
      <w:r>
        <w:rPr>
          <w:color w:val="000000"/>
          <w:sz w:val="22"/>
          <w:szCs w:val="22"/>
        </w:rPr>
        <w:t>angioneurozinė</w:t>
      </w:r>
      <w:proofErr w:type="spellEnd"/>
      <w:r>
        <w:rPr>
          <w:color w:val="000000"/>
          <w:sz w:val="22"/>
          <w:szCs w:val="22"/>
        </w:rPr>
        <w:t xml:space="preserve"> edema su kvėpavimo takų obstrukcija. Jeigu pasireiškia </w:t>
      </w:r>
      <w:proofErr w:type="spellStart"/>
      <w:r>
        <w:rPr>
          <w:color w:val="000000"/>
          <w:sz w:val="22"/>
          <w:szCs w:val="22"/>
        </w:rPr>
        <w:t>angioneurozinė</w:t>
      </w:r>
      <w:proofErr w:type="spellEnd"/>
      <w:r>
        <w:rPr>
          <w:color w:val="000000"/>
          <w:sz w:val="22"/>
          <w:szCs w:val="22"/>
        </w:rPr>
        <w:t xml:space="preserve"> edema,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sukcinato</w:t>
      </w:r>
      <w:proofErr w:type="spellEnd"/>
      <w:r>
        <w:rPr>
          <w:color w:val="000000"/>
          <w:sz w:val="22"/>
          <w:szCs w:val="22"/>
        </w:rPr>
        <w:t xml:space="preserve"> vartojimą reikia nutraukti bei skirti tinkamą gydymą ir (arba) imtis atitinkamų priemonių.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iCs/>
          <w:sz w:val="22"/>
          <w:szCs w:val="22"/>
          <w:lang w:eastAsia="ja-JP"/>
        </w:rPr>
      </w:pPr>
      <w:r>
        <w:rPr>
          <w:sz w:val="22"/>
          <w:szCs w:val="22"/>
        </w:rPr>
        <w:t xml:space="preserve">Kai kuriems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sukcinato</w:t>
      </w:r>
      <w:proofErr w:type="spellEnd"/>
      <w:r>
        <w:rPr>
          <w:color w:val="000000"/>
          <w:sz w:val="22"/>
          <w:szCs w:val="22"/>
        </w:rPr>
        <w:t xml:space="preserve"> vartojantiems pacientams pasireiškė anafilaksinė reakcija</w:t>
      </w:r>
      <w:r>
        <w:rPr>
          <w:iCs/>
          <w:sz w:val="22"/>
          <w:szCs w:val="22"/>
          <w:lang w:eastAsia="ja-JP"/>
        </w:rPr>
        <w:t xml:space="preserve">. Jeigu pacientui </w:t>
      </w:r>
      <w:r>
        <w:rPr>
          <w:color w:val="000000"/>
          <w:sz w:val="22"/>
          <w:szCs w:val="22"/>
        </w:rPr>
        <w:t>pasireiškia anafilaksinė reakcija</w:t>
      </w:r>
      <w:r>
        <w:rPr>
          <w:iCs/>
          <w:sz w:val="22"/>
          <w:szCs w:val="22"/>
          <w:lang w:eastAsia="ja-JP"/>
        </w:rPr>
        <w:t xml:space="preserve">,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sukcinato</w:t>
      </w:r>
      <w:proofErr w:type="spellEnd"/>
      <w:r>
        <w:rPr>
          <w:color w:val="000000"/>
          <w:sz w:val="22"/>
          <w:szCs w:val="22"/>
        </w:rPr>
        <w:t xml:space="preserve"> vartojimą reikia nutraukti bei skirti tinkamą gydymą ir (arba) imtis atitinkamų priemonių</w:t>
      </w:r>
      <w:r>
        <w:rPr>
          <w:iCs/>
          <w:sz w:val="22"/>
          <w:szCs w:val="22"/>
          <w:lang w:eastAsia="ja-JP"/>
        </w:rPr>
        <w:t>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Didžiausias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poveikis pasireiškia ne anksčiau kaip po 4 savaičių.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bookmarkStart w:id="22" w:name="_Toc129243106"/>
      <w:bookmarkStart w:id="23" w:name="_Toc129243231"/>
      <w:r>
        <w:lastRenderedPageBreak/>
        <w:t>4.5</w:t>
      </w:r>
      <w:r>
        <w:tab/>
        <w:t>Sąveika su kitais vaistiniais preparatais ir kitokia sąveika</w:t>
      </w:r>
      <w:bookmarkEnd w:id="22"/>
      <w:bookmarkEnd w:id="23"/>
    </w:p>
    <w:p w:rsidR="00955A5A" w:rsidRDefault="00955A5A" w:rsidP="00955A5A">
      <w:pPr>
        <w:keepNext/>
        <w:rPr>
          <w:i/>
          <w:iCs/>
        </w:rPr>
      </w:pPr>
    </w:p>
    <w:p w:rsidR="00955A5A" w:rsidRPr="00F379AD" w:rsidRDefault="00955A5A" w:rsidP="00955A5A">
      <w:pPr>
        <w:keepNext/>
        <w:rPr>
          <w:sz w:val="22"/>
          <w:u w:val="single"/>
        </w:rPr>
      </w:pPr>
      <w:r w:rsidRPr="00EB165F">
        <w:rPr>
          <w:sz w:val="22"/>
          <w:u w:val="single"/>
        </w:rPr>
        <w:t xml:space="preserve">Farmakologinė sąveika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Vaistinį preparatą vartojant kartu su kitokiu vaistiniu preparatu, kuriam būdingos </w:t>
      </w:r>
      <w:proofErr w:type="spellStart"/>
      <w:r>
        <w:rPr>
          <w:sz w:val="22"/>
          <w:szCs w:val="22"/>
        </w:rPr>
        <w:t>anticholinerginės</w:t>
      </w:r>
      <w:proofErr w:type="spellEnd"/>
      <w:r>
        <w:rPr>
          <w:sz w:val="22"/>
          <w:szCs w:val="22"/>
        </w:rPr>
        <w:t xml:space="preserve"> savybės, gali sustiprėti terapinis ir nepageidaujamas poveikis. Nustojus vartoti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, kitų </w:t>
      </w:r>
      <w:proofErr w:type="spellStart"/>
      <w:r>
        <w:rPr>
          <w:sz w:val="22"/>
          <w:szCs w:val="22"/>
        </w:rPr>
        <w:t>anticholinerginių</w:t>
      </w:r>
      <w:proofErr w:type="spellEnd"/>
      <w:r>
        <w:rPr>
          <w:sz w:val="22"/>
          <w:szCs w:val="22"/>
        </w:rPr>
        <w:t xml:space="preserve"> vaistinių preparatų galima vartoti ne anksčiau, kaip po savaitės. Terapinį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poveikį gali silpninti kartu vartojami </w:t>
      </w:r>
      <w:proofErr w:type="spellStart"/>
      <w:r>
        <w:rPr>
          <w:sz w:val="22"/>
          <w:szCs w:val="22"/>
        </w:rPr>
        <w:t>cholinomimetikai</w:t>
      </w:r>
      <w:proofErr w:type="spellEnd"/>
      <w:r>
        <w:rPr>
          <w:sz w:val="22"/>
          <w:szCs w:val="22"/>
        </w:rPr>
        <w:t xml:space="preserve">.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Solifenacinas</w:t>
      </w:r>
      <w:proofErr w:type="spellEnd"/>
      <w:r>
        <w:rPr>
          <w:sz w:val="22"/>
          <w:szCs w:val="22"/>
        </w:rPr>
        <w:t xml:space="preserve"> gali silpninti vaistinių preparatų, kurie skatina virškinimo trakto peristaltiką, pvz., </w:t>
      </w:r>
      <w:proofErr w:type="spellStart"/>
      <w:r>
        <w:rPr>
          <w:sz w:val="22"/>
          <w:szCs w:val="22"/>
        </w:rPr>
        <w:t>metoklopramido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cisaprido</w:t>
      </w:r>
      <w:proofErr w:type="spellEnd"/>
      <w:r>
        <w:rPr>
          <w:sz w:val="22"/>
          <w:szCs w:val="22"/>
        </w:rPr>
        <w:t xml:space="preserve">, poveikį. </w:t>
      </w:r>
    </w:p>
    <w:p w:rsidR="00955A5A" w:rsidRDefault="00955A5A" w:rsidP="00955A5A">
      <w:pPr>
        <w:rPr>
          <w:sz w:val="22"/>
          <w:szCs w:val="22"/>
        </w:rPr>
      </w:pPr>
    </w:p>
    <w:p w:rsidR="00955A5A" w:rsidRPr="00F379AD" w:rsidRDefault="00955A5A" w:rsidP="00955A5A">
      <w:pPr>
        <w:keepNext/>
        <w:tabs>
          <w:tab w:val="left" w:pos="567"/>
        </w:tabs>
        <w:rPr>
          <w:sz w:val="22"/>
          <w:u w:val="single"/>
        </w:rPr>
      </w:pPr>
      <w:proofErr w:type="spellStart"/>
      <w:r w:rsidRPr="00EB165F">
        <w:rPr>
          <w:sz w:val="22"/>
          <w:u w:val="single"/>
        </w:rPr>
        <w:t>Farmakokinetinė</w:t>
      </w:r>
      <w:proofErr w:type="spellEnd"/>
      <w:r w:rsidRPr="00EB165F">
        <w:rPr>
          <w:sz w:val="22"/>
          <w:u w:val="single"/>
        </w:rPr>
        <w:t xml:space="preserve"> sąveika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Tyrimais </w:t>
      </w:r>
      <w:proofErr w:type="spellStart"/>
      <w:r>
        <w:rPr>
          <w:i/>
          <w:sz w:val="22"/>
          <w:szCs w:val="22"/>
        </w:rPr>
        <w:t>in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vitro</w:t>
      </w:r>
      <w:proofErr w:type="spellEnd"/>
      <w:r>
        <w:rPr>
          <w:sz w:val="22"/>
          <w:szCs w:val="22"/>
        </w:rPr>
        <w:t xml:space="preserve"> įrodyta, kad terapinė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koncentracija neslopina iš žmogaus kepenų </w:t>
      </w:r>
      <w:proofErr w:type="spellStart"/>
      <w:r>
        <w:rPr>
          <w:sz w:val="22"/>
          <w:szCs w:val="22"/>
        </w:rPr>
        <w:t>mikrosomų</w:t>
      </w:r>
      <w:proofErr w:type="spellEnd"/>
      <w:r>
        <w:rPr>
          <w:sz w:val="22"/>
          <w:szCs w:val="22"/>
        </w:rPr>
        <w:t xml:space="preserve"> išskirtų CYP1A1/2, 2C9, 2C19, 2D6 ar 3A4, todėl mažai tikėtina, kad </w:t>
      </w:r>
      <w:proofErr w:type="spellStart"/>
      <w:r>
        <w:rPr>
          <w:sz w:val="22"/>
          <w:szCs w:val="22"/>
        </w:rPr>
        <w:t>solifenacinas</w:t>
      </w:r>
      <w:proofErr w:type="spellEnd"/>
      <w:r>
        <w:rPr>
          <w:sz w:val="22"/>
          <w:szCs w:val="22"/>
        </w:rPr>
        <w:t xml:space="preserve"> keistų vaistinių preparatų, kurie </w:t>
      </w:r>
      <w:proofErr w:type="spellStart"/>
      <w:r>
        <w:rPr>
          <w:sz w:val="22"/>
          <w:szCs w:val="22"/>
        </w:rPr>
        <w:t>metabolizuojami</w:t>
      </w:r>
      <w:proofErr w:type="spellEnd"/>
      <w:r>
        <w:rPr>
          <w:sz w:val="22"/>
          <w:szCs w:val="22"/>
        </w:rPr>
        <w:t xml:space="preserve"> šių CYP fermentų, klirensą. </w:t>
      </w:r>
    </w:p>
    <w:p w:rsidR="00955A5A" w:rsidRDefault="00955A5A" w:rsidP="00955A5A">
      <w:pPr>
        <w:rPr>
          <w:sz w:val="22"/>
          <w:szCs w:val="22"/>
        </w:rPr>
      </w:pPr>
    </w:p>
    <w:p w:rsidR="00955A5A" w:rsidRPr="00F379AD" w:rsidRDefault="00955A5A" w:rsidP="00955A5A">
      <w:pPr>
        <w:rPr>
          <w:sz w:val="22"/>
          <w:u w:val="single"/>
        </w:rPr>
      </w:pPr>
      <w:r w:rsidRPr="00EB165F">
        <w:rPr>
          <w:sz w:val="22"/>
          <w:u w:val="single"/>
        </w:rPr>
        <w:t xml:space="preserve">Kitų vaistinių preparatų poveikis </w:t>
      </w:r>
      <w:proofErr w:type="spellStart"/>
      <w:r w:rsidRPr="00EB165F">
        <w:rPr>
          <w:sz w:val="22"/>
          <w:u w:val="single"/>
        </w:rPr>
        <w:t>solifenacino</w:t>
      </w:r>
      <w:proofErr w:type="spellEnd"/>
      <w:r w:rsidRPr="00EB165F">
        <w:rPr>
          <w:sz w:val="22"/>
          <w:u w:val="single"/>
        </w:rPr>
        <w:t xml:space="preserve"> </w:t>
      </w:r>
      <w:proofErr w:type="spellStart"/>
      <w:r w:rsidRPr="00EB165F">
        <w:rPr>
          <w:sz w:val="22"/>
          <w:u w:val="single"/>
        </w:rPr>
        <w:t>farmakokinetikai</w:t>
      </w:r>
      <w:proofErr w:type="spellEnd"/>
      <w:r w:rsidRPr="00EB165F">
        <w:rPr>
          <w:sz w:val="22"/>
          <w:u w:val="single"/>
        </w:rPr>
        <w:t xml:space="preserve"> </w:t>
      </w:r>
    </w:p>
    <w:p w:rsidR="00955A5A" w:rsidRDefault="00955A5A" w:rsidP="00955A5A">
      <w:pPr>
        <w:rPr>
          <w:sz w:val="22"/>
        </w:rPr>
      </w:pPr>
      <w:proofErr w:type="spellStart"/>
      <w:r>
        <w:rPr>
          <w:sz w:val="22"/>
        </w:rPr>
        <w:t>Solifenaciną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metabolizuoja</w:t>
      </w:r>
      <w:proofErr w:type="spellEnd"/>
      <w:r>
        <w:rPr>
          <w:sz w:val="22"/>
        </w:rPr>
        <w:t xml:space="preserve"> CYP3A4. Kartu vartojant </w:t>
      </w:r>
      <w:proofErr w:type="spellStart"/>
      <w:r>
        <w:rPr>
          <w:sz w:val="22"/>
        </w:rPr>
        <w:t>ketokonazolo</w:t>
      </w:r>
      <w:proofErr w:type="spellEnd"/>
      <w:r>
        <w:rPr>
          <w:sz w:val="22"/>
        </w:rPr>
        <w:t xml:space="preserve">, stipraus CYP3A4 inhibitoriaus, 200 mg paros dozę, dvigubai padidėjo </w:t>
      </w:r>
      <w:proofErr w:type="spellStart"/>
      <w:r>
        <w:rPr>
          <w:sz w:val="22"/>
        </w:rPr>
        <w:t>solifenacino</w:t>
      </w:r>
      <w:proofErr w:type="spellEnd"/>
      <w:r>
        <w:rPr>
          <w:sz w:val="22"/>
        </w:rPr>
        <w:t xml:space="preserve"> AUC, o vartojant 400 mg </w:t>
      </w:r>
      <w:proofErr w:type="spellStart"/>
      <w:r>
        <w:rPr>
          <w:sz w:val="22"/>
        </w:rPr>
        <w:t>ketokonazolo</w:t>
      </w:r>
      <w:proofErr w:type="spellEnd"/>
      <w:r>
        <w:rPr>
          <w:sz w:val="22"/>
        </w:rPr>
        <w:t xml:space="preserve"> paros dozę, </w:t>
      </w:r>
      <w:proofErr w:type="spellStart"/>
      <w:r>
        <w:rPr>
          <w:sz w:val="22"/>
        </w:rPr>
        <w:t>solifenacino</w:t>
      </w:r>
      <w:proofErr w:type="spellEnd"/>
      <w:r>
        <w:rPr>
          <w:sz w:val="22"/>
        </w:rPr>
        <w:t xml:space="preserve"> AUC padidėjo trigubai. Taigi, kartu su </w:t>
      </w:r>
      <w:proofErr w:type="spellStart"/>
      <w:r>
        <w:rPr>
          <w:sz w:val="22"/>
        </w:rPr>
        <w:t>ketokonazolu</w:t>
      </w:r>
      <w:proofErr w:type="spellEnd"/>
      <w:r>
        <w:rPr>
          <w:sz w:val="22"/>
        </w:rPr>
        <w:t xml:space="preserve"> ar kitokiu terapinėmis dozėmis vartojamu stipriu CYP3A4 inhibitoriumi (pvz., </w:t>
      </w:r>
      <w:proofErr w:type="spellStart"/>
      <w:r>
        <w:rPr>
          <w:sz w:val="22"/>
        </w:rPr>
        <w:t>ritonaviru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nelfinaviru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itrakonazolu</w:t>
      </w:r>
      <w:proofErr w:type="spellEnd"/>
      <w:r>
        <w:rPr>
          <w:sz w:val="22"/>
        </w:rPr>
        <w:t xml:space="preserve">) vartojant </w:t>
      </w:r>
      <w:proofErr w:type="spellStart"/>
      <w:r>
        <w:rPr>
          <w:sz w:val="22"/>
        </w:rPr>
        <w:t>Vesicare</w:t>
      </w:r>
      <w:proofErr w:type="spellEnd"/>
      <w:r>
        <w:rPr>
          <w:sz w:val="22"/>
        </w:rPr>
        <w:t xml:space="preserve">, didžiausia pastarojo vaistinio preparato dozė neturi viršyti 5 mg (žr. 4.2 skyrių). </w:t>
      </w:r>
    </w:p>
    <w:p w:rsidR="00955A5A" w:rsidRDefault="00955A5A" w:rsidP="00955A5A">
      <w:pPr>
        <w:rPr>
          <w:sz w:val="22"/>
        </w:rPr>
      </w:pPr>
      <w:r>
        <w:rPr>
          <w:sz w:val="22"/>
        </w:rPr>
        <w:t xml:space="preserve">Pacientams, kuriems yra sunkus inkstų funkcijos sutrikimas ar vidutinis kepenų funkcijos sutrikimas, vienu metu vartoti </w:t>
      </w:r>
      <w:proofErr w:type="spellStart"/>
      <w:r>
        <w:rPr>
          <w:sz w:val="22"/>
        </w:rPr>
        <w:t>solifenacino</w:t>
      </w:r>
      <w:proofErr w:type="spellEnd"/>
      <w:r>
        <w:rPr>
          <w:sz w:val="22"/>
        </w:rPr>
        <w:t xml:space="preserve"> ir stipraus CYP3A4 inhibitoriaus draudžiama. </w:t>
      </w:r>
    </w:p>
    <w:p w:rsidR="00955A5A" w:rsidRDefault="00955A5A" w:rsidP="00955A5A">
      <w:pPr>
        <w:rPr>
          <w:sz w:val="22"/>
        </w:rPr>
      </w:pPr>
      <w:r>
        <w:rPr>
          <w:sz w:val="22"/>
        </w:rPr>
        <w:t xml:space="preserve">Fermentų indukcijos poveikis </w:t>
      </w:r>
      <w:proofErr w:type="spellStart"/>
      <w:r>
        <w:rPr>
          <w:sz w:val="22"/>
        </w:rPr>
        <w:t>solifenacino</w:t>
      </w:r>
      <w:proofErr w:type="spellEnd"/>
      <w:r>
        <w:rPr>
          <w:sz w:val="22"/>
        </w:rPr>
        <w:t xml:space="preserve"> ir jo metabolitų </w:t>
      </w:r>
      <w:proofErr w:type="spellStart"/>
      <w:r>
        <w:rPr>
          <w:sz w:val="22"/>
        </w:rPr>
        <w:t>farmakokinetikai</w:t>
      </w:r>
      <w:proofErr w:type="spellEnd"/>
      <w:r>
        <w:rPr>
          <w:sz w:val="22"/>
        </w:rPr>
        <w:t xml:space="preserve">, taip pat didelio </w:t>
      </w:r>
      <w:proofErr w:type="spellStart"/>
      <w:r>
        <w:rPr>
          <w:sz w:val="22"/>
        </w:rPr>
        <w:t>afiniteto</w:t>
      </w:r>
      <w:proofErr w:type="spellEnd"/>
      <w:r>
        <w:rPr>
          <w:sz w:val="22"/>
        </w:rPr>
        <w:t xml:space="preserve"> CYP3A4 substratų poveikis </w:t>
      </w:r>
      <w:proofErr w:type="spellStart"/>
      <w:r>
        <w:rPr>
          <w:sz w:val="22"/>
        </w:rPr>
        <w:t>solifenacino</w:t>
      </w:r>
      <w:proofErr w:type="spellEnd"/>
      <w:r>
        <w:rPr>
          <w:sz w:val="22"/>
        </w:rPr>
        <w:t xml:space="preserve"> ekspozicijai neištirti. Kadangi </w:t>
      </w:r>
      <w:proofErr w:type="spellStart"/>
      <w:r>
        <w:rPr>
          <w:sz w:val="22"/>
        </w:rPr>
        <w:t>solifenaciną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metabolizuoja</w:t>
      </w:r>
      <w:proofErr w:type="spellEnd"/>
      <w:r>
        <w:rPr>
          <w:sz w:val="22"/>
        </w:rPr>
        <w:t xml:space="preserve"> CYP3A4, galima </w:t>
      </w:r>
      <w:proofErr w:type="spellStart"/>
      <w:r>
        <w:rPr>
          <w:sz w:val="22"/>
        </w:rPr>
        <w:t>farmakokinetinė</w:t>
      </w:r>
      <w:proofErr w:type="spellEnd"/>
      <w:r>
        <w:rPr>
          <w:sz w:val="22"/>
        </w:rPr>
        <w:t xml:space="preserve"> sąveika su kitais didelio </w:t>
      </w:r>
      <w:proofErr w:type="spellStart"/>
      <w:r>
        <w:rPr>
          <w:sz w:val="22"/>
        </w:rPr>
        <w:t>afiniteto</w:t>
      </w:r>
      <w:proofErr w:type="spellEnd"/>
      <w:r>
        <w:rPr>
          <w:sz w:val="22"/>
        </w:rPr>
        <w:t xml:space="preserve"> CYP3A4 substratais (pvz., </w:t>
      </w:r>
      <w:proofErr w:type="spellStart"/>
      <w:r>
        <w:rPr>
          <w:sz w:val="22"/>
        </w:rPr>
        <w:t>verapamiliu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diltiazemu</w:t>
      </w:r>
      <w:proofErr w:type="spellEnd"/>
      <w:r>
        <w:rPr>
          <w:sz w:val="22"/>
        </w:rPr>
        <w:t xml:space="preserve">) ir CYP3A4 indukuojančiais vaistiniais preparatais (pvz., </w:t>
      </w:r>
      <w:proofErr w:type="spellStart"/>
      <w:r>
        <w:rPr>
          <w:sz w:val="22"/>
        </w:rPr>
        <w:t>rifampicinu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fenitoinu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karbamazepinu</w:t>
      </w:r>
      <w:proofErr w:type="spellEnd"/>
      <w:r>
        <w:rPr>
          <w:sz w:val="22"/>
        </w:rPr>
        <w:t xml:space="preserve">). </w:t>
      </w:r>
    </w:p>
    <w:p w:rsidR="00955A5A" w:rsidRDefault="00955A5A" w:rsidP="00955A5A">
      <w:pPr>
        <w:rPr>
          <w:sz w:val="22"/>
          <w:szCs w:val="22"/>
        </w:rPr>
      </w:pPr>
    </w:p>
    <w:p w:rsidR="00955A5A" w:rsidRPr="00F379AD" w:rsidRDefault="00955A5A" w:rsidP="00955A5A">
      <w:pPr>
        <w:rPr>
          <w:sz w:val="22"/>
          <w:u w:val="single"/>
        </w:rPr>
      </w:pPr>
      <w:proofErr w:type="spellStart"/>
      <w:r w:rsidRPr="00EB165F">
        <w:rPr>
          <w:sz w:val="22"/>
          <w:u w:val="single"/>
        </w:rPr>
        <w:t>Solifenacino</w:t>
      </w:r>
      <w:proofErr w:type="spellEnd"/>
      <w:r w:rsidRPr="00EB165F">
        <w:rPr>
          <w:sz w:val="22"/>
          <w:u w:val="single"/>
        </w:rPr>
        <w:t xml:space="preserve"> poveikis </w:t>
      </w:r>
      <w:r>
        <w:rPr>
          <w:sz w:val="22"/>
          <w:u w:val="single"/>
        </w:rPr>
        <w:t>kitų</w:t>
      </w:r>
      <w:r w:rsidRPr="00EB165F">
        <w:rPr>
          <w:sz w:val="22"/>
          <w:u w:val="single"/>
        </w:rPr>
        <w:t xml:space="preserve"> vaistinių preparatų </w:t>
      </w:r>
      <w:proofErr w:type="spellStart"/>
      <w:r w:rsidRPr="00EB165F">
        <w:rPr>
          <w:sz w:val="22"/>
          <w:u w:val="single"/>
        </w:rPr>
        <w:t>farmakokinetikai</w:t>
      </w:r>
      <w:proofErr w:type="spellEnd"/>
      <w:r w:rsidRPr="00EB165F">
        <w:rPr>
          <w:sz w:val="22"/>
          <w:u w:val="single"/>
        </w:rPr>
        <w:t xml:space="preserve"> </w:t>
      </w:r>
    </w:p>
    <w:p w:rsidR="00955A5A" w:rsidRDefault="00955A5A" w:rsidP="00955A5A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Geriamieji kontraceptikai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Vartojant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farmakokinetinės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ir sudėtinių geriamųjų kontraceptikų (</w:t>
      </w:r>
      <w:proofErr w:type="spellStart"/>
      <w:r>
        <w:rPr>
          <w:sz w:val="22"/>
          <w:szCs w:val="22"/>
        </w:rPr>
        <w:t>etinilestradiolio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levonorgestrelio</w:t>
      </w:r>
      <w:proofErr w:type="spellEnd"/>
      <w:r>
        <w:rPr>
          <w:sz w:val="22"/>
          <w:szCs w:val="22"/>
        </w:rPr>
        <w:t xml:space="preserve">) sąveikos nenustatyta. </w:t>
      </w:r>
    </w:p>
    <w:p w:rsidR="00955A5A" w:rsidRDefault="00955A5A" w:rsidP="00955A5A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Varfarinas</w:t>
      </w:r>
      <w:proofErr w:type="spellEnd"/>
      <w:r>
        <w:rPr>
          <w:i/>
          <w:sz w:val="22"/>
          <w:szCs w:val="22"/>
        </w:rPr>
        <w:t xml:space="preserve">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nekeičia R-</w:t>
      </w:r>
      <w:proofErr w:type="spellStart"/>
      <w:r>
        <w:rPr>
          <w:sz w:val="22"/>
          <w:szCs w:val="22"/>
        </w:rPr>
        <w:t>varfarino</w:t>
      </w:r>
      <w:proofErr w:type="spellEnd"/>
      <w:r>
        <w:rPr>
          <w:sz w:val="22"/>
          <w:szCs w:val="22"/>
        </w:rPr>
        <w:t xml:space="preserve"> ar S- </w:t>
      </w:r>
      <w:proofErr w:type="spellStart"/>
      <w:r>
        <w:rPr>
          <w:sz w:val="22"/>
          <w:szCs w:val="22"/>
        </w:rPr>
        <w:t>varfarino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farmakokinetikos</w:t>
      </w:r>
      <w:proofErr w:type="spellEnd"/>
      <w:r>
        <w:rPr>
          <w:sz w:val="22"/>
          <w:szCs w:val="22"/>
        </w:rPr>
        <w:t xml:space="preserve"> ir jų poveikio </w:t>
      </w:r>
      <w:proofErr w:type="spellStart"/>
      <w:r>
        <w:rPr>
          <w:sz w:val="22"/>
          <w:szCs w:val="22"/>
        </w:rPr>
        <w:t>protrombino</w:t>
      </w:r>
      <w:proofErr w:type="spellEnd"/>
      <w:r>
        <w:rPr>
          <w:sz w:val="22"/>
          <w:szCs w:val="22"/>
        </w:rPr>
        <w:t xml:space="preserve"> laikui. </w:t>
      </w:r>
    </w:p>
    <w:p w:rsidR="00955A5A" w:rsidRDefault="00955A5A" w:rsidP="00955A5A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Digoksinas</w:t>
      </w:r>
      <w:proofErr w:type="spellEnd"/>
      <w:r>
        <w:rPr>
          <w:i/>
          <w:sz w:val="22"/>
          <w:szCs w:val="22"/>
        </w:rPr>
        <w:t xml:space="preserve">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Digoksino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farmakokinetikai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įtakos neturi.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bookmarkStart w:id="24" w:name="_Toc129243107"/>
      <w:bookmarkStart w:id="25" w:name="_Toc129243232"/>
      <w:r>
        <w:t>4.6</w:t>
      </w:r>
      <w:r>
        <w:tab/>
        <w:t>Vaisingumas, nėštumo ir žindymo laikotarpis</w:t>
      </w:r>
      <w:bookmarkEnd w:id="24"/>
      <w:bookmarkEnd w:id="25"/>
    </w:p>
    <w:p w:rsidR="00955A5A" w:rsidRDefault="00955A5A" w:rsidP="00955A5A">
      <w:pPr>
        <w:rPr>
          <w:sz w:val="22"/>
          <w:szCs w:val="22"/>
        </w:rPr>
      </w:pPr>
    </w:p>
    <w:p w:rsidR="00955A5A" w:rsidRPr="00F379AD" w:rsidRDefault="00955A5A" w:rsidP="00955A5A">
      <w:pPr>
        <w:rPr>
          <w:sz w:val="22"/>
          <w:u w:val="single"/>
        </w:rPr>
      </w:pPr>
      <w:r w:rsidRPr="00EB165F">
        <w:rPr>
          <w:sz w:val="22"/>
          <w:u w:val="single"/>
        </w:rPr>
        <w:t xml:space="preserve">Nėštumas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Klinikinių duomenų apie poveikį moterims, kurios pastojo vartodamos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, nėra. Tyrimai su gyvūnais tiesioginio kenksmingo poveikio vaisingumui, embriono ar vaisiaus vystymuisi bei palikuonių atsivedimui neparodė (žr. 5.3 skyrių). Galimas pavojus žmogui nežinomas. Vaistinio preparato skirti nėščioms moterims reikia atsargiai. </w:t>
      </w:r>
    </w:p>
    <w:p w:rsidR="00955A5A" w:rsidRDefault="00955A5A" w:rsidP="00955A5A">
      <w:pPr>
        <w:rPr>
          <w:bCs/>
          <w:color w:val="000000"/>
          <w:u w:val="single"/>
        </w:rPr>
      </w:pPr>
    </w:p>
    <w:p w:rsidR="00955A5A" w:rsidRDefault="00955A5A" w:rsidP="00955A5A">
      <w:pPr>
        <w:pStyle w:val="Pagrindinistekstas"/>
        <w:spacing w:before="240"/>
        <w:rPr>
          <w:bCs/>
          <w:color w:val="000000"/>
          <w:sz w:val="22"/>
          <w:szCs w:val="22"/>
          <w:u w:val="single"/>
          <w:lang w:val="lt-LT"/>
        </w:rPr>
      </w:pPr>
      <w:r>
        <w:rPr>
          <w:bCs/>
          <w:color w:val="000000"/>
          <w:sz w:val="22"/>
          <w:szCs w:val="22"/>
          <w:u w:val="single"/>
          <w:lang w:val="lt-LT"/>
        </w:rPr>
        <w:t>Žindymas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Ar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išsiskiria su motinos pienu, nežinoma. Kadangi į pelių pieną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ir (ar) jo metabolitų patenka, ir priklausomai nuo dozės sulėtėja jauniklių augimas (žr. 5.3 skyrių), maitinančioms krūtimi moterims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vartoti negalima.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bookmarkStart w:id="26" w:name="_Toc129243108"/>
      <w:bookmarkStart w:id="27" w:name="_Toc129243233"/>
      <w:r>
        <w:t>4.7</w:t>
      </w:r>
      <w:r>
        <w:tab/>
        <w:t>Poveikis gebėjimui vairuoti ir valdyti mechanizmus</w:t>
      </w:r>
      <w:bookmarkEnd w:id="26"/>
      <w:bookmarkEnd w:id="27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proofErr w:type="spellStart"/>
      <w:r>
        <w:rPr>
          <w:noProof w:val="0"/>
          <w:color w:val="000000"/>
        </w:rPr>
        <w:t>Solifenacinas</w:t>
      </w:r>
      <w:proofErr w:type="spellEnd"/>
      <w:r>
        <w:rPr>
          <w:noProof w:val="0"/>
          <w:color w:val="000000"/>
        </w:rPr>
        <w:t xml:space="preserve">, kaip ir kitokios </w:t>
      </w:r>
      <w:proofErr w:type="spellStart"/>
      <w:r>
        <w:rPr>
          <w:noProof w:val="0"/>
          <w:color w:val="000000"/>
        </w:rPr>
        <w:t>anticholinerginės</w:t>
      </w:r>
      <w:proofErr w:type="spellEnd"/>
      <w:r>
        <w:rPr>
          <w:noProof w:val="0"/>
          <w:color w:val="000000"/>
        </w:rPr>
        <w:t xml:space="preserve"> medžiagos, gali sutrikdyti regą (matoma lyg per miglą) bei nedažnai sukelti mieguistumą ir nuovargį (žr. 4.8 skyrių). Toks poveikis neigiamai veikia gebėjimą vairuoti ir valdyti mechanizmus.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bookmarkStart w:id="28" w:name="_Toc129243109"/>
      <w:bookmarkStart w:id="29" w:name="_Toc129243234"/>
      <w:r>
        <w:t>4.8</w:t>
      </w:r>
      <w:r>
        <w:tab/>
        <w:t>Nepageidaujamas poveikis</w:t>
      </w:r>
      <w:bookmarkEnd w:id="28"/>
      <w:bookmarkEnd w:id="29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rPr>
          <w:sz w:val="22"/>
          <w:u w:val="single"/>
        </w:rPr>
      </w:pPr>
      <w:r>
        <w:rPr>
          <w:sz w:val="22"/>
          <w:u w:val="single"/>
        </w:rPr>
        <w:t>Saugumo duomenų santrauka</w:t>
      </w:r>
    </w:p>
    <w:p w:rsidR="00955A5A" w:rsidRDefault="00955A5A" w:rsidP="00955A5A">
      <w:pPr>
        <w:pStyle w:val="Pagrindinistekstas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Dėl farmakologinio </w:t>
      </w:r>
      <w:proofErr w:type="spellStart"/>
      <w:r>
        <w:rPr>
          <w:sz w:val="22"/>
          <w:szCs w:val="22"/>
          <w:lang w:val="lt-LT"/>
        </w:rPr>
        <w:t>solifenacino</w:t>
      </w:r>
      <w:proofErr w:type="spellEnd"/>
      <w:r>
        <w:rPr>
          <w:sz w:val="22"/>
          <w:szCs w:val="22"/>
          <w:lang w:val="lt-LT"/>
        </w:rPr>
        <w:t xml:space="preserve"> poveikio </w:t>
      </w:r>
      <w:proofErr w:type="spellStart"/>
      <w:r>
        <w:rPr>
          <w:sz w:val="22"/>
          <w:szCs w:val="22"/>
          <w:lang w:val="lt-LT"/>
        </w:rPr>
        <w:t>Vesicare</w:t>
      </w:r>
      <w:proofErr w:type="spellEnd"/>
      <w:r>
        <w:rPr>
          <w:sz w:val="22"/>
          <w:szCs w:val="22"/>
          <w:lang w:val="lt-LT"/>
        </w:rPr>
        <w:t xml:space="preserve"> gali sukelti nepageidaujamą </w:t>
      </w:r>
      <w:proofErr w:type="spellStart"/>
      <w:r>
        <w:rPr>
          <w:sz w:val="22"/>
          <w:szCs w:val="22"/>
          <w:lang w:val="lt-LT"/>
        </w:rPr>
        <w:t>anticholinerginį</w:t>
      </w:r>
      <w:proofErr w:type="spellEnd"/>
      <w:r>
        <w:rPr>
          <w:sz w:val="22"/>
          <w:szCs w:val="22"/>
          <w:lang w:val="lt-LT"/>
        </w:rPr>
        <w:t xml:space="preserve"> poveikį (paprastai lengvą arba vidutinio sunkumo). Nepageidaujamo </w:t>
      </w:r>
      <w:proofErr w:type="spellStart"/>
      <w:r>
        <w:rPr>
          <w:sz w:val="22"/>
          <w:szCs w:val="22"/>
          <w:lang w:val="lt-LT"/>
        </w:rPr>
        <w:t>anticholinerginio</w:t>
      </w:r>
      <w:proofErr w:type="spellEnd"/>
      <w:r>
        <w:rPr>
          <w:sz w:val="22"/>
          <w:szCs w:val="22"/>
          <w:lang w:val="lt-LT"/>
        </w:rPr>
        <w:t xml:space="preserve"> poveikio pasireiškimo dažnis priklauso nuo dozės. </w:t>
      </w:r>
    </w:p>
    <w:p w:rsidR="00955A5A" w:rsidRDefault="00955A5A" w:rsidP="00955A5A">
      <w:pPr>
        <w:pStyle w:val="Pagrindinistekstas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Dažniausiai sukeliama </w:t>
      </w:r>
      <w:proofErr w:type="spellStart"/>
      <w:r>
        <w:rPr>
          <w:sz w:val="22"/>
          <w:szCs w:val="22"/>
          <w:lang w:val="lt-LT"/>
        </w:rPr>
        <w:t>Vesicare</w:t>
      </w:r>
      <w:proofErr w:type="spellEnd"/>
      <w:r>
        <w:rPr>
          <w:sz w:val="22"/>
          <w:szCs w:val="22"/>
          <w:lang w:val="lt-LT"/>
        </w:rPr>
        <w:t xml:space="preserve"> nepageidaujama reakcija – burnos sausmė. Ji atsirado 11 % pacientų, gydytų 5 mg </w:t>
      </w:r>
      <w:proofErr w:type="spellStart"/>
      <w:r>
        <w:rPr>
          <w:sz w:val="22"/>
          <w:szCs w:val="22"/>
          <w:lang w:val="lt-LT"/>
        </w:rPr>
        <w:t>solifenacino</w:t>
      </w:r>
      <w:proofErr w:type="spellEnd"/>
      <w:r>
        <w:rPr>
          <w:sz w:val="22"/>
          <w:szCs w:val="22"/>
          <w:lang w:val="lt-LT"/>
        </w:rPr>
        <w:t xml:space="preserve"> paros doze, 22 % ligonių, gydytų 10 mg paros doze, ir 4 % </w:t>
      </w:r>
      <w:proofErr w:type="spellStart"/>
      <w:r>
        <w:rPr>
          <w:sz w:val="22"/>
          <w:szCs w:val="22"/>
          <w:lang w:val="lt-LT"/>
        </w:rPr>
        <w:t>placebo</w:t>
      </w:r>
      <w:proofErr w:type="spellEnd"/>
      <w:r>
        <w:rPr>
          <w:sz w:val="22"/>
          <w:szCs w:val="22"/>
          <w:lang w:val="lt-LT"/>
        </w:rPr>
        <w:t xml:space="preserve"> vartojusių žmonių. Burnos sausmė dažniausiai būdavo lengva ir tik retkarčiais dėl jos tekdavo nutraukti gydymą. Paprastai vaistinį preparatą pacientai toleravo labai gerai (maždaug 99 %) ir maždaug 90 % </w:t>
      </w:r>
      <w:proofErr w:type="spellStart"/>
      <w:r>
        <w:rPr>
          <w:sz w:val="22"/>
          <w:szCs w:val="22"/>
          <w:lang w:val="lt-LT"/>
        </w:rPr>
        <w:t>Vesicare</w:t>
      </w:r>
      <w:proofErr w:type="spellEnd"/>
      <w:r>
        <w:rPr>
          <w:sz w:val="22"/>
          <w:szCs w:val="22"/>
          <w:lang w:val="lt-LT"/>
        </w:rPr>
        <w:t xml:space="preserve"> vartojusių ligonių baigė visą 12 savaičių trukmės tyrimo periodą.</w:t>
      </w:r>
    </w:p>
    <w:p w:rsidR="00955A5A" w:rsidRDefault="00955A5A" w:rsidP="00955A5A">
      <w:pPr>
        <w:rPr>
          <w:sz w:val="22"/>
        </w:rPr>
      </w:pPr>
    </w:p>
    <w:p w:rsidR="00955A5A" w:rsidRDefault="00955A5A" w:rsidP="00955A5A">
      <w:pPr>
        <w:rPr>
          <w:sz w:val="22"/>
          <w:u w:val="single"/>
        </w:rPr>
      </w:pPr>
      <w:r>
        <w:rPr>
          <w:sz w:val="22"/>
          <w:u w:val="single"/>
        </w:rPr>
        <w:t>Nepageidaujamų reakcijų santrauka lentelėje</w:t>
      </w:r>
    </w:p>
    <w:p w:rsidR="00955A5A" w:rsidRDefault="00955A5A" w:rsidP="00955A5A">
      <w:pPr>
        <w:rPr>
          <w:sz w:val="22"/>
        </w:rPr>
      </w:pPr>
    </w:p>
    <w:tbl>
      <w:tblPr>
        <w:tblW w:w="104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700"/>
        <w:gridCol w:w="900"/>
        <w:gridCol w:w="1260"/>
        <w:gridCol w:w="1620"/>
        <w:gridCol w:w="1440"/>
        <w:gridCol w:w="1260"/>
        <w:gridCol w:w="1260"/>
      </w:tblGrid>
      <w:tr w:rsidR="00955A5A" w:rsidTr="00C640DE">
        <w:trPr>
          <w:trHeight w:val="66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en-US"/>
              </w:rPr>
              <w:t xml:space="preserve">Pagal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lt-LT" w:eastAsia="en-US"/>
              </w:rPr>
              <w:t>MedDRA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lt-LT" w:eastAsia="en-US"/>
              </w:rPr>
              <w:t xml:space="preserve"> klasifikaciją suskirstytos organų sistemų klasės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b/>
                <w:lang w:val="lt-LT" w:eastAsia="en-US"/>
              </w:rPr>
            </w:pPr>
            <w:r>
              <w:rPr>
                <w:b/>
                <w:sz w:val="22"/>
                <w:szCs w:val="22"/>
                <w:lang w:val="lt-LT" w:eastAsia="en-US"/>
              </w:rPr>
              <w:t>Labai dažni</w:t>
            </w:r>
          </w:p>
          <w:p w:rsidR="00955A5A" w:rsidRDefault="00955A5A" w:rsidP="00C640DE">
            <w:pPr>
              <w:pStyle w:val="Pagrindinistekstas"/>
              <w:rPr>
                <w:b/>
                <w:color w:val="000000"/>
                <w:lang w:val="lt-LT" w:eastAsia="en-US"/>
              </w:rPr>
            </w:pPr>
            <w:r>
              <w:rPr>
                <w:b/>
                <w:sz w:val="22"/>
                <w:szCs w:val="22"/>
                <w:lang w:val="lt-LT" w:eastAsia="en-US"/>
              </w:rPr>
              <w:t>≥1/10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en-US"/>
              </w:rPr>
              <w:t xml:space="preserve">Dažni </w:t>
            </w:r>
          </w:p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en-US"/>
              </w:rPr>
              <w:t xml:space="preserve">nuo </w:t>
            </w:r>
            <w:r>
              <w:rPr>
                <w:b/>
                <w:sz w:val="22"/>
                <w:szCs w:val="22"/>
                <w:lang w:val="lt-LT" w:eastAsia="en-US"/>
              </w:rPr>
              <w:t>≥</w:t>
            </w:r>
            <w:r>
              <w:rPr>
                <w:b/>
                <w:bCs/>
                <w:color w:val="000000"/>
                <w:sz w:val="22"/>
                <w:szCs w:val="22"/>
                <w:lang w:val="lt-LT" w:eastAsia="en-US"/>
              </w:rPr>
              <w:t xml:space="preserve">1/100 iki &lt;1/10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en-US"/>
              </w:rPr>
              <w:t xml:space="preserve">Nedažni </w:t>
            </w:r>
          </w:p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en-US"/>
              </w:rPr>
              <w:t xml:space="preserve">nuo </w:t>
            </w:r>
            <w:r>
              <w:rPr>
                <w:b/>
                <w:sz w:val="22"/>
                <w:szCs w:val="22"/>
                <w:lang w:val="lt-LT" w:eastAsia="en-US"/>
              </w:rPr>
              <w:t>≥</w:t>
            </w:r>
            <w:r>
              <w:rPr>
                <w:b/>
                <w:bCs/>
                <w:color w:val="000000"/>
                <w:sz w:val="22"/>
                <w:szCs w:val="22"/>
                <w:lang w:val="lt-LT" w:eastAsia="en-US"/>
              </w:rPr>
              <w:t xml:space="preserve">1/1 000 iki &lt;1/100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en-US"/>
              </w:rPr>
              <w:t xml:space="preserve">Reti </w:t>
            </w:r>
          </w:p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en-US"/>
              </w:rPr>
              <w:t xml:space="preserve">nuo </w:t>
            </w:r>
            <w:r>
              <w:rPr>
                <w:b/>
                <w:sz w:val="22"/>
                <w:szCs w:val="22"/>
                <w:lang w:val="lt-LT" w:eastAsia="en-US"/>
              </w:rPr>
              <w:t>≥</w:t>
            </w:r>
            <w:r>
              <w:rPr>
                <w:b/>
                <w:bCs/>
                <w:color w:val="000000"/>
                <w:sz w:val="22"/>
                <w:szCs w:val="22"/>
                <w:lang w:val="lt-LT" w:eastAsia="en-US"/>
              </w:rPr>
              <w:t xml:space="preserve">1/10 000 iki &lt;1/1 000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5A" w:rsidRDefault="00955A5A" w:rsidP="00C640DE">
            <w:pPr>
              <w:pStyle w:val="Pagrindinistekstas"/>
              <w:rPr>
                <w:b/>
                <w:color w:val="000000"/>
                <w:lang w:val="lt-LT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en-US"/>
              </w:rPr>
              <w:t>Labai reti</w:t>
            </w:r>
          </w:p>
          <w:p w:rsidR="00955A5A" w:rsidRDefault="00955A5A" w:rsidP="00C640DE">
            <w:r>
              <w:rPr>
                <w:b/>
                <w:sz w:val="22"/>
                <w:szCs w:val="22"/>
              </w:rPr>
              <w:t>&lt;1/10 000</w:t>
            </w:r>
          </w:p>
          <w:p w:rsidR="00955A5A" w:rsidRDefault="00955A5A" w:rsidP="00C640DE"/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A5A" w:rsidRDefault="00955A5A" w:rsidP="00C640DE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Dažnis nežinomas (negali būti įvertintas pagal turimus duomenis)</w:t>
            </w:r>
          </w:p>
        </w:tc>
      </w:tr>
      <w:tr w:rsidR="00955A5A" w:rsidTr="00C640DE">
        <w:trPr>
          <w:trHeight w:val="13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Infekcijos ir </w:t>
            </w:r>
            <w:proofErr w:type="spellStart"/>
            <w:r>
              <w:rPr>
                <w:color w:val="000000"/>
                <w:sz w:val="22"/>
                <w:szCs w:val="22"/>
                <w:lang w:val="lt-LT" w:eastAsia="en-US"/>
              </w:rPr>
              <w:t>infestacijos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Šlapimo takų infekcija</w:t>
            </w:r>
          </w:p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Cistitas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5A" w:rsidRDefault="00955A5A" w:rsidP="00C640DE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A5A" w:rsidRDefault="00955A5A" w:rsidP="00C640DE">
            <w:pPr>
              <w:rPr>
                <w:color w:val="000000"/>
              </w:rPr>
            </w:pPr>
          </w:p>
        </w:tc>
      </w:tr>
      <w:tr w:rsidR="00955A5A" w:rsidTr="00C640DE">
        <w:trPr>
          <w:trHeight w:val="13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Imuninės sistemos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5A5A" w:rsidRDefault="00955A5A" w:rsidP="00C640DE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55A5A" w:rsidRDefault="00955A5A" w:rsidP="00C640DE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Anafilak-sinė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reakcija*</w:t>
            </w:r>
          </w:p>
        </w:tc>
      </w:tr>
      <w:tr w:rsidR="00955A5A" w:rsidTr="00C640DE">
        <w:trPr>
          <w:trHeight w:val="13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Metabolizmo ir mitybos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5A5A" w:rsidRDefault="00955A5A" w:rsidP="00C640DE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55A5A" w:rsidRDefault="00955A5A" w:rsidP="00C640D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Sumažėjęs apetitas*</w:t>
            </w:r>
          </w:p>
          <w:p w:rsidR="00955A5A" w:rsidRDefault="00955A5A" w:rsidP="00C640DE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Hiper-kalemija</w:t>
            </w:r>
            <w:proofErr w:type="spellEnd"/>
            <w:r>
              <w:rPr>
                <w:color w:val="000000"/>
                <w:sz w:val="22"/>
                <w:szCs w:val="22"/>
              </w:rPr>
              <w:t>*</w:t>
            </w:r>
          </w:p>
        </w:tc>
      </w:tr>
      <w:tr w:rsidR="00955A5A" w:rsidTr="00C640DE">
        <w:trPr>
          <w:trHeight w:val="9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sz w:val="22"/>
                <w:szCs w:val="22"/>
                <w:lang w:val="lt-LT" w:eastAsia="en-US"/>
              </w:rPr>
              <w:t>Psichikos sutrikimai</w:t>
            </w:r>
            <w:r>
              <w:rPr>
                <w:color w:val="000000"/>
                <w:sz w:val="22"/>
                <w:szCs w:val="22"/>
                <w:lang w:val="lt-LT"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Haliucinacijos*</w:t>
            </w:r>
          </w:p>
          <w:p w:rsidR="00955A5A" w:rsidRDefault="00955A5A" w:rsidP="00C640DE">
            <w:r>
              <w:rPr>
                <w:sz w:val="22"/>
                <w:szCs w:val="22"/>
              </w:rPr>
              <w:t>Konfūzija</w:t>
            </w:r>
            <w:r>
              <w:rPr>
                <w:color w:val="000000"/>
                <w:sz w:val="22"/>
                <w:szCs w:val="22"/>
              </w:rPr>
              <w:t>*</w:t>
            </w:r>
          </w:p>
          <w:p w:rsidR="00955A5A" w:rsidRDefault="00955A5A" w:rsidP="00C640D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A5A" w:rsidRDefault="00955A5A" w:rsidP="00C640DE">
            <w:proofErr w:type="spellStart"/>
            <w:r>
              <w:rPr>
                <w:sz w:val="22"/>
                <w:szCs w:val="22"/>
              </w:rPr>
              <w:t>Delyras</w:t>
            </w:r>
            <w:proofErr w:type="spellEnd"/>
            <w:r>
              <w:rPr>
                <w:sz w:val="22"/>
                <w:szCs w:val="22"/>
              </w:rPr>
              <w:t>*</w:t>
            </w:r>
          </w:p>
        </w:tc>
      </w:tr>
      <w:tr w:rsidR="00955A5A" w:rsidTr="00C640DE">
        <w:trPr>
          <w:trHeight w:val="66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Nervų sistemos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Mieguistumas </w:t>
            </w:r>
          </w:p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lt-LT" w:eastAsia="en-US"/>
              </w:rPr>
              <w:t>Disgeuzija</w:t>
            </w:r>
            <w:proofErr w:type="spellEnd"/>
            <w:r>
              <w:rPr>
                <w:color w:val="000000"/>
                <w:sz w:val="22"/>
                <w:szCs w:val="22"/>
                <w:lang w:val="lt-LT"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Galvos svaigimas*</w:t>
            </w:r>
          </w:p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proofErr w:type="spellStart"/>
            <w:r w:rsidRPr="005D3CF9">
              <w:rPr>
                <w:sz w:val="22"/>
                <w:szCs w:val="22"/>
                <w:lang w:val="en-US" w:eastAsia="en-US"/>
              </w:rPr>
              <w:t>Galvos</w:t>
            </w:r>
            <w:proofErr w:type="spellEnd"/>
            <w:r w:rsidRPr="005D3CF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3CF9">
              <w:rPr>
                <w:sz w:val="22"/>
                <w:szCs w:val="22"/>
                <w:lang w:val="en-US" w:eastAsia="en-US"/>
              </w:rPr>
              <w:t>skausmas</w:t>
            </w:r>
            <w:proofErr w:type="spellEnd"/>
            <w:r w:rsidRPr="005D3CF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5A" w:rsidRDefault="00955A5A" w:rsidP="00C640D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A5A" w:rsidRDefault="00955A5A" w:rsidP="00C640DE"/>
        </w:tc>
      </w:tr>
      <w:tr w:rsidR="00955A5A" w:rsidTr="00C640DE">
        <w:trPr>
          <w:trHeight w:val="5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Akių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Matymas lyg per miglą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Akių sausmė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5A" w:rsidRDefault="00955A5A" w:rsidP="00C640DE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A5A" w:rsidRDefault="00955A5A" w:rsidP="00C640D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Glaukoma*</w:t>
            </w:r>
          </w:p>
        </w:tc>
      </w:tr>
      <w:tr w:rsidR="00955A5A" w:rsidTr="00C640DE">
        <w:trPr>
          <w:trHeight w:val="5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Širdies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5A5A" w:rsidRDefault="00955A5A" w:rsidP="00C640DE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55A5A" w:rsidRDefault="00955A5A" w:rsidP="00C640DE">
            <w:pPr>
              <w:pStyle w:val="TableTextLeft"/>
              <w:rPr>
                <w:i/>
                <w:szCs w:val="22"/>
                <w:lang w:val="lt-LT"/>
              </w:rPr>
            </w:pPr>
            <w:proofErr w:type="spellStart"/>
            <w:r>
              <w:rPr>
                <w:i/>
                <w:szCs w:val="22"/>
                <w:lang w:val="lt-LT"/>
              </w:rPr>
              <w:t>Torsade</w:t>
            </w:r>
            <w:proofErr w:type="spellEnd"/>
            <w:r>
              <w:rPr>
                <w:i/>
                <w:szCs w:val="22"/>
                <w:lang w:val="lt-LT"/>
              </w:rPr>
              <w:t xml:space="preserve"> de </w:t>
            </w:r>
            <w:proofErr w:type="spellStart"/>
            <w:r>
              <w:rPr>
                <w:i/>
                <w:szCs w:val="22"/>
                <w:lang w:val="lt-LT"/>
              </w:rPr>
              <w:t>Pointes</w:t>
            </w:r>
            <w:proofErr w:type="spellEnd"/>
            <w:r>
              <w:rPr>
                <w:i/>
                <w:szCs w:val="22"/>
                <w:lang w:val="lt-LT"/>
              </w:rPr>
              <w:t>*</w:t>
            </w:r>
          </w:p>
          <w:p w:rsidR="00955A5A" w:rsidRDefault="00955A5A" w:rsidP="00C640DE">
            <w:r>
              <w:rPr>
                <w:sz w:val="22"/>
                <w:szCs w:val="22"/>
              </w:rPr>
              <w:t xml:space="preserve">Pailgėjęs QT intervalas </w:t>
            </w:r>
            <w:proofErr w:type="spellStart"/>
            <w:r>
              <w:rPr>
                <w:sz w:val="22"/>
                <w:szCs w:val="22"/>
              </w:rPr>
              <w:t>elektro-</w:t>
            </w:r>
            <w:r>
              <w:rPr>
                <w:sz w:val="22"/>
                <w:szCs w:val="22"/>
              </w:rPr>
              <w:lastRenderedPageBreak/>
              <w:t>kardio-gramoje</w:t>
            </w:r>
            <w:proofErr w:type="spellEnd"/>
            <w:r>
              <w:t>*</w:t>
            </w:r>
          </w:p>
          <w:p w:rsidR="00955A5A" w:rsidRPr="005D3CF9" w:rsidRDefault="00955A5A" w:rsidP="00C640DE">
            <w:pPr>
              <w:pStyle w:val="TableTextLeft"/>
              <w:rPr>
                <w:lang w:val="pt-PT"/>
              </w:rPr>
            </w:pPr>
            <w:r w:rsidRPr="005D3CF9">
              <w:rPr>
                <w:lang w:val="pt-PT"/>
              </w:rPr>
              <w:t>Prie</w:t>
            </w:r>
            <w:r w:rsidRPr="005D3CF9">
              <w:rPr>
                <w:lang w:val="lt-LT"/>
              </w:rPr>
              <w:t>širdžių virpėjimas</w:t>
            </w:r>
            <w:r w:rsidRPr="005D3CF9">
              <w:rPr>
                <w:lang w:val="pt-PT"/>
              </w:rPr>
              <w:t>*</w:t>
            </w:r>
          </w:p>
          <w:p w:rsidR="00955A5A" w:rsidRPr="005D3CF9" w:rsidRDefault="00955A5A" w:rsidP="00C640DE">
            <w:pPr>
              <w:pStyle w:val="TableTextLeft"/>
              <w:rPr>
                <w:lang w:val="pt-PT"/>
              </w:rPr>
            </w:pPr>
            <w:r w:rsidRPr="005D3CF9">
              <w:rPr>
                <w:lang w:val="pt-PT"/>
              </w:rPr>
              <w:t>Palpitacija*</w:t>
            </w:r>
          </w:p>
          <w:p w:rsidR="00955A5A" w:rsidRDefault="00955A5A" w:rsidP="00C640DE">
            <w:pPr>
              <w:rPr>
                <w:color w:val="000000"/>
              </w:rPr>
            </w:pPr>
            <w:r w:rsidRPr="005D3CF9">
              <w:rPr>
                <w:lang w:val="pt-PT"/>
              </w:rPr>
              <w:t>Tachikardija*</w:t>
            </w:r>
          </w:p>
        </w:tc>
      </w:tr>
      <w:tr w:rsidR="00955A5A" w:rsidTr="00C640DE">
        <w:trPr>
          <w:trHeight w:val="5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lastRenderedPageBreak/>
              <w:t>Kvėpavimo sistemos, krūtinės ląstos ir tarpuplaučio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Nosies sausmė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5A" w:rsidRDefault="00955A5A" w:rsidP="00C640DE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A5A" w:rsidRDefault="00955A5A" w:rsidP="00C640DE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Disfonija</w:t>
            </w:r>
            <w:proofErr w:type="spellEnd"/>
            <w:r>
              <w:rPr>
                <w:color w:val="000000"/>
                <w:sz w:val="22"/>
                <w:szCs w:val="22"/>
              </w:rPr>
              <w:t>*</w:t>
            </w:r>
          </w:p>
        </w:tc>
      </w:tr>
      <w:tr w:rsidR="00955A5A" w:rsidTr="00C640DE">
        <w:trPr>
          <w:trHeight w:val="66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sz w:val="22"/>
                <w:szCs w:val="22"/>
                <w:lang w:val="lt-LT" w:eastAsia="en-US"/>
              </w:rPr>
              <w:t>Virškinimo trakto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Burnos sausmė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Vidurių užkietėji-</w:t>
            </w:r>
            <w:proofErr w:type="spellStart"/>
            <w:r>
              <w:rPr>
                <w:color w:val="000000"/>
                <w:sz w:val="22"/>
                <w:szCs w:val="22"/>
                <w:lang w:val="lt-LT" w:eastAsia="en-US"/>
              </w:rPr>
              <w:t>mas</w:t>
            </w:r>
            <w:proofErr w:type="spellEnd"/>
            <w:r>
              <w:rPr>
                <w:color w:val="000000"/>
                <w:sz w:val="22"/>
                <w:szCs w:val="22"/>
                <w:lang w:val="lt-LT" w:eastAsia="en-US"/>
              </w:rPr>
              <w:t xml:space="preserve"> </w:t>
            </w:r>
          </w:p>
          <w:p w:rsidR="00955A5A" w:rsidRDefault="00955A5A" w:rsidP="00C640DE">
            <w:r>
              <w:rPr>
                <w:sz w:val="22"/>
                <w:szCs w:val="22"/>
              </w:rPr>
              <w:t>Dispepsija</w:t>
            </w:r>
          </w:p>
          <w:p w:rsidR="00955A5A" w:rsidRDefault="00955A5A" w:rsidP="00C640DE">
            <w:r>
              <w:rPr>
                <w:sz w:val="22"/>
                <w:szCs w:val="22"/>
              </w:rPr>
              <w:t>Pilvo skausmas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lt-LT" w:eastAsia="en-US"/>
              </w:rPr>
              <w:t>Gastro-ezofaginio</w:t>
            </w:r>
            <w:proofErr w:type="spellEnd"/>
            <w:r>
              <w:rPr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lt-LT" w:eastAsia="en-US"/>
              </w:rPr>
              <w:t>refliukso</w:t>
            </w:r>
            <w:proofErr w:type="spellEnd"/>
            <w:r>
              <w:rPr>
                <w:color w:val="000000"/>
                <w:sz w:val="22"/>
                <w:szCs w:val="22"/>
                <w:lang w:val="lt-LT" w:eastAsia="en-US"/>
              </w:rPr>
              <w:t xml:space="preserve"> liga</w:t>
            </w:r>
          </w:p>
          <w:p w:rsidR="00955A5A" w:rsidRDefault="00955A5A" w:rsidP="00C640DE">
            <w:r>
              <w:rPr>
                <w:sz w:val="22"/>
                <w:szCs w:val="22"/>
              </w:rPr>
              <w:t>Ryklės sausmė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Gaubtinės žarnos obstrukcija</w:t>
            </w:r>
          </w:p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sz w:val="22"/>
                <w:szCs w:val="22"/>
                <w:lang w:val="lt-LT" w:eastAsia="en-US"/>
              </w:rPr>
              <w:t>Vidurių užkietėjimas</w:t>
            </w:r>
          </w:p>
          <w:p w:rsidR="00955A5A" w:rsidRDefault="00955A5A" w:rsidP="00C640DE">
            <w:r>
              <w:rPr>
                <w:color w:val="000000"/>
                <w:sz w:val="22"/>
                <w:szCs w:val="22"/>
              </w:rPr>
              <w:t>Vėmimas*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Žarnų nepraeina-</w:t>
            </w:r>
            <w:proofErr w:type="spellStart"/>
            <w:r>
              <w:rPr>
                <w:color w:val="000000"/>
                <w:sz w:val="22"/>
                <w:szCs w:val="22"/>
                <w:lang w:val="lt-LT" w:eastAsia="en-US"/>
              </w:rPr>
              <w:t>mumas</w:t>
            </w:r>
            <w:proofErr w:type="spellEnd"/>
            <w:r>
              <w:rPr>
                <w:color w:val="000000"/>
                <w:sz w:val="22"/>
                <w:szCs w:val="22"/>
                <w:lang w:val="lt-LT" w:eastAsia="en-US"/>
              </w:rPr>
              <w:t xml:space="preserve">* </w:t>
            </w:r>
            <w:proofErr w:type="spellStart"/>
            <w:r>
              <w:rPr>
                <w:color w:val="000000"/>
                <w:sz w:val="22"/>
                <w:szCs w:val="22"/>
                <w:lang w:val="lt-LT" w:eastAsia="en-US"/>
              </w:rPr>
              <w:t>Diskom</w:t>
            </w:r>
            <w:proofErr w:type="spellEnd"/>
            <w:r>
              <w:rPr>
                <w:color w:val="000000"/>
                <w:sz w:val="22"/>
                <w:szCs w:val="22"/>
                <w:lang w:val="lt-LT" w:eastAsia="en-US"/>
              </w:rPr>
              <w:t>-forto pojūtis pilve*</w:t>
            </w:r>
          </w:p>
        </w:tc>
      </w:tr>
      <w:tr w:rsidR="00955A5A" w:rsidTr="00C640DE">
        <w:trPr>
          <w:trHeight w:val="66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lang w:val="lt-LT" w:eastAsia="en-US"/>
              </w:rPr>
            </w:pPr>
            <w:r>
              <w:rPr>
                <w:sz w:val="22"/>
                <w:szCs w:val="22"/>
                <w:lang w:val="lt-LT" w:eastAsia="en-US"/>
              </w:rPr>
              <w:t>Kepenų, tulžies pūslės ir latakų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55A5A" w:rsidRDefault="00955A5A" w:rsidP="00C640DE">
            <w:pPr>
              <w:pStyle w:val="TableTextLeft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Kepenų veiklos sutrikimas*</w:t>
            </w:r>
          </w:p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sz w:val="22"/>
                <w:szCs w:val="22"/>
                <w:lang w:val="lt-LT" w:eastAsia="en-US"/>
              </w:rPr>
              <w:t>Sutrikę kepenų funkcijos tyrimų rodikliai*</w:t>
            </w:r>
          </w:p>
        </w:tc>
      </w:tr>
      <w:tr w:rsidR="00955A5A" w:rsidTr="00C640DE">
        <w:trPr>
          <w:trHeight w:val="5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Odos ir poodinio audinio sutrikimai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Odos sausmė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Niežėjimas*</w:t>
            </w:r>
          </w:p>
          <w:p w:rsidR="00955A5A" w:rsidRDefault="00955A5A" w:rsidP="00C640DE">
            <w:r>
              <w:rPr>
                <w:sz w:val="22"/>
                <w:szCs w:val="22"/>
              </w:rPr>
              <w:t>Bėrimas*</w:t>
            </w:r>
          </w:p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Daugiaformė </w:t>
            </w:r>
            <w:proofErr w:type="spellStart"/>
            <w:r>
              <w:rPr>
                <w:color w:val="000000"/>
                <w:sz w:val="22"/>
                <w:szCs w:val="22"/>
                <w:lang w:val="lt-LT" w:eastAsia="en-US"/>
              </w:rPr>
              <w:t>eritema</w:t>
            </w:r>
            <w:proofErr w:type="spellEnd"/>
            <w:r>
              <w:rPr>
                <w:color w:val="000000"/>
                <w:sz w:val="22"/>
                <w:lang w:val="lt-LT" w:eastAsia="en-US"/>
              </w:rPr>
              <w:t>*</w:t>
            </w:r>
          </w:p>
          <w:p w:rsidR="00955A5A" w:rsidRDefault="00955A5A" w:rsidP="00C640DE">
            <w:r>
              <w:rPr>
                <w:sz w:val="22"/>
                <w:szCs w:val="22"/>
              </w:rPr>
              <w:t>Dilgėlinė*</w:t>
            </w:r>
          </w:p>
          <w:p w:rsidR="00955A5A" w:rsidRDefault="00955A5A" w:rsidP="00C640DE">
            <w:proofErr w:type="spellStart"/>
            <w:r>
              <w:rPr>
                <w:sz w:val="22"/>
                <w:szCs w:val="22"/>
              </w:rPr>
              <w:t>Angioneu-rozinė</w:t>
            </w:r>
            <w:proofErr w:type="spellEnd"/>
            <w:r>
              <w:rPr>
                <w:sz w:val="22"/>
                <w:szCs w:val="22"/>
              </w:rPr>
              <w:t xml:space="preserve"> edema*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A5A" w:rsidRDefault="00955A5A" w:rsidP="00C640DE">
            <w:proofErr w:type="spellStart"/>
            <w:r>
              <w:rPr>
                <w:sz w:val="22"/>
                <w:szCs w:val="22"/>
              </w:rPr>
              <w:t>Eksfolia-cinis</w:t>
            </w:r>
            <w:proofErr w:type="spellEnd"/>
            <w:r>
              <w:rPr>
                <w:sz w:val="22"/>
                <w:szCs w:val="22"/>
              </w:rPr>
              <w:t xml:space="preserve"> dermatitas*</w:t>
            </w:r>
          </w:p>
        </w:tc>
      </w:tr>
      <w:tr w:rsidR="00955A5A" w:rsidTr="00C640DE">
        <w:trPr>
          <w:trHeight w:val="5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>Skeleto, raumenų ir jungiamojo audinio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55A5A" w:rsidRDefault="00955A5A" w:rsidP="00C640DE">
            <w:r>
              <w:rPr>
                <w:sz w:val="22"/>
                <w:szCs w:val="22"/>
              </w:rPr>
              <w:t>Raumenų silpnumas*</w:t>
            </w:r>
          </w:p>
        </w:tc>
      </w:tr>
      <w:tr w:rsidR="00955A5A" w:rsidTr="00C640DE">
        <w:trPr>
          <w:trHeight w:val="5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Inkstų ir šlapimo takų sutrikimai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rPr>
                <w:color w:val="000000"/>
              </w:rPr>
            </w:pPr>
          </w:p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rPr>
                <w:color w:val="000000"/>
              </w:rPr>
            </w:pPr>
          </w:p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Pasunkėjęs </w:t>
            </w:r>
            <w:proofErr w:type="spellStart"/>
            <w:r>
              <w:rPr>
                <w:color w:val="000000"/>
                <w:sz w:val="22"/>
                <w:szCs w:val="22"/>
                <w:lang w:val="lt-LT" w:eastAsia="en-US"/>
              </w:rPr>
              <w:t>šlapinimasis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Šlapimo susilaikymas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5A" w:rsidRDefault="00955A5A" w:rsidP="00C640DE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A5A" w:rsidRDefault="00955A5A" w:rsidP="00C640D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Inkstų nepakanka-</w:t>
            </w:r>
            <w:proofErr w:type="spellStart"/>
            <w:r>
              <w:rPr>
                <w:color w:val="000000"/>
                <w:sz w:val="22"/>
                <w:szCs w:val="22"/>
              </w:rPr>
              <w:t>mumas</w:t>
            </w:r>
            <w:proofErr w:type="spellEnd"/>
            <w:r>
              <w:rPr>
                <w:color w:val="000000"/>
                <w:sz w:val="22"/>
                <w:szCs w:val="22"/>
              </w:rPr>
              <w:t>*</w:t>
            </w:r>
          </w:p>
        </w:tc>
      </w:tr>
      <w:tr w:rsidR="00955A5A" w:rsidTr="00C640DE">
        <w:trPr>
          <w:trHeight w:val="66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Bendri sutrikimai ir vartojimo vietos pažeidimai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Nuovargis </w:t>
            </w:r>
          </w:p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Periferinė edema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5A" w:rsidRDefault="00955A5A" w:rsidP="00C640DE">
            <w:pPr>
              <w:pStyle w:val="Pagrindinistekstas"/>
              <w:rPr>
                <w:color w:val="000000"/>
                <w:lang w:val="lt-LT" w:eastAsia="en-US"/>
              </w:rPr>
            </w:pPr>
          </w:p>
        </w:tc>
      </w:tr>
    </w:tbl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* pastebėti po vaistinio preparato patekimo į rinką.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>Pranešimas apie įtariamas nepageidaujamas reakcijas</w:t>
      </w:r>
    </w:p>
    <w:p w:rsidR="00955A5A" w:rsidRDefault="00955A5A" w:rsidP="00955A5A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Svarbu pranešti apie įtariamas nepageidaujamas reakcijas, pastebėtas po vaistinio preparato pateikimo į rinką, nes tai leidžia nuolat stebėti vaistinio preparato naudos ir rizikos santykį.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Sveikatos priežiūros specialistai turi pranešti apie bet kokias įtariamas nepageidaujamas reakcijas, užpildę interneto svetainėje http://</w:t>
      </w:r>
      <w:hyperlink r:id="rId8" w:history="1">
        <w:r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>
        <w:rPr>
          <w:noProof/>
          <w:sz w:val="22"/>
          <w:szCs w:val="22"/>
        </w:rPr>
        <w:t xml:space="preserve">/ esančią formą, ir atsiųsti ją paštu Valstybinei vaistų kontrolės tarnybai prie Lietuvos Respublikos sveikatos apsaugos ministerijos, Žirmūnų g. 139A, LT 09120 Vilnius, faksu 8 800 20131 arba el. paštu </w:t>
      </w:r>
      <w:hyperlink r:id="rId9" w:history="1">
        <w:r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>
        <w:rPr>
          <w:noProof/>
          <w:sz w:val="22"/>
          <w:szCs w:val="22"/>
        </w:rPr>
        <w:t>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bookmarkStart w:id="30" w:name="_Toc129243110"/>
      <w:bookmarkStart w:id="31" w:name="_Toc129243235"/>
      <w:r>
        <w:t>4.9</w:t>
      </w:r>
      <w:r>
        <w:tab/>
        <w:t>Perdozavimas</w:t>
      </w:r>
      <w:bookmarkEnd w:id="30"/>
      <w:bookmarkEnd w:id="31"/>
    </w:p>
    <w:p w:rsidR="00955A5A" w:rsidRDefault="00955A5A" w:rsidP="00955A5A">
      <w:pPr>
        <w:rPr>
          <w:sz w:val="22"/>
          <w:szCs w:val="22"/>
        </w:rPr>
      </w:pPr>
    </w:p>
    <w:p w:rsidR="00955A5A" w:rsidRPr="00F379AD" w:rsidRDefault="00955A5A" w:rsidP="00955A5A">
      <w:pPr>
        <w:rPr>
          <w:sz w:val="22"/>
          <w:u w:val="single"/>
        </w:rPr>
      </w:pPr>
      <w:r w:rsidRPr="00EB165F">
        <w:rPr>
          <w:sz w:val="22"/>
          <w:u w:val="single"/>
        </w:rPr>
        <w:t>Simptomai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Perdozavus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sukcinato</w:t>
      </w:r>
      <w:proofErr w:type="spellEnd"/>
      <w:r>
        <w:rPr>
          <w:sz w:val="22"/>
          <w:szCs w:val="22"/>
        </w:rPr>
        <w:t xml:space="preserve"> gali pasireikšti ūmus </w:t>
      </w:r>
      <w:proofErr w:type="spellStart"/>
      <w:r>
        <w:rPr>
          <w:sz w:val="22"/>
          <w:szCs w:val="22"/>
        </w:rPr>
        <w:t>antichlolinerginis</w:t>
      </w:r>
      <w:proofErr w:type="spellEnd"/>
      <w:r>
        <w:rPr>
          <w:sz w:val="22"/>
          <w:szCs w:val="22"/>
        </w:rPr>
        <w:t xml:space="preserve"> poveikis. Didžiausia atsitiktinai pacientui duota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sukcinato</w:t>
      </w:r>
      <w:proofErr w:type="spellEnd"/>
      <w:r>
        <w:rPr>
          <w:sz w:val="22"/>
          <w:szCs w:val="22"/>
        </w:rPr>
        <w:t xml:space="preserve"> dozė buvo 280 mg per 5 valandas. Ši dozė sąlygojo psichikos būklės pakitimus, tačiau dėl to paciento hospitalizuoti neprireikė.</w:t>
      </w:r>
    </w:p>
    <w:p w:rsidR="00955A5A" w:rsidRDefault="00955A5A" w:rsidP="00955A5A">
      <w:pPr>
        <w:rPr>
          <w:sz w:val="22"/>
          <w:szCs w:val="22"/>
        </w:rPr>
      </w:pPr>
    </w:p>
    <w:p w:rsidR="00955A5A" w:rsidRPr="00F379AD" w:rsidRDefault="00955A5A" w:rsidP="00955A5A">
      <w:pPr>
        <w:rPr>
          <w:sz w:val="22"/>
          <w:u w:val="single"/>
        </w:rPr>
      </w:pPr>
      <w:r w:rsidRPr="00EB165F">
        <w:rPr>
          <w:sz w:val="22"/>
          <w:u w:val="single"/>
        </w:rPr>
        <w:t>Gydymas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Perdozavus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sukcinato</w:t>
      </w:r>
      <w:proofErr w:type="spellEnd"/>
      <w:r>
        <w:rPr>
          <w:sz w:val="22"/>
          <w:szCs w:val="22"/>
        </w:rPr>
        <w:t xml:space="preserve">, pacientą reikia gydyti aktyvinta anglimi. Galima plauti skrandį (jeigu nepraėjo daugiau kaip 1 valanda), bet draudžiama sukelti vėmimą. </w:t>
      </w:r>
    </w:p>
    <w:p w:rsidR="00955A5A" w:rsidRDefault="00955A5A" w:rsidP="00955A5A">
      <w:pPr>
        <w:pStyle w:val="Pagrindinistekstas"/>
        <w:spacing w:before="240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Apsinuodijus šiuo vaistiniu preparatu, kaip ir kitokiais </w:t>
      </w:r>
      <w:proofErr w:type="spellStart"/>
      <w:r>
        <w:rPr>
          <w:color w:val="000000"/>
          <w:sz w:val="22"/>
          <w:szCs w:val="22"/>
          <w:lang w:val="lt-LT"/>
        </w:rPr>
        <w:t>anticholinerginiais</w:t>
      </w:r>
      <w:proofErr w:type="spellEnd"/>
      <w:r>
        <w:rPr>
          <w:color w:val="000000"/>
          <w:sz w:val="22"/>
          <w:szCs w:val="22"/>
          <w:lang w:val="lt-LT"/>
        </w:rPr>
        <w:t xml:space="preserve"> vaistiniais preparatais, galimas toliau nurodytas simptominis gydymas:</w:t>
      </w:r>
    </w:p>
    <w:p w:rsidR="00955A5A" w:rsidRDefault="00955A5A" w:rsidP="00955A5A">
      <w:pPr>
        <w:pStyle w:val="Pagrindinistekstas"/>
        <w:spacing w:before="120"/>
        <w:ind w:left="357" w:hanging="357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- </w:t>
      </w:r>
      <w:r>
        <w:rPr>
          <w:color w:val="000000"/>
          <w:sz w:val="22"/>
          <w:szCs w:val="22"/>
          <w:lang w:val="lt-LT"/>
        </w:rPr>
        <w:tab/>
        <w:t xml:space="preserve">sunkų centrinį </w:t>
      </w:r>
      <w:proofErr w:type="spellStart"/>
      <w:r>
        <w:rPr>
          <w:color w:val="000000"/>
          <w:sz w:val="22"/>
          <w:szCs w:val="22"/>
          <w:lang w:val="lt-LT"/>
        </w:rPr>
        <w:t>anticholinerginį</w:t>
      </w:r>
      <w:proofErr w:type="spellEnd"/>
      <w:r>
        <w:rPr>
          <w:color w:val="000000"/>
          <w:sz w:val="22"/>
          <w:szCs w:val="22"/>
          <w:lang w:val="lt-LT"/>
        </w:rPr>
        <w:t xml:space="preserve"> poveikį, pvz., haliucinacijas ar stiprų susijaudinimą, gydyti </w:t>
      </w:r>
      <w:proofErr w:type="spellStart"/>
      <w:r>
        <w:rPr>
          <w:color w:val="000000"/>
          <w:sz w:val="22"/>
          <w:szCs w:val="22"/>
          <w:lang w:val="lt-LT"/>
        </w:rPr>
        <w:t>fizostigminu</w:t>
      </w:r>
      <w:proofErr w:type="spellEnd"/>
      <w:r>
        <w:rPr>
          <w:color w:val="000000"/>
          <w:sz w:val="22"/>
          <w:szCs w:val="22"/>
          <w:lang w:val="lt-LT"/>
        </w:rPr>
        <w:t xml:space="preserve"> ar </w:t>
      </w:r>
      <w:proofErr w:type="spellStart"/>
      <w:r>
        <w:rPr>
          <w:color w:val="000000"/>
          <w:sz w:val="22"/>
          <w:szCs w:val="22"/>
          <w:lang w:val="lt-LT"/>
        </w:rPr>
        <w:t>karbacholiu</w:t>
      </w:r>
      <w:proofErr w:type="spellEnd"/>
      <w:r>
        <w:rPr>
          <w:color w:val="000000"/>
          <w:sz w:val="22"/>
          <w:szCs w:val="22"/>
          <w:lang w:val="lt-LT"/>
        </w:rPr>
        <w:t>;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traukulius ar stiprų susijaudinimą gydyti benzodiazepinais;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esant kvėpavimo nepakankamumui, taikyti dirbtinį kvėpavimą;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tachikardiją</w:t>
      </w:r>
      <w:proofErr w:type="spellEnd"/>
      <w:r>
        <w:rPr>
          <w:sz w:val="22"/>
          <w:szCs w:val="22"/>
        </w:rPr>
        <w:t xml:space="preserve"> šalinti beta blokatoriais;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atsiradus šlapimo susilaikymui – </w:t>
      </w:r>
      <w:proofErr w:type="spellStart"/>
      <w:r>
        <w:rPr>
          <w:sz w:val="22"/>
          <w:szCs w:val="22"/>
        </w:rPr>
        <w:t>kateterizuoti</w:t>
      </w:r>
      <w:proofErr w:type="spellEnd"/>
      <w:r>
        <w:rPr>
          <w:sz w:val="22"/>
          <w:szCs w:val="22"/>
        </w:rPr>
        <w:t xml:space="preserve">;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midriazę</w:t>
      </w:r>
      <w:proofErr w:type="spellEnd"/>
      <w:r>
        <w:rPr>
          <w:sz w:val="22"/>
          <w:szCs w:val="22"/>
        </w:rPr>
        <w:t xml:space="preserve"> gydyti </w:t>
      </w:r>
      <w:proofErr w:type="spellStart"/>
      <w:r>
        <w:rPr>
          <w:sz w:val="22"/>
          <w:szCs w:val="22"/>
        </w:rPr>
        <w:t>pilokarpino</w:t>
      </w:r>
      <w:proofErr w:type="spellEnd"/>
      <w:r>
        <w:rPr>
          <w:sz w:val="22"/>
          <w:szCs w:val="22"/>
        </w:rPr>
        <w:t xml:space="preserve"> akių lašais ir (ar) perkelti pacientą į tamsią patalpą.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</w:p>
    <w:p w:rsidR="00955A5A" w:rsidRDefault="00955A5A" w:rsidP="00955A5A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 xml:space="preserve">Perdozavus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, kaip ir kitų </w:t>
      </w:r>
      <w:proofErr w:type="spellStart"/>
      <w:r>
        <w:rPr>
          <w:noProof w:val="0"/>
          <w:color w:val="000000"/>
        </w:rPr>
        <w:t>antimuskarininių</w:t>
      </w:r>
      <w:proofErr w:type="spellEnd"/>
      <w:r>
        <w:rPr>
          <w:noProof w:val="0"/>
          <w:color w:val="000000"/>
        </w:rPr>
        <w:t xml:space="preserve"> medžiagų, ypatingą dėmesį reikia skirti ligoniams, kuriems yra pailgėjusio QT intervalo rizika (kai yra </w:t>
      </w:r>
      <w:proofErr w:type="spellStart"/>
      <w:r>
        <w:rPr>
          <w:noProof w:val="0"/>
          <w:color w:val="000000"/>
        </w:rPr>
        <w:t>hipokalemija</w:t>
      </w:r>
      <w:proofErr w:type="spellEnd"/>
      <w:r>
        <w:rPr>
          <w:noProof w:val="0"/>
          <w:color w:val="000000"/>
        </w:rPr>
        <w:t xml:space="preserve">, </w:t>
      </w:r>
      <w:proofErr w:type="spellStart"/>
      <w:r>
        <w:rPr>
          <w:noProof w:val="0"/>
          <w:color w:val="000000"/>
        </w:rPr>
        <w:t>bradikardija</w:t>
      </w:r>
      <w:proofErr w:type="spellEnd"/>
      <w:r>
        <w:rPr>
          <w:noProof w:val="0"/>
          <w:color w:val="000000"/>
        </w:rPr>
        <w:t xml:space="preserve"> ir tuo pačiu metu vartojama vaistinių preparatų, ilginančių QT intervalą), ir tokiems žmonėms, kurie prieš pradėdami vartoti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>, sirgo tiesiogiai susijusiomis širdies ligomis (</w:t>
      </w:r>
      <w:proofErr w:type="spellStart"/>
      <w:r>
        <w:rPr>
          <w:noProof w:val="0"/>
          <w:color w:val="000000"/>
        </w:rPr>
        <w:t>t.y</w:t>
      </w:r>
      <w:proofErr w:type="spellEnd"/>
      <w:r>
        <w:rPr>
          <w:noProof w:val="0"/>
          <w:color w:val="000000"/>
        </w:rPr>
        <w:t xml:space="preserve">., išemine širdies liga, aritmija, </w:t>
      </w:r>
      <w:proofErr w:type="spellStart"/>
      <w:r>
        <w:rPr>
          <w:noProof w:val="0"/>
          <w:color w:val="000000"/>
        </w:rPr>
        <w:t>staziniu</w:t>
      </w:r>
      <w:proofErr w:type="spellEnd"/>
      <w:r>
        <w:rPr>
          <w:noProof w:val="0"/>
          <w:color w:val="000000"/>
        </w:rPr>
        <w:t xml:space="preserve"> širdies nepakankamumu).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EMEASMCA"/>
      </w:pPr>
      <w:bookmarkStart w:id="32" w:name="_Toc129243111"/>
      <w:bookmarkStart w:id="33" w:name="_Toc129243236"/>
      <w:r>
        <w:t>5.</w:t>
      </w:r>
      <w:r>
        <w:tab/>
        <w:t>FARMAKOLOGINĖS SAVYBĖS</w:t>
      </w:r>
      <w:bookmarkEnd w:id="32"/>
      <w:bookmarkEnd w:id="33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bookmarkStart w:id="34" w:name="_Toc129243112"/>
      <w:bookmarkStart w:id="35" w:name="_Toc129243237"/>
      <w:r>
        <w:t>5.1</w:t>
      </w:r>
      <w:r>
        <w:tab/>
      </w:r>
      <w:proofErr w:type="spellStart"/>
      <w:r>
        <w:t>Farmakodinaminės</w:t>
      </w:r>
      <w:proofErr w:type="spellEnd"/>
      <w:r>
        <w:t xml:space="preserve"> savybės</w:t>
      </w:r>
      <w:bookmarkEnd w:id="34"/>
      <w:bookmarkEnd w:id="35"/>
    </w:p>
    <w:p w:rsidR="00955A5A" w:rsidRDefault="00955A5A" w:rsidP="00955A5A">
      <w:pPr>
        <w:pStyle w:val="PI-2EMEASMCA"/>
      </w:pP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Farmakoterapinė</w:t>
      </w:r>
      <w:proofErr w:type="spellEnd"/>
      <w:r>
        <w:rPr>
          <w:sz w:val="22"/>
          <w:szCs w:val="22"/>
        </w:rPr>
        <w:t xml:space="preserve"> grupė – urologiniai </w:t>
      </w:r>
      <w:proofErr w:type="spellStart"/>
      <w:r>
        <w:rPr>
          <w:sz w:val="22"/>
          <w:szCs w:val="22"/>
        </w:rPr>
        <w:t>antispazminiai</w:t>
      </w:r>
      <w:proofErr w:type="spellEnd"/>
      <w:r>
        <w:rPr>
          <w:sz w:val="22"/>
          <w:szCs w:val="22"/>
        </w:rPr>
        <w:t xml:space="preserve"> vaistai, ATC kodas – G04B D08. </w:t>
      </w:r>
    </w:p>
    <w:p w:rsidR="00955A5A" w:rsidRDefault="00955A5A" w:rsidP="00955A5A">
      <w:pPr>
        <w:rPr>
          <w:sz w:val="22"/>
          <w:szCs w:val="22"/>
        </w:rPr>
      </w:pPr>
    </w:p>
    <w:p w:rsidR="00955A5A" w:rsidRPr="00F379AD" w:rsidRDefault="00955A5A" w:rsidP="00955A5A">
      <w:pPr>
        <w:rPr>
          <w:sz w:val="22"/>
          <w:u w:val="single"/>
        </w:rPr>
      </w:pPr>
      <w:r w:rsidRPr="00EB165F">
        <w:rPr>
          <w:sz w:val="22"/>
          <w:u w:val="single"/>
        </w:rPr>
        <w:t xml:space="preserve">Veikimo mechanizmas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Solifenacinas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konkurencinis, specifinis </w:t>
      </w:r>
      <w:proofErr w:type="spellStart"/>
      <w:r>
        <w:rPr>
          <w:sz w:val="22"/>
          <w:szCs w:val="22"/>
        </w:rPr>
        <w:t>cholinerginių</w:t>
      </w:r>
      <w:proofErr w:type="spellEnd"/>
      <w:r>
        <w:rPr>
          <w:sz w:val="22"/>
          <w:szCs w:val="22"/>
        </w:rPr>
        <w:t xml:space="preserve"> receptorių antagonistas.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Šlapimo pūslę </w:t>
      </w:r>
      <w:proofErr w:type="spellStart"/>
      <w:r>
        <w:rPr>
          <w:sz w:val="22"/>
          <w:szCs w:val="22"/>
        </w:rPr>
        <w:t>inervuoja</w:t>
      </w:r>
      <w:proofErr w:type="spellEnd"/>
      <w:r>
        <w:rPr>
          <w:sz w:val="22"/>
          <w:szCs w:val="22"/>
        </w:rPr>
        <w:t xml:space="preserve"> parasimpatiniai </w:t>
      </w:r>
      <w:proofErr w:type="spellStart"/>
      <w:r>
        <w:rPr>
          <w:sz w:val="22"/>
          <w:szCs w:val="22"/>
        </w:rPr>
        <w:t>cholinerginiai</w:t>
      </w:r>
      <w:proofErr w:type="spellEnd"/>
      <w:r>
        <w:rPr>
          <w:sz w:val="22"/>
          <w:szCs w:val="22"/>
        </w:rPr>
        <w:t xml:space="preserve"> nervai. </w:t>
      </w:r>
      <w:proofErr w:type="spellStart"/>
      <w:r>
        <w:rPr>
          <w:sz w:val="22"/>
          <w:szCs w:val="22"/>
        </w:rPr>
        <w:t>Acetilcholinas</w:t>
      </w:r>
      <w:proofErr w:type="spellEnd"/>
      <w:r>
        <w:rPr>
          <w:sz w:val="22"/>
          <w:szCs w:val="22"/>
        </w:rPr>
        <w:t xml:space="preserve">, veikdamas </w:t>
      </w:r>
      <w:proofErr w:type="spellStart"/>
      <w:r>
        <w:rPr>
          <w:sz w:val="22"/>
          <w:szCs w:val="22"/>
        </w:rPr>
        <w:t>muskarininius</w:t>
      </w:r>
      <w:proofErr w:type="spellEnd"/>
      <w:r>
        <w:rPr>
          <w:sz w:val="22"/>
          <w:szCs w:val="22"/>
        </w:rPr>
        <w:t xml:space="preserve"> receptorius (daugiausia M3 potipio), sutraukia šlapimo pūslės lygiuosius raumenis (</w:t>
      </w:r>
      <w:proofErr w:type="spellStart"/>
      <w:r>
        <w:rPr>
          <w:sz w:val="22"/>
          <w:szCs w:val="22"/>
        </w:rPr>
        <w:t>detrusorių</w:t>
      </w:r>
      <w:proofErr w:type="spellEnd"/>
      <w:r>
        <w:rPr>
          <w:sz w:val="22"/>
          <w:szCs w:val="22"/>
        </w:rPr>
        <w:t xml:space="preserve">). Farmakologinių tyrimų, atliktų </w:t>
      </w:r>
      <w:proofErr w:type="spellStart"/>
      <w:r>
        <w:rPr>
          <w:i/>
          <w:sz w:val="22"/>
          <w:szCs w:val="22"/>
        </w:rPr>
        <w:t>in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vitro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i/>
          <w:sz w:val="22"/>
          <w:szCs w:val="22"/>
        </w:rPr>
        <w:t>in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vivo</w:t>
      </w:r>
      <w:proofErr w:type="spellEnd"/>
      <w:r>
        <w:rPr>
          <w:sz w:val="22"/>
          <w:szCs w:val="22"/>
        </w:rPr>
        <w:t xml:space="preserve">, rezultatai parodė, kad </w:t>
      </w:r>
      <w:proofErr w:type="spellStart"/>
      <w:r>
        <w:rPr>
          <w:sz w:val="22"/>
          <w:szCs w:val="22"/>
        </w:rPr>
        <w:t>solifenacinas</w:t>
      </w:r>
      <w:proofErr w:type="spellEnd"/>
      <w:r>
        <w:rPr>
          <w:sz w:val="22"/>
          <w:szCs w:val="22"/>
        </w:rPr>
        <w:t xml:space="preserve"> yra </w:t>
      </w:r>
      <w:proofErr w:type="spellStart"/>
      <w:r>
        <w:rPr>
          <w:sz w:val="22"/>
          <w:szCs w:val="22"/>
        </w:rPr>
        <w:t>muskarininių</w:t>
      </w:r>
      <w:proofErr w:type="spellEnd"/>
      <w:r>
        <w:rPr>
          <w:sz w:val="22"/>
          <w:szCs w:val="22"/>
        </w:rPr>
        <w:t xml:space="preserve"> M3 receptorių konkurencinis inhibitorius. Be to, nustatyta, kad jis yra specifinis </w:t>
      </w:r>
      <w:proofErr w:type="spellStart"/>
      <w:r>
        <w:rPr>
          <w:sz w:val="22"/>
          <w:szCs w:val="22"/>
        </w:rPr>
        <w:t>muskarininių</w:t>
      </w:r>
      <w:proofErr w:type="spellEnd"/>
      <w:r>
        <w:rPr>
          <w:sz w:val="22"/>
          <w:szCs w:val="22"/>
        </w:rPr>
        <w:t xml:space="preserve"> receptorių antagonistas, turintis mažą </w:t>
      </w:r>
      <w:proofErr w:type="spellStart"/>
      <w:r>
        <w:rPr>
          <w:sz w:val="22"/>
          <w:szCs w:val="22"/>
        </w:rPr>
        <w:t>afinitetą</w:t>
      </w:r>
      <w:proofErr w:type="spellEnd"/>
      <w:r>
        <w:rPr>
          <w:sz w:val="22"/>
          <w:szCs w:val="22"/>
        </w:rPr>
        <w:t xml:space="preserve"> (arba visai jo neturintis) įvairiems kitokiems receptoriams ir jonų kanalams. </w:t>
      </w:r>
    </w:p>
    <w:p w:rsidR="00955A5A" w:rsidRDefault="00955A5A" w:rsidP="00955A5A">
      <w:pPr>
        <w:rPr>
          <w:sz w:val="22"/>
          <w:szCs w:val="22"/>
        </w:rPr>
      </w:pPr>
    </w:p>
    <w:p w:rsidR="00955A5A" w:rsidRPr="00F379AD" w:rsidRDefault="00955A5A" w:rsidP="00955A5A">
      <w:pPr>
        <w:rPr>
          <w:sz w:val="22"/>
          <w:u w:val="single"/>
        </w:rPr>
      </w:pPr>
      <w:proofErr w:type="spellStart"/>
      <w:r w:rsidRPr="00EB165F">
        <w:rPr>
          <w:sz w:val="22"/>
          <w:u w:val="single"/>
        </w:rPr>
        <w:t>Farmakodinaminis</w:t>
      </w:r>
      <w:proofErr w:type="spellEnd"/>
      <w:r w:rsidRPr="00EB165F">
        <w:rPr>
          <w:sz w:val="22"/>
          <w:u w:val="single"/>
        </w:rPr>
        <w:t xml:space="preserve"> poveikis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poveikis skiriant 5 mg ir 10 mg dozes buvo ištirtas atlikus keletą dvigubai koduotų, atsitiktinės atrankos, kontroliuojamųjų klinikinių tyrimų, kuriuose dalyvavo vyrai ir moterys, kuriems buvo padidėjęs šlapimo pūslė aktyvumas.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Toliau esančioje lentelėje parodyta, kad vertinant pagrindinę ir antrinę vertinamąją baigtį ir 5 mg, ir 10 mg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dozės sukėlė statistiškai reikšmingą pagerėjimą palyginus su </w:t>
      </w:r>
      <w:proofErr w:type="spellStart"/>
      <w:r>
        <w:rPr>
          <w:sz w:val="22"/>
          <w:szCs w:val="22"/>
        </w:rPr>
        <w:t>placebu</w:t>
      </w:r>
      <w:proofErr w:type="spellEnd"/>
      <w:r>
        <w:rPr>
          <w:sz w:val="22"/>
          <w:szCs w:val="22"/>
        </w:rPr>
        <w:t xml:space="preserve">. Vaisto poveikis pasireiškė per vieną savaitę nuo gydymo pradžios ir išliko stabilus 12 savaičių. Ilgalaikio atviro tyrimo rezultatai parodė, kad veiksmingumas išlieka ne mažiau kaip 12 mėnesių. Po 12 gydymo </w:t>
      </w:r>
      <w:proofErr w:type="spellStart"/>
      <w:r>
        <w:rPr>
          <w:sz w:val="22"/>
          <w:szCs w:val="22"/>
        </w:rPr>
        <w:t>solifenacinu</w:t>
      </w:r>
      <w:proofErr w:type="spellEnd"/>
      <w:r>
        <w:rPr>
          <w:sz w:val="22"/>
          <w:szCs w:val="22"/>
        </w:rPr>
        <w:t xml:space="preserve"> savaičių maždaug 50 % pacientų, kurie iki gydymo kentėjo nuo šlapimo nelaikymo, šlapimo nelaikymo epizodų nepasireiškė. Be to, 35 % ligonių pradėjo šlapintis rečiau kaip 8 kartus per parą. Padidėjusio šlapimo pūslės aktyvumo simptomų gydymas taip pat turėjo teigiamos įtakos daugeliui gyvenimo kokybės rodiklių: pagerino bendrąją savijautą, dėl šlapimo nelaikymo apribotą visuomeninę, fizinę ir socialinę veiklą, pagerino emocijas, palengvino ligos simptomus ir sunkumo rodiklius, pagerino miegą ir energijos pojūtį.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i/>
          <w:sz w:val="22"/>
          <w:szCs w:val="22"/>
        </w:rPr>
      </w:pPr>
      <w:r>
        <w:rPr>
          <w:i/>
          <w:sz w:val="22"/>
          <w:szCs w:val="22"/>
        </w:rPr>
        <w:t>Keturių kontroliuojamųjų III fazės tyrimų, kurių metu vaistinio preparato buvo skiriama 12 savaičių, rezultatai (susumuoti duomenys)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275"/>
        <w:gridCol w:w="1275"/>
        <w:gridCol w:w="1276"/>
        <w:gridCol w:w="1419"/>
      </w:tblGrid>
      <w:tr w:rsidR="00955A5A" w:rsidTr="00C640DE">
        <w:tc>
          <w:tcPr>
            <w:tcW w:w="4219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275" w:type="dxa"/>
          </w:tcPr>
          <w:p w:rsidR="00955A5A" w:rsidRDefault="00955A5A" w:rsidP="00C640DE">
            <w:pPr>
              <w:pStyle w:val="TableTextBoldCenter"/>
              <w:keepLines/>
              <w:spacing w:before="0" w:after="0"/>
              <w:jc w:val="left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Placebas</w:t>
            </w:r>
            <w:proofErr w:type="spellEnd"/>
          </w:p>
        </w:tc>
        <w:tc>
          <w:tcPr>
            <w:tcW w:w="1275" w:type="dxa"/>
          </w:tcPr>
          <w:p w:rsidR="00955A5A" w:rsidRDefault="00955A5A" w:rsidP="00C640DE">
            <w:pPr>
              <w:pStyle w:val="TableTextBoldCenter"/>
              <w:keepLines/>
              <w:spacing w:before="0" w:after="0"/>
              <w:jc w:val="left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Vesicare</w:t>
            </w:r>
            <w:proofErr w:type="spellEnd"/>
            <w:r>
              <w:rPr>
                <w:szCs w:val="22"/>
                <w:lang w:val="lt-LT"/>
              </w:rPr>
              <w:t xml:space="preserve"> 5 mg 1 kartą per dieną</w:t>
            </w:r>
          </w:p>
        </w:tc>
        <w:tc>
          <w:tcPr>
            <w:tcW w:w="1276" w:type="dxa"/>
          </w:tcPr>
          <w:p w:rsidR="00955A5A" w:rsidRDefault="00955A5A" w:rsidP="00C640DE">
            <w:pPr>
              <w:pStyle w:val="TableTextBoldCenter"/>
              <w:keepLines/>
              <w:spacing w:before="0" w:after="0"/>
              <w:jc w:val="left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Vesicare</w:t>
            </w:r>
            <w:proofErr w:type="spellEnd"/>
            <w:r>
              <w:rPr>
                <w:szCs w:val="22"/>
                <w:lang w:val="lt-LT"/>
              </w:rPr>
              <w:t xml:space="preserve"> 10 mg 1 kartą per parą</w:t>
            </w:r>
          </w:p>
        </w:tc>
        <w:tc>
          <w:tcPr>
            <w:tcW w:w="1419" w:type="dxa"/>
          </w:tcPr>
          <w:p w:rsidR="00955A5A" w:rsidRDefault="00955A5A" w:rsidP="00C640DE">
            <w:pPr>
              <w:pStyle w:val="TableTextBoldCenter"/>
              <w:keepLines/>
              <w:spacing w:before="0" w:after="0"/>
              <w:jc w:val="left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Tolterodino</w:t>
            </w:r>
            <w:proofErr w:type="spellEnd"/>
            <w:r>
              <w:rPr>
                <w:szCs w:val="22"/>
                <w:lang w:val="lt-LT"/>
              </w:rPr>
              <w:t xml:space="preserve"> po 2 mg 2 kartus per parą</w:t>
            </w:r>
          </w:p>
        </w:tc>
      </w:tr>
      <w:tr w:rsidR="00955A5A" w:rsidTr="00C640DE">
        <w:tc>
          <w:tcPr>
            <w:tcW w:w="4219" w:type="dxa"/>
            <w:tcBorders>
              <w:right w:val="nil"/>
            </w:tcBorders>
          </w:tcPr>
          <w:p w:rsidR="00955A5A" w:rsidRDefault="00955A5A" w:rsidP="00C640DE">
            <w:pPr>
              <w:pStyle w:val="TableTextBoldLeft"/>
              <w:keepLines/>
              <w:spacing w:before="0" w:after="0"/>
              <w:rPr>
                <w:szCs w:val="22"/>
                <w:lang w:val="lt-LT"/>
              </w:rPr>
            </w:pPr>
            <w:proofErr w:type="spellStart"/>
            <w:r>
              <w:rPr>
                <w:color w:val="000000"/>
                <w:szCs w:val="22"/>
                <w:lang w:val="lt-LT"/>
              </w:rPr>
              <w:t>Šlapinimosi</w:t>
            </w:r>
            <w:proofErr w:type="spellEnd"/>
            <w:r>
              <w:rPr>
                <w:color w:val="000000"/>
                <w:szCs w:val="22"/>
                <w:lang w:val="lt-LT"/>
              </w:rPr>
              <w:t xml:space="preserve"> kartai per 24 val.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419" w:type="dxa"/>
            <w:tcBorders>
              <w:lef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</w:tr>
      <w:tr w:rsidR="00955A5A" w:rsidTr="00C640DE">
        <w:tc>
          <w:tcPr>
            <w:tcW w:w="4219" w:type="dxa"/>
          </w:tcPr>
          <w:p w:rsidR="00955A5A" w:rsidRDefault="00955A5A" w:rsidP="00C640DE">
            <w:pPr>
              <w:pStyle w:val="Pagrindinistekstas"/>
              <w:tabs>
                <w:tab w:val="left" w:pos="900"/>
                <w:tab w:val="left" w:pos="1305"/>
              </w:tabs>
              <w:ind w:left="900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Pradinio įverčio vidurkis Sumažėjimo vidurkis palyginti su pradiniu </w:t>
            </w:r>
          </w:p>
          <w:p w:rsidR="00955A5A" w:rsidRDefault="00955A5A" w:rsidP="00C640DE">
            <w:pPr>
              <w:pStyle w:val="Pagrindinistekstas"/>
              <w:tabs>
                <w:tab w:val="left" w:pos="900"/>
                <w:tab w:val="left" w:pos="1305"/>
              </w:tabs>
              <w:ind w:left="900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% pokytis palyginti su pradiniu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ind w:left="900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n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ind w:left="900"/>
              <w:rPr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p-reikšmė*</w:t>
            </w:r>
          </w:p>
        </w:tc>
        <w:tc>
          <w:tcPr>
            <w:tcW w:w="1275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11,9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1,4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(12 %)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1138</w:t>
            </w:r>
          </w:p>
        </w:tc>
        <w:tc>
          <w:tcPr>
            <w:tcW w:w="1275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12,1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2,3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(19 %)</w:t>
            </w:r>
            <w:r>
              <w:rPr>
                <w:szCs w:val="22"/>
                <w:lang w:val="lt-LT"/>
              </w:rPr>
              <w:br/>
              <w:t>552</w:t>
            </w:r>
            <w:r>
              <w:rPr>
                <w:szCs w:val="22"/>
                <w:lang w:val="lt-LT"/>
              </w:rPr>
              <w:br/>
              <w:t>&lt;0,001</w:t>
            </w:r>
          </w:p>
        </w:tc>
        <w:tc>
          <w:tcPr>
            <w:tcW w:w="1276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11,9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2,7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(23 %)</w:t>
            </w:r>
            <w:r>
              <w:rPr>
                <w:szCs w:val="22"/>
                <w:lang w:val="lt-LT"/>
              </w:rPr>
              <w:br/>
              <w:t>1158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&lt;0,001</w:t>
            </w:r>
          </w:p>
        </w:tc>
        <w:tc>
          <w:tcPr>
            <w:tcW w:w="1419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12,1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1,9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(16 %)</w:t>
            </w:r>
            <w:r>
              <w:rPr>
                <w:szCs w:val="22"/>
                <w:lang w:val="lt-LT"/>
              </w:rPr>
              <w:br/>
              <w:t>250</w:t>
            </w:r>
            <w:r>
              <w:rPr>
                <w:szCs w:val="22"/>
                <w:lang w:val="lt-LT"/>
              </w:rPr>
              <w:br/>
              <w:t>0,004</w:t>
            </w:r>
          </w:p>
        </w:tc>
      </w:tr>
      <w:tr w:rsidR="00955A5A" w:rsidTr="00C640DE">
        <w:tc>
          <w:tcPr>
            <w:tcW w:w="4219" w:type="dxa"/>
            <w:tcBorders>
              <w:right w:val="nil"/>
            </w:tcBorders>
          </w:tcPr>
          <w:p w:rsidR="00955A5A" w:rsidRDefault="00955A5A" w:rsidP="00C640DE">
            <w:pPr>
              <w:pStyle w:val="TableTextBold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 xml:space="preserve">Priverstinio </w:t>
            </w:r>
            <w:proofErr w:type="spellStart"/>
            <w:r>
              <w:rPr>
                <w:color w:val="000000"/>
                <w:szCs w:val="22"/>
                <w:lang w:val="lt-LT"/>
              </w:rPr>
              <w:t>šlapinimosi</w:t>
            </w:r>
            <w:proofErr w:type="spellEnd"/>
            <w:r>
              <w:rPr>
                <w:color w:val="000000"/>
                <w:szCs w:val="22"/>
                <w:lang w:val="lt-LT"/>
              </w:rPr>
              <w:t xml:space="preserve"> epizodų skaičius per 24 val.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419" w:type="dxa"/>
            <w:tcBorders>
              <w:lef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</w:tr>
      <w:tr w:rsidR="00955A5A" w:rsidTr="00C640DE">
        <w:tc>
          <w:tcPr>
            <w:tcW w:w="4219" w:type="dxa"/>
          </w:tcPr>
          <w:p w:rsidR="00955A5A" w:rsidRDefault="00955A5A" w:rsidP="00C640DE">
            <w:pPr>
              <w:pStyle w:val="Default"/>
              <w:ind w:left="90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Pradinio įverčio vidurkis</w:t>
            </w:r>
            <w:r>
              <w:rPr>
                <w:sz w:val="22"/>
                <w:szCs w:val="22"/>
                <w:lang w:val="lt-LT"/>
              </w:rPr>
              <w:tab/>
            </w:r>
          </w:p>
          <w:p w:rsidR="00955A5A" w:rsidRDefault="00955A5A" w:rsidP="00C640DE">
            <w:pPr>
              <w:pStyle w:val="Pagrindinistekstas"/>
              <w:tabs>
                <w:tab w:val="left" w:pos="900"/>
                <w:tab w:val="left" w:pos="1305"/>
              </w:tabs>
              <w:ind w:left="900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Sumažėjimo vidurkis palyginti su pradiniu </w:t>
            </w:r>
          </w:p>
          <w:p w:rsidR="00955A5A" w:rsidRDefault="00955A5A" w:rsidP="00C640DE">
            <w:pPr>
              <w:pStyle w:val="Pagrindinistekstas"/>
              <w:tabs>
                <w:tab w:val="left" w:pos="900"/>
                <w:tab w:val="left" w:pos="1305"/>
              </w:tabs>
              <w:ind w:left="900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% pokytis palyginti su pradiniu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ind w:left="900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n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ind w:left="900"/>
              <w:rPr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p-reikšmė*</w:t>
            </w:r>
          </w:p>
        </w:tc>
        <w:tc>
          <w:tcPr>
            <w:tcW w:w="1275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6,3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2,0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(32 %)</w:t>
            </w:r>
            <w:r>
              <w:rPr>
                <w:szCs w:val="22"/>
                <w:lang w:val="lt-LT"/>
              </w:rPr>
              <w:br/>
              <w:t>1124</w:t>
            </w:r>
          </w:p>
        </w:tc>
        <w:tc>
          <w:tcPr>
            <w:tcW w:w="1275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5,9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2,9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(49 %)</w:t>
            </w:r>
            <w:r>
              <w:rPr>
                <w:szCs w:val="22"/>
                <w:lang w:val="lt-LT"/>
              </w:rPr>
              <w:br/>
              <w:t>548</w:t>
            </w:r>
            <w:r>
              <w:rPr>
                <w:szCs w:val="22"/>
                <w:lang w:val="lt-LT"/>
              </w:rPr>
              <w:br/>
              <w:t>&lt;0,001</w:t>
            </w:r>
          </w:p>
        </w:tc>
        <w:tc>
          <w:tcPr>
            <w:tcW w:w="1276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6,2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3,4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(55 %)</w:t>
            </w:r>
            <w:r>
              <w:rPr>
                <w:szCs w:val="22"/>
                <w:lang w:val="lt-LT"/>
              </w:rPr>
              <w:br/>
              <w:t>1151</w:t>
            </w:r>
            <w:r>
              <w:rPr>
                <w:szCs w:val="22"/>
                <w:lang w:val="lt-LT"/>
              </w:rPr>
              <w:br/>
              <w:t>&lt;0,001</w:t>
            </w:r>
          </w:p>
        </w:tc>
        <w:tc>
          <w:tcPr>
            <w:tcW w:w="1419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5,4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2,1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(39 %)</w:t>
            </w:r>
            <w:r>
              <w:rPr>
                <w:szCs w:val="22"/>
                <w:lang w:val="lt-LT"/>
              </w:rPr>
              <w:br/>
              <w:t>250</w:t>
            </w:r>
            <w:r>
              <w:rPr>
                <w:szCs w:val="22"/>
                <w:lang w:val="lt-LT"/>
              </w:rPr>
              <w:br/>
              <w:t>0,031</w:t>
            </w:r>
          </w:p>
        </w:tc>
      </w:tr>
      <w:tr w:rsidR="00955A5A" w:rsidTr="00C640DE">
        <w:tc>
          <w:tcPr>
            <w:tcW w:w="4219" w:type="dxa"/>
            <w:tcBorders>
              <w:right w:val="nil"/>
            </w:tcBorders>
          </w:tcPr>
          <w:p w:rsidR="00955A5A" w:rsidRDefault="00955A5A" w:rsidP="00C640DE">
            <w:pPr>
              <w:pStyle w:val="Default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Šlapimo nelaikymo epizodų skaičius per 24 val.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419" w:type="dxa"/>
            <w:tcBorders>
              <w:lef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</w:tr>
      <w:tr w:rsidR="00955A5A" w:rsidTr="00C640DE">
        <w:tc>
          <w:tcPr>
            <w:tcW w:w="4219" w:type="dxa"/>
          </w:tcPr>
          <w:p w:rsidR="00955A5A" w:rsidRDefault="00955A5A" w:rsidP="00C640DE">
            <w:pPr>
              <w:pStyle w:val="Default"/>
              <w:ind w:left="90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Pradinio įverčio vidurkis</w:t>
            </w:r>
            <w:r>
              <w:rPr>
                <w:sz w:val="22"/>
                <w:szCs w:val="22"/>
                <w:lang w:val="lt-LT"/>
              </w:rPr>
              <w:tab/>
            </w:r>
          </w:p>
          <w:p w:rsidR="00955A5A" w:rsidRDefault="00955A5A" w:rsidP="00C640DE">
            <w:pPr>
              <w:pStyle w:val="Pagrindinistekstas"/>
              <w:tabs>
                <w:tab w:val="left" w:pos="900"/>
                <w:tab w:val="left" w:pos="1305"/>
              </w:tabs>
              <w:ind w:left="900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Sumažėjimo vidurkis palyginti su pradiniu </w:t>
            </w:r>
          </w:p>
          <w:p w:rsidR="00955A5A" w:rsidRDefault="00955A5A" w:rsidP="00C640DE">
            <w:pPr>
              <w:pStyle w:val="Pagrindinistekstas"/>
              <w:tabs>
                <w:tab w:val="left" w:pos="900"/>
                <w:tab w:val="left" w:pos="1305"/>
              </w:tabs>
              <w:ind w:left="900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% pokytis palyginti su pradiniu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ind w:left="900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n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ind w:left="900"/>
              <w:rPr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p-reikšmė*</w:t>
            </w:r>
          </w:p>
        </w:tc>
        <w:tc>
          <w:tcPr>
            <w:tcW w:w="1275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2,9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1,1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(38 %)</w:t>
            </w:r>
            <w:r>
              <w:rPr>
                <w:szCs w:val="22"/>
                <w:lang w:val="lt-LT"/>
              </w:rPr>
              <w:br/>
              <w:t>781</w:t>
            </w:r>
          </w:p>
        </w:tc>
        <w:tc>
          <w:tcPr>
            <w:tcW w:w="1275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2,6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1,5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(58 %)</w:t>
            </w:r>
            <w:r>
              <w:rPr>
                <w:szCs w:val="22"/>
                <w:lang w:val="lt-LT"/>
              </w:rPr>
              <w:br/>
              <w:t>314</w:t>
            </w:r>
            <w:r>
              <w:rPr>
                <w:szCs w:val="22"/>
                <w:lang w:val="lt-LT"/>
              </w:rPr>
              <w:br/>
              <w:t>&lt;0,001</w:t>
            </w:r>
          </w:p>
        </w:tc>
        <w:tc>
          <w:tcPr>
            <w:tcW w:w="1276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2,9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1,8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(62 %)</w:t>
            </w:r>
            <w:r>
              <w:rPr>
                <w:szCs w:val="22"/>
                <w:lang w:val="lt-LT"/>
              </w:rPr>
              <w:br/>
              <w:t>778</w:t>
            </w:r>
            <w:r>
              <w:rPr>
                <w:szCs w:val="22"/>
                <w:lang w:val="lt-LT"/>
              </w:rPr>
              <w:br/>
              <w:t>&lt;0,001</w:t>
            </w:r>
          </w:p>
        </w:tc>
        <w:tc>
          <w:tcPr>
            <w:tcW w:w="1419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2,3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1,1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(48 %)</w:t>
            </w:r>
            <w:r>
              <w:rPr>
                <w:szCs w:val="22"/>
                <w:lang w:val="lt-LT"/>
              </w:rPr>
              <w:br/>
              <w:t>157</w:t>
            </w:r>
            <w:r>
              <w:rPr>
                <w:szCs w:val="22"/>
                <w:lang w:val="lt-LT"/>
              </w:rPr>
              <w:br/>
              <w:t>0,009</w:t>
            </w:r>
          </w:p>
        </w:tc>
      </w:tr>
      <w:tr w:rsidR="00955A5A" w:rsidTr="00C640DE">
        <w:tc>
          <w:tcPr>
            <w:tcW w:w="4219" w:type="dxa"/>
            <w:tcBorders>
              <w:right w:val="nil"/>
            </w:tcBorders>
          </w:tcPr>
          <w:p w:rsidR="00955A5A" w:rsidRDefault="00955A5A" w:rsidP="00C640DE">
            <w:pPr>
              <w:pStyle w:val="TableTextBold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Naktinio </w:t>
            </w:r>
            <w:proofErr w:type="spellStart"/>
            <w:r>
              <w:rPr>
                <w:szCs w:val="22"/>
                <w:lang w:val="lt-LT"/>
              </w:rPr>
              <w:t>šlapinimosi</w:t>
            </w:r>
            <w:proofErr w:type="spellEnd"/>
            <w:r>
              <w:rPr>
                <w:szCs w:val="22"/>
                <w:lang w:val="lt-LT"/>
              </w:rPr>
              <w:t xml:space="preserve"> epizodai per 24 val.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419" w:type="dxa"/>
            <w:tcBorders>
              <w:lef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</w:tr>
      <w:tr w:rsidR="00955A5A" w:rsidTr="00C640DE">
        <w:tc>
          <w:tcPr>
            <w:tcW w:w="4219" w:type="dxa"/>
          </w:tcPr>
          <w:p w:rsidR="00955A5A" w:rsidRDefault="00955A5A" w:rsidP="00C640DE">
            <w:pPr>
              <w:pStyle w:val="Default"/>
              <w:ind w:left="90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Pradinio įverčio vidurkis</w:t>
            </w:r>
            <w:r>
              <w:rPr>
                <w:sz w:val="22"/>
                <w:szCs w:val="22"/>
                <w:lang w:val="lt-LT"/>
              </w:rPr>
              <w:tab/>
            </w:r>
          </w:p>
          <w:p w:rsidR="00955A5A" w:rsidRDefault="00955A5A" w:rsidP="00C640DE">
            <w:pPr>
              <w:pStyle w:val="Pagrindinistekstas"/>
              <w:tabs>
                <w:tab w:val="left" w:pos="900"/>
                <w:tab w:val="left" w:pos="1305"/>
              </w:tabs>
              <w:ind w:left="900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Sumažėjimo vidurkis palyginti su pradiniu </w:t>
            </w:r>
          </w:p>
          <w:p w:rsidR="00955A5A" w:rsidRDefault="00955A5A" w:rsidP="00C640DE">
            <w:pPr>
              <w:pStyle w:val="Pagrindinistekstas"/>
              <w:tabs>
                <w:tab w:val="left" w:pos="900"/>
                <w:tab w:val="left" w:pos="1305"/>
              </w:tabs>
              <w:ind w:left="900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% pokytis palyginti su pradiniu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ind w:left="900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n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ind w:left="900"/>
              <w:rPr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p-reikšmė*</w:t>
            </w:r>
          </w:p>
        </w:tc>
        <w:tc>
          <w:tcPr>
            <w:tcW w:w="1275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1,8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0,4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(22 %)</w:t>
            </w:r>
            <w:r>
              <w:rPr>
                <w:szCs w:val="22"/>
                <w:lang w:val="lt-LT"/>
              </w:rPr>
              <w:br/>
              <w:t>1005</w:t>
            </w:r>
          </w:p>
        </w:tc>
        <w:tc>
          <w:tcPr>
            <w:tcW w:w="1275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2,0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0,6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(30 %)</w:t>
            </w:r>
            <w:r>
              <w:rPr>
                <w:szCs w:val="22"/>
                <w:lang w:val="lt-LT"/>
              </w:rPr>
              <w:br/>
              <w:t>494</w:t>
            </w:r>
            <w:r>
              <w:rPr>
                <w:szCs w:val="22"/>
                <w:lang w:val="lt-LT"/>
              </w:rPr>
              <w:br/>
              <w:t>0,025</w:t>
            </w:r>
          </w:p>
        </w:tc>
        <w:tc>
          <w:tcPr>
            <w:tcW w:w="1276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1,8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0,6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(33 %)</w:t>
            </w:r>
            <w:r>
              <w:rPr>
                <w:szCs w:val="22"/>
                <w:lang w:val="lt-LT"/>
              </w:rPr>
              <w:br/>
              <w:t>1035</w:t>
            </w:r>
            <w:r>
              <w:rPr>
                <w:szCs w:val="22"/>
                <w:lang w:val="lt-LT"/>
              </w:rPr>
              <w:br/>
              <w:t>&lt;0,001</w:t>
            </w:r>
          </w:p>
        </w:tc>
        <w:tc>
          <w:tcPr>
            <w:tcW w:w="1419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1,9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0,5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(26 %)</w:t>
            </w:r>
            <w:r>
              <w:rPr>
                <w:szCs w:val="22"/>
                <w:lang w:val="lt-LT"/>
              </w:rPr>
              <w:br/>
              <w:t>232</w:t>
            </w:r>
            <w:r>
              <w:rPr>
                <w:szCs w:val="22"/>
                <w:lang w:val="lt-LT"/>
              </w:rPr>
              <w:br/>
              <w:t>0,199</w:t>
            </w:r>
          </w:p>
        </w:tc>
      </w:tr>
      <w:tr w:rsidR="00955A5A" w:rsidTr="00C640DE">
        <w:tc>
          <w:tcPr>
            <w:tcW w:w="4219" w:type="dxa"/>
            <w:tcBorders>
              <w:right w:val="nil"/>
            </w:tcBorders>
          </w:tcPr>
          <w:p w:rsidR="00955A5A" w:rsidRDefault="00955A5A" w:rsidP="00C640DE">
            <w:pPr>
              <w:pStyle w:val="Default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Šlapimo tūris 1 </w:t>
            </w:r>
            <w:proofErr w:type="spellStart"/>
            <w:r>
              <w:rPr>
                <w:b/>
                <w:sz w:val="22"/>
                <w:szCs w:val="22"/>
                <w:lang w:val="lt-LT"/>
              </w:rPr>
              <w:t>šlapinimosi</w:t>
            </w:r>
            <w:proofErr w:type="spellEnd"/>
            <w:r>
              <w:rPr>
                <w:b/>
                <w:sz w:val="22"/>
                <w:szCs w:val="22"/>
                <w:lang w:val="lt-LT"/>
              </w:rPr>
              <w:t xml:space="preserve"> metu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419" w:type="dxa"/>
            <w:tcBorders>
              <w:lef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</w:tr>
      <w:tr w:rsidR="00955A5A" w:rsidTr="00C640DE">
        <w:tc>
          <w:tcPr>
            <w:tcW w:w="4219" w:type="dxa"/>
          </w:tcPr>
          <w:p w:rsidR="00955A5A" w:rsidRDefault="00955A5A" w:rsidP="00C640DE">
            <w:pPr>
              <w:pStyle w:val="Default"/>
              <w:ind w:left="90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Pradinio įverčio vidurkis</w:t>
            </w:r>
            <w:r>
              <w:rPr>
                <w:sz w:val="22"/>
                <w:szCs w:val="22"/>
                <w:lang w:val="lt-LT"/>
              </w:rPr>
              <w:tab/>
            </w:r>
          </w:p>
          <w:p w:rsidR="00955A5A" w:rsidRDefault="00955A5A" w:rsidP="00C640DE">
            <w:pPr>
              <w:pStyle w:val="Pagrindinistekstas"/>
              <w:tabs>
                <w:tab w:val="left" w:pos="900"/>
                <w:tab w:val="left" w:pos="1305"/>
              </w:tabs>
              <w:ind w:left="900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Padidėjimo vidurkis palyginti su pradiniu </w:t>
            </w:r>
          </w:p>
          <w:p w:rsidR="00955A5A" w:rsidRDefault="00955A5A" w:rsidP="00C640DE">
            <w:pPr>
              <w:pStyle w:val="Pagrindinistekstas"/>
              <w:tabs>
                <w:tab w:val="left" w:pos="900"/>
                <w:tab w:val="left" w:pos="1305"/>
              </w:tabs>
              <w:ind w:left="900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% pokytis palyginti su pradiniu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ind w:left="900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n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ind w:left="900"/>
              <w:rPr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p-reikšmė*</w:t>
            </w:r>
          </w:p>
        </w:tc>
        <w:tc>
          <w:tcPr>
            <w:tcW w:w="1275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166 ml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9 ml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(5 %)</w:t>
            </w:r>
            <w:r>
              <w:rPr>
                <w:szCs w:val="22"/>
                <w:lang w:val="lt-LT"/>
              </w:rPr>
              <w:br/>
              <w:t>1135</w:t>
            </w:r>
          </w:p>
        </w:tc>
        <w:tc>
          <w:tcPr>
            <w:tcW w:w="1275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146 ml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32 ml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(21 %)</w:t>
            </w:r>
            <w:r>
              <w:rPr>
                <w:szCs w:val="22"/>
                <w:lang w:val="lt-LT"/>
              </w:rPr>
              <w:br/>
              <w:t>552</w:t>
            </w:r>
            <w:r>
              <w:rPr>
                <w:szCs w:val="22"/>
                <w:lang w:val="lt-LT"/>
              </w:rPr>
              <w:br/>
              <w:t>&lt;0,001</w:t>
            </w:r>
          </w:p>
        </w:tc>
        <w:tc>
          <w:tcPr>
            <w:tcW w:w="1276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163 ml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43 ml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(26 %)</w:t>
            </w:r>
            <w:r>
              <w:rPr>
                <w:szCs w:val="22"/>
                <w:lang w:val="lt-LT"/>
              </w:rPr>
              <w:br/>
              <w:t>1156</w:t>
            </w:r>
            <w:r>
              <w:rPr>
                <w:szCs w:val="22"/>
                <w:lang w:val="lt-LT"/>
              </w:rPr>
              <w:br/>
              <w:t>&lt;0,001</w:t>
            </w:r>
          </w:p>
        </w:tc>
        <w:tc>
          <w:tcPr>
            <w:tcW w:w="1419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147 ml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24 ml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(16 %)</w:t>
            </w:r>
            <w:r>
              <w:rPr>
                <w:szCs w:val="22"/>
                <w:lang w:val="lt-LT"/>
              </w:rPr>
              <w:br/>
              <w:t>250</w:t>
            </w:r>
            <w:r>
              <w:rPr>
                <w:szCs w:val="22"/>
                <w:lang w:val="lt-LT"/>
              </w:rPr>
              <w:br/>
              <w:t>&lt;0,001</w:t>
            </w:r>
          </w:p>
        </w:tc>
      </w:tr>
      <w:tr w:rsidR="00955A5A" w:rsidTr="00C640DE">
        <w:tc>
          <w:tcPr>
            <w:tcW w:w="4219" w:type="dxa"/>
            <w:tcBorders>
              <w:right w:val="nil"/>
            </w:tcBorders>
          </w:tcPr>
          <w:p w:rsidR="00955A5A" w:rsidRDefault="00955A5A" w:rsidP="00C640DE">
            <w:pPr>
              <w:pStyle w:val="Pagrindinistekstas"/>
              <w:rPr>
                <w:b/>
                <w:color w:val="000000"/>
                <w:lang w:val="lt-LT" w:eastAsia="en-US"/>
              </w:rPr>
            </w:pPr>
            <w:r>
              <w:rPr>
                <w:b/>
                <w:color w:val="000000"/>
                <w:sz w:val="22"/>
                <w:szCs w:val="22"/>
                <w:lang w:val="lt-LT" w:eastAsia="en-US"/>
              </w:rPr>
              <w:t xml:space="preserve">Tamponų skaičius per 24 val. 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  <w:tc>
          <w:tcPr>
            <w:tcW w:w="1419" w:type="dxa"/>
            <w:tcBorders>
              <w:left w:val="nil"/>
            </w:tcBorders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</w:tc>
      </w:tr>
      <w:tr w:rsidR="00955A5A" w:rsidTr="00C640DE">
        <w:tc>
          <w:tcPr>
            <w:tcW w:w="4219" w:type="dxa"/>
          </w:tcPr>
          <w:p w:rsidR="00955A5A" w:rsidRDefault="00955A5A" w:rsidP="00C640DE">
            <w:pPr>
              <w:pStyle w:val="Default"/>
              <w:ind w:left="90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Pradinio įverčio vidurkis</w:t>
            </w:r>
            <w:r>
              <w:rPr>
                <w:sz w:val="22"/>
                <w:szCs w:val="22"/>
                <w:lang w:val="lt-LT"/>
              </w:rPr>
              <w:tab/>
            </w:r>
          </w:p>
          <w:p w:rsidR="00955A5A" w:rsidRDefault="00955A5A" w:rsidP="00C640DE">
            <w:pPr>
              <w:pStyle w:val="Pagrindinistekstas"/>
              <w:tabs>
                <w:tab w:val="left" w:pos="900"/>
                <w:tab w:val="left" w:pos="1305"/>
              </w:tabs>
              <w:ind w:left="900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Sumažėjimo vidurkis palyginti su pradiniu </w:t>
            </w:r>
          </w:p>
          <w:p w:rsidR="00955A5A" w:rsidRDefault="00955A5A" w:rsidP="00C640DE">
            <w:pPr>
              <w:pStyle w:val="Pagrindinistekstas"/>
              <w:tabs>
                <w:tab w:val="left" w:pos="900"/>
                <w:tab w:val="left" w:pos="1305"/>
              </w:tabs>
              <w:ind w:left="900"/>
              <w:rPr>
                <w:color w:val="000000"/>
                <w:lang w:val="lt-LT" w:eastAsia="en-US"/>
              </w:rPr>
            </w:pPr>
            <w:r>
              <w:rPr>
                <w:color w:val="000000"/>
                <w:sz w:val="22"/>
                <w:szCs w:val="22"/>
                <w:lang w:val="lt-LT" w:eastAsia="en-US"/>
              </w:rPr>
              <w:t xml:space="preserve">% pokytis palyginti su pradiniu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ind w:left="900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n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ind w:left="900"/>
              <w:rPr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p-reikšmė*</w:t>
            </w:r>
          </w:p>
        </w:tc>
        <w:tc>
          <w:tcPr>
            <w:tcW w:w="1275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3,0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0,8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(27 %)</w:t>
            </w:r>
            <w:r>
              <w:rPr>
                <w:szCs w:val="22"/>
                <w:lang w:val="lt-LT"/>
              </w:rPr>
              <w:br/>
              <w:t>238</w:t>
            </w:r>
          </w:p>
        </w:tc>
        <w:tc>
          <w:tcPr>
            <w:tcW w:w="1275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2,8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1,3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(46 %)</w:t>
            </w:r>
            <w:r>
              <w:rPr>
                <w:szCs w:val="22"/>
                <w:lang w:val="lt-LT"/>
              </w:rPr>
              <w:br/>
              <w:t>236</w:t>
            </w:r>
            <w:r>
              <w:rPr>
                <w:szCs w:val="22"/>
                <w:lang w:val="lt-LT"/>
              </w:rPr>
              <w:br/>
              <w:t>&lt;0,001</w:t>
            </w:r>
          </w:p>
        </w:tc>
        <w:tc>
          <w:tcPr>
            <w:tcW w:w="1276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2,7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1,3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(48 %)</w:t>
            </w:r>
            <w:r>
              <w:rPr>
                <w:szCs w:val="22"/>
                <w:lang w:val="lt-LT"/>
              </w:rPr>
              <w:br/>
              <w:t>242</w:t>
            </w:r>
            <w:r>
              <w:rPr>
                <w:szCs w:val="22"/>
                <w:lang w:val="lt-LT"/>
              </w:rPr>
              <w:br/>
              <w:t>&lt;0,001</w:t>
            </w:r>
          </w:p>
        </w:tc>
        <w:tc>
          <w:tcPr>
            <w:tcW w:w="1419" w:type="dxa"/>
          </w:tcPr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2,7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1,0 </w:t>
            </w: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</w:p>
          <w:p w:rsidR="00955A5A" w:rsidRDefault="00955A5A" w:rsidP="00C640DE">
            <w:pPr>
              <w:pStyle w:val="TableTextLeft"/>
              <w:keepLines/>
              <w:spacing w:before="0" w:after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(37 %)</w:t>
            </w:r>
            <w:r>
              <w:rPr>
                <w:szCs w:val="22"/>
                <w:lang w:val="lt-LT"/>
              </w:rPr>
              <w:br/>
              <w:t>250</w:t>
            </w:r>
            <w:r>
              <w:rPr>
                <w:szCs w:val="22"/>
                <w:lang w:val="lt-LT"/>
              </w:rPr>
              <w:br/>
              <w:t>0,010</w:t>
            </w:r>
          </w:p>
        </w:tc>
      </w:tr>
    </w:tbl>
    <w:p w:rsidR="00955A5A" w:rsidRDefault="00955A5A" w:rsidP="00955A5A">
      <w:pPr>
        <w:pStyle w:val="Pagrindinistekstas"/>
        <w:ind w:left="1800" w:hanging="900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u w:val="single"/>
          <w:lang w:val="lt-LT"/>
        </w:rPr>
        <w:t>Pastaba:</w:t>
      </w:r>
      <w:r>
        <w:rPr>
          <w:color w:val="000000"/>
          <w:sz w:val="22"/>
          <w:szCs w:val="22"/>
          <w:lang w:val="lt-LT"/>
        </w:rPr>
        <w:t xml:space="preserve"> </w:t>
      </w:r>
      <w:r>
        <w:rPr>
          <w:color w:val="000000"/>
          <w:sz w:val="22"/>
          <w:szCs w:val="22"/>
          <w:lang w:val="lt-LT"/>
        </w:rPr>
        <w:tab/>
        <w:t xml:space="preserve">4 pagrindinių tyrimų metu vartota </w:t>
      </w:r>
      <w:proofErr w:type="spellStart"/>
      <w:r>
        <w:rPr>
          <w:color w:val="000000"/>
          <w:sz w:val="22"/>
          <w:szCs w:val="22"/>
          <w:lang w:val="lt-LT"/>
        </w:rPr>
        <w:t>Vesicare</w:t>
      </w:r>
      <w:proofErr w:type="spellEnd"/>
      <w:r>
        <w:rPr>
          <w:color w:val="000000"/>
          <w:sz w:val="22"/>
          <w:szCs w:val="22"/>
          <w:lang w:val="lt-LT"/>
        </w:rPr>
        <w:t xml:space="preserve"> 10 mg ir </w:t>
      </w:r>
      <w:proofErr w:type="spellStart"/>
      <w:r>
        <w:rPr>
          <w:color w:val="000000"/>
          <w:sz w:val="22"/>
          <w:szCs w:val="22"/>
          <w:lang w:val="lt-LT"/>
        </w:rPr>
        <w:t>placebo</w:t>
      </w:r>
      <w:proofErr w:type="spellEnd"/>
      <w:r>
        <w:rPr>
          <w:color w:val="000000"/>
          <w:sz w:val="22"/>
          <w:szCs w:val="22"/>
          <w:lang w:val="lt-LT"/>
        </w:rPr>
        <w:t xml:space="preserve">. Dviejų iš 4 tyrimų metu vartota ir </w:t>
      </w:r>
      <w:proofErr w:type="spellStart"/>
      <w:r>
        <w:rPr>
          <w:color w:val="000000"/>
          <w:sz w:val="22"/>
          <w:szCs w:val="22"/>
          <w:lang w:val="lt-LT"/>
        </w:rPr>
        <w:t>Vesicare</w:t>
      </w:r>
      <w:proofErr w:type="spellEnd"/>
      <w:r>
        <w:rPr>
          <w:color w:val="000000"/>
          <w:sz w:val="22"/>
          <w:szCs w:val="22"/>
          <w:lang w:val="lt-LT"/>
        </w:rPr>
        <w:t xml:space="preserve"> 5 mg, o vieno tyrimo metu ir po 2 mg </w:t>
      </w:r>
      <w:proofErr w:type="spellStart"/>
      <w:r>
        <w:rPr>
          <w:color w:val="000000"/>
          <w:sz w:val="22"/>
          <w:szCs w:val="22"/>
          <w:lang w:val="lt-LT"/>
        </w:rPr>
        <w:t>tolterodino</w:t>
      </w:r>
      <w:proofErr w:type="spellEnd"/>
      <w:r>
        <w:rPr>
          <w:color w:val="000000"/>
          <w:sz w:val="22"/>
          <w:szCs w:val="22"/>
          <w:lang w:val="lt-LT"/>
        </w:rPr>
        <w:t xml:space="preserve"> 2 kartus per parą. </w:t>
      </w:r>
    </w:p>
    <w:p w:rsidR="00955A5A" w:rsidRDefault="00955A5A" w:rsidP="00955A5A">
      <w:pPr>
        <w:pStyle w:val="Pagrindinistekstas"/>
        <w:ind w:left="1800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Kiekviename atskirame tyrime dalyvavo ne visos ligonių grupės ir vertinti ne visi rodikliai, todėl nurodytų pacientų skaičius analizuojant rodiklius ir tiriamąsias grupes gali nesutapti. </w:t>
      </w:r>
    </w:p>
    <w:p w:rsidR="00955A5A" w:rsidRDefault="00955A5A" w:rsidP="00955A5A">
      <w:pPr>
        <w:pStyle w:val="BTEMEASMCA"/>
        <w:ind w:left="1800" w:hanging="900"/>
        <w:rPr>
          <w:noProof w:val="0"/>
        </w:rPr>
      </w:pPr>
      <w:r>
        <w:rPr>
          <w:noProof w:val="0"/>
          <w:color w:val="000000"/>
        </w:rPr>
        <w:t>*</w:t>
      </w:r>
      <w:r>
        <w:rPr>
          <w:noProof w:val="0"/>
          <w:color w:val="000000"/>
        </w:rPr>
        <w:tab/>
        <w:t xml:space="preserve">p-reikšmė porinei imčiai vaistinio preparato ir </w:t>
      </w:r>
      <w:proofErr w:type="spellStart"/>
      <w:r>
        <w:rPr>
          <w:noProof w:val="0"/>
          <w:color w:val="000000"/>
        </w:rPr>
        <w:t>placebo</w:t>
      </w:r>
      <w:proofErr w:type="spellEnd"/>
      <w:r>
        <w:rPr>
          <w:noProof w:val="0"/>
          <w:color w:val="000000"/>
        </w:rPr>
        <w:t xml:space="preserve"> poveikiui palyginti.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r>
        <w:lastRenderedPageBreak/>
        <w:t>5.2</w:t>
      </w:r>
      <w:r>
        <w:tab/>
      </w:r>
      <w:proofErr w:type="spellStart"/>
      <w:r>
        <w:t>Farmakokinetinės</w:t>
      </w:r>
      <w:proofErr w:type="spellEnd"/>
      <w:r>
        <w:t xml:space="preserve"> savybės</w:t>
      </w:r>
    </w:p>
    <w:p w:rsidR="00955A5A" w:rsidRDefault="00955A5A" w:rsidP="00955A5A">
      <w:pPr>
        <w:rPr>
          <w:sz w:val="22"/>
          <w:szCs w:val="22"/>
        </w:rPr>
      </w:pPr>
    </w:p>
    <w:p w:rsidR="00955A5A" w:rsidRPr="00F379AD" w:rsidRDefault="00955A5A" w:rsidP="00955A5A">
      <w:pPr>
        <w:rPr>
          <w:i/>
          <w:sz w:val="22"/>
          <w:u w:val="single"/>
        </w:rPr>
      </w:pPr>
      <w:r w:rsidRPr="00EB165F">
        <w:rPr>
          <w:i/>
          <w:sz w:val="22"/>
          <w:u w:val="single"/>
        </w:rPr>
        <w:t xml:space="preserve">Absorbcija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Išgėrus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tablečių, didžiausia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koncentracija kraujo plazmoje (</w:t>
      </w:r>
      <w:proofErr w:type="spellStart"/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>) susidaro po 3</w:t>
      </w:r>
      <w:r>
        <w:rPr>
          <w:sz w:val="22"/>
          <w:szCs w:val="22"/>
        </w:rPr>
        <w:noBreakHyphen/>
        <w:t xml:space="preserve">8 val., </w:t>
      </w:r>
      <w:proofErr w:type="spellStart"/>
      <w:r>
        <w:rPr>
          <w:sz w:val="22"/>
          <w:szCs w:val="22"/>
        </w:rPr>
        <w:t>t</w:t>
      </w:r>
      <w:r>
        <w:rPr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 xml:space="preserve"> nepriklauso nuo dozės. </w:t>
      </w:r>
      <w:proofErr w:type="spellStart"/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 xml:space="preserve"> ir plotas, kurį atriboja koncentracijos kreivė (AUC), didėja proporcingai, didinant dozę nuo 5 mg iki 40 mg. Absoliutus biologinis prieinamumas yra maždaug 90 %. Maistas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 xml:space="preserve"> ir AUC nekeičia. </w:t>
      </w:r>
    </w:p>
    <w:p w:rsidR="00955A5A" w:rsidRDefault="00955A5A" w:rsidP="00955A5A">
      <w:pPr>
        <w:rPr>
          <w:sz w:val="22"/>
          <w:szCs w:val="22"/>
        </w:rPr>
      </w:pPr>
    </w:p>
    <w:p w:rsidR="00955A5A" w:rsidRPr="00F379AD" w:rsidRDefault="00955A5A" w:rsidP="00955A5A">
      <w:pPr>
        <w:rPr>
          <w:i/>
          <w:sz w:val="22"/>
          <w:u w:val="single"/>
        </w:rPr>
      </w:pPr>
      <w:r w:rsidRPr="00EB165F">
        <w:rPr>
          <w:i/>
          <w:sz w:val="22"/>
          <w:u w:val="single"/>
        </w:rPr>
        <w:t xml:space="preserve">Pasiskirstymas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suleidus į veną, tariamasis pasiskirstymo tūris yra maždaug 600 l. Daug (maždaug 98 %) vaistinio preparato jungiasi su kraujo plazmos baltymais, visų pirma su α1 rūgšties </w:t>
      </w:r>
      <w:proofErr w:type="spellStart"/>
      <w:r>
        <w:rPr>
          <w:sz w:val="22"/>
          <w:szCs w:val="22"/>
        </w:rPr>
        <w:t>glikoproteinu</w:t>
      </w:r>
      <w:proofErr w:type="spellEnd"/>
      <w:r>
        <w:rPr>
          <w:sz w:val="22"/>
          <w:szCs w:val="22"/>
        </w:rPr>
        <w:t xml:space="preserve">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i/>
          <w:sz w:val="22"/>
          <w:szCs w:val="22"/>
          <w:u w:val="single"/>
        </w:rPr>
      </w:pPr>
      <w:proofErr w:type="spellStart"/>
      <w:r>
        <w:rPr>
          <w:i/>
          <w:sz w:val="22"/>
          <w:szCs w:val="22"/>
          <w:u w:val="single"/>
        </w:rPr>
        <w:t>Biotransformacija</w:t>
      </w:r>
      <w:proofErr w:type="spellEnd"/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Didžioji dalis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metabolizuojama</w:t>
      </w:r>
      <w:proofErr w:type="spellEnd"/>
      <w:r>
        <w:rPr>
          <w:sz w:val="22"/>
          <w:szCs w:val="22"/>
        </w:rPr>
        <w:t xml:space="preserve"> kepenyse, visų pirma </w:t>
      </w:r>
      <w:proofErr w:type="spellStart"/>
      <w:r>
        <w:rPr>
          <w:sz w:val="22"/>
          <w:szCs w:val="22"/>
        </w:rPr>
        <w:t>citochromo</w:t>
      </w:r>
      <w:proofErr w:type="spellEnd"/>
      <w:r>
        <w:rPr>
          <w:sz w:val="22"/>
          <w:szCs w:val="22"/>
        </w:rPr>
        <w:t xml:space="preserve"> P450 3A4 (CYP3A4), tačiau egzistuoja ir kitokie metabolizmo būdai, kurie gali turėti įtakos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metabolizmui. Sisteminis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klirensas – maždaug 9,5 l/val., o galutinės pusinės eliminacijos laikas – 45</w:t>
      </w:r>
      <w:r>
        <w:rPr>
          <w:sz w:val="22"/>
          <w:szCs w:val="22"/>
        </w:rPr>
        <w:noBreakHyphen/>
        <w:t xml:space="preserve">68 val. Išgėrus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>, be jo kraujo plazmoje nustatomas vienas farmakologiškai aktyvus (4R-hidroksisolifenacinas) ir trys neaktyvūs metabolitai (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N-</w:t>
      </w:r>
      <w:proofErr w:type="spellStart"/>
      <w:r>
        <w:rPr>
          <w:sz w:val="22"/>
          <w:szCs w:val="22"/>
        </w:rPr>
        <w:t>gliukuronidas</w:t>
      </w:r>
      <w:proofErr w:type="spellEnd"/>
      <w:r>
        <w:rPr>
          <w:sz w:val="22"/>
          <w:szCs w:val="22"/>
        </w:rPr>
        <w:t xml:space="preserve">, N-oksidas ir 4R-hidroksi-N-oksidas).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Eliminacija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>Pavartojus vienkartinę 10 mg [</w:t>
      </w:r>
      <w:r>
        <w:rPr>
          <w:sz w:val="22"/>
          <w:szCs w:val="22"/>
          <w:vertAlign w:val="superscript"/>
        </w:rPr>
        <w:t>14</w:t>
      </w:r>
      <w:r>
        <w:rPr>
          <w:sz w:val="22"/>
          <w:szCs w:val="22"/>
        </w:rPr>
        <w:t>C-ženklinto]-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dozę, per 26 paras su šlapimu išsiskyrė maždaug 70 % radioaktyvios medžiagos, o su išmatomis – 23 %. Šlapime maždaug 11 % radioaktyvios medžiagos sudarė nepakitusi veiklioji medžiaga, maždaug 18 % - N-oksido metabolitas, 9 % - 4R-hidroksi-N-oksido metabolitas ir 8 % - 4R-hydroksimetabolitas (aktyvus metabolitas). </w:t>
      </w:r>
    </w:p>
    <w:p w:rsidR="00955A5A" w:rsidRDefault="00955A5A" w:rsidP="00955A5A">
      <w:pPr>
        <w:rPr>
          <w:sz w:val="22"/>
          <w:szCs w:val="22"/>
        </w:rPr>
      </w:pPr>
    </w:p>
    <w:p w:rsidR="00955A5A" w:rsidRPr="00F379AD" w:rsidRDefault="00955A5A" w:rsidP="00955A5A">
      <w:pPr>
        <w:rPr>
          <w:i/>
          <w:sz w:val="22"/>
          <w:u w:val="single"/>
        </w:rPr>
      </w:pPr>
      <w:r>
        <w:rPr>
          <w:i/>
          <w:sz w:val="22"/>
          <w:szCs w:val="22"/>
          <w:u w:val="single"/>
        </w:rPr>
        <w:t>Tiesinis / netiesinis pobūdis</w:t>
      </w:r>
      <w:r w:rsidRPr="00EB165F">
        <w:rPr>
          <w:i/>
          <w:sz w:val="22"/>
          <w:u w:val="single"/>
        </w:rPr>
        <w:t xml:space="preserve">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Vaistinio preparato, vartojamo terapinėmis dozėmis, </w:t>
      </w:r>
      <w:proofErr w:type="spellStart"/>
      <w:r>
        <w:rPr>
          <w:sz w:val="22"/>
          <w:szCs w:val="22"/>
        </w:rPr>
        <w:t>farmakokinetika</w:t>
      </w:r>
      <w:proofErr w:type="spellEnd"/>
      <w:r>
        <w:rPr>
          <w:sz w:val="22"/>
          <w:szCs w:val="22"/>
        </w:rPr>
        <w:t xml:space="preserve"> yra tiesinė.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Kitos ypatingos populiacijos</w:t>
      </w:r>
    </w:p>
    <w:p w:rsidR="00955A5A" w:rsidRDefault="00955A5A" w:rsidP="00955A5A">
      <w:pPr>
        <w:rPr>
          <w:i/>
          <w:sz w:val="22"/>
          <w:szCs w:val="22"/>
        </w:rPr>
      </w:pPr>
      <w:r>
        <w:rPr>
          <w:i/>
          <w:sz w:val="22"/>
          <w:szCs w:val="22"/>
        </w:rPr>
        <w:t>Senyvi pacientai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Atsižvelgiant į amžių dozavimo keisti nereikia. Tyrimų, atliktų su senyvo amžiaus žmonėmis, rezultatai parodė, kad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ekspozicija, išreikšta AUC, pavartojus 5 mg ar 10 mg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sukcinato</w:t>
      </w:r>
      <w:proofErr w:type="spellEnd"/>
      <w:r>
        <w:rPr>
          <w:sz w:val="22"/>
          <w:szCs w:val="22"/>
        </w:rPr>
        <w:t xml:space="preserve"> kartą per parą, sveikų senyvų žmonių (65 </w:t>
      </w: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80 m.) ir sveikų jaunesnių žmonių (jaunesnių kaip 55 m.) buvo panaši. Senyvų žmonių organizme vidutinis absorbcijos greitis, išreikštas </w:t>
      </w:r>
      <w:proofErr w:type="spellStart"/>
      <w:r>
        <w:rPr>
          <w:sz w:val="22"/>
          <w:szCs w:val="22"/>
        </w:rPr>
        <w:t>t</w:t>
      </w:r>
      <w:r>
        <w:rPr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 xml:space="preserve">, buvo šiek tiek lėtesnis, o galutinės pusinės eliminacijos laikas maždaug 20 % ilgesnis. Šis nedidelis skirtumas laikomas kliniškai nereikšmingu.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Farmakokinetinės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savybės vaikų ir paauglių organizme netirtos.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Lytis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Farmakokinetinėms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savybėms lytis įtakos neturi.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Rasė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Farmakokinetinėms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savybėms rasė įtakos neturi.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Sutrikusi inkstų funkcija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AUC ir </w:t>
      </w:r>
      <w:proofErr w:type="spellStart"/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 xml:space="preserve"> rodikliai pacientų, kuriems yra nesunkus arba vidutinio sunkumo inkstų funkcijos sutrikimas, organizme reikšmingai nesiskyrė nuo sveikų savanorių. Ligonių, kuriems yra sunkus inkstų funkcijos sutrikimas (</w:t>
      </w:r>
      <w:proofErr w:type="spellStart"/>
      <w:r>
        <w:rPr>
          <w:sz w:val="22"/>
          <w:szCs w:val="22"/>
        </w:rPr>
        <w:t>kreatinino</w:t>
      </w:r>
      <w:proofErr w:type="spellEnd"/>
      <w:r>
        <w:rPr>
          <w:sz w:val="22"/>
          <w:szCs w:val="22"/>
        </w:rPr>
        <w:t xml:space="preserve"> klirensas ≤ 30 ml/min.), organizme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ekspozicija buvo reikšmingai didesnė negu kontrolinės grupės tiriamųjų: </w:t>
      </w:r>
      <w:proofErr w:type="spellStart"/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 xml:space="preserve"> buvo didesnė maždaug 30 %, AUC – daugiau kaip 100 %, t</w:t>
      </w:r>
      <w:r>
        <w:rPr>
          <w:sz w:val="22"/>
          <w:szCs w:val="22"/>
          <w:vertAlign w:val="subscript"/>
        </w:rPr>
        <w:t>½</w:t>
      </w:r>
      <w:r>
        <w:rPr>
          <w:sz w:val="22"/>
          <w:szCs w:val="22"/>
        </w:rPr>
        <w:t xml:space="preserve"> – daugiau kaip 60 %. Nustatytas statistiškai reikšmingas ryšys tarp </w:t>
      </w:r>
      <w:proofErr w:type="spellStart"/>
      <w:r>
        <w:rPr>
          <w:sz w:val="22"/>
          <w:szCs w:val="22"/>
        </w:rPr>
        <w:t>kreatinino</w:t>
      </w:r>
      <w:proofErr w:type="spellEnd"/>
      <w:r>
        <w:rPr>
          <w:sz w:val="22"/>
          <w:szCs w:val="22"/>
        </w:rPr>
        <w:t xml:space="preserve"> klirenso ir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klirenso.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farmakokinetinės</w:t>
      </w:r>
      <w:proofErr w:type="spellEnd"/>
      <w:r>
        <w:rPr>
          <w:sz w:val="22"/>
          <w:szCs w:val="22"/>
        </w:rPr>
        <w:t xml:space="preserve"> savybės pacientams, kuriems atliekamos hemodializės, netirtos.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Sutrikusi kepenų funkcija </w:t>
      </w:r>
    </w:p>
    <w:p w:rsidR="00955A5A" w:rsidRDefault="00955A5A" w:rsidP="00955A5A">
      <w:r>
        <w:rPr>
          <w:sz w:val="22"/>
          <w:szCs w:val="22"/>
        </w:rPr>
        <w:lastRenderedPageBreak/>
        <w:t xml:space="preserve">Jeigu pacientams yra vidutinio laipsnio kepenų funkcijos sutrikimas (7 </w:t>
      </w: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9 balai pagal </w:t>
      </w:r>
      <w:proofErr w:type="spellStart"/>
      <w:r>
        <w:rPr>
          <w:sz w:val="22"/>
          <w:szCs w:val="22"/>
        </w:rPr>
        <w:t>Child-Pugh</w:t>
      </w:r>
      <w:proofErr w:type="spellEnd"/>
      <w:r>
        <w:rPr>
          <w:sz w:val="22"/>
          <w:szCs w:val="22"/>
        </w:rPr>
        <w:t xml:space="preserve"> skalę), </w:t>
      </w:r>
      <w:proofErr w:type="spellStart"/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 xml:space="preserve"> nepakinta, AUC padidėja 60  %, t</w:t>
      </w:r>
      <w:r>
        <w:rPr>
          <w:sz w:val="22"/>
          <w:szCs w:val="22"/>
          <w:vertAlign w:val="subscript"/>
        </w:rPr>
        <w:t>½</w:t>
      </w:r>
      <w:r>
        <w:rPr>
          <w:sz w:val="22"/>
          <w:szCs w:val="22"/>
        </w:rPr>
        <w:t xml:space="preserve"> padvigubėja. </w:t>
      </w:r>
      <w:proofErr w:type="spellStart"/>
      <w:r>
        <w:rPr>
          <w:sz w:val="22"/>
          <w:szCs w:val="22"/>
        </w:rPr>
        <w:t>Farmakokinetinės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savybės pacientams, kuriems yra sunkus kepenų funkcijos sutrikimas, netirtos</w:t>
      </w:r>
      <w:r>
        <w:t>.</w:t>
      </w:r>
    </w:p>
    <w:p w:rsidR="00955A5A" w:rsidRDefault="00955A5A" w:rsidP="00955A5A">
      <w:pPr>
        <w:pStyle w:val="PI-2EMEASMCA"/>
      </w:pPr>
      <w:bookmarkStart w:id="36" w:name="_Toc129243114"/>
      <w:bookmarkStart w:id="37" w:name="_Toc129243239"/>
    </w:p>
    <w:p w:rsidR="00955A5A" w:rsidRDefault="00955A5A" w:rsidP="00955A5A">
      <w:pPr>
        <w:pStyle w:val="PI-2EMEASMCA"/>
      </w:pPr>
      <w:r>
        <w:t>5.3</w:t>
      </w:r>
      <w:r>
        <w:tab/>
      </w:r>
      <w:proofErr w:type="spellStart"/>
      <w:r>
        <w:t>Ikiklinikinių</w:t>
      </w:r>
      <w:proofErr w:type="spellEnd"/>
      <w:r>
        <w:t xml:space="preserve"> saugumo tyrimų duomenys</w:t>
      </w:r>
      <w:bookmarkEnd w:id="36"/>
      <w:bookmarkEnd w:id="37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 xml:space="preserve">Įprastų farmakologinio saugumo, kartotinių dozių </w:t>
      </w:r>
      <w:proofErr w:type="spellStart"/>
      <w:r>
        <w:rPr>
          <w:noProof w:val="0"/>
        </w:rPr>
        <w:t>toksiškumo</w:t>
      </w:r>
      <w:proofErr w:type="spellEnd"/>
      <w:r>
        <w:rPr>
          <w:noProof w:val="0"/>
          <w:color w:val="000000"/>
        </w:rPr>
        <w:t xml:space="preserve">, </w:t>
      </w:r>
      <w:r>
        <w:rPr>
          <w:noProof w:val="0"/>
        </w:rPr>
        <w:t xml:space="preserve">toksinio </w:t>
      </w:r>
      <w:r>
        <w:rPr>
          <w:noProof w:val="0"/>
          <w:color w:val="000000"/>
        </w:rPr>
        <w:t xml:space="preserve">poveikio </w:t>
      </w:r>
      <w:r>
        <w:rPr>
          <w:noProof w:val="0"/>
        </w:rPr>
        <w:t>reprodukcijai</w:t>
      </w:r>
      <w:r>
        <w:rPr>
          <w:noProof w:val="0"/>
          <w:color w:val="000000"/>
        </w:rPr>
        <w:t xml:space="preserve">, embriono ir vaisiaus vystymuisi, </w:t>
      </w:r>
      <w:proofErr w:type="spellStart"/>
      <w:r>
        <w:rPr>
          <w:noProof w:val="0"/>
        </w:rPr>
        <w:t>genotoksiškumo</w:t>
      </w:r>
      <w:proofErr w:type="spellEnd"/>
      <w:r>
        <w:rPr>
          <w:noProof w:val="0"/>
          <w:color w:val="000000"/>
        </w:rPr>
        <w:t xml:space="preserve"> ir </w:t>
      </w:r>
      <w:r>
        <w:rPr>
          <w:noProof w:val="0"/>
        </w:rPr>
        <w:t xml:space="preserve">galimo </w:t>
      </w:r>
      <w:proofErr w:type="spellStart"/>
      <w:r>
        <w:rPr>
          <w:noProof w:val="0"/>
        </w:rPr>
        <w:t>kancegoriškumo</w:t>
      </w:r>
      <w:proofErr w:type="spellEnd"/>
      <w:r>
        <w:rPr>
          <w:noProof w:val="0"/>
          <w:color w:val="000000"/>
        </w:rPr>
        <w:t xml:space="preserve"> </w:t>
      </w:r>
      <w:proofErr w:type="spellStart"/>
      <w:r>
        <w:rPr>
          <w:noProof w:val="0"/>
        </w:rPr>
        <w:t>ikiklinikinių</w:t>
      </w:r>
      <w:proofErr w:type="spellEnd"/>
      <w:r>
        <w:rPr>
          <w:noProof w:val="0"/>
        </w:rPr>
        <w:t xml:space="preserve"> </w:t>
      </w:r>
      <w:r>
        <w:rPr>
          <w:noProof w:val="0"/>
          <w:color w:val="000000"/>
        </w:rPr>
        <w:t xml:space="preserve">tyrimų duomenys </w:t>
      </w:r>
      <w:r>
        <w:rPr>
          <w:noProof w:val="0"/>
        </w:rPr>
        <w:t>specifinio pavojaus žmogui nerodo</w:t>
      </w:r>
      <w:r>
        <w:rPr>
          <w:noProof w:val="0"/>
          <w:color w:val="000000"/>
        </w:rPr>
        <w:t xml:space="preserve">. Tyrimo su pelėmis metu vertinant </w:t>
      </w:r>
      <w:proofErr w:type="spellStart"/>
      <w:r>
        <w:rPr>
          <w:noProof w:val="0"/>
          <w:color w:val="000000"/>
        </w:rPr>
        <w:t>prenatalinį</w:t>
      </w:r>
      <w:proofErr w:type="spellEnd"/>
      <w:r>
        <w:rPr>
          <w:noProof w:val="0"/>
          <w:color w:val="000000"/>
        </w:rPr>
        <w:t xml:space="preserve"> ir </w:t>
      </w:r>
      <w:proofErr w:type="spellStart"/>
      <w:r>
        <w:rPr>
          <w:noProof w:val="0"/>
          <w:color w:val="000000"/>
        </w:rPr>
        <w:t>postnatalinį</w:t>
      </w:r>
      <w:proofErr w:type="spellEnd"/>
      <w:r>
        <w:rPr>
          <w:noProof w:val="0"/>
          <w:color w:val="000000"/>
        </w:rPr>
        <w:t xml:space="preserve"> </w:t>
      </w:r>
      <w:proofErr w:type="spellStart"/>
      <w:r>
        <w:rPr>
          <w:noProof w:val="0"/>
          <w:color w:val="000000"/>
        </w:rPr>
        <w:t>vystimąsi</w:t>
      </w:r>
      <w:proofErr w:type="spellEnd"/>
      <w:r>
        <w:rPr>
          <w:noProof w:val="0"/>
          <w:color w:val="000000"/>
        </w:rPr>
        <w:t xml:space="preserve"> nustatyta, kad </w:t>
      </w:r>
      <w:proofErr w:type="spellStart"/>
      <w:r>
        <w:rPr>
          <w:noProof w:val="0"/>
          <w:color w:val="000000"/>
        </w:rPr>
        <w:t>solifenacino</w:t>
      </w:r>
      <w:proofErr w:type="spellEnd"/>
      <w:r>
        <w:rPr>
          <w:noProof w:val="0"/>
          <w:color w:val="000000"/>
        </w:rPr>
        <w:t xml:space="preserve"> skiriant </w:t>
      </w:r>
      <w:proofErr w:type="spellStart"/>
      <w:r>
        <w:rPr>
          <w:noProof w:val="0"/>
          <w:color w:val="000000"/>
        </w:rPr>
        <w:t>laktuojančioms</w:t>
      </w:r>
      <w:proofErr w:type="spellEnd"/>
      <w:r>
        <w:rPr>
          <w:noProof w:val="0"/>
          <w:color w:val="000000"/>
        </w:rPr>
        <w:t xml:space="preserve"> patelėms priklausomai nuo dozės kliniškai reikšmingais dydžiais sumažėja atsivestų jauniklių </w:t>
      </w:r>
      <w:proofErr w:type="spellStart"/>
      <w:r>
        <w:rPr>
          <w:noProof w:val="0"/>
          <w:color w:val="000000"/>
        </w:rPr>
        <w:t>išgyvenamumas</w:t>
      </w:r>
      <w:proofErr w:type="spellEnd"/>
      <w:r>
        <w:rPr>
          <w:noProof w:val="0"/>
          <w:color w:val="000000"/>
        </w:rPr>
        <w:t xml:space="preserve">, jų svoris ir sulėtėja fizinis vystymasis. </w:t>
      </w:r>
      <w:r w:rsidRPr="005D3CF9">
        <w:rPr>
          <w:noProof w:val="0"/>
          <w:color w:val="000000"/>
        </w:rPr>
        <w:t>Pelių jaunikliams, kuriems nuo 10-osios arba nuo 21-osios dienos po gimimo buvo skiriama tokių vaistinio preparato dozių, kurios sukėlė farmakologinį poveikį, nustatytas nuo dozės priklausantis padidėjęs kritimų dažnis be prieš tai pasireiškiančių klinikinių požymių; abejose grupėse nustatytas padidėjęs kritimų dažnis lyginant su suaugusiomis pelėmis. Pelių jaunikliams, kuriems vaistinio preparato buvo skirta nuo 10-osios dienos po gimimo, preparato ekspozicija plazmoje buvo didesnė nei suaugusioms pelėms; o pelių jaunikliams, kuriems vaistinio preparato buvo skirta nuo 21</w:t>
      </w:r>
      <w:r w:rsidRPr="005D3CF9">
        <w:rPr>
          <w:noProof w:val="0"/>
          <w:color w:val="000000"/>
        </w:rPr>
        <w:noBreakHyphen/>
        <w:t>osios dienos po gimimo, preparato sisteminė ekspozicija buvo panaši kaip ir suaugusioms pelėms. Klinikinė padidėjusio pelių jauniklių kritimo dažnio reikšmė nežinoma</w:t>
      </w:r>
      <w:r w:rsidRPr="005D3CF9">
        <w:rPr>
          <w:noProof w:val="0"/>
        </w:rPr>
        <w:t>.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EMEASMCA"/>
      </w:pPr>
      <w:bookmarkStart w:id="38" w:name="_Toc129243115"/>
      <w:bookmarkStart w:id="39" w:name="_Toc129243240"/>
      <w:r>
        <w:t>6.</w:t>
      </w:r>
      <w:r>
        <w:tab/>
        <w:t>FARMACINĖ INFORMACIJA</w:t>
      </w:r>
      <w:bookmarkEnd w:id="38"/>
      <w:bookmarkEnd w:id="39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bookmarkStart w:id="40" w:name="_Toc129243116"/>
      <w:bookmarkStart w:id="41" w:name="_Toc129243241"/>
      <w:r>
        <w:t>6.1</w:t>
      </w:r>
      <w:r>
        <w:tab/>
        <w:t>Pagalbinių medžiagų sąrašas</w:t>
      </w:r>
      <w:bookmarkEnd w:id="40"/>
      <w:bookmarkEnd w:id="41"/>
    </w:p>
    <w:p w:rsidR="00955A5A" w:rsidRDefault="00955A5A" w:rsidP="00955A5A">
      <w:pPr>
        <w:pStyle w:val="BTEMEASMCA"/>
        <w:rPr>
          <w:noProof w:val="0"/>
        </w:rPr>
      </w:pPr>
    </w:p>
    <w:p w:rsidR="00955A5A" w:rsidRPr="00F379AD" w:rsidRDefault="00955A5A" w:rsidP="00955A5A">
      <w:pPr>
        <w:autoSpaceDE w:val="0"/>
        <w:autoSpaceDN w:val="0"/>
        <w:adjustRightInd w:val="0"/>
        <w:rPr>
          <w:color w:val="000000"/>
          <w:sz w:val="22"/>
          <w:u w:val="single"/>
        </w:rPr>
      </w:pPr>
      <w:r w:rsidRPr="00EB165F">
        <w:rPr>
          <w:color w:val="000000"/>
          <w:sz w:val="22"/>
          <w:u w:val="single"/>
        </w:rPr>
        <w:t xml:space="preserve">Tabletės </w:t>
      </w:r>
      <w:r>
        <w:rPr>
          <w:iCs/>
          <w:color w:val="000000"/>
          <w:sz w:val="22"/>
          <w:szCs w:val="22"/>
          <w:u w:val="single"/>
        </w:rPr>
        <w:t>šerdis</w:t>
      </w: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Kukurūzų krakmolas</w:t>
      </w: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Laktozės </w:t>
      </w:r>
      <w:proofErr w:type="spellStart"/>
      <w:r>
        <w:rPr>
          <w:color w:val="000000"/>
          <w:sz w:val="22"/>
          <w:szCs w:val="22"/>
        </w:rPr>
        <w:t>monohidratas</w:t>
      </w:r>
      <w:proofErr w:type="spellEnd"/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Hipromeliozė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Magnio </w:t>
      </w:r>
      <w:proofErr w:type="spellStart"/>
      <w:r>
        <w:rPr>
          <w:color w:val="000000"/>
          <w:sz w:val="22"/>
          <w:szCs w:val="22"/>
        </w:rPr>
        <w:t>stearatas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955A5A" w:rsidRDefault="00955A5A" w:rsidP="00955A5A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</w:p>
    <w:p w:rsidR="00955A5A" w:rsidRPr="00F379AD" w:rsidRDefault="00955A5A" w:rsidP="00955A5A">
      <w:pPr>
        <w:autoSpaceDE w:val="0"/>
        <w:autoSpaceDN w:val="0"/>
        <w:adjustRightInd w:val="0"/>
        <w:rPr>
          <w:color w:val="000000"/>
          <w:sz w:val="22"/>
          <w:u w:val="single"/>
        </w:rPr>
      </w:pPr>
      <w:r w:rsidRPr="00EB165F">
        <w:rPr>
          <w:color w:val="000000"/>
          <w:sz w:val="22"/>
          <w:u w:val="single"/>
        </w:rPr>
        <w:t>Plėvelė</w:t>
      </w:r>
    </w:p>
    <w:p w:rsidR="00955A5A" w:rsidRDefault="00955A5A" w:rsidP="00955A5A">
      <w:pPr>
        <w:pStyle w:val="BTEMEASMCA"/>
        <w:rPr>
          <w:noProof w:val="0"/>
          <w:color w:val="000000"/>
        </w:rPr>
      </w:pPr>
      <w:proofErr w:type="spellStart"/>
      <w:r>
        <w:rPr>
          <w:noProof w:val="0"/>
          <w:color w:val="000000"/>
        </w:rPr>
        <w:t>Makrogolis</w:t>
      </w:r>
      <w:proofErr w:type="spellEnd"/>
      <w:r>
        <w:rPr>
          <w:noProof w:val="0"/>
          <w:color w:val="000000"/>
        </w:rPr>
        <w:t xml:space="preserve"> 8000</w:t>
      </w:r>
    </w:p>
    <w:p w:rsidR="00955A5A" w:rsidRDefault="00955A5A" w:rsidP="00955A5A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>Talkas</w:t>
      </w:r>
    </w:p>
    <w:p w:rsidR="00955A5A" w:rsidRDefault="00955A5A" w:rsidP="00955A5A">
      <w:pPr>
        <w:pStyle w:val="BTEMEASMCA"/>
        <w:rPr>
          <w:noProof w:val="0"/>
          <w:color w:val="000000"/>
        </w:rPr>
      </w:pPr>
      <w:proofErr w:type="spellStart"/>
      <w:r>
        <w:rPr>
          <w:noProof w:val="0"/>
          <w:color w:val="000000"/>
        </w:rPr>
        <w:t>Hipromeliozė</w:t>
      </w:r>
      <w:proofErr w:type="spellEnd"/>
      <w:r>
        <w:rPr>
          <w:noProof w:val="0"/>
          <w:color w:val="000000"/>
        </w:rPr>
        <w:t xml:space="preserve"> (E464)</w:t>
      </w:r>
    </w:p>
    <w:p w:rsidR="00955A5A" w:rsidRDefault="00955A5A" w:rsidP="00955A5A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 xml:space="preserve">Titano dioksidas (E171) </w:t>
      </w: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  <w:color w:val="000000"/>
        </w:rPr>
        <w:t>Geltonasis geležies oksidas (E172)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bookmarkStart w:id="42" w:name="_Toc129243117"/>
      <w:bookmarkStart w:id="43" w:name="_Toc129243242"/>
      <w:r>
        <w:t>6.2</w:t>
      </w:r>
      <w:r>
        <w:tab/>
        <w:t>Nesuderinamumas</w:t>
      </w:r>
      <w:bookmarkEnd w:id="42"/>
      <w:bookmarkEnd w:id="43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Duomenys nebūtini.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bookmarkStart w:id="44" w:name="_Toc129243118"/>
      <w:bookmarkStart w:id="45" w:name="_Toc129243243"/>
      <w:r>
        <w:t>6.3</w:t>
      </w:r>
      <w:r>
        <w:tab/>
        <w:t>Tinkamumo laikas</w:t>
      </w:r>
      <w:bookmarkEnd w:id="44"/>
      <w:bookmarkEnd w:id="45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3 metai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bookmarkStart w:id="46" w:name="_Toc129243119"/>
      <w:bookmarkStart w:id="47" w:name="_Toc129243244"/>
      <w:r>
        <w:t>6.4</w:t>
      </w:r>
      <w:r>
        <w:tab/>
        <w:t>Specialios laikymo sąlygos</w:t>
      </w:r>
      <w:bookmarkEnd w:id="46"/>
      <w:bookmarkEnd w:id="47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  <w:color w:val="000000"/>
        </w:rPr>
        <w:t>Šiam vaistiniam preparatui specialių laikymo sąlygų nereikia.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2EMEASMCA"/>
      </w:pPr>
      <w:bookmarkStart w:id="48" w:name="_Toc129243120"/>
      <w:bookmarkStart w:id="49" w:name="_Toc129243245"/>
      <w:r>
        <w:t>6.5</w:t>
      </w:r>
      <w:r>
        <w:tab/>
      </w:r>
      <w:proofErr w:type="spellStart"/>
      <w:r>
        <w:t>Talpyklės</w:t>
      </w:r>
      <w:proofErr w:type="spellEnd"/>
      <w:r>
        <w:t xml:space="preserve"> pobūdis ir jos turinys</w:t>
      </w:r>
      <w:bookmarkEnd w:id="48"/>
      <w:bookmarkEnd w:id="49"/>
    </w:p>
    <w:p w:rsidR="00955A5A" w:rsidRDefault="00955A5A" w:rsidP="00955A5A">
      <w:pPr>
        <w:rPr>
          <w:i/>
          <w:iCs/>
        </w:rPr>
      </w:pPr>
    </w:p>
    <w:p w:rsidR="00955A5A" w:rsidRPr="00F379AD" w:rsidRDefault="00955A5A" w:rsidP="00955A5A">
      <w:pPr>
        <w:rPr>
          <w:sz w:val="22"/>
          <w:u w:val="single"/>
        </w:rPr>
      </w:pPr>
      <w:proofErr w:type="spellStart"/>
      <w:r w:rsidRPr="00EB165F">
        <w:rPr>
          <w:sz w:val="22"/>
          <w:u w:val="single"/>
        </w:rPr>
        <w:t>Talpyklė</w:t>
      </w:r>
      <w:proofErr w:type="spellEnd"/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PVC/aliuminio lizdinės plokštelės, į kurias supakuotos tabletės. </w:t>
      </w:r>
    </w:p>
    <w:p w:rsidR="00955A5A" w:rsidRDefault="00955A5A" w:rsidP="00955A5A">
      <w:pPr>
        <w:rPr>
          <w:i/>
          <w:iCs/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i/>
          <w:iCs/>
          <w:sz w:val="22"/>
          <w:szCs w:val="22"/>
        </w:rPr>
        <w:t>Pakuotės dydis (lizdinė plokštelė):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>3, 5, 10, 20, 30, 50, 60, 90, 100 arba 200 tablečių.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r>
        <w:rPr>
          <w:sz w:val="22"/>
          <w:szCs w:val="22"/>
        </w:rPr>
        <w:t>Gali būti tiekiamos ne visų dydžių pakuotės.</w:t>
      </w:r>
    </w:p>
    <w:p w:rsidR="00955A5A" w:rsidRDefault="00955A5A" w:rsidP="00955A5A">
      <w:pPr>
        <w:pStyle w:val="PI-2EMEASMCA"/>
      </w:pPr>
      <w:bookmarkStart w:id="50" w:name="_Toc129243121"/>
      <w:bookmarkStart w:id="51" w:name="_Toc129243246"/>
    </w:p>
    <w:p w:rsidR="00955A5A" w:rsidRDefault="00955A5A" w:rsidP="00955A5A">
      <w:pPr>
        <w:pStyle w:val="PI-2EMEASMCA"/>
      </w:pPr>
      <w:r>
        <w:t>6.6</w:t>
      </w:r>
      <w:r>
        <w:tab/>
        <w:t xml:space="preserve">Specialūs reikalavimai atliekoms tvarkyti </w:t>
      </w:r>
      <w:bookmarkEnd w:id="50"/>
      <w:bookmarkEnd w:id="51"/>
    </w:p>
    <w:p w:rsidR="00955A5A" w:rsidRDefault="00955A5A" w:rsidP="00955A5A">
      <w:pPr>
        <w:pStyle w:val="PI-2EMEASMCA"/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Specialių reikalavimų nėra.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EMEASMCA"/>
      </w:pPr>
      <w:bookmarkStart w:id="52" w:name="_Toc129243122"/>
      <w:bookmarkStart w:id="53" w:name="_Toc129243247"/>
      <w:r>
        <w:t>7.</w:t>
      </w:r>
      <w:r>
        <w:tab/>
        <w:t>RINKODAROS TEISĖS TURĖTOJAS</w:t>
      </w:r>
      <w:bookmarkEnd w:id="52"/>
      <w:bookmarkEnd w:id="53"/>
    </w:p>
    <w:p w:rsidR="00955A5A" w:rsidRDefault="00955A5A" w:rsidP="00955A5A">
      <w:pPr>
        <w:pStyle w:val="BTEMEASMCA"/>
        <w:rPr>
          <w:noProof w:val="0"/>
        </w:rPr>
      </w:pPr>
    </w:p>
    <w:p w:rsidR="00E25517" w:rsidRPr="003B47A2" w:rsidRDefault="00E25517" w:rsidP="00E25517">
      <w:pPr>
        <w:rPr>
          <w:sz w:val="22"/>
          <w:szCs w:val="22"/>
          <w:lang w:eastAsia="en-GB"/>
        </w:rPr>
      </w:pPr>
      <w:proofErr w:type="spellStart"/>
      <w:r w:rsidRPr="003B47A2">
        <w:rPr>
          <w:sz w:val="22"/>
          <w:szCs w:val="22"/>
          <w:lang w:eastAsia="en-GB"/>
        </w:rPr>
        <w:t>Astellas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  <w:proofErr w:type="spellStart"/>
      <w:r w:rsidRPr="003B47A2">
        <w:rPr>
          <w:sz w:val="22"/>
          <w:szCs w:val="22"/>
          <w:lang w:eastAsia="en-GB"/>
        </w:rPr>
        <w:t>Pharma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  <w:proofErr w:type="spellStart"/>
      <w:r w:rsidRPr="003B47A2">
        <w:rPr>
          <w:sz w:val="22"/>
          <w:szCs w:val="22"/>
          <w:lang w:eastAsia="en-GB"/>
        </w:rPr>
        <w:t>d.o.o</w:t>
      </w:r>
      <w:proofErr w:type="spellEnd"/>
      <w:r w:rsidRPr="003B47A2">
        <w:rPr>
          <w:sz w:val="22"/>
          <w:szCs w:val="22"/>
          <w:lang w:eastAsia="en-GB"/>
        </w:rPr>
        <w:t xml:space="preserve">. </w:t>
      </w:r>
    </w:p>
    <w:p w:rsidR="00E25517" w:rsidRPr="003B47A2" w:rsidRDefault="00E25517" w:rsidP="00E25517">
      <w:pPr>
        <w:rPr>
          <w:sz w:val="22"/>
          <w:szCs w:val="22"/>
          <w:lang w:eastAsia="en-GB"/>
        </w:rPr>
      </w:pPr>
      <w:proofErr w:type="spellStart"/>
      <w:r w:rsidRPr="003B47A2">
        <w:rPr>
          <w:sz w:val="22"/>
          <w:szCs w:val="22"/>
          <w:lang w:eastAsia="en-GB"/>
        </w:rPr>
        <w:t>Šmartinska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  <w:proofErr w:type="spellStart"/>
      <w:r w:rsidRPr="003B47A2">
        <w:rPr>
          <w:sz w:val="22"/>
          <w:szCs w:val="22"/>
          <w:lang w:eastAsia="en-GB"/>
        </w:rPr>
        <w:t>cesta</w:t>
      </w:r>
      <w:proofErr w:type="spellEnd"/>
      <w:r w:rsidRPr="003B47A2">
        <w:rPr>
          <w:sz w:val="22"/>
          <w:szCs w:val="22"/>
          <w:lang w:eastAsia="en-GB"/>
        </w:rPr>
        <w:t xml:space="preserve"> 53 </w:t>
      </w:r>
    </w:p>
    <w:p w:rsidR="00E25517" w:rsidRPr="003B47A2" w:rsidRDefault="00E25517" w:rsidP="00E25517">
      <w:pPr>
        <w:rPr>
          <w:sz w:val="22"/>
          <w:szCs w:val="22"/>
          <w:lang w:eastAsia="en-GB"/>
        </w:rPr>
      </w:pPr>
      <w:r w:rsidRPr="003B47A2">
        <w:rPr>
          <w:sz w:val="22"/>
          <w:szCs w:val="22"/>
          <w:lang w:eastAsia="en-GB"/>
        </w:rPr>
        <w:t xml:space="preserve">1000 </w:t>
      </w:r>
      <w:proofErr w:type="spellStart"/>
      <w:r w:rsidRPr="003B47A2">
        <w:rPr>
          <w:sz w:val="22"/>
          <w:szCs w:val="22"/>
          <w:lang w:eastAsia="en-GB"/>
        </w:rPr>
        <w:t>Ljubljana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</w:p>
    <w:p w:rsidR="00E25517" w:rsidRPr="003B47A2" w:rsidRDefault="00E25517" w:rsidP="00E25517">
      <w:pPr>
        <w:rPr>
          <w:sz w:val="22"/>
          <w:szCs w:val="22"/>
          <w:lang w:eastAsia="en-GB"/>
        </w:rPr>
      </w:pPr>
      <w:r w:rsidRPr="003B47A2">
        <w:rPr>
          <w:sz w:val="22"/>
          <w:szCs w:val="22"/>
          <w:lang w:eastAsia="en-GB"/>
        </w:rPr>
        <w:t>Slovėnija</w:t>
      </w: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EMEASMCA"/>
      </w:pPr>
      <w:bookmarkStart w:id="54" w:name="_Toc129243123"/>
      <w:bookmarkStart w:id="55" w:name="_Toc129243248"/>
      <w:r>
        <w:t>8.</w:t>
      </w:r>
      <w:r>
        <w:tab/>
        <w:t>RINKODAROS TEISĖS NUMERIS</w:t>
      </w:r>
      <w:bookmarkEnd w:id="54"/>
      <w:bookmarkEnd w:id="55"/>
      <w:r>
        <w:t xml:space="preserve"> (-IAI)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agrindinistekstas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N3 – LT/1/05/0465/001 </w:t>
      </w:r>
    </w:p>
    <w:p w:rsidR="00955A5A" w:rsidRDefault="00955A5A" w:rsidP="00955A5A">
      <w:pPr>
        <w:pStyle w:val="Pagrindinistekstas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N5 – LT/1/05/0465/002 </w:t>
      </w:r>
    </w:p>
    <w:p w:rsidR="00955A5A" w:rsidRDefault="00955A5A" w:rsidP="00955A5A">
      <w:pPr>
        <w:pStyle w:val="Pagrindinistekstas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N10 – LT/1/05/0465/003 </w:t>
      </w:r>
    </w:p>
    <w:p w:rsidR="00955A5A" w:rsidRDefault="00955A5A" w:rsidP="00955A5A">
      <w:pPr>
        <w:pStyle w:val="Pagrindinistekstas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N20 – LT/1/05/0465/004 </w:t>
      </w:r>
    </w:p>
    <w:p w:rsidR="00955A5A" w:rsidRDefault="00955A5A" w:rsidP="00955A5A">
      <w:pPr>
        <w:pStyle w:val="Pagrindinistekstas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N30 – LT/1/05/0465/005 </w:t>
      </w:r>
    </w:p>
    <w:p w:rsidR="00955A5A" w:rsidRDefault="00955A5A" w:rsidP="00955A5A">
      <w:pPr>
        <w:pStyle w:val="Pagrindinistekstas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N50 – LT/1/05/0465/006 </w:t>
      </w:r>
    </w:p>
    <w:p w:rsidR="00955A5A" w:rsidRDefault="00955A5A" w:rsidP="00955A5A">
      <w:pPr>
        <w:pStyle w:val="Pagrindinistekstas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N60 – LT/1/05/0465/007 </w:t>
      </w:r>
    </w:p>
    <w:p w:rsidR="00955A5A" w:rsidRDefault="00955A5A" w:rsidP="00955A5A">
      <w:pPr>
        <w:pStyle w:val="Pagrindinistekstas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N90 – LT/1/05/0465/008 </w:t>
      </w:r>
    </w:p>
    <w:p w:rsidR="00955A5A" w:rsidRDefault="00955A5A" w:rsidP="00955A5A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>N100 – LT/1/05/0465/009</w:t>
      </w: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  <w:color w:val="000000"/>
        </w:rPr>
        <w:t>N200 – LT/1/05/0465/019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EMEASMCA"/>
      </w:pPr>
      <w:bookmarkStart w:id="56" w:name="_Toc129243124"/>
      <w:bookmarkStart w:id="57" w:name="_Toc129243249"/>
      <w:r>
        <w:t>9.</w:t>
      </w:r>
      <w:r>
        <w:tab/>
        <w:t>RINKODAROS TEISĖS SUTEIKIMO / ATNAUJINIMO DATA</w:t>
      </w:r>
      <w:bookmarkEnd w:id="56"/>
      <w:bookmarkEnd w:id="57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t xml:space="preserve">Rinkodaros teisė pirmą kartą suteikta </w:t>
      </w:r>
      <w:r>
        <w:rPr>
          <w:noProof w:val="0"/>
          <w:color w:val="000000"/>
        </w:rPr>
        <w:t>2006 m. kovo mėn. 30 d.</w:t>
      </w:r>
    </w:p>
    <w:p w:rsidR="00955A5A" w:rsidRDefault="00955A5A" w:rsidP="00955A5A">
      <w:pPr>
        <w:pStyle w:val="BTEMEASMCA"/>
        <w:rPr>
          <w:noProof w:val="0"/>
        </w:rPr>
      </w:pPr>
      <w:r>
        <w:rPr>
          <w:szCs w:val="24"/>
        </w:rPr>
        <w:t xml:space="preserve">Rinkodaros </w:t>
      </w:r>
      <w:r>
        <w:t>teisė</w:t>
      </w:r>
      <w:r>
        <w:rPr>
          <w:szCs w:val="24"/>
        </w:rPr>
        <w:t xml:space="preserve"> paskutinį kartą </w:t>
      </w:r>
      <w:r>
        <w:t>atnaujinta</w:t>
      </w:r>
      <w:r>
        <w:rPr>
          <w:szCs w:val="24"/>
        </w:rPr>
        <w:t xml:space="preserve"> 2009 m. spalio mėn. 20 d.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EMEASMCA"/>
      </w:pPr>
      <w:bookmarkStart w:id="58" w:name="_Toc129243125"/>
      <w:bookmarkStart w:id="59" w:name="_Toc129243250"/>
      <w:r>
        <w:t>10.</w:t>
      </w:r>
      <w:r>
        <w:tab/>
        <w:t>TEKSTO PERŽIŪROS DATA</w:t>
      </w:r>
      <w:bookmarkEnd w:id="58"/>
      <w:bookmarkEnd w:id="59"/>
    </w:p>
    <w:p w:rsidR="00955A5A" w:rsidRDefault="00955A5A" w:rsidP="00955A5A">
      <w:pPr>
        <w:pStyle w:val="BTEMEASMCA"/>
        <w:rPr>
          <w:noProof w:val="0"/>
        </w:rPr>
      </w:pPr>
    </w:p>
    <w:p w:rsidR="00955A5A" w:rsidRPr="00E25517" w:rsidRDefault="00E25517" w:rsidP="00955A5A">
      <w:pPr>
        <w:rPr>
          <w:sz w:val="22"/>
          <w:szCs w:val="22"/>
        </w:rPr>
      </w:pPr>
      <w:r w:rsidRPr="00E25517">
        <w:rPr>
          <w:sz w:val="22"/>
          <w:szCs w:val="22"/>
        </w:rPr>
        <w:t>2018-08-09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Pr="00432743" w:rsidRDefault="00955A5A" w:rsidP="00955A5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432743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432743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0" w:history="1">
        <w:r w:rsidRPr="003628D4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3628D4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:rsidR="00955A5A" w:rsidRDefault="00955A5A" w:rsidP="00955A5A">
      <w:pPr>
        <w:ind w:left="540" w:hanging="540"/>
        <w:rPr>
          <w:b/>
          <w:sz w:val="22"/>
          <w:szCs w:val="22"/>
        </w:rPr>
      </w:pPr>
      <w:r>
        <w:rPr>
          <w:color w:val="0000FF"/>
        </w:rPr>
        <w:br w:type="page"/>
      </w:r>
      <w:r>
        <w:rPr>
          <w:b/>
          <w:sz w:val="22"/>
          <w:szCs w:val="22"/>
        </w:rPr>
        <w:lastRenderedPageBreak/>
        <w:t>1.</w:t>
      </w:r>
      <w:r>
        <w:rPr>
          <w:b/>
          <w:sz w:val="22"/>
          <w:szCs w:val="22"/>
        </w:rPr>
        <w:tab/>
        <w:t>VAISTINIO PREPARATO PAVADINIMAS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10 </w:t>
      </w:r>
      <w:r>
        <w:rPr>
          <w:sz w:val="22"/>
          <w:szCs w:val="22"/>
        </w:rPr>
        <w:t>mg plėvele dengtos tabletės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>KOKYBINĖ IR KIEKYBINĖ SUDĖTIS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Vienoje </w:t>
      </w: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10 </w:t>
      </w:r>
      <w:r>
        <w:rPr>
          <w:color w:val="000000"/>
          <w:sz w:val="22"/>
          <w:szCs w:val="22"/>
        </w:rPr>
        <w:t xml:space="preserve">mg plėvele dengtoje tabletėje yra </w:t>
      </w:r>
      <w:r>
        <w:rPr>
          <w:noProof/>
          <w:color w:val="000000"/>
          <w:sz w:val="22"/>
          <w:szCs w:val="22"/>
        </w:rPr>
        <w:t>10 </w:t>
      </w:r>
      <w:r>
        <w:rPr>
          <w:color w:val="000000"/>
          <w:sz w:val="22"/>
          <w:szCs w:val="22"/>
        </w:rPr>
        <w:t xml:space="preserve">mg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sukcinato</w:t>
      </w:r>
      <w:proofErr w:type="spellEnd"/>
      <w:r>
        <w:rPr>
          <w:color w:val="000000"/>
          <w:sz w:val="22"/>
          <w:szCs w:val="22"/>
        </w:rPr>
        <w:t xml:space="preserve">, atitinkančio </w:t>
      </w:r>
      <w:r>
        <w:rPr>
          <w:noProof/>
          <w:color w:val="000000"/>
          <w:sz w:val="22"/>
          <w:szCs w:val="22"/>
        </w:rPr>
        <w:t>7,5</w:t>
      </w:r>
      <w:r>
        <w:rPr>
          <w:sz w:val="22"/>
        </w:rPr>
        <w:t> </w:t>
      </w:r>
      <w:r>
        <w:rPr>
          <w:color w:val="000000"/>
          <w:sz w:val="22"/>
          <w:szCs w:val="22"/>
        </w:rPr>
        <w:t xml:space="preserve">mg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Pagalbinė medžiaga, kurios poveikis žinomas: laktozės </w:t>
      </w:r>
      <w:proofErr w:type="spellStart"/>
      <w:r>
        <w:rPr>
          <w:sz w:val="22"/>
          <w:szCs w:val="22"/>
        </w:rPr>
        <w:t>monohidratas</w:t>
      </w:r>
      <w:proofErr w:type="spellEnd"/>
      <w:r>
        <w:rPr>
          <w:sz w:val="22"/>
          <w:szCs w:val="22"/>
        </w:rPr>
        <w:t xml:space="preserve"> (10</w:t>
      </w:r>
      <w:r>
        <w:rPr>
          <w:noProof/>
          <w:sz w:val="22"/>
          <w:szCs w:val="22"/>
        </w:rPr>
        <w:t>2</w:t>
      </w:r>
      <w:r>
        <w:rPr>
          <w:sz w:val="22"/>
          <w:szCs w:val="22"/>
        </w:rPr>
        <w:t>,</w:t>
      </w:r>
      <w:r>
        <w:rPr>
          <w:noProof/>
          <w:sz w:val="22"/>
          <w:szCs w:val="22"/>
        </w:rPr>
        <w:t>5 </w:t>
      </w:r>
      <w:r>
        <w:rPr>
          <w:sz w:val="22"/>
          <w:szCs w:val="22"/>
        </w:rPr>
        <w:t>mg)</w:t>
      </w:r>
    </w:p>
    <w:p w:rsidR="00955A5A" w:rsidRDefault="00955A5A" w:rsidP="00955A5A">
      <w:pPr>
        <w:rPr>
          <w:color w:val="000000"/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color w:val="000000"/>
          <w:sz w:val="22"/>
          <w:szCs w:val="22"/>
        </w:rPr>
        <w:t>Visos pagalbinės medžiagos išvardytos 6.1 skyriuje.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FARMACINĖ FORMA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Plėvele dengt</w:t>
      </w:r>
      <w:r>
        <w:rPr>
          <w:noProof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tabletė.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10 </w:t>
      </w:r>
      <w:r>
        <w:rPr>
          <w:color w:val="000000"/>
          <w:sz w:val="22"/>
          <w:szCs w:val="22"/>
        </w:rPr>
        <w:t xml:space="preserve">mg plėvele dengta tabletė yra apvali, šviesiai </w:t>
      </w:r>
      <w:r>
        <w:rPr>
          <w:noProof/>
          <w:color w:val="000000"/>
          <w:sz w:val="22"/>
          <w:szCs w:val="22"/>
        </w:rPr>
        <w:t>rožinė</w:t>
      </w:r>
      <w:r>
        <w:rPr>
          <w:color w:val="000000"/>
          <w:sz w:val="22"/>
          <w:szCs w:val="22"/>
        </w:rPr>
        <w:t xml:space="preserve">. Vienoje jos pusėje yra </w:t>
      </w:r>
      <w:r>
        <w:rPr>
          <w:noProof/>
          <w:sz w:val="22"/>
          <w:szCs w:val="22"/>
          <w:lang w:eastAsia="lt-LT"/>
        </w:rPr>
        <w:drawing>
          <wp:inline distT="0" distB="0" distL="0" distR="0" wp14:anchorId="6C06D026" wp14:editId="5C6C2229">
            <wp:extent cx="180975" cy="14287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218" b="87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 ženklas ir skaitmuo „15</w:t>
      </w:r>
      <w:r>
        <w:rPr>
          <w:noProof/>
          <w:color w:val="000000"/>
          <w:sz w:val="22"/>
          <w:szCs w:val="22"/>
        </w:rPr>
        <w:t>1“</w:t>
      </w:r>
      <w:r>
        <w:rPr>
          <w:color w:val="000000"/>
          <w:sz w:val="22"/>
          <w:szCs w:val="22"/>
        </w:rPr>
        <w:t>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KLINIKINĖ INFORMACIJA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4.1</w:t>
      </w:r>
      <w:r>
        <w:rPr>
          <w:b/>
          <w:iCs/>
          <w:kern w:val="28"/>
          <w:sz w:val="22"/>
          <w:szCs w:val="22"/>
        </w:rPr>
        <w:tab/>
        <w:t>Terapinės indikacijos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Simptominis nesuvaldomo šlapimo nelaikymo ir (ar) padažnėjusio bei priverstinio </w:t>
      </w:r>
      <w:proofErr w:type="spellStart"/>
      <w:r>
        <w:rPr>
          <w:color w:val="000000"/>
          <w:sz w:val="22"/>
          <w:szCs w:val="22"/>
        </w:rPr>
        <w:t>šlapinimosi</w:t>
      </w:r>
      <w:proofErr w:type="spellEnd"/>
      <w:r>
        <w:rPr>
          <w:color w:val="000000"/>
          <w:sz w:val="22"/>
          <w:szCs w:val="22"/>
        </w:rPr>
        <w:t>, galinčio atsirasti pacientams, kurie</w:t>
      </w:r>
      <w:r>
        <w:rPr>
          <w:noProof/>
          <w:color w:val="000000"/>
          <w:sz w:val="22"/>
          <w:szCs w:val="22"/>
        </w:rPr>
        <w:t>ms yra padidėjusio šlapimo pūslės aktyvumo sindromas</w:t>
      </w:r>
      <w:r>
        <w:rPr>
          <w:color w:val="000000"/>
          <w:sz w:val="22"/>
          <w:szCs w:val="22"/>
        </w:rPr>
        <w:t>, gydymas.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4.2</w:t>
      </w:r>
      <w:r>
        <w:rPr>
          <w:b/>
          <w:iCs/>
          <w:kern w:val="28"/>
          <w:sz w:val="22"/>
          <w:szCs w:val="22"/>
        </w:rPr>
        <w:tab/>
        <w:t>Dozavimas ir vartojimo metodas</w:t>
      </w:r>
    </w:p>
    <w:p w:rsidR="00955A5A" w:rsidRDefault="00955A5A" w:rsidP="00955A5A">
      <w:pPr>
        <w:rPr>
          <w:sz w:val="22"/>
        </w:rPr>
      </w:pPr>
    </w:p>
    <w:p w:rsidR="00955A5A" w:rsidRDefault="00955A5A" w:rsidP="00955A5A">
      <w:pPr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 xml:space="preserve">Dozavimas 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rPr>
          <w:i/>
          <w:noProof/>
          <w:sz w:val="22"/>
          <w:szCs w:val="22"/>
        </w:rPr>
      </w:pPr>
      <w:r>
        <w:rPr>
          <w:i/>
          <w:noProof/>
          <w:sz w:val="22"/>
          <w:szCs w:val="22"/>
        </w:rPr>
        <w:t xml:space="preserve">Suaugę žmonės, įskaitant senyvus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Rekomenduojama gerti po </w:t>
      </w:r>
      <w:r>
        <w:rPr>
          <w:noProof/>
          <w:sz w:val="22"/>
          <w:szCs w:val="22"/>
        </w:rPr>
        <w:t>5 </w:t>
      </w:r>
      <w:r>
        <w:rPr>
          <w:sz w:val="22"/>
          <w:szCs w:val="22"/>
        </w:rPr>
        <w:t xml:space="preserve">mg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sukcinato</w:t>
      </w:r>
      <w:proofErr w:type="spellEnd"/>
      <w:r>
        <w:rPr>
          <w:sz w:val="22"/>
          <w:szCs w:val="22"/>
        </w:rPr>
        <w:t xml:space="preserve"> kartą per parą. Prireikus dozę galima didinti ir gerti po </w:t>
      </w:r>
      <w:r>
        <w:rPr>
          <w:noProof/>
          <w:sz w:val="22"/>
          <w:szCs w:val="22"/>
        </w:rPr>
        <w:t>10 </w:t>
      </w:r>
      <w:r>
        <w:rPr>
          <w:sz w:val="22"/>
          <w:szCs w:val="22"/>
        </w:rPr>
        <w:t xml:space="preserve">mg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sukcinato</w:t>
      </w:r>
      <w:proofErr w:type="spellEnd"/>
      <w:r>
        <w:rPr>
          <w:sz w:val="22"/>
          <w:szCs w:val="22"/>
        </w:rPr>
        <w:t xml:space="preserve"> kartą per parą. </w:t>
      </w:r>
    </w:p>
    <w:p w:rsidR="00955A5A" w:rsidRDefault="00955A5A" w:rsidP="00955A5A">
      <w:pPr>
        <w:rPr>
          <w:i/>
          <w:noProof/>
          <w:sz w:val="22"/>
          <w:szCs w:val="22"/>
          <w:u w:val="single"/>
        </w:rPr>
      </w:pPr>
    </w:p>
    <w:p w:rsidR="00955A5A" w:rsidRDefault="00955A5A" w:rsidP="00955A5A">
      <w:pPr>
        <w:rPr>
          <w:noProof/>
          <w:sz w:val="22"/>
          <w:szCs w:val="22"/>
        </w:rPr>
      </w:pPr>
      <w:r>
        <w:rPr>
          <w:i/>
          <w:noProof/>
          <w:sz w:val="22"/>
          <w:szCs w:val="22"/>
        </w:rPr>
        <w:t xml:space="preserve">Vaikų populiacija </w:t>
      </w:r>
    </w:p>
    <w:p w:rsidR="00955A5A" w:rsidRDefault="00955A5A" w:rsidP="00955A5A">
      <w:pPr>
        <w:rPr>
          <w:noProof/>
          <w:sz w:val="22"/>
          <w:szCs w:val="22"/>
        </w:rPr>
      </w:pP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saugumas ir veiksmingumas vaikams dar neištirti, todėl jo negalima vartoti vaikams.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i/>
          <w:noProof/>
          <w:sz w:val="22"/>
          <w:szCs w:val="22"/>
        </w:rPr>
      </w:pPr>
      <w:r>
        <w:rPr>
          <w:i/>
          <w:noProof/>
          <w:sz w:val="22"/>
          <w:szCs w:val="22"/>
        </w:rPr>
        <w:t xml:space="preserve">Pacientai, kurių inkstų funkcija sutrikusi </w:t>
      </w:r>
    </w:p>
    <w:p w:rsidR="00955A5A" w:rsidRDefault="00955A5A" w:rsidP="00955A5A">
      <w:pPr>
        <w:rPr>
          <w:noProof/>
          <w:sz w:val="22"/>
          <w:szCs w:val="22"/>
        </w:rPr>
      </w:pPr>
      <w:r>
        <w:rPr>
          <w:sz w:val="22"/>
          <w:szCs w:val="22"/>
        </w:rPr>
        <w:t>Jeigu yra lengvas arba vidutinio laipsnio inkstų funkcijos sutrikimas (</w:t>
      </w:r>
      <w:proofErr w:type="spellStart"/>
      <w:r>
        <w:rPr>
          <w:sz w:val="22"/>
          <w:szCs w:val="22"/>
        </w:rPr>
        <w:t>kreatinino</w:t>
      </w:r>
      <w:proofErr w:type="spellEnd"/>
      <w:r>
        <w:rPr>
          <w:sz w:val="22"/>
          <w:szCs w:val="22"/>
        </w:rPr>
        <w:t xml:space="preserve"> klirensas didesnis kaip 30 ml/min.), dozės koreguoti nereikia, o jeigu inkstų funkcijos sutrikimas sunkus (</w:t>
      </w:r>
      <w:proofErr w:type="spellStart"/>
      <w:r>
        <w:rPr>
          <w:sz w:val="22"/>
          <w:szCs w:val="22"/>
        </w:rPr>
        <w:t>kreatinino</w:t>
      </w:r>
      <w:proofErr w:type="spellEnd"/>
      <w:r>
        <w:rPr>
          <w:sz w:val="22"/>
          <w:szCs w:val="22"/>
        </w:rPr>
        <w:t xml:space="preserve"> klirensas ne didesnis kaip 30 ml/min.), reikia gydyti atsargiai ir </w:t>
      </w:r>
      <w:r>
        <w:rPr>
          <w:noProof/>
          <w:sz w:val="22"/>
          <w:szCs w:val="22"/>
        </w:rPr>
        <w:t xml:space="preserve">vaistinio </w:t>
      </w:r>
      <w:r>
        <w:rPr>
          <w:sz w:val="22"/>
          <w:szCs w:val="22"/>
        </w:rPr>
        <w:t xml:space="preserve">preparato vartoti ne daugiau kaip </w:t>
      </w:r>
      <w:r>
        <w:rPr>
          <w:noProof/>
          <w:sz w:val="22"/>
          <w:szCs w:val="22"/>
        </w:rPr>
        <w:t>5 </w:t>
      </w:r>
      <w:r>
        <w:rPr>
          <w:sz w:val="22"/>
          <w:szCs w:val="22"/>
        </w:rPr>
        <w:t xml:space="preserve">mg kartą per parą (žr. 5.2 skyrių).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i/>
          <w:noProof/>
          <w:sz w:val="22"/>
          <w:szCs w:val="22"/>
        </w:rPr>
      </w:pPr>
      <w:r>
        <w:rPr>
          <w:i/>
          <w:noProof/>
          <w:sz w:val="22"/>
          <w:szCs w:val="22"/>
        </w:rPr>
        <w:t xml:space="preserve">Pacientai, kurių kepenų funkcija sutrikusi </w:t>
      </w:r>
    </w:p>
    <w:p w:rsidR="00955A5A" w:rsidRDefault="00955A5A" w:rsidP="00955A5A">
      <w:pPr>
        <w:rPr>
          <w:noProof/>
          <w:sz w:val="22"/>
          <w:szCs w:val="22"/>
        </w:rPr>
      </w:pPr>
      <w:r>
        <w:rPr>
          <w:sz w:val="22"/>
          <w:szCs w:val="22"/>
        </w:rPr>
        <w:t>Jeigu yra lengvas kepenų funkcijos sutrikimas, dozės koreguoti nereikia. Jeigu kepenų funkcijos sutrikimas vidutinio laipsnio (7</w:t>
      </w:r>
      <w:r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sym w:font="Symbol" w:char="F02D"/>
      </w:r>
      <w:r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 xml:space="preserve">9 balai pagal </w:t>
      </w:r>
      <w:proofErr w:type="spellStart"/>
      <w:r>
        <w:rPr>
          <w:sz w:val="22"/>
          <w:szCs w:val="22"/>
        </w:rPr>
        <w:t>Child-Pugh</w:t>
      </w:r>
      <w:proofErr w:type="spellEnd"/>
      <w:r>
        <w:rPr>
          <w:sz w:val="22"/>
          <w:szCs w:val="22"/>
        </w:rPr>
        <w:t xml:space="preserve"> skalę), pacientus būtina gydyti atsargiai, </w:t>
      </w:r>
      <w:r>
        <w:rPr>
          <w:noProof/>
          <w:sz w:val="22"/>
          <w:szCs w:val="22"/>
        </w:rPr>
        <w:t xml:space="preserve">vaistinio </w:t>
      </w:r>
      <w:r>
        <w:rPr>
          <w:sz w:val="22"/>
          <w:szCs w:val="22"/>
        </w:rPr>
        <w:t xml:space="preserve">preparato jiems galima vartoti ne daugiau kaip </w:t>
      </w:r>
      <w:r>
        <w:rPr>
          <w:noProof/>
          <w:sz w:val="22"/>
          <w:szCs w:val="22"/>
        </w:rPr>
        <w:t>5 </w:t>
      </w:r>
      <w:r>
        <w:rPr>
          <w:sz w:val="22"/>
          <w:szCs w:val="22"/>
        </w:rPr>
        <w:t xml:space="preserve">mg kartą per parą (žr. 5.2 skyrių).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i/>
          <w:noProof/>
          <w:sz w:val="22"/>
          <w:szCs w:val="22"/>
        </w:rPr>
      </w:pPr>
      <w:r>
        <w:rPr>
          <w:i/>
          <w:noProof/>
          <w:sz w:val="22"/>
          <w:szCs w:val="22"/>
        </w:rPr>
        <w:t xml:space="preserve">Vaistiniai preparatai, stipriai slopinantys citochromą P 450 3A4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Vartojant kartu su </w:t>
      </w:r>
      <w:proofErr w:type="spellStart"/>
      <w:r>
        <w:rPr>
          <w:sz w:val="22"/>
          <w:szCs w:val="22"/>
        </w:rPr>
        <w:t>ketokonazolu</w:t>
      </w:r>
      <w:proofErr w:type="spellEnd"/>
      <w:r>
        <w:rPr>
          <w:sz w:val="22"/>
          <w:szCs w:val="22"/>
        </w:rPr>
        <w:t xml:space="preserve"> ar kitu stipriu CYP3A4 inhibitoriumi (skiriant terapines pastarojo dozes), pvz., </w:t>
      </w:r>
      <w:proofErr w:type="spellStart"/>
      <w:r>
        <w:rPr>
          <w:sz w:val="22"/>
          <w:szCs w:val="22"/>
        </w:rPr>
        <w:t>ritonaviru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nelfinaviru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itrakonazolu</w:t>
      </w:r>
      <w:proofErr w:type="spellEnd"/>
      <w:r>
        <w:rPr>
          <w:sz w:val="22"/>
          <w:szCs w:val="22"/>
        </w:rPr>
        <w:t xml:space="preserve">, negalima vartoti didesnės kaip </w:t>
      </w:r>
      <w:r>
        <w:rPr>
          <w:noProof/>
          <w:sz w:val="22"/>
          <w:szCs w:val="22"/>
        </w:rPr>
        <w:t>5 </w:t>
      </w:r>
      <w:r>
        <w:rPr>
          <w:sz w:val="22"/>
          <w:szCs w:val="22"/>
        </w:rPr>
        <w:t xml:space="preserve">mg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dozės (žr. 4.5 skyrių).</w:t>
      </w:r>
    </w:p>
    <w:p w:rsidR="00955A5A" w:rsidRDefault="00955A5A" w:rsidP="00955A5A">
      <w:pPr>
        <w:rPr>
          <w:b/>
          <w:noProof/>
          <w:sz w:val="22"/>
          <w:szCs w:val="22"/>
        </w:rPr>
      </w:pPr>
    </w:p>
    <w:p w:rsidR="00955A5A" w:rsidRDefault="00955A5A" w:rsidP="00955A5A">
      <w:pPr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lastRenderedPageBreak/>
        <w:t xml:space="preserve">Vartojimo metodas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tabletę reikia vartoti per burną nesmulkintą, užgeriant skysčiu. Jos vartojimas nuo valgio laiko nepriklauso.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4.3</w:t>
      </w:r>
      <w:r>
        <w:rPr>
          <w:b/>
          <w:iCs/>
          <w:kern w:val="28"/>
          <w:sz w:val="22"/>
          <w:szCs w:val="22"/>
        </w:rPr>
        <w:tab/>
        <w:t>Kontraindikacijos</w:t>
      </w:r>
    </w:p>
    <w:p w:rsidR="00955A5A" w:rsidRDefault="00955A5A" w:rsidP="00955A5A">
      <w:pPr>
        <w:rPr>
          <w:sz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Šlapimo susilaikymas, sunki virškinimo trakto būklė, įskaitant toksinį gaubtinės žarnos padidėjimą, </w:t>
      </w:r>
      <w:proofErr w:type="spellStart"/>
      <w:r>
        <w:rPr>
          <w:sz w:val="22"/>
          <w:szCs w:val="22"/>
        </w:rPr>
        <w:t>generalizuota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miastenija</w:t>
      </w:r>
      <w:proofErr w:type="spellEnd"/>
      <w:r>
        <w:rPr>
          <w:sz w:val="22"/>
          <w:szCs w:val="22"/>
        </w:rPr>
        <w:t xml:space="preserve">, uždaro kampo glaukoma arba tokių būklių atsiradimo rizika. </w:t>
      </w:r>
    </w:p>
    <w:p w:rsidR="00955A5A" w:rsidRDefault="00955A5A" w:rsidP="00955A5A">
      <w:pPr>
        <w:tabs>
          <w:tab w:val="left" w:pos="360"/>
        </w:tabs>
        <w:rPr>
          <w:noProof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 xml:space="preserve">Padidėjęs jautrumas veikliajai arba bet kuriai 6.1 skyriuje nurodytai pagalbinei medžiagai. </w:t>
      </w:r>
    </w:p>
    <w:p w:rsidR="00955A5A" w:rsidRDefault="00955A5A" w:rsidP="00955A5A">
      <w:pPr>
        <w:tabs>
          <w:tab w:val="left" w:pos="360"/>
        </w:tabs>
        <w:rPr>
          <w:noProof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 xml:space="preserve">Atliekama hemodializė (žr. 5.2 skyrių). </w:t>
      </w:r>
    </w:p>
    <w:p w:rsidR="00955A5A" w:rsidRDefault="00955A5A" w:rsidP="00955A5A">
      <w:pPr>
        <w:tabs>
          <w:tab w:val="left" w:pos="360"/>
        </w:tabs>
        <w:rPr>
          <w:noProof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ab/>
        <w:t xml:space="preserve">Sunkus </w:t>
      </w:r>
      <w:r>
        <w:rPr>
          <w:sz w:val="22"/>
          <w:szCs w:val="22"/>
        </w:rPr>
        <w:t xml:space="preserve">kepenų funkcijos sutrikimas (žr. 5.2 skyrių). </w:t>
      </w:r>
    </w:p>
    <w:p w:rsidR="00955A5A" w:rsidRDefault="00955A5A" w:rsidP="00955A5A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ab/>
        <w:t xml:space="preserve">Sunkus </w:t>
      </w:r>
      <w:r>
        <w:rPr>
          <w:sz w:val="22"/>
          <w:szCs w:val="22"/>
        </w:rPr>
        <w:t xml:space="preserve">inkstų funkcijos sutrikimas ar vidutinis kepenų funkcijos sutrikimas, kai pacientas kartu gydomas stipriu CYP3A4 inhibitoriumi, pvz., </w:t>
      </w:r>
      <w:proofErr w:type="spellStart"/>
      <w:r>
        <w:rPr>
          <w:sz w:val="22"/>
          <w:szCs w:val="22"/>
        </w:rPr>
        <w:t>ketokonazolu</w:t>
      </w:r>
      <w:proofErr w:type="spellEnd"/>
      <w:r>
        <w:rPr>
          <w:sz w:val="22"/>
          <w:szCs w:val="22"/>
        </w:rPr>
        <w:t xml:space="preserve"> (žr. 4.5 skyrių).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4.4</w:t>
      </w:r>
      <w:r>
        <w:rPr>
          <w:b/>
          <w:iCs/>
          <w:kern w:val="28"/>
          <w:sz w:val="22"/>
          <w:szCs w:val="22"/>
        </w:rPr>
        <w:tab/>
        <w:t>Specialūs įspėjimai ir atsargumo priemonės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Prieš pradedant vartoti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reikia nustatyti, ar nėra kitokių dažno </w:t>
      </w:r>
      <w:proofErr w:type="spellStart"/>
      <w:r>
        <w:rPr>
          <w:sz w:val="22"/>
          <w:szCs w:val="22"/>
        </w:rPr>
        <w:t>šlapinimosi</w:t>
      </w:r>
      <w:proofErr w:type="spellEnd"/>
      <w:r>
        <w:rPr>
          <w:sz w:val="22"/>
          <w:szCs w:val="22"/>
        </w:rPr>
        <w:t xml:space="preserve"> priežasčių (širdies nepakankamumo ar inkstų ligos). Jeigu yra šlapimo takų infekcija, reikia pradėti tinkamą antibakterinį gydymą.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noProof/>
          <w:sz w:val="22"/>
          <w:szCs w:val="22"/>
        </w:rPr>
      </w:pP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būtina atsargiai vartoti pacientams, jei yra: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t xml:space="preserve">kliniškai reikšminga </w:t>
      </w:r>
      <w:r>
        <w:rPr>
          <w:color w:val="000000"/>
          <w:sz w:val="22"/>
        </w:rPr>
        <w:t>šlapimo pūslės obstrukcija, kelianti šlapimo susilaikymo riziką;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obstrukcinis virškinimo trakto sutrikimas;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pablogėjusios virškinimo trakto peristaltikos rizika; </w:t>
      </w:r>
    </w:p>
    <w:p w:rsidR="00955A5A" w:rsidRDefault="00955A5A" w:rsidP="00955A5A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sunkus inkstų funkcijos sutrikimas, </w:t>
      </w:r>
      <w:proofErr w:type="spellStart"/>
      <w:r>
        <w:rPr>
          <w:sz w:val="22"/>
          <w:szCs w:val="22"/>
        </w:rPr>
        <w:t>t.y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kreatinino</w:t>
      </w:r>
      <w:proofErr w:type="spellEnd"/>
      <w:r>
        <w:rPr>
          <w:sz w:val="22"/>
          <w:szCs w:val="22"/>
        </w:rPr>
        <w:t xml:space="preserve"> klirensas ne didesnis kaip 30 ml/min. (žr. 4.2 ir 5.2 skyrius). Tokiems pacientams negalima vartoti didesnės kaip </w:t>
      </w:r>
      <w:r>
        <w:rPr>
          <w:noProof/>
          <w:sz w:val="22"/>
          <w:szCs w:val="22"/>
        </w:rPr>
        <w:t>5 </w:t>
      </w:r>
      <w:r>
        <w:rPr>
          <w:sz w:val="22"/>
          <w:szCs w:val="22"/>
        </w:rPr>
        <w:t xml:space="preserve">mg dozės; </w:t>
      </w:r>
    </w:p>
    <w:p w:rsidR="00955A5A" w:rsidRDefault="00955A5A" w:rsidP="00955A5A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vidutinio laipsnio kepenų funkcijos sutrikimas, </w:t>
      </w:r>
      <w:proofErr w:type="spellStart"/>
      <w:r>
        <w:rPr>
          <w:sz w:val="22"/>
          <w:szCs w:val="22"/>
        </w:rPr>
        <w:t>t.y</w:t>
      </w:r>
      <w:proofErr w:type="spellEnd"/>
      <w:r>
        <w:rPr>
          <w:sz w:val="22"/>
          <w:szCs w:val="22"/>
        </w:rPr>
        <w:t>. 7</w:t>
      </w:r>
      <w:r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sym w:font="Symbol" w:char="F02D"/>
      </w:r>
      <w:r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 xml:space="preserve">9 balai pagal </w:t>
      </w:r>
      <w:proofErr w:type="spellStart"/>
      <w:r>
        <w:rPr>
          <w:sz w:val="22"/>
          <w:szCs w:val="22"/>
        </w:rPr>
        <w:t>Child-Pugh</w:t>
      </w:r>
      <w:proofErr w:type="spellEnd"/>
      <w:r>
        <w:rPr>
          <w:sz w:val="22"/>
          <w:szCs w:val="22"/>
        </w:rPr>
        <w:t xml:space="preserve"> skalę (žr. 4.2 ir 5.2 skyrius). Tokiems pacientams negalima vartoti didesnės kaip </w:t>
      </w:r>
      <w:r>
        <w:rPr>
          <w:noProof/>
          <w:sz w:val="22"/>
          <w:szCs w:val="22"/>
        </w:rPr>
        <w:t>5 </w:t>
      </w:r>
      <w:r>
        <w:rPr>
          <w:sz w:val="22"/>
          <w:szCs w:val="22"/>
        </w:rPr>
        <w:t xml:space="preserve">mg dozės;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kartu vartojama stiprių CYP3A4 inhibitorių, pvz., </w:t>
      </w:r>
      <w:proofErr w:type="spellStart"/>
      <w:r>
        <w:rPr>
          <w:sz w:val="22"/>
          <w:szCs w:val="22"/>
        </w:rPr>
        <w:t>ketokonazolo</w:t>
      </w:r>
      <w:proofErr w:type="spellEnd"/>
      <w:r>
        <w:rPr>
          <w:sz w:val="22"/>
          <w:szCs w:val="22"/>
        </w:rPr>
        <w:t xml:space="preserve"> (žr. 4.2 ir 4.5 skyrius); </w:t>
      </w:r>
    </w:p>
    <w:p w:rsidR="00955A5A" w:rsidRDefault="00955A5A" w:rsidP="00955A5A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stemplinės</w:t>
      </w:r>
      <w:proofErr w:type="spellEnd"/>
      <w:r>
        <w:rPr>
          <w:sz w:val="22"/>
          <w:szCs w:val="22"/>
        </w:rPr>
        <w:t xml:space="preserve"> angos išvarža arba </w:t>
      </w:r>
      <w:proofErr w:type="spellStart"/>
      <w:r>
        <w:rPr>
          <w:sz w:val="22"/>
          <w:szCs w:val="22"/>
        </w:rPr>
        <w:t>gastroezofaginis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refliuksas</w:t>
      </w:r>
      <w:proofErr w:type="spellEnd"/>
      <w:r>
        <w:rPr>
          <w:sz w:val="22"/>
          <w:szCs w:val="22"/>
        </w:rPr>
        <w:t xml:space="preserve">, jei kartu vartojama vaistinių preparatų (pvz., </w:t>
      </w:r>
      <w:proofErr w:type="spellStart"/>
      <w:r>
        <w:rPr>
          <w:sz w:val="22"/>
          <w:szCs w:val="22"/>
        </w:rPr>
        <w:t>bisfosfonatų</w:t>
      </w:r>
      <w:proofErr w:type="spellEnd"/>
      <w:r>
        <w:rPr>
          <w:sz w:val="22"/>
          <w:szCs w:val="22"/>
        </w:rPr>
        <w:t xml:space="preserve">), dėl kurių poveikio gali atsirasti ar paūmėti </w:t>
      </w:r>
      <w:proofErr w:type="spellStart"/>
      <w:r>
        <w:rPr>
          <w:sz w:val="22"/>
          <w:szCs w:val="22"/>
        </w:rPr>
        <w:t>ezofagitas</w:t>
      </w:r>
      <w:proofErr w:type="spellEnd"/>
      <w:r>
        <w:rPr>
          <w:sz w:val="22"/>
          <w:szCs w:val="22"/>
        </w:rPr>
        <w:t xml:space="preserve">; </w:t>
      </w:r>
    </w:p>
    <w:p w:rsidR="00955A5A" w:rsidRDefault="00955A5A" w:rsidP="00955A5A">
      <w:pPr>
        <w:tabs>
          <w:tab w:val="left" w:pos="360"/>
        </w:tabs>
        <w:rPr>
          <w:noProof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autonominė neuropatija.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Pailgėjusio QT intervalo ir </w:t>
      </w:r>
      <w:proofErr w:type="spellStart"/>
      <w:r>
        <w:rPr>
          <w:i/>
          <w:sz w:val="22"/>
          <w:szCs w:val="22"/>
        </w:rPr>
        <w:t>Torsade</w:t>
      </w:r>
      <w:proofErr w:type="spellEnd"/>
      <w:r>
        <w:rPr>
          <w:i/>
          <w:sz w:val="22"/>
          <w:szCs w:val="22"/>
        </w:rPr>
        <w:t xml:space="preserve"> de </w:t>
      </w:r>
      <w:proofErr w:type="spellStart"/>
      <w:r>
        <w:rPr>
          <w:i/>
          <w:sz w:val="22"/>
          <w:szCs w:val="22"/>
        </w:rPr>
        <w:t>Pointes</w:t>
      </w:r>
      <w:proofErr w:type="spellEnd"/>
      <w:r>
        <w:rPr>
          <w:sz w:val="22"/>
          <w:szCs w:val="22"/>
        </w:rPr>
        <w:t xml:space="preserve"> pasireiškimo atvejų pastebėta tiems pacientams, kuriems buvo rizikos veiksnių, pavyzdžiui, anksčiau nustatytas ilgo QT intervalo sindromas ir </w:t>
      </w:r>
      <w:proofErr w:type="spellStart"/>
      <w:r>
        <w:rPr>
          <w:sz w:val="22"/>
          <w:szCs w:val="22"/>
        </w:rPr>
        <w:t>hipokalemija</w:t>
      </w:r>
      <w:proofErr w:type="spellEnd"/>
      <w:r>
        <w:rPr>
          <w:sz w:val="22"/>
          <w:szCs w:val="22"/>
        </w:rPr>
        <w:t>.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</w:p>
    <w:p w:rsidR="00955A5A" w:rsidRDefault="00955A5A" w:rsidP="00955A5A">
      <w:pPr>
        <w:rPr>
          <w:noProof/>
          <w:sz w:val="22"/>
          <w:szCs w:val="22"/>
        </w:rPr>
      </w:pPr>
      <w:r>
        <w:rPr>
          <w:sz w:val="22"/>
          <w:szCs w:val="22"/>
        </w:rPr>
        <w:t xml:space="preserve">Ar ligoniams, kuriems dėl </w:t>
      </w:r>
      <w:proofErr w:type="spellStart"/>
      <w:r>
        <w:rPr>
          <w:sz w:val="22"/>
          <w:szCs w:val="22"/>
        </w:rPr>
        <w:t>neurogeninių</w:t>
      </w:r>
      <w:proofErr w:type="spellEnd"/>
      <w:r>
        <w:rPr>
          <w:sz w:val="22"/>
          <w:szCs w:val="22"/>
        </w:rPr>
        <w:t xml:space="preserve"> priežasčių pernelyg padidėjęs šlapimo pūslę sutraukiančiojo raumens (</w:t>
      </w:r>
      <w:proofErr w:type="spellStart"/>
      <w:r>
        <w:rPr>
          <w:sz w:val="22"/>
          <w:szCs w:val="22"/>
        </w:rPr>
        <w:t>detrusoriaus</w:t>
      </w:r>
      <w:proofErr w:type="spellEnd"/>
      <w:r>
        <w:rPr>
          <w:sz w:val="22"/>
          <w:szCs w:val="22"/>
        </w:rPr>
        <w:t xml:space="preserve">) jautrumas, </w:t>
      </w:r>
      <w:r>
        <w:rPr>
          <w:noProof/>
          <w:sz w:val="22"/>
          <w:szCs w:val="22"/>
        </w:rPr>
        <w:t xml:space="preserve">vaistinio </w:t>
      </w:r>
      <w:r>
        <w:rPr>
          <w:sz w:val="22"/>
          <w:szCs w:val="22"/>
        </w:rPr>
        <w:t xml:space="preserve">preparato vartoti saugu ir veiksminga, dar nenustatyta.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noProof/>
          <w:sz w:val="22"/>
          <w:szCs w:val="22"/>
        </w:rPr>
      </w:pPr>
      <w:r>
        <w:rPr>
          <w:sz w:val="22"/>
          <w:szCs w:val="22"/>
        </w:rPr>
        <w:t xml:space="preserve">Pacientams, kuriems yra retas paveldimas </w:t>
      </w:r>
      <w:proofErr w:type="spellStart"/>
      <w:r>
        <w:rPr>
          <w:sz w:val="22"/>
          <w:szCs w:val="22"/>
        </w:rPr>
        <w:t>galaktozės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netoleravimas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Lapp</w:t>
      </w:r>
      <w:proofErr w:type="spellEnd"/>
      <w:r>
        <w:rPr>
          <w:sz w:val="22"/>
          <w:szCs w:val="22"/>
        </w:rPr>
        <w:t xml:space="preserve"> laktazės trūkumas ar gliukozės ir </w:t>
      </w:r>
      <w:proofErr w:type="spellStart"/>
      <w:r>
        <w:rPr>
          <w:sz w:val="22"/>
          <w:szCs w:val="22"/>
        </w:rPr>
        <w:t>galaktozės</w:t>
      </w:r>
      <w:proofErr w:type="spellEnd"/>
      <w:r>
        <w:rPr>
          <w:sz w:val="22"/>
          <w:szCs w:val="22"/>
        </w:rPr>
        <w:t xml:space="preserve"> absorbcijos sutrikimas, šio vaistinio preparato vartoti negalima.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Kai kuriems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sukcinatą</w:t>
      </w:r>
      <w:proofErr w:type="spellEnd"/>
      <w:r>
        <w:rPr>
          <w:color w:val="000000"/>
          <w:sz w:val="22"/>
          <w:szCs w:val="22"/>
        </w:rPr>
        <w:t xml:space="preserve"> vartojantiems pacientams pasireiškė </w:t>
      </w:r>
      <w:proofErr w:type="spellStart"/>
      <w:r>
        <w:rPr>
          <w:color w:val="000000"/>
          <w:sz w:val="22"/>
          <w:szCs w:val="22"/>
        </w:rPr>
        <w:t>angioneurozinė</w:t>
      </w:r>
      <w:proofErr w:type="spellEnd"/>
      <w:r>
        <w:rPr>
          <w:color w:val="000000"/>
          <w:sz w:val="22"/>
          <w:szCs w:val="22"/>
        </w:rPr>
        <w:t xml:space="preserve"> edema su kvėpavimo takų obstrukcija. Jeigu pasireiškia </w:t>
      </w:r>
      <w:proofErr w:type="spellStart"/>
      <w:r>
        <w:rPr>
          <w:color w:val="000000"/>
          <w:sz w:val="22"/>
          <w:szCs w:val="22"/>
        </w:rPr>
        <w:t>angioneurozinė</w:t>
      </w:r>
      <w:proofErr w:type="spellEnd"/>
      <w:r>
        <w:rPr>
          <w:color w:val="000000"/>
          <w:sz w:val="22"/>
          <w:szCs w:val="22"/>
        </w:rPr>
        <w:t xml:space="preserve"> edema,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sukcinato</w:t>
      </w:r>
      <w:proofErr w:type="spellEnd"/>
      <w:r>
        <w:rPr>
          <w:color w:val="000000"/>
          <w:sz w:val="22"/>
          <w:szCs w:val="22"/>
        </w:rPr>
        <w:t xml:space="preserve"> vartojimą reikia nutraukti bei skirti tinkamą gydymą ir (arba) imtis atitinkamų priemonių.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iCs/>
          <w:sz w:val="22"/>
          <w:szCs w:val="22"/>
          <w:lang w:eastAsia="ja-JP"/>
        </w:rPr>
      </w:pPr>
      <w:r>
        <w:rPr>
          <w:sz w:val="22"/>
          <w:szCs w:val="22"/>
        </w:rPr>
        <w:t xml:space="preserve">Kai kuriems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sukcinato</w:t>
      </w:r>
      <w:proofErr w:type="spellEnd"/>
      <w:r>
        <w:rPr>
          <w:color w:val="000000"/>
          <w:sz w:val="22"/>
          <w:szCs w:val="22"/>
        </w:rPr>
        <w:t xml:space="preserve"> vartojantiems pacientams pasireiškė anafilaksinė reakcija</w:t>
      </w:r>
      <w:r>
        <w:rPr>
          <w:iCs/>
          <w:sz w:val="22"/>
          <w:szCs w:val="22"/>
          <w:lang w:eastAsia="ja-JP"/>
        </w:rPr>
        <w:t xml:space="preserve">. Jeigu pacientui </w:t>
      </w:r>
      <w:r>
        <w:rPr>
          <w:color w:val="000000"/>
          <w:sz w:val="22"/>
          <w:szCs w:val="22"/>
        </w:rPr>
        <w:t>pasireiškia anafilaksinė reakcija</w:t>
      </w:r>
      <w:r>
        <w:rPr>
          <w:iCs/>
          <w:sz w:val="22"/>
          <w:szCs w:val="22"/>
          <w:lang w:eastAsia="ja-JP"/>
        </w:rPr>
        <w:t xml:space="preserve">,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sukcinato</w:t>
      </w:r>
      <w:proofErr w:type="spellEnd"/>
      <w:r>
        <w:rPr>
          <w:color w:val="000000"/>
          <w:sz w:val="22"/>
          <w:szCs w:val="22"/>
        </w:rPr>
        <w:t xml:space="preserve"> vartojimą reikia nutraukti bei skirti tinkamą gydymą ir (arba) imtis atitinkamų priemonių</w:t>
      </w:r>
      <w:r>
        <w:rPr>
          <w:iCs/>
          <w:sz w:val="22"/>
          <w:szCs w:val="22"/>
          <w:lang w:eastAsia="ja-JP"/>
        </w:rPr>
        <w:t>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Didžiausias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poveikis pasireiškia ne anksčiau kaip po 4 savaičių.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4.5</w:t>
      </w:r>
      <w:r>
        <w:rPr>
          <w:b/>
          <w:iCs/>
          <w:kern w:val="28"/>
          <w:sz w:val="22"/>
          <w:szCs w:val="22"/>
        </w:rPr>
        <w:tab/>
        <w:t>Sąveika su kitais vaistiniais preparatais ir kitokia sąveika</w:t>
      </w:r>
    </w:p>
    <w:p w:rsidR="00955A5A" w:rsidRDefault="00955A5A" w:rsidP="00955A5A">
      <w:pPr>
        <w:rPr>
          <w:i/>
          <w:sz w:val="22"/>
        </w:rPr>
      </w:pPr>
    </w:p>
    <w:p w:rsidR="00955A5A" w:rsidRDefault="00955A5A" w:rsidP="00955A5A">
      <w:pPr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 xml:space="preserve">Farmakologinė sąveika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lastRenderedPageBreak/>
        <w:t>Vaist</w:t>
      </w:r>
      <w:r>
        <w:rPr>
          <w:noProof/>
          <w:sz w:val="22"/>
          <w:szCs w:val="22"/>
        </w:rPr>
        <w:t>inį preparatą</w:t>
      </w:r>
      <w:r>
        <w:rPr>
          <w:sz w:val="22"/>
          <w:szCs w:val="22"/>
        </w:rPr>
        <w:t xml:space="preserve"> vartojant kartu su kitokiu vaistiniu preparatu, kuriam būdingos </w:t>
      </w:r>
      <w:proofErr w:type="spellStart"/>
      <w:r>
        <w:rPr>
          <w:sz w:val="22"/>
          <w:szCs w:val="22"/>
        </w:rPr>
        <w:t>anticholinerginės</w:t>
      </w:r>
      <w:proofErr w:type="spellEnd"/>
      <w:r>
        <w:rPr>
          <w:sz w:val="22"/>
          <w:szCs w:val="22"/>
        </w:rPr>
        <w:t xml:space="preserve"> savybės, gali sustiprėti terapinis ir nepageidaujamas poveikis. Nustojus vartoti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, kitų </w:t>
      </w:r>
      <w:proofErr w:type="spellStart"/>
      <w:r>
        <w:rPr>
          <w:sz w:val="22"/>
          <w:szCs w:val="22"/>
        </w:rPr>
        <w:t>anticholinerginių</w:t>
      </w:r>
      <w:proofErr w:type="spellEnd"/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vaistinių prepara</w:t>
      </w:r>
      <w:r>
        <w:rPr>
          <w:sz w:val="22"/>
          <w:szCs w:val="22"/>
        </w:rPr>
        <w:t xml:space="preserve">tų galima vartoti ne anksčiau, kaip po savaitės. Terapinį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poveikį gali silpninti kartu vartojami </w:t>
      </w:r>
      <w:proofErr w:type="spellStart"/>
      <w:r>
        <w:rPr>
          <w:sz w:val="22"/>
          <w:szCs w:val="22"/>
        </w:rPr>
        <w:t>cholinomimetikai</w:t>
      </w:r>
      <w:proofErr w:type="spellEnd"/>
      <w:r>
        <w:rPr>
          <w:sz w:val="22"/>
          <w:szCs w:val="22"/>
        </w:rPr>
        <w:t xml:space="preserve">. </w:t>
      </w:r>
    </w:p>
    <w:p w:rsidR="00955A5A" w:rsidRDefault="00955A5A" w:rsidP="00955A5A">
      <w:pPr>
        <w:rPr>
          <w:noProof/>
          <w:sz w:val="22"/>
          <w:szCs w:val="22"/>
        </w:rPr>
      </w:pPr>
      <w:proofErr w:type="spellStart"/>
      <w:r>
        <w:rPr>
          <w:sz w:val="22"/>
          <w:szCs w:val="22"/>
        </w:rPr>
        <w:t>Solifenacinas</w:t>
      </w:r>
      <w:proofErr w:type="spellEnd"/>
      <w:r>
        <w:rPr>
          <w:sz w:val="22"/>
          <w:szCs w:val="22"/>
        </w:rPr>
        <w:t xml:space="preserve"> gali silpninti vaistinių preparatų, kurie skatina virškinimo trakto peristaltiką, pvz., </w:t>
      </w:r>
      <w:proofErr w:type="spellStart"/>
      <w:r>
        <w:rPr>
          <w:sz w:val="22"/>
          <w:szCs w:val="22"/>
        </w:rPr>
        <w:t>metoklopramido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cisaprido</w:t>
      </w:r>
      <w:proofErr w:type="spellEnd"/>
      <w:r>
        <w:rPr>
          <w:sz w:val="22"/>
          <w:szCs w:val="22"/>
        </w:rPr>
        <w:t xml:space="preserve">, poveikį. </w:t>
      </w:r>
    </w:p>
    <w:p w:rsidR="00955A5A" w:rsidRDefault="00955A5A" w:rsidP="00955A5A">
      <w:pPr>
        <w:rPr>
          <w:b/>
          <w:noProof/>
          <w:sz w:val="22"/>
          <w:szCs w:val="22"/>
          <w:u w:val="single"/>
        </w:rPr>
      </w:pPr>
    </w:p>
    <w:p w:rsidR="00955A5A" w:rsidRDefault="00955A5A" w:rsidP="00955A5A">
      <w:pPr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>Farmakokinetinė sąveika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Tyrimais </w:t>
      </w:r>
      <w:proofErr w:type="spellStart"/>
      <w:r>
        <w:rPr>
          <w:i/>
          <w:sz w:val="22"/>
          <w:szCs w:val="22"/>
        </w:rPr>
        <w:t>in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vitro</w:t>
      </w:r>
      <w:proofErr w:type="spellEnd"/>
      <w:r>
        <w:rPr>
          <w:sz w:val="22"/>
          <w:szCs w:val="22"/>
        </w:rPr>
        <w:t xml:space="preserve"> įrodyta, kad terapinė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koncentracija neslopina iš žmogaus kepenų </w:t>
      </w:r>
      <w:proofErr w:type="spellStart"/>
      <w:r>
        <w:rPr>
          <w:sz w:val="22"/>
          <w:szCs w:val="22"/>
        </w:rPr>
        <w:t>mikrosomų</w:t>
      </w:r>
      <w:proofErr w:type="spellEnd"/>
      <w:r>
        <w:rPr>
          <w:sz w:val="22"/>
          <w:szCs w:val="22"/>
        </w:rPr>
        <w:t xml:space="preserve"> išskirtų CYP1A1/2, 2C9, 2C19, 2D6 ar 3A4, todėl mažai tikėtina, kad </w:t>
      </w:r>
      <w:proofErr w:type="spellStart"/>
      <w:r>
        <w:rPr>
          <w:sz w:val="22"/>
          <w:szCs w:val="22"/>
        </w:rPr>
        <w:t>solifenacinas</w:t>
      </w:r>
      <w:proofErr w:type="spellEnd"/>
      <w:r>
        <w:rPr>
          <w:sz w:val="22"/>
          <w:szCs w:val="22"/>
        </w:rPr>
        <w:t xml:space="preserve"> keistų vaist</w:t>
      </w:r>
      <w:r>
        <w:rPr>
          <w:noProof/>
          <w:sz w:val="22"/>
          <w:szCs w:val="22"/>
        </w:rPr>
        <w:t>inių preparat</w:t>
      </w:r>
      <w:r>
        <w:rPr>
          <w:sz w:val="22"/>
          <w:szCs w:val="22"/>
        </w:rPr>
        <w:t xml:space="preserve">ų, kurie </w:t>
      </w:r>
      <w:proofErr w:type="spellStart"/>
      <w:r>
        <w:rPr>
          <w:sz w:val="22"/>
          <w:szCs w:val="22"/>
        </w:rPr>
        <w:t>metabolizuojami</w:t>
      </w:r>
      <w:proofErr w:type="spellEnd"/>
      <w:r>
        <w:rPr>
          <w:sz w:val="22"/>
          <w:szCs w:val="22"/>
        </w:rPr>
        <w:t xml:space="preserve"> šių CYP fermentų, klirensą. </w:t>
      </w:r>
    </w:p>
    <w:p w:rsidR="00955A5A" w:rsidRDefault="00955A5A" w:rsidP="00955A5A">
      <w:pPr>
        <w:autoSpaceDE w:val="0"/>
        <w:autoSpaceDN w:val="0"/>
        <w:adjustRightInd w:val="0"/>
        <w:rPr>
          <w:b/>
          <w:noProof/>
          <w:color w:val="000000"/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noProof/>
          <w:color w:val="000000"/>
          <w:sz w:val="22"/>
          <w:szCs w:val="22"/>
          <w:u w:val="single"/>
        </w:rPr>
      </w:pPr>
      <w:r>
        <w:rPr>
          <w:noProof/>
          <w:color w:val="000000"/>
          <w:sz w:val="22"/>
          <w:szCs w:val="22"/>
          <w:u w:val="single"/>
        </w:rPr>
        <w:t xml:space="preserve">Kitų vaistinių preparatų poveikis solifenacino farmakokinetikai </w:t>
      </w: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Solifenaciną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metabolizuoja</w:t>
      </w:r>
      <w:proofErr w:type="spellEnd"/>
      <w:r>
        <w:rPr>
          <w:color w:val="000000"/>
          <w:sz w:val="22"/>
          <w:szCs w:val="22"/>
        </w:rPr>
        <w:t xml:space="preserve"> CYP3A4. Kartu vartojant </w:t>
      </w:r>
      <w:proofErr w:type="spellStart"/>
      <w:r>
        <w:rPr>
          <w:color w:val="000000"/>
          <w:sz w:val="22"/>
          <w:szCs w:val="22"/>
        </w:rPr>
        <w:t>ketokonazolo</w:t>
      </w:r>
      <w:proofErr w:type="spellEnd"/>
      <w:r>
        <w:rPr>
          <w:color w:val="000000"/>
          <w:sz w:val="22"/>
          <w:szCs w:val="22"/>
        </w:rPr>
        <w:t xml:space="preserve">, stipraus CYP3A4 inhibitoriaus, </w:t>
      </w:r>
      <w:r>
        <w:rPr>
          <w:noProof/>
          <w:color w:val="000000"/>
          <w:sz w:val="22"/>
          <w:szCs w:val="22"/>
        </w:rPr>
        <w:t>200 </w:t>
      </w:r>
      <w:r>
        <w:rPr>
          <w:color w:val="000000"/>
          <w:sz w:val="22"/>
          <w:szCs w:val="22"/>
        </w:rPr>
        <w:t xml:space="preserve">mg paros dozę, dvigubai padidėjo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AUC, o vartojant </w:t>
      </w:r>
      <w:r>
        <w:rPr>
          <w:noProof/>
          <w:color w:val="000000"/>
          <w:sz w:val="22"/>
          <w:szCs w:val="22"/>
        </w:rPr>
        <w:t>400 </w:t>
      </w:r>
      <w:r>
        <w:rPr>
          <w:color w:val="000000"/>
          <w:sz w:val="22"/>
          <w:szCs w:val="22"/>
        </w:rPr>
        <w:t xml:space="preserve">mg </w:t>
      </w:r>
      <w:proofErr w:type="spellStart"/>
      <w:r>
        <w:rPr>
          <w:color w:val="000000"/>
          <w:sz w:val="22"/>
          <w:szCs w:val="22"/>
        </w:rPr>
        <w:t>ketokonazolo</w:t>
      </w:r>
      <w:proofErr w:type="spellEnd"/>
      <w:r>
        <w:rPr>
          <w:color w:val="000000"/>
          <w:sz w:val="22"/>
          <w:szCs w:val="22"/>
        </w:rPr>
        <w:t xml:space="preserve"> paros dozę,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AUC padidėjo trigubai. Taigi, kartu su </w:t>
      </w:r>
      <w:proofErr w:type="spellStart"/>
      <w:r>
        <w:rPr>
          <w:color w:val="000000"/>
          <w:sz w:val="22"/>
          <w:szCs w:val="22"/>
        </w:rPr>
        <w:t>ketokonazolu</w:t>
      </w:r>
      <w:proofErr w:type="spellEnd"/>
      <w:r>
        <w:rPr>
          <w:color w:val="000000"/>
          <w:sz w:val="22"/>
          <w:szCs w:val="22"/>
        </w:rPr>
        <w:t xml:space="preserve"> ar kitokiu terapinėmis dozėmis vartojamu stipriu CYP3A4 inhibitoriumi (pvz., </w:t>
      </w:r>
      <w:proofErr w:type="spellStart"/>
      <w:r>
        <w:rPr>
          <w:color w:val="000000"/>
          <w:sz w:val="22"/>
          <w:szCs w:val="22"/>
        </w:rPr>
        <w:t>ritonaviru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nelfinaviru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itrakonazolu</w:t>
      </w:r>
      <w:proofErr w:type="spellEnd"/>
      <w:r>
        <w:rPr>
          <w:color w:val="000000"/>
          <w:sz w:val="22"/>
          <w:szCs w:val="22"/>
        </w:rPr>
        <w:t xml:space="preserve">) vartojant </w:t>
      </w: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 xml:space="preserve">, </w:t>
      </w:r>
      <w:r>
        <w:rPr>
          <w:sz w:val="22"/>
        </w:rPr>
        <w:t xml:space="preserve">didžiausia </w:t>
      </w:r>
      <w:r>
        <w:rPr>
          <w:color w:val="000000"/>
          <w:sz w:val="22"/>
          <w:szCs w:val="22"/>
        </w:rPr>
        <w:t xml:space="preserve">pastarojo </w:t>
      </w:r>
      <w:r>
        <w:rPr>
          <w:noProof/>
          <w:color w:val="000000"/>
          <w:sz w:val="22"/>
          <w:szCs w:val="22"/>
        </w:rPr>
        <w:t xml:space="preserve">vaistinio </w:t>
      </w:r>
      <w:r>
        <w:rPr>
          <w:color w:val="000000"/>
          <w:sz w:val="22"/>
          <w:szCs w:val="22"/>
        </w:rPr>
        <w:t xml:space="preserve">preparato dozė neturi viršyti </w:t>
      </w:r>
      <w:r>
        <w:rPr>
          <w:noProof/>
          <w:color w:val="000000"/>
          <w:sz w:val="22"/>
          <w:szCs w:val="22"/>
        </w:rPr>
        <w:t>5 </w:t>
      </w:r>
      <w:r>
        <w:rPr>
          <w:color w:val="000000"/>
          <w:sz w:val="22"/>
          <w:szCs w:val="22"/>
        </w:rPr>
        <w:t xml:space="preserve">mg (žr. 4.2 skyrių). </w:t>
      </w: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Pacientams, kuri</w:t>
      </w:r>
      <w:r>
        <w:rPr>
          <w:sz w:val="22"/>
        </w:rPr>
        <w:t>ems yra sunkus</w:t>
      </w:r>
      <w:r>
        <w:rPr>
          <w:color w:val="000000"/>
          <w:sz w:val="22"/>
          <w:szCs w:val="22"/>
        </w:rPr>
        <w:t xml:space="preserve"> inkstų funkcij</w:t>
      </w:r>
      <w:r>
        <w:rPr>
          <w:sz w:val="22"/>
        </w:rPr>
        <w:t>os sutrikimas</w:t>
      </w:r>
      <w:r>
        <w:rPr>
          <w:color w:val="000000"/>
          <w:sz w:val="22"/>
          <w:szCs w:val="22"/>
        </w:rPr>
        <w:t xml:space="preserve"> ar vidutinis kepenų funkcij</w:t>
      </w:r>
      <w:r>
        <w:rPr>
          <w:sz w:val="22"/>
        </w:rPr>
        <w:t>os sutrikimas</w:t>
      </w:r>
      <w:r>
        <w:rPr>
          <w:color w:val="000000"/>
          <w:sz w:val="22"/>
          <w:szCs w:val="22"/>
        </w:rPr>
        <w:t xml:space="preserve">, vienu metu vartoti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ir stipraus CYP3A4 inhibitoriaus draudžiama. </w:t>
      </w: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Fermentų indukcijos poveikis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ir jo metabolitų </w:t>
      </w:r>
      <w:proofErr w:type="spellStart"/>
      <w:r>
        <w:rPr>
          <w:color w:val="000000"/>
          <w:sz w:val="22"/>
          <w:szCs w:val="22"/>
        </w:rPr>
        <w:t>farmakokinetikai</w:t>
      </w:r>
      <w:proofErr w:type="spellEnd"/>
      <w:r>
        <w:rPr>
          <w:sz w:val="22"/>
        </w:rPr>
        <w:t>, taip pat</w:t>
      </w:r>
      <w:r>
        <w:rPr>
          <w:color w:val="000000"/>
          <w:sz w:val="22"/>
          <w:szCs w:val="22"/>
        </w:rPr>
        <w:t xml:space="preserve"> didelio </w:t>
      </w:r>
      <w:proofErr w:type="spellStart"/>
      <w:r>
        <w:rPr>
          <w:color w:val="000000"/>
          <w:sz w:val="22"/>
          <w:szCs w:val="22"/>
        </w:rPr>
        <w:t>afiniteto</w:t>
      </w:r>
      <w:proofErr w:type="spellEnd"/>
      <w:r>
        <w:rPr>
          <w:color w:val="000000"/>
          <w:sz w:val="22"/>
          <w:szCs w:val="22"/>
        </w:rPr>
        <w:t xml:space="preserve"> CYP3A4 substratų poveikis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ekspozicijai</w:t>
      </w:r>
      <w:r>
        <w:rPr>
          <w:sz w:val="22"/>
        </w:rPr>
        <w:t xml:space="preserve"> neištirti</w:t>
      </w:r>
      <w:r>
        <w:rPr>
          <w:color w:val="000000"/>
          <w:sz w:val="22"/>
          <w:szCs w:val="22"/>
        </w:rPr>
        <w:t xml:space="preserve">. Kadangi </w:t>
      </w:r>
      <w:proofErr w:type="spellStart"/>
      <w:r>
        <w:rPr>
          <w:color w:val="000000"/>
          <w:sz w:val="22"/>
          <w:szCs w:val="22"/>
        </w:rPr>
        <w:t>solifenaciną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metabolizuoja</w:t>
      </w:r>
      <w:proofErr w:type="spellEnd"/>
      <w:r>
        <w:rPr>
          <w:color w:val="000000"/>
          <w:sz w:val="22"/>
          <w:szCs w:val="22"/>
        </w:rPr>
        <w:t xml:space="preserve"> CYP3A4, </w:t>
      </w:r>
      <w:r>
        <w:rPr>
          <w:sz w:val="22"/>
        </w:rPr>
        <w:t xml:space="preserve">galima </w:t>
      </w:r>
      <w:proofErr w:type="spellStart"/>
      <w:r>
        <w:rPr>
          <w:color w:val="000000"/>
          <w:sz w:val="22"/>
          <w:szCs w:val="22"/>
        </w:rPr>
        <w:t>farmakokinetinė</w:t>
      </w:r>
      <w:proofErr w:type="spellEnd"/>
      <w:r>
        <w:rPr>
          <w:color w:val="000000"/>
          <w:sz w:val="22"/>
          <w:szCs w:val="22"/>
        </w:rPr>
        <w:t xml:space="preserve"> sąveika su kitais didelio </w:t>
      </w:r>
      <w:proofErr w:type="spellStart"/>
      <w:r>
        <w:rPr>
          <w:color w:val="000000"/>
          <w:sz w:val="22"/>
          <w:szCs w:val="22"/>
        </w:rPr>
        <w:t>afiniteto</w:t>
      </w:r>
      <w:proofErr w:type="spellEnd"/>
      <w:r>
        <w:rPr>
          <w:color w:val="000000"/>
          <w:sz w:val="22"/>
          <w:szCs w:val="22"/>
        </w:rPr>
        <w:t xml:space="preserve"> CYP3A4 substratais (pvz., </w:t>
      </w:r>
      <w:proofErr w:type="spellStart"/>
      <w:r>
        <w:rPr>
          <w:color w:val="000000"/>
          <w:sz w:val="22"/>
          <w:szCs w:val="22"/>
        </w:rPr>
        <w:t>verapamiliu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diltiazemu</w:t>
      </w:r>
      <w:proofErr w:type="spellEnd"/>
      <w:r>
        <w:rPr>
          <w:color w:val="000000"/>
          <w:sz w:val="22"/>
          <w:szCs w:val="22"/>
        </w:rPr>
        <w:t xml:space="preserve">) ir CYP3A4 indukuojančiais </w:t>
      </w:r>
      <w:r>
        <w:rPr>
          <w:noProof/>
          <w:color w:val="000000"/>
          <w:sz w:val="22"/>
          <w:szCs w:val="22"/>
        </w:rPr>
        <w:t xml:space="preserve">vaistiniais </w:t>
      </w:r>
      <w:r>
        <w:rPr>
          <w:color w:val="000000"/>
          <w:sz w:val="22"/>
          <w:szCs w:val="22"/>
        </w:rPr>
        <w:t xml:space="preserve">preparatais (pvz., </w:t>
      </w:r>
      <w:proofErr w:type="spellStart"/>
      <w:r>
        <w:rPr>
          <w:color w:val="000000"/>
          <w:sz w:val="22"/>
          <w:szCs w:val="22"/>
        </w:rPr>
        <w:t>rifampicinu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fenitoinu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karbamazepinu</w:t>
      </w:r>
      <w:proofErr w:type="spellEnd"/>
      <w:r>
        <w:rPr>
          <w:color w:val="000000"/>
          <w:sz w:val="22"/>
          <w:szCs w:val="22"/>
        </w:rPr>
        <w:t xml:space="preserve">). </w:t>
      </w:r>
    </w:p>
    <w:p w:rsidR="00955A5A" w:rsidRDefault="00955A5A" w:rsidP="00955A5A">
      <w:pPr>
        <w:autoSpaceDE w:val="0"/>
        <w:autoSpaceDN w:val="0"/>
        <w:adjustRightInd w:val="0"/>
        <w:rPr>
          <w:b/>
          <w:noProof/>
          <w:color w:val="000000"/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noProof/>
          <w:color w:val="000000"/>
          <w:sz w:val="22"/>
          <w:szCs w:val="22"/>
          <w:u w:val="single"/>
        </w:rPr>
      </w:pPr>
      <w:r>
        <w:rPr>
          <w:noProof/>
          <w:color w:val="000000"/>
          <w:sz w:val="22"/>
          <w:szCs w:val="22"/>
          <w:u w:val="single"/>
        </w:rPr>
        <w:t xml:space="preserve">Solifenacino poveikis kitų vaistinių preparatų farmakokinetikai </w:t>
      </w:r>
    </w:p>
    <w:p w:rsidR="00955A5A" w:rsidRDefault="00955A5A" w:rsidP="00955A5A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Geriamieji kontraceptikai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Vartojant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farmakokinetinės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ir sudėtinių geriamųjų kontraceptikų (</w:t>
      </w:r>
      <w:proofErr w:type="spellStart"/>
      <w:r>
        <w:rPr>
          <w:sz w:val="22"/>
          <w:szCs w:val="22"/>
        </w:rPr>
        <w:t>etinilestradiolio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levonorgestrelio</w:t>
      </w:r>
      <w:proofErr w:type="spellEnd"/>
      <w:r>
        <w:rPr>
          <w:sz w:val="22"/>
          <w:szCs w:val="22"/>
        </w:rPr>
        <w:t xml:space="preserve">) sąveikos nenustatyta. </w:t>
      </w:r>
    </w:p>
    <w:p w:rsidR="00955A5A" w:rsidRDefault="00955A5A" w:rsidP="00955A5A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Varfarinas</w:t>
      </w:r>
      <w:proofErr w:type="spellEnd"/>
      <w:r>
        <w:rPr>
          <w:i/>
          <w:sz w:val="22"/>
          <w:szCs w:val="22"/>
        </w:rPr>
        <w:t xml:space="preserve">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nekeičia R-</w:t>
      </w:r>
      <w:proofErr w:type="spellStart"/>
      <w:r>
        <w:rPr>
          <w:sz w:val="22"/>
          <w:szCs w:val="22"/>
        </w:rPr>
        <w:t>varfarino</w:t>
      </w:r>
      <w:proofErr w:type="spellEnd"/>
      <w:r>
        <w:rPr>
          <w:sz w:val="22"/>
          <w:szCs w:val="22"/>
        </w:rPr>
        <w:t xml:space="preserve"> ar S- </w:t>
      </w:r>
      <w:proofErr w:type="spellStart"/>
      <w:r>
        <w:rPr>
          <w:sz w:val="22"/>
          <w:szCs w:val="22"/>
        </w:rPr>
        <w:t>varfarino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farmakokinetikos</w:t>
      </w:r>
      <w:proofErr w:type="spellEnd"/>
      <w:r>
        <w:rPr>
          <w:sz w:val="22"/>
          <w:szCs w:val="22"/>
        </w:rPr>
        <w:t xml:space="preserve"> ir jų poveikio </w:t>
      </w:r>
      <w:proofErr w:type="spellStart"/>
      <w:r>
        <w:rPr>
          <w:sz w:val="22"/>
          <w:szCs w:val="22"/>
        </w:rPr>
        <w:t>protrombino</w:t>
      </w:r>
      <w:proofErr w:type="spellEnd"/>
      <w:r>
        <w:rPr>
          <w:sz w:val="22"/>
          <w:szCs w:val="22"/>
        </w:rPr>
        <w:t xml:space="preserve"> laikui. </w:t>
      </w:r>
    </w:p>
    <w:p w:rsidR="00955A5A" w:rsidRDefault="00955A5A" w:rsidP="00955A5A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Digoksinas</w:t>
      </w:r>
      <w:proofErr w:type="spellEnd"/>
      <w:r>
        <w:rPr>
          <w:i/>
          <w:sz w:val="22"/>
          <w:szCs w:val="22"/>
        </w:rPr>
        <w:t xml:space="preserve">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Digoksino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farmakokinetikai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įtakos neturi.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4.6</w:t>
      </w:r>
      <w:r>
        <w:rPr>
          <w:b/>
          <w:iCs/>
          <w:kern w:val="28"/>
          <w:sz w:val="22"/>
          <w:szCs w:val="22"/>
        </w:rPr>
        <w:tab/>
        <w:t>Vaisingumas, nėštumo ir žindymo laikotarpis</w:t>
      </w:r>
    </w:p>
    <w:p w:rsidR="00955A5A" w:rsidRDefault="00955A5A" w:rsidP="00955A5A">
      <w:pPr>
        <w:autoSpaceDE w:val="0"/>
        <w:autoSpaceDN w:val="0"/>
        <w:adjustRightInd w:val="0"/>
        <w:rPr>
          <w:b/>
          <w:noProof/>
          <w:color w:val="000000"/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noProof/>
          <w:color w:val="000000"/>
          <w:sz w:val="22"/>
          <w:szCs w:val="22"/>
          <w:u w:val="single"/>
        </w:rPr>
      </w:pPr>
      <w:r>
        <w:rPr>
          <w:noProof/>
          <w:color w:val="000000"/>
          <w:sz w:val="22"/>
          <w:szCs w:val="22"/>
          <w:u w:val="single"/>
        </w:rPr>
        <w:t xml:space="preserve">Nėštumas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Klinikinių duomenų apie poveikį moterims, kurios pastojo vartodamos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, nėra. Tyrimai su gyvūnais tiesioginio kenksmingo poveikio vaisingumui, embriono ar vaisiaus vystymuisi bei palikuonių atsivedimui neparodė (žr. 5.3 skyrių). Galimas pavojus žmogui nežinomas. </w:t>
      </w:r>
      <w:r>
        <w:rPr>
          <w:noProof/>
          <w:sz w:val="22"/>
          <w:szCs w:val="22"/>
        </w:rPr>
        <w:t>Vaistinio prepara</w:t>
      </w:r>
      <w:r>
        <w:rPr>
          <w:sz w:val="22"/>
          <w:szCs w:val="22"/>
        </w:rPr>
        <w:t xml:space="preserve">to skirti nėščioms moterims reikia atsargiai. </w:t>
      </w:r>
    </w:p>
    <w:p w:rsidR="00955A5A" w:rsidRDefault="00955A5A" w:rsidP="00955A5A">
      <w:pPr>
        <w:autoSpaceDE w:val="0"/>
        <w:autoSpaceDN w:val="0"/>
        <w:adjustRightInd w:val="0"/>
        <w:rPr>
          <w:b/>
          <w:noProof/>
          <w:color w:val="000000"/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b/>
          <w:color w:val="000000"/>
          <w:sz w:val="22"/>
        </w:rPr>
      </w:pPr>
      <w:r>
        <w:rPr>
          <w:noProof/>
          <w:color w:val="000000"/>
          <w:sz w:val="22"/>
          <w:szCs w:val="22"/>
          <w:u w:val="single"/>
        </w:rPr>
        <w:t>Žindymas</w:t>
      </w:r>
      <w:r>
        <w:rPr>
          <w:b/>
          <w:color w:val="000000"/>
          <w:sz w:val="22"/>
        </w:rPr>
        <w:t xml:space="preserve">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Ar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išsiskiria su motinos pienu, nežinoma. Kadangi į pelių pieną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ir (ar) jo metabolitų patenka, ir priklausomai nuo dozės sulėtėja jauniklių augimas (žr. 5.3 skyrių), maitinančioms krūtimi moterims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vartoti negalima.</w:t>
      </w:r>
    </w:p>
    <w:p w:rsidR="00955A5A" w:rsidRDefault="00955A5A" w:rsidP="00955A5A"/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</w:pPr>
      <w:r w:rsidRPr="00EB165F">
        <w:rPr>
          <w:b/>
          <w:kern w:val="28"/>
          <w:sz w:val="22"/>
        </w:rPr>
        <w:t>4.7</w:t>
      </w:r>
      <w:r>
        <w:rPr>
          <w:b/>
          <w:kern w:val="28"/>
          <w:sz w:val="22"/>
        </w:rPr>
        <w:tab/>
      </w:r>
      <w:r w:rsidRPr="00EB165F">
        <w:rPr>
          <w:b/>
          <w:kern w:val="28"/>
          <w:sz w:val="22"/>
        </w:rPr>
        <w:t>Poveikis gebėjimui vairuoti ir valdyti mechanizmus</w:t>
      </w:r>
    </w:p>
    <w:p w:rsidR="00955A5A" w:rsidRDefault="00955A5A" w:rsidP="00955A5A"/>
    <w:p w:rsidR="00955A5A" w:rsidRDefault="00955A5A" w:rsidP="00955A5A">
      <w:proofErr w:type="spellStart"/>
      <w:r w:rsidRPr="00EB165F">
        <w:rPr>
          <w:color w:val="000000"/>
          <w:sz w:val="22"/>
        </w:rPr>
        <w:t>Solifenacinas</w:t>
      </w:r>
      <w:proofErr w:type="spellEnd"/>
      <w:r w:rsidRPr="00EB165F">
        <w:rPr>
          <w:color w:val="000000"/>
          <w:sz w:val="22"/>
        </w:rPr>
        <w:t xml:space="preserve">, kaip ir kitokios </w:t>
      </w:r>
      <w:proofErr w:type="spellStart"/>
      <w:r w:rsidRPr="00EB165F">
        <w:rPr>
          <w:color w:val="000000"/>
          <w:sz w:val="22"/>
        </w:rPr>
        <w:t>anticholinerginės</w:t>
      </w:r>
      <w:proofErr w:type="spellEnd"/>
      <w:r w:rsidRPr="00EB165F">
        <w:rPr>
          <w:color w:val="000000"/>
          <w:sz w:val="22"/>
        </w:rPr>
        <w:t xml:space="preserve"> medžiagos, gali sutrikdyti regą (matoma lyg per miglą) bei nedažnai sukelti mieguistumą ir nuovargį (žr. 4.8 skyrių). Toks poveikis neigiamai veikia gebėjimą vairuoti ir valdyti mechanizmus.</w:t>
      </w:r>
    </w:p>
    <w:p w:rsidR="00955A5A" w:rsidRDefault="00955A5A" w:rsidP="00955A5A"/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</w:pPr>
      <w:r w:rsidRPr="00EB165F">
        <w:rPr>
          <w:b/>
          <w:kern w:val="28"/>
          <w:sz w:val="22"/>
        </w:rPr>
        <w:t>4.8</w:t>
      </w:r>
      <w:r>
        <w:rPr>
          <w:b/>
          <w:kern w:val="28"/>
          <w:sz w:val="22"/>
        </w:rPr>
        <w:tab/>
      </w:r>
      <w:r w:rsidRPr="00EB165F">
        <w:rPr>
          <w:b/>
          <w:kern w:val="28"/>
          <w:sz w:val="22"/>
        </w:rPr>
        <w:t>Nepageidaujamas poveikis</w:t>
      </w:r>
    </w:p>
    <w:p w:rsidR="00955A5A" w:rsidRDefault="00955A5A" w:rsidP="00955A5A"/>
    <w:p w:rsidR="00955A5A" w:rsidRDefault="00955A5A" w:rsidP="00955A5A">
      <w:pPr>
        <w:rPr>
          <w:sz w:val="22"/>
          <w:u w:val="single"/>
        </w:rPr>
      </w:pPr>
      <w:r>
        <w:rPr>
          <w:sz w:val="22"/>
          <w:u w:val="single"/>
        </w:rPr>
        <w:t>Saugumo duomenų santrauka</w:t>
      </w:r>
    </w:p>
    <w:p w:rsidR="00955A5A" w:rsidRDefault="00955A5A" w:rsidP="00955A5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Dėl farmakologinio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poveikio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gali sukelti nepageidaujamą </w:t>
      </w:r>
      <w:proofErr w:type="spellStart"/>
      <w:r>
        <w:rPr>
          <w:sz w:val="22"/>
          <w:szCs w:val="22"/>
        </w:rPr>
        <w:t>anticholinerginį</w:t>
      </w:r>
      <w:proofErr w:type="spellEnd"/>
      <w:r>
        <w:rPr>
          <w:sz w:val="22"/>
          <w:szCs w:val="22"/>
        </w:rPr>
        <w:t xml:space="preserve"> poveikį (paprastai lengvą arba vidutinio sunkumo). Nepageidaujamo </w:t>
      </w:r>
      <w:proofErr w:type="spellStart"/>
      <w:r>
        <w:rPr>
          <w:sz w:val="22"/>
          <w:szCs w:val="22"/>
        </w:rPr>
        <w:t>anticholinerginio</w:t>
      </w:r>
      <w:proofErr w:type="spellEnd"/>
      <w:r>
        <w:rPr>
          <w:sz w:val="22"/>
          <w:szCs w:val="22"/>
        </w:rPr>
        <w:t xml:space="preserve"> poveikio pasireiškimo dažnis priklauso nuo dozės. </w:t>
      </w:r>
    </w:p>
    <w:p w:rsidR="00955A5A" w:rsidRDefault="00955A5A" w:rsidP="00955A5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Dažniausiai sukeliama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nepageidaujama reakcija – burnos sausmė. Ji atsirado 11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 xml:space="preserve">% pacientų, gydytų </w:t>
      </w:r>
      <w:r>
        <w:rPr>
          <w:noProof/>
          <w:sz w:val="22"/>
          <w:szCs w:val="22"/>
        </w:rPr>
        <w:t>5 </w:t>
      </w:r>
      <w:r>
        <w:rPr>
          <w:sz w:val="22"/>
          <w:szCs w:val="22"/>
        </w:rPr>
        <w:t xml:space="preserve">mg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paros doze, 22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 xml:space="preserve">% ligonių, gydytų </w:t>
      </w:r>
      <w:r>
        <w:rPr>
          <w:noProof/>
          <w:sz w:val="22"/>
          <w:szCs w:val="22"/>
        </w:rPr>
        <w:t>10 </w:t>
      </w:r>
      <w:r>
        <w:rPr>
          <w:sz w:val="22"/>
          <w:szCs w:val="22"/>
        </w:rPr>
        <w:t>mg paros doze, ir 4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 xml:space="preserve">% </w:t>
      </w:r>
      <w:proofErr w:type="spellStart"/>
      <w:r>
        <w:rPr>
          <w:sz w:val="22"/>
          <w:szCs w:val="22"/>
        </w:rPr>
        <w:t>placebo</w:t>
      </w:r>
      <w:proofErr w:type="spellEnd"/>
      <w:r>
        <w:rPr>
          <w:sz w:val="22"/>
          <w:szCs w:val="22"/>
        </w:rPr>
        <w:t xml:space="preserve"> vartojusių žmonių. Burnos sausmė dažniausiai būdavo lengva ir tik retkarčiais dėl jos tekdavo nutraukti gydymą. Paprastai vaistinį preparatą pacientai toleravo labai gerai (maždaug </w:t>
      </w:r>
      <w:r>
        <w:rPr>
          <w:noProof/>
          <w:sz w:val="22"/>
          <w:szCs w:val="22"/>
        </w:rPr>
        <w:t>99 </w:t>
      </w:r>
      <w:r>
        <w:rPr>
          <w:sz w:val="22"/>
          <w:szCs w:val="22"/>
        </w:rPr>
        <w:t xml:space="preserve">%) ir maždaug </w:t>
      </w:r>
      <w:r>
        <w:rPr>
          <w:noProof/>
          <w:sz w:val="22"/>
          <w:szCs w:val="22"/>
        </w:rPr>
        <w:t>90 </w:t>
      </w:r>
      <w:r>
        <w:rPr>
          <w:sz w:val="22"/>
          <w:szCs w:val="22"/>
        </w:rPr>
        <w:t xml:space="preserve">%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vartojusių ligonių baigė visą 12 savaičių trukmės tyrimo periodą.</w:t>
      </w:r>
    </w:p>
    <w:p w:rsidR="00955A5A" w:rsidRDefault="00955A5A" w:rsidP="00955A5A">
      <w:pPr>
        <w:rPr>
          <w:sz w:val="22"/>
        </w:rPr>
      </w:pPr>
    </w:p>
    <w:p w:rsidR="00955A5A" w:rsidRDefault="00955A5A" w:rsidP="00955A5A">
      <w:pPr>
        <w:rPr>
          <w:sz w:val="22"/>
          <w:u w:val="single"/>
        </w:rPr>
      </w:pPr>
      <w:r>
        <w:rPr>
          <w:sz w:val="22"/>
          <w:u w:val="single"/>
        </w:rPr>
        <w:t>Nepageidaujamų reakcijų santrauka lentelėje</w:t>
      </w:r>
    </w:p>
    <w:p w:rsidR="00955A5A" w:rsidRDefault="00955A5A" w:rsidP="00955A5A">
      <w:pPr>
        <w:rPr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700"/>
        <w:gridCol w:w="900"/>
        <w:gridCol w:w="1258"/>
        <w:gridCol w:w="1418"/>
        <w:gridCol w:w="1417"/>
        <w:gridCol w:w="1276"/>
        <w:gridCol w:w="1559"/>
      </w:tblGrid>
      <w:tr w:rsidR="00955A5A" w:rsidTr="00C640DE">
        <w:trPr>
          <w:trHeight w:val="66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Pagal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MedDRA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klasifikaciją suskirstytos organų sistemų klasės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Labai dažni</w:t>
            </w:r>
          </w:p>
          <w:p w:rsidR="00955A5A" w:rsidRDefault="00955A5A" w:rsidP="00C640D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≥1/10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Dažni </w:t>
            </w:r>
          </w:p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nuo </w:t>
            </w:r>
            <w:r>
              <w:rPr>
                <w:b/>
                <w:sz w:val="22"/>
                <w:szCs w:val="22"/>
              </w:rPr>
              <w:t>≥</w:t>
            </w:r>
            <w:r>
              <w:rPr>
                <w:b/>
                <w:color w:val="000000"/>
                <w:sz w:val="22"/>
                <w:szCs w:val="22"/>
              </w:rPr>
              <w:t xml:space="preserve">1/100 iki &lt;1/10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Nedažni </w:t>
            </w:r>
          </w:p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nuo </w:t>
            </w:r>
            <w:r>
              <w:rPr>
                <w:b/>
                <w:sz w:val="22"/>
                <w:szCs w:val="22"/>
              </w:rPr>
              <w:t>≥</w:t>
            </w:r>
            <w:r>
              <w:rPr>
                <w:b/>
                <w:color w:val="000000"/>
                <w:sz w:val="22"/>
                <w:szCs w:val="22"/>
              </w:rPr>
              <w:t>1/1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 xml:space="preserve">000 </w:t>
            </w:r>
            <w:r>
              <w:rPr>
                <w:b/>
                <w:bCs/>
                <w:color w:val="000000"/>
                <w:sz w:val="22"/>
                <w:szCs w:val="22"/>
              </w:rPr>
              <w:t>iki</w:t>
            </w:r>
            <w:r>
              <w:rPr>
                <w:b/>
                <w:color w:val="000000"/>
                <w:sz w:val="22"/>
                <w:szCs w:val="22"/>
              </w:rPr>
              <w:t xml:space="preserve"> &lt;1/100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Reti </w:t>
            </w:r>
          </w:p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nuo </w:t>
            </w:r>
            <w:r>
              <w:rPr>
                <w:b/>
                <w:sz w:val="22"/>
                <w:szCs w:val="22"/>
              </w:rPr>
              <w:t>≥</w:t>
            </w:r>
            <w:r>
              <w:rPr>
                <w:b/>
                <w:color w:val="000000"/>
                <w:sz w:val="22"/>
                <w:szCs w:val="22"/>
              </w:rPr>
              <w:t xml:space="preserve"> 1/10 000 iki &lt;1/1 000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Labai reti</w:t>
            </w:r>
          </w:p>
          <w:p w:rsidR="00955A5A" w:rsidRDefault="00955A5A" w:rsidP="00C640DE">
            <w:r>
              <w:rPr>
                <w:b/>
                <w:sz w:val="22"/>
                <w:szCs w:val="22"/>
              </w:rPr>
              <w:t>&lt;1/10 000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Dažnis nežinomas (negali būti įvertintas pagal turimus duomenis</w:t>
            </w:r>
          </w:p>
        </w:tc>
      </w:tr>
      <w:tr w:rsidR="00955A5A" w:rsidTr="00C640DE">
        <w:trPr>
          <w:trHeight w:val="13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Infekcijos ir </w:t>
            </w:r>
            <w:proofErr w:type="spellStart"/>
            <w:r>
              <w:rPr>
                <w:color w:val="000000"/>
                <w:sz w:val="22"/>
                <w:szCs w:val="22"/>
              </w:rPr>
              <w:t>infestacijos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Šlapimo takų infekcija</w:t>
            </w:r>
          </w:p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Cistitas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55A5A" w:rsidTr="00C640DE">
        <w:trPr>
          <w:trHeight w:val="9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Imuninės sistemos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Anafilak-sinė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reakcija*</w:t>
            </w:r>
          </w:p>
        </w:tc>
      </w:tr>
      <w:tr w:rsidR="00955A5A" w:rsidTr="00C640DE">
        <w:trPr>
          <w:trHeight w:val="9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Metabolizmo ir mitybos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Sumažėjęs apetitas*</w:t>
            </w:r>
          </w:p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Hiper-kalemija</w:t>
            </w:r>
            <w:proofErr w:type="spellEnd"/>
            <w:r>
              <w:rPr>
                <w:color w:val="000000"/>
                <w:sz w:val="22"/>
                <w:szCs w:val="22"/>
              </w:rPr>
              <w:t>*</w:t>
            </w:r>
          </w:p>
        </w:tc>
      </w:tr>
      <w:tr w:rsidR="00955A5A" w:rsidTr="00C640DE">
        <w:trPr>
          <w:trHeight w:val="9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Psichikos sutrikimai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Haliucinacijos*</w:t>
            </w:r>
          </w:p>
          <w:p w:rsidR="00955A5A" w:rsidRDefault="00955A5A" w:rsidP="00C640DE">
            <w:r>
              <w:rPr>
                <w:noProof/>
                <w:sz w:val="22"/>
                <w:szCs w:val="22"/>
              </w:rPr>
              <w:t>Konfūzija</w:t>
            </w:r>
            <w:r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Delyras</w:t>
            </w:r>
            <w:proofErr w:type="spellEnd"/>
            <w:r>
              <w:rPr>
                <w:color w:val="000000"/>
                <w:sz w:val="22"/>
                <w:szCs w:val="22"/>
              </w:rPr>
              <w:t>*</w:t>
            </w:r>
          </w:p>
        </w:tc>
      </w:tr>
      <w:tr w:rsidR="00955A5A" w:rsidTr="00C640DE">
        <w:trPr>
          <w:trHeight w:val="66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Nervų sistemos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Mieguistumas </w:t>
            </w:r>
          </w:p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Disgeuzija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Galvos svaigimas*</w:t>
            </w:r>
          </w:p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Galvos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skausmas</w:t>
            </w:r>
            <w:proofErr w:type="spellEnd"/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55A5A" w:rsidTr="00C640DE">
        <w:trPr>
          <w:trHeight w:val="5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Akių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Matymas lyg per miglą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Akių sausmė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Glaukoma*</w:t>
            </w:r>
          </w:p>
        </w:tc>
      </w:tr>
      <w:tr w:rsidR="00955A5A" w:rsidTr="00C640DE">
        <w:trPr>
          <w:trHeight w:val="5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Širdies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TableTextLeft"/>
              <w:rPr>
                <w:i/>
                <w:szCs w:val="22"/>
                <w:lang w:val="lt-LT"/>
              </w:rPr>
            </w:pPr>
            <w:proofErr w:type="spellStart"/>
            <w:r>
              <w:rPr>
                <w:i/>
                <w:szCs w:val="22"/>
                <w:lang w:val="lt-LT"/>
              </w:rPr>
              <w:t>Torsade</w:t>
            </w:r>
            <w:proofErr w:type="spellEnd"/>
            <w:r>
              <w:rPr>
                <w:i/>
                <w:szCs w:val="22"/>
                <w:lang w:val="lt-LT"/>
              </w:rPr>
              <w:t xml:space="preserve"> de </w:t>
            </w:r>
            <w:proofErr w:type="spellStart"/>
            <w:r>
              <w:rPr>
                <w:i/>
                <w:szCs w:val="22"/>
                <w:lang w:val="lt-LT"/>
              </w:rPr>
              <w:t>Pointes</w:t>
            </w:r>
            <w:proofErr w:type="spellEnd"/>
            <w:r>
              <w:rPr>
                <w:i/>
                <w:szCs w:val="22"/>
                <w:lang w:val="lt-LT"/>
              </w:rPr>
              <w:t>*</w:t>
            </w:r>
          </w:p>
          <w:p w:rsidR="00955A5A" w:rsidRDefault="00955A5A" w:rsidP="00C640D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Pailgėjęs QT intervalas </w:t>
            </w:r>
            <w:proofErr w:type="spellStart"/>
            <w:r>
              <w:rPr>
                <w:sz w:val="22"/>
                <w:szCs w:val="22"/>
              </w:rPr>
              <w:t>elektro-kardio-gramoje</w:t>
            </w:r>
            <w:proofErr w:type="spellEnd"/>
            <w:r>
              <w:t>*</w:t>
            </w:r>
          </w:p>
          <w:p w:rsidR="00955A5A" w:rsidRPr="00902E24" w:rsidRDefault="00955A5A" w:rsidP="00C640DE">
            <w:pPr>
              <w:pStyle w:val="TableTextLeft"/>
              <w:rPr>
                <w:lang w:val="pt-PT"/>
              </w:rPr>
            </w:pPr>
            <w:r w:rsidRPr="00902E24">
              <w:rPr>
                <w:lang w:val="pt-PT"/>
              </w:rPr>
              <w:t>Prie</w:t>
            </w:r>
            <w:r w:rsidRPr="00902E24">
              <w:rPr>
                <w:lang w:val="lt-LT"/>
              </w:rPr>
              <w:t>širdžių virpėjimas</w:t>
            </w:r>
            <w:r w:rsidRPr="00902E24">
              <w:rPr>
                <w:lang w:val="pt-PT"/>
              </w:rPr>
              <w:t>*</w:t>
            </w:r>
          </w:p>
          <w:p w:rsidR="00955A5A" w:rsidRPr="00902E24" w:rsidRDefault="00955A5A" w:rsidP="00C640DE">
            <w:pPr>
              <w:pStyle w:val="TableTextLeft"/>
              <w:rPr>
                <w:lang w:val="pt-PT"/>
              </w:rPr>
            </w:pPr>
            <w:r w:rsidRPr="00902E24">
              <w:rPr>
                <w:lang w:val="pt-PT"/>
              </w:rPr>
              <w:t>Palpitacija*</w:t>
            </w:r>
          </w:p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2E24">
              <w:rPr>
                <w:lang w:val="pt-PT"/>
              </w:rPr>
              <w:t>Tachikardija*</w:t>
            </w:r>
          </w:p>
        </w:tc>
      </w:tr>
      <w:tr w:rsidR="00955A5A" w:rsidTr="00C640DE">
        <w:trPr>
          <w:trHeight w:val="5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Kvėpavimo sistemos, krūtinės ląstos ir tarpuplaučio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Nosies sausmė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Disfonija</w:t>
            </w:r>
            <w:proofErr w:type="spellEnd"/>
            <w:r>
              <w:rPr>
                <w:color w:val="000000"/>
                <w:sz w:val="22"/>
                <w:szCs w:val="22"/>
              </w:rPr>
              <w:t>*</w:t>
            </w:r>
          </w:p>
        </w:tc>
      </w:tr>
      <w:tr w:rsidR="00955A5A" w:rsidTr="00C640DE">
        <w:trPr>
          <w:trHeight w:val="66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Virškinimo trakto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Burnos sausmė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Vidurių užkietėji-</w:t>
            </w:r>
            <w:proofErr w:type="spellStart"/>
            <w:r>
              <w:rPr>
                <w:color w:val="000000"/>
                <w:sz w:val="22"/>
                <w:szCs w:val="22"/>
              </w:rPr>
              <w:t>mas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55A5A" w:rsidRDefault="00955A5A" w:rsidP="00C640DE">
            <w:r>
              <w:rPr>
                <w:sz w:val="22"/>
                <w:szCs w:val="22"/>
              </w:rPr>
              <w:lastRenderedPageBreak/>
              <w:t>Dispepsija</w:t>
            </w:r>
          </w:p>
          <w:p w:rsidR="00955A5A" w:rsidRDefault="00955A5A" w:rsidP="00C640DE">
            <w:r>
              <w:rPr>
                <w:sz w:val="22"/>
                <w:szCs w:val="22"/>
              </w:rPr>
              <w:t>Pilvo skausmas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Gastro-ezofaginio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refliukso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liga</w:t>
            </w:r>
          </w:p>
          <w:p w:rsidR="00955A5A" w:rsidRDefault="00955A5A" w:rsidP="00C640DE">
            <w:r>
              <w:rPr>
                <w:sz w:val="22"/>
                <w:szCs w:val="22"/>
              </w:rPr>
              <w:lastRenderedPageBreak/>
              <w:t>Ryklės sausmė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Gaubtinės žarnos obstrukcija</w:t>
            </w:r>
          </w:p>
          <w:p w:rsidR="00955A5A" w:rsidRDefault="00955A5A" w:rsidP="00C640DE">
            <w:r>
              <w:rPr>
                <w:sz w:val="22"/>
                <w:szCs w:val="22"/>
              </w:rPr>
              <w:lastRenderedPageBreak/>
              <w:t>Vidurių užkietėjimas</w:t>
            </w:r>
            <w:r>
              <w:rPr>
                <w:color w:val="000000"/>
                <w:sz w:val="22"/>
                <w:szCs w:val="22"/>
              </w:rPr>
              <w:t xml:space="preserve"> Vėmimas*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Žarnų nepraeina-</w:t>
            </w:r>
            <w:proofErr w:type="spellStart"/>
            <w:r>
              <w:rPr>
                <w:color w:val="000000"/>
                <w:sz w:val="22"/>
                <w:szCs w:val="22"/>
              </w:rPr>
              <w:t>mumas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*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Diskom</w:t>
            </w:r>
            <w:proofErr w:type="spellEnd"/>
            <w:r>
              <w:rPr>
                <w:color w:val="000000"/>
                <w:sz w:val="22"/>
                <w:szCs w:val="22"/>
              </w:rPr>
              <w:t>-forto pojūtis pilve*</w:t>
            </w:r>
          </w:p>
        </w:tc>
      </w:tr>
      <w:tr w:rsidR="00955A5A" w:rsidTr="00C640DE">
        <w:trPr>
          <w:trHeight w:val="5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>Kepenų, tulžies pūslės ir latakų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pStyle w:val="TableTextLeft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Kepenų veiklos sutrikimas*</w:t>
            </w:r>
          </w:p>
          <w:p w:rsidR="00955A5A" w:rsidRDefault="00955A5A" w:rsidP="00C640DE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>
              <w:rPr>
                <w:sz w:val="22"/>
                <w:szCs w:val="22"/>
              </w:rPr>
              <w:t>Sutrikę kepenų funkcijos tyrimų rodikliai*</w:t>
            </w:r>
          </w:p>
        </w:tc>
      </w:tr>
      <w:tr w:rsidR="00955A5A" w:rsidTr="00C640DE">
        <w:trPr>
          <w:trHeight w:val="5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Odos ir poodinio audinio sutrikimai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Odos sausmė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Niežėjmas</w:t>
            </w:r>
            <w:r>
              <w:rPr>
                <w:color w:val="000000"/>
                <w:sz w:val="22"/>
                <w:szCs w:val="22"/>
              </w:rPr>
              <w:t>*</w:t>
            </w:r>
          </w:p>
          <w:p w:rsidR="00955A5A" w:rsidRDefault="00955A5A" w:rsidP="00C640DE">
            <w:r>
              <w:rPr>
                <w:noProof/>
                <w:sz w:val="22"/>
                <w:szCs w:val="22"/>
              </w:rPr>
              <w:t>Bėr</w:t>
            </w:r>
            <w:proofErr w:type="spellStart"/>
            <w:r>
              <w:rPr>
                <w:sz w:val="22"/>
                <w:szCs w:val="22"/>
              </w:rPr>
              <w:t>imas</w:t>
            </w:r>
            <w:proofErr w:type="spellEnd"/>
            <w:r>
              <w:rPr>
                <w:sz w:val="22"/>
                <w:szCs w:val="22"/>
              </w:rPr>
              <w:t>*</w:t>
            </w:r>
          </w:p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Daugiaformė eritema*</w:t>
            </w:r>
          </w:p>
          <w:p w:rsidR="00955A5A" w:rsidRDefault="00955A5A" w:rsidP="00C640DE">
            <w:r>
              <w:rPr>
                <w:sz w:val="22"/>
                <w:szCs w:val="22"/>
              </w:rPr>
              <w:t>Dilgėlinė*</w:t>
            </w:r>
          </w:p>
          <w:p w:rsidR="00955A5A" w:rsidRDefault="00955A5A" w:rsidP="00C640DE">
            <w:proofErr w:type="spellStart"/>
            <w:r>
              <w:rPr>
                <w:sz w:val="22"/>
                <w:szCs w:val="22"/>
              </w:rPr>
              <w:t>Angioneu-rozinė</w:t>
            </w:r>
            <w:proofErr w:type="spellEnd"/>
            <w:r>
              <w:rPr>
                <w:sz w:val="22"/>
                <w:szCs w:val="22"/>
              </w:rPr>
              <w:t xml:space="preserve"> edema*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proofErr w:type="spellStart"/>
            <w:r>
              <w:rPr>
                <w:sz w:val="22"/>
                <w:szCs w:val="22"/>
              </w:rPr>
              <w:t>Eksfolia-cinis</w:t>
            </w:r>
            <w:proofErr w:type="spellEnd"/>
            <w:r>
              <w:rPr>
                <w:sz w:val="22"/>
                <w:szCs w:val="22"/>
              </w:rPr>
              <w:t xml:space="preserve"> dermatitas*</w:t>
            </w:r>
          </w:p>
        </w:tc>
      </w:tr>
      <w:tr w:rsidR="00955A5A" w:rsidTr="00C640DE">
        <w:trPr>
          <w:trHeight w:val="5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Skeleto, raumenų ir jungiamojo audinio sutrikimai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Raumenų silpnumas*</w:t>
            </w:r>
          </w:p>
        </w:tc>
      </w:tr>
      <w:tr w:rsidR="00955A5A" w:rsidTr="00C640DE">
        <w:trPr>
          <w:trHeight w:val="5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Inkstų ir šlapimo takų sutrikimai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rPr>
                <w:color w:val="000000"/>
              </w:rPr>
            </w:pPr>
          </w:p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rPr>
                <w:color w:val="000000"/>
              </w:rPr>
            </w:pPr>
          </w:p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Pasunkėjęs </w:t>
            </w:r>
            <w:proofErr w:type="spellStart"/>
            <w:r>
              <w:rPr>
                <w:color w:val="000000"/>
                <w:sz w:val="22"/>
                <w:szCs w:val="22"/>
              </w:rPr>
              <w:t>šlapinimasis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Šlapimo </w:t>
            </w:r>
            <w:r>
              <w:rPr>
                <w:noProof/>
                <w:color w:val="000000"/>
                <w:sz w:val="22"/>
                <w:szCs w:val="22"/>
              </w:rPr>
              <w:t>susilaikymas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Inkstų nepakanka-</w:t>
            </w:r>
            <w:proofErr w:type="spellStart"/>
            <w:r>
              <w:rPr>
                <w:color w:val="000000"/>
                <w:sz w:val="22"/>
                <w:szCs w:val="22"/>
              </w:rPr>
              <w:t>mumas</w:t>
            </w:r>
            <w:proofErr w:type="spellEnd"/>
            <w:r>
              <w:rPr>
                <w:color w:val="000000"/>
                <w:sz w:val="22"/>
                <w:szCs w:val="22"/>
              </w:rPr>
              <w:t>*</w:t>
            </w:r>
          </w:p>
        </w:tc>
      </w:tr>
      <w:tr w:rsidR="00955A5A" w:rsidTr="00C640DE">
        <w:trPr>
          <w:trHeight w:val="66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Bendri sutrikimai ir vartojimo vietos pažeidimai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Nuovargis </w:t>
            </w:r>
          </w:p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Periferinė edema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>* pastebėti po vaist</w:t>
      </w:r>
      <w:r>
        <w:rPr>
          <w:noProof/>
          <w:sz w:val="22"/>
          <w:szCs w:val="22"/>
        </w:rPr>
        <w:t>inio preparat</w:t>
      </w:r>
      <w:r>
        <w:rPr>
          <w:sz w:val="22"/>
          <w:szCs w:val="22"/>
        </w:rPr>
        <w:t>o patekimo į rinką.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>Pranešimas apie įtariamas nepageidaujamas reakcijas</w:t>
      </w:r>
    </w:p>
    <w:p w:rsidR="00955A5A" w:rsidRDefault="00955A5A" w:rsidP="00955A5A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Svarbu pranešti apie įtariamas nepageidaujamas reakcijas, pastebėtas po vaistinio preparato pateikimo į rinką, nes tai leidžia nuolat stebėti vaistinio preparato naudos ir rizikos santykį.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Sveikatos priežiūros specialistai turi pranešti apie bet kokias įtariamas nepageidaujamas reakcijas, užpildę interneto svetainėje http://</w:t>
      </w:r>
      <w:hyperlink r:id="rId11" w:history="1">
        <w:r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>
        <w:rPr>
          <w:noProof/>
          <w:sz w:val="22"/>
          <w:szCs w:val="22"/>
        </w:rPr>
        <w:t xml:space="preserve">/ esančią formą, ir atsiųsti ją paštu Valstybinei vaistų kontrolės tarnybai prie Lietuvos Respublikos sveikatos apsaugos ministerijos, Žirmūnų g. 139A, LT 09120 Vilnius, faksu 8 800 20131 arba el. paštu </w:t>
      </w:r>
      <w:hyperlink r:id="rId12" w:history="1">
        <w:r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>
        <w:rPr>
          <w:noProof/>
          <w:sz w:val="22"/>
          <w:szCs w:val="22"/>
        </w:rPr>
        <w:t>.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4.9</w:t>
      </w:r>
      <w:r>
        <w:rPr>
          <w:b/>
          <w:iCs/>
          <w:kern w:val="28"/>
          <w:sz w:val="22"/>
          <w:szCs w:val="22"/>
        </w:rPr>
        <w:tab/>
        <w:t>Perdozavimas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>Simptomai</w:t>
      </w:r>
    </w:p>
    <w:p w:rsidR="00955A5A" w:rsidRDefault="00955A5A" w:rsidP="00955A5A">
      <w:pPr>
        <w:rPr>
          <w:sz w:val="22"/>
        </w:rPr>
      </w:pPr>
      <w:r>
        <w:rPr>
          <w:sz w:val="22"/>
          <w:szCs w:val="22"/>
        </w:rPr>
        <w:t xml:space="preserve">Perdozavus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</w:rPr>
        <w:t>sukcinato</w:t>
      </w:r>
      <w:proofErr w:type="spellEnd"/>
      <w:r>
        <w:rPr>
          <w:sz w:val="22"/>
        </w:rPr>
        <w:t xml:space="preserve"> gali pasireikšti ūmus </w:t>
      </w:r>
      <w:proofErr w:type="spellStart"/>
      <w:r>
        <w:rPr>
          <w:sz w:val="22"/>
        </w:rPr>
        <w:t>antichlolinerginis</w:t>
      </w:r>
      <w:proofErr w:type="spellEnd"/>
      <w:r>
        <w:rPr>
          <w:sz w:val="22"/>
        </w:rPr>
        <w:t xml:space="preserve"> poveikis. Didžiausia atsitiktinai pacientui duota </w:t>
      </w:r>
      <w:proofErr w:type="spellStart"/>
      <w:r>
        <w:rPr>
          <w:sz w:val="22"/>
        </w:rPr>
        <w:t>solifenacino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sukcinato</w:t>
      </w:r>
      <w:proofErr w:type="spellEnd"/>
      <w:r>
        <w:rPr>
          <w:sz w:val="22"/>
        </w:rPr>
        <w:t xml:space="preserve"> dozė buvo 2</w:t>
      </w:r>
      <w:r>
        <w:rPr>
          <w:noProof/>
          <w:sz w:val="22"/>
          <w:szCs w:val="22"/>
        </w:rPr>
        <w:t>8</w:t>
      </w:r>
      <w:r>
        <w:rPr>
          <w:sz w:val="22"/>
        </w:rPr>
        <w:t>0</w:t>
      </w:r>
      <w:r>
        <w:rPr>
          <w:noProof/>
          <w:sz w:val="22"/>
          <w:szCs w:val="22"/>
        </w:rPr>
        <w:t> </w:t>
      </w:r>
      <w:r>
        <w:rPr>
          <w:sz w:val="22"/>
        </w:rPr>
        <w:t>mg per 5 valandas. Ši dozė sąlygojo psichikos būklės pakitimus, tačiau dėl to paciento hospitalizuoti neprireikė.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>Gydymas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Perdozavus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</w:rPr>
        <w:t>sukcinato</w:t>
      </w:r>
      <w:proofErr w:type="spellEnd"/>
      <w:r>
        <w:rPr>
          <w:sz w:val="22"/>
        </w:rPr>
        <w:t xml:space="preserve">, pacientą reikia gydyti aktyvinta anglimi. Galima plauti skrandį (jeigu nepraėjo daugiau kaip 1 valanda), bet draudžiama sukelti vėmimą. </w:t>
      </w: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Apsinuodijus šiuo </w:t>
      </w:r>
      <w:r>
        <w:rPr>
          <w:noProof/>
          <w:color w:val="000000"/>
          <w:sz w:val="22"/>
          <w:szCs w:val="22"/>
        </w:rPr>
        <w:t>vaistiniu prepara</w:t>
      </w:r>
      <w:r>
        <w:rPr>
          <w:color w:val="000000"/>
          <w:sz w:val="22"/>
          <w:szCs w:val="22"/>
        </w:rPr>
        <w:t xml:space="preserve">tu, kaip ir kitokiais </w:t>
      </w:r>
      <w:proofErr w:type="spellStart"/>
      <w:r>
        <w:rPr>
          <w:color w:val="000000"/>
          <w:sz w:val="22"/>
          <w:szCs w:val="22"/>
        </w:rPr>
        <w:t>anticholinerginiais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 xml:space="preserve">vaistiniais </w:t>
      </w:r>
      <w:r>
        <w:rPr>
          <w:color w:val="000000"/>
          <w:sz w:val="22"/>
          <w:szCs w:val="22"/>
        </w:rPr>
        <w:t>preparatais, galimas toliau nurodytas simptominis gydymas:</w:t>
      </w:r>
    </w:p>
    <w:p w:rsidR="00955A5A" w:rsidRDefault="00955A5A" w:rsidP="00955A5A">
      <w:pPr>
        <w:autoSpaceDE w:val="0"/>
        <w:autoSpaceDN w:val="0"/>
        <w:adjustRightInd w:val="0"/>
        <w:ind w:left="357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unkų centrinį </w:t>
      </w:r>
      <w:proofErr w:type="spellStart"/>
      <w:r>
        <w:rPr>
          <w:color w:val="000000"/>
          <w:sz w:val="22"/>
          <w:szCs w:val="22"/>
        </w:rPr>
        <w:t>anticholinerginį</w:t>
      </w:r>
      <w:proofErr w:type="spellEnd"/>
      <w:r>
        <w:rPr>
          <w:color w:val="000000"/>
          <w:sz w:val="22"/>
          <w:szCs w:val="22"/>
        </w:rPr>
        <w:t xml:space="preserve"> poveikį, pvz., haliucinacijas ar stiprų susijaudinimą, gydyti </w:t>
      </w:r>
      <w:proofErr w:type="spellStart"/>
      <w:r>
        <w:rPr>
          <w:color w:val="000000"/>
          <w:sz w:val="22"/>
          <w:szCs w:val="22"/>
        </w:rPr>
        <w:t>fizostigminu</w:t>
      </w:r>
      <w:proofErr w:type="spellEnd"/>
      <w:r>
        <w:rPr>
          <w:color w:val="000000"/>
          <w:sz w:val="22"/>
          <w:szCs w:val="22"/>
        </w:rPr>
        <w:t xml:space="preserve"> ar </w:t>
      </w:r>
      <w:proofErr w:type="spellStart"/>
      <w:r>
        <w:rPr>
          <w:color w:val="000000"/>
          <w:sz w:val="22"/>
          <w:szCs w:val="22"/>
        </w:rPr>
        <w:t>karbacholi</w:t>
      </w:r>
      <w:r>
        <w:rPr>
          <w:noProof/>
          <w:color w:val="000000"/>
          <w:sz w:val="22"/>
          <w:szCs w:val="22"/>
        </w:rPr>
        <w:t>u</w:t>
      </w:r>
      <w:proofErr w:type="spellEnd"/>
      <w:r>
        <w:rPr>
          <w:noProof/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t>t</w:t>
      </w:r>
      <w:r>
        <w:rPr>
          <w:sz w:val="22"/>
          <w:szCs w:val="22"/>
        </w:rPr>
        <w:t>raukulius ar stiprų susijaudinimą gydyti benzodiazepinais</w:t>
      </w:r>
      <w:r>
        <w:rPr>
          <w:noProof/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t>e</w:t>
      </w:r>
      <w:r>
        <w:rPr>
          <w:sz w:val="22"/>
          <w:szCs w:val="22"/>
        </w:rPr>
        <w:t>sant kvėpavimo nepakankamumui, taikyti dirbtinį kvėpavimą</w:t>
      </w:r>
      <w:r>
        <w:rPr>
          <w:noProof/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proofErr w:type="spellStart"/>
      <w:r>
        <w:rPr>
          <w:noProof/>
          <w:sz w:val="22"/>
          <w:szCs w:val="22"/>
        </w:rPr>
        <w:t>t</w:t>
      </w:r>
      <w:r>
        <w:rPr>
          <w:sz w:val="22"/>
          <w:szCs w:val="22"/>
        </w:rPr>
        <w:t>achikardiją</w:t>
      </w:r>
      <w:proofErr w:type="spellEnd"/>
      <w:r>
        <w:rPr>
          <w:sz w:val="22"/>
          <w:szCs w:val="22"/>
        </w:rPr>
        <w:t xml:space="preserve"> šalinti beta blokatoriais</w:t>
      </w:r>
      <w:r>
        <w:rPr>
          <w:noProof/>
          <w:sz w:val="22"/>
          <w:szCs w:val="22"/>
        </w:rPr>
        <w:t>;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t>a</w:t>
      </w:r>
      <w:r>
        <w:rPr>
          <w:sz w:val="22"/>
          <w:szCs w:val="22"/>
        </w:rPr>
        <w:t xml:space="preserve">tsiradus šlapimo susilaikymui – </w:t>
      </w:r>
      <w:proofErr w:type="spellStart"/>
      <w:r>
        <w:rPr>
          <w:sz w:val="22"/>
          <w:szCs w:val="22"/>
        </w:rPr>
        <w:t>kateterizuoti</w:t>
      </w:r>
      <w:proofErr w:type="spellEnd"/>
      <w:r>
        <w:rPr>
          <w:noProof/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proofErr w:type="spellStart"/>
      <w:r>
        <w:rPr>
          <w:noProof/>
          <w:sz w:val="22"/>
          <w:szCs w:val="22"/>
        </w:rPr>
        <w:t>m</w:t>
      </w:r>
      <w:r>
        <w:rPr>
          <w:sz w:val="22"/>
          <w:szCs w:val="22"/>
        </w:rPr>
        <w:t>idriazę</w:t>
      </w:r>
      <w:proofErr w:type="spellEnd"/>
      <w:r>
        <w:rPr>
          <w:sz w:val="22"/>
          <w:szCs w:val="22"/>
        </w:rPr>
        <w:t xml:space="preserve"> gydyti </w:t>
      </w:r>
      <w:proofErr w:type="spellStart"/>
      <w:r>
        <w:rPr>
          <w:sz w:val="22"/>
          <w:szCs w:val="22"/>
        </w:rPr>
        <w:t>pilokarpino</w:t>
      </w:r>
      <w:proofErr w:type="spellEnd"/>
      <w:r>
        <w:rPr>
          <w:sz w:val="22"/>
          <w:szCs w:val="22"/>
        </w:rPr>
        <w:t xml:space="preserve"> akių lašais ir (ar) perkelti pacientą į tamsią patalpą.</w:t>
      </w:r>
    </w:p>
    <w:p w:rsidR="00955A5A" w:rsidRDefault="00955A5A" w:rsidP="00955A5A">
      <w:pPr>
        <w:tabs>
          <w:tab w:val="left" w:pos="360"/>
        </w:tabs>
        <w:rPr>
          <w:sz w:val="22"/>
          <w:szCs w:val="22"/>
        </w:rPr>
      </w:pPr>
    </w:p>
    <w:p w:rsidR="00955A5A" w:rsidRDefault="00955A5A" w:rsidP="00955A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Perdozavus </w:t>
      </w: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 xml:space="preserve">, kaip ir kitų </w:t>
      </w:r>
      <w:proofErr w:type="spellStart"/>
      <w:r>
        <w:rPr>
          <w:color w:val="000000"/>
          <w:sz w:val="22"/>
          <w:szCs w:val="22"/>
        </w:rPr>
        <w:t>antimuskarininių</w:t>
      </w:r>
      <w:proofErr w:type="spellEnd"/>
      <w:r>
        <w:rPr>
          <w:color w:val="000000"/>
          <w:sz w:val="22"/>
          <w:szCs w:val="22"/>
        </w:rPr>
        <w:t xml:space="preserve"> medžiagų, ypatingą dėmesį reikia skirti ligoniams, kuriems yra pailgėjusio QT intervalo rizika (kai yra </w:t>
      </w:r>
      <w:proofErr w:type="spellStart"/>
      <w:r>
        <w:rPr>
          <w:color w:val="000000"/>
          <w:sz w:val="22"/>
          <w:szCs w:val="22"/>
        </w:rPr>
        <w:t>hipokalemija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bradikardija</w:t>
      </w:r>
      <w:proofErr w:type="spellEnd"/>
      <w:r>
        <w:rPr>
          <w:color w:val="000000"/>
          <w:sz w:val="22"/>
          <w:szCs w:val="22"/>
        </w:rPr>
        <w:t xml:space="preserve"> ir tuo pačiu metu vartojama vaistinių preparatų, ilginančių QT intervalą), ir tokiems žmonėms, kurie prieš pradėdami vartoti </w:t>
      </w: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>, sirgo tiesiogiai susijusiomis širdies ligomis (</w:t>
      </w:r>
      <w:proofErr w:type="spellStart"/>
      <w:r>
        <w:rPr>
          <w:color w:val="000000"/>
          <w:sz w:val="22"/>
          <w:szCs w:val="22"/>
        </w:rPr>
        <w:t>t.y</w:t>
      </w:r>
      <w:proofErr w:type="spellEnd"/>
      <w:r>
        <w:rPr>
          <w:color w:val="000000"/>
          <w:sz w:val="22"/>
          <w:szCs w:val="22"/>
        </w:rPr>
        <w:t xml:space="preserve">., išemine širdies liga, aritmija, </w:t>
      </w:r>
      <w:proofErr w:type="spellStart"/>
      <w:r>
        <w:rPr>
          <w:color w:val="000000"/>
          <w:sz w:val="22"/>
          <w:szCs w:val="22"/>
        </w:rPr>
        <w:t>staziniu</w:t>
      </w:r>
      <w:proofErr w:type="spellEnd"/>
      <w:r>
        <w:rPr>
          <w:color w:val="000000"/>
          <w:sz w:val="22"/>
          <w:szCs w:val="22"/>
        </w:rPr>
        <w:t xml:space="preserve"> širdies nepakankamumu).</w:t>
      </w:r>
    </w:p>
    <w:p w:rsidR="00955A5A" w:rsidRDefault="00955A5A" w:rsidP="00955A5A">
      <w:pPr>
        <w:rPr>
          <w:color w:val="000000"/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>FARMAKOLOGINĖS SAVYBĖS</w:t>
      </w:r>
    </w:p>
    <w:p w:rsidR="00955A5A" w:rsidRDefault="00955A5A" w:rsidP="00955A5A">
      <w:pPr>
        <w:keepNext/>
        <w:rPr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noProof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5.1</w:t>
      </w:r>
      <w:r>
        <w:rPr>
          <w:b/>
          <w:iCs/>
          <w:kern w:val="28"/>
          <w:sz w:val="22"/>
          <w:szCs w:val="22"/>
        </w:rPr>
        <w:tab/>
      </w:r>
      <w:proofErr w:type="spellStart"/>
      <w:r>
        <w:rPr>
          <w:b/>
          <w:iCs/>
          <w:kern w:val="28"/>
          <w:sz w:val="22"/>
          <w:szCs w:val="22"/>
        </w:rPr>
        <w:t>Farmakodinaminės</w:t>
      </w:r>
      <w:proofErr w:type="spellEnd"/>
      <w:r>
        <w:rPr>
          <w:b/>
          <w:iCs/>
          <w:kern w:val="28"/>
          <w:sz w:val="22"/>
          <w:szCs w:val="22"/>
        </w:rPr>
        <w:t xml:space="preserve"> savybės</w:t>
      </w: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Farmakoterapinė</w:t>
      </w:r>
      <w:proofErr w:type="spellEnd"/>
      <w:r>
        <w:rPr>
          <w:sz w:val="22"/>
          <w:szCs w:val="22"/>
        </w:rPr>
        <w:t xml:space="preserve"> grupė – urologiniai </w:t>
      </w:r>
      <w:proofErr w:type="spellStart"/>
      <w:r>
        <w:rPr>
          <w:sz w:val="22"/>
          <w:szCs w:val="22"/>
        </w:rPr>
        <w:t>antispazminiai</w:t>
      </w:r>
      <w:proofErr w:type="spellEnd"/>
      <w:r>
        <w:rPr>
          <w:sz w:val="22"/>
          <w:szCs w:val="22"/>
        </w:rPr>
        <w:t xml:space="preserve"> vaistai, ATC kodas – G04B D08. 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 xml:space="preserve">Veikimo mechanizmas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Solifenacinas</w:t>
      </w:r>
      <w:proofErr w:type="spellEnd"/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sym w:font="Symbol" w:char="F02D"/>
      </w:r>
      <w:r>
        <w:rPr>
          <w:sz w:val="22"/>
          <w:szCs w:val="22"/>
        </w:rPr>
        <w:t xml:space="preserve"> konkurencinis, specifinis </w:t>
      </w:r>
      <w:proofErr w:type="spellStart"/>
      <w:r>
        <w:rPr>
          <w:sz w:val="22"/>
          <w:szCs w:val="22"/>
        </w:rPr>
        <w:t>cholin</w:t>
      </w:r>
      <w:r>
        <w:rPr>
          <w:noProof/>
          <w:sz w:val="22"/>
          <w:szCs w:val="22"/>
        </w:rPr>
        <w:t>erginių</w:t>
      </w:r>
      <w:proofErr w:type="spellEnd"/>
      <w:r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 xml:space="preserve">receptorių antagonistas.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Šlapimo pūslę </w:t>
      </w:r>
      <w:proofErr w:type="spellStart"/>
      <w:r>
        <w:rPr>
          <w:sz w:val="22"/>
          <w:szCs w:val="22"/>
        </w:rPr>
        <w:t>inervuoja</w:t>
      </w:r>
      <w:proofErr w:type="spellEnd"/>
      <w:r>
        <w:rPr>
          <w:sz w:val="22"/>
          <w:szCs w:val="22"/>
        </w:rPr>
        <w:t xml:space="preserve"> parasimpatiniai </w:t>
      </w:r>
      <w:proofErr w:type="spellStart"/>
      <w:r>
        <w:rPr>
          <w:sz w:val="22"/>
          <w:szCs w:val="22"/>
        </w:rPr>
        <w:t>cholinerginiai</w:t>
      </w:r>
      <w:proofErr w:type="spellEnd"/>
      <w:r>
        <w:rPr>
          <w:sz w:val="22"/>
          <w:szCs w:val="22"/>
        </w:rPr>
        <w:t xml:space="preserve"> nervai. </w:t>
      </w:r>
      <w:proofErr w:type="spellStart"/>
      <w:r>
        <w:rPr>
          <w:sz w:val="22"/>
          <w:szCs w:val="22"/>
        </w:rPr>
        <w:t>Acetilcholinas</w:t>
      </w:r>
      <w:proofErr w:type="spellEnd"/>
      <w:r>
        <w:rPr>
          <w:sz w:val="22"/>
          <w:szCs w:val="22"/>
        </w:rPr>
        <w:t xml:space="preserve">, veikdamas </w:t>
      </w:r>
      <w:proofErr w:type="spellStart"/>
      <w:r>
        <w:rPr>
          <w:sz w:val="22"/>
          <w:szCs w:val="22"/>
        </w:rPr>
        <w:t>muskarininius</w:t>
      </w:r>
      <w:proofErr w:type="spellEnd"/>
      <w:r>
        <w:rPr>
          <w:sz w:val="22"/>
          <w:szCs w:val="22"/>
        </w:rPr>
        <w:t xml:space="preserve"> receptorius (daugiausia M3 potipio), sutraukia šlapimo pūslės lygiuosius raumenis (</w:t>
      </w:r>
      <w:proofErr w:type="spellStart"/>
      <w:r>
        <w:rPr>
          <w:sz w:val="22"/>
          <w:szCs w:val="22"/>
        </w:rPr>
        <w:t>detrusorių</w:t>
      </w:r>
      <w:proofErr w:type="spellEnd"/>
      <w:r>
        <w:rPr>
          <w:sz w:val="22"/>
          <w:szCs w:val="22"/>
        </w:rPr>
        <w:t xml:space="preserve">). Farmakologinių tyrimų, atliktų </w:t>
      </w:r>
      <w:r>
        <w:rPr>
          <w:i/>
          <w:noProof/>
          <w:sz w:val="22"/>
          <w:szCs w:val="22"/>
        </w:rPr>
        <w:t>in vitro</w:t>
      </w:r>
      <w:r>
        <w:rPr>
          <w:sz w:val="22"/>
          <w:szCs w:val="22"/>
        </w:rPr>
        <w:t xml:space="preserve"> ir </w:t>
      </w:r>
      <w:r>
        <w:rPr>
          <w:i/>
          <w:noProof/>
          <w:sz w:val="22"/>
          <w:szCs w:val="22"/>
        </w:rPr>
        <w:t>in vivo</w:t>
      </w:r>
      <w:r>
        <w:rPr>
          <w:sz w:val="22"/>
          <w:szCs w:val="22"/>
        </w:rPr>
        <w:t xml:space="preserve">, rezultatai parodė, kad </w:t>
      </w:r>
      <w:proofErr w:type="spellStart"/>
      <w:r>
        <w:rPr>
          <w:sz w:val="22"/>
          <w:szCs w:val="22"/>
        </w:rPr>
        <w:t>solifenacinas</w:t>
      </w:r>
      <w:proofErr w:type="spellEnd"/>
      <w:r>
        <w:rPr>
          <w:sz w:val="22"/>
          <w:szCs w:val="22"/>
        </w:rPr>
        <w:t xml:space="preserve"> yra </w:t>
      </w:r>
      <w:proofErr w:type="spellStart"/>
      <w:r>
        <w:rPr>
          <w:sz w:val="22"/>
          <w:szCs w:val="22"/>
        </w:rPr>
        <w:t>muskarininių</w:t>
      </w:r>
      <w:proofErr w:type="spellEnd"/>
      <w:r>
        <w:rPr>
          <w:sz w:val="22"/>
          <w:szCs w:val="22"/>
        </w:rPr>
        <w:t xml:space="preserve"> M3 receptorių konkurencinis inhibitorius. Be to, nustatyta, kad jis yra specifinis </w:t>
      </w:r>
      <w:proofErr w:type="spellStart"/>
      <w:r>
        <w:rPr>
          <w:sz w:val="22"/>
          <w:szCs w:val="22"/>
        </w:rPr>
        <w:t>muskarininių</w:t>
      </w:r>
      <w:proofErr w:type="spellEnd"/>
      <w:r>
        <w:rPr>
          <w:sz w:val="22"/>
          <w:szCs w:val="22"/>
        </w:rPr>
        <w:t xml:space="preserve"> receptorių antagonistas, turintis mažą </w:t>
      </w:r>
      <w:proofErr w:type="spellStart"/>
      <w:r>
        <w:rPr>
          <w:sz w:val="22"/>
          <w:szCs w:val="22"/>
        </w:rPr>
        <w:t>afinitetą</w:t>
      </w:r>
      <w:proofErr w:type="spellEnd"/>
      <w:r>
        <w:rPr>
          <w:sz w:val="22"/>
          <w:szCs w:val="22"/>
        </w:rPr>
        <w:t xml:space="preserve"> (arba visai jo neturintis) įvairiems kitokiems receptoriams ir jonų kanalams. 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Farmakodinaminis</w:t>
      </w:r>
      <w:proofErr w:type="spellEnd"/>
      <w:r>
        <w:rPr>
          <w:sz w:val="22"/>
          <w:szCs w:val="22"/>
          <w:u w:val="single"/>
        </w:rPr>
        <w:t xml:space="preserve"> poveikis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poveikis skiriant 5 mg ir 10 mg dozes buvo ištirtas atlikus keletą dvigubai koduotų, atsitiktinės atrankos, kontroliuojamųjų klinikinių tyrimų, kuriuose dalyvavo vyrai ir moterys, kuriems buvo padidėjęs šlapimo pūslė aktyvumas.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Toliau esančioje lentelėje parodyta, kad vertinant pagrindinę ir antrinę vertinamąją baigtį ir </w:t>
      </w:r>
      <w:r>
        <w:rPr>
          <w:noProof/>
          <w:sz w:val="22"/>
          <w:szCs w:val="22"/>
        </w:rPr>
        <w:t>5 </w:t>
      </w:r>
      <w:r>
        <w:rPr>
          <w:sz w:val="22"/>
          <w:szCs w:val="22"/>
        </w:rPr>
        <w:t>mg, ir 10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 xml:space="preserve">mg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dozės sukėlė statistiškai reikšmingą pagerėjimą palyginus su </w:t>
      </w:r>
      <w:proofErr w:type="spellStart"/>
      <w:r>
        <w:rPr>
          <w:sz w:val="22"/>
          <w:szCs w:val="22"/>
        </w:rPr>
        <w:t>placebu</w:t>
      </w:r>
      <w:proofErr w:type="spellEnd"/>
      <w:r>
        <w:rPr>
          <w:sz w:val="22"/>
          <w:szCs w:val="22"/>
        </w:rPr>
        <w:t xml:space="preserve">. Vaisto poveikis pasireiškė per vieną savaitę nuo gydymo pradžios ir išliko stabilus 12 savaičių. Ilgalaikio atviro tyrimo rezultatai parodė, kad veiksmingumas išlieka ne mažiau kaip 12 mėnesių. Po 12 gydymo </w:t>
      </w:r>
      <w:proofErr w:type="spellStart"/>
      <w:r>
        <w:rPr>
          <w:sz w:val="22"/>
          <w:szCs w:val="22"/>
        </w:rPr>
        <w:t>solifenacinu</w:t>
      </w:r>
      <w:proofErr w:type="spellEnd"/>
      <w:r>
        <w:rPr>
          <w:sz w:val="22"/>
          <w:szCs w:val="22"/>
        </w:rPr>
        <w:t xml:space="preserve"> savaičių maždaug 50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 xml:space="preserve">% pacientų, kurie iki gydymo kentėjo nuo šlapimo nelaikymo, šlapimo nelaikymo epizodų nepasireiškė. Be to, </w:t>
      </w:r>
      <w:r>
        <w:rPr>
          <w:noProof/>
          <w:sz w:val="22"/>
          <w:szCs w:val="22"/>
        </w:rPr>
        <w:t>35 </w:t>
      </w:r>
      <w:r>
        <w:rPr>
          <w:sz w:val="22"/>
          <w:szCs w:val="22"/>
        </w:rPr>
        <w:t>% ligonių pradėjo šlapintis rečiau kaip 8 kartus per parą. Padidėjusio šlapimo pūslės aktyvumo simptomų gydymas taip pat turėjo teigiamos įtakos daugeliui gyvenimo kokybės rodiklių: pagerino bendrąją savijautą, dėl šlapimo nelaikymo apribotą visuomeninę, fizinę ir socialinę veiklą, pagerino emocijas, palengvino ligos simptomus ir sunkumo rodiklius, pagerino miegą ir energijos pojūtį.</w:t>
      </w:r>
    </w:p>
    <w:p w:rsidR="00955A5A" w:rsidRDefault="00955A5A" w:rsidP="00955A5A">
      <w:pPr>
        <w:rPr>
          <w:i/>
          <w:noProof/>
          <w:sz w:val="22"/>
          <w:szCs w:val="22"/>
        </w:rPr>
      </w:pPr>
    </w:p>
    <w:p w:rsidR="00955A5A" w:rsidRDefault="00955A5A" w:rsidP="00955A5A">
      <w:pPr>
        <w:rPr>
          <w:i/>
          <w:noProof/>
          <w:sz w:val="22"/>
          <w:szCs w:val="22"/>
        </w:rPr>
      </w:pPr>
      <w:r>
        <w:rPr>
          <w:i/>
          <w:noProof/>
          <w:sz w:val="22"/>
          <w:szCs w:val="22"/>
        </w:rPr>
        <w:t xml:space="preserve">Keturių </w:t>
      </w:r>
      <w:r>
        <w:rPr>
          <w:i/>
          <w:sz w:val="22"/>
          <w:szCs w:val="22"/>
        </w:rPr>
        <w:t>kontroliuojamųjų III</w:t>
      </w:r>
      <w:r>
        <w:rPr>
          <w:i/>
          <w:noProof/>
          <w:sz w:val="22"/>
          <w:szCs w:val="22"/>
        </w:rPr>
        <w:t xml:space="preserve"> fazės tyrimų, kurių metu vaistinio preparato </w:t>
      </w:r>
      <w:r>
        <w:rPr>
          <w:i/>
          <w:sz w:val="22"/>
          <w:szCs w:val="22"/>
        </w:rPr>
        <w:t xml:space="preserve">buvo skiriama 12 savaičių, </w:t>
      </w:r>
      <w:r>
        <w:rPr>
          <w:i/>
          <w:noProof/>
          <w:sz w:val="22"/>
          <w:szCs w:val="22"/>
        </w:rPr>
        <w:t>rezultatai (susumuoti duomenys)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275"/>
        <w:gridCol w:w="1275"/>
        <w:gridCol w:w="1276"/>
        <w:gridCol w:w="1419"/>
      </w:tblGrid>
      <w:tr w:rsidR="00955A5A" w:rsidTr="00C640DE">
        <w:tc>
          <w:tcPr>
            <w:tcW w:w="4219" w:type="dxa"/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275" w:type="dxa"/>
          </w:tcPr>
          <w:p w:rsidR="00955A5A" w:rsidRDefault="00955A5A" w:rsidP="00C640DE">
            <w:pPr>
              <w:keepNext/>
              <w:keepLines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Placebas</w:t>
            </w:r>
            <w:proofErr w:type="spellEnd"/>
          </w:p>
        </w:tc>
        <w:tc>
          <w:tcPr>
            <w:tcW w:w="1275" w:type="dxa"/>
          </w:tcPr>
          <w:p w:rsidR="00955A5A" w:rsidRDefault="00955A5A" w:rsidP="00C640DE">
            <w:pPr>
              <w:keepNext/>
              <w:keepLines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Vesicare</w:t>
            </w:r>
            <w:proofErr w:type="spellEnd"/>
            <w:r>
              <w:rPr>
                <w:b/>
                <w:sz w:val="22"/>
                <w:szCs w:val="22"/>
              </w:rPr>
              <w:t xml:space="preserve"> 5 mg 1 kartą per dieną</w:t>
            </w:r>
          </w:p>
        </w:tc>
        <w:tc>
          <w:tcPr>
            <w:tcW w:w="1276" w:type="dxa"/>
          </w:tcPr>
          <w:p w:rsidR="00955A5A" w:rsidRDefault="00955A5A" w:rsidP="00C640DE">
            <w:pPr>
              <w:keepNext/>
              <w:keepLines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Vesicare</w:t>
            </w:r>
            <w:proofErr w:type="spellEnd"/>
            <w:r>
              <w:rPr>
                <w:b/>
                <w:sz w:val="22"/>
                <w:szCs w:val="22"/>
              </w:rPr>
              <w:t xml:space="preserve"> 10 mg 1 kartą per parą</w:t>
            </w:r>
          </w:p>
        </w:tc>
        <w:tc>
          <w:tcPr>
            <w:tcW w:w="1419" w:type="dxa"/>
          </w:tcPr>
          <w:p w:rsidR="00955A5A" w:rsidRDefault="00955A5A" w:rsidP="00C640DE">
            <w:pPr>
              <w:keepNext/>
              <w:keepLines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Tolterodino</w:t>
            </w:r>
            <w:proofErr w:type="spellEnd"/>
            <w:r>
              <w:rPr>
                <w:b/>
                <w:sz w:val="22"/>
                <w:szCs w:val="22"/>
              </w:rPr>
              <w:t xml:space="preserve"> po </w:t>
            </w:r>
            <w:r>
              <w:rPr>
                <w:b/>
                <w:noProof/>
                <w:sz w:val="22"/>
                <w:szCs w:val="22"/>
              </w:rPr>
              <w:t>2 </w:t>
            </w:r>
            <w:r>
              <w:rPr>
                <w:b/>
                <w:sz w:val="22"/>
                <w:szCs w:val="22"/>
              </w:rPr>
              <w:t>mg 2 kartus per parą</w:t>
            </w:r>
          </w:p>
        </w:tc>
      </w:tr>
      <w:tr w:rsidR="00955A5A" w:rsidTr="00C640DE">
        <w:tc>
          <w:tcPr>
            <w:tcW w:w="4219" w:type="dxa"/>
            <w:tcBorders>
              <w:right w:val="nil"/>
            </w:tcBorders>
          </w:tcPr>
          <w:p w:rsidR="00955A5A" w:rsidRDefault="00955A5A" w:rsidP="00C640DE">
            <w:pPr>
              <w:keepNext/>
              <w:keepLines/>
              <w:rPr>
                <w:b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Šlapinimosi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kartai per 24 val.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419" w:type="dxa"/>
            <w:tcBorders>
              <w:lef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</w:tr>
      <w:tr w:rsidR="00955A5A" w:rsidTr="00C640DE">
        <w:tc>
          <w:tcPr>
            <w:tcW w:w="4219" w:type="dxa"/>
          </w:tcPr>
          <w:p w:rsidR="00955A5A" w:rsidRDefault="00955A5A" w:rsidP="00C640DE">
            <w:pPr>
              <w:tabs>
                <w:tab w:val="left" w:pos="900"/>
                <w:tab w:val="left" w:pos="1305"/>
              </w:tabs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Pradinio įverčio vidurkis Sumažėjimo vidurkis palyginti su pradiniu </w:t>
            </w:r>
          </w:p>
          <w:p w:rsidR="00955A5A" w:rsidRDefault="00955A5A" w:rsidP="00C640DE">
            <w:pPr>
              <w:tabs>
                <w:tab w:val="left" w:pos="900"/>
                <w:tab w:val="left" w:pos="1305"/>
              </w:tabs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% pokytis palyginti su pradiniu </w:t>
            </w:r>
          </w:p>
          <w:p w:rsidR="00955A5A" w:rsidRDefault="00955A5A" w:rsidP="00C640DE">
            <w:pPr>
              <w:keepNext/>
              <w:keepLines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  <w:p w:rsidR="00955A5A" w:rsidRDefault="00955A5A" w:rsidP="00C640DE">
            <w:pPr>
              <w:keepNext/>
              <w:keepLines/>
              <w:ind w:left="900"/>
            </w:pPr>
            <w:r>
              <w:rPr>
                <w:color w:val="000000"/>
                <w:sz w:val="22"/>
                <w:szCs w:val="22"/>
              </w:rPr>
              <w:t>p-reikšmė*</w:t>
            </w:r>
          </w:p>
        </w:tc>
        <w:tc>
          <w:tcPr>
            <w:tcW w:w="1275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11,9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1,4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(12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1138</w:t>
            </w:r>
          </w:p>
        </w:tc>
        <w:tc>
          <w:tcPr>
            <w:tcW w:w="1275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12,1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2,3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(19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552</w:t>
            </w:r>
            <w:r>
              <w:rPr>
                <w:sz w:val="22"/>
                <w:szCs w:val="22"/>
              </w:rPr>
              <w:br/>
              <w:t>&lt;0,001</w:t>
            </w:r>
          </w:p>
        </w:tc>
        <w:tc>
          <w:tcPr>
            <w:tcW w:w="1276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11,9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2,7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(23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1158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&lt;0,001</w:t>
            </w:r>
          </w:p>
        </w:tc>
        <w:tc>
          <w:tcPr>
            <w:tcW w:w="1419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12,1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1,9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(16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250</w:t>
            </w:r>
            <w:r>
              <w:rPr>
                <w:sz w:val="22"/>
                <w:szCs w:val="22"/>
              </w:rPr>
              <w:br/>
              <w:t>0,004</w:t>
            </w:r>
          </w:p>
        </w:tc>
      </w:tr>
      <w:tr w:rsidR="00955A5A" w:rsidTr="00C640DE">
        <w:tc>
          <w:tcPr>
            <w:tcW w:w="4219" w:type="dxa"/>
            <w:tcBorders>
              <w:right w:val="nil"/>
            </w:tcBorders>
          </w:tcPr>
          <w:p w:rsidR="00955A5A" w:rsidRDefault="00955A5A" w:rsidP="00C640DE">
            <w:pPr>
              <w:keepNext/>
              <w:keepLines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Priverstinio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šlapinimosi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epizodų skaičius per 24 val.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419" w:type="dxa"/>
            <w:tcBorders>
              <w:lef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</w:tr>
      <w:tr w:rsidR="00955A5A" w:rsidTr="00C640DE">
        <w:tc>
          <w:tcPr>
            <w:tcW w:w="4219" w:type="dxa"/>
          </w:tcPr>
          <w:p w:rsidR="00955A5A" w:rsidRDefault="00955A5A" w:rsidP="00C640DE">
            <w:pPr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Pradinio įverčio vidurkis</w:t>
            </w:r>
            <w:r>
              <w:rPr>
                <w:color w:val="000000"/>
                <w:sz w:val="22"/>
                <w:szCs w:val="22"/>
              </w:rPr>
              <w:tab/>
            </w:r>
          </w:p>
          <w:p w:rsidR="00955A5A" w:rsidRDefault="00955A5A" w:rsidP="00C640DE">
            <w:pPr>
              <w:tabs>
                <w:tab w:val="left" w:pos="900"/>
                <w:tab w:val="left" w:pos="1305"/>
              </w:tabs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Sumažėjimo vidurkis palyginti su pradiniu </w:t>
            </w:r>
          </w:p>
          <w:p w:rsidR="00955A5A" w:rsidRDefault="00955A5A" w:rsidP="00C640DE">
            <w:pPr>
              <w:tabs>
                <w:tab w:val="left" w:pos="900"/>
                <w:tab w:val="left" w:pos="1305"/>
              </w:tabs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% pokytis palyginti su pradiniu </w:t>
            </w:r>
          </w:p>
          <w:p w:rsidR="00955A5A" w:rsidRDefault="00955A5A" w:rsidP="00C640DE">
            <w:pPr>
              <w:keepNext/>
              <w:keepLines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  <w:p w:rsidR="00955A5A" w:rsidRDefault="00955A5A" w:rsidP="00C640DE">
            <w:pPr>
              <w:keepNext/>
              <w:keepLines/>
              <w:ind w:left="900"/>
            </w:pPr>
            <w:r>
              <w:rPr>
                <w:color w:val="000000"/>
                <w:sz w:val="22"/>
                <w:szCs w:val="22"/>
              </w:rPr>
              <w:t>p-reikšmė*</w:t>
            </w:r>
          </w:p>
        </w:tc>
        <w:tc>
          <w:tcPr>
            <w:tcW w:w="1275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6,3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2,0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(32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1124</w:t>
            </w:r>
          </w:p>
        </w:tc>
        <w:tc>
          <w:tcPr>
            <w:tcW w:w="1275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5,9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2,9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(49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548</w:t>
            </w:r>
            <w:r>
              <w:rPr>
                <w:sz w:val="22"/>
                <w:szCs w:val="22"/>
              </w:rPr>
              <w:br/>
              <w:t>&lt;0,001</w:t>
            </w:r>
          </w:p>
        </w:tc>
        <w:tc>
          <w:tcPr>
            <w:tcW w:w="1276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6,2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3,4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(55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1151</w:t>
            </w:r>
            <w:r>
              <w:rPr>
                <w:sz w:val="22"/>
                <w:szCs w:val="22"/>
              </w:rPr>
              <w:br/>
              <w:t>&lt;0,001</w:t>
            </w:r>
          </w:p>
        </w:tc>
        <w:tc>
          <w:tcPr>
            <w:tcW w:w="1419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5,4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2,1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(39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250</w:t>
            </w:r>
            <w:r>
              <w:rPr>
                <w:sz w:val="22"/>
                <w:szCs w:val="22"/>
              </w:rPr>
              <w:br/>
              <w:t>0,031</w:t>
            </w:r>
          </w:p>
        </w:tc>
      </w:tr>
      <w:tr w:rsidR="00955A5A" w:rsidTr="00C640DE">
        <w:tc>
          <w:tcPr>
            <w:tcW w:w="4219" w:type="dxa"/>
            <w:tcBorders>
              <w:right w:val="nil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Šlapimo nelaikymo epizodų skaičius per 24 val.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419" w:type="dxa"/>
            <w:tcBorders>
              <w:lef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</w:tr>
      <w:tr w:rsidR="00955A5A" w:rsidTr="00C640DE">
        <w:tc>
          <w:tcPr>
            <w:tcW w:w="4219" w:type="dxa"/>
          </w:tcPr>
          <w:p w:rsidR="00955A5A" w:rsidRDefault="00955A5A" w:rsidP="00C640DE">
            <w:pPr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Pradinio įverčio vidurkis</w:t>
            </w:r>
            <w:r>
              <w:rPr>
                <w:color w:val="000000"/>
                <w:sz w:val="22"/>
                <w:szCs w:val="22"/>
              </w:rPr>
              <w:tab/>
            </w:r>
          </w:p>
          <w:p w:rsidR="00955A5A" w:rsidRDefault="00955A5A" w:rsidP="00C640DE">
            <w:pPr>
              <w:tabs>
                <w:tab w:val="left" w:pos="900"/>
                <w:tab w:val="left" w:pos="1305"/>
              </w:tabs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Sumažėjimo vidurkis palyginti su pradiniu </w:t>
            </w:r>
          </w:p>
          <w:p w:rsidR="00955A5A" w:rsidRDefault="00955A5A" w:rsidP="00C640DE">
            <w:pPr>
              <w:tabs>
                <w:tab w:val="left" w:pos="900"/>
                <w:tab w:val="left" w:pos="1305"/>
              </w:tabs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% pokytis palyginti su pradiniu </w:t>
            </w:r>
          </w:p>
          <w:p w:rsidR="00955A5A" w:rsidRDefault="00955A5A" w:rsidP="00C640DE">
            <w:pPr>
              <w:keepNext/>
              <w:keepLines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  <w:p w:rsidR="00955A5A" w:rsidRDefault="00955A5A" w:rsidP="00C640DE">
            <w:pPr>
              <w:keepNext/>
              <w:keepLines/>
              <w:ind w:left="900"/>
            </w:pPr>
            <w:r>
              <w:rPr>
                <w:color w:val="000000"/>
                <w:sz w:val="22"/>
                <w:szCs w:val="22"/>
              </w:rPr>
              <w:t>p-reikšmė*</w:t>
            </w:r>
          </w:p>
        </w:tc>
        <w:tc>
          <w:tcPr>
            <w:tcW w:w="1275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2,9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1,1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(38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781</w:t>
            </w:r>
          </w:p>
        </w:tc>
        <w:tc>
          <w:tcPr>
            <w:tcW w:w="1275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2,6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1,5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(58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314</w:t>
            </w:r>
            <w:r>
              <w:rPr>
                <w:sz w:val="22"/>
                <w:szCs w:val="22"/>
              </w:rPr>
              <w:br/>
              <w:t>&lt;0,001</w:t>
            </w:r>
          </w:p>
        </w:tc>
        <w:tc>
          <w:tcPr>
            <w:tcW w:w="1276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2,9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1,8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(62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778</w:t>
            </w:r>
            <w:r>
              <w:rPr>
                <w:sz w:val="22"/>
                <w:szCs w:val="22"/>
              </w:rPr>
              <w:br/>
              <w:t>&lt;0,001</w:t>
            </w:r>
          </w:p>
        </w:tc>
        <w:tc>
          <w:tcPr>
            <w:tcW w:w="1419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2,3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1,1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(48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157</w:t>
            </w:r>
            <w:r>
              <w:rPr>
                <w:sz w:val="22"/>
                <w:szCs w:val="22"/>
              </w:rPr>
              <w:br/>
              <w:t>0,009</w:t>
            </w:r>
          </w:p>
        </w:tc>
      </w:tr>
      <w:tr w:rsidR="00955A5A" w:rsidTr="00C640DE">
        <w:tc>
          <w:tcPr>
            <w:tcW w:w="4219" w:type="dxa"/>
            <w:tcBorders>
              <w:right w:val="nil"/>
            </w:tcBorders>
          </w:tcPr>
          <w:p w:rsidR="00955A5A" w:rsidRDefault="00955A5A" w:rsidP="00C640DE">
            <w:pPr>
              <w:keepNext/>
              <w:keepLines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Naktinio </w:t>
            </w:r>
            <w:proofErr w:type="spellStart"/>
            <w:r>
              <w:rPr>
                <w:b/>
                <w:sz w:val="22"/>
                <w:szCs w:val="22"/>
              </w:rPr>
              <w:t>šlapinimosi</w:t>
            </w:r>
            <w:proofErr w:type="spellEnd"/>
            <w:r>
              <w:rPr>
                <w:b/>
                <w:sz w:val="22"/>
                <w:szCs w:val="22"/>
              </w:rPr>
              <w:t xml:space="preserve"> epizodai per 24 val.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419" w:type="dxa"/>
            <w:tcBorders>
              <w:lef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</w:tr>
      <w:tr w:rsidR="00955A5A" w:rsidTr="00C640DE">
        <w:tc>
          <w:tcPr>
            <w:tcW w:w="4219" w:type="dxa"/>
          </w:tcPr>
          <w:p w:rsidR="00955A5A" w:rsidRDefault="00955A5A" w:rsidP="00C640DE">
            <w:pPr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Pradinio įverčio vidurkis</w:t>
            </w:r>
            <w:r>
              <w:rPr>
                <w:color w:val="000000"/>
                <w:sz w:val="22"/>
                <w:szCs w:val="22"/>
              </w:rPr>
              <w:tab/>
            </w:r>
          </w:p>
          <w:p w:rsidR="00955A5A" w:rsidRDefault="00955A5A" w:rsidP="00C640DE">
            <w:pPr>
              <w:tabs>
                <w:tab w:val="left" w:pos="900"/>
                <w:tab w:val="left" w:pos="1305"/>
              </w:tabs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Sumažėjimo vidurkis palyginti su pradiniu </w:t>
            </w:r>
          </w:p>
          <w:p w:rsidR="00955A5A" w:rsidRDefault="00955A5A" w:rsidP="00C640DE">
            <w:pPr>
              <w:tabs>
                <w:tab w:val="left" w:pos="900"/>
                <w:tab w:val="left" w:pos="1305"/>
              </w:tabs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% pokytis palyginti su pradiniu </w:t>
            </w:r>
          </w:p>
          <w:p w:rsidR="00955A5A" w:rsidRDefault="00955A5A" w:rsidP="00C640DE">
            <w:pPr>
              <w:keepNext/>
              <w:keepLines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  <w:p w:rsidR="00955A5A" w:rsidRDefault="00955A5A" w:rsidP="00C640DE">
            <w:pPr>
              <w:keepNext/>
              <w:keepLines/>
              <w:ind w:left="900"/>
            </w:pPr>
            <w:r>
              <w:rPr>
                <w:color w:val="000000"/>
                <w:sz w:val="22"/>
                <w:szCs w:val="22"/>
              </w:rPr>
              <w:t>p-reikšmė*</w:t>
            </w:r>
          </w:p>
        </w:tc>
        <w:tc>
          <w:tcPr>
            <w:tcW w:w="1275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1,8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0,4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(22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1005</w:t>
            </w:r>
          </w:p>
        </w:tc>
        <w:tc>
          <w:tcPr>
            <w:tcW w:w="1275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2,0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0,6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(30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494</w:t>
            </w:r>
            <w:r>
              <w:rPr>
                <w:sz w:val="22"/>
                <w:szCs w:val="22"/>
              </w:rPr>
              <w:br/>
              <w:t>0,025</w:t>
            </w:r>
          </w:p>
        </w:tc>
        <w:tc>
          <w:tcPr>
            <w:tcW w:w="1276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1,8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0,6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(33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1035</w:t>
            </w:r>
            <w:r>
              <w:rPr>
                <w:sz w:val="22"/>
                <w:szCs w:val="22"/>
              </w:rPr>
              <w:br/>
              <w:t>&lt;0,001</w:t>
            </w:r>
          </w:p>
        </w:tc>
        <w:tc>
          <w:tcPr>
            <w:tcW w:w="1419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1,9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0,5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(26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232</w:t>
            </w:r>
            <w:r>
              <w:rPr>
                <w:sz w:val="22"/>
                <w:szCs w:val="22"/>
              </w:rPr>
              <w:br/>
              <w:t>0,199</w:t>
            </w:r>
          </w:p>
        </w:tc>
      </w:tr>
      <w:tr w:rsidR="00955A5A" w:rsidTr="00C640DE">
        <w:tc>
          <w:tcPr>
            <w:tcW w:w="4219" w:type="dxa"/>
            <w:tcBorders>
              <w:right w:val="nil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Šlapimo tūris 1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šlapinimosi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metu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419" w:type="dxa"/>
            <w:tcBorders>
              <w:lef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</w:tr>
      <w:tr w:rsidR="00955A5A" w:rsidTr="00C640DE">
        <w:tc>
          <w:tcPr>
            <w:tcW w:w="4219" w:type="dxa"/>
          </w:tcPr>
          <w:p w:rsidR="00955A5A" w:rsidRDefault="00955A5A" w:rsidP="00C640DE">
            <w:pPr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Pradinio įverčio vidurkis</w:t>
            </w:r>
            <w:r>
              <w:rPr>
                <w:color w:val="000000"/>
                <w:sz w:val="22"/>
                <w:szCs w:val="22"/>
              </w:rPr>
              <w:tab/>
            </w:r>
          </w:p>
          <w:p w:rsidR="00955A5A" w:rsidRDefault="00955A5A" w:rsidP="00C640DE">
            <w:pPr>
              <w:tabs>
                <w:tab w:val="left" w:pos="900"/>
                <w:tab w:val="left" w:pos="1305"/>
              </w:tabs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Padidėjimo vidurkis palyginti su pradiniu </w:t>
            </w:r>
          </w:p>
          <w:p w:rsidR="00955A5A" w:rsidRDefault="00955A5A" w:rsidP="00C640DE">
            <w:pPr>
              <w:tabs>
                <w:tab w:val="left" w:pos="900"/>
                <w:tab w:val="left" w:pos="1305"/>
              </w:tabs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% pokytis palyginti su pradiniu </w:t>
            </w:r>
          </w:p>
          <w:p w:rsidR="00955A5A" w:rsidRDefault="00955A5A" w:rsidP="00C640DE">
            <w:pPr>
              <w:keepNext/>
              <w:keepLines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  <w:p w:rsidR="00955A5A" w:rsidRDefault="00955A5A" w:rsidP="00C640DE">
            <w:pPr>
              <w:keepNext/>
              <w:keepLines/>
              <w:ind w:left="900"/>
            </w:pPr>
            <w:r>
              <w:rPr>
                <w:color w:val="000000"/>
                <w:sz w:val="22"/>
                <w:szCs w:val="22"/>
              </w:rPr>
              <w:t>p-reikšmė*</w:t>
            </w:r>
          </w:p>
        </w:tc>
        <w:tc>
          <w:tcPr>
            <w:tcW w:w="1275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166 ml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9 ml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(5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1135</w:t>
            </w:r>
          </w:p>
        </w:tc>
        <w:tc>
          <w:tcPr>
            <w:tcW w:w="1275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146 ml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32 ml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(21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552</w:t>
            </w:r>
            <w:r>
              <w:rPr>
                <w:sz w:val="22"/>
                <w:szCs w:val="22"/>
              </w:rPr>
              <w:br/>
              <w:t>&lt;0,001</w:t>
            </w:r>
          </w:p>
        </w:tc>
        <w:tc>
          <w:tcPr>
            <w:tcW w:w="1276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163 ml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43 ml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(26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1156</w:t>
            </w:r>
            <w:r>
              <w:rPr>
                <w:sz w:val="22"/>
                <w:szCs w:val="22"/>
              </w:rPr>
              <w:br/>
              <w:t>&lt;0,001</w:t>
            </w:r>
          </w:p>
        </w:tc>
        <w:tc>
          <w:tcPr>
            <w:tcW w:w="1419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147 ml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24 ml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(16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250</w:t>
            </w:r>
            <w:r>
              <w:rPr>
                <w:sz w:val="22"/>
                <w:szCs w:val="22"/>
              </w:rPr>
              <w:br/>
              <w:t>&lt;0,001</w:t>
            </w:r>
          </w:p>
        </w:tc>
      </w:tr>
      <w:tr w:rsidR="00955A5A" w:rsidTr="00C640DE">
        <w:tc>
          <w:tcPr>
            <w:tcW w:w="4219" w:type="dxa"/>
            <w:tcBorders>
              <w:right w:val="nil"/>
            </w:tcBorders>
          </w:tcPr>
          <w:p w:rsidR="00955A5A" w:rsidRDefault="00955A5A" w:rsidP="00C640D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Tamponų skaičius per 24 val. 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  <w:tc>
          <w:tcPr>
            <w:tcW w:w="1419" w:type="dxa"/>
            <w:tcBorders>
              <w:left w:val="nil"/>
            </w:tcBorders>
          </w:tcPr>
          <w:p w:rsidR="00955A5A" w:rsidRDefault="00955A5A" w:rsidP="00C640DE">
            <w:pPr>
              <w:keepNext/>
              <w:keepLines/>
            </w:pPr>
          </w:p>
        </w:tc>
      </w:tr>
      <w:tr w:rsidR="00955A5A" w:rsidTr="00C640DE">
        <w:tc>
          <w:tcPr>
            <w:tcW w:w="4219" w:type="dxa"/>
          </w:tcPr>
          <w:p w:rsidR="00955A5A" w:rsidRDefault="00955A5A" w:rsidP="00C640DE">
            <w:pPr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Pradinio įverčio vidurkis</w:t>
            </w:r>
            <w:r>
              <w:rPr>
                <w:color w:val="000000"/>
                <w:sz w:val="22"/>
                <w:szCs w:val="22"/>
              </w:rPr>
              <w:tab/>
            </w:r>
          </w:p>
          <w:p w:rsidR="00955A5A" w:rsidRDefault="00955A5A" w:rsidP="00C640DE">
            <w:pPr>
              <w:tabs>
                <w:tab w:val="left" w:pos="900"/>
                <w:tab w:val="left" w:pos="1305"/>
              </w:tabs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Sumažėjimo vidurkis palyginti su pradiniu </w:t>
            </w:r>
          </w:p>
          <w:p w:rsidR="00955A5A" w:rsidRDefault="00955A5A" w:rsidP="00C640DE">
            <w:pPr>
              <w:tabs>
                <w:tab w:val="left" w:pos="900"/>
                <w:tab w:val="left" w:pos="1305"/>
              </w:tabs>
              <w:autoSpaceDE w:val="0"/>
              <w:autoSpaceDN w:val="0"/>
              <w:adjustRightInd w:val="0"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% pokytis palyginti su pradiniu </w:t>
            </w:r>
          </w:p>
          <w:p w:rsidR="00955A5A" w:rsidRDefault="00955A5A" w:rsidP="00C640DE">
            <w:pPr>
              <w:keepNext/>
              <w:keepLines/>
              <w:ind w:left="9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  <w:p w:rsidR="00955A5A" w:rsidRDefault="00955A5A" w:rsidP="00C640DE">
            <w:pPr>
              <w:keepNext/>
              <w:keepLines/>
              <w:ind w:left="900"/>
            </w:pPr>
            <w:r>
              <w:rPr>
                <w:color w:val="000000"/>
                <w:sz w:val="22"/>
                <w:szCs w:val="22"/>
              </w:rPr>
              <w:t>p-reikšmė*</w:t>
            </w:r>
          </w:p>
        </w:tc>
        <w:tc>
          <w:tcPr>
            <w:tcW w:w="1275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3,0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0,8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(27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238</w:t>
            </w:r>
          </w:p>
        </w:tc>
        <w:tc>
          <w:tcPr>
            <w:tcW w:w="1275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2,8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1,3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(46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236</w:t>
            </w:r>
            <w:r>
              <w:rPr>
                <w:sz w:val="22"/>
                <w:szCs w:val="22"/>
              </w:rPr>
              <w:br/>
              <w:t>&lt;0,001</w:t>
            </w:r>
          </w:p>
        </w:tc>
        <w:tc>
          <w:tcPr>
            <w:tcW w:w="1276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2,7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1,3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(48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242</w:t>
            </w:r>
            <w:r>
              <w:rPr>
                <w:sz w:val="22"/>
                <w:szCs w:val="22"/>
              </w:rPr>
              <w:br/>
              <w:t>&lt;0,001</w:t>
            </w:r>
          </w:p>
        </w:tc>
        <w:tc>
          <w:tcPr>
            <w:tcW w:w="1419" w:type="dxa"/>
          </w:tcPr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2,7</w:t>
            </w: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 xml:space="preserve">1,0 </w:t>
            </w:r>
          </w:p>
          <w:p w:rsidR="00955A5A" w:rsidRDefault="00955A5A" w:rsidP="00C640DE">
            <w:pPr>
              <w:keepNext/>
              <w:keepLines/>
            </w:pPr>
          </w:p>
          <w:p w:rsidR="00955A5A" w:rsidRDefault="00955A5A" w:rsidP="00C640DE">
            <w:pPr>
              <w:keepNext/>
              <w:keepLines/>
            </w:pPr>
            <w:r>
              <w:rPr>
                <w:sz w:val="22"/>
                <w:szCs w:val="22"/>
              </w:rPr>
              <w:t>(37</w:t>
            </w:r>
            <w:r>
              <w:rPr>
                <w:noProof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%)</w:t>
            </w:r>
            <w:r>
              <w:rPr>
                <w:sz w:val="22"/>
                <w:szCs w:val="22"/>
              </w:rPr>
              <w:br/>
              <w:t>250</w:t>
            </w:r>
            <w:r>
              <w:rPr>
                <w:sz w:val="22"/>
                <w:szCs w:val="22"/>
              </w:rPr>
              <w:br/>
              <w:t>0,010</w:t>
            </w:r>
          </w:p>
        </w:tc>
      </w:tr>
    </w:tbl>
    <w:p w:rsidR="00955A5A" w:rsidRDefault="00955A5A" w:rsidP="00955A5A">
      <w:pPr>
        <w:autoSpaceDE w:val="0"/>
        <w:autoSpaceDN w:val="0"/>
        <w:adjustRightInd w:val="0"/>
        <w:ind w:left="1800" w:hanging="9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Pastaba: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4 pagrindinių tyrimų metu vartota </w:t>
      </w: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10 </w:t>
      </w:r>
      <w:r>
        <w:rPr>
          <w:color w:val="000000"/>
          <w:sz w:val="22"/>
          <w:szCs w:val="22"/>
        </w:rPr>
        <w:t xml:space="preserve">mg ir </w:t>
      </w:r>
      <w:proofErr w:type="spellStart"/>
      <w:r>
        <w:rPr>
          <w:color w:val="000000"/>
          <w:sz w:val="22"/>
          <w:szCs w:val="22"/>
        </w:rPr>
        <w:t>placebo</w:t>
      </w:r>
      <w:proofErr w:type="spellEnd"/>
      <w:r>
        <w:rPr>
          <w:color w:val="000000"/>
          <w:sz w:val="22"/>
          <w:szCs w:val="22"/>
        </w:rPr>
        <w:t xml:space="preserve">. Dviejų iš 4 tyrimų metu vartota ir </w:t>
      </w: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5 </w:t>
      </w:r>
      <w:r>
        <w:rPr>
          <w:color w:val="000000"/>
          <w:sz w:val="22"/>
          <w:szCs w:val="22"/>
        </w:rPr>
        <w:t xml:space="preserve">mg, o vieno tyrimo metu ir po </w:t>
      </w:r>
      <w:r>
        <w:rPr>
          <w:noProof/>
          <w:color w:val="000000"/>
          <w:sz w:val="22"/>
          <w:szCs w:val="22"/>
        </w:rPr>
        <w:t>2 </w:t>
      </w:r>
      <w:r>
        <w:rPr>
          <w:color w:val="000000"/>
          <w:sz w:val="22"/>
          <w:szCs w:val="22"/>
        </w:rPr>
        <w:t xml:space="preserve">mg </w:t>
      </w:r>
      <w:proofErr w:type="spellStart"/>
      <w:r>
        <w:rPr>
          <w:color w:val="000000"/>
          <w:sz w:val="22"/>
          <w:szCs w:val="22"/>
        </w:rPr>
        <w:t>tolterodino</w:t>
      </w:r>
      <w:proofErr w:type="spellEnd"/>
      <w:r>
        <w:rPr>
          <w:color w:val="000000"/>
          <w:sz w:val="22"/>
          <w:szCs w:val="22"/>
        </w:rPr>
        <w:t xml:space="preserve"> 2 kartus per parą. </w:t>
      </w:r>
    </w:p>
    <w:p w:rsidR="00955A5A" w:rsidRDefault="00955A5A" w:rsidP="00955A5A">
      <w:pPr>
        <w:autoSpaceDE w:val="0"/>
        <w:autoSpaceDN w:val="0"/>
        <w:adjustRightInd w:val="0"/>
        <w:ind w:left="18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Kiekviename atskirame tyrime dalyvavo ne visos ligonių grupės ir vertinti ne visi rodikliai, todėl nurodytų pacientų skaičius analizuojant rodiklius ir tiriamąsias grupes gali nesutapti. </w:t>
      </w:r>
    </w:p>
    <w:p w:rsidR="00955A5A" w:rsidRDefault="00955A5A" w:rsidP="00955A5A">
      <w:pPr>
        <w:ind w:left="1800" w:hanging="900"/>
        <w:rPr>
          <w:sz w:val="22"/>
          <w:szCs w:val="22"/>
        </w:rPr>
      </w:pPr>
      <w:r>
        <w:rPr>
          <w:color w:val="000000"/>
          <w:sz w:val="22"/>
          <w:szCs w:val="22"/>
        </w:rPr>
        <w:t>*</w:t>
      </w:r>
      <w:r>
        <w:rPr>
          <w:color w:val="000000"/>
          <w:sz w:val="22"/>
          <w:szCs w:val="22"/>
        </w:rPr>
        <w:tab/>
        <w:t xml:space="preserve">p-reikšmė porinei imčiai </w:t>
      </w:r>
      <w:r>
        <w:rPr>
          <w:noProof/>
          <w:color w:val="000000"/>
          <w:sz w:val="22"/>
          <w:szCs w:val="22"/>
        </w:rPr>
        <w:t xml:space="preserve">vaistinio </w:t>
      </w:r>
      <w:r>
        <w:rPr>
          <w:color w:val="000000"/>
          <w:sz w:val="22"/>
          <w:szCs w:val="22"/>
        </w:rPr>
        <w:t xml:space="preserve">preparato ir </w:t>
      </w:r>
      <w:proofErr w:type="spellStart"/>
      <w:r>
        <w:rPr>
          <w:color w:val="000000"/>
          <w:sz w:val="22"/>
          <w:szCs w:val="22"/>
        </w:rPr>
        <w:t>placebo</w:t>
      </w:r>
      <w:proofErr w:type="spellEnd"/>
      <w:r>
        <w:rPr>
          <w:color w:val="000000"/>
          <w:sz w:val="22"/>
          <w:szCs w:val="22"/>
        </w:rPr>
        <w:t xml:space="preserve"> poveikiui palyginti.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5.2</w:t>
      </w:r>
      <w:r>
        <w:rPr>
          <w:b/>
          <w:iCs/>
          <w:kern w:val="28"/>
          <w:sz w:val="22"/>
          <w:szCs w:val="22"/>
        </w:rPr>
        <w:tab/>
      </w:r>
      <w:proofErr w:type="spellStart"/>
      <w:r>
        <w:rPr>
          <w:b/>
          <w:iCs/>
          <w:kern w:val="28"/>
          <w:sz w:val="22"/>
          <w:szCs w:val="22"/>
        </w:rPr>
        <w:t>Farmakokinetinės</w:t>
      </w:r>
      <w:proofErr w:type="spellEnd"/>
      <w:r>
        <w:rPr>
          <w:b/>
          <w:iCs/>
          <w:kern w:val="28"/>
          <w:sz w:val="22"/>
          <w:szCs w:val="22"/>
        </w:rPr>
        <w:t xml:space="preserve"> savybės</w:t>
      </w:r>
    </w:p>
    <w:p w:rsidR="00955A5A" w:rsidRDefault="00955A5A" w:rsidP="00955A5A">
      <w:pPr>
        <w:rPr>
          <w:sz w:val="22"/>
        </w:rPr>
      </w:pPr>
    </w:p>
    <w:p w:rsidR="00955A5A" w:rsidRDefault="00955A5A" w:rsidP="00955A5A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Absorbcija </w:t>
      </w:r>
    </w:p>
    <w:p w:rsidR="00955A5A" w:rsidRDefault="00955A5A" w:rsidP="00955A5A">
      <w:pPr>
        <w:rPr>
          <w:noProof/>
          <w:sz w:val="22"/>
          <w:szCs w:val="22"/>
        </w:rPr>
      </w:pPr>
      <w:r>
        <w:rPr>
          <w:sz w:val="22"/>
          <w:szCs w:val="22"/>
        </w:rPr>
        <w:t xml:space="preserve">Išgėrus </w:t>
      </w:r>
      <w:proofErr w:type="spellStart"/>
      <w:r>
        <w:rPr>
          <w:sz w:val="22"/>
          <w:szCs w:val="22"/>
        </w:rPr>
        <w:t>Vesicare</w:t>
      </w:r>
      <w:proofErr w:type="spellEnd"/>
      <w:r>
        <w:rPr>
          <w:sz w:val="22"/>
          <w:szCs w:val="22"/>
        </w:rPr>
        <w:t xml:space="preserve"> tablečių, didžiausia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koncentracija kraujo plazmoje (</w:t>
      </w:r>
      <w:proofErr w:type="spellStart"/>
      <w:r>
        <w:rPr>
          <w:sz w:val="22"/>
          <w:szCs w:val="22"/>
        </w:rPr>
        <w:t>C</w:t>
      </w:r>
      <w:r>
        <w:rPr>
          <w:noProof/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>) susidaro po 3</w:t>
      </w:r>
      <w:r>
        <w:rPr>
          <w:noProof/>
          <w:sz w:val="22"/>
          <w:szCs w:val="22"/>
        </w:rPr>
        <w:noBreakHyphen/>
      </w:r>
      <w:r>
        <w:rPr>
          <w:sz w:val="22"/>
          <w:szCs w:val="22"/>
        </w:rPr>
        <w:t>8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 xml:space="preserve">val., </w:t>
      </w:r>
      <w:proofErr w:type="spellStart"/>
      <w:r>
        <w:rPr>
          <w:sz w:val="22"/>
          <w:szCs w:val="22"/>
        </w:rPr>
        <w:t>t</w:t>
      </w:r>
      <w:r>
        <w:rPr>
          <w:noProof/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 xml:space="preserve"> nepriklauso nuo dozės. </w:t>
      </w:r>
      <w:proofErr w:type="spellStart"/>
      <w:r>
        <w:rPr>
          <w:sz w:val="22"/>
          <w:szCs w:val="22"/>
        </w:rPr>
        <w:t>Cmax</w:t>
      </w:r>
      <w:proofErr w:type="spellEnd"/>
      <w:r>
        <w:rPr>
          <w:sz w:val="22"/>
          <w:szCs w:val="22"/>
        </w:rPr>
        <w:t xml:space="preserve"> ir plotas, kurį atriboja koncentracijos kreivė (AUC), didėja proporcingai, didinant dozę nuo </w:t>
      </w:r>
      <w:r>
        <w:rPr>
          <w:noProof/>
          <w:sz w:val="22"/>
          <w:szCs w:val="22"/>
        </w:rPr>
        <w:t>5 </w:t>
      </w:r>
      <w:r>
        <w:rPr>
          <w:sz w:val="22"/>
          <w:szCs w:val="22"/>
        </w:rPr>
        <w:t xml:space="preserve">mg iki </w:t>
      </w:r>
      <w:r>
        <w:rPr>
          <w:noProof/>
          <w:sz w:val="22"/>
          <w:szCs w:val="22"/>
        </w:rPr>
        <w:t>40 </w:t>
      </w:r>
      <w:r>
        <w:rPr>
          <w:sz w:val="22"/>
          <w:szCs w:val="22"/>
        </w:rPr>
        <w:t>mg. Absoliutus biologinis prieinamumas yra maždaug 90</w:t>
      </w:r>
      <w:r>
        <w:rPr>
          <w:noProof/>
          <w:sz w:val="22"/>
          <w:szCs w:val="22"/>
        </w:rPr>
        <w:t>  </w:t>
      </w:r>
      <w:r>
        <w:rPr>
          <w:sz w:val="22"/>
          <w:szCs w:val="22"/>
        </w:rPr>
        <w:t xml:space="preserve">%. Maistas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noProof/>
          <w:sz w:val="22"/>
          <w:szCs w:val="22"/>
          <w:vertAlign w:val="subscript"/>
        </w:rPr>
        <w:t>max</w:t>
      </w:r>
      <w:proofErr w:type="spellEnd"/>
      <w:r>
        <w:rPr>
          <w:noProof/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 xml:space="preserve">ir AUC nekeičia.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Pasiskirstymas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suleidus į veną, tariamasis pasiskirstymo tūris yra maždaug 600 l. Daug (maždaug 98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 xml:space="preserve">%) </w:t>
      </w:r>
      <w:r>
        <w:rPr>
          <w:noProof/>
          <w:sz w:val="22"/>
          <w:szCs w:val="22"/>
        </w:rPr>
        <w:t>vaistinio prepara</w:t>
      </w:r>
      <w:r>
        <w:rPr>
          <w:sz w:val="22"/>
          <w:szCs w:val="22"/>
        </w:rPr>
        <w:t xml:space="preserve">to jungiasi su kraujo plazmos baltymais, visų pirma su α1 rūgšties </w:t>
      </w:r>
      <w:proofErr w:type="spellStart"/>
      <w:r>
        <w:rPr>
          <w:sz w:val="22"/>
          <w:szCs w:val="22"/>
        </w:rPr>
        <w:t>glikoproteinu</w:t>
      </w:r>
      <w:proofErr w:type="spellEnd"/>
      <w:r>
        <w:rPr>
          <w:sz w:val="22"/>
          <w:szCs w:val="22"/>
        </w:rPr>
        <w:t xml:space="preserve">. 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i/>
          <w:sz w:val="22"/>
          <w:szCs w:val="22"/>
          <w:u w:val="single"/>
        </w:rPr>
        <w:t>Biotransformacija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Didžioji dalis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metabolizuojama</w:t>
      </w:r>
      <w:proofErr w:type="spellEnd"/>
      <w:r>
        <w:rPr>
          <w:sz w:val="22"/>
          <w:szCs w:val="22"/>
        </w:rPr>
        <w:t xml:space="preserve"> kepenyse, visų pirma </w:t>
      </w:r>
      <w:proofErr w:type="spellStart"/>
      <w:r>
        <w:rPr>
          <w:sz w:val="22"/>
          <w:szCs w:val="22"/>
        </w:rPr>
        <w:t>citochromo</w:t>
      </w:r>
      <w:proofErr w:type="spellEnd"/>
      <w:r>
        <w:rPr>
          <w:sz w:val="22"/>
          <w:szCs w:val="22"/>
        </w:rPr>
        <w:t xml:space="preserve"> P450 3A4 (CYP3A4), tačiau egzistuoja ir kitokie metabolizmo būdai, kurie gali turėti įtakos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metabolizmui. Sisteminis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klirensas – maždaug 9,5 l/val., o galutinės pusinės eliminacijos laikas – 45</w:t>
      </w:r>
      <w:r>
        <w:rPr>
          <w:noProof/>
          <w:sz w:val="22"/>
          <w:szCs w:val="22"/>
        </w:rPr>
        <w:noBreakHyphen/>
      </w:r>
      <w:r>
        <w:rPr>
          <w:sz w:val="22"/>
          <w:szCs w:val="22"/>
        </w:rPr>
        <w:t>68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 xml:space="preserve">val. Išgėrus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>, be jo kraujo plazmoje nustatomas vienas farmakologiškai aktyvus (4R-hidroksisolifenacinas) ir trys neaktyvūs metabolitai (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N-</w:t>
      </w:r>
      <w:proofErr w:type="spellStart"/>
      <w:r>
        <w:rPr>
          <w:sz w:val="22"/>
          <w:szCs w:val="22"/>
        </w:rPr>
        <w:t>gliukuronidas</w:t>
      </w:r>
      <w:proofErr w:type="spellEnd"/>
      <w:r>
        <w:rPr>
          <w:sz w:val="22"/>
          <w:szCs w:val="22"/>
        </w:rPr>
        <w:t xml:space="preserve">, N-oksidas ir 4R-hidroksi-N-oksidas). 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rPr>
          <w:i/>
          <w:sz w:val="22"/>
          <w:szCs w:val="22"/>
        </w:rPr>
      </w:pPr>
      <w:r>
        <w:rPr>
          <w:i/>
          <w:sz w:val="22"/>
          <w:szCs w:val="22"/>
          <w:u w:val="single"/>
        </w:rPr>
        <w:t>Eliminacija</w:t>
      </w:r>
      <w:r>
        <w:rPr>
          <w:i/>
          <w:sz w:val="22"/>
          <w:szCs w:val="22"/>
        </w:rPr>
        <w:t xml:space="preserve">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Pavartojus vienkartinę </w:t>
      </w:r>
      <w:r>
        <w:rPr>
          <w:noProof/>
          <w:sz w:val="22"/>
          <w:szCs w:val="22"/>
        </w:rPr>
        <w:t>10 </w:t>
      </w:r>
      <w:r>
        <w:rPr>
          <w:sz w:val="22"/>
          <w:szCs w:val="22"/>
        </w:rPr>
        <w:t>mg [</w:t>
      </w:r>
      <w:r>
        <w:rPr>
          <w:noProof/>
          <w:sz w:val="22"/>
          <w:szCs w:val="22"/>
          <w:vertAlign w:val="superscript"/>
        </w:rPr>
        <w:t>14</w:t>
      </w:r>
      <w:r>
        <w:rPr>
          <w:sz w:val="22"/>
          <w:szCs w:val="22"/>
        </w:rPr>
        <w:t>C-ženklinto]-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dozę, per 26 paras su šlapimu išsiskyrė maždaug </w:t>
      </w:r>
      <w:r>
        <w:rPr>
          <w:noProof/>
          <w:sz w:val="22"/>
          <w:szCs w:val="22"/>
        </w:rPr>
        <w:t>70 </w:t>
      </w:r>
      <w:r>
        <w:rPr>
          <w:sz w:val="22"/>
          <w:szCs w:val="22"/>
        </w:rPr>
        <w:t>% radioaktyvios medžiagos, o su išmatomis – 23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>%. Šlapime maždaug 11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>% radioaktyvios medžiagos sudarė nepakitusi veiklioji medžiaga, maždaug 18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>% - N-oksido metabolitas, 9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>% - 4R-hidroksi-N-oksido metabolitas ir 8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 xml:space="preserve">% - 4R-hydroksimetabolitas (aktyvus metabolitas). 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keepNext/>
        <w:rPr>
          <w:i/>
          <w:sz w:val="22"/>
          <w:szCs w:val="22"/>
        </w:rPr>
      </w:pPr>
      <w:r>
        <w:rPr>
          <w:i/>
          <w:sz w:val="22"/>
          <w:szCs w:val="22"/>
          <w:u w:val="single"/>
        </w:rPr>
        <w:t>Tiesinis / netiesinis pobūdis</w:t>
      </w:r>
      <w:r>
        <w:rPr>
          <w:i/>
          <w:sz w:val="22"/>
          <w:szCs w:val="22"/>
        </w:rPr>
        <w:t xml:space="preserve"> </w:t>
      </w:r>
    </w:p>
    <w:p w:rsidR="00955A5A" w:rsidRDefault="00955A5A" w:rsidP="00955A5A">
      <w:pPr>
        <w:rPr>
          <w:sz w:val="22"/>
          <w:szCs w:val="22"/>
        </w:rPr>
      </w:pPr>
      <w:r>
        <w:rPr>
          <w:noProof/>
          <w:sz w:val="22"/>
          <w:szCs w:val="22"/>
        </w:rPr>
        <w:t>Vaistinio p</w:t>
      </w:r>
      <w:proofErr w:type="spellStart"/>
      <w:r>
        <w:rPr>
          <w:sz w:val="22"/>
          <w:szCs w:val="22"/>
        </w:rPr>
        <w:t>reparato</w:t>
      </w:r>
      <w:proofErr w:type="spellEnd"/>
      <w:r>
        <w:rPr>
          <w:sz w:val="22"/>
          <w:szCs w:val="22"/>
        </w:rPr>
        <w:t xml:space="preserve">, vartojamo terapinėmis dozėmis, </w:t>
      </w:r>
      <w:proofErr w:type="spellStart"/>
      <w:r>
        <w:rPr>
          <w:sz w:val="22"/>
          <w:szCs w:val="22"/>
        </w:rPr>
        <w:t>farmakokinetika</w:t>
      </w:r>
      <w:proofErr w:type="spellEnd"/>
      <w:r>
        <w:rPr>
          <w:sz w:val="22"/>
          <w:szCs w:val="22"/>
        </w:rPr>
        <w:t xml:space="preserve"> yra tiesinė. 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Kitos ypatingos populiacijos</w:t>
      </w:r>
    </w:p>
    <w:p w:rsidR="00955A5A" w:rsidRDefault="00955A5A" w:rsidP="00955A5A">
      <w:pPr>
        <w:rPr>
          <w:i/>
          <w:sz w:val="22"/>
          <w:szCs w:val="22"/>
        </w:rPr>
      </w:pPr>
      <w:r>
        <w:rPr>
          <w:i/>
          <w:sz w:val="22"/>
          <w:szCs w:val="22"/>
        </w:rPr>
        <w:t>Senyvi pacientai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Atsižvelgiant į amžių dozavimo keisti nereikia. Tyrimų, atliktų su senyvo amžiaus žmonėmis, rezultatai parodė, kad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ekspozicija, išreikšta AUC, pavartojus </w:t>
      </w:r>
      <w:r>
        <w:rPr>
          <w:noProof/>
          <w:sz w:val="22"/>
          <w:szCs w:val="22"/>
        </w:rPr>
        <w:t>5 </w:t>
      </w:r>
      <w:r>
        <w:rPr>
          <w:sz w:val="22"/>
          <w:szCs w:val="22"/>
        </w:rPr>
        <w:t xml:space="preserve">mg ar </w:t>
      </w:r>
      <w:r>
        <w:rPr>
          <w:noProof/>
          <w:sz w:val="22"/>
          <w:szCs w:val="22"/>
        </w:rPr>
        <w:t>10 </w:t>
      </w:r>
      <w:r>
        <w:rPr>
          <w:sz w:val="22"/>
          <w:szCs w:val="22"/>
        </w:rPr>
        <w:t xml:space="preserve">mg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sukcinato</w:t>
      </w:r>
      <w:proofErr w:type="spellEnd"/>
      <w:r>
        <w:rPr>
          <w:sz w:val="22"/>
          <w:szCs w:val="22"/>
        </w:rPr>
        <w:t xml:space="preserve"> kartą per parą, sveikų senyvų žmonių (65</w:t>
      </w:r>
      <w:r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sym w:font="Symbol" w:char="F02D"/>
      </w:r>
      <w:r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 xml:space="preserve">80 m.) ir sveikų jaunesnių žmonių (jaunesnių kaip 55 m.) buvo panaši. Senyvų žmonių organizme vidutinis absorbcijos greitis, išreikštas </w:t>
      </w:r>
      <w:proofErr w:type="spellStart"/>
      <w:r>
        <w:rPr>
          <w:sz w:val="22"/>
          <w:szCs w:val="22"/>
        </w:rPr>
        <w:t>t</w:t>
      </w:r>
      <w:r>
        <w:rPr>
          <w:noProof/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>, buvo šiek tiek lėtesnis, o galutinės pusinės eliminacijos laikas maždaug 20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 xml:space="preserve">% ilgesnis. Šis nedidelis skirtumas laikomas kliniškai nereikšmingu.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Farmakokinetinės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savybės vaikų ir paauglių organizme netirtos. 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Lytis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Farmakokinetinėms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savybėms lytis įtakos neturi. 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Rasė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Farmakokinetinėms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savybėms rasė įtakos neturi. 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Sutrikusi inkstų funkcija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AUC ir </w:t>
      </w:r>
      <w:proofErr w:type="spellStart"/>
      <w:r>
        <w:rPr>
          <w:sz w:val="22"/>
          <w:szCs w:val="22"/>
        </w:rPr>
        <w:t>C</w:t>
      </w:r>
      <w:r>
        <w:rPr>
          <w:noProof/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 xml:space="preserve"> rodikliai pacientų, kuriems yra nesunkus arba vidutinio sunkumo inkstų funkcijos sutrikimas, organizme reikšmingai nesiskyrė nuo sveikų savanorių. Ligonių, kuriems yra sunkus inkstų funkcijos sutrikimas (</w:t>
      </w:r>
      <w:proofErr w:type="spellStart"/>
      <w:r>
        <w:rPr>
          <w:sz w:val="22"/>
          <w:szCs w:val="22"/>
        </w:rPr>
        <w:t>kreatinino</w:t>
      </w:r>
      <w:proofErr w:type="spellEnd"/>
      <w:r>
        <w:rPr>
          <w:sz w:val="22"/>
          <w:szCs w:val="22"/>
        </w:rPr>
        <w:t xml:space="preserve"> klirensas ≤ 30 ml/min.), organizme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ekspozicija buvo reikšmingai didesnė negu kontrolinės grupės tiriamųjų: </w:t>
      </w:r>
      <w:proofErr w:type="spellStart"/>
      <w:r>
        <w:rPr>
          <w:sz w:val="22"/>
          <w:szCs w:val="22"/>
        </w:rPr>
        <w:t>C</w:t>
      </w:r>
      <w:r>
        <w:rPr>
          <w:noProof/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 xml:space="preserve"> buvo didesnė maždaug 30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>%, AUC – daugiau kaip 100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>%, t</w:t>
      </w:r>
      <w:r>
        <w:rPr>
          <w:noProof/>
          <w:sz w:val="22"/>
          <w:szCs w:val="22"/>
          <w:vertAlign w:val="subscript"/>
        </w:rPr>
        <w:t>½</w:t>
      </w:r>
      <w:r>
        <w:rPr>
          <w:sz w:val="22"/>
          <w:szCs w:val="22"/>
        </w:rPr>
        <w:t xml:space="preserve"> – daugiau kaip 60</w:t>
      </w:r>
      <w:r>
        <w:rPr>
          <w:noProof/>
          <w:sz w:val="22"/>
          <w:szCs w:val="22"/>
        </w:rPr>
        <w:t> </w:t>
      </w:r>
      <w:r>
        <w:rPr>
          <w:sz w:val="22"/>
          <w:szCs w:val="22"/>
        </w:rPr>
        <w:t xml:space="preserve">%. Nustatytas statistiškai reikšmingas ryšys tarp </w:t>
      </w:r>
      <w:proofErr w:type="spellStart"/>
      <w:r>
        <w:rPr>
          <w:sz w:val="22"/>
          <w:szCs w:val="22"/>
        </w:rPr>
        <w:t>kreatinino</w:t>
      </w:r>
      <w:proofErr w:type="spellEnd"/>
      <w:r>
        <w:rPr>
          <w:sz w:val="22"/>
          <w:szCs w:val="22"/>
        </w:rPr>
        <w:t xml:space="preserve"> klirenso ir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klirenso.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farmakokinetinės</w:t>
      </w:r>
      <w:proofErr w:type="spellEnd"/>
      <w:r>
        <w:rPr>
          <w:sz w:val="22"/>
          <w:szCs w:val="22"/>
        </w:rPr>
        <w:t xml:space="preserve"> savybės pacientams, kuriems atliekamos hemodializės, netirtos. 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Sutrikusi kepenų funkcija </w:t>
      </w:r>
    </w:p>
    <w:p w:rsidR="00955A5A" w:rsidRDefault="00955A5A" w:rsidP="00955A5A">
      <w:pPr>
        <w:rPr>
          <w:sz w:val="22"/>
        </w:rPr>
      </w:pPr>
      <w:r>
        <w:rPr>
          <w:sz w:val="22"/>
          <w:szCs w:val="22"/>
        </w:rPr>
        <w:t xml:space="preserve">Jeigu pacientams yra vidutinio laipsnio kepenų funkcijos sutrikimas (7-9 balai pagal </w:t>
      </w:r>
      <w:proofErr w:type="spellStart"/>
      <w:r>
        <w:rPr>
          <w:sz w:val="22"/>
          <w:szCs w:val="22"/>
        </w:rPr>
        <w:t>Child-Pugh</w:t>
      </w:r>
      <w:proofErr w:type="spellEnd"/>
      <w:r>
        <w:rPr>
          <w:sz w:val="22"/>
          <w:szCs w:val="22"/>
        </w:rPr>
        <w:t xml:space="preserve"> skalę), </w:t>
      </w:r>
      <w:proofErr w:type="spellStart"/>
      <w:r>
        <w:rPr>
          <w:sz w:val="22"/>
          <w:szCs w:val="22"/>
        </w:rPr>
        <w:t>C</w:t>
      </w:r>
      <w:r>
        <w:rPr>
          <w:noProof/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 xml:space="preserve"> nepakinta, AUC padidėja </w:t>
      </w:r>
      <w:r>
        <w:rPr>
          <w:noProof/>
          <w:sz w:val="22"/>
          <w:szCs w:val="22"/>
        </w:rPr>
        <w:t>60 </w:t>
      </w:r>
      <w:r>
        <w:rPr>
          <w:sz w:val="22"/>
          <w:szCs w:val="22"/>
        </w:rPr>
        <w:t>%, t</w:t>
      </w:r>
      <w:r>
        <w:rPr>
          <w:noProof/>
          <w:sz w:val="22"/>
          <w:szCs w:val="22"/>
          <w:vertAlign w:val="subscript"/>
        </w:rPr>
        <w:t>½</w:t>
      </w:r>
      <w:r>
        <w:rPr>
          <w:sz w:val="22"/>
          <w:szCs w:val="22"/>
        </w:rPr>
        <w:t xml:space="preserve"> padvigubėja. </w:t>
      </w:r>
      <w:proofErr w:type="spellStart"/>
      <w:r>
        <w:rPr>
          <w:sz w:val="22"/>
          <w:szCs w:val="22"/>
        </w:rPr>
        <w:t>Farmakokinetinės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solifenacino</w:t>
      </w:r>
      <w:proofErr w:type="spellEnd"/>
      <w:r>
        <w:rPr>
          <w:sz w:val="22"/>
          <w:szCs w:val="22"/>
        </w:rPr>
        <w:t xml:space="preserve"> savybės pacientams, kuriems yra sunkus kepenų funkcijos sutrikimas, netirtos</w:t>
      </w:r>
      <w:r>
        <w:rPr>
          <w:sz w:val="22"/>
        </w:rPr>
        <w:t>.</w:t>
      </w: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5.3</w:t>
      </w:r>
      <w:r>
        <w:rPr>
          <w:b/>
          <w:iCs/>
          <w:kern w:val="28"/>
          <w:sz w:val="22"/>
          <w:szCs w:val="22"/>
        </w:rPr>
        <w:tab/>
      </w:r>
      <w:proofErr w:type="spellStart"/>
      <w:r>
        <w:rPr>
          <w:b/>
          <w:iCs/>
          <w:kern w:val="28"/>
          <w:sz w:val="22"/>
          <w:szCs w:val="22"/>
        </w:rPr>
        <w:t>Ikiklinikinių</w:t>
      </w:r>
      <w:proofErr w:type="spellEnd"/>
      <w:r>
        <w:rPr>
          <w:b/>
          <w:iCs/>
          <w:kern w:val="28"/>
          <w:sz w:val="22"/>
          <w:szCs w:val="22"/>
        </w:rPr>
        <w:t xml:space="preserve"> saugumo tyrimų duomenys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Įprastų farmakologinio saugumo, kartotinių dozių </w:t>
      </w:r>
      <w:proofErr w:type="spellStart"/>
      <w:r>
        <w:rPr>
          <w:sz w:val="22"/>
          <w:szCs w:val="22"/>
        </w:rPr>
        <w:t>toksiškumo</w:t>
      </w:r>
      <w:proofErr w:type="spellEnd"/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 xml:space="preserve">toksinio </w:t>
      </w:r>
      <w:r>
        <w:rPr>
          <w:color w:val="000000"/>
          <w:sz w:val="22"/>
          <w:szCs w:val="22"/>
        </w:rPr>
        <w:t xml:space="preserve">poveikio </w:t>
      </w:r>
      <w:r>
        <w:rPr>
          <w:sz w:val="22"/>
          <w:szCs w:val="22"/>
        </w:rPr>
        <w:t>reprodukcijai</w:t>
      </w:r>
      <w:r>
        <w:rPr>
          <w:color w:val="000000"/>
          <w:sz w:val="22"/>
          <w:szCs w:val="22"/>
        </w:rPr>
        <w:t xml:space="preserve">, embriono ir vaisiaus vystymuisi, </w:t>
      </w:r>
      <w:proofErr w:type="spellStart"/>
      <w:r>
        <w:rPr>
          <w:sz w:val="22"/>
          <w:szCs w:val="22"/>
        </w:rPr>
        <w:t>genotoksiškumo</w:t>
      </w:r>
      <w:proofErr w:type="spellEnd"/>
      <w:r>
        <w:rPr>
          <w:color w:val="000000"/>
          <w:sz w:val="22"/>
          <w:szCs w:val="22"/>
        </w:rPr>
        <w:t xml:space="preserve"> ir </w:t>
      </w:r>
      <w:r>
        <w:rPr>
          <w:sz w:val="22"/>
          <w:szCs w:val="22"/>
        </w:rPr>
        <w:t xml:space="preserve">galimo </w:t>
      </w:r>
      <w:proofErr w:type="spellStart"/>
      <w:r>
        <w:rPr>
          <w:sz w:val="22"/>
          <w:szCs w:val="22"/>
        </w:rPr>
        <w:t>kancegoriškumo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ikiklinikinių</w:t>
      </w:r>
      <w:proofErr w:type="spellEnd"/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tyrimų duomenys </w:t>
      </w:r>
      <w:r>
        <w:rPr>
          <w:sz w:val="22"/>
          <w:szCs w:val="22"/>
        </w:rPr>
        <w:t>specifinio pavojaus žmogui nerodo</w:t>
      </w:r>
      <w:r>
        <w:rPr>
          <w:color w:val="000000"/>
          <w:sz w:val="22"/>
          <w:szCs w:val="22"/>
        </w:rPr>
        <w:t xml:space="preserve">. Tyrimo su pelėmis metu vertinant </w:t>
      </w:r>
      <w:proofErr w:type="spellStart"/>
      <w:r>
        <w:rPr>
          <w:color w:val="000000"/>
          <w:sz w:val="22"/>
          <w:szCs w:val="22"/>
        </w:rPr>
        <w:t>prenatalinį</w:t>
      </w:r>
      <w:proofErr w:type="spellEnd"/>
      <w:r>
        <w:rPr>
          <w:color w:val="000000"/>
          <w:sz w:val="22"/>
          <w:szCs w:val="22"/>
        </w:rPr>
        <w:t xml:space="preserve"> ir </w:t>
      </w:r>
      <w:proofErr w:type="spellStart"/>
      <w:r>
        <w:rPr>
          <w:color w:val="000000"/>
          <w:sz w:val="22"/>
          <w:szCs w:val="22"/>
        </w:rPr>
        <w:t>postnatalinį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vystimąsi</w:t>
      </w:r>
      <w:proofErr w:type="spellEnd"/>
      <w:r>
        <w:rPr>
          <w:color w:val="000000"/>
          <w:sz w:val="22"/>
          <w:szCs w:val="22"/>
        </w:rPr>
        <w:t xml:space="preserve"> nustatyta, kad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skiriant </w:t>
      </w:r>
      <w:proofErr w:type="spellStart"/>
      <w:r>
        <w:rPr>
          <w:color w:val="000000"/>
          <w:sz w:val="22"/>
          <w:szCs w:val="22"/>
        </w:rPr>
        <w:t>laktuojančioms</w:t>
      </w:r>
      <w:proofErr w:type="spellEnd"/>
      <w:r>
        <w:rPr>
          <w:color w:val="000000"/>
          <w:sz w:val="22"/>
          <w:szCs w:val="22"/>
        </w:rPr>
        <w:t xml:space="preserve"> patelėms priklausomai nuo dozės kliniškai reikšmingais dydžiais sumažėja atsivestų jauniklių </w:t>
      </w:r>
      <w:proofErr w:type="spellStart"/>
      <w:r>
        <w:rPr>
          <w:color w:val="000000"/>
          <w:sz w:val="22"/>
          <w:szCs w:val="22"/>
        </w:rPr>
        <w:t>išgyvenamumas</w:t>
      </w:r>
      <w:proofErr w:type="spellEnd"/>
      <w:r>
        <w:rPr>
          <w:color w:val="000000"/>
          <w:sz w:val="22"/>
          <w:szCs w:val="22"/>
        </w:rPr>
        <w:t>, jų svoris ir sulėtėja fizinis vystymasis</w:t>
      </w:r>
      <w:r w:rsidRPr="00902E24">
        <w:rPr>
          <w:color w:val="000000"/>
          <w:sz w:val="22"/>
          <w:szCs w:val="22"/>
        </w:rPr>
        <w:t xml:space="preserve">. </w:t>
      </w:r>
      <w:r w:rsidRPr="00902E24">
        <w:rPr>
          <w:color w:val="000000"/>
        </w:rPr>
        <w:t xml:space="preserve">Pelių jaunikliams, kuriems nuo 10-osios arba nuo 21-osios dienos po gimimo buvo skiriama tokių vaistinio preparato dozių, kurios sukėlė farmakologinį poveikį, nustatytas nuo dozės priklausantis padidėjęs kritimų dažnis be prieš tai pasireiškiančių </w:t>
      </w:r>
      <w:r w:rsidRPr="00902E24">
        <w:rPr>
          <w:color w:val="000000"/>
        </w:rPr>
        <w:lastRenderedPageBreak/>
        <w:t>klinikinių požymių; abejose grupėse nustatytas padidėjęs kritimų dažnis lyginant su suaugusiomis pelėmis. Pelių jaunikliams, kuriems vaistinio preparato buvo skirta nuo 10-osios dienos po gimimo, preparato ekspozicija plazmoje buvo didesnė nei suaugusioms pelėms; o pelių jaunikliams, kuriems vaistinio preparato buvo skirta nuo 21</w:t>
      </w:r>
      <w:r w:rsidRPr="00902E24">
        <w:rPr>
          <w:color w:val="000000"/>
        </w:rPr>
        <w:noBreakHyphen/>
        <w:t>osios dienos po gimimo, preparato sisteminė ekspozicija buvo panaši kaip ir suaugusioms pelėms. Klinikinė padidėjusio pelių jauniklių kritimo dažnio reikšmė nežinoma</w:t>
      </w:r>
      <w:r w:rsidRPr="00902E24">
        <w:t>.</w:t>
      </w:r>
      <w:r w:rsidRPr="00902E24">
        <w:rPr>
          <w:sz w:val="22"/>
          <w:szCs w:val="22"/>
        </w:rPr>
        <w:t>.</w:t>
      </w:r>
    </w:p>
    <w:p w:rsidR="00955A5A" w:rsidRDefault="00955A5A" w:rsidP="00955A5A">
      <w:pPr>
        <w:rPr>
          <w:color w:val="000000"/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  <w:t>FARMACINĖ INFORMACIJA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6.1</w:t>
      </w:r>
      <w:r>
        <w:rPr>
          <w:b/>
          <w:iCs/>
          <w:kern w:val="28"/>
          <w:sz w:val="22"/>
          <w:szCs w:val="22"/>
        </w:rPr>
        <w:tab/>
        <w:t>Pagalbinių medžiagų sąrašas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Tabletės šerdis</w:t>
      </w: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Kukurūzų krakmolas</w:t>
      </w: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Laktozės </w:t>
      </w:r>
      <w:proofErr w:type="spellStart"/>
      <w:r>
        <w:rPr>
          <w:color w:val="000000"/>
          <w:sz w:val="22"/>
          <w:szCs w:val="22"/>
        </w:rPr>
        <w:t>monohidratas</w:t>
      </w:r>
      <w:proofErr w:type="spellEnd"/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Hipromeliozė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Magnio </w:t>
      </w:r>
      <w:proofErr w:type="spellStart"/>
      <w:r>
        <w:rPr>
          <w:color w:val="000000"/>
          <w:sz w:val="22"/>
          <w:szCs w:val="22"/>
        </w:rPr>
        <w:t>stearatas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955A5A" w:rsidRDefault="00955A5A" w:rsidP="00955A5A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Plėvelė</w:t>
      </w:r>
    </w:p>
    <w:p w:rsidR="00955A5A" w:rsidRDefault="00955A5A" w:rsidP="00955A5A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Makrogolis</w:t>
      </w:r>
      <w:proofErr w:type="spellEnd"/>
      <w:r>
        <w:rPr>
          <w:color w:val="000000"/>
          <w:sz w:val="22"/>
          <w:szCs w:val="22"/>
        </w:rPr>
        <w:t xml:space="preserve"> 8000</w:t>
      </w:r>
    </w:p>
    <w:p w:rsidR="00955A5A" w:rsidRDefault="00955A5A" w:rsidP="00955A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Talkas</w:t>
      </w:r>
    </w:p>
    <w:p w:rsidR="00955A5A" w:rsidRDefault="00955A5A" w:rsidP="00955A5A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Hipromeliozė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(E464)</w:t>
      </w:r>
    </w:p>
    <w:p w:rsidR="00955A5A" w:rsidRDefault="00955A5A" w:rsidP="00955A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Titano dioksidas (E171) </w:t>
      </w:r>
    </w:p>
    <w:p w:rsidR="00955A5A" w:rsidRDefault="00955A5A" w:rsidP="00955A5A">
      <w:pPr>
        <w:rPr>
          <w:sz w:val="22"/>
          <w:szCs w:val="22"/>
        </w:rPr>
      </w:pPr>
      <w:r>
        <w:rPr>
          <w:noProof/>
          <w:color w:val="000000"/>
          <w:sz w:val="22"/>
          <w:szCs w:val="22"/>
        </w:rPr>
        <w:t>Raudonasis</w:t>
      </w:r>
      <w:r>
        <w:rPr>
          <w:color w:val="000000"/>
          <w:sz w:val="22"/>
          <w:szCs w:val="22"/>
        </w:rPr>
        <w:t xml:space="preserve"> geležies oksidas (E172)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6.2</w:t>
      </w:r>
      <w:r>
        <w:rPr>
          <w:b/>
          <w:iCs/>
          <w:kern w:val="28"/>
          <w:sz w:val="22"/>
          <w:szCs w:val="22"/>
        </w:rPr>
        <w:tab/>
        <w:t>Nesuderinamumas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>Duomenys nebūtini.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6.3</w:t>
      </w:r>
      <w:r>
        <w:rPr>
          <w:b/>
          <w:iCs/>
          <w:kern w:val="28"/>
          <w:sz w:val="22"/>
          <w:szCs w:val="22"/>
        </w:rPr>
        <w:tab/>
        <w:t>Tinkamumo laikas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>3 metai.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6.4</w:t>
      </w:r>
      <w:r>
        <w:rPr>
          <w:b/>
          <w:iCs/>
          <w:kern w:val="28"/>
          <w:sz w:val="22"/>
          <w:szCs w:val="22"/>
        </w:rPr>
        <w:tab/>
        <w:t>Specialios laikymo sąlygos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noProof/>
          <w:sz w:val="22"/>
          <w:szCs w:val="22"/>
        </w:rPr>
      </w:pPr>
      <w:r>
        <w:rPr>
          <w:color w:val="000000"/>
          <w:sz w:val="22"/>
          <w:szCs w:val="22"/>
        </w:rPr>
        <w:t>Šiam vaistiniam preparatui specialių laikymo sąlygų nereikia.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6.5</w:t>
      </w:r>
      <w:r>
        <w:rPr>
          <w:b/>
          <w:iCs/>
          <w:kern w:val="28"/>
          <w:sz w:val="22"/>
          <w:szCs w:val="22"/>
        </w:rPr>
        <w:tab/>
      </w:r>
      <w:proofErr w:type="spellStart"/>
      <w:r>
        <w:rPr>
          <w:b/>
          <w:iCs/>
          <w:kern w:val="28"/>
          <w:sz w:val="22"/>
          <w:szCs w:val="22"/>
        </w:rPr>
        <w:t>Talpyklės</w:t>
      </w:r>
      <w:proofErr w:type="spellEnd"/>
      <w:r>
        <w:rPr>
          <w:b/>
          <w:iCs/>
          <w:kern w:val="28"/>
          <w:sz w:val="22"/>
          <w:szCs w:val="22"/>
        </w:rPr>
        <w:t xml:space="preserve"> pobūdis ir jos turinys</w:t>
      </w:r>
    </w:p>
    <w:p w:rsidR="00955A5A" w:rsidRDefault="00955A5A" w:rsidP="00955A5A">
      <w:pPr>
        <w:rPr>
          <w:i/>
          <w:sz w:val="22"/>
        </w:rPr>
      </w:pP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  <w:u w:val="single"/>
        </w:rPr>
        <w:t>Talpyklė</w:t>
      </w:r>
      <w:proofErr w:type="spellEnd"/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>PVC/aliuminio lizdinės plokštelės</w:t>
      </w:r>
      <w:r>
        <w:rPr>
          <w:noProof/>
          <w:sz w:val="22"/>
          <w:szCs w:val="22"/>
        </w:rPr>
        <w:t>, į kurias supakuotos tabletės</w:t>
      </w:r>
      <w:r>
        <w:rPr>
          <w:sz w:val="22"/>
          <w:szCs w:val="22"/>
        </w:rPr>
        <w:t xml:space="preserve">. </w:t>
      </w:r>
    </w:p>
    <w:p w:rsidR="00955A5A" w:rsidRDefault="00955A5A" w:rsidP="00955A5A">
      <w:pPr>
        <w:rPr>
          <w:i/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i/>
          <w:sz w:val="22"/>
          <w:szCs w:val="22"/>
        </w:rPr>
        <w:t>Pakuotės dydis (lizdinė plokštelė):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>3, 5, 10, 20, 30, 50, 60, 90, 100 arba 200 tablečių (gali būti tiekiamos ne visų dydžių pakuotės).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keepNext/>
        <w:keepLines/>
        <w:tabs>
          <w:tab w:val="left" w:pos="567"/>
        </w:tabs>
        <w:ind w:left="567" w:hanging="567"/>
        <w:outlineLvl w:val="2"/>
        <w:rPr>
          <w:b/>
          <w:iCs/>
          <w:kern w:val="28"/>
          <w:sz w:val="22"/>
          <w:szCs w:val="22"/>
        </w:rPr>
      </w:pPr>
      <w:r>
        <w:rPr>
          <w:b/>
          <w:iCs/>
          <w:kern w:val="28"/>
          <w:sz w:val="22"/>
          <w:szCs w:val="22"/>
        </w:rPr>
        <w:t>6.6</w:t>
      </w:r>
      <w:r>
        <w:rPr>
          <w:b/>
          <w:iCs/>
          <w:kern w:val="28"/>
          <w:sz w:val="22"/>
          <w:szCs w:val="22"/>
        </w:rPr>
        <w:tab/>
        <w:t xml:space="preserve">Specialūs reikalavimai atliekoms tvarkyti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>Specialių reikalavimų nėra.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ab/>
        <w:t>RINKODAROS TEISĖS TURĖTOJAS</w:t>
      </w:r>
    </w:p>
    <w:p w:rsidR="00955A5A" w:rsidRDefault="00955A5A" w:rsidP="00955A5A">
      <w:pPr>
        <w:rPr>
          <w:sz w:val="22"/>
          <w:szCs w:val="22"/>
        </w:rPr>
      </w:pPr>
    </w:p>
    <w:p w:rsidR="00E25517" w:rsidRDefault="00E25517" w:rsidP="00E25517">
      <w:pPr>
        <w:rPr>
          <w:sz w:val="22"/>
          <w:szCs w:val="22"/>
          <w:lang w:eastAsia="en-GB"/>
        </w:rPr>
      </w:pPr>
      <w:proofErr w:type="spellStart"/>
      <w:r w:rsidRPr="00E25517">
        <w:rPr>
          <w:sz w:val="22"/>
          <w:szCs w:val="22"/>
          <w:lang w:eastAsia="en-GB"/>
        </w:rPr>
        <w:t>Astellas</w:t>
      </w:r>
      <w:proofErr w:type="spellEnd"/>
      <w:r w:rsidRPr="00E25517">
        <w:rPr>
          <w:sz w:val="22"/>
          <w:szCs w:val="22"/>
          <w:lang w:eastAsia="en-GB"/>
        </w:rPr>
        <w:t xml:space="preserve"> </w:t>
      </w:r>
      <w:proofErr w:type="spellStart"/>
      <w:r w:rsidRPr="00E25517">
        <w:rPr>
          <w:sz w:val="22"/>
          <w:szCs w:val="22"/>
          <w:lang w:eastAsia="en-GB"/>
        </w:rPr>
        <w:t>Pharma</w:t>
      </w:r>
      <w:proofErr w:type="spellEnd"/>
      <w:r w:rsidRPr="00E25517">
        <w:rPr>
          <w:sz w:val="22"/>
          <w:szCs w:val="22"/>
          <w:lang w:eastAsia="en-GB"/>
        </w:rPr>
        <w:t xml:space="preserve"> </w:t>
      </w:r>
      <w:proofErr w:type="spellStart"/>
      <w:r w:rsidRPr="00E25517">
        <w:rPr>
          <w:sz w:val="22"/>
          <w:szCs w:val="22"/>
          <w:lang w:eastAsia="en-GB"/>
        </w:rPr>
        <w:t>d.o.o</w:t>
      </w:r>
      <w:proofErr w:type="spellEnd"/>
      <w:r w:rsidRPr="00E25517">
        <w:rPr>
          <w:sz w:val="22"/>
          <w:szCs w:val="22"/>
          <w:lang w:eastAsia="en-GB"/>
        </w:rPr>
        <w:t xml:space="preserve">. </w:t>
      </w:r>
    </w:p>
    <w:p w:rsidR="00E25517" w:rsidRDefault="00E25517" w:rsidP="00E25517">
      <w:pPr>
        <w:rPr>
          <w:sz w:val="22"/>
          <w:szCs w:val="22"/>
          <w:lang w:eastAsia="en-GB"/>
        </w:rPr>
      </w:pPr>
      <w:proofErr w:type="spellStart"/>
      <w:r w:rsidRPr="00E25517">
        <w:rPr>
          <w:sz w:val="22"/>
          <w:szCs w:val="22"/>
          <w:lang w:eastAsia="en-GB"/>
        </w:rPr>
        <w:t>Šmartinska</w:t>
      </w:r>
      <w:proofErr w:type="spellEnd"/>
      <w:r w:rsidRPr="00E25517">
        <w:rPr>
          <w:sz w:val="22"/>
          <w:szCs w:val="22"/>
          <w:lang w:eastAsia="en-GB"/>
        </w:rPr>
        <w:t xml:space="preserve"> </w:t>
      </w:r>
      <w:proofErr w:type="spellStart"/>
      <w:r w:rsidRPr="00E25517">
        <w:rPr>
          <w:sz w:val="22"/>
          <w:szCs w:val="22"/>
          <w:lang w:eastAsia="en-GB"/>
        </w:rPr>
        <w:t>cesta</w:t>
      </w:r>
      <w:proofErr w:type="spellEnd"/>
      <w:r w:rsidRPr="00E25517">
        <w:rPr>
          <w:sz w:val="22"/>
          <w:szCs w:val="22"/>
          <w:lang w:eastAsia="en-GB"/>
        </w:rPr>
        <w:t xml:space="preserve"> 53 </w:t>
      </w:r>
    </w:p>
    <w:p w:rsidR="00E25517" w:rsidRDefault="00E25517" w:rsidP="00E25517">
      <w:pPr>
        <w:rPr>
          <w:sz w:val="22"/>
          <w:szCs w:val="22"/>
          <w:lang w:eastAsia="en-GB"/>
        </w:rPr>
      </w:pPr>
      <w:r w:rsidRPr="00E25517">
        <w:rPr>
          <w:sz w:val="22"/>
          <w:szCs w:val="22"/>
          <w:lang w:eastAsia="en-GB"/>
        </w:rPr>
        <w:t xml:space="preserve">1000 </w:t>
      </w:r>
      <w:proofErr w:type="spellStart"/>
      <w:r w:rsidRPr="00E25517">
        <w:rPr>
          <w:sz w:val="22"/>
          <w:szCs w:val="22"/>
          <w:lang w:eastAsia="en-GB"/>
        </w:rPr>
        <w:t>Ljubljana</w:t>
      </w:r>
      <w:proofErr w:type="spellEnd"/>
      <w:r w:rsidRPr="00E25517">
        <w:rPr>
          <w:sz w:val="22"/>
          <w:szCs w:val="22"/>
          <w:lang w:eastAsia="en-GB"/>
        </w:rPr>
        <w:t xml:space="preserve"> </w:t>
      </w:r>
    </w:p>
    <w:p w:rsidR="00E25517" w:rsidRPr="00E25517" w:rsidRDefault="00E25517" w:rsidP="00E25517">
      <w:pPr>
        <w:rPr>
          <w:sz w:val="22"/>
          <w:szCs w:val="22"/>
          <w:lang w:eastAsia="en-GB"/>
        </w:rPr>
      </w:pPr>
      <w:r w:rsidRPr="00E25517">
        <w:rPr>
          <w:sz w:val="22"/>
          <w:szCs w:val="22"/>
          <w:lang w:eastAsia="en-GB"/>
        </w:rPr>
        <w:t>Slovėnija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</w:rPr>
        <w:tab/>
        <w:t>RINKODAROS TEISĖS NUMERIS (-IAI)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N3 – LT/1/05/0465/010 </w:t>
      </w:r>
    </w:p>
    <w:p w:rsidR="00955A5A" w:rsidRDefault="00955A5A" w:rsidP="00955A5A">
      <w:pPr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N5 – LT/1/05/0465/011 </w:t>
      </w:r>
    </w:p>
    <w:p w:rsidR="00955A5A" w:rsidRDefault="00955A5A" w:rsidP="00955A5A">
      <w:pPr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N10 – LT/1/05/0465/012 </w:t>
      </w:r>
    </w:p>
    <w:p w:rsidR="00955A5A" w:rsidRDefault="00955A5A" w:rsidP="00955A5A">
      <w:pPr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N20 – LT/1/05/0465/013 </w:t>
      </w:r>
    </w:p>
    <w:p w:rsidR="00955A5A" w:rsidRDefault="00955A5A" w:rsidP="00955A5A">
      <w:pPr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N30 – LT/1/05/0465/014 </w:t>
      </w:r>
    </w:p>
    <w:p w:rsidR="00955A5A" w:rsidRDefault="00955A5A" w:rsidP="00955A5A">
      <w:pPr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N50 – LT/1/05/0465/015 </w:t>
      </w:r>
    </w:p>
    <w:p w:rsidR="00955A5A" w:rsidRDefault="00955A5A" w:rsidP="00955A5A">
      <w:pPr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N60 – LT/1/05/0465/016 </w:t>
      </w:r>
    </w:p>
    <w:p w:rsidR="00955A5A" w:rsidRDefault="00955A5A" w:rsidP="00955A5A">
      <w:pPr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N90 – LT/1/05/0465/017 </w:t>
      </w:r>
    </w:p>
    <w:p w:rsidR="00955A5A" w:rsidRDefault="00955A5A" w:rsidP="00955A5A">
      <w:pPr>
        <w:rPr>
          <w:noProof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N100 – LT/1/05/0465/018 </w:t>
      </w:r>
    </w:p>
    <w:p w:rsidR="00955A5A" w:rsidRDefault="00955A5A" w:rsidP="00955A5A">
      <w:pPr>
        <w:rPr>
          <w:sz w:val="22"/>
          <w:szCs w:val="22"/>
        </w:rPr>
      </w:pPr>
      <w:r>
        <w:rPr>
          <w:color w:val="000000"/>
          <w:sz w:val="22"/>
          <w:szCs w:val="22"/>
        </w:rPr>
        <w:t>N200 – LT/1/05/0465/020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ab/>
        <w:t>RINKODAROS TEISĖS SUTEIKIMO / ATNAUJINIMO DATA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pStyle w:val="BTEMEASMCA"/>
        <w:rPr>
          <w:noProof w:val="0"/>
        </w:rPr>
      </w:pPr>
      <w:r>
        <w:t xml:space="preserve">Rinkodaros teisė pirmą kartą suteikta </w:t>
      </w:r>
      <w:r>
        <w:rPr>
          <w:noProof w:val="0"/>
          <w:color w:val="000000"/>
        </w:rPr>
        <w:t>2006 m. kovo mėn. 30 d.</w:t>
      </w:r>
    </w:p>
    <w:p w:rsidR="00955A5A" w:rsidRDefault="00955A5A" w:rsidP="00955A5A">
      <w:pPr>
        <w:pStyle w:val="BTEMEASMCA"/>
        <w:rPr>
          <w:noProof w:val="0"/>
        </w:rPr>
      </w:pPr>
      <w:r>
        <w:rPr>
          <w:szCs w:val="24"/>
        </w:rPr>
        <w:t xml:space="preserve">Rinkodaros </w:t>
      </w:r>
      <w:r>
        <w:t>teisė</w:t>
      </w:r>
      <w:r>
        <w:rPr>
          <w:szCs w:val="24"/>
        </w:rPr>
        <w:t xml:space="preserve"> paskutinį kartą </w:t>
      </w:r>
      <w:r>
        <w:t>atnaujinta</w:t>
      </w:r>
      <w:r>
        <w:rPr>
          <w:szCs w:val="24"/>
        </w:rPr>
        <w:t xml:space="preserve"> 2009 m. spalio mėn. 20 d.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keepNext/>
        <w:tabs>
          <w:tab w:val="left" w:pos="567"/>
        </w:tabs>
        <w:ind w:left="567" w:hanging="567"/>
        <w:outlineLvl w:val="1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>10.</w:t>
      </w:r>
      <w:r>
        <w:rPr>
          <w:b/>
          <w:sz w:val="22"/>
          <w:szCs w:val="22"/>
        </w:rPr>
        <w:tab/>
        <w:t>TEKSTO PERŽIŪROS DATA</w:t>
      </w:r>
    </w:p>
    <w:p w:rsidR="00955A5A" w:rsidRDefault="00955A5A" w:rsidP="00955A5A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</w:p>
    <w:p w:rsidR="00955A5A" w:rsidRPr="00E25517" w:rsidRDefault="00E25517" w:rsidP="00955A5A">
      <w:pPr>
        <w:rPr>
          <w:sz w:val="22"/>
          <w:szCs w:val="22"/>
        </w:rPr>
      </w:pPr>
      <w:r w:rsidRPr="00E25517">
        <w:rPr>
          <w:sz w:val="22"/>
          <w:szCs w:val="22"/>
        </w:rPr>
        <w:t>2018-08-09</w:t>
      </w:r>
    </w:p>
    <w:p w:rsidR="00955A5A" w:rsidRDefault="00955A5A" w:rsidP="00955A5A">
      <w:pPr>
        <w:rPr>
          <w:noProof/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Pr="00432743" w:rsidRDefault="00955A5A" w:rsidP="00955A5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432743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432743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3" w:history="1">
        <w:r w:rsidRPr="003628D4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3628D4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:rsidR="00955A5A" w:rsidRDefault="00955A5A" w:rsidP="00955A5A">
      <w:pPr>
        <w:pStyle w:val="BTEMEASMCA"/>
        <w:rPr>
          <w:noProof w:val="0"/>
          <w:color w:val="0000FF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  <w:color w:val="0000FF"/>
        </w:rPr>
        <w:br w:type="page"/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TTEMEASMCA"/>
      </w:pPr>
      <w:bookmarkStart w:id="60" w:name="_Toc129243128"/>
      <w:bookmarkStart w:id="61" w:name="_Toc129243253"/>
      <w:r>
        <w:t>II PRIEDAS</w:t>
      </w:r>
      <w:bookmarkEnd w:id="60"/>
      <w:bookmarkEnd w:id="61"/>
    </w:p>
    <w:p w:rsidR="00955A5A" w:rsidRDefault="00955A5A" w:rsidP="00955A5A">
      <w:pPr>
        <w:pStyle w:val="TTEMEASMCA"/>
      </w:pPr>
    </w:p>
    <w:p w:rsidR="00955A5A" w:rsidRDefault="00955A5A" w:rsidP="00955A5A">
      <w:pPr>
        <w:pStyle w:val="TTEMEASMCA"/>
      </w:pPr>
      <w:r>
        <w:t>RINKODAROS SĄLYGOS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Pr="00F379AD" w:rsidRDefault="00955A5A" w:rsidP="00955A5A">
      <w:pPr>
        <w:pStyle w:val="BTAnIIEMEASMCA"/>
        <w:rPr>
          <w:highlight w:val="yellow"/>
          <w:lang w:val="lt-LT"/>
        </w:rPr>
      </w:pPr>
      <w:r w:rsidRPr="00EB165F">
        <w:rPr>
          <w:lang w:val="lt-LT"/>
        </w:rPr>
        <w:t>A.</w:t>
      </w:r>
      <w:r>
        <w:rPr>
          <w:lang w:val="lt-LT"/>
        </w:rPr>
        <w:tab/>
        <w:t>GAMINTOJAS</w:t>
      </w:r>
      <w:r w:rsidRPr="00EB165F">
        <w:rPr>
          <w:lang w:val="lt-LT"/>
        </w:rPr>
        <w:t>, ATSAKINGAS UŽ SERIJŲ IŠLEIDIMĄ</w:t>
      </w:r>
    </w:p>
    <w:p w:rsidR="00955A5A" w:rsidRDefault="00955A5A" w:rsidP="00955A5A">
      <w:pPr>
        <w:pStyle w:val="BTEMEASMCA"/>
        <w:rPr>
          <w:noProof w:val="0"/>
          <w:highlight w:val="yellow"/>
        </w:rPr>
      </w:pPr>
    </w:p>
    <w:p w:rsidR="00955A5A" w:rsidRDefault="00955A5A" w:rsidP="00955A5A">
      <w:pPr>
        <w:pStyle w:val="BTAnIIEMEASMCA"/>
        <w:rPr>
          <w:lang w:val="lt-LT"/>
        </w:rPr>
      </w:pPr>
      <w:r w:rsidRPr="00EB165F">
        <w:rPr>
          <w:lang w:val="lt-LT"/>
        </w:rPr>
        <w:t>B.</w:t>
      </w:r>
      <w:r>
        <w:rPr>
          <w:lang w:val="lt-LT"/>
        </w:rPr>
        <w:tab/>
      </w:r>
      <w:r>
        <w:rPr>
          <w:szCs w:val="24"/>
          <w:lang w:val="lt-LT"/>
        </w:rPr>
        <w:t>TIEKIMO IR VARTOJIMO SĄLYGOS AR APRIBOJIMAI</w:t>
      </w:r>
    </w:p>
    <w:p w:rsidR="00955A5A" w:rsidRDefault="00955A5A" w:rsidP="00955A5A">
      <w:pPr>
        <w:pStyle w:val="BTEMEASMCA"/>
        <w:rPr>
          <w:noProof w:val="0"/>
          <w:highlight w:val="yellow"/>
        </w:rPr>
      </w:pPr>
    </w:p>
    <w:p w:rsidR="00955A5A" w:rsidRPr="00F379AD" w:rsidRDefault="00955A5A" w:rsidP="00955A5A">
      <w:pPr>
        <w:pStyle w:val="BTAnIIEMEASMCA"/>
        <w:rPr>
          <w:lang w:val="lt-LT"/>
        </w:rPr>
      </w:pPr>
      <w:r>
        <w:rPr>
          <w:szCs w:val="24"/>
          <w:lang w:val="lt-LT"/>
        </w:rPr>
        <w:t>C.</w:t>
      </w:r>
      <w:r>
        <w:rPr>
          <w:lang w:val="lt-LT"/>
        </w:rPr>
        <w:tab/>
        <w:t xml:space="preserve">KITOS </w:t>
      </w:r>
      <w:r>
        <w:rPr>
          <w:szCs w:val="24"/>
          <w:lang w:val="lt-LT"/>
        </w:rPr>
        <w:t xml:space="preserve">SĄLYGOS IR REIKALAVIMAI </w:t>
      </w:r>
      <w:r w:rsidRPr="00EB165F">
        <w:rPr>
          <w:lang w:val="lt-LT"/>
        </w:rPr>
        <w:t xml:space="preserve">RINKODAROS TEISĖS </w:t>
      </w:r>
      <w:r>
        <w:rPr>
          <w:szCs w:val="24"/>
          <w:lang w:val="lt-LT"/>
        </w:rPr>
        <w:t>TURĖTOJUI</w:t>
      </w:r>
    </w:p>
    <w:p w:rsidR="00955A5A" w:rsidRDefault="00955A5A" w:rsidP="00955A5A">
      <w:pPr>
        <w:pStyle w:val="PI-1EMEASMCA"/>
      </w:pPr>
      <w:r>
        <w:br w:type="page"/>
      </w:r>
      <w:r>
        <w:lastRenderedPageBreak/>
        <w:t>A.</w:t>
      </w:r>
      <w:r>
        <w:tab/>
        <w:t>GAMINTOJAS, ATSAKINGAS UŽ SERIJŲ IŠLEIDIMĄ</w:t>
      </w:r>
    </w:p>
    <w:p w:rsidR="00955A5A" w:rsidRDefault="00955A5A" w:rsidP="00955A5A">
      <w:pPr>
        <w:pStyle w:val="BTEMEASMCA"/>
        <w:rPr>
          <w:noProof w:val="0"/>
          <w:highlight w:val="yellow"/>
        </w:rPr>
      </w:pPr>
    </w:p>
    <w:p w:rsidR="00955A5A" w:rsidRDefault="00955A5A" w:rsidP="00955A5A">
      <w:pPr>
        <w:pStyle w:val="BTuEMEASMCA"/>
        <w:rPr>
          <w:noProof w:val="0"/>
        </w:rPr>
      </w:pPr>
      <w:r>
        <w:rPr>
          <w:noProof w:val="0"/>
        </w:rPr>
        <w:t>Gamintojo, atsakingo už serijų išleidimą, pavadinimas ir adresas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Astellas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</w:t>
      </w:r>
      <w:proofErr w:type="spellEnd"/>
      <w:r>
        <w:rPr>
          <w:sz w:val="22"/>
          <w:szCs w:val="22"/>
        </w:rPr>
        <w:t xml:space="preserve"> B.V.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Sylviusweg</w:t>
      </w:r>
      <w:proofErr w:type="spellEnd"/>
      <w:r>
        <w:rPr>
          <w:sz w:val="22"/>
          <w:szCs w:val="22"/>
        </w:rPr>
        <w:t xml:space="preserve"> 62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2333 BE </w:t>
      </w:r>
      <w:proofErr w:type="spellStart"/>
      <w:r>
        <w:rPr>
          <w:sz w:val="22"/>
          <w:szCs w:val="22"/>
        </w:rPr>
        <w:t>Leiden</w:t>
      </w:r>
      <w:proofErr w:type="spellEnd"/>
      <w:r>
        <w:rPr>
          <w:sz w:val="22"/>
          <w:szCs w:val="22"/>
        </w:rPr>
        <w:t xml:space="preserve"> </w:t>
      </w:r>
    </w:p>
    <w:p w:rsidR="00955A5A" w:rsidRDefault="00955A5A" w:rsidP="00955A5A">
      <w:pPr>
        <w:pStyle w:val="BTEMEASMCA"/>
      </w:pPr>
      <w:r>
        <w:t>Nyderlandai</w:t>
      </w:r>
    </w:p>
    <w:p w:rsidR="00955A5A" w:rsidRDefault="00955A5A" w:rsidP="00955A5A">
      <w:pPr>
        <w:pStyle w:val="BTEMEASMCA"/>
        <w:rPr>
          <w:noProof w:val="0"/>
          <w:highlight w:val="yellow"/>
        </w:rPr>
      </w:pPr>
    </w:p>
    <w:p w:rsidR="00955A5A" w:rsidRDefault="00955A5A" w:rsidP="00955A5A">
      <w:pPr>
        <w:pStyle w:val="BTEMEASMCA"/>
        <w:rPr>
          <w:noProof w:val="0"/>
          <w:highlight w:val="yellow"/>
        </w:rPr>
      </w:pPr>
    </w:p>
    <w:p w:rsidR="00955A5A" w:rsidRDefault="00955A5A" w:rsidP="00955A5A">
      <w:pPr>
        <w:pStyle w:val="PI-2EMEASMCA"/>
      </w:pPr>
      <w:bookmarkStart w:id="62" w:name="_Toc129243129"/>
      <w:bookmarkStart w:id="63" w:name="_Toc129243254"/>
      <w:r>
        <w:t>B.</w:t>
      </w:r>
      <w:r>
        <w:tab/>
      </w:r>
      <w:bookmarkStart w:id="64" w:name="_Toc129243130"/>
      <w:bookmarkStart w:id="65" w:name="_Toc129243255"/>
      <w:bookmarkEnd w:id="62"/>
      <w:bookmarkEnd w:id="63"/>
      <w:r>
        <w:t>TIEKIMO IR VARTOJIMO SĄLYGOS AR APRIBOJIMAI</w:t>
      </w:r>
      <w:bookmarkEnd w:id="64"/>
      <w:bookmarkEnd w:id="65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Receptinis vaistinis preparatas.</w:t>
      </w:r>
    </w:p>
    <w:p w:rsidR="00955A5A" w:rsidRDefault="00955A5A" w:rsidP="00955A5A">
      <w:pPr>
        <w:pStyle w:val="BTEMEASMCA"/>
        <w:rPr>
          <w:noProof w:val="0"/>
          <w:highlight w:val="yellow"/>
        </w:rPr>
      </w:pPr>
    </w:p>
    <w:p w:rsidR="00955A5A" w:rsidRDefault="00955A5A" w:rsidP="00955A5A">
      <w:pPr>
        <w:pStyle w:val="PI-2EMEASMCA"/>
      </w:pPr>
      <w:bookmarkStart w:id="66" w:name="_Toc129243131"/>
      <w:bookmarkStart w:id="67" w:name="_Toc129243256"/>
    </w:p>
    <w:p w:rsidR="00955A5A" w:rsidRDefault="00955A5A" w:rsidP="00955A5A">
      <w:pPr>
        <w:pStyle w:val="PI-2EMEASMCA"/>
      </w:pPr>
      <w:r>
        <w:t>C.</w:t>
      </w:r>
      <w:r>
        <w:tab/>
        <w:t xml:space="preserve">KITOS SĄLYGOS </w:t>
      </w:r>
      <w:r>
        <w:rPr>
          <w:szCs w:val="24"/>
        </w:rPr>
        <w:t>IR REIKALAVIMAI RINKODAROS TEISĖS TURĖTOJUI</w:t>
      </w:r>
      <w:bookmarkEnd w:id="66"/>
      <w:bookmarkEnd w:id="67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Nereikia.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  <w:highlight w:val="yellow"/>
        </w:rPr>
      </w:pPr>
    </w:p>
    <w:p w:rsidR="00955A5A" w:rsidRDefault="00955A5A" w:rsidP="00955A5A">
      <w:pPr>
        <w:pStyle w:val="BTEMEASMCA"/>
        <w:rPr>
          <w:noProof w:val="0"/>
          <w:highlight w:val="yellow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br w:type="page"/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TTEMEASMCA"/>
      </w:pPr>
      <w:bookmarkStart w:id="68" w:name="_Toc129243134"/>
      <w:bookmarkStart w:id="69" w:name="_Toc129243259"/>
      <w:r>
        <w:t>III PRIEDAS</w:t>
      </w:r>
      <w:bookmarkEnd w:id="68"/>
      <w:bookmarkEnd w:id="69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TTEMEASMCA"/>
      </w:pPr>
      <w:bookmarkStart w:id="70" w:name="_Toc129243135"/>
      <w:bookmarkStart w:id="71" w:name="_Toc129243260"/>
      <w:r>
        <w:t>ŽENKLINIMAS IR PAKUOTĖS LAPELIS</w:t>
      </w:r>
      <w:bookmarkEnd w:id="70"/>
      <w:bookmarkEnd w:id="71"/>
    </w:p>
    <w:p w:rsidR="00955A5A" w:rsidRDefault="00955A5A" w:rsidP="00955A5A">
      <w:pPr>
        <w:rPr>
          <w:sz w:val="22"/>
          <w:szCs w:val="22"/>
        </w:rPr>
      </w:pPr>
      <w:r>
        <w:br w:type="page"/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TTEMEASMCA"/>
      </w:pPr>
      <w:bookmarkStart w:id="72" w:name="_Toc129243136"/>
      <w:bookmarkStart w:id="73" w:name="_Toc129243261"/>
      <w:r>
        <w:t>A. ŽENKLINIMAS</w:t>
      </w:r>
      <w:bookmarkEnd w:id="72"/>
      <w:bookmarkEnd w:id="73"/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br w:type="page"/>
      </w:r>
    </w:p>
    <w:p w:rsidR="00955A5A" w:rsidRDefault="00955A5A" w:rsidP="00955A5A">
      <w:pPr>
        <w:pStyle w:val="PI-1labEMEASMCA"/>
      </w:pPr>
      <w:r>
        <w:lastRenderedPageBreak/>
        <w:t>INFORMACIJA ANT IŠORINĖS PAKUOTĖS</w:t>
      </w:r>
    </w:p>
    <w:p w:rsidR="00955A5A" w:rsidRDefault="00955A5A" w:rsidP="00955A5A">
      <w:pPr>
        <w:pStyle w:val="PI-1labEMEASMCA"/>
      </w:pPr>
    </w:p>
    <w:p w:rsidR="00955A5A" w:rsidRDefault="00955A5A" w:rsidP="00955A5A">
      <w:pPr>
        <w:pStyle w:val="PI-1labEMEASMCA"/>
        <w:rPr>
          <w:bCs/>
        </w:rPr>
      </w:pPr>
      <w:r>
        <w:t>KARTONO DĖŽUTĖ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1.</w:t>
      </w:r>
      <w:r>
        <w:tab/>
        <w:t>VAISTINIO PREPARATO PAVADINIMAS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agrindinistekstas"/>
        <w:rPr>
          <w:color w:val="000000"/>
          <w:sz w:val="22"/>
          <w:szCs w:val="22"/>
          <w:lang w:val="lt-LT"/>
        </w:rPr>
      </w:pPr>
      <w:proofErr w:type="spellStart"/>
      <w:r>
        <w:rPr>
          <w:color w:val="000000"/>
          <w:sz w:val="22"/>
          <w:szCs w:val="22"/>
          <w:lang w:val="lt-LT"/>
        </w:rPr>
        <w:t>Vesicare</w:t>
      </w:r>
      <w:proofErr w:type="spellEnd"/>
      <w:r>
        <w:rPr>
          <w:color w:val="000000"/>
          <w:sz w:val="22"/>
          <w:szCs w:val="22"/>
          <w:lang w:val="lt-LT"/>
        </w:rPr>
        <w:t xml:space="preserve"> 5 mg plėvele dengtos tabletės</w:t>
      </w:r>
    </w:p>
    <w:p w:rsidR="00955A5A" w:rsidRDefault="00955A5A" w:rsidP="00955A5A">
      <w:pPr>
        <w:pStyle w:val="Pagrindinistekstas"/>
        <w:rPr>
          <w:color w:val="000000"/>
          <w:sz w:val="22"/>
          <w:szCs w:val="22"/>
          <w:lang w:val="lt-LT"/>
        </w:rPr>
      </w:pPr>
      <w:proofErr w:type="spellStart"/>
      <w:r>
        <w:rPr>
          <w:color w:val="000000"/>
          <w:sz w:val="22"/>
          <w:szCs w:val="22"/>
          <w:lang w:val="lt-LT"/>
        </w:rPr>
        <w:t>Solifenacini</w:t>
      </w:r>
      <w:proofErr w:type="spellEnd"/>
      <w:r>
        <w:rPr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color w:val="000000"/>
          <w:sz w:val="22"/>
          <w:szCs w:val="22"/>
          <w:lang w:val="lt-LT"/>
        </w:rPr>
        <w:t>succinas</w:t>
      </w:r>
      <w:proofErr w:type="spellEnd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2.</w:t>
      </w:r>
      <w:r>
        <w:tab/>
        <w:t>VEIKLIOJI MEDŽIAGA IR JOS KIEKIS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Default="00955A5A" w:rsidP="00955A5A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 xml:space="preserve">Vienoje tabletėje yra 5 mg </w:t>
      </w:r>
      <w:proofErr w:type="spellStart"/>
      <w:r>
        <w:rPr>
          <w:noProof w:val="0"/>
          <w:color w:val="000000"/>
        </w:rPr>
        <w:t>solifenacino</w:t>
      </w:r>
      <w:proofErr w:type="spellEnd"/>
      <w:r>
        <w:rPr>
          <w:noProof w:val="0"/>
          <w:color w:val="000000"/>
        </w:rPr>
        <w:t xml:space="preserve"> </w:t>
      </w:r>
      <w:proofErr w:type="spellStart"/>
      <w:r>
        <w:rPr>
          <w:noProof w:val="0"/>
          <w:color w:val="000000"/>
        </w:rPr>
        <w:t>sukcinato</w:t>
      </w:r>
      <w:proofErr w:type="spellEnd"/>
      <w:r>
        <w:rPr>
          <w:noProof w:val="0"/>
          <w:color w:val="000000"/>
        </w:rPr>
        <w:t xml:space="preserve">, atitinkančio 3,8 mg </w:t>
      </w:r>
      <w:proofErr w:type="spellStart"/>
      <w:r>
        <w:rPr>
          <w:noProof w:val="0"/>
          <w:color w:val="000000"/>
        </w:rPr>
        <w:t>solifenacino</w:t>
      </w:r>
      <w:proofErr w:type="spellEnd"/>
      <w:r>
        <w:rPr>
          <w:noProof w:val="0"/>
          <w:color w:val="000000"/>
        </w:rPr>
        <w:t>.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Pr="007A55F9" w:rsidRDefault="00955A5A" w:rsidP="00955A5A">
      <w:pPr>
        <w:pStyle w:val="PI-1labEMEASMCA"/>
        <w:rPr>
          <w:highlight w:val="lightGray"/>
        </w:rPr>
      </w:pPr>
      <w:r>
        <w:t>3.</w:t>
      </w:r>
      <w:r>
        <w:tab/>
        <w:t>PAGALBINIŲ MEDŽIAGŲ SĄRAŠAS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  <w:color w:val="000000"/>
        </w:rPr>
        <w:t>Sudėtyje yra laktozės.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4.</w:t>
      </w:r>
      <w:r>
        <w:tab/>
        <w:t>FARMACINĖ FORMA IR KIEKIS PAKUOTĖJE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EB165F">
        <w:rPr>
          <w:color w:val="000000"/>
          <w:highlight w:val="lightGray"/>
        </w:rPr>
        <w:t>Plėvele dengta tabletė</w:t>
      </w:r>
    </w:p>
    <w:p w:rsidR="00955A5A" w:rsidRDefault="00955A5A" w:rsidP="00955A5A">
      <w:pPr>
        <w:pStyle w:val="BTEMEASMCA"/>
        <w:rPr>
          <w:noProof w:val="0"/>
          <w:color w:val="000000"/>
        </w:rPr>
      </w:pPr>
      <w:r w:rsidRPr="00EB165F">
        <w:rPr>
          <w:color w:val="000000"/>
          <w:highlight w:val="lightGray"/>
        </w:rPr>
        <w:t>3 tabletės</w:t>
      </w: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7A55F9">
        <w:rPr>
          <w:color w:val="000000"/>
          <w:highlight w:val="lightGray"/>
        </w:rPr>
        <w:t>5 tabletės</w:t>
      </w: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7A55F9">
        <w:rPr>
          <w:color w:val="000000"/>
          <w:highlight w:val="lightGray"/>
        </w:rPr>
        <w:t>10 tablečių</w:t>
      </w: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7A55F9">
        <w:rPr>
          <w:color w:val="000000"/>
          <w:highlight w:val="lightGray"/>
        </w:rPr>
        <w:t>20 tablečių</w:t>
      </w: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7A55F9">
        <w:rPr>
          <w:color w:val="000000"/>
          <w:highlight w:val="lightGray"/>
        </w:rPr>
        <w:t>30 tablečių</w:t>
      </w: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7A55F9">
        <w:rPr>
          <w:color w:val="000000"/>
          <w:highlight w:val="lightGray"/>
        </w:rPr>
        <w:t>50 tablečių</w:t>
      </w: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7A55F9">
        <w:rPr>
          <w:color w:val="000000"/>
          <w:highlight w:val="lightGray"/>
        </w:rPr>
        <w:t>60 tablečių</w:t>
      </w: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7A55F9">
        <w:rPr>
          <w:color w:val="000000"/>
          <w:highlight w:val="lightGray"/>
        </w:rPr>
        <w:t>90 tablečių</w:t>
      </w:r>
    </w:p>
    <w:p w:rsidR="00955A5A" w:rsidRDefault="00955A5A" w:rsidP="00955A5A">
      <w:pPr>
        <w:pStyle w:val="BTEMEASMCA"/>
        <w:rPr>
          <w:noProof w:val="0"/>
          <w:color w:val="000000"/>
        </w:rPr>
      </w:pPr>
      <w:r w:rsidRPr="007A55F9">
        <w:rPr>
          <w:color w:val="000000"/>
          <w:highlight w:val="lightGray"/>
        </w:rPr>
        <w:t>100 tablečių</w:t>
      </w:r>
    </w:p>
    <w:p w:rsidR="00955A5A" w:rsidRDefault="00955A5A" w:rsidP="00955A5A">
      <w:pPr>
        <w:pStyle w:val="BTEMEASMCA"/>
        <w:rPr>
          <w:noProof w:val="0"/>
          <w:color w:val="000000"/>
        </w:rPr>
      </w:pPr>
      <w:r w:rsidRPr="007A55F9">
        <w:rPr>
          <w:color w:val="000000"/>
          <w:highlight w:val="lightGray"/>
        </w:rPr>
        <w:t>200 tablečių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Pr="007A55F9" w:rsidRDefault="00955A5A" w:rsidP="00955A5A">
      <w:pPr>
        <w:pStyle w:val="PI-1labEMEASMCA"/>
        <w:rPr>
          <w:highlight w:val="lightGray"/>
        </w:rPr>
      </w:pPr>
      <w:r>
        <w:t>5.</w:t>
      </w:r>
      <w:r>
        <w:tab/>
        <w:t>VARTOJIMO METODAS IR BŪDAS (-AI)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t>Tabletę reikia gerti nesmulkintą.</w:t>
      </w:r>
      <w:r>
        <w:rPr>
          <w:noProof w:val="0"/>
        </w:rPr>
        <w:t xml:space="preserve"> </w:t>
      </w: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Vartoti per burną</w:t>
      </w:r>
      <w:r>
        <w:t>.</w:t>
      </w: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Prieš vartojimą perskaitykite pakuotės lapelį.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6.</w:t>
      </w:r>
      <w:r>
        <w:tab/>
        <w:t>SPECIALUS ĮSPĖJIMAS, KAD VAISTINĮ PREPARATĄ BŪTINA LAIKYTI VAIKAMS NEPASTEBIMOJE IR NEPASIEKIAMOJE VIETOJE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Laikyti vaikams nepastebimoje ir nepasiekiamoje vietoje.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Pr="007A55F9" w:rsidRDefault="00955A5A" w:rsidP="00955A5A">
      <w:pPr>
        <w:pStyle w:val="PI-1labEMEASMCA"/>
        <w:rPr>
          <w:highlight w:val="lightGray"/>
        </w:rPr>
      </w:pPr>
      <w:r>
        <w:t>7.</w:t>
      </w:r>
      <w:r>
        <w:tab/>
        <w:t>KITAS (-I) SPECIALUS (-ŪS) ĮSPĖJIMAS (-AI) (JEI REIKIA)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Pr="007A55F9" w:rsidRDefault="00955A5A" w:rsidP="00955A5A">
      <w:pPr>
        <w:pStyle w:val="PI-1labEMEASMCA"/>
        <w:rPr>
          <w:highlight w:val="lightGray"/>
        </w:rPr>
      </w:pPr>
      <w:r>
        <w:t>8.</w:t>
      </w:r>
      <w:r>
        <w:tab/>
        <w:t>TINKAMUMO LAIKAS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Tinka iki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9.</w:t>
      </w:r>
      <w:r>
        <w:tab/>
        <w:t>SPECIALIOS LAIKYMO SĄLYGOS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10.</w:t>
      </w:r>
      <w:r>
        <w:tab/>
        <w:t xml:space="preserve">SPECIALIOS ATSARGUMO PRIEMONĖS DĖL NESUVARTOTO </w:t>
      </w:r>
      <w:r>
        <w:rPr>
          <w:bCs/>
        </w:rPr>
        <w:t xml:space="preserve">VAISTINIO PREPARATO AR JO ATLIEKŲ </w:t>
      </w:r>
      <w:r>
        <w:t>TVARKYMO (JEI REIKIA)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11.</w:t>
      </w:r>
      <w:r>
        <w:tab/>
        <w:t>RINKODAROS TEISĖS TURĖTOJO PAVADINIMAS IR ADRESAS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>Rinkodaros teisės turėtojas:</w:t>
      </w:r>
    </w:p>
    <w:p w:rsidR="00E25517" w:rsidRPr="003B47A2" w:rsidRDefault="00E25517" w:rsidP="00E25517">
      <w:pPr>
        <w:rPr>
          <w:sz w:val="22"/>
          <w:szCs w:val="22"/>
          <w:lang w:eastAsia="en-GB"/>
        </w:rPr>
      </w:pPr>
      <w:proofErr w:type="spellStart"/>
      <w:r w:rsidRPr="003B47A2">
        <w:rPr>
          <w:sz w:val="22"/>
          <w:szCs w:val="22"/>
          <w:lang w:eastAsia="en-GB"/>
        </w:rPr>
        <w:t>Astellas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  <w:proofErr w:type="spellStart"/>
      <w:r w:rsidRPr="003B47A2">
        <w:rPr>
          <w:sz w:val="22"/>
          <w:szCs w:val="22"/>
          <w:lang w:eastAsia="en-GB"/>
        </w:rPr>
        <w:t>Pharma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  <w:proofErr w:type="spellStart"/>
      <w:r w:rsidRPr="003B47A2">
        <w:rPr>
          <w:sz w:val="22"/>
          <w:szCs w:val="22"/>
          <w:lang w:eastAsia="en-GB"/>
        </w:rPr>
        <w:t>d.o.o</w:t>
      </w:r>
      <w:proofErr w:type="spellEnd"/>
      <w:r w:rsidRPr="003B47A2">
        <w:rPr>
          <w:sz w:val="22"/>
          <w:szCs w:val="22"/>
          <w:lang w:eastAsia="en-GB"/>
        </w:rPr>
        <w:t xml:space="preserve">. </w:t>
      </w:r>
    </w:p>
    <w:p w:rsidR="00E25517" w:rsidRPr="003B47A2" w:rsidRDefault="00E25517" w:rsidP="00E25517">
      <w:pPr>
        <w:rPr>
          <w:sz w:val="22"/>
          <w:szCs w:val="22"/>
          <w:lang w:eastAsia="en-GB"/>
        </w:rPr>
      </w:pPr>
      <w:proofErr w:type="spellStart"/>
      <w:r w:rsidRPr="003B47A2">
        <w:rPr>
          <w:sz w:val="22"/>
          <w:szCs w:val="22"/>
          <w:lang w:eastAsia="en-GB"/>
        </w:rPr>
        <w:t>Šmartinska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  <w:proofErr w:type="spellStart"/>
      <w:r w:rsidRPr="003B47A2">
        <w:rPr>
          <w:sz w:val="22"/>
          <w:szCs w:val="22"/>
          <w:lang w:eastAsia="en-GB"/>
        </w:rPr>
        <w:t>cesta</w:t>
      </w:r>
      <w:proofErr w:type="spellEnd"/>
      <w:r w:rsidRPr="003B47A2">
        <w:rPr>
          <w:sz w:val="22"/>
          <w:szCs w:val="22"/>
          <w:lang w:eastAsia="en-GB"/>
        </w:rPr>
        <w:t xml:space="preserve"> 53 </w:t>
      </w:r>
    </w:p>
    <w:p w:rsidR="00E25517" w:rsidRPr="003B47A2" w:rsidRDefault="00E25517" w:rsidP="00E25517">
      <w:pPr>
        <w:rPr>
          <w:sz w:val="22"/>
          <w:szCs w:val="22"/>
          <w:lang w:eastAsia="en-GB"/>
        </w:rPr>
      </w:pPr>
      <w:r w:rsidRPr="003B47A2">
        <w:rPr>
          <w:sz w:val="22"/>
          <w:szCs w:val="22"/>
          <w:lang w:eastAsia="en-GB"/>
        </w:rPr>
        <w:t xml:space="preserve">1000 </w:t>
      </w:r>
      <w:proofErr w:type="spellStart"/>
      <w:r w:rsidRPr="003B47A2">
        <w:rPr>
          <w:sz w:val="22"/>
          <w:szCs w:val="22"/>
          <w:lang w:eastAsia="en-GB"/>
        </w:rPr>
        <w:t>Ljubljana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</w:p>
    <w:p w:rsidR="00E25517" w:rsidRPr="003B47A2" w:rsidRDefault="00E25517" w:rsidP="00E25517">
      <w:pPr>
        <w:rPr>
          <w:sz w:val="22"/>
          <w:szCs w:val="22"/>
          <w:lang w:eastAsia="en-GB"/>
        </w:rPr>
      </w:pPr>
      <w:r w:rsidRPr="003B47A2">
        <w:rPr>
          <w:sz w:val="22"/>
          <w:szCs w:val="22"/>
          <w:lang w:eastAsia="en-GB"/>
        </w:rPr>
        <w:t>Slovėnija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12.</w:t>
      </w:r>
      <w:r>
        <w:tab/>
        <w:t>RINKODAROS TEISĖS NUMERIS (-IAI)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 w:rsidRPr="00EB165F">
        <w:rPr>
          <w:highlight w:val="lightGray"/>
        </w:rPr>
        <w:t>LT/1/05/0465/001</w:t>
      </w:r>
    </w:p>
    <w:p w:rsidR="00955A5A" w:rsidRPr="007A55F9" w:rsidRDefault="00955A5A" w:rsidP="00955A5A">
      <w:pPr>
        <w:pStyle w:val="BTEMEASMCA"/>
        <w:rPr>
          <w:highlight w:val="lightGray"/>
        </w:rPr>
      </w:pPr>
      <w:r w:rsidRPr="007A55F9">
        <w:rPr>
          <w:highlight w:val="lightGray"/>
        </w:rPr>
        <w:t>LT/1/05/0465/002</w:t>
      </w:r>
    </w:p>
    <w:p w:rsidR="00955A5A" w:rsidRPr="007A55F9" w:rsidRDefault="00955A5A" w:rsidP="00955A5A">
      <w:pPr>
        <w:pStyle w:val="BTEMEASMCA"/>
        <w:rPr>
          <w:highlight w:val="lightGray"/>
        </w:rPr>
      </w:pPr>
      <w:r w:rsidRPr="007A55F9">
        <w:rPr>
          <w:highlight w:val="lightGray"/>
        </w:rPr>
        <w:t>LT/1/05/0465/003</w:t>
      </w:r>
    </w:p>
    <w:p w:rsidR="00955A5A" w:rsidRPr="007A55F9" w:rsidRDefault="00955A5A" w:rsidP="00955A5A">
      <w:pPr>
        <w:pStyle w:val="BTEMEASMCA"/>
        <w:rPr>
          <w:highlight w:val="lightGray"/>
        </w:rPr>
      </w:pPr>
      <w:r w:rsidRPr="007A55F9">
        <w:rPr>
          <w:highlight w:val="lightGray"/>
        </w:rPr>
        <w:t>LT/1/05/0465/004</w:t>
      </w:r>
    </w:p>
    <w:p w:rsidR="00955A5A" w:rsidRPr="007A55F9" w:rsidRDefault="00955A5A" w:rsidP="00955A5A">
      <w:pPr>
        <w:pStyle w:val="BTEMEASMCA"/>
        <w:rPr>
          <w:highlight w:val="lightGray"/>
        </w:rPr>
      </w:pPr>
      <w:r w:rsidRPr="007A55F9">
        <w:rPr>
          <w:highlight w:val="lightGray"/>
        </w:rPr>
        <w:t>LT/1/05/0465/005</w:t>
      </w:r>
    </w:p>
    <w:p w:rsidR="00955A5A" w:rsidRPr="007A55F9" w:rsidRDefault="00955A5A" w:rsidP="00955A5A">
      <w:pPr>
        <w:pStyle w:val="BTEMEASMCA"/>
        <w:rPr>
          <w:highlight w:val="lightGray"/>
        </w:rPr>
      </w:pPr>
      <w:r w:rsidRPr="007A55F9">
        <w:rPr>
          <w:highlight w:val="lightGray"/>
        </w:rPr>
        <w:t>LT/1/05/0465/006</w:t>
      </w:r>
    </w:p>
    <w:p w:rsidR="00955A5A" w:rsidRPr="007A55F9" w:rsidRDefault="00955A5A" w:rsidP="00955A5A">
      <w:pPr>
        <w:pStyle w:val="BTEMEASMCA"/>
        <w:rPr>
          <w:highlight w:val="lightGray"/>
        </w:rPr>
      </w:pPr>
      <w:r w:rsidRPr="007A55F9">
        <w:rPr>
          <w:highlight w:val="lightGray"/>
        </w:rPr>
        <w:t>LT/1/05/0465/007</w:t>
      </w:r>
    </w:p>
    <w:p w:rsidR="00955A5A" w:rsidRPr="007A55F9" w:rsidRDefault="00955A5A" w:rsidP="00955A5A">
      <w:pPr>
        <w:pStyle w:val="BTEMEASMCA"/>
        <w:rPr>
          <w:highlight w:val="lightGray"/>
        </w:rPr>
      </w:pPr>
      <w:r w:rsidRPr="007A55F9">
        <w:rPr>
          <w:highlight w:val="lightGray"/>
        </w:rPr>
        <w:t>LT/1/05/0465/008</w:t>
      </w:r>
    </w:p>
    <w:p w:rsidR="00955A5A" w:rsidRDefault="00955A5A" w:rsidP="00955A5A">
      <w:pPr>
        <w:pStyle w:val="BTEMEASMCA"/>
        <w:rPr>
          <w:noProof w:val="0"/>
        </w:rPr>
      </w:pPr>
      <w:r w:rsidRPr="007A55F9">
        <w:rPr>
          <w:highlight w:val="lightGray"/>
        </w:rPr>
        <w:t>LT/1/05/0465/009</w:t>
      </w:r>
    </w:p>
    <w:p w:rsidR="00955A5A" w:rsidRDefault="00955A5A" w:rsidP="00955A5A">
      <w:pPr>
        <w:pStyle w:val="BTEMEASMCA"/>
        <w:rPr>
          <w:noProof w:val="0"/>
        </w:rPr>
      </w:pPr>
      <w:r w:rsidRPr="00EB165F">
        <w:t>LT/1/05/0465/019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13.</w:t>
      </w:r>
      <w:r>
        <w:tab/>
        <w:t>SERIJOS NUMERIS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Serija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14.</w:t>
      </w:r>
      <w:r>
        <w:tab/>
        <w:t>PARDAVIMO (IŠDAVIMO) TVARKA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Receptinis vaistinis preparatas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15.</w:t>
      </w:r>
      <w:r>
        <w:tab/>
        <w:t>VARTOJIMO INSTRUKCIJA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16.</w:t>
      </w:r>
      <w:r>
        <w:tab/>
        <w:t>INFORMACIJA BRAILIO RAŠTU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proofErr w:type="spellStart"/>
      <w:r>
        <w:rPr>
          <w:noProof w:val="0"/>
        </w:rPr>
        <w:t>vesicare</w:t>
      </w:r>
      <w:proofErr w:type="spellEnd"/>
      <w:r>
        <w:rPr>
          <w:noProof w:val="0"/>
        </w:rPr>
        <w:t xml:space="preserve"> 5 mg</w:t>
      </w:r>
    </w:p>
    <w:p w:rsidR="00955A5A" w:rsidRDefault="00955A5A" w:rsidP="00955A5A">
      <w:pPr>
        <w:pStyle w:val="BTEMEASMCA"/>
        <w:rPr>
          <w:noProof w:val="0"/>
        </w:rPr>
      </w:pPr>
    </w:p>
    <w:p w:rsidR="001D3894" w:rsidRPr="001D3894" w:rsidRDefault="001D3894" w:rsidP="001D3894">
      <w:pPr>
        <w:rPr>
          <w:sz w:val="22"/>
          <w:szCs w:val="20"/>
        </w:rPr>
      </w:pPr>
    </w:p>
    <w:p w:rsidR="001D3894" w:rsidRPr="00E37DDC" w:rsidRDefault="001D3894" w:rsidP="001D38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E37DDC">
        <w:rPr>
          <w:b/>
          <w:noProof/>
          <w:sz w:val="22"/>
          <w:szCs w:val="22"/>
        </w:rPr>
        <w:t>17.     UNIKALUS IDENTIFIKATORIUS – 2D BRŪKŠNINIS KODAS</w:t>
      </w:r>
    </w:p>
    <w:p w:rsidR="001D3894" w:rsidRPr="00E37DDC" w:rsidRDefault="001D3894" w:rsidP="001D3894">
      <w:pPr>
        <w:rPr>
          <w:noProof/>
          <w:sz w:val="22"/>
          <w:szCs w:val="22"/>
        </w:rPr>
      </w:pPr>
    </w:p>
    <w:p w:rsidR="001D3894" w:rsidRPr="00E37DDC" w:rsidRDefault="001D3894" w:rsidP="001D3894">
      <w:pPr>
        <w:rPr>
          <w:noProof/>
          <w:sz w:val="22"/>
          <w:szCs w:val="22"/>
          <w:shd w:val="clear" w:color="auto" w:fill="CCCCCC"/>
        </w:rPr>
      </w:pPr>
      <w:r w:rsidRPr="00E37DDC">
        <w:rPr>
          <w:noProof/>
          <w:sz w:val="22"/>
          <w:szCs w:val="22"/>
          <w:highlight w:val="lightGray"/>
        </w:rPr>
        <w:t>2D brūkšninis kodas su nurodytu unikaliu identifikatoriumi.</w:t>
      </w:r>
    </w:p>
    <w:p w:rsidR="001D3894" w:rsidRPr="00E37DDC" w:rsidRDefault="001D3894" w:rsidP="001D3894">
      <w:pPr>
        <w:rPr>
          <w:noProof/>
          <w:sz w:val="22"/>
          <w:szCs w:val="22"/>
        </w:rPr>
      </w:pPr>
    </w:p>
    <w:p w:rsidR="001D3894" w:rsidRPr="00E37DDC" w:rsidRDefault="001D3894" w:rsidP="001D3894">
      <w:pPr>
        <w:rPr>
          <w:noProof/>
          <w:sz w:val="22"/>
          <w:szCs w:val="22"/>
        </w:rPr>
      </w:pPr>
    </w:p>
    <w:p w:rsidR="001D3894" w:rsidRPr="00E37DDC" w:rsidRDefault="001D3894" w:rsidP="001D38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E37DDC">
        <w:rPr>
          <w:b/>
          <w:noProof/>
          <w:sz w:val="22"/>
          <w:szCs w:val="22"/>
        </w:rPr>
        <w:lastRenderedPageBreak/>
        <w:t>18.      UNIKALUS IDENTIFIKATORIUS – ŽMONĖMS SUPRANTAMI DUOMENYS</w:t>
      </w:r>
    </w:p>
    <w:p w:rsidR="001D3894" w:rsidRPr="00E37DDC" w:rsidRDefault="001D3894" w:rsidP="001D3894">
      <w:pPr>
        <w:rPr>
          <w:noProof/>
          <w:sz w:val="22"/>
          <w:szCs w:val="22"/>
        </w:rPr>
      </w:pPr>
    </w:p>
    <w:p w:rsidR="001D3894" w:rsidRPr="00E37DDC" w:rsidRDefault="001D3894" w:rsidP="001D3894">
      <w:pPr>
        <w:rPr>
          <w:color w:val="008000"/>
          <w:sz w:val="22"/>
          <w:szCs w:val="22"/>
        </w:rPr>
      </w:pPr>
      <w:r w:rsidRPr="00E37DDC">
        <w:rPr>
          <w:sz w:val="22"/>
          <w:szCs w:val="22"/>
        </w:rPr>
        <w:t>PC: {numeris}</w:t>
      </w:r>
    </w:p>
    <w:p w:rsidR="001D3894" w:rsidRPr="00E37DDC" w:rsidRDefault="001D3894" w:rsidP="001D3894">
      <w:pPr>
        <w:rPr>
          <w:b/>
          <w:noProof/>
          <w:sz w:val="22"/>
          <w:szCs w:val="22"/>
          <w:u w:val="single"/>
        </w:rPr>
      </w:pPr>
      <w:r w:rsidRPr="00E37DDC">
        <w:rPr>
          <w:sz w:val="22"/>
          <w:szCs w:val="22"/>
        </w:rPr>
        <w:t>SN: {numeris}</w:t>
      </w:r>
    </w:p>
    <w:p w:rsidR="00955A5A" w:rsidRPr="001D3894" w:rsidRDefault="00955A5A" w:rsidP="00955A5A">
      <w:pPr>
        <w:pStyle w:val="BTEMEASMCA"/>
        <w:rPr>
          <w:noProof w:val="0"/>
          <w:szCs w:val="22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br w:type="page"/>
      </w:r>
    </w:p>
    <w:p w:rsidR="00955A5A" w:rsidRDefault="00955A5A" w:rsidP="00955A5A">
      <w:pPr>
        <w:pStyle w:val="PI-1labEMEASMCA"/>
      </w:pPr>
      <w:r>
        <w:lastRenderedPageBreak/>
        <w:t xml:space="preserve">MINIMALI </w:t>
      </w:r>
      <w:r>
        <w:rPr>
          <w:caps/>
        </w:rPr>
        <w:t xml:space="preserve">informacija ant </w:t>
      </w:r>
      <w:r>
        <w:t>LIZDINIŲ PLOKŠTELIŲ ARBA DVISLUOKSNIŲ JUOSTELIŲ</w:t>
      </w:r>
    </w:p>
    <w:p w:rsidR="00955A5A" w:rsidRDefault="00955A5A" w:rsidP="00955A5A">
      <w:pPr>
        <w:pStyle w:val="PI-1labEMEASMCA"/>
      </w:pPr>
    </w:p>
    <w:p w:rsidR="00955A5A" w:rsidRDefault="00955A5A" w:rsidP="00955A5A">
      <w:pPr>
        <w:pStyle w:val="PI-1labEMEASMCA"/>
      </w:pPr>
      <w:r>
        <w:t>LIZDINĖ PLOKŠTELĖ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1.</w:t>
      </w:r>
      <w:r>
        <w:tab/>
        <w:t>VAISTINIO PREPARATO PAVADINIMAS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agrindinistekstas"/>
        <w:rPr>
          <w:color w:val="000000"/>
          <w:sz w:val="22"/>
          <w:szCs w:val="22"/>
          <w:lang w:val="lt-LT"/>
        </w:rPr>
      </w:pPr>
      <w:proofErr w:type="spellStart"/>
      <w:r>
        <w:rPr>
          <w:color w:val="000000"/>
          <w:sz w:val="22"/>
          <w:szCs w:val="22"/>
          <w:lang w:val="lt-LT"/>
        </w:rPr>
        <w:t>Vesicare</w:t>
      </w:r>
      <w:proofErr w:type="spellEnd"/>
      <w:r>
        <w:rPr>
          <w:color w:val="000000"/>
          <w:sz w:val="22"/>
          <w:szCs w:val="22"/>
          <w:lang w:val="lt-LT"/>
        </w:rPr>
        <w:t xml:space="preserve"> 5 mg plėvele dengtos tabletės</w:t>
      </w:r>
    </w:p>
    <w:p w:rsidR="00955A5A" w:rsidRDefault="00955A5A" w:rsidP="00955A5A">
      <w:pPr>
        <w:pStyle w:val="Pagrindinistekstas"/>
        <w:rPr>
          <w:color w:val="000000"/>
          <w:sz w:val="22"/>
          <w:szCs w:val="22"/>
          <w:lang w:val="lt-LT"/>
        </w:rPr>
      </w:pPr>
      <w:proofErr w:type="spellStart"/>
      <w:r>
        <w:rPr>
          <w:color w:val="000000"/>
          <w:sz w:val="22"/>
          <w:szCs w:val="22"/>
          <w:lang w:val="lt-LT"/>
        </w:rPr>
        <w:t>Solifenacini</w:t>
      </w:r>
      <w:proofErr w:type="spellEnd"/>
      <w:r>
        <w:rPr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color w:val="000000"/>
          <w:sz w:val="22"/>
          <w:szCs w:val="22"/>
          <w:lang w:val="lt-LT"/>
        </w:rPr>
        <w:t>succinas</w:t>
      </w:r>
      <w:proofErr w:type="spellEnd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2.</w:t>
      </w:r>
      <w:r>
        <w:tab/>
        <w:t>RINKODAROS TEISĖS TURĖTOJO PAVADINIMAS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proofErr w:type="spellStart"/>
      <w:r>
        <w:rPr>
          <w:noProof w:val="0"/>
          <w:color w:val="000000"/>
        </w:rPr>
        <w:t>Astellas</w:t>
      </w:r>
      <w:proofErr w:type="spellEnd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3.</w:t>
      </w:r>
      <w:r>
        <w:tab/>
        <w:t>TINKAMUMO LAIKAS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  <w:color w:val="000000"/>
        </w:rPr>
        <w:t>EXP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4.</w:t>
      </w:r>
      <w:r>
        <w:tab/>
        <w:t>SERIJOS NUMERIS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  <w:color w:val="000000"/>
        </w:rPr>
      </w:pPr>
      <w:proofErr w:type="spellStart"/>
      <w:r>
        <w:rPr>
          <w:noProof w:val="0"/>
          <w:color w:val="000000"/>
        </w:rPr>
        <w:t>Lot</w:t>
      </w:r>
      <w:proofErr w:type="spellEnd"/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5.</w:t>
      </w:r>
      <w:r>
        <w:tab/>
        <w:t>KITA</w:t>
      </w:r>
    </w:p>
    <w:p w:rsidR="00955A5A" w:rsidRDefault="00955A5A" w:rsidP="00955A5A"/>
    <w:p w:rsidR="00955A5A" w:rsidRDefault="00955A5A" w:rsidP="00955A5A"/>
    <w:p w:rsidR="00955A5A" w:rsidRDefault="00955A5A" w:rsidP="00955A5A"/>
    <w:p w:rsidR="00955A5A" w:rsidRDefault="00955A5A" w:rsidP="00955A5A"/>
    <w:p w:rsidR="00955A5A" w:rsidRDefault="00955A5A" w:rsidP="00955A5A"/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bookmarkStart w:id="74" w:name="_Toc129243138"/>
      <w:bookmarkStart w:id="75" w:name="_Toc129243263"/>
      <w:r>
        <w:rPr>
          <w:noProof w:val="0"/>
        </w:rPr>
        <w:br w:type="page"/>
      </w:r>
    </w:p>
    <w:p w:rsidR="00955A5A" w:rsidRDefault="00955A5A" w:rsidP="00955A5A">
      <w:pPr>
        <w:pStyle w:val="PI-1labEMEASMCA"/>
      </w:pPr>
      <w:r>
        <w:lastRenderedPageBreak/>
        <w:t xml:space="preserve">INFORMACIJA </w:t>
      </w:r>
      <w:bookmarkEnd w:id="74"/>
      <w:bookmarkEnd w:id="75"/>
      <w:r>
        <w:t xml:space="preserve">ANT </w:t>
      </w:r>
      <w:r>
        <w:rPr>
          <w:noProof w:val="0"/>
        </w:rPr>
        <w:t>IŠORINĖS</w:t>
      </w:r>
      <w:r>
        <w:t xml:space="preserve"> </w:t>
      </w:r>
      <w:r>
        <w:rPr>
          <w:noProof w:val="0"/>
        </w:rPr>
        <w:t>PAKUOTĖS</w:t>
      </w:r>
    </w:p>
    <w:p w:rsidR="00955A5A" w:rsidRDefault="00955A5A" w:rsidP="00955A5A">
      <w:pPr>
        <w:pStyle w:val="PI-1labEMEASMCA"/>
        <w:rPr>
          <w:noProof w:val="0"/>
        </w:rPr>
      </w:pPr>
    </w:p>
    <w:p w:rsidR="00955A5A" w:rsidRDefault="00955A5A" w:rsidP="00955A5A">
      <w:pPr>
        <w:pStyle w:val="PI-1labEMEASMCA"/>
        <w:rPr>
          <w:noProof w:val="0"/>
        </w:rPr>
      </w:pPr>
      <w:r>
        <w:t>KARTONO DĖŽUTĖ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  <w:rPr>
          <w:noProof w:val="0"/>
        </w:rPr>
      </w:pPr>
      <w:r>
        <w:rPr>
          <w:noProof w:val="0"/>
        </w:rPr>
        <w:t>1.</w:t>
      </w:r>
      <w:r>
        <w:rPr>
          <w:noProof w:val="0"/>
        </w:rPr>
        <w:tab/>
        <w:t>VAISTINIO PREPARATO PAVADINIMAS</w:t>
      </w:r>
    </w:p>
    <w:p w:rsidR="00955A5A" w:rsidRDefault="00955A5A" w:rsidP="00955A5A">
      <w:pPr>
        <w:pStyle w:val="BTEMEASMCA"/>
      </w:pPr>
    </w:p>
    <w:p w:rsidR="00955A5A" w:rsidRDefault="00955A5A" w:rsidP="00955A5A">
      <w:pPr>
        <w:rPr>
          <w:color w:val="000000"/>
          <w:sz w:val="22"/>
        </w:rPr>
      </w:pPr>
      <w:proofErr w:type="spellStart"/>
      <w:r>
        <w:rPr>
          <w:color w:val="000000"/>
          <w:sz w:val="22"/>
        </w:rPr>
        <w:t>Vesicare</w:t>
      </w:r>
      <w:proofErr w:type="spellEnd"/>
      <w:r>
        <w:rPr>
          <w:color w:val="000000"/>
          <w:sz w:val="22"/>
        </w:rPr>
        <w:t xml:space="preserve"> </w:t>
      </w:r>
      <w:r>
        <w:rPr>
          <w:noProof/>
          <w:color w:val="000000"/>
          <w:sz w:val="22"/>
          <w:szCs w:val="22"/>
        </w:rPr>
        <w:t>10 </w:t>
      </w:r>
      <w:r>
        <w:rPr>
          <w:color w:val="000000"/>
          <w:sz w:val="22"/>
        </w:rPr>
        <w:t>mg plėvele dengtos tabletės</w:t>
      </w:r>
    </w:p>
    <w:p w:rsidR="00955A5A" w:rsidRDefault="00955A5A" w:rsidP="00955A5A">
      <w:pPr>
        <w:pStyle w:val="Pagrindinistekstas"/>
        <w:rPr>
          <w:color w:val="000000"/>
          <w:sz w:val="22"/>
          <w:szCs w:val="22"/>
          <w:lang w:val="lt-LT"/>
        </w:rPr>
      </w:pPr>
      <w:proofErr w:type="spellStart"/>
      <w:r>
        <w:rPr>
          <w:color w:val="000000"/>
          <w:sz w:val="22"/>
          <w:szCs w:val="22"/>
          <w:lang w:val="lt-LT"/>
        </w:rPr>
        <w:t>Solifenacini</w:t>
      </w:r>
      <w:proofErr w:type="spellEnd"/>
      <w:r>
        <w:rPr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color w:val="000000"/>
          <w:sz w:val="22"/>
          <w:szCs w:val="22"/>
          <w:lang w:val="lt-LT"/>
        </w:rPr>
        <w:t>succinas</w:t>
      </w:r>
      <w:proofErr w:type="spellEnd"/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2.</w:t>
      </w:r>
      <w:r>
        <w:tab/>
        <w:t>VEIKLIOJI MEDŽIAGA IR JOS KIEKIS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  <w:color w:val="000000"/>
        </w:rPr>
        <w:t xml:space="preserve">Vienoje tabletėje yra 10 mg </w:t>
      </w:r>
      <w:proofErr w:type="spellStart"/>
      <w:r>
        <w:rPr>
          <w:noProof w:val="0"/>
          <w:color w:val="000000"/>
        </w:rPr>
        <w:t>solifenacino</w:t>
      </w:r>
      <w:proofErr w:type="spellEnd"/>
      <w:r>
        <w:rPr>
          <w:noProof w:val="0"/>
          <w:color w:val="000000"/>
        </w:rPr>
        <w:t xml:space="preserve"> </w:t>
      </w:r>
      <w:proofErr w:type="spellStart"/>
      <w:r>
        <w:rPr>
          <w:noProof w:val="0"/>
          <w:color w:val="000000"/>
        </w:rPr>
        <w:t>sukcinato</w:t>
      </w:r>
      <w:proofErr w:type="spellEnd"/>
      <w:r>
        <w:rPr>
          <w:noProof w:val="0"/>
          <w:color w:val="000000"/>
        </w:rPr>
        <w:t xml:space="preserve">, atitinkančio 7,5  mg </w:t>
      </w:r>
      <w:proofErr w:type="spellStart"/>
      <w:r>
        <w:rPr>
          <w:noProof w:val="0"/>
          <w:color w:val="000000"/>
        </w:rPr>
        <w:t>solifenacino</w:t>
      </w:r>
      <w:proofErr w:type="spellEnd"/>
      <w:r>
        <w:rPr>
          <w:noProof w:val="0"/>
          <w:color w:val="000000"/>
        </w:rPr>
        <w:t>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Pr="007A55F9" w:rsidRDefault="00955A5A" w:rsidP="00955A5A">
      <w:pPr>
        <w:pStyle w:val="PI-1labEMEASMCA"/>
        <w:rPr>
          <w:highlight w:val="lightGray"/>
        </w:rPr>
      </w:pPr>
      <w:r>
        <w:t>3.</w:t>
      </w:r>
      <w:r>
        <w:tab/>
        <w:t>PAGALBINIŲ MEDŽIAGŲ SĄRAŠAS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  <w:color w:val="000000"/>
        </w:rPr>
        <w:t>Sudėtyje yra laktozės.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4.</w:t>
      </w:r>
      <w:r>
        <w:tab/>
        <w:t>FARMACINĖ FORMA IR KIEKIS PAKUOTĖJE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EB165F">
        <w:rPr>
          <w:color w:val="000000"/>
          <w:highlight w:val="lightGray"/>
        </w:rPr>
        <w:t>Plėvele dengta tabletė</w:t>
      </w:r>
    </w:p>
    <w:p w:rsidR="00955A5A" w:rsidRDefault="00955A5A" w:rsidP="00955A5A">
      <w:pPr>
        <w:pStyle w:val="BTEMEASMCA"/>
        <w:rPr>
          <w:noProof w:val="0"/>
          <w:color w:val="000000"/>
        </w:rPr>
      </w:pPr>
      <w:r w:rsidRPr="00EB165F">
        <w:rPr>
          <w:color w:val="000000"/>
          <w:highlight w:val="lightGray"/>
        </w:rPr>
        <w:t>3 tabletės</w:t>
      </w: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7A55F9">
        <w:rPr>
          <w:color w:val="000000"/>
          <w:highlight w:val="lightGray"/>
        </w:rPr>
        <w:t>5 tabletės</w:t>
      </w: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7A55F9">
        <w:rPr>
          <w:color w:val="000000"/>
          <w:highlight w:val="lightGray"/>
        </w:rPr>
        <w:t>10 tablečių</w:t>
      </w: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7A55F9">
        <w:rPr>
          <w:color w:val="000000"/>
          <w:highlight w:val="lightGray"/>
        </w:rPr>
        <w:t>20 tablečių</w:t>
      </w: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7A55F9">
        <w:rPr>
          <w:color w:val="000000"/>
          <w:highlight w:val="lightGray"/>
        </w:rPr>
        <w:t>30 tablečių</w:t>
      </w: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7A55F9">
        <w:rPr>
          <w:color w:val="000000"/>
          <w:highlight w:val="lightGray"/>
        </w:rPr>
        <w:t>50 tablečių</w:t>
      </w: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7A55F9">
        <w:rPr>
          <w:color w:val="000000"/>
          <w:highlight w:val="lightGray"/>
        </w:rPr>
        <w:t>60 tablečių</w:t>
      </w:r>
    </w:p>
    <w:p w:rsidR="00955A5A" w:rsidRPr="007A55F9" w:rsidRDefault="00955A5A" w:rsidP="00955A5A">
      <w:pPr>
        <w:pStyle w:val="BTEMEASMCA"/>
        <w:rPr>
          <w:color w:val="000000"/>
          <w:highlight w:val="lightGray"/>
        </w:rPr>
      </w:pPr>
      <w:r w:rsidRPr="007A55F9">
        <w:rPr>
          <w:color w:val="000000"/>
          <w:highlight w:val="lightGray"/>
        </w:rPr>
        <w:t>90 tablečių</w:t>
      </w:r>
    </w:p>
    <w:p w:rsidR="00955A5A" w:rsidRDefault="00955A5A" w:rsidP="00955A5A">
      <w:pPr>
        <w:pStyle w:val="BTEMEASMCA"/>
        <w:rPr>
          <w:noProof w:val="0"/>
          <w:color w:val="000000"/>
        </w:rPr>
      </w:pPr>
      <w:r w:rsidRPr="007A55F9">
        <w:rPr>
          <w:color w:val="000000"/>
          <w:highlight w:val="lightGray"/>
        </w:rPr>
        <w:t>100 tablečių</w:t>
      </w:r>
    </w:p>
    <w:p w:rsidR="00955A5A" w:rsidRDefault="00955A5A" w:rsidP="00955A5A">
      <w:pPr>
        <w:pStyle w:val="BTEMEASMCA"/>
        <w:rPr>
          <w:noProof w:val="0"/>
          <w:color w:val="000000"/>
        </w:rPr>
      </w:pPr>
      <w:r w:rsidRPr="007A55F9">
        <w:rPr>
          <w:color w:val="000000"/>
          <w:highlight w:val="lightGray"/>
        </w:rPr>
        <w:t>200 tablečių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Pr="007A55F9" w:rsidRDefault="00955A5A" w:rsidP="00955A5A">
      <w:pPr>
        <w:pStyle w:val="PI-1labEMEASMCA"/>
        <w:rPr>
          <w:highlight w:val="lightGray"/>
        </w:rPr>
      </w:pPr>
      <w:r>
        <w:t>5.</w:t>
      </w:r>
      <w:r>
        <w:tab/>
        <w:t>VARTOJIMO METODAS IR BŪDAS (-AI)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t>Tabletę reikia gerti nesmulkintą.</w:t>
      </w:r>
      <w:r>
        <w:rPr>
          <w:noProof w:val="0"/>
        </w:rPr>
        <w:t xml:space="preserve"> </w:t>
      </w: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Vartoti per burną</w:t>
      </w:r>
      <w:r>
        <w:t>.</w:t>
      </w: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Prieš vartojimą perskaitykite pakuotės lapelį.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6.</w:t>
      </w:r>
      <w:r>
        <w:tab/>
        <w:t>SPECIALUS ĮSPĖJIMAS, KAD VAISTINĮ PREPARATĄ BŪTINA LAIKYTI VAIKAMS NEPASTEBIMOJE IR NEPASIEKIAMOJE VIETOJE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Laikyti vaikams nepastebimoje ir nepasiekiamoje vietoje.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Pr="007A55F9" w:rsidRDefault="00955A5A" w:rsidP="00955A5A">
      <w:pPr>
        <w:pStyle w:val="PI-1labEMEASMCA"/>
        <w:rPr>
          <w:highlight w:val="lightGray"/>
        </w:rPr>
      </w:pPr>
      <w:r>
        <w:t>7.</w:t>
      </w:r>
      <w:r>
        <w:tab/>
        <w:t>KITAS (-I) SPECIALUS (-ŪS) ĮSPĖJIMAS (-AI) (JEI REIKIA)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Pr="007A55F9" w:rsidRDefault="00955A5A" w:rsidP="00955A5A">
      <w:pPr>
        <w:pStyle w:val="PI-1labEMEASMCA"/>
        <w:rPr>
          <w:highlight w:val="lightGray"/>
        </w:rPr>
      </w:pPr>
      <w:r>
        <w:t>8.</w:t>
      </w:r>
      <w:r>
        <w:tab/>
        <w:t>TINKAMUMO LAIKAS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Tinka iki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9.</w:t>
      </w:r>
      <w:r>
        <w:tab/>
        <w:t>SPECIALIOS LAIKYMO SĄLYGOS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10.</w:t>
      </w:r>
      <w:r>
        <w:tab/>
        <w:t xml:space="preserve">SPECIALIOS ATSARGUMO PRIEMONĖS DĖL NESUVARTOTO </w:t>
      </w:r>
      <w:r>
        <w:rPr>
          <w:bCs/>
        </w:rPr>
        <w:t xml:space="preserve">VAISTINIO PREPARATO AR JO ATLIEKŲ </w:t>
      </w:r>
      <w:r>
        <w:t>TVARKYMO (JEI REIKIA)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</w:pPr>
      <w:r>
        <w:t>11.</w:t>
      </w:r>
      <w:r>
        <w:tab/>
        <w:t>RINKODAROS TEISĖS TURĖTOJO PAVADINIMAS IR ADRESAS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>Rinkodaros teisės turėtojas:</w:t>
      </w:r>
    </w:p>
    <w:p w:rsidR="00E25517" w:rsidRPr="003B47A2" w:rsidRDefault="00E25517" w:rsidP="00E25517">
      <w:pPr>
        <w:rPr>
          <w:sz w:val="22"/>
          <w:szCs w:val="22"/>
          <w:lang w:eastAsia="en-GB"/>
        </w:rPr>
      </w:pPr>
      <w:proofErr w:type="spellStart"/>
      <w:r w:rsidRPr="003B47A2">
        <w:rPr>
          <w:sz w:val="22"/>
          <w:szCs w:val="22"/>
          <w:lang w:eastAsia="en-GB"/>
        </w:rPr>
        <w:t>Astellas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  <w:proofErr w:type="spellStart"/>
      <w:r w:rsidRPr="003B47A2">
        <w:rPr>
          <w:sz w:val="22"/>
          <w:szCs w:val="22"/>
          <w:lang w:eastAsia="en-GB"/>
        </w:rPr>
        <w:t>Pharma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  <w:proofErr w:type="spellStart"/>
      <w:r w:rsidRPr="003B47A2">
        <w:rPr>
          <w:sz w:val="22"/>
          <w:szCs w:val="22"/>
          <w:lang w:eastAsia="en-GB"/>
        </w:rPr>
        <w:t>d.o.o</w:t>
      </w:r>
      <w:proofErr w:type="spellEnd"/>
      <w:r w:rsidRPr="003B47A2">
        <w:rPr>
          <w:sz w:val="22"/>
          <w:szCs w:val="22"/>
          <w:lang w:eastAsia="en-GB"/>
        </w:rPr>
        <w:t xml:space="preserve">. </w:t>
      </w:r>
    </w:p>
    <w:p w:rsidR="00E25517" w:rsidRPr="003B47A2" w:rsidRDefault="00E25517" w:rsidP="00E25517">
      <w:pPr>
        <w:rPr>
          <w:sz w:val="22"/>
          <w:szCs w:val="22"/>
          <w:lang w:eastAsia="en-GB"/>
        </w:rPr>
      </w:pPr>
      <w:proofErr w:type="spellStart"/>
      <w:r w:rsidRPr="003B47A2">
        <w:rPr>
          <w:sz w:val="22"/>
          <w:szCs w:val="22"/>
          <w:lang w:eastAsia="en-GB"/>
        </w:rPr>
        <w:t>Šmartinska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  <w:proofErr w:type="spellStart"/>
      <w:r w:rsidRPr="003B47A2">
        <w:rPr>
          <w:sz w:val="22"/>
          <w:szCs w:val="22"/>
          <w:lang w:eastAsia="en-GB"/>
        </w:rPr>
        <w:t>cesta</w:t>
      </w:r>
      <w:proofErr w:type="spellEnd"/>
      <w:r w:rsidRPr="003B47A2">
        <w:rPr>
          <w:sz w:val="22"/>
          <w:szCs w:val="22"/>
          <w:lang w:eastAsia="en-GB"/>
        </w:rPr>
        <w:t xml:space="preserve"> 53 </w:t>
      </w:r>
    </w:p>
    <w:p w:rsidR="00E25517" w:rsidRPr="003B47A2" w:rsidRDefault="00E25517" w:rsidP="00E25517">
      <w:pPr>
        <w:rPr>
          <w:sz w:val="22"/>
          <w:szCs w:val="22"/>
          <w:lang w:eastAsia="en-GB"/>
        </w:rPr>
      </w:pPr>
      <w:r w:rsidRPr="003B47A2">
        <w:rPr>
          <w:sz w:val="22"/>
          <w:szCs w:val="22"/>
          <w:lang w:eastAsia="en-GB"/>
        </w:rPr>
        <w:t xml:space="preserve">1000 </w:t>
      </w:r>
      <w:proofErr w:type="spellStart"/>
      <w:r w:rsidRPr="003B47A2">
        <w:rPr>
          <w:sz w:val="22"/>
          <w:szCs w:val="22"/>
          <w:lang w:eastAsia="en-GB"/>
        </w:rPr>
        <w:t>Ljubljana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</w:p>
    <w:p w:rsidR="00E25517" w:rsidRPr="003B47A2" w:rsidRDefault="00E25517" w:rsidP="00E25517">
      <w:pPr>
        <w:rPr>
          <w:sz w:val="22"/>
          <w:szCs w:val="22"/>
          <w:lang w:eastAsia="en-GB"/>
        </w:rPr>
      </w:pPr>
      <w:r w:rsidRPr="003B47A2">
        <w:rPr>
          <w:sz w:val="22"/>
          <w:szCs w:val="22"/>
          <w:lang w:eastAsia="en-GB"/>
        </w:rPr>
        <w:t>Slovėnija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  <w:rPr>
          <w:noProof w:val="0"/>
        </w:rPr>
      </w:pPr>
      <w:r>
        <w:rPr>
          <w:noProof w:val="0"/>
        </w:rPr>
        <w:t>12.</w:t>
      </w:r>
      <w:r>
        <w:rPr>
          <w:noProof w:val="0"/>
        </w:rPr>
        <w:tab/>
        <w:t>RINKODAROS TEISĖS NUMERIS (-IAI)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 w:rsidRPr="00EB165F">
        <w:rPr>
          <w:noProof w:val="0"/>
          <w:highlight w:val="lightGray"/>
        </w:rPr>
        <w:t>LT/1/05/0465/010</w:t>
      </w:r>
    </w:p>
    <w:p w:rsidR="00955A5A" w:rsidRPr="007A55F9" w:rsidRDefault="00955A5A" w:rsidP="00955A5A">
      <w:pPr>
        <w:pStyle w:val="BTEMEASMCA"/>
        <w:rPr>
          <w:noProof w:val="0"/>
          <w:highlight w:val="lightGray"/>
        </w:rPr>
      </w:pPr>
      <w:r w:rsidRPr="007A55F9">
        <w:rPr>
          <w:noProof w:val="0"/>
          <w:highlight w:val="lightGray"/>
        </w:rPr>
        <w:t>LT/1/05/0465/011</w:t>
      </w:r>
    </w:p>
    <w:p w:rsidR="00955A5A" w:rsidRPr="007A55F9" w:rsidRDefault="00955A5A" w:rsidP="00955A5A">
      <w:pPr>
        <w:pStyle w:val="BTEMEASMCA"/>
        <w:rPr>
          <w:noProof w:val="0"/>
          <w:highlight w:val="lightGray"/>
        </w:rPr>
      </w:pPr>
      <w:r w:rsidRPr="007A55F9">
        <w:rPr>
          <w:noProof w:val="0"/>
          <w:highlight w:val="lightGray"/>
        </w:rPr>
        <w:t>LT/1/05/0465/012</w:t>
      </w:r>
    </w:p>
    <w:p w:rsidR="00955A5A" w:rsidRPr="007A55F9" w:rsidRDefault="00955A5A" w:rsidP="00955A5A">
      <w:pPr>
        <w:pStyle w:val="BTEMEASMCA"/>
        <w:rPr>
          <w:noProof w:val="0"/>
          <w:highlight w:val="lightGray"/>
        </w:rPr>
      </w:pPr>
      <w:r w:rsidRPr="007A55F9">
        <w:rPr>
          <w:noProof w:val="0"/>
          <w:highlight w:val="lightGray"/>
        </w:rPr>
        <w:t>LT/1/05/0465/013</w:t>
      </w:r>
    </w:p>
    <w:p w:rsidR="00955A5A" w:rsidRPr="007A55F9" w:rsidRDefault="00955A5A" w:rsidP="00955A5A">
      <w:pPr>
        <w:pStyle w:val="BTEMEASMCA"/>
        <w:rPr>
          <w:noProof w:val="0"/>
          <w:highlight w:val="lightGray"/>
        </w:rPr>
      </w:pPr>
      <w:r w:rsidRPr="007A55F9">
        <w:rPr>
          <w:noProof w:val="0"/>
          <w:highlight w:val="lightGray"/>
        </w:rPr>
        <w:t>LT/1/05/0465/014</w:t>
      </w:r>
    </w:p>
    <w:p w:rsidR="00955A5A" w:rsidRPr="007A55F9" w:rsidRDefault="00955A5A" w:rsidP="00955A5A">
      <w:pPr>
        <w:pStyle w:val="BTEMEASMCA"/>
        <w:rPr>
          <w:noProof w:val="0"/>
          <w:highlight w:val="lightGray"/>
        </w:rPr>
      </w:pPr>
      <w:r w:rsidRPr="007A55F9">
        <w:rPr>
          <w:noProof w:val="0"/>
          <w:highlight w:val="lightGray"/>
        </w:rPr>
        <w:t>LT/1/05/0465/015</w:t>
      </w:r>
    </w:p>
    <w:p w:rsidR="00955A5A" w:rsidRPr="007A55F9" w:rsidRDefault="00955A5A" w:rsidP="00955A5A">
      <w:pPr>
        <w:pStyle w:val="BTEMEASMCA"/>
        <w:rPr>
          <w:noProof w:val="0"/>
          <w:highlight w:val="lightGray"/>
        </w:rPr>
      </w:pPr>
      <w:r w:rsidRPr="007A55F9">
        <w:rPr>
          <w:noProof w:val="0"/>
          <w:highlight w:val="lightGray"/>
        </w:rPr>
        <w:t>LT/1/05/0465/016</w:t>
      </w:r>
    </w:p>
    <w:p w:rsidR="00955A5A" w:rsidRPr="007A55F9" w:rsidRDefault="00955A5A" w:rsidP="00955A5A">
      <w:pPr>
        <w:pStyle w:val="BTEMEASMCA"/>
        <w:rPr>
          <w:noProof w:val="0"/>
          <w:highlight w:val="lightGray"/>
        </w:rPr>
      </w:pPr>
      <w:r w:rsidRPr="007A55F9">
        <w:rPr>
          <w:noProof w:val="0"/>
          <w:highlight w:val="lightGray"/>
        </w:rPr>
        <w:t>LT/1/05/0465/017</w:t>
      </w:r>
    </w:p>
    <w:p w:rsidR="00955A5A" w:rsidRDefault="00955A5A" w:rsidP="00955A5A">
      <w:pPr>
        <w:pStyle w:val="BTEMEASMCA"/>
        <w:rPr>
          <w:noProof w:val="0"/>
        </w:rPr>
      </w:pPr>
      <w:r w:rsidRPr="007A55F9">
        <w:rPr>
          <w:highlight w:val="lightGray"/>
        </w:rPr>
        <w:t>LT/1/05/0465/018</w:t>
      </w:r>
    </w:p>
    <w:p w:rsidR="00955A5A" w:rsidRDefault="00955A5A" w:rsidP="00955A5A">
      <w:pPr>
        <w:pStyle w:val="BTEMEASMCA"/>
        <w:rPr>
          <w:noProof w:val="0"/>
        </w:rPr>
      </w:pPr>
      <w:r w:rsidRPr="00EB165F">
        <w:t>LT/1/05/0465/020</w:t>
      </w: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  <w:rPr>
          <w:noProof w:val="0"/>
        </w:rPr>
      </w:pPr>
      <w:r>
        <w:rPr>
          <w:noProof w:val="0"/>
        </w:rPr>
        <w:t>13.</w:t>
      </w:r>
      <w:r>
        <w:rPr>
          <w:noProof w:val="0"/>
        </w:rPr>
        <w:tab/>
        <w:t>SERIJOS NUMERIS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Serija</w:t>
      </w:r>
      <w:r>
        <w:t xml:space="preserve"> 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  <w:rPr>
          <w:noProof w:val="0"/>
        </w:rPr>
      </w:pPr>
      <w:r>
        <w:rPr>
          <w:noProof w:val="0"/>
        </w:rPr>
        <w:t>14.</w:t>
      </w:r>
      <w:r>
        <w:rPr>
          <w:noProof w:val="0"/>
        </w:rPr>
        <w:tab/>
        <w:t>PARDAVIMO (IŠDAVIMO) TVARKA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Receptinis vaistinis preparatas</w:t>
      </w:r>
    </w:p>
    <w:p w:rsidR="00955A5A" w:rsidRPr="00F379AD" w:rsidRDefault="00955A5A" w:rsidP="00955A5A">
      <w:pPr>
        <w:pStyle w:val="BTEMEASMCA"/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  <w:rPr>
          <w:noProof w:val="0"/>
        </w:rPr>
      </w:pPr>
      <w:r>
        <w:rPr>
          <w:noProof w:val="0"/>
        </w:rPr>
        <w:t>15.</w:t>
      </w:r>
      <w:r>
        <w:rPr>
          <w:noProof w:val="0"/>
        </w:rPr>
        <w:tab/>
        <w:t>VARTOJIMO INSTRUKCIJA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  <w:rPr>
          <w:noProof w:val="0"/>
        </w:rPr>
      </w:pPr>
      <w:r>
        <w:rPr>
          <w:noProof w:val="0"/>
        </w:rPr>
        <w:t>16.</w:t>
      </w:r>
      <w:r>
        <w:rPr>
          <w:noProof w:val="0"/>
        </w:rPr>
        <w:tab/>
        <w:t>INFORMACIJA BRAILIO RAŠTU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proofErr w:type="spellStart"/>
      <w:r>
        <w:rPr>
          <w:noProof w:val="0"/>
        </w:rPr>
        <w:t>vesicare</w:t>
      </w:r>
      <w:proofErr w:type="spellEnd"/>
      <w:r>
        <w:rPr>
          <w:noProof w:val="0"/>
        </w:rPr>
        <w:t xml:space="preserve"> </w:t>
      </w:r>
      <w:r>
        <w:t>10 </w:t>
      </w:r>
      <w:r>
        <w:rPr>
          <w:noProof w:val="0"/>
        </w:rPr>
        <w:t>mg</w:t>
      </w:r>
    </w:p>
    <w:p w:rsidR="00955A5A" w:rsidRDefault="00955A5A" w:rsidP="00955A5A">
      <w:pPr>
        <w:pStyle w:val="BTEMEASMCA"/>
        <w:rPr>
          <w:noProof w:val="0"/>
        </w:rPr>
      </w:pPr>
    </w:p>
    <w:p w:rsidR="001D3894" w:rsidRPr="001D3894" w:rsidRDefault="001D3894" w:rsidP="001D3894">
      <w:pPr>
        <w:rPr>
          <w:sz w:val="22"/>
          <w:szCs w:val="22"/>
        </w:rPr>
      </w:pPr>
    </w:p>
    <w:p w:rsidR="001D3894" w:rsidRPr="00E37DDC" w:rsidRDefault="001D3894" w:rsidP="001D38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E37DDC">
        <w:rPr>
          <w:b/>
          <w:noProof/>
          <w:sz w:val="22"/>
          <w:szCs w:val="22"/>
        </w:rPr>
        <w:t>17.    UNIKALUS IDENTIFIKATORIUS – 2D BRŪKŠNINIS KODAS</w:t>
      </w:r>
    </w:p>
    <w:p w:rsidR="001D3894" w:rsidRPr="00E37DDC" w:rsidRDefault="001D3894" w:rsidP="001D3894">
      <w:pPr>
        <w:rPr>
          <w:noProof/>
          <w:sz w:val="22"/>
          <w:szCs w:val="22"/>
        </w:rPr>
      </w:pPr>
    </w:p>
    <w:p w:rsidR="001D3894" w:rsidRPr="00E37DDC" w:rsidRDefault="001D3894" w:rsidP="001D3894">
      <w:pPr>
        <w:rPr>
          <w:noProof/>
          <w:sz w:val="22"/>
          <w:szCs w:val="22"/>
          <w:shd w:val="clear" w:color="auto" w:fill="CCCCCC"/>
        </w:rPr>
      </w:pPr>
      <w:r w:rsidRPr="00E37DDC">
        <w:rPr>
          <w:noProof/>
          <w:sz w:val="22"/>
          <w:szCs w:val="22"/>
          <w:highlight w:val="lightGray"/>
        </w:rPr>
        <w:t>2D brūkšninis kodas su nurodytu unikaliu identifikatoriumi.</w:t>
      </w:r>
    </w:p>
    <w:p w:rsidR="001D3894" w:rsidRPr="00E37DDC" w:rsidRDefault="001D3894" w:rsidP="001D3894">
      <w:pPr>
        <w:rPr>
          <w:noProof/>
          <w:sz w:val="22"/>
          <w:szCs w:val="22"/>
        </w:rPr>
      </w:pPr>
    </w:p>
    <w:p w:rsidR="001D3894" w:rsidRPr="00E37DDC" w:rsidRDefault="001D3894" w:rsidP="001D3894">
      <w:pPr>
        <w:rPr>
          <w:noProof/>
          <w:sz w:val="22"/>
          <w:szCs w:val="22"/>
        </w:rPr>
      </w:pPr>
    </w:p>
    <w:p w:rsidR="001D3894" w:rsidRPr="00E37DDC" w:rsidRDefault="001D3894" w:rsidP="001D38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E37DDC">
        <w:rPr>
          <w:b/>
          <w:noProof/>
          <w:sz w:val="22"/>
          <w:szCs w:val="22"/>
        </w:rPr>
        <w:lastRenderedPageBreak/>
        <w:t>18.    UNIKALUS IDENTIFIKATORIUS – ŽMONĖMS SUPRANTAMI DUOMENYS</w:t>
      </w:r>
    </w:p>
    <w:p w:rsidR="001D3894" w:rsidRPr="00E37DDC" w:rsidRDefault="001D3894" w:rsidP="001D3894">
      <w:pPr>
        <w:rPr>
          <w:noProof/>
          <w:sz w:val="22"/>
          <w:szCs w:val="22"/>
        </w:rPr>
      </w:pPr>
    </w:p>
    <w:p w:rsidR="001D3894" w:rsidRPr="00E37DDC" w:rsidRDefault="001D3894" w:rsidP="001D3894">
      <w:pPr>
        <w:rPr>
          <w:color w:val="008000"/>
          <w:sz w:val="22"/>
          <w:szCs w:val="22"/>
        </w:rPr>
      </w:pPr>
      <w:r w:rsidRPr="00E37DDC">
        <w:rPr>
          <w:sz w:val="22"/>
          <w:szCs w:val="22"/>
        </w:rPr>
        <w:t>PC: {numeris}</w:t>
      </w:r>
    </w:p>
    <w:p w:rsidR="001D3894" w:rsidRPr="00E37DDC" w:rsidRDefault="001D3894" w:rsidP="001D3894">
      <w:pPr>
        <w:rPr>
          <w:b/>
          <w:noProof/>
          <w:sz w:val="22"/>
          <w:szCs w:val="22"/>
          <w:u w:val="single"/>
        </w:rPr>
      </w:pPr>
      <w:r w:rsidRPr="00E37DDC">
        <w:rPr>
          <w:sz w:val="22"/>
          <w:szCs w:val="22"/>
        </w:rPr>
        <w:t>SN: {numeris}</w:t>
      </w:r>
    </w:p>
    <w:p w:rsidR="00955A5A" w:rsidRPr="001D3894" w:rsidRDefault="00955A5A" w:rsidP="00955A5A">
      <w:pPr>
        <w:pStyle w:val="BTEMEASMCA"/>
        <w:rPr>
          <w:noProof w:val="0"/>
          <w:szCs w:val="22"/>
        </w:rPr>
      </w:pPr>
    </w:p>
    <w:p w:rsidR="00955A5A" w:rsidRPr="001D3894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pStyle w:val="BTEMEASMCA"/>
        <w:rPr>
          <w:noProof w:val="0"/>
        </w:rPr>
      </w:pPr>
      <w:r w:rsidRPr="00E37DDC">
        <w:rPr>
          <w:noProof w:val="0"/>
          <w:szCs w:val="22"/>
        </w:rPr>
        <w:br w:type="page"/>
      </w:r>
    </w:p>
    <w:p w:rsidR="00955A5A" w:rsidRDefault="00955A5A" w:rsidP="00955A5A">
      <w:pPr>
        <w:pStyle w:val="PI-1labEMEASMCA"/>
        <w:rPr>
          <w:noProof w:val="0"/>
        </w:rPr>
      </w:pPr>
      <w:r>
        <w:rPr>
          <w:noProof w:val="0"/>
        </w:rPr>
        <w:lastRenderedPageBreak/>
        <w:t xml:space="preserve">MINIMALI </w:t>
      </w:r>
      <w:r>
        <w:rPr>
          <w:caps/>
          <w:noProof w:val="0"/>
        </w:rPr>
        <w:t xml:space="preserve">informacija ant </w:t>
      </w:r>
      <w:r>
        <w:rPr>
          <w:noProof w:val="0"/>
        </w:rPr>
        <w:t>LIZDINIŲ PLOKŠTELIŲ ARBA DVISLUOKSNIŲ JUOSTELIŲ</w:t>
      </w:r>
    </w:p>
    <w:p w:rsidR="00955A5A" w:rsidRDefault="00955A5A" w:rsidP="00955A5A">
      <w:pPr>
        <w:pStyle w:val="PI-1labEMEASMCA"/>
        <w:rPr>
          <w:noProof w:val="0"/>
        </w:rPr>
      </w:pPr>
    </w:p>
    <w:p w:rsidR="00955A5A" w:rsidRDefault="00955A5A" w:rsidP="00955A5A">
      <w:pPr>
        <w:pStyle w:val="PI-1labEMEASMCA"/>
        <w:rPr>
          <w:noProof w:val="0"/>
        </w:rPr>
      </w:pPr>
      <w:r>
        <w:t>LIZDINĖ PLOKŠTELĖ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  <w:rPr>
          <w:noProof w:val="0"/>
        </w:rPr>
      </w:pPr>
      <w:r>
        <w:rPr>
          <w:noProof w:val="0"/>
        </w:rPr>
        <w:t>1.</w:t>
      </w:r>
      <w:r>
        <w:rPr>
          <w:noProof w:val="0"/>
        </w:rPr>
        <w:tab/>
        <w:t>VAISTINIO PREPARATO PAVADINIMAS</w:t>
      </w: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Pagrindinistekstas"/>
        <w:rPr>
          <w:color w:val="000000"/>
          <w:sz w:val="22"/>
          <w:lang w:val="lt-LT"/>
        </w:rPr>
      </w:pPr>
      <w:proofErr w:type="spellStart"/>
      <w:r>
        <w:rPr>
          <w:color w:val="000000"/>
          <w:sz w:val="22"/>
          <w:lang w:val="lt-LT"/>
        </w:rPr>
        <w:t>Vesicare</w:t>
      </w:r>
      <w:proofErr w:type="spellEnd"/>
      <w:r>
        <w:rPr>
          <w:color w:val="000000"/>
          <w:sz w:val="22"/>
          <w:lang w:val="lt-LT"/>
        </w:rPr>
        <w:t xml:space="preserve"> 10</w:t>
      </w:r>
      <w:r>
        <w:rPr>
          <w:noProof/>
          <w:color w:val="000000"/>
          <w:sz w:val="22"/>
          <w:szCs w:val="22"/>
          <w:lang w:val="lt-LT"/>
        </w:rPr>
        <w:t> </w:t>
      </w:r>
      <w:r>
        <w:rPr>
          <w:color w:val="000000"/>
          <w:sz w:val="22"/>
          <w:lang w:val="lt-LT"/>
        </w:rPr>
        <w:t>mg plėvele dengtos tabletės</w:t>
      </w:r>
      <w:r>
        <w:rPr>
          <w:color w:val="000000"/>
          <w:sz w:val="22"/>
          <w:szCs w:val="22"/>
          <w:lang w:val="lt-LT"/>
        </w:rPr>
        <w:t xml:space="preserve"> </w:t>
      </w:r>
    </w:p>
    <w:p w:rsidR="00955A5A" w:rsidRDefault="00955A5A" w:rsidP="00955A5A">
      <w:pPr>
        <w:pStyle w:val="BTEMEASMCA"/>
        <w:rPr>
          <w:noProof w:val="0"/>
        </w:rPr>
      </w:pPr>
      <w:proofErr w:type="spellStart"/>
      <w:r>
        <w:rPr>
          <w:noProof w:val="0"/>
          <w:color w:val="000000"/>
        </w:rPr>
        <w:t>Solifenacini</w:t>
      </w:r>
      <w:proofErr w:type="spellEnd"/>
      <w:r>
        <w:rPr>
          <w:noProof w:val="0"/>
          <w:color w:val="000000"/>
        </w:rPr>
        <w:t xml:space="preserve"> </w:t>
      </w:r>
      <w:proofErr w:type="spellStart"/>
      <w:r>
        <w:rPr>
          <w:noProof w:val="0"/>
          <w:color w:val="000000"/>
        </w:rPr>
        <w:t>succinas</w:t>
      </w:r>
      <w:proofErr w:type="spellEnd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  <w:rPr>
          <w:noProof w:val="0"/>
        </w:rPr>
      </w:pPr>
      <w:r>
        <w:rPr>
          <w:noProof w:val="0"/>
        </w:rPr>
        <w:t>2.</w:t>
      </w:r>
      <w:r>
        <w:rPr>
          <w:noProof w:val="0"/>
        </w:rPr>
        <w:tab/>
        <w:t>RINKODAROS TEISĖS TURĖTOJO PAVADINIMAS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proofErr w:type="spellStart"/>
      <w:r>
        <w:rPr>
          <w:noProof w:val="0"/>
          <w:color w:val="000000"/>
        </w:rPr>
        <w:t>Astellas</w:t>
      </w:r>
      <w:proofErr w:type="spellEnd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  <w:rPr>
          <w:noProof w:val="0"/>
        </w:rPr>
      </w:pPr>
      <w:r>
        <w:rPr>
          <w:noProof w:val="0"/>
        </w:rPr>
        <w:t>3.</w:t>
      </w:r>
      <w:r>
        <w:rPr>
          <w:noProof w:val="0"/>
        </w:rPr>
        <w:tab/>
        <w:t>TINKAMUMO LAIKAS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color w:val="000000"/>
        </w:rPr>
        <w:t>EXP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  <w:rPr>
          <w:noProof w:val="0"/>
        </w:rPr>
      </w:pPr>
      <w:r>
        <w:rPr>
          <w:noProof w:val="0"/>
        </w:rPr>
        <w:t>4.</w:t>
      </w:r>
      <w:r>
        <w:rPr>
          <w:noProof w:val="0"/>
        </w:rPr>
        <w:tab/>
        <w:t>SERIJOS NUMERIS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  <w:color w:val="000000"/>
        </w:rPr>
      </w:pPr>
      <w:r>
        <w:rPr>
          <w:color w:val="000000"/>
        </w:rPr>
        <w:t>Lot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labEMEASMCA"/>
        <w:rPr>
          <w:noProof w:val="0"/>
        </w:rPr>
      </w:pPr>
      <w:r>
        <w:rPr>
          <w:noProof w:val="0"/>
        </w:rPr>
        <w:t>5.</w:t>
      </w:r>
      <w:r>
        <w:rPr>
          <w:noProof w:val="0"/>
        </w:rPr>
        <w:tab/>
        <w:t>KITA</w:t>
      </w:r>
    </w:p>
    <w:p w:rsidR="00955A5A" w:rsidRDefault="00955A5A" w:rsidP="00955A5A"/>
    <w:p w:rsidR="00955A5A" w:rsidRDefault="00955A5A" w:rsidP="00955A5A"/>
    <w:p w:rsidR="00955A5A" w:rsidRDefault="00955A5A" w:rsidP="00955A5A"/>
    <w:p w:rsidR="00955A5A" w:rsidRDefault="00955A5A" w:rsidP="00955A5A"/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br w:type="page"/>
      </w: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TTEMEASMCA"/>
        <w:jc w:val="left"/>
        <w:rPr>
          <w:b w:val="0"/>
        </w:rPr>
      </w:pPr>
      <w:bookmarkStart w:id="76" w:name="_Toc129243137"/>
      <w:bookmarkStart w:id="77" w:name="_Toc129243262"/>
    </w:p>
    <w:p w:rsidR="00955A5A" w:rsidRDefault="00955A5A" w:rsidP="00955A5A">
      <w:pPr>
        <w:pStyle w:val="TTEMEASMCA"/>
        <w:jc w:val="left"/>
        <w:rPr>
          <w:b w:val="0"/>
        </w:rPr>
      </w:pPr>
    </w:p>
    <w:p w:rsidR="00955A5A" w:rsidRDefault="00955A5A" w:rsidP="00955A5A">
      <w:pPr>
        <w:pStyle w:val="TTEMEASMCA"/>
        <w:jc w:val="left"/>
        <w:rPr>
          <w:b w:val="0"/>
        </w:rPr>
      </w:pPr>
    </w:p>
    <w:p w:rsidR="00955A5A" w:rsidRDefault="00955A5A" w:rsidP="00955A5A">
      <w:pPr>
        <w:pStyle w:val="TTEMEASMCA"/>
        <w:jc w:val="left"/>
        <w:rPr>
          <w:b w:val="0"/>
        </w:rPr>
      </w:pPr>
    </w:p>
    <w:p w:rsidR="00955A5A" w:rsidRDefault="00955A5A" w:rsidP="00955A5A">
      <w:pPr>
        <w:pStyle w:val="TTEMEASMCA"/>
        <w:jc w:val="left"/>
        <w:rPr>
          <w:b w:val="0"/>
        </w:rPr>
      </w:pPr>
    </w:p>
    <w:p w:rsidR="00955A5A" w:rsidRDefault="00955A5A" w:rsidP="00955A5A">
      <w:pPr>
        <w:pStyle w:val="TTEMEASMCA"/>
        <w:jc w:val="left"/>
        <w:rPr>
          <w:b w:val="0"/>
        </w:rPr>
      </w:pPr>
    </w:p>
    <w:p w:rsidR="00955A5A" w:rsidRDefault="00955A5A" w:rsidP="00955A5A">
      <w:pPr>
        <w:pStyle w:val="TTEMEASMCA"/>
        <w:jc w:val="left"/>
        <w:rPr>
          <w:b w:val="0"/>
        </w:rPr>
      </w:pPr>
    </w:p>
    <w:p w:rsidR="00955A5A" w:rsidRDefault="00955A5A" w:rsidP="00955A5A">
      <w:pPr>
        <w:pStyle w:val="TTEMEASMCA"/>
        <w:jc w:val="left"/>
        <w:rPr>
          <w:b w:val="0"/>
        </w:rPr>
      </w:pPr>
    </w:p>
    <w:p w:rsidR="00955A5A" w:rsidRDefault="00955A5A" w:rsidP="00955A5A">
      <w:pPr>
        <w:pStyle w:val="TTEMEASMCA"/>
        <w:jc w:val="left"/>
        <w:rPr>
          <w:b w:val="0"/>
        </w:rPr>
      </w:pPr>
    </w:p>
    <w:p w:rsidR="00955A5A" w:rsidRDefault="00955A5A" w:rsidP="00955A5A">
      <w:pPr>
        <w:pStyle w:val="TTEMEASMCA"/>
        <w:jc w:val="left"/>
        <w:rPr>
          <w:b w:val="0"/>
        </w:rPr>
      </w:pPr>
    </w:p>
    <w:p w:rsidR="00955A5A" w:rsidRDefault="00955A5A" w:rsidP="00955A5A">
      <w:pPr>
        <w:pStyle w:val="TTEMEASMCA"/>
        <w:rPr>
          <w:lang w:val="lt-LT"/>
        </w:rPr>
      </w:pPr>
    </w:p>
    <w:p w:rsidR="00955A5A" w:rsidRDefault="00955A5A" w:rsidP="00955A5A">
      <w:pPr>
        <w:pStyle w:val="TTEMEASMCA"/>
      </w:pPr>
      <w:r>
        <w:t>B. PAKUOTĖS LAPELIS</w:t>
      </w:r>
      <w:bookmarkEnd w:id="76"/>
      <w:bookmarkEnd w:id="77"/>
    </w:p>
    <w:p w:rsidR="00955A5A" w:rsidRDefault="00955A5A" w:rsidP="00955A5A">
      <w:pPr>
        <w:pStyle w:val="TTEMEASMCA"/>
      </w:pPr>
      <w:r>
        <w:br w:type="page"/>
      </w:r>
    </w:p>
    <w:p w:rsidR="00955A5A" w:rsidRDefault="00955A5A" w:rsidP="00955A5A">
      <w:pPr>
        <w:pStyle w:val="Pagrindinistekstas"/>
        <w:jc w:val="center"/>
        <w:rPr>
          <w:b/>
          <w:bCs/>
          <w:color w:val="000000"/>
          <w:sz w:val="22"/>
          <w:szCs w:val="22"/>
          <w:lang w:val="lt-LT"/>
        </w:rPr>
      </w:pPr>
      <w:r>
        <w:rPr>
          <w:b/>
          <w:bCs/>
          <w:color w:val="000000"/>
          <w:sz w:val="22"/>
          <w:szCs w:val="22"/>
          <w:lang w:val="lt-LT"/>
        </w:rPr>
        <w:lastRenderedPageBreak/>
        <w:t>Pakuotės lapelis: informacija vartotojui</w:t>
      </w:r>
    </w:p>
    <w:p w:rsidR="00955A5A" w:rsidRDefault="00955A5A" w:rsidP="00955A5A"/>
    <w:p w:rsidR="00955A5A" w:rsidRDefault="00955A5A" w:rsidP="00955A5A">
      <w:pPr>
        <w:pStyle w:val="Pagrindinistekstas"/>
        <w:jc w:val="center"/>
        <w:rPr>
          <w:b/>
          <w:bCs/>
          <w:color w:val="000000"/>
          <w:sz w:val="22"/>
          <w:szCs w:val="22"/>
          <w:lang w:val="lt-LT"/>
        </w:rPr>
      </w:pPr>
      <w:proofErr w:type="spellStart"/>
      <w:r>
        <w:rPr>
          <w:b/>
          <w:bCs/>
          <w:color w:val="000000"/>
          <w:sz w:val="22"/>
          <w:szCs w:val="22"/>
          <w:lang w:val="lt-LT"/>
        </w:rPr>
        <w:t>Vesicare</w:t>
      </w:r>
      <w:proofErr w:type="spellEnd"/>
      <w:r>
        <w:rPr>
          <w:b/>
          <w:bCs/>
          <w:color w:val="000000"/>
          <w:sz w:val="22"/>
          <w:szCs w:val="22"/>
          <w:lang w:val="lt-LT"/>
        </w:rPr>
        <w:t xml:space="preserve"> 5 mg plėvele dengtos tabletės</w:t>
      </w:r>
    </w:p>
    <w:p w:rsidR="00955A5A" w:rsidRDefault="00955A5A" w:rsidP="00955A5A">
      <w:pPr>
        <w:pStyle w:val="Pagrindinistekstas"/>
        <w:jc w:val="center"/>
        <w:rPr>
          <w:sz w:val="22"/>
          <w:szCs w:val="22"/>
          <w:lang w:val="lt-LT"/>
        </w:rPr>
      </w:pPr>
      <w:proofErr w:type="spellStart"/>
      <w:r>
        <w:rPr>
          <w:b/>
          <w:bCs/>
          <w:color w:val="000000"/>
          <w:sz w:val="22"/>
          <w:szCs w:val="22"/>
          <w:lang w:val="lt-LT"/>
        </w:rPr>
        <w:t>Vesicare</w:t>
      </w:r>
      <w:proofErr w:type="spellEnd"/>
      <w:r>
        <w:rPr>
          <w:b/>
          <w:bCs/>
          <w:color w:val="000000"/>
          <w:sz w:val="22"/>
          <w:szCs w:val="22"/>
          <w:lang w:val="lt-LT"/>
        </w:rPr>
        <w:t xml:space="preserve"> 10 mg plėvele dengtos tabletės</w:t>
      </w:r>
    </w:p>
    <w:p w:rsidR="00955A5A" w:rsidRDefault="00955A5A" w:rsidP="00955A5A">
      <w:pPr>
        <w:pStyle w:val="BTEMEASMCA"/>
        <w:jc w:val="center"/>
        <w:rPr>
          <w:bCs/>
          <w:noProof w:val="0"/>
          <w:color w:val="000000"/>
        </w:rPr>
      </w:pPr>
      <w:proofErr w:type="spellStart"/>
      <w:r>
        <w:rPr>
          <w:bCs/>
          <w:noProof w:val="0"/>
          <w:color w:val="000000"/>
        </w:rPr>
        <w:t>Solifenacino</w:t>
      </w:r>
      <w:proofErr w:type="spellEnd"/>
      <w:r>
        <w:rPr>
          <w:bCs/>
          <w:noProof w:val="0"/>
          <w:color w:val="000000"/>
        </w:rPr>
        <w:t xml:space="preserve"> </w:t>
      </w:r>
      <w:proofErr w:type="spellStart"/>
      <w:r>
        <w:rPr>
          <w:bCs/>
          <w:noProof w:val="0"/>
          <w:color w:val="000000"/>
        </w:rPr>
        <w:t>sukcinatas</w:t>
      </w:r>
      <w:proofErr w:type="spellEnd"/>
    </w:p>
    <w:p w:rsidR="00955A5A" w:rsidRDefault="00955A5A" w:rsidP="00955A5A">
      <w:pPr>
        <w:pStyle w:val="BTEMEASMCA"/>
        <w:jc w:val="center"/>
        <w:rPr>
          <w:noProof w:val="0"/>
        </w:rPr>
      </w:pPr>
    </w:p>
    <w:p w:rsidR="00955A5A" w:rsidRDefault="00955A5A" w:rsidP="00955A5A">
      <w:pPr>
        <w:pStyle w:val="BTbEMEASMCA"/>
        <w:rPr>
          <w:noProof w:val="0"/>
        </w:rPr>
      </w:pPr>
      <w:r>
        <w:rPr>
          <w:noProof w:val="0"/>
        </w:rPr>
        <w:t xml:space="preserve">Atidžiai perskaitykite visą šį lapelį, prieš pradėdami vartoti vaistą, </w:t>
      </w:r>
      <w:r>
        <w:rPr>
          <w:szCs w:val="24"/>
        </w:rPr>
        <w:t>nes jame pateikiama Jums svarbi informacija</w:t>
      </w:r>
      <w:r>
        <w:rPr>
          <w:noProof w:val="0"/>
        </w:rPr>
        <w:t>.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>Neišmeskite šio lapelio, nes vėl gali prireikti jį perskaityti.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>Jeigu kiltų daugiau klausimų, kreipkitės į gydytoją arba vaistininką.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>Šis vaistas skirtas tik Jums, todėl kitiems žmonėms jo duoti negalima. Vaistas gali jiems pakenkti (net tiems, kurių ligos požymiai yra tokie patys kaip Jūsų).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>Jeigu pasireiškė šalutinis poveikis (</w:t>
      </w:r>
      <w:r>
        <w:t>net jeigu jis</w:t>
      </w:r>
      <w:r>
        <w:rPr>
          <w:noProof w:val="0"/>
        </w:rPr>
        <w:t xml:space="preserve"> šiame lapelyje nenurodytas), kreipkitės į gydytoją arba vaistininką. </w:t>
      </w:r>
      <w:r>
        <w:rPr>
          <w:szCs w:val="24"/>
        </w:rPr>
        <w:t>Žr. 4 skyrių.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bEMEASMCA"/>
        <w:rPr>
          <w:noProof w:val="0"/>
        </w:rPr>
      </w:pPr>
      <w:r>
        <w:rPr>
          <w:noProof w:val="0"/>
        </w:rPr>
        <w:t>Apie ką rašoma šiame lapelyje?</w:t>
      </w:r>
    </w:p>
    <w:p w:rsidR="00955A5A" w:rsidRDefault="00955A5A" w:rsidP="00955A5A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1.</w:t>
      </w:r>
      <w:r>
        <w:rPr>
          <w:noProof w:val="0"/>
        </w:rPr>
        <w:tab/>
        <w:t xml:space="preserve">Kas yra </w:t>
      </w:r>
      <w:proofErr w:type="spellStart"/>
      <w:r>
        <w:rPr>
          <w:bCs/>
          <w:noProof w:val="0"/>
          <w:color w:val="000000"/>
        </w:rPr>
        <w:t>Vesicare</w:t>
      </w:r>
      <w:proofErr w:type="spellEnd"/>
      <w:r>
        <w:rPr>
          <w:noProof w:val="0"/>
        </w:rPr>
        <w:t xml:space="preserve"> ir kam jis vartojamas</w:t>
      </w:r>
    </w:p>
    <w:p w:rsidR="00955A5A" w:rsidRDefault="00955A5A" w:rsidP="00955A5A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2.</w:t>
      </w:r>
      <w:r>
        <w:rPr>
          <w:noProof w:val="0"/>
        </w:rPr>
        <w:tab/>
        <w:t xml:space="preserve">Kas žinotina prieš vartojant </w:t>
      </w:r>
      <w:proofErr w:type="spellStart"/>
      <w:r>
        <w:rPr>
          <w:bCs/>
          <w:noProof w:val="0"/>
          <w:color w:val="000000"/>
        </w:rPr>
        <w:t>Vesicare</w:t>
      </w:r>
      <w:proofErr w:type="spellEnd"/>
    </w:p>
    <w:p w:rsidR="00955A5A" w:rsidRDefault="00955A5A" w:rsidP="00955A5A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3.</w:t>
      </w:r>
      <w:r>
        <w:rPr>
          <w:noProof w:val="0"/>
        </w:rPr>
        <w:tab/>
        <w:t xml:space="preserve">Kaip vartoti </w:t>
      </w:r>
      <w:proofErr w:type="spellStart"/>
      <w:r>
        <w:rPr>
          <w:bCs/>
          <w:noProof w:val="0"/>
          <w:color w:val="000000"/>
        </w:rPr>
        <w:t>Vesicare</w:t>
      </w:r>
      <w:proofErr w:type="spellEnd"/>
    </w:p>
    <w:p w:rsidR="00955A5A" w:rsidRDefault="00955A5A" w:rsidP="00955A5A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4.</w:t>
      </w:r>
      <w:r>
        <w:rPr>
          <w:noProof w:val="0"/>
        </w:rPr>
        <w:tab/>
        <w:t>Galimas šalutinis poveikis</w:t>
      </w:r>
    </w:p>
    <w:p w:rsidR="00955A5A" w:rsidRDefault="00955A5A" w:rsidP="00955A5A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5.</w:t>
      </w:r>
      <w:r>
        <w:rPr>
          <w:noProof w:val="0"/>
        </w:rPr>
        <w:tab/>
        <w:t xml:space="preserve">Kaip laikyti </w:t>
      </w:r>
      <w:proofErr w:type="spellStart"/>
      <w:r>
        <w:rPr>
          <w:bCs/>
          <w:noProof w:val="0"/>
          <w:color w:val="000000"/>
        </w:rPr>
        <w:t>Vesicare</w:t>
      </w:r>
      <w:proofErr w:type="spellEnd"/>
    </w:p>
    <w:p w:rsidR="00955A5A" w:rsidRDefault="00955A5A" w:rsidP="00955A5A">
      <w:pPr>
        <w:pStyle w:val="BTEMEASMCA"/>
        <w:tabs>
          <w:tab w:val="left" w:pos="720"/>
        </w:tabs>
        <w:rPr>
          <w:noProof w:val="0"/>
        </w:rPr>
      </w:pPr>
      <w:r>
        <w:rPr>
          <w:noProof w:val="0"/>
        </w:rPr>
        <w:t>6.</w:t>
      </w:r>
      <w:r>
        <w:rPr>
          <w:noProof w:val="0"/>
        </w:rPr>
        <w:tab/>
        <w:t>Pakuotės turinys ir kita informacija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EMEASMCA"/>
      </w:pPr>
      <w:bookmarkStart w:id="78" w:name="_Toc129243139"/>
      <w:bookmarkStart w:id="79" w:name="_Toc129243264"/>
      <w:r>
        <w:t>1.</w:t>
      </w:r>
      <w:r>
        <w:tab/>
        <w:t xml:space="preserve">Kas yra </w:t>
      </w:r>
      <w:proofErr w:type="spellStart"/>
      <w:r w:rsidRPr="00EB165F">
        <w:t>Vesicare</w:t>
      </w:r>
      <w:proofErr w:type="spellEnd"/>
      <w:r>
        <w:t xml:space="preserve"> ir kam jis vartojamas</w:t>
      </w:r>
      <w:bookmarkEnd w:id="78"/>
      <w:bookmarkEnd w:id="79"/>
    </w:p>
    <w:p w:rsidR="00955A5A" w:rsidRDefault="00955A5A" w:rsidP="00955A5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Vaisto </w:t>
      </w:r>
      <w:proofErr w:type="spellStart"/>
      <w:r>
        <w:rPr>
          <w:bCs/>
          <w:color w:val="000000"/>
          <w:sz w:val="22"/>
          <w:szCs w:val="22"/>
        </w:rPr>
        <w:t>Vesicare</w:t>
      </w:r>
      <w:proofErr w:type="spellEnd"/>
      <w:r>
        <w:rPr>
          <w:bCs/>
          <w:color w:val="000000"/>
          <w:sz w:val="22"/>
          <w:szCs w:val="22"/>
        </w:rPr>
        <w:t xml:space="preserve"> veiklioji medžiaga priklauso </w:t>
      </w:r>
      <w:proofErr w:type="spellStart"/>
      <w:r>
        <w:rPr>
          <w:bCs/>
          <w:color w:val="000000"/>
          <w:sz w:val="22"/>
          <w:szCs w:val="22"/>
        </w:rPr>
        <w:t>anticholinerginių</w:t>
      </w:r>
      <w:proofErr w:type="spellEnd"/>
      <w:r>
        <w:rPr>
          <w:bCs/>
          <w:color w:val="000000"/>
          <w:sz w:val="22"/>
          <w:szCs w:val="22"/>
        </w:rPr>
        <w:t xml:space="preserve"> vaistų grupei. Šie vaistai vartojami padidėjusiam šlapimo pūslės aktyvumui mažinti. Vartojant </w:t>
      </w:r>
      <w:proofErr w:type="spellStart"/>
      <w:r>
        <w:rPr>
          <w:bCs/>
          <w:color w:val="000000"/>
          <w:sz w:val="22"/>
          <w:szCs w:val="22"/>
        </w:rPr>
        <w:t>Vesicare</w:t>
      </w:r>
      <w:proofErr w:type="spellEnd"/>
      <w:r>
        <w:rPr>
          <w:bCs/>
          <w:color w:val="000000"/>
          <w:sz w:val="22"/>
          <w:szCs w:val="22"/>
        </w:rPr>
        <w:t xml:space="preserve"> padidėja pūslėje sulaikomo šlapimo kiekis, todėl rečiau atsiranda poreikis šlapintis.</w:t>
      </w:r>
    </w:p>
    <w:p w:rsidR="00955A5A" w:rsidRDefault="00955A5A" w:rsidP="00955A5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 xml:space="preserve"> skiriamas padidėjusio šlapimo pūslės veiklos aktyvumo simptomams (pvz., be perspėjimo atsiradęs staigus ir stiprus poreikis šlapintis, padažnėjęs </w:t>
      </w:r>
      <w:proofErr w:type="spellStart"/>
      <w:r>
        <w:rPr>
          <w:color w:val="000000"/>
          <w:sz w:val="22"/>
          <w:szCs w:val="22"/>
        </w:rPr>
        <w:t>šlapinimasis</w:t>
      </w:r>
      <w:proofErr w:type="spellEnd"/>
      <w:r>
        <w:rPr>
          <w:color w:val="000000"/>
          <w:sz w:val="22"/>
          <w:szCs w:val="22"/>
        </w:rPr>
        <w:t>, šlapimo nesulaikymas) gydyti.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EMEASMCA"/>
      </w:pPr>
      <w:bookmarkStart w:id="80" w:name="_Toc129243140"/>
      <w:bookmarkStart w:id="81" w:name="_Toc129243265"/>
      <w:r>
        <w:t>2.</w:t>
      </w:r>
      <w:r>
        <w:tab/>
      </w:r>
      <w:r>
        <w:rPr>
          <w:szCs w:val="20"/>
        </w:rPr>
        <w:t>Kas</w:t>
      </w:r>
      <w:r>
        <w:t xml:space="preserve"> </w:t>
      </w:r>
      <w:r>
        <w:rPr>
          <w:szCs w:val="20"/>
        </w:rPr>
        <w:t>žinotina</w:t>
      </w:r>
      <w:r>
        <w:t xml:space="preserve"> </w:t>
      </w:r>
      <w:r>
        <w:rPr>
          <w:szCs w:val="20"/>
        </w:rPr>
        <w:t>prieš</w:t>
      </w:r>
      <w:r>
        <w:t xml:space="preserve"> </w:t>
      </w:r>
      <w:r>
        <w:rPr>
          <w:szCs w:val="20"/>
        </w:rPr>
        <w:t>vartojant</w:t>
      </w:r>
      <w:r>
        <w:t xml:space="preserve"> </w:t>
      </w:r>
      <w:proofErr w:type="spellStart"/>
      <w:r w:rsidRPr="00EB165F">
        <w:t>Vesicare</w:t>
      </w:r>
      <w:bookmarkEnd w:id="80"/>
      <w:bookmarkEnd w:id="81"/>
      <w:proofErr w:type="spellEnd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3EMEASMCA"/>
      </w:pPr>
      <w:proofErr w:type="spellStart"/>
      <w:r>
        <w:rPr>
          <w:bCs w:val="0"/>
          <w:color w:val="000000"/>
        </w:rPr>
        <w:t>Vesicare</w:t>
      </w:r>
      <w:proofErr w:type="spellEnd"/>
      <w:r>
        <w:t xml:space="preserve"> vartoti negalima: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 xml:space="preserve">jeigu yra alergija </w:t>
      </w:r>
      <w:proofErr w:type="spellStart"/>
      <w:r>
        <w:rPr>
          <w:bCs/>
          <w:noProof w:val="0"/>
          <w:color w:val="000000"/>
        </w:rPr>
        <w:t>solifenacino</w:t>
      </w:r>
      <w:proofErr w:type="spellEnd"/>
      <w:r>
        <w:rPr>
          <w:bCs/>
          <w:noProof w:val="0"/>
          <w:color w:val="000000"/>
        </w:rPr>
        <w:t xml:space="preserve"> </w:t>
      </w:r>
      <w:proofErr w:type="spellStart"/>
      <w:r>
        <w:rPr>
          <w:bCs/>
          <w:noProof w:val="0"/>
          <w:color w:val="000000"/>
        </w:rPr>
        <w:t>sukcinatui</w:t>
      </w:r>
      <w:proofErr w:type="spellEnd"/>
      <w:r>
        <w:rPr>
          <w:bCs/>
          <w:noProof w:val="0"/>
          <w:color w:val="000000"/>
        </w:rPr>
        <w:t xml:space="preserve"> </w:t>
      </w:r>
      <w:r>
        <w:rPr>
          <w:noProof w:val="0"/>
        </w:rPr>
        <w:t>arba bet kuriai pagalbinei šio vaisto medžiagai (</w:t>
      </w:r>
      <w:r>
        <w:t>jos išvardytos 6 skyriuje</w:t>
      </w:r>
      <w:r>
        <w:rPr>
          <w:noProof w:val="0"/>
        </w:rPr>
        <w:t>);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 xml:space="preserve">jeigu kenčiate dėl šlapimo susilaikymo (kai šlapimas pūslėje kaupiasi dėl </w:t>
      </w:r>
      <w:proofErr w:type="spellStart"/>
      <w:r>
        <w:rPr>
          <w:noProof w:val="0"/>
        </w:rPr>
        <w:t>šlapinimosi</w:t>
      </w:r>
      <w:proofErr w:type="spellEnd"/>
      <w:r>
        <w:rPr>
          <w:noProof w:val="0"/>
        </w:rPr>
        <w:t xml:space="preserve"> sutrikimų);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>jei kenčiate dėl stipriai sutrikusios skrandžio ar virškinimo trakto veiklos, taip pat jei kamuoja toksinis gaubtinės žarnos išsiplėtimas, kurį sukelia opinis kolitas;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 xml:space="preserve">jeigu sergate raumenų liga, vadinama </w:t>
      </w:r>
      <w:proofErr w:type="spellStart"/>
      <w:r>
        <w:rPr>
          <w:noProof w:val="0"/>
        </w:rPr>
        <w:t>generalizuota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miastenija</w:t>
      </w:r>
      <w:proofErr w:type="spellEnd"/>
      <w:r>
        <w:rPr>
          <w:noProof w:val="0"/>
        </w:rPr>
        <w:t>, dėl kurios labai susilpnėja tam tikri kūno raumenys;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>jeigu Jums yra padidėjęs akispūdis, dėl kurio pamažu prarandamas regėjimas (sergate glaukoma);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>jeigu Jums taikoma hemodializė;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>jeigu sergate sunkia kepenų liga;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 xml:space="preserve">jeigu sergate sunkia inkstų arba vidutinio sunkumo kepenų liga ir tuo pat metu vartojate vaistus, kurie gali slopinti </w:t>
      </w:r>
      <w:r>
        <w:rPr>
          <w:bCs/>
          <w:color w:val="000000"/>
        </w:rPr>
        <w:t>Vesicare</w:t>
      </w:r>
      <w:r w:rsidRPr="00EB165F">
        <w:rPr>
          <w:color w:val="000000"/>
        </w:rPr>
        <w:t xml:space="preserve"> </w:t>
      </w:r>
      <w:r>
        <w:rPr>
          <w:noProof w:val="0"/>
        </w:rPr>
        <w:t xml:space="preserve">pašalinimą iš organizmo (pvz., </w:t>
      </w:r>
      <w:proofErr w:type="spellStart"/>
      <w:r>
        <w:rPr>
          <w:noProof w:val="0"/>
        </w:rPr>
        <w:t>ketokonazolį</w:t>
      </w:r>
      <w:proofErr w:type="spellEnd"/>
      <w:r>
        <w:rPr>
          <w:noProof w:val="0"/>
        </w:rPr>
        <w:t>). Jūsų gydytojas arba vaistininkas pasakys, jeigu ši sąlyga Jums aktuali.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 xml:space="preserve">Jeigu Jums yra arba anksčiau buvo pasireiškęs bent vienas iš aukščiau išvardintų sutrikimų, prieš pradėdami vartoti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pasakykite apie tai savo gydytojui. 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3EMEASMCA"/>
      </w:pPr>
      <w:r>
        <w:rPr>
          <w:szCs w:val="20"/>
        </w:rPr>
        <w:t>Įspėjimai</w:t>
      </w:r>
      <w:r>
        <w:t xml:space="preserve"> </w:t>
      </w:r>
      <w:r>
        <w:rPr>
          <w:szCs w:val="20"/>
        </w:rPr>
        <w:t>ir</w:t>
      </w:r>
      <w:r>
        <w:t xml:space="preserve"> </w:t>
      </w:r>
      <w:r>
        <w:rPr>
          <w:szCs w:val="20"/>
        </w:rPr>
        <w:t>atsargumo</w:t>
      </w:r>
      <w:r>
        <w:t xml:space="preserve"> </w:t>
      </w:r>
      <w:r>
        <w:rPr>
          <w:szCs w:val="20"/>
        </w:rPr>
        <w:t>priemonės</w:t>
      </w:r>
    </w:p>
    <w:p w:rsidR="00955A5A" w:rsidRDefault="00955A5A" w:rsidP="00955A5A">
      <w:pPr>
        <w:pStyle w:val="BT-EMEASMCA"/>
        <w:numPr>
          <w:ilvl w:val="0"/>
          <w:numId w:val="0"/>
        </w:numPr>
        <w:rPr>
          <w:noProof w:val="0"/>
        </w:rPr>
      </w:pPr>
      <w:r>
        <w:lastRenderedPageBreak/>
        <w:t>Pasitarkite su gydytoju arba vaistininku, prieš pradėdami vartoti Vesicare: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 xml:space="preserve">jeigu Jums sunku šlapintis (yra šlapimo pūslės obstrukcija) ar sutrikęs </w:t>
      </w:r>
      <w:proofErr w:type="spellStart"/>
      <w:r>
        <w:rPr>
          <w:noProof w:val="0"/>
        </w:rPr>
        <w:t>šlapinimasis</w:t>
      </w:r>
      <w:proofErr w:type="spellEnd"/>
      <w:r>
        <w:rPr>
          <w:noProof w:val="0"/>
        </w:rPr>
        <w:t xml:space="preserve"> (pvz., silpna šlapimo srovė). Šlapimo susilaikymo pūslėje rizika Jums yra didesnė; 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rFonts w:eastAsia="MS Mincho"/>
          <w:noProof w:val="0"/>
        </w:rPr>
        <w:t>jeigu Jums yra virškinimo trakto obstrukcija (vidurių užkietėjimas);</w:t>
      </w:r>
    </w:p>
    <w:p w:rsidR="00955A5A" w:rsidRDefault="00955A5A" w:rsidP="00955A5A">
      <w:pPr>
        <w:pStyle w:val="BT-EMEASMCA"/>
        <w:rPr>
          <w:rFonts w:eastAsia="MS Mincho"/>
          <w:noProof w:val="0"/>
        </w:rPr>
      </w:pPr>
      <w:r>
        <w:rPr>
          <w:rFonts w:eastAsia="MS Mincho"/>
          <w:noProof w:val="0"/>
        </w:rPr>
        <w:t>jeigu yra rizika, kad sulėtės Jūsų virškinimo trakto veikla (skrandžio ir žarnyno peristaltika). Apie tai Jus perspės Jūsų gydytojas;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rFonts w:eastAsia="MS Mincho"/>
          <w:noProof w:val="0"/>
        </w:rPr>
        <w:t>jeigu sergate sunkia inkstų liga;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rFonts w:eastAsia="MS Mincho"/>
          <w:noProof w:val="0"/>
        </w:rPr>
        <w:t>jeigu sergate vidutinio sunkumo kepenų liga;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rFonts w:eastAsia="MS Mincho"/>
          <w:noProof w:val="0"/>
        </w:rPr>
        <w:t>jei turite stemplės angos išvaržą skrandyje ar kenčiate dėl rėmens;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rFonts w:eastAsia="MS Mincho"/>
          <w:noProof w:val="0"/>
        </w:rPr>
        <w:t xml:space="preserve">jeigu Jums nustatyta </w:t>
      </w:r>
      <w:r>
        <w:rPr>
          <w:noProof w:val="0"/>
        </w:rPr>
        <w:t>nervų sistemos sutrikimų (</w:t>
      </w:r>
      <w:r>
        <w:rPr>
          <w:rFonts w:eastAsia="MS Mincho"/>
          <w:noProof w:val="0"/>
        </w:rPr>
        <w:t>autonominė neuropatija).</w:t>
      </w:r>
    </w:p>
    <w:p w:rsidR="00955A5A" w:rsidRDefault="00955A5A" w:rsidP="00955A5A">
      <w:pPr>
        <w:rPr>
          <w:rFonts w:eastAsia="MS Mincho"/>
          <w:sz w:val="22"/>
          <w:szCs w:val="22"/>
        </w:rPr>
      </w:pPr>
    </w:p>
    <w:p w:rsidR="00955A5A" w:rsidRDefault="00955A5A" w:rsidP="00955A5A">
      <w:pPr>
        <w:pStyle w:val="Antrat4"/>
        <w:rPr>
          <w:noProof w:val="0"/>
          <w:lang w:val="lt-LT"/>
        </w:rPr>
      </w:pPr>
      <w:r>
        <w:rPr>
          <w:noProof w:val="0"/>
          <w:lang w:val="lt-LT"/>
        </w:rPr>
        <w:t>Vaikams ir paaugliams</w:t>
      </w:r>
    </w:p>
    <w:p w:rsidR="00955A5A" w:rsidRDefault="00955A5A" w:rsidP="00955A5A">
      <w:pPr>
        <w:rPr>
          <w:b/>
          <w:sz w:val="22"/>
        </w:rPr>
      </w:pPr>
      <w:proofErr w:type="spellStart"/>
      <w:r>
        <w:rPr>
          <w:rFonts w:eastAsia="MS Mincho"/>
          <w:b/>
          <w:sz w:val="22"/>
        </w:rPr>
        <w:t>Vesicare</w:t>
      </w:r>
      <w:proofErr w:type="spellEnd"/>
      <w:r>
        <w:rPr>
          <w:rFonts w:eastAsia="MS Mincho"/>
          <w:b/>
          <w:sz w:val="22"/>
        </w:rPr>
        <w:t xml:space="preserve"> negalima vartoti vaikams ir jaunesniems nei 18 metų paaugliams.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 xml:space="preserve">Jeigu Jums yra arba anksčiau buvo pasireiškęs bent vienas iš aukščiau išvardintų sutrikimų, prieš pradėdami vartoti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pasakykite apie tai savo gydytojui.</w:t>
      </w:r>
    </w:p>
    <w:p w:rsidR="00955A5A" w:rsidRDefault="00955A5A" w:rsidP="00955A5A">
      <w:pPr>
        <w:pStyle w:val="BTEMEASMCA"/>
        <w:rPr>
          <w:color w:val="00000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 xml:space="preserve">Prieš pradėdamas Jus gydyti </w:t>
      </w:r>
      <w:proofErr w:type="spellStart"/>
      <w:r>
        <w:rPr>
          <w:noProof w:val="0"/>
        </w:rPr>
        <w:t>Vesicare</w:t>
      </w:r>
      <w:proofErr w:type="spellEnd"/>
      <w:r>
        <w:rPr>
          <w:noProof w:val="0"/>
        </w:rPr>
        <w:t xml:space="preserve">, gydytojas įvertins, dėl kokių kitų priežasčių Jums galėtų būti padažnėjęs </w:t>
      </w:r>
      <w:proofErr w:type="spellStart"/>
      <w:r>
        <w:rPr>
          <w:noProof w:val="0"/>
        </w:rPr>
        <w:t>šlapinimasis</w:t>
      </w:r>
      <w:proofErr w:type="spellEnd"/>
      <w:r>
        <w:rPr>
          <w:noProof w:val="0"/>
        </w:rPr>
        <w:t xml:space="preserve"> (pvz., širdies nepakankamumas (nepakankama širdies susitraukimo jėga) ar inkstų liga). Jeigu Jums bus diagnozuota šlapimo takų infekcija, gydytojas paskirs antibiotikų, veikiančių prieš infekciją Jums sukėlusias bakterijas.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3EMEASMCA"/>
      </w:pPr>
      <w:r>
        <w:t xml:space="preserve">Kiti vaistai ir </w:t>
      </w:r>
      <w:proofErr w:type="spellStart"/>
      <w:r>
        <w:t>Vesicare</w:t>
      </w:r>
      <w:proofErr w:type="spellEnd"/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 xml:space="preserve">Jeigu vartojate ar neseniai vartojote kitų vaistų </w:t>
      </w:r>
      <w:r>
        <w:t>arba dėl to nesate tikri, apie tai</w:t>
      </w:r>
      <w:r>
        <w:rPr>
          <w:noProof w:val="0"/>
        </w:rPr>
        <w:t xml:space="preserve"> pasakykite gydytojui arba vaistininkui.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Labai svarbu pasakyti gydytojui, jeigu vartojate: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 xml:space="preserve">kitų </w:t>
      </w:r>
      <w:proofErr w:type="spellStart"/>
      <w:r>
        <w:rPr>
          <w:noProof w:val="0"/>
        </w:rPr>
        <w:t>anticholinerginių</w:t>
      </w:r>
      <w:proofErr w:type="spellEnd"/>
      <w:r>
        <w:rPr>
          <w:noProof w:val="0"/>
        </w:rPr>
        <w:t xml:space="preserve"> vaistų </w:t>
      </w:r>
      <w:r>
        <w:rPr>
          <w:noProof w:val="0"/>
          <w:color w:val="000000"/>
        </w:rPr>
        <w:t>–</w:t>
      </w:r>
      <w:r>
        <w:rPr>
          <w:noProof w:val="0"/>
        </w:rPr>
        <w:t xml:space="preserve"> abiejų vaistų poveikis ir šalutinis poveikis gali būti stipresni</w:t>
      </w:r>
      <w:r>
        <w:rPr>
          <w:rFonts w:eastAsia="MS Mincho"/>
          <w:noProof w:val="0"/>
        </w:rPr>
        <w:t>;</w:t>
      </w:r>
    </w:p>
    <w:p w:rsidR="00955A5A" w:rsidRDefault="00955A5A" w:rsidP="00955A5A">
      <w:pPr>
        <w:pStyle w:val="BT-EMEASMCA"/>
        <w:rPr>
          <w:noProof w:val="0"/>
        </w:rPr>
      </w:pPr>
      <w:proofErr w:type="spellStart"/>
      <w:r>
        <w:rPr>
          <w:noProof w:val="0"/>
          <w:color w:val="000000"/>
        </w:rPr>
        <w:t>cholinerginių</w:t>
      </w:r>
      <w:proofErr w:type="spellEnd"/>
      <w:r>
        <w:rPr>
          <w:noProof w:val="0"/>
          <w:color w:val="000000"/>
        </w:rPr>
        <w:t xml:space="preserve"> vaistų – šie vaistai gali </w:t>
      </w:r>
      <w:proofErr w:type="spellStart"/>
      <w:r>
        <w:rPr>
          <w:noProof w:val="0"/>
          <w:color w:val="000000"/>
        </w:rPr>
        <w:t>susilpninti</w:t>
      </w:r>
      <w:proofErr w:type="spellEnd"/>
      <w:r>
        <w:rPr>
          <w:noProof w:val="0"/>
          <w:color w:val="000000"/>
        </w:rPr>
        <w:t xml:space="preserve">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poveikį; 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  <w:color w:val="000000"/>
        </w:rPr>
        <w:t xml:space="preserve">virškinimo trakto peristaltiką skatinančių vaistų, pvz., </w:t>
      </w:r>
      <w:proofErr w:type="spellStart"/>
      <w:r>
        <w:rPr>
          <w:noProof w:val="0"/>
          <w:color w:val="000000"/>
        </w:rPr>
        <w:t>metoklopramido</w:t>
      </w:r>
      <w:proofErr w:type="spellEnd"/>
      <w:r>
        <w:rPr>
          <w:noProof w:val="0"/>
          <w:color w:val="000000"/>
        </w:rPr>
        <w:t xml:space="preserve"> ar </w:t>
      </w:r>
      <w:proofErr w:type="spellStart"/>
      <w:r>
        <w:rPr>
          <w:noProof w:val="0"/>
          <w:color w:val="000000"/>
        </w:rPr>
        <w:t>cisaprido</w:t>
      </w:r>
      <w:proofErr w:type="spellEnd"/>
      <w:r>
        <w:rPr>
          <w:noProof w:val="0"/>
          <w:color w:val="000000"/>
        </w:rPr>
        <w:t xml:space="preserve">, –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gali </w:t>
      </w:r>
      <w:proofErr w:type="spellStart"/>
      <w:r>
        <w:rPr>
          <w:noProof w:val="0"/>
          <w:color w:val="000000"/>
        </w:rPr>
        <w:t>susilpninti</w:t>
      </w:r>
      <w:proofErr w:type="spellEnd"/>
      <w:r>
        <w:rPr>
          <w:noProof w:val="0"/>
          <w:color w:val="000000"/>
        </w:rPr>
        <w:t xml:space="preserve"> šių vaistų poveikį</w:t>
      </w:r>
      <w:r>
        <w:rPr>
          <w:rFonts w:eastAsia="MS Mincho"/>
          <w:noProof w:val="0"/>
        </w:rPr>
        <w:t>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  <w:color w:val="000000"/>
        </w:rPr>
        <w:t xml:space="preserve">vaistų, kurie lėtina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pašalinimą iš organizmo (pvz., </w:t>
      </w:r>
      <w:proofErr w:type="spellStart"/>
      <w:r>
        <w:rPr>
          <w:noProof w:val="0"/>
          <w:color w:val="000000"/>
        </w:rPr>
        <w:t>ketokonazolo</w:t>
      </w:r>
      <w:proofErr w:type="spellEnd"/>
      <w:r>
        <w:rPr>
          <w:noProof w:val="0"/>
          <w:color w:val="000000"/>
        </w:rPr>
        <w:t xml:space="preserve">, </w:t>
      </w:r>
      <w:proofErr w:type="spellStart"/>
      <w:r>
        <w:rPr>
          <w:noProof w:val="0"/>
          <w:color w:val="000000"/>
        </w:rPr>
        <w:t>ritonaviro</w:t>
      </w:r>
      <w:proofErr w:type="spellEnd"/>
      <w:r>
        <w:rPr>
          <w:noProof w:val="0"/>
          <w:color w:val="000000"/>
        </w:rPr>
        <w:t xml:space="preserve">, </w:t>
      </w:r>
      <w:proofErr w:type="spellStart"/>
      <w:r>
        <w:rPr>
          <w:noProof w:val="0"/>
          <w:color w:val="000000"/>
        </w:rPr>
        <w:t>nelfinaviro</w:t>
      </w:r>
      <w:proofErr w:type="spellEnd"/>
      <w:r>
        <w:rPr>
          <w:noProof w:val="0"/>
          <w:color w:val="000000"/>
        </w:rPr>
        <w:t xml:space="preserve">, </w:t>
      </w:r>
      <w:proofErr w:type="spellStart"/>
      <w:r>
        <w:rPr>
          <w:noProof w:val="0"/>
          <w:color w:val="000000"/>
        </w:rPr>
        <w:t>itrakonazolo</w:t>
      </w:r>
      <w:proofErr w:type="spellEnd"/>
      <w:r>
        <w:rPr>
          <w:noProof w:val="0"/>
          <w:color w:val="000000"/>
        </w:rPr>
        <w:t xml:space="preserve">, </w:t>
      </w:r>
      <w:proofErr w:type="spellStart"/>
      <w:r>
        <w:rPr>
          <w:noProof w:val="0"/>
          <w:color w:val="000000"/>
        </w:rPr>
        <w:t>verapamilio</w:t>
      </w:r>
      <w:proofErr w:type="spellEnd"/>
      <w:r>
        <w:rPr>
          <w:noProof w:val="0"/>
          <w:color w:val="000000"/>
        </w:rPr>
        <w:t xml:space="preserve">, </w:t>
      </w:r>
      <w:proofErr w:type="spellStart"/>
      <w:r>
        <w:rPr>
          <w:noProof w:val="0"/>
          <w:color w:val="000000"/>
        </w:rPr>
        <w:t>diltiazemo</w:t>
      </w:r>
      <w:proofErr w:type="spellEnd"/>
      <w:r>
        <w:rPr>
          <w:noProof w:val="0"/>
          <w:color w:val="000000"/>
        </w:rPr>
        <w:t>);</w:t>
      </w:r>
    </w:p>
    <w:p w:rsidR="00955A5A" w:rsidRDefault="00955A5A" w:rsidP="00955A5A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 xml:space="preserve">vaistų, kurie greitina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pašalinimą iš organizmo (pvz., </w:t>
      </w:r>
      <w:proofErr w:type="spellStart"/>
      <w:r>
        <w:rPr>
          <w:noProof w:val="0"/>
          <w:color w:val="000000"/>
        </w:rPr>
        <w:t>rifampicino</w:t>
      </w:r>
      <w:proofErr w:type="spellEnd"/>
      <w:r>
        <w:rPr>
          <w:noProof w:val="0"/>
          <w:color w:val="000000"/>
        </w:rPr>
        <w:t xml:space="preserve">, </w:t>
      </w:r>
      <w:proofErr w:type="spellStart"/>
      <w:r>
        <w:rPr>
          <w:noProof w:val="0"/>
          <w:color w:val="000000"/>
        </w:rPr>
        <w:t>fenitoino</w:t>
      </w:r>
      <w:proofErr w:type="spellEnd"/>
      <w:r>
        <w:rPr>
          <w:noProof w:val="0"/>
          <w:color w:val="000000"/>
        </w:rPr>
        <w:t xml:space="preserve">, </w:t>
      </w:r>
      <w:proofErr w:type="spellStart"/>
      <w:r>
        <w:rPr>
          <w:noProof w:val="0"/>
          <w:color w:val="000000"/>
        </w:rPr>
        <w:t>karbamazepino</w:t>
      </w:r>
      <w:proofErr w:type="spellEnd"/>
      <w:r>
        <w:rPr>
          <w:noProof w:val="0"/>
          <w:color w:val="000000"/>
        </w:rPr>
        <w:t>);</w:t>
      </w:r>
    </w:p>
    <w:p w:rsidR="00955A5A" w:rsidRDefault="00955A5A" w:rsidP="00955A5A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>vaistų, kurie gali sukelti stemplės uždegimo (</w:t>
      </w:r>
      <w:proofErr w:type="spellStart"/>
      <w:r>
        <w:rPr>
          <w:noProof w:val="0"/>
          <w:color w:val="000000"/>
        </w:rPr>
        <w:t>ezofagito</w:t>
      </w:r>
      <w:proofErr w:type="spellEnd"/>
      <w:r>
        <w:rPr>
          <w:noProof w:val="0"/>
          <w:color w:val="000000"/>
        </w:rPr>
        <w:t xml:space="preserve">) paūmėjimą (pvz., </w:t>
      </w:r>
      <w:proofErr w:type="spellStart"/>
      <w:r>
        <w:rPr>
          <w:noProof w:val="0"/>
          <w:color w:val="000000"/>
        </w:rPr>
        <w:t>bisfosfonatų</w:t>
      </w:r>
      <w:proofErr w:type="spellEnd"/>
      <w:r>
        <w:rPr>
          <w:noProof w:val="0"/>
          <w:color w:val="000000"/>
        </w:rPr>
        <w:t>).</w:t>
      </w: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55A5A" w:rsidRDefault="00955A5A" w:rsidP="00955A5A">
      <w:pPr>
        <w:pStyle w:val="PI-3EMEASMCA"/>
      </w:pPr>
      <w:proofErr w:type="spellStart"/>
      <w:r>
        <w:rPr>
          <w:bCs w:val="0"/>
          <w:color w:val="000000"/>
        </w:rPr>
        <w:t>Vesicare</w:t>
      </w:r>
      <w:proofErr w:type="spellEnd"/>
      <w:r>
        <w:t xml:space="preserve"> vartojimas su maistu ir gėrimais</w:t>
      </w:r>
    </w:p>
    <w:p w:rsidR="00955A5A" w:rsidRDefault="00955A5A" w:rsidP="00955A5A">
      <w:pPr>
        <w:pStyle w:val="BTEMEASMCA"/>
        <w:rPr>
          <w:noProof w:val="0"/>
          <w:color w:val="000000"/>
        </w:rPr>
      </w:pP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galima vartoti su maistu ar be jo – kaip Jums patogiau.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3EMEASMCA"/>
        <w:tabs>
          <w:tab w:val="left" w:pos="3750"/>
        </w:tabs>
      </w:pPr>
      <w:r>
        <w:t>Nėštumas ir žindymo laikotarpis</w:t>
      </w:r>
    </w:p>
    <w:p w:rsidR="00955A5A" w:rsidRDefault="00955A5A" w:rsidP="00955A5A">
      <w:pPr>
        <w:pStyle w:val="BTEMEASMCA"/>
        <w:rPr>
          <w:noProof w:val="0"/>
        </w:rPr>
      </w:pPr>
      <w:r>
        <w:t>Vesicare nėštumo metu vartoti negalima, išskyrus neabejotinai būtinus atvejus.</w:t>
      </w: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  <w:color w:val="000000"/>
        </w:rPr>
        <w:t xml:space="preserve">Žindymo laikotarpiu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vartoti negalima, nes </w:t>
      </w:r>
      <w:proofErr w:type="spellStart"/>
      <w:r>
        <w:rPr>
          <w:noProof w:val="0"/>
          <w:color w:val="000000"/>
        </w:rPr>
        <w:t>solifenacino</w:t>
      </w:r>
      <w:proofErr w:type="spellEnd"/>
      <w:r>
        <w:rPr>
          <w:noProof w:val="0"/>
          <w:color w:val="000000"/>
        </w:rPr>
        <w:t xml:space="preserve"> gali išsiskirti su motinos pienu.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Prieš vartojant bet kokį vaistą, būtina pasitarti su gydytoju arba vaistininku.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3EMEASMCA"/>
      </w:pPr>
      <w:r>
        <w:t>Vairavimas ir mechanizmų valdymas</w:t>
      </w:r>
    </w:p>
    <w:p w:rsidR="00955A5A" w:rsidRDefault="00955A5A" w:rsidP="00955A5A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 xml:space="preserve">Vartojant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 xml:space="preserve"> gali būti neryškus matymas (susilieti vaizdas) ir kartais atsirasti mieguistumas ar nuovargis. Todėl, jei kenčiate dėl šių šalutinių reiškinių, nevairuokite automobilio ir nedirbkite su mechanizmais.</w:t>
      </w: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  <w:rPr>
          <w:noProof w:val="0"/>
        </w:rPr>
      </w:pPr>
      <w:r w:rsidRPr="00EB165F">
        <w:rPr>
          <w:rFonts w:eastAsia="MS Mincho"/>
          <w:b/>
        </w:rPr>
        <w:t>Vesicare sudėtyje yra laktozės.</w:t>
      </w:r>
      <w:r>
        <w:rPr>
          <w:rFonts w:eastAsia="MS Mincho"/>
          <w:noProof w:val="0"/>
        </w:rPr>
        <w:t xml:space="preserve"> Šio vaisto negalima vartoti pacientams, kuriems nustatytas retas paveldimas sutrikimas – </w:t>
      </w:r>
      <w:proofErr w:type="spellStart"/>
      <w:r>
        <w:rPr>
          <w:rFonts w:eastAsia="MS Mincho"/>
          <w:noProof w:val="0"/>
        </w:rPr>
        <w:t>galaktozės</w:t>
      </w:r>
      <w:proofErr w:type="spellEnd"/>
      <w:r>
        <w:rPr>
          <w:rFonts w:eastAsia="MS Mincho"/>
          <w:noProof w:val="0"/>
        </w:rPr>
        <w:t xml:space="preserve"> </w:t>
      </w:r>
      <w:proofErr w:type="spellStart"/>
      <w:r>
        <w:rPr>
          <w:rFonts w:eastAsia="MS Mincho"/>
          <w:noProof w:val="0"/>
        </w:rPr>
        <w:t>netoleravimas</w:t>
      </w:r>
      <w:proofErr w:type="spellEnd"/>
      <w:r>
        <w:rPr>
          <w:rFonts w:eastAsia="MS Mincho"/>
          <w:noProof w:val="0"/>
        </w:rPr>
        <w:t xml:space="preserve">, </w:t>
      </w:r>
      <w:proofErr w:type="spellStart"/>
      <w:r>
        <w:rPr>
          <w:rFonts w:eastAsia="MS Mincho"/>
          <w:noProof w:val="0"/>
        </w:rPr>
        <w:t>Lapp</w:t>
      </w:r>
      <w:proofErr w:type="spellEnd"/>
      <w:r>
        <w:rPr>
          <w:rFonts w:eastAsia="MS Mincho"/>
          <w:noProof w:val="0"/>
        </w:rPr>
        <w:t xml:space="preserve"> laktazės stygius arba gliukozės ir </w:t>
      </w:r>
      <w:proofErr w:type="spellStart"/>
      <w:r>
        <w:rPr>
          <w:rFonts w:eastAsia="MS Mincho"/>
          <w:noProof w:val="0"/>
        </w:rPr>
        <w:t>galaktozės</w:t>
      </w:r>
      <w:proofErr w:type="spellEnd"/>
      <w:r>
        <w:rPr>
          <w:rFonts w:eastAsia="MS Mincho"/>
          <w:noProof w:val="0"/>
        </w:rPr>
        <w:t xml:space="preserve"> </w:t>
      </w:r>
      <w:proofErr w:type="spellStart"/>
      <w:r>
        <w:rPr>
          <w:rFonts w:eastAsia="MS Mincho"/>
          <w:noProof w:val="0"/>
        </w:rPr>
        <w:t>malabsorbcija</w:t>
      </w:r>
      <w:proofErr w:type="spellEnd"/>
      <w:r>
        <w:rPr>
          <w:rFonts w:eastAsia="MS Mincho"/>
          <w:noProof w:val="0"/>
        </w:rPr>
        <w:t>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EMEASMCA"/>
      </w:pPr>
      <w:bookmarkStart w:id="82" w:name="_Toc129243141"/>
      <w:bookmarkStart w:id="83" w:name="_Toc129243266"/>
      <w:r>
        <w:lastRenderedPageBreak/>
        <w:t>3.</w:t>
      </w:r>
      <w:r>
        <w:tab/>
      </w:r>
      <w:r>
        <w:rPr>
          <w:szCs w:val="20"/>
        </w:rPr>
        <w:t>Kaip</w:t>
      </w:r>
      <w:r>
        <w:t xml:space="preserve"> </w:t>
      </w:r>
      <w:r>
        <w:rPr>
          <w:szCs w:val="20"/>
        </w:rPr>
        <w:t>vartoti</w:t>
      </w:r>
      <w:r>
        <w:t xml:space="preserve"> </w:t>
      </w:r>
      <w:proofErr w:type="spellStart"/>
      <w:r w:rsidRPr="00EB165F">
        <w:t>Vesicare</w:t>
      </w:r>
      <w:bookmarkEnd w:id="82"/>
      <w:bookmarkEnd w:id="83"/>
      <w:proofErr w:type="spellEnd"/>
    </w:p>
    <w:p w:rsidR="00955A5A" w:rsidRDefault="00955A5A" w:rsidP="00955A5A">
      <w:pPr>
        <w:pStyle w:val="BTEMEASMCA"/>
        <w:keepNext/>
        <w:rPr>
          <w:noProof w:val="0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rFonts w:eastAsia="MS Mincho"/>
          <w:sz w:val="22"/>
          <w:szCs w:val="22"/>
        </w:rPr>
        <w:t>V</w:t>
      </w:r>
      <w:r>
        <w:rPr>
          <w:sz w:val="22"/>
          <w:szCs w:val="22"/>
        </w:rPr>
        <w:t xml:space="preserve">isada vartokite šį vaistą tiksliai kaip nurodė gydytojas. Jeigu abejojate, kreipkitės į gydytoją arba vaistininką. </w:t>
      </w:r>
    </w:p>
    <w:p w:rsidR="00955A5A" w:rsidRDefault="00955A5A" w:rsidP="00955A5A">
      <w:pPr>
        <w:rPr>
          <w:sz w:val="22"/>
          <w:szCs w:val="22"/>
        </w:rPr>
      </w:pPr>
    </w:p>
    <w:p w:rsidR="00955A5A" w:rsidRDefault="00955A5A" w:rsidP="00955A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Visą tabletę reikia nuryti, užsigeriant skysčiu. </w:t>
      </w: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 xml:space="preserve"> galima vartoti su maistu ar be jo – kaip Jums patogiau. Nesmulkinkite tabletės.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  <w:color w:val="000000"/>
        </w:rPr>
      </w:pPr>
      <w:r>
        <w:rPr>
          <w:noProof w:val="0"/>
        </w:rPr>
        <w:t xml:space="preserve">Rekomenduojama </w:t>
      </w:r>
      <w:r>
        <w:rPr>
          <w:noProof w:val="0"/>
          <w:color w:val="000000"/>
        </w:rPr>
        <w:t>dozė yra 5 mg, nebent Jūsų gydytojas patarė vartoti 10 mg dozę per parą.</w:t>
      </w:r>
    </w:p>
    <w:p w:rsidR="00955A5A" w:rsidRDefault="00955A5A" w:rsidP="00955A5A">
      <w:pPr>
        <w:pStyle w:val="PI-3EMEASMCA"/>
        <w:rPr>
          <w:color w:val="000000"/>
        </w:rPr>
      </w:pPr>
    </w:p>
    <w:p w:rsidR="00955A5A" w:rsidRDefault="00955A5A" w:rsidP="00955A5A">
      <w:pPr>
        <w:pStyle w:val="PI-3EMEASMCA"/>
      </w:pPr>
      <w:r>
        <w:t xml:space="preserve">Ką daryti pavartojus per didelę </w:t>
      </w:r>
      <w:proofErr w:type="spellStart"/>
      <w:r>
        <w:rPr>
          <w:rFonts w:eastAsia="MS Mincho"/>
        </w:rPr>
        <w:t>Vesicare</w:t>
      </w:r>
      <w:proofErr w:type="spellEnd"/>
      <w:r>
        <w:t xml:space="preserve"> dozę?</w:t>
      </w: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Jeigu netyčia pavartojote per didelę vaisto dozę arba vaisto netyčia pavartojo vaikas, nedelsiant kreipkitės į gydytoją arba vaistininką.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b/>
          <w:noProof w:val="0"/>
        </w:rPr>
      </w:pPr>
      <w:r>
        <w:rPr>
          <w:noProof w:val="0"/>
          <w:color w:val="000000"/>
        </w:rPr>
        <w:t>Perdozavus vaisto Jums gali atsirasti šie simptomai: galvos skausmas, burnos džiūvimas, galvos svaigimas, mieguistumas ir neryškus matymas, nesamų daiktų matymas ar jutimas (haliucinacijos), didelis susijaudinimas, traukuliai (konvulsijos), pasunkėjęs kvėpavimas, padažnėjęs širdies plakimas (</w:t>
      </w:r>
      <w:proofErr w:type="spellStart"/>
      <w:r>
        <w:rPr>
          <w:noProof w:val="0"/>
          <w:color w:val="000000"/>
        </w:rPr>
        <w:t>tachikardija</w:t>
      </w:r>
      <w:proofErr w:type="spellEnd"/>
      <w:r>
        <w:rPr>
          <w:noProof w:val="0"/>
          <w:color w:val="000000"/>
        </w:rPr>
        <w:t>), šlapimo kaupimasis pūslėje (šlapimo susilaikymas), vyzdžių išsiplėtimas (</w:t>
      </w:r>
      <w:proofErr w:type="spellStart"/>
      <w:r>
        <w:rPr>
          <w:noProof w:val="0"/>
          <w:color w:val="000000"/>
        </w:rPr>
        <w:t>midriazė</w:t>
      </w:r>
      <w:proofErr w:type="spellEnd"/>
      <w:r>
        <w:rPr>
          <w:noProof w:val="0"/>
          <w:color w:val="000000"/>
        </w:rPr>
        <w:t>).</w:t>
      </w:r>
    </w:p>
    <w:p w:rsidR="00955A5A" w:rsidRDefault="00955A5A" w:rsidP="00955A5A">
      <w:pPr>
        <w:pStyle w:val="PI-3EMEASMCA"/>
      </w:pPr>
    </w:p>
    <w:p w:rsidR="00955A5A" w:rsidRDefault="00955A5A" w:rsidP="00955A5A">
      <w:pPr>
        <w:pStyle w:val="PI-3EMEASMCA"/>
      </w:pPr>
      <w:r>
        <w:t xml:space="preserve">Pamiršus pavartoti </w:t>
      </w:r>
      <w:proofErr w:type="spellStart"/>
      <w:r>
        <w:rPr>
          <w:rFonts w:eastAsia="MS Mincho"/>
        </w:rPr>
        <w:t>Vesicare</w:t>
      </w:r>
      <w:proofErr w:type="spellEnd"/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  <w:color w:val="000000"/>
        </w:rPr>
        <w:t xml:space="preserve">Jei reikiamu laiku pamiršote išgerti tabletę, išgerkite ją tuoj pat, kai prisiminsite, jei tik tai nėra laikas, kai turi būti vartojama kita dozė. </w:t>
      </w:r>
      <w:r>
        <w:rPr>
          <w:noProof w:val="0"/>
        </w:rPr>
        <w:t xml:space="preserve">Negalima vartoti dvigubos dozės norint kompensuoti praleistą dozę. </w:t>
      </w:r>
      <w:r>
        <w:rPr>
          <w:noProof w:val="0"/>
          <w:color w:val="000000"/>
        </w:rPr>
        <w:t>Per dieną nevartokite daugiau nei vienos dozės. Jei abejojate, kreipkitės į savo gydytoją ar vaistininką.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3EMEASMCA"/>
      </w:pPr>
      <w:r>
        <w:t xml:space="preserve">Nustojus vartoti </w:t>
      </w:r>
      <w:proofErr w:type="spellStart"/>
      <w:r>
        <w:rPr>
          <w:rFonts w:eastAsia="MS Mincho"/>
        </w:rPr>
        <w:t>Vesicare</w:t>
      </w:r>
      <w:proofErr w:type="spellEnd"/>
    </w:p>
    <w:p w:rsidR="00955A5A" w:rsidRDefault="00955A5A" w:rsidP="00955A5A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 xml:space="preserve">Jei nustosite vartoti </w:t>
      </w:r>
      <w:proofErr w:type="spellStart"/>
      <w:r>
        <w:rPr>
          <w:noProof w:val="0"/>
          <w:color w:val="000000"/>
        </w:rPr>
        <w:t>Vesicare</w:t>
      </w:r>
      <w:proofErr w:type="spellEnd"/>
      <w:r>
        <w:rPr>
          <w:noProof w:val="0"/>
          <w:color w:val="000000"/>
        </w:rPr>
        <w:t>, padidėjusio šlapimo pūslės aktyvumo simptomai gali vėl atsinaujinti arba net pasunkėti. Jei planuojate nutraukti gydymąsi, visada pasitarkite su gydytoju.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Jeigu kiltų daugiau klausimų dėl šio vaisto vartojimo, kreipkitės į gydytoją arba vaistininką.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EMEASMCA"/>
      </w:pPr>
      <w:bookmarkStart w:id="84" w:name="_Toc129243142"/>
      <w:bookmarkStart w:id="85" w:name="_Toc129243267"/>
      <w:r>
        <w:t>4.</w:t>
      </w:r>
      <w:r>
        <w:tab/>
      </w:r>
      <w:r>
        <w:rPr>
          <w:szCs w:val="20"/>
        </w:rPr>
        <w:t>Galimas</w:t>
      </w:r>
      <w:r>
        <w:t xml:space="preserve"> </w:t>
      </w:r>
      <w:r>
        <w:rPr>
          <w:szCs w:val="20"/>
        </w:rPr>
        <w:t>šalutinis</w:t>
      </w:r>
      <w:r>
        <w:t xml:space="preserve"> </w:t>
      </w:r>
      <w:r>
        <w:rPr>
          <w:szCs w:val="20"/>
        </w:rPr>
        <w:t>poveikis</w:t>
      </w:r>
      <w:bookmarkEnd w:id="84"/>
      <w:bookmarkEnd w:id="85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  <w:color w:val="000000"/>
        </w:rPr>
        <w:t>Šis vaistas</w:t>
      </w:r>
      <w:r>
        <w:rPr>
          <w:noProof w:val="0"/>
        </w:rPr>
        <w:t>, kaip ir visi kiti, gali sukelti šalutinį poveikį, nors jis pasireiškia ne visiems žmonėms.</w:t>
      </w: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>Jeigu Jums pasireikštų staigi alerginė reakcija arba sunki odos reakcija (pvz., pūslių susidarymas ar odos lupimasis), privalote nedelsdami pasakyti gydytojui arba slaugytojai.</w:t>
      </w:r>
    </w:p>
    <w:p w:rsidR="00955A5A" w:rsidRDefault="00955A5A" w:rsidP="00955A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Kai kuriems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sukcinato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 xml:space="preserve">) vartojantiems pacientams pasireiškė </w:t>
      </w:r>
      <w:proofErr w:type="spellStart"/>
      <w:r>
        <w:rPr>
          <w:color w:val="000000"/>
          <w:sz w:val="22"/>
          <w:szCs w:val="22"/>
        </w:rPr>
        <w:t>angioneurozinė</w:t>
      </w:r>
      <w:proofErr w:type="spellEnd"/>
      <w:r>
        <w:rPr>
          <w:color w:val="000000"/>
          <w:sz w:val="22"/>
          <w:szCs w:val="22"/>
        </w:rPr>
        <w:t xml:space="preserve"> edema (odos alergija, sukelianti patinimą, kuris pasireiškia iš karto po oda esančiuose audiniuose) su kvėpavimo takų obstrukcija (apsunkintu kvėpavimu). Jeigu pasireiškia </w:t>
      </w:r>
      <w:proofErr w:type="spellStart"/>
      <w:r>
        <w:rPr>
          <w:color w:val="000000"/>
          <w:sz w:val="22"/>
          <w:szCs w:val="22"/>
        </w:rPr>
        <w:t>angioneurozinė</w:t>
      </w:r>
      <w:proofErr w:type="spellEnd"/>
      <w:r>
        <w:rPr>
          <w:color w:val="000000"/>
          <w:sz w:val="22"/>
          <w:szCs w:val="22"/>
        </w:rPr>
        <w:t xml:space="preserve"> edema, </w:t>
      </w:r>
      <w:proofErr w:type="spellStart"/>
      <w:r>
        <w:rPr>
          <w:color w:val="000000"/>
          <w:sz w:val="22"/>
          <w:szCs w:val="22"/>
        </w:rPr>
        <w:t>solifenacino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sukcinato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>) vartojimas turi būti nedelsiant nutrauktas ir pradėtas tinkamas gydymas ir (arba) taikomos atitinkamos priemonės.</w:t>
      </w: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Dėl </w:t>
      </w:r>
      <w:proofErr w:type="spellStart"/>
      <w:r>
        <w:rPr>
          <w:color w:val="000000"/>
          <w:sz w:val="22"/>
          <w:szCs w:val="22"/>
        </w:rPr>
        <w:t>Vesicare</w:t>
      </w:r>
      <w:proofErr w:type="spellEnd"/>
      <w:r>
        <w:rPr>
          <w:color w:val="000000"/>
          <w:sz w:val="22"/>
          <w:szCs w:val="22"/>
        </w:rPr>
        <w:t xml:space="preserve"> gali atsirasti toliau išvardyti šalutiniai reiškiniai: </w:t>
      </w: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Labai dažni (gali pasireikšti daugiau nei 1 asmeniui iš 10): 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 xml:space="preserve">burnos sausmė. </w:t>
      </w: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Dažni (gali pasireikšti ne daugiau nei 1 asmeniui iš 10): 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  <w:color w:val="000000"/>
        </w:rPr>
        <w:t>neryškus matymas (susiliejęs vaizdas);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  <w:color w:val="000000"/>
        </w:rPr>
        <w:t xml:space="preserve">vidurių užkietėjimas, pykinimas, virškinimo sutrikimai (pilnumo jausmas pilve, pilvo skausmas, </w:t>
      </w:r>
      <w:proofErr w:type="spellStart"/>
      <w:r>
        <w:rPr>
          <w:noProof w:val="0"/>
          <w:color w:val="000000"/>
        </w:rPr>
        <w:t>riaugėjimas</w:t>
      </w:r>
      <w:proofErr w:type="spellEnd"/>
      <w:r>
        <w:rPr>
          <w:noProof w:val="0"/>
          <w:color w:val="000000"/>
        </w:rPr>
        <w:t>, pykinimas, rėmuo (dispepsija)), nemalonus pojūtis skrandyje.</w:t>
      </w:r>
    </w:p>
    <w:p w:rsidR="00955A5A" w:rsidRDefault="00955A5A" w:rsidP="00955A5A">
      <w:pPr>
        <w:pStyle w:val="BT-EMEASMCA"/>
        <w:numPr>
          <w:ilvl w:val="0"/>
          <w:numId w:val="0"/>
        </w:numPr>
        <w:ind w:left="720" w:hanging="363"/>
        <w:rPr>
          <w:noProof w:val="0"/>
          <w:color w:val="000000"/>
        </w:rPr>
      </w:pP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Nedažni (gali pasireikšti ne daugiau nei 1 asmeniui iš 100): </w:t>
      </w:r>
    </w:p>
    <w:p w:rsidR="00955A5A" w:rsidRDefault="00955A5A" w:rsidP="00955A5A">
      <w:pPr>
        <w:pStyle w:val="BT-EMEASMCA"/>
        <w:rPr>
          <w:noProof w:val="0"/>
        </w:rPr>
      </w:pPr>
      <w:r>
        <w:t>šlapimo takų infekcija, šlapimo pūslės infekcija;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>mieguistumas, sutrikęs skonio pojūtis (</w:t>
      </w:r>
      <w:proofErr w:type="spellStart"/>
      <w:r>
        <w:rPr>
          <w:noProof w:val="0"/>
        </w:rPr>
        <w:t>disgeuzija</w:t>
      </w:r>
      <w:proofErr w:type="spellEnd"/>
      <w:r>
        <w:rPr>
          <w:noProof w:val="0"/>
        </w:rPr>
        <w:t>);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>sausos (jautrios) akys;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lastRenderedPageBreak/>
        <w:t>sausumas nosyje;</w:t>
      </w:r>
    </w:p>
    <w:p w:rsidR="00955A5A" w:rsidRDefault="00955A5A" w:rsidP="00955A5A">
      <w:pPr>
        <w:pStyle w:val="BT-EMEASMCA"/>
        <w:rPr>
          <w:noProof w:val="0"/>
        </w:rPr>
      </w:pPr>
      <w:proofErr w:type="spellStart"/>
      <w:r>
        <w:rPr>
          <w:noProof w:val="0"/>
        </w:rPr>
        <w:t>refliukso</w:t>
      </w:r>
      <w:proofErr w:type="spellEnd"/>
      <w:r>
        <w:rPr>
          <w:noProof w:val="0"/>
        </w:rPr>
        <w:t xml:space="preserve"> liga (</w:t>
      </w:r>
      <w:proofErr w:type="spellStart"/>
      <w:r>
        <w:rPr>
          <w:noProof w:val="0"/>
        </w:rPr>
        <w:t>gastroezofaginis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refliuksas</w:t>
      </w:r>
      <w:proofErr w:type="spellEnd"/>
      <w:r>
        <w:rPr>
          <w:noProof w:val="0"/>
        </w:rPr>
        <w:t>), gerklės sausmė;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>sausa oda;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 xml:space="preserve">pasunkėjęs </w:t>
      </w:r>
      <w:proofErr w:type="spellStart"/>
      <w:r>
        <w:rPr>
          <w:noProof w:val="0"/>
        </w:rPr>
        <w:t>šlapinimasis</w:t>
      </w:r>
      <w:proofErr w:type="spellEnd"/>
      <w:r>
        <w:rPr>
          <w:noProof w:val="0"/>
        </w:rPr>
        <w:t>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>nuovargis, skysčių kaupimasis apatinėse galūnėse (edema).</w:t>
      </w:r>
    </w:p>
    <w:p w:rsidR="00955A5A" w:rsidRDefault="00955A5A" w:rsidP="00955A5A">
      <w:pPr>
        <w:autoSpaceDE w:val="0"/>
        <w:autoSpaceDN w:val="0"/>
        <w:adjustRightInd w:val="0"/>
        <w:ind w:left="720" w:hanging="360"/>
        <w:rPr>
          <w:sz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Reti (</w:t>
      </w:r>
      <w:r>
        <w:rPr>
          <w:color w:val="000000"/>
          <w:sz w:val="22"/>
          <w:szCs w:val="22"/>
        </w:rPr>
        <w:t>gali pasireikšti ne daugiau nei 1 asmeniui iš 1 000</w:t>
      </w:r>
      <w:r>
        <w:rPr>
          <w:sz w:val="22"/>
          <w:szCs w:val="22"/>
        </w:rPr>
        <w:t xml:space="preserve">): </w:t>
      </w:r>
    </w:p>
    <w:p w:rsidR="00955A5A" w:rsidRDefault="00955A5A" w:rsidP="00955A5A">
      <w:pPr>
        <w:pStyle w:val="BT-EMEASMCA"/>
        <w:rPr>
          <w:noProof w:val="0"/>
        </w:rPr>
      </w:pPr>
      <w:r>
        <w:t>didelio sukietėjusių išmatų kiekio kaupimasis storojoje žarnoje (užsikimšimas);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  <w:color w:val="000000"/>
        </w:rPr>
        <w:t>šlapimo kaupimasis pūslėje dėl negalėjimo pasišlapinti (šlapimo susilaikymas);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  <w:color w:val="000000"/>
        </w:rPr>
        <w:t>galvos svaigimas, galvos skausmas;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  <w:color w:val="000000"/>
        </w:rPr>
        <w:t>vėmimas;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>niežulys, bėrimas.</w:t>
      </w:r>
    </w:p>
    <w:p w:rsidR="00955A5A" w:rsidRDefault="00955A5A" w:rsidP="00955A5A">
      <w:pPr>
        <w:autoSpaceDE w:val="0"/>
        <w:autoSpaceDN w:val="0"/>
        <w:adjustRightInd w:val="0"/>
        <w:rPr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Labai reti šalutiniai reiškiniai (gali pasireikšti mažiau nei 1 asmeniui iš 10 000)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>haliucinacijos, minčių susipainiojimas;</w:t>
      </w:r>
    </w:p>
    <w:p w:rsidR="00955A5A" w:rsidRDefault="00955A5A" w:rsidP="00955A5A">
      <w:pPr>
        <w:pStyle w:val="BT-EMEASMCA"/>
        <w:rPr>
          <w:noProof w:val="0"/>
        </w:rPr>
      </w:pPr>
      <w:r>
        <w:t>alerginis bėrimas.</w:t>
      </w:r>
    </w:p>
    <w:p w:rsidR="00955A5A" w:rsidRDefault="00955A5A" w:rsidP="00955A5A">
      <w:pPr>
        <w:autoSpaceDE w:val="0"/>
        <w:autoSpaceDN w:val="0"/>
        <w:adjustRightInd w:val="0"/>
        <w:rPr>
          <w:sz w:val="22"/>
          <w:szCs w:val="22"/>
        </w:rPr>
      </w:pPr>
    </w:p>
    <w:p w:rsidR="00955A5A" w:rsidRDefault="00955A5A" w:rsidP="00955A5A">
      <w:pPr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Šalutiniai reiškiniai, kurių dažnis nežinomas </w:t>
      </w:r>
      <w:r>
        <w:rPr>
          <w:sz w:val="22"/>
          <w:szCs w:val="22"/>
        </w:rPr>
        <w:t>(negali būti įvertintas pagal turimus duomenis)</w:t>
      </w:r>
    </w:p>
    <w:p w:rsidR="00955A5A" w:rsidRDefault="00955A5A" w:rsidP="00955A5A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>sumažėjęs apetitas, padidėjęs kalio kiekis kraujyje, dėl kurio gali sutrikti širdies ritmas;</w:t>
      </w:r>
    </w:p>
    <w:p w:rsidR="00955A5A" w:rsidRDefault="00955A5A" w:rsidP="00955A5A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>padidėjęs akispūdis;</w:t>
      </w:r>
    </w:p>
    <w:p w:rsidR="00955A5A" w:rsidRPr="00F379AD" w:rsidRDefault="00955A5A" w:rsidP="00955A5A">
      <w:pPr>
        <w:pStyle w:val="BT-EMEASMCA"/>
        <w:rPr>
          <w:color w:val="000000"/>
        </w:rPr>
      </w:pPr>
      <w:r>
        <w:rPr>
          <w:noProof w:val="0"/>
        </w:rPr>
        <w:t xml:space="preserve">širdies elektrinio aktyvumo pakitimai (elektrokardiogramoje), nereguliarus širdies ritmas, </w:t>
      </w:r>
      <w:r w:rsidRPr="00902E24">
        <w:rPr>
          <w:noProof w:val="0"/>
        </w:rPr>
        <w:t>širdies plakimo pojūtis, dažnas širdies plakimas</w:t>
      </w:r>
      <w:r>
        <w:rPr>
          <w:noProof w:val="0"/>
        </w:rPr>
        <w:t>;</w:t>
      </w:r>
    </w:p>
    <w:p w:rsidR="00955A5A" w:rsidRDefault="00955A5A" w:rsidP="00955A5A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>pakitęs balsas;</w:t>
      </w:r>
    </w:p>
    <w:p w:rsidR="00955A5A" w:rsidRDefault="00955A5A" w:rsidP="00955A5A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>sutrikusi kepenų veikla;</w:t>
      </w:r>
    </w:p>
    <w:p w:rsidR="00955A5A" w:rsidRDefault="00955A5A" w:rsidP="00955A5A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>raumenų silpnumas;</w:t>
      </w:r>
    </w:p>
    <w:p w:rsidR="00955A5A" w:rsidRDefault="00955A5A" w:rsidP="00955A5A">
      <w:pPr>
        <w:pStyle w:val="BT-EMEASMCA"/>
        <w:rPr>
          <w:noProof w:val="0"/>
          <w:color w:val="000000"/>
        </w:rPr>
      </w:pPr>
      <w:r>
        <w:rPr>
          <w:noProof w:val="0"/>
          <w:color w:val="000000"/>
        </w:rPr>
        <w:t>sutrikusi inkstų veikla.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Pranešimas apie šalutinį poveikį</w:t>
      </w:r>
    </w:p>
    <w:p w:rsidR="00955A5A" w:rsidRDefault="00955A5A" w:rsidP="00955A5A">
      <w:pPr>
        <w:ind w:right="-449"/>
        <w:rPr>
          <w:sz w:val="22"/>
        </w:rPr>
      </w:pPr>
      <w:r>
        <w:rPr>
          <w:sz w:val="22"/>
        </w:rPr>
        <w:t>Jeigu pasireiškė šalutinis poveikis</w:t>
      </w:r>
      <w:r>
        <w:rPr>
          <w:noProof/>
          <w:sz w:val="22"/>
          <w:szCs w:val="22"/>
        </w:rPr>
        <w:t>, įskaitant</w:t>
      </w:r>
      <w:r>
        <w:rPr>
          <w:sz w:val="22"/>
        </w:rPr>
        <w:t xml:space="preserve"> šiame lapelyje nenurodytą, pasakykite gydytojui arba vaistininkui.</w:t>
      </w:r>
      <w:r>
        <w:rPr>
          <w:noProof/>
          <w:sz w:val="22"/>
          <w:szCs w:val="22"/>
        </w:rPr>
        <w:t xml:space="preserve"> Apie šalutinį poveikį taip pat galite pranešti tiesiogiai, užpildę interneto svetainėje </w:t>
      </w:r>
      <w:hyperlink r:id="rId14" w:history="1">
        <w:r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>
        <w:rPr>
          <w:noProof/>
          <w:sz w:val="22"/>
          <w:szCs w:val="22"/>
        </w:rPr>
        <w:t xml:space="preserve"> esančią formą, paštu Valstybinei vaistų kontrolės tarnybai prie Lietuvos Respublikos sveikatos apsaugos ministerijos, Žirmūnų g. 139A, LT 09120 Vilnius, t</w:t>
      </w:r>
      <w:r>
        <w:rPr>
          <w:noProof/>
          <w:sz w:val="22"/>
          <w:szCs w:val="22"/>
          <w:lang w:eastAsia="zh-CN"/>
        </w:rPr>
        <w:t xml:space="preserve">el: 8 800 73568, </w:t>
      </w:r>
      <w:r>
        <w:rPr>
          <w:noProof/>
          <w:sz w:val="22"/>
          <w:szCs w:val="22"/>
        </w:rPr>
        <w:t xml:space="preserve">faksu 8 800 20131 arba el. paštu </w:t>
      </w:r>
      <w:hyperlink r:id="rId15" w:history="1">
        <w:r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>
        <w:rPr>
          <w:noProof/>
          <w:sz w:val="22"/>
          <w:szCs w:val="22"/>
        </w:rPr>
        <w:t>. Pranešdami apie šalutinį poveikį galite mums padėti gauti daugiau informacijos apie šio vaisto saugumą.</w:t>
      </w:r>
    </w:p>
    <w:p w:rsidR="00955A5A" w:rsidRDefault="00955A5A" w:rsidP="00955A5A">
      <w:pPr>
        <w:autoSpaceDE w:val="0"/>
        <w:autoSpaceDN w:val="0"/>
        <w:adjustRightInd w:val="0"/>
        <w:outlineLvl w:val="1"/>
        <w:rPr>
          <w:b/>
          <w:bCs/>
          <w:sz w:val="22"/>
          <w:szCs w:val="22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EMEASMCA"/>
      </w:pPr>
      <w:bookmarkStart w:id="86" w:name="_Toc129243143"/>
      <w:bookmarkStart w:id="87" w:name="_Toc129243268"/>
      <w:r>
        <w:t>5.</w:t>
      </w:r>
      <w:r>
        <w:tab/>
        <w:t xml:space="preserve">Kaip laikyti </w:t>
      </w:r>
      <w:proofErr w:type="spellStart"/>
      <w:r w:rsidRPr="00EB165F">
        <w:t>Vesicare</w:t>
      </w:r>
      <w:bookmarkEnd w:id="86"/>
      <w:bookmarkEnd w:id="87"/>
      <w:proofErr w:type="spellEnd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 xml:space="preserve">Šį vaistą laikykite </w:t>
      </w:r>
    </w:p>
    <w:p w:rsidR="00955A5A" w:rsidRDefault="00955A5A" w:rsidP="00955A5A">
      <w:pPr>
        <w:autoSpaceDE w:val="0"/>
        <w:autoSpaceDN w:val="0"/>
        <w:adjustRightInd w:val="0"/>
      </w:pPr>
      <w:r>
        <w:t xml:space="preserve"> vaikams nepastebimoje ir nepasiekiamoje vietoje.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 xml:space="preserve">Ant dėžutės po „Tinka iki“ nurodytam tinkamumo laikui pasibaigus, </w:t>
      </w:r>
      <w:r>
        <w:t>šio vaisto</w:t>
      </w:r>
      <w:r>
        <w:rPr>
          <w:noProof w:val="0"/>
        </w:rPr>
        <w:t xml:space="preserve"> vartoti negalima. Vaistas tinkamas vartoti iki paskutinės nurodyto mėnesio dienos.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Šiam vaistiniam preparatui specialių laikymo sąlygų nereikia. 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1EMEASMCA"/>
      </w:pPr>
      <w:bookmarkStart w:id="88" w:name="_Toc129243144"/>
      <w:bookmarkStart w:id="89" w:name="_Toc129243269"/>
      <w:r>
        <w:t>6.</w:t>
      </w:r>
      <w:r>
        <w:tab/>
      </w:r>
      <w:r>
        <w:rPr>
          <w:szCs w:val="20"/>
        </w:rPr>
        <w:t>Pakuotės</w:t>
      </w:r>
      <w:r>
        <w:t xml:space="preserve"> </w:t>
      </w:r>
      <w:r>
        <w:rPr>
          <w:szCs w:val="20"/>
        </w:rPr>
        <w:t>turinys</w:t>
      </w:r>
      <w:r>
        <w:t xml:space="preserve"> </w:t>
      </w:r>
      <w:r>
        <w:rPr>
          <w:szCs w:val="20"/>
        </w:rPr>
        <w:t>ir</w:t>
      </w:r>
      <w:r>
        <w:t xml:space="preserve"> </w:t>
      </w:r>
      <w:r>
        <w:rPr>
          <w:szCs w:val="20"/>
        </w:rPr>
        <w:t>kita</w:t>
      </w:r>
      <w:r>
        <w:t xml:space="preserve"> </w:t>
      </w:r>
      <w:r>
        <w:rPr>
          <w:szCs w:val="20"/>
        </w:rPr>
        <w:t>informacija</w:t>
      </w:r>
      <w:bookmarkEnd w:id="88"/>
      <w:bookmarkEnd w:id="89"/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3EMEASMCA"/>
      </w:pPr>
      <w:proofErr w:type="spellStart"/>
      <w:r>
        <w:t>Vesicare</w:t>
      </w:r>
      <w:proofErr w:type="spellEnd"/>
      <w:r>
        <w:t xml:space="preserve"> sudėtis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color w:val="000000"/>
        </w:rPr>
        <w:t>Veiklioji medžiaga yra solifenacino sukcinatas</w:t>
      </w:r>
      <w:r>
        <w:rPr>
          <w:noProof w:val="0"/>
        </w:rPr>
        <w:t xml:space="preserve">. </w:t>
      </w:r>
      <w:r>
        <w:rPr>
          <w:color w:val="000000"/>
        </w:rPr>
        <w:t>Vienoje tabletėje yra 5 mg arba 10 mg solifenacino sukcinato.</w:t>
      </w:r>
    </w:p>
    <w:p w:rsidR="00955A5A" w:rsidRDefault="00955A5A" w:rsidP="00955A5A">
      <w:pPr>
        <w:pStyle w:val="BT-EMEASMCA"/>
        <w:rPr>
          <w:noProof w:val="0"/>
        </w:rPr>
      </w:pPr>
      <w:r>
        <w:rPr>
          <w:noProof w:val="0"/>
        </w:rPr>
        <w:t xml:space="preserve">Pagalbinės medžiagos yra </w:t>
      </w:r>
      <w:r>
        <w:t xml:space="preserve">kukurūzų krakmolas, laktozės monohidratas, hipromeliozė </w:t>
      </w:r>
      <w:r>
        <w:rPr>
          <w:noProof w:val="0"/>
          <w:color w:val="000000"/>
        </w:rPr>
        <w:t>(E464)</w:t>
      </w:r>
      <w:r>
        <w:t>, magnio stearatas, makrogolis 8000, talkas, titano dioksidas (E171), geležies oksidas (E172).</w:t>
      </w:r>
    </w:p>
    <w:p w:rsidR="00955A5A" w:rsidRDefault="00955A5A" w:rsidP="00955A5A">
      <w:pPr>
        <w:pStyle w:val="PI-3EMEASMCA"/>
      </w:pPr>
    </w:p>
    <w:p w:rsidR="00955A5A" w:rsidRDefault="00955A5A" w:rsidP="00955A5A">
      <w:pPr>
        <w:pStyle w:val="PI-3EMEASMCA"/>
      </w:pPr>
      <w:proofErr w:type="spellStart"/>
      <w:r>
        <w:t>Vesicare</w:t>
      </w:r>
      <w:proofErr w:type="spellEnd"/>
      <w:r>
        <w:t xml:space="preserve"> išvaizda ir kiekis pakuotėje</w:t>
      </w:r>
    </w:p>
    <w:p w:rsidR="00955A5A" w:rsidRDefault="00955A5A" w:rsidP="00955A5A">
      <w:pPr>
        <w:pStyle w:val="BTEMEASMCA"/>
        <w:rPr>
          <w:noProof w:val="0"/>
          <w:u w:val="single"/>
        </w:rPr>
      </w:pPr>
    </w:p>
    <w:p w:rsidR="00955A5A" w:rsidRDefault="00955A5A" w:rsidP="00955A5A">
      <w:pPr>
        <w:pStyle w:val="BTEMEASMCA"/>
        <w:rPr>
          <w:color w:val="000000"/>
        </w:rPr>
      </w:pPr>
      <w:r>
        <w:rPr>
          <w:color w:val="000000"/>
        </w:rPr>
        <w:lastRenderedPageBreak/>
        <w:t xml:space="preserve">Vesicare 5 mg plėvele dengta tabletė yra apvali, šviesiai geltona. Vienoje jos pusėje yra kompanijos ženklas ir skaitmuo „150“. </w:t>
      </w:r>
    </w:p>
    <w:p w:rsidR="00955A5A" w:rsidRDefault="00955A5A" w:rsidP="00955A5A">
      <w:pPr>
        <w:pStyle w:val="BTEMEASMCA"/>
        <w:rPr>
          <w:color w:val="000000"/>
        </w:rPr>
      </w:pPr>
    </w:p>
    <w:p w:rsidR="00955A5A" w:rsidRDefault="00955A5A" w:rsidP="00955A5A">
      <w:pPr>
        <w:pStyle w:val="BTEMEASMCA"/>
        <w:rPr>
          <w:color w:val="000000"/>
        </w:rPr>
      </w:pPr>
      <w:r>
        <w:rPr>
          <w:color w:val="000000"/>
        </w:rPr>
        <w:t xml:space="preserve">Vesicare 10 mg plėvele dengta tabletė yra apvali, šviesiai rožinė. Vienoje jos pusėje yra kompanijos ženklas ir skaitmuo „151“. </w:t>
      </w:r>
    </w:p>
    <w:p w:rsidR="00955A5A" w:rsidRDefault="00955A5A" w:rsidP="00955A5A">
      <w:pPr>
        <w:pStyle w:val="BTEMEASMCA"/>
        <w:rPr>
          <w:color w:val="000000"/>
        </w:rPr>
      </w:pPr>
    </w:p>
    <w:p w:rsidR="00955A5A" w:rsidRDefault="00955A5A" w:rsidP="00955A5A">
      <w:pPr>
        <w:pStyle w:val="BTEMEASMCA"/>
        <w:rPr>
          <w:noProof w:val="0"/>
          <w:color w:val="000000"/>
        </w:rPr>
      </w:pPr>
      <w:r>
        <w:rPr>
          <w:noProof w:val="0"/>
          <w:color w:val="000000"/>
        </w:rPr>
        <w:t>Lizdinėje plokštelėje yra 3, 5, 10, 20, 30, 50, 60</w:t>
      </w:r>
      <w:r>
        <w:rPr>
          <w:bCs/>
          <w:noProof w:val="0"/>
          <w:color w:val="000000"/>
        </w:rPr>
        <w:t>,</w:t>
      </w:r>
      <w:r>
        <w:rPr>
          <w:b/>
          <w:bCs/>
          <w:noProof w:val="0"/>
          <w:color w:val="000000"/>
        </w:rPr>
        <w:t xml:space="preserve"> </w:t>
      </w:r>
      <w:r>
        <w:rPr>
          <w:noProof w:val="0"/>
          <w:color w:val="000000"/>
        </w:rPr>
        <w:t>90, 100 arba 200 tablečių.</w:t>
      </w:r>
    </w:p>
    <w:p w:rsidR="00955A5A" w:rsidRDefault="00955A5A" w:rsidP="00955A5A">
      <w:pPr>
        <w:pStyle w:val="BTEMEASMCA"/>
        <w:rPr>
          <w:noProof w:val="0"/>
          <w:color w:val="000000"/>
        </w:rPr>
      </w:pPr>
    </w:p>
    <w:p w:rsidR="00955A5A" w:rsidRDefault="00955A5A" w:rsidP="00955A5A">
      <w:pPr>
        <w:pStyle w:val="BTEMEASMCA"/>
        <w:rPr>
          <w:color w:val="000000"/>
        </w:rPr>
      </w:pPr>
      <w:r>
        <w:rPr>
          <w:noProof w:val="0"/>
          <w:color w:val="000000"/>
        </w:rPr>
        <w:t>Gali būti tiekiamos ne visų dydžių pakuotės</w:t>
      </w:r>
      <w:r>
        <w:rPr>
          <w:color w:val="000000"/>
        </w:rPr>
        <w:t>.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PI-3EMEASMCA"/>
      </w:pPr>
      <w:r>
        <w:t>Rinkodaros teisės turėtojas ir gamintojas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Pr="00C93EDC" w:rsidRDefault="00955A5A" w:rsidP="00955A5A">
      <w:pPr>
        <w:pStyle w:val="BTEMEASMCA"/>
        <w:rPr>
          <w:noProof w:val="0"/>
        </w:rPr>
      </w:pPr>
      <w:r>
        <w:rPr>
          <w:noProof w:val="0"/>
        </w:rPr>
        <w:t>Rinkodaros teisės turėtojas:</w:t>
      </w:r>
    </w:p>
    <w:p w:rsidR="00E25517" w:rsidRPr="003B47A2" w:rsidRDefault="00E25517" w:rsidP="00E25517">
      <w:pPr>
        <w:rPr>
          <w:sz w:val="22"/>
          <w:szCs w:val="22"/>
          <w:lang w:eastAsia="en-GB"/>
        </w:rPr>
      </w:pPr>
      <w:proofErr w:type="spellStart"/>
      <w:r w:rsidRPr="003B47A2">
        <w:rPr>
          <w:sz w:val="22"/>
          <w:szCs w:val="22"/>
          <w:lang w:eastAsia="en-GB"/>
        </w:rPr>
        <w:t>Astellas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  <w:proofErr w:type="spellStart"/>
      <w:r w:rsidRPr="003B47A2">
        <w:rPr>
          <w:sz w:val="22"/>
          <w:szCs w:val="22"/>
          <w:lang w:eastAsia="en-GB"/>
        </w:rPr>
        <w:t>Pharma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  <w:proofErr w:type="spellStart"/>
      <w:r w:rsidRPr="003B47A2">
        <w:rPr>
          <w:sz w:val="22"/>
          <w:szCs w:val="22"/>
          <w:lang w:eastAsia="en-GB"/>
        </w:rPr>
        <w:t>d.o.o</w:t>
      </w:r>
      <w:proofErr w:type="spellEnd"/>
      <w:r w:rsidRPr="003B47A2">
        <w:rPr>
          <w:sz w:val="22"/>
          <w:szCs w:val="22"/>
          <w:lang w:eastAsia="en-GB"/>
        </w:rPr>
        <w:t xml:space="preserve">. </w:t>
      </w:r>
    </w:p>
    <w:p w:rsidR="00E25517" w:rsidRPr="003B47A2" w:rsidRDefault="00E25517" w:rsidP="00E25517">
      <w:pPr>
        <w:rPr>
          <w:sz w:val="22"/>
          <w:szCs w:val="22"/>
          <w:lang w:eastAsia="en-GB"/>
        </w:rPr>
      </w:pPr>
      <w:proofErr w:type="spellStart"/>
      <w:r w:rsidRPr="003B47A2">
        <w:rPr>
          <w:sz w:val="22"/>
          <w:szCs w:val="22"/>
          <w:lang w:eastAsia="en-GB"/>
        </w:rPr>
        <w:t>Šmartinska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  <w:proofErr w:type="spellStart"/>
      <w:r w:rsidRPr="003B47A2">
        <w:rPr>
          <w:sz w:val="22"/>
          <w:szCs w:val="22"/>
          <w:lang w:eastAsia="en-GB"/>
        </w:rPr>
        <w:t>cesta</w:t>
      </w:r>
      <w:proofErr w:type="spellEnd"/>
      <w:r w:rsidRPr="003B47A2">
        <w:rPr>
          <w:sz w:val="22"/>
          <w:szCs w:val="22"/>
          <w:lang w:eastAsia="en-GB"/>
        </w:rPr>
        <w:t xml:space="preserve"> 53 </w:t>
      </w:r>
    </w:p>
    <w:p w:rsidR="00E25517" w:rsidRPr="003B47A2" w:rsidRDefault="00E25517" w:rsidP="00E25517">
      <w:pPr>
        <w:rPr>
          <w:sz w:val="22"/>
          <w:szCs w:val="22"/>
          <w:lang w:eastAsia="en-GB"/>
        </w:rPr>
      </w:pPr>
      <w:r w:rsidRPr="003B47A2">
        <w:rPr>
          <w:sz w:val="22"/>
          <w:szCs w:val="22"/>
          <w:lang w:eastAsia="en-GB"/>
        </w:rPr>
        <w:t xml:space="preserve">1000 </w:t>
      </w:r>
      <w:proofErr w:type="spellStart"/>
      <w:r w:rsidRPr="003B47A2">
        <w:rPr>
          <w:sz w:val="22"/>
          <w:szCs w:val="22"/>
          <w:lang w:eastAsia="en-GB"/>
        </w:rPr>
        <w:t>Ljubljana</w:t>
      </w:r>
      <w:proofErr w:type="spellEnd"/>
      <w:r w:rsidRPr="003B47A2">
        <w:rPr>
          <w:sz w:val="22"/>
          <w:szCs w:val="22"/>
          <w:lang w:eastAsia="en-GB"/>
        </w:rPr>
        <w:t xml:space="preserve"> </w:t>
      </w:r>
    </w:p>
    <w:p w:rsidR="00E25517" w:rsidRPr="003B47A2" w:rsidRDefault="00E25517" w:rsidP="00E25517">
      <w:pPr>
        <w:rPr>
          <w:sz w:val="22"/>
          <w:szCs w:val="22"/>
          <w:lang w:eastAsia="en-GB"/>
        </w:rPr>
      </w:pPr>
      <w:r w:rsidRPr="003B47A2">
        <w:rPr>
          <w:sz w:val="22"/>
          <w:szCs w:val="22"/>
          <w:lang w:eastAsia="en-GB"/>
        </w:rPr>
        <w:t>Slovėnija</w:t>
      </w:r>
    </w:p>
    <w:p w:rsidR="00955A5A" w:rsidRDefault="00955A5A" w:rsidP="00955A5A">
      <w:pPr>
        <w:pStyle w:val="BTEMEASMCA"/>
      </w:pPr>
    </w:p>
    <w:p w:rsidR="00955A5A" w:rsidRDefault="00955A5A" w:rsidP="00955A5A">
      <w:pPr>
        <w:pStyle w:val="BTEMEASMCA"/>
        <w:rPr>
          <w:color w:val="000000"/>
        </w:rPr>
      </w:pPr>
      <w:r>
        <w:rPr>
          <w:color w:val="000000"/>
        </w:rPr>
        <w:t>Gamintojas: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Astellas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</w:t>
      </w:r>
      <w:proofErr w:type="spellEnd"/>
      <w:r>
        <w:rPr>
          <w:sz w:val="22"/>
          <w:szCs w:val="22"/>
        </w:rPr>
        <w:t xml:space="preserve"> B.V. </w:t>
      </w:r>
    </w:p>
    <w:p w:rsidR="00955A5A" w:rsidRDefault="00955A5A" w:rsidP="00955A5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Sylviusweg</w:t>
      </w:r>
      <w:proofErr w:type="spellEnd"/>
      <w:r>
        <w:rPr>
          <w:sz w:val="22"/>
          <w:szCs w:val="22"/>
        </w:rPr>
        <w:t xml:space="preserve"> 62 </w:t>
      </w:r>
    </w:p>
    <w:p w:rsidR="00955A5A" w:rsidRDefault="00955A5A" w:rsidP="00955A5A">
      <w:pPr>
        <w:rPr>
          <w:sz w:val="22"/>
          <w:szCs w:val="22"/>
        </w:rPr>
      </w:pPr>
      <w:r>
        <w:rPr>
          <w:sz w:val="22"/>
          <w:szCs w:val="22"/>
        </w:rPr>
        <w:t xml:space="preserve">2333 BE </w:t>
      </w:r>
      <w:proofErr w:type="spellStart"/>
      <w:r>
        <w:rPr>
          <w:sz w:val="22"/>
          <w:szCs w:val="22"/>
        </w:rPr>
        <w:t>Leiden</w:t>
      </w:r>
      <w:proofErr w:type="spellEnd"/>
      <w:r>
        <w:rPr>
          <w:sz w:val="22"/>
          <w:szCs w:val="22"/>
        </w:rPr>
        <w:t xml:space="preserve"> </w:t>
      </w:r>
    </w:p>
    <w:p w:rsidR="00955A5A" w:rsidRDefault="00955A5A" w:rsidP="00955A5A">
      <w:pPr>
        <w:pStyle w:val="BTEMEASMCA"/>
      </w:pPr>
      <w:r>
        <w:t>Nyderlandai</w:t>
      </w:r>
    </w:p>
    <w:p w:rsidR="00955A5A" w:rsidRDefault="00955A5A" w:rsidP="00955A5A">
      <w:pPr>
        <w:pStyle w:val="BTEMEASMCA"/>
        <w:rPr>
          <w:noProof w:val="0"/>
        </w:rPr>
      </w:pPr>
    </w:p>
    <w:p w:rsidR="00955A5A" w:rsidRDefault="00955A5A" w:rsidP="00955A5A">
      <w:pPr>
        <w:pStyle w:val="BTEMEASMCA"/>
        <w:rPr>
          <w:noProof w:val="0"/>
        </w:rPr>
      </w:pPr>
      <w:r>
        <w:rPr>
          <w:noProof w:val="0"/>
        </w:rPr>
        <w:t>Jeigu apie šį vaistą norite sužinoti daugiau, kreipkitės į vietinį rinkodaros teisės turėtojo atstovą.</w:t>
      </w:r>
    </w:p>
    <w:p w:rsidR="00955A5A" w:rsidRDefault="00955A5A" w:rsidP="00955A5A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955A5A" w:rsidTr="00C640DE">
        <w:tc>
          <w:tcPr>
            <w:tcW w:w="4678" w:type="dxa"/>
          </w:tcPr>
          <w:p w:rsidR="00EE5241" w:rsidRPr="00EE5241" w:rsidRDefault="00EE5241" w:rsidP="00EE5241">
            <w:pPr>
              <w:rPr>
                <w:sz w:val="22"/>
                <w:szCs w:val="22"/>
                <w:lang w:eastAsia="en-GB"/>
              </w:rPr>
            </w:pPr>
            <w:proofErr w:type="spellStart"/>
            <w:r w:rsidRPr="00EE5241">
              <w:rPr>
                <w:sz w:val="22"/>
                <w:szCs w:val="22"/>
                <w:lang w:eastAsia="en-GB"/>
              </w:rPr>
              <w:t>Biocodex</w:t>
            </w:r>
            <w:proofErr w:type="spellEnd"/>
            <w:r w:rsidRPr="00EE5241">
              <w:rPr>
                <w:sz w:val="22"/>
                <w:szCs w:val="22"/>
                <w:lang w:eastAsia="en-GB"/>
              </w:rPr>
              <w:t xml:space="preserve"> UAB </w:t>
            </w:r>
          </w:p>
          <w:p w:rsidR="00EE5241" w:rsidRPr="00EE5241" w:rsidRDefault="00EE5241" w:rsidP="00EE5241">
            <w:pPr>
              <w:rPr>
                <w:sz w:val="22"/>
                <w:szCs w:val="22"/>
                <w:lang w:eastAsia="en-GB"/>
              </w:rPr>
            </w:pPr>
            <w:r w:rsidRPr="00EE5241">
              <w:rPr>
                <w:sz w:val="22"/>
                <w:szCs w:val="22"/>
                <w:lang w:eastAsia="en-GB"/>
              </w:rPr>
              <w:t>Savanorių per. 349</w:t>
            </w:r>
          </w:p>
          <w:p w:rsidR="00EE5241" w:rsidRPr="00EE5241" w:rsidRDefault="00EE5241" w:rsidP="00EE5241">
            <w:pPr>
              <w:rPr>
                <w:sz w:val="22"/>
                <w:szCs w:val="22"/>
                <w:lang w:eastAsia="en-GB"/>
              </w:rPr>
            </w:pPr>
            <w:r w:rsidRPr="00EE5241">
              <w:rPr>
                <w:sz w:val="22"/>
                <w:szCs w:val="22"/>
                <w:lang w:eastAsia="en-GB"/>
              </w:rPr>
              <w:t>LT-51480 Kaunas</w:t>
            </w:r>
          </w:p>
          <w:p w:rsidR="00EE5241" w:rsidRPr="00EE5241" w:rsidRDefault="00EE5241" w:rsidP="00EE5241">
            <w:pPr>
              <w:rPr>
                <w:sz w:val="22"/>
                <w:szCs w:val="22"/>
                <w:lang w:eastAsia="en-GB"/>
              </w:rPr>
            </w:pPr>
            <w:r w:rsidRPr="00EE5241">
              <w:rPr>
                <w:sz w:val="22"/>
                <w:szCs w:val="22"/>
                <w:lang w:eastAsia="en-GB"/>
              </w:rPr>
              <w:t>Lietuva</w:t>
            </w:r>
          </w:p>
          <w:p w:rsidR="00EE5241" w:rsidRPr="00EE5241" w:rsidRDefault="00EE5241" w:rsidP="00EE5241">
            <w:pPr>
              <w:rPr>
                <w:sz w:val="22"/>
                <w:szCs w:val="22"/>
                <w:lang w:eastAsia="en-GB"/>
              </w:rPr>
            </w:pPr>
            <w:r w:rsidRPr="00EE5241">
              <w:rPr>
                <w:sz w:val="22"/>
                <w:szCs w:val="22"/>
                <w:lang w:eastAsia="en-GB"/>
              </w:rPr>
              <w:t>Tel. +370 37 408681</w:t>
            </w:r>
          </w:p>
          <w:p w:rsidR="00EE5241" w:rsidRPr="00EE5241" w:rsidRDefault="00EE5241" w:rsidP="00EE5241">
            <w:pPr>
              <w:rPr>
                <w:sz w:val="22"/>
                <w:szCs w:val="22"/>
                <w:lang w:eastAsia="en-GB"/>
              </w:rPr>
            </w:pPr>
            <w:proofErr w:type="spellStart"/>
            <w:r w:rsidRPr="00EE5241">
              <w:rPr>
                <w:sz w:val="22"/>
                <w:szCs w:val="22"/>
                <w:lang w:eastAsia="en-GB"/>
              </w:rPr>
              <w:t>El.paštas</w:t>
            </w:r>
            <w:proofErr w:type="spellEnd"/>
            <w:r w:rsidRPr="00EE5241">
              <w:rPr>
                <w:sz w:val="22"/>
                <w:szCs w:val="22"/>
                <w:lang w:eastAsia="en-GB"/>
              </w:rPr>
              <w:t xml:space="preserve"> </w:t>
            </w:r>
            <w:hyperlink r:id="rId16" w:history="1">
              <w:r w:rsidRPr="00EE5241">
                <w:rPr>
                  <w:rStyle w:val="Hipersaitas"/>
                  <w:sz w:val="22"/>
                  <w:szCs w:val="22"/>
                  <w:lang w:eastAsia="en-GB"/>
                </w:rPr>
                <w:t>info@biocodex.lt</w:t>
              </w:r>
            </w:hyperlink>
          </w:p>
          <w:p w:rsidR="00955A5A" w:rsidRPr="00B00DAC" w:rsidRDefault="00955A5A" w:rsidP="00C640DE"/>
          <w:p w:rsidR="00955A5A" w:rsidRDefault="00955A5A" w:rsidP="00C640DE">
            <w:pPr>
              <w:tabs>
                <w:tab w:val="left" w:pos="-720"/>
              </w:tabs>
              <w:suppressAutoHyphens/>
            </w:pPr>
          </w:p>
        </w:tc>
      </w:tr>
    </w:tbl>
    <w:p w:rsidR="00955A5A" w:rsidRDefault="00955A5A" w:rsidP="00955A5A">
      <w:pPr>
        <w:rPr>
          <w:b/>
          <w:sz w:val="22"/>
          <w:szCs w:val="22"/>
        </w:rPr>
      </w:pPr>
      <w:r>
        <w:rPr>
          <w:b/>
          <w:sz w:val="22"/>
          <w:szCs w:val="22"/>
        </w:rPr>
        <w:t>Šio vaistinio preparato rinkodaros teisė EEE valstybėse narėse suteikta tokiais pavadinimais:</w:t>
      </w:r>
    </w:p>
    <w:p w:rsidR="00955A5A" w:rsidRDefault="00955A5A" w:rsidP="00955A5A">
      <w:pPr>
        <w:numPr>
          <w:ilvl w:val="12"/>
          <w:numId w:val="0"/>
        </w:numPr>
        <w:ind w:right="-2"/>
        <w:rPr>
          <w:sz w:val="22"/>
        </w:rPr>
      </w:pPr>
    </w:p>
    <w:p w:rsidR="00955A5A" w:rsidRDefault="00955A5A" w:rsidP="00955A5A">
      <w:pPr>
        <w:numPr>
          <w:ilvl w:val="12"/>
          <w:numId w:val="0"/>
        </w:numPr>
        <w:ind w:right="-2"/>
        <w:rPr>
          <w:sz w:val="22"/>
        </w:rPr>
      </w:pPr>
      <w:r>
        <w:rPr>
          <w:noProof/>
          <w:sz w:val="22"/>
          <w:szCs w:val="22"/>
        </w:rPr>
        <w:t xml:space="preserve">Austrija, Belgija, Kipras, Čekija, </w:t>
      </w:r>
      <w:r>
        <w:rPr>
          <w:sz w:val="22"/>
        </w:rPr>
        <w:t>Danija</w:t>
      </w:r>
      <w:r>
        <w:rPr>
          <w:noProof/>
          <w:sz w:val="22"/>
          <w:szCs w:val="22"/>
        </w:rPr>
        <w:t xml:space="preserve">, </w:t>
      </w:r>
      <w:r>
        <w:rPr>
          <w:sz w:val="22"/>
        </w:rPr>
        <w:t>Estija</w:t>
      </w:r>
      <w:r>
        <w:rPr>
          <w:noProof/>
          <w:sz w:val="22"/>
          <w:szCs w:val="22"/>
        </w:rPr>
        <w:t xml:space="preserve">, Suomija, Prancūzija, </w:t>
      </w:r>
      <w:r>
        <w:rPr>
          <w:sz w:val="22"/>
        </w:rPr>
        <w:t>Graikija</w:t>
      </w:r>
      <w:r>
        <w:rPr>
          <w:noProof/>
          <w:sz w:val="22"/>
          <w:szCs w:val="22"/>
        </w:rPr>
        <w:t xml:space="preserve">, Vengrija, </w:t>
      </w:r>
      <w:r>
        <w:rPr>
          <w:sz w:val="22"/>
        </w:rPr>
        <w:t>Islandija</w:t>
      </w:r>
      <w:r>
        <w:rPr>
          <w:noProof/>
          <w:sz w:val="22"/>
          <w:szCs w:val="22"/>
        </w:rPr>
        <w:t>, Latvija, Lietuva, Liuksemburgas, Malta, Nyderlandai, Norvegija, Lenkija, Portugalija, Švedija, Slovėnija, Slovakija, Ispanija ir Jungtinė Karalystė:</w:t>
      </w:r>
      <w:r>
        <w:rPr>
          <w:sz w:val="22"/>
        </w:rPr>
        <w:t xml:space="preserve"> </w:t>
      </w:r>
      <w:proofErr w:type="spellStart"/>
      <w:r>
        <w:rPr>
          <w:sz w:val="22"/>
        </w:rPr>
        <w:t>Vesicare</w:t>
      </w:r>
      <w:proofErr w:type="spellEnd"/>
    </w:p>
    <w:p w:rsidR="00955A5A" w:rsidRPr="00F379AD" w:rsidRDefault="00955A5A" w:rsidP="00955A5A">
      <w:pPr>
        <w:numPr>
          <w:ilvl w:val="12"/>
          <w:numId w:val="0"/>
        </w:numPr>
        <w:ind w:right="-2"/>
        <w:rPr>
          <w:sz w:val="22"/>
        </w:rPr>
      </w:pPr>
      <w:r w:rsidRPr="00EB165F">
        <w:rPr>
          <w:sz w:val="22"/>
        </w:rPr>
        <w:t>Italija</w:t>
      </w:r>
      <w:r w:rsidRPr="00EB165F">
        <w:rPr>
          <w:noProof/>
          <w:sz w:val="22"/>
          <w:szCs w:val="22"/>
        </w:rPr>
        <w:t>:</w:t>
      </w:r>
      <w:r w:rsidRPr="00EB165F">
        <w:rPr>
          <w:sz w:val="22"/>
        </w:rPr>
        <w:t xml:space="preserve"> </w:t>
      </w:r>
      <w:proofErr w:type="spellStart"/>
      <w:r w:rsidRPr="00EB165F">
        <w:rPr>
          <w:sz w:val="22"/>
        </w:rPr>
        <w:t>Vesiker</w:t>
      </w:r>
      <w:proofErr w:type="spellEnd"/>
    </w:p>
    <w:p w:rsidR="00955A5A" w:rsidRPr="00F379AD" w:rsidRDefault="00955A5A" w:rsidP="00955A5A">
      <w:pPr>
        <w:numPr>
          <w:ilvl w:val="12"/>
          <w:numId w:val="0"/>
        </w:numPr>
        <w:ind w:right="-2"/>
        <w:rPr>
          <w:sz w:val="22"/>
        </w:rPr>
      </w:pPr>
      <w:r w:rsidRPr="00EB165F">
        <w:rPr>
          <w:sz w:val="22"/>
        </w:rPr>
        <w:t>Vokietija</w:t>
      </w:r>
      <w:r w:rsidRPr="00EB165F">
        <w:rPr>
          <w:noProof/>
          <w:sz w:val="22"/>
          <w:szCs w:val="22"/>
        </w:rPr>
        <w:t>:</w:t>
      </w:r>
      <w:r w:rsidRPr="00EB165F">
        <w:rPr>
          <w:sz w:val="22"/>
        </w:rPr>
        <w:t xml:space="preserve"> </w:t>
      </w:r>
      <w:proofErr w:type="spellStart"/>
      <w:r w:rsidRPr="00EB165F">
        <w:rPr>
          <w:sz w:val="22"/>
        </w:rPr>
        <w:t>Vesikur</w:t>
      </w:r>
      <w:proofErr w:type="spellEnd"/>
    </w:p>
    <w:p w:rsidR="00955A5A" w:rsidRPr="00F379AD" w:rsidRDefault="00955A5A" w:rsidP="00955A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B165F">
        <w:rPr>
          <w:noProof/>
          <w:sz w:val="22"/>
          <w:szCs w:val="22"/>
        </w:rPr>
        <w:t>Airija: Vesitirim</w:t>
      </w:r>
    </w:p>
    <w:p w:rsidR="00955A5A" w:rsidRDefault="00955A5A" w:rsidP="00955A5A">
      <w:pPr>
        <w:numPr>
          <w:ilvl w:val="12"/>
          <w:numId w:val="0"/>
        </w:numPr>
        <w:ind w:right="-2"/>
        <w:rPr>
          <w:sz w:val="22"/>
        </w:rPr>
      </w:pPr>
    </w:p>
    <w:p w:rsidR="00955A5A" w:rsidRDefault="00955A5A" w:rsidP="00955A5A">
      <w:pPr>
        <w:pStyle w:val="BTEMEASMCA"/>
        <w:rPr>
          <w:noProof w:val="0"/>
        </w:rPr>
      </w:pPr>
    </w:p>
    <w:p w:rsidR="00955A5A" w:rsidRPr="005B3F74" w:rsidRDefault="00955A5A" w:rsidP="00955A5A">
      <w:pPr>
        <w:rPr>
          <w:b/>
          <w:sz w:val="22"/>
          <w:szCs w:val="22"/>
        </w:rPr>
      </w:pPr>
      <w:r w:rsidRPr="005B3F74">
        <w:rPr>
          <w:b/>
          <w:bCs/>
          <w:sz w:val="22"/>
          <w:szCs w:val="22"/>
        </w:rPr>
        <w:t>Šis pakuotės lapelis</w:t>
      </w:r>
      <w:r w:rsidRPr="005B3F74">
        <w:rPr>
          <w:b/>
          <w:sz w:val="22"/>
          <w:szCs w:val="22"/>
        </w:rPr>
        <w:t xml:space="preserve"> paskutinį kartą peržiūrėtas </w:t>
      </w:r>
      <w:r w:rsidR="00E25517">
        <w:rPr>
          <w:b/>
          <w:sz w:val="22"/>
          <w:szCs w:val="22"/>
        </w:rPr>
        <w:t>2018-08-09</w:t>
      </w:r>
      <w:r>
        <w:rPr>
          <w:b/>
          <w:sz w:val="22"/>
          <w:szCs w:val="22"/>
        </w:rPr>
        <w:t>.</w:t>
      </w:r>
    </w:p>
    <w:p w:rsidR="00955A5A" w:rsidRDefault="00955A5A" w:rsidP="00955A5A">
      <w:pPr>
        <w:pStyle w:val="BTbEMEASMCA"/>
        <w:rPr>
          <w:noProof w:val="0"/>
        </w:rPr>
      </w:pPr>
    </w:p>
    <w:p w:rsidR="00955A5A" w:rsidRDefault="00955A5A" w:rsidP="00955A5A">
      <w:pPr>
        <w:rPr>
          <w:sz w:val="22"/>
          <w:szCs w:val="22"/>
        </w:rPr>
      </w:pPr>
    </w:p>
    <w:p w:rsidR="00955A5A" w:rsidRPr="00432743" w:rsidRDefault="00955A5A" w:rsidP="00955A5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432743">
        <w:rPr>
          <w:rFonts w:ascii="Times New Roman" w:hAnsi="Times New Roman"/>
          <w:noProof/>
          <w:sz w:val="22"/>
          <w:szCs w:val="22"/>
          <w:lang w:val="lt-LT"/>
        </w:rPr>
        <w:t>Išsami inform</w:t>
      </w:r>
      <w:r>
        <w:rPr>
          <w:rFonts w:ascii="Times New Roman" w:hAnsi="Times New Roman"/>
          <w:noProof/>
          <w:sz w:val="22"/>
          <w:szCs w:val="22"/>
          <w:lang w:val="lt-LT"/>
        </w:rPr>
        <w:t>acija apie šį vaistą</w:t>
      </w:r>
      <w:r w:rsidRPr="00432743">
        <w:rPr>
          <w:rFonts w:ascii="Times New Roman" w:hAnsi="Times New Roman"/>
          <w:noProof/>
          <w:sz w:val="22"/>
          <w:szCs w:val="22"/>
          <w:lang w:val="lt-LT"/>
        </w:rPr>
        <w:t xml:space="preserve"> pateikiama Valstybinės vaistų kontrolės tarnybos prie Lietuvos Respublikos  sveikatos apsaugos ministerijos tinklalapyje</w:t>
      </w:r>
      <w:r w:rsidRPr="00432743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7" w:history="1">
        <w:r w:rsidRPr="003628D4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3628D4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:rsidR="00955A5A" w:rsidRDefault="00955A5A" w:rsidP="00955A5A">
      <w:pPr>
        <w:pStyle w:val="BTEMEASMCA"/>
      </w:pPr>
    </w:p>
    <w:p w:rsidR="00955A5A" w:rsidRDefault="00955A5A" w:rsidP="00955A5A">
      <w:bookmarkStart w:id="90" w:name="_GoBack"/>
      <w:bookmarkEnd w:id="90"/>
    </w:p>
    <w:p w:rsidR="00955A5A" w:rsidRDefault="00955A5A" w:rsidP="00955A5A"/>
    <w:p w:rsidR="004246DD" w:rsidRDefault="004246DD"/>
    <w:sectPr w:rsidR="004246DD" w:rsidSect="00B06D76">
      <w:footerReference w:type="even" r:id="rId18"/>
      <w:footerReference w:type="default" r:id="rId1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AC8" w:rsidRDefault="00E37DDC">
      <w:r>
        <w:separator/>
      </w:r>
    </w:p>
  </w:endnote>
  <w:endnote w:type="continuationSeparator" w:id="0">
    <w:p w:rsidR="00F13AC8" w:rsidRDefault="00E3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FE4" w:rsidRDefault="001D389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24FE4" w:rsidRDefault="00EE524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FE4" w:rsidRDefault="001D3894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>
      <w:rPr>
        <w:rStyle w:val="Puslapionumeris"/>
        <w:sz w:val="22"/>
        <w:szCs w:val="22"/>
      </w:rPr>
      <w:fldChar w:fldCharType="begin"/>
    </w:r>
    <w:r>
      <w:rPr>
        <w:rStyle w:val="Puslapionumeris"/>
        <w:sz w:val="22"/>
        <w:szCs w:val="22"/>
      </w:rPr>
      <w:instrText xml:space="preserve">PAGE  </w:instrText>
    </w:r>
    <w:r>
      <w:rPr>
        <w:rStyle w:val="Puslapionumeris"/>
        <w:sz w:val="22"/>
        <w:szCs w:val="22"/>
      </w:rPr>
      <w:fldChar w:fldCharType="separate"/>
    </w:r>
    <w:r w:rsidR="00EE5241">
      <w:rPr>
        <w:rStyle w:val="Puslapionumeris"/>
        <w:noProof/>
        <w:sz w:val="22"/>
        <w:szCs w:val="22"/>
      </w:rPr>
      <w:t>38</w:t>
    </w:r>
    <w:r>
      <w:rPr>
        <w:rStyle w:val="Puslapionumeris"/>
        <w:sz w:val="22"/>
        <w:szCs w:val="22"/>
      </w:rPr>
      <w:fldChar w:fldCharType="end"/>
    </w:r>
  </w:p>
  <w:p w:rsidR="00F24FE4" w:rsidRDefault="00EE524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AC8" w:rsidRDefault="00E37DDC">
      <w:r>
        <w:separator/>
      </w:r>
    </w:p>
  </w:footnote>
  <w:footnote w:type="continuationSeparator" w:id="0">
    <w:p w:rsidR="00F13AC8" w:rsidRDefault="00E37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2" w15:restartNumberingAfterBreak="0">
    <w:nsid w:val="30F02CEA"/>
    <w:multiLevelType w:val="hybridMultilevel"/>
    <w:tmpl w:val="34EE1296"/>
    <w:lvl w:ilvl="0" w:tplc="4D34414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69"/>
    <w:rsid w:val="000B1674"/>
    <w:rsid w:val="001D3894"/>
    <w:rsid w:val="004246DD"/>
    <w:rsid w:val="00533A69"/>
    <w:rsid w:val="006A74E1"/>
    <w:rsid w:val="00955A5A"/>
    <w:rsid w:val="00A91704"/>
    <w:rsid w:val="00E25517"/>
    <w:rsid w:val="00E37DDC"/>
    <w:rsid w:val="00E90EF8"/>
    <w:rsid w:val="00EE5241"/>
    <w:rsid w:val="00F1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E08AF-1E2D-47FD-A1E1-AA9B4C3F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5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55A5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55A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55A5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55A5A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 w:val="22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955A5A"/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955A5A"/>
    <w:rPr>
      <w:rFonts w:ascii="Arial" w:eastAsia="Times New Roman" w:hAnsi="Arial" w:cs="Times New Roman"/>
      <w:b/>
      <w:bCs/>
      <w:i/>
      <w:iCs/>
      <w:sz w:val="28"/>
      <w:szCs w:val="28"/>
      <w:lang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955A5A"/>
    <w:rPr>
      <w:rFonts w:ascii="Arial" w:eastAsia="Times New Roman" w:hAnsi="Arial" w:cs="Times New Roman"/>
      <w:b/>
      <w:bCs/>
      <w:sz w:val="26"/>
      <w:szCs w:val="26"/>
      <w:lang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955A5A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styleId="Hipersaitas">
    <w:name w:val="Hyperlink"/>
    <w:rsid w:val="00955A5A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rsid w:val="00955A5A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955A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0"/>
      <w:lang w:eastAsia="x-none"/>
    </w:rPr>
  </w:style>
  <w:style w:type="character" w:customStyle="1" w:styleId="PI-1labEMEASMCAChar">
    <w:name w:val="PI-1_lab EMEA_SMCA Char"/>
    <w:link w:val="PI-1labEMEASMCA"/>
    <w:locked/>
    <w:rsid w:val="00955A5A"/>
    <w:rPr>
      <w:rFonts w:ascii="Times New Roman" w:eastAsia="Times New Roman" w:hAnsi="Times New Roman" w:cs="Times New Roman"/>
      <w:b/>
      <w:noProof/>
      <w:szCs w:val="20"/>
      <w:lang w:eastAsia="x-none"/>
    </w:rPr>
  </w:style>
  <w:style w:type="paragraph" w:customStyle="1" w:styleId="PI-2EMEASMCA">
    <w:name w:val="PI-2 EMEA_SMCA"/>
    <w:basedOn w:val="Antrat3"/>
    <w:autoRedefine/>
    <w:rsid w:val="00955A5A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Cs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955A5A"/>
    <w:rPr>
      <w:noProof/>
      <w:sz w:val="22"/>
      <w:szCs w:val="20"/>
    </w:rPr>
  </w:style>
  <w:style w:type="character" w:customStyle="1" w:styleId="BTEMEASMCAChar">
    <w:name w:val="BT EMEA_SMCA Char"/>
    <w:link w:val="BTEMEASMCA"/>
    <w:locked/>
    <w:rsid w:val="00955A5A"/>
    <w:rPr>
      <w:rFonts w:ascii="Times New Roman" w:eastAsia="Times New Roman" w:hAnsi="Times New Roman" w:cs="Times New Roman"/>
      <w:noProof/>
      <w:szCs w:val="20"/>
    </w:rPr>
  </w:style>
  <w:style w:type="paragraph" w:customStyle="1" w:styleId="TTEMEASMCA">
    <w:name w:val="TT EMEA_SMCA"/>
    <w:basedOn w:val="Antrat1"/>
    <w:link w:val="TTEMEASMCAChar"/>
    <w:autoRedefine/>
    <w:rsid w:val="00955A5A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/>
      <w:bCs w:val="0"/>
      <w:caps/>
      <w:kern w:val="0"/>
      <w:sz w:val="22"/>
      <w:szCs w:val="20"/>
      <w:lang w:val="x-none"/>
    </w:rPr>
  </w:style>
  <w:style w:type="character" w:customStyle="1" w:styleId="TTEMEASMCAChar">
    <w:name w:val="TT EMEA_SMCA Char"/>
    <w:link w:val="TTEMEASMCA"/>
    <w:locked/>
    <w:rsid w:val="00955A5A"/>
    <w:rPr>
      <w:rFonts w:ascii="Times New Roman" w:eastAsia="Times New Roman" w:hAnsi="Times New Roman" w:cs="Times New Roman"/>
      <w:b/>
      <w:caps/>
      <w:szCs w:val="20"/>
      <w:lang w:val="x-none" w:eastAsia="x-none"/>
    </w:rPr>
  </w:style>
  <w:style w:type="paragraph" w:customStyle="1" w:styleId="BTAnIIEMEASMCA">
    <w:name w:val="BT(AnII) EMEA_SMCA"/>
    <w:basedOn w:val="Debesliotekstas"/>
    <w:autoRedefine/>
    <w:rsid w:val="00955A5A"/>
    <w:pPr>
      <w:tabs>
        <w:tab w:val="left" w:pos="1701"/>
      </w:tabs>
      <w:ind w:left="1134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955A5A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5A5A"/>
    <w:rPr>
      <w:rFonts w:ascii="Tahoma" w:eastAsia="Times New Roman" w:hAnsi="Tahoma" w:cs="Times New Roman"/>
      <w:sz w:val="16"/>
      <w:szCs w:val="16"/>
      <w:lang w:eastAsia="x-none"/>
    </w:rPr>
  </w:style>
  <w:style w:type="paragraph" w:customStyle="1" w:styleId="BT-EMEASMCA">
    <w:name w:val="BT- EMEA_SMCA"/>
    <w:basedOn w:val="BTEMEASMCA"/>
    <w:autoRedefine/>
    <w:rsid w:val="00955A5A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955A5A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955A5A"/>
    <w:rPr>
      <w:b/>
    </w:rPr>
  </w:style>
  <w:style w:type="paragraph" w:customStyle="1" w:styleId="BTgEMEASMCA">
    <w:name w:val="BT(g) EMEA_SMCA"/>
    <w:basedOn w:val="BTEMEASMCA"/>
    <w:link w:val="BTgEMEASMCAChar"/>
    <w:autoRedefine/>
    <w:rsid w:val="00955A5A"/>
    <w:rPr>
      <w:i/>
      <w:color w:val="008000"/>
    </w:rPr>
  </w:style>
  <w:style w:type="character" w:customStyle="1" w:styleId="BTgEMEASMCAChar">
    <w:name w:val="BT(g) EMEA_SMCA Char"/>
    <w:link w:val="BTgEMEASMCA"/>
    <w:locked/>
    <w:rsid w:val="00955A5A"/>
    <w:rPr>
      <w:rFonts w:ascii="Times New Roman" w:eastAsia="Times New Roman" w:hAnsi="Times New Roman" w:cs="Times New Roman"/>
      <w:i/>
      <w:noProof/>
      <w:color w:val="008000"/>
      <w:szCs w:val="20"/>
    </w:rPr>
  </w:style>
  <w:style w:type="paragraph" w:customStyle="1" w:styleId="BTuEMEASMCA">
    <w:name w:val="BT(u) EMEA_SMCA"/>
    <w:basedOn w:val="BTEMEASMCA"/>
    <w:autoRedefine/>
    <w:rsid w:val="00955A5A"/>
    <w:rPr>
      <w:u w:val="single"/>
    </w:rPr>
  </w:style>
  <w:style w:type="paragraph" w:styleId="Pagrindinistekstas">
    <w:name w:val="Body Text"/>
    <w:basedOn w:val="prastasis"/>
    <w:next w:val="prastasis"/>
    <w:link w:val="PagrindinistekstasDiagrama"/>
    <w:uiPriority w:val="99"/>
    <w:rsid w:val="00955A5A"/>
    <w:pPr>
      <w:autoSpaceDE w:val="0"/>
      <w:autoSpaceDN w:val="0"/>
      <w:adjustRightInd w:val="0"/>
    </w:pPr>
    <w:rPr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5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55A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ableTextLeft">
    <w:name w:val="Table Text (Left)"/>
    <w:basedOn w:val="prastasis"/>
    <w:rsid w:val="00955A5A"/>
    <w:pPr>
      <w:keepNext/>
      <w:spacing w:before="20" w:after="20"/>
    </w:pPr>
    <w:rPr>
      <w:sz w:val="22"/>
      <w:szCs w:val="20"/>
      <w:lang w:val="en-US"/>
    </w:rPr>
  </w:style>
  <w:style w:type="paragraph" w:customStyle="1" w:styleId="TableTextBoldCenter">
    <w:name w:val="Table Text Bold (Center)"/>
    <w:basedOn w:val="prastasis"/>
    <w:rsid w:val="00955A5A"/>
    <w:pPr>
      <w:keepNext/>
      <w:spacing w:before="40" w:after="40"/>
      <w:jc w:val="center"/>
    </w:pPr>
    <w:rPr>
      <w:b/>
      <w:sz w:val="22"/>
      <w:szCs w:val="20"/>
      <w:lang w:val="en-US"/>
    </w:rPr>
  </w:style>
  <w:style w:type="paragraph" w:customStyle="1" w:styleId="TableTextBoldLeft">
    <w:name w:val="Table Text Bold (Left)"/>
    <w:basedOn w:val="TableTextLeft"/>
    <w:rsid w:val="00955A5A"/>
    <w:rPr>
      <w:b/>
    </w:rPr>
  </w:style>
  <w:style w:type="paragraph" w:styleId="Porat">
    <w:name w:val="footer"/>
    <w:basedOn w:val="prastasis"/>
    <w:link w:val="PoratDiagrama"/>
    <w:uiPriority w:val="99"/>
    <w:rsid w:val="00955A5A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55A5A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Puslapionumeris">
    <w:name w:val="page number"/>
    <w:rsid w:val="00955A5A"/>
    <w:rPr>
      <w:rFonts w:cs="Times New Roman"/>
    </w:rPr>
  </w:style>
  <w:style w:type="paragraph" w:styleId="Pagrindinistekstas2">
    <w:name w:val="Body Text 2"/>
    <w:basedOn w:val="prastasis"/>
    <w:link w:val="Pagrindinistekstas2Diagrama"/>
    <w:rsid w:val="00955A5A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55A5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rsid w:val="00955A5A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rsid w:val="00955A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55A5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955A5A"/>
    <w:rPr>
      <w:b/>
    </w:rPr>
  </w:style>
  <w:style w:type="character" w:customStyle="1" w:styleId="KomentarotemaDiagrama">
    <w:name w:val="Komentaro tema Diagrama"/>
    <w:basedOn w:val="KomentarotekstasDiagrama"/>
    <w:link w:val="Komentarotema"/>
    <w:rsid w:val="00955A5A"/>
    <w:rPr>
      <w:rFonts w:ascii="Times New Roman" w:eastAsia="Times New Roman" w:hAnsi="Times New Roman" w:cs="Times New Roman"/>
      <w:b/>
      <w:sz w:val="20"/>
      <w:szCs w:val="20"/>
    </w:rPr>
  </w:style>
  <w:style w:type="paragraph" w:styleId="Antrats">
    <w:name w:val="header"/>
    <w:basedOn w:val="prastasis"/>
    <w:link w:val="AntratsDiagrama"/>
    <w:rsid w:val="00955A5A"/>
    <w:pPr>
      <w:tabs>
        <w:tab w:val="center" w:pos="4819"/>
        <w:tab w:val="right" w:pos="9638"/>
      </w:tabs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rsid w:val="00955A5A"/>
    <w:rPr>
      <w:rFonts w:ascii="Times New Roman" w:eastAsia="Times New Roman" w:hAnsi="Times New Roman" w:cs="Times New Roman"/>
      <w:sz w:val="24"/>
      <w:szCs w:val="20"/>
    </w:rPr>
  </w:style>
  <w:style w:type="paragraph" w:customStyle="1" w:styleId="AHeader1">
    <w:name w:val="AHeader 1"/>
    <w:basedOn w:val="prastasis"/>
    <w:uiPriority w:val="99"/>
    <w:semiHidden/>
    <w:rsid w:val="00955A5A"/>
    <w:pPr>
      <w:numPr>
        <w:numId w:val="2"/>
      </w:numPr>
      <w:spacing w:after="120"/>
    </w:pPr>
    <w:rPr>
      <w:rFonts w:ascii="Arial" w:hAnsi="Arial" w:cs="Arial"/>
      <w:b/>
      <w:bCs/>
      <w:szCs w:val="20"/>
      <w:lang w:val="en-GB"/>
    </w:rPr>
  </w:style>
  <w:style w:type="paragraph" w:customStyle="1" w:styleId="AHeader2">
    <w:name w:val="AHeader 2"/>
    <w:basedOn w:val="AHeader1"/>
    <w:uiPriority w:val="99"/>
    <w:semiHidden/>
    <w:rsid w:val="00955A5A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uiPriority w:val="99"/>
    <w:semiHidden/>
    <w:rsid w:val="00955A5A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semiHidden/>
    <w:rsid w:val="00955A5A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semiHidden/>
    <w:rsid w:val="00955A5A"/>
    <w:pPr>
      <w:numPr>
        <w:ilvl w:val="4"/>
      </w:numPr>
      <w:tabs>
        <w:tab w:val="clear" w:pos="1701"/>
        <w:tab w:val="num" w:pos="360"/>
      </w:tabs>
    </w:pPr>
  </w:style>
  <w:style w:type="paragraph" w:styleId="Pataisymai">
    <w:name w:val="Revision"/>
    <w:hidden/>
    <w:uiPriority w:val="99"/>
    <w:semiHidden/>
    <w:rsid w:val="00955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rsid w:val="00955A5A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55A5A"/>
    <w:rPr>
      <w:rFonts w:ascii="Courier New" w:eastAsia="SimSun" w:hAnsi="Courier New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http://www.ema.europa.e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biocodex.l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epageidaujamaR@vvkt.lt" TargetMode="External"/><Relationship Id="rId10" Type="http://schemas.openxmlformats.org/officeDocument/2006/relationships/hyperlink" Target="http://www.ema.europa.e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41788</Words>
  <Characters>23820</Characters>
  <Application>Microsoft Office Word</Application>
  <DocSecurity>0</DocSecurity>
  <Lines>198</Lines>
  <Paragraphs>130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Albina Burkauskaitė</cp:lastModifiedBy>
  <cp:revision>3</cp:revision>
  <dcterms:created xsi:type="dcterms:W3CDTF">2018-10-09T07:20:00Z</dcterms:created>
  <dcterms:modified xsi:type="dcterms:W3CDTF">2018-10-09T07:21:00Z</dcterms:modified>
</cp:coreProperties>
</file>