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1AC" w:rsidRPr="001969FD" w:rsidRDefault="00FE51AC" w:rsidP="00FE51AC">
      <w:pPr>
        <w:tabs>
          <w:tab w:val="left" w:pos="567"/>
        </w:tabs>
        <w:spacing w:after="0" w:line="240" w:lineRule="auto"/>
        <w:jc w:val="center"/>
        <w:rPr>
          <w:rFonts w:ascii="Times New Roman" w:hAnsi="Times New Roman"/>
          <w:b/>
          <w:kern w:val="28"/>
        </w:rPr>
      </w:pPr>
      <w:r w:rsidRPr="001969FD">
        <w:rPr>
          <w:rFonts w:ascii="Times New Roman" w:hAnsi="Times New Roman"/>
          <w:b/>
          <w:kern w:val="28"/>
        </w:rPr>
        <w:t>Pakuotės lapelis: informacija vartotojui</w:t>
      </w:r>
    </w:p>
    <w:p w:rsidR="00FE51AC" w:rsidRPr="001969FD" w:rsidRDefault="00FE51AC" w:rsidP="00FE51AC">
      <w:pPr>
        <w:tabs>
          <w:tab w:val="left" w:pos="567"/>
        </w:tabs>
        <w:spacing w:after="0" w:line="240" w:lineRule="auto"/>
        <w:jc w:val="center"/>
        <w:rPr>
          <w:rFonts w:ascii="Times New Roman" w:hAnsi="Times New Roman"/>
          <w:b/>
        </w:rPr>
      </w:pPr>
    </w:p>
    <w:p w:rsidR="00FE51AC" w:rsidRPr="001969FD" w:rsidRDefault="00FE51AC" w:rsidP="00FE51AC">
      <w:pPr>
        <w:tabs>
          <w:tab w:val="left" w:pos="567"/>
        </w:tabs>
        <w:spacing w:after="0" w:line="240" w:lineRule="auto"/>
        <w:jc w:val="center"/>
        <w:rPr>
          <w:rFonts w:ascii="Times New Roman" w:hAnsi="Times New Roman"/>
          <w:b/>
          <w:i/>
        </w:rPr>
      </w:pPr>
      <w:r w:rsidRPr="001969FD">
        <w:rPr>
          <w:rFonts w:ascii="Times New Roman" w:hAnsi="Times New Roman"/>
          <w:b/>
        </w:rPr>
        <w:t>SMOFlipid 20 % infuzinė emulsija</w:t>
      </w:r>
    </w:p>
    <w:p w:rsidR="00FE51AC" w:rsidRPr="001969FD" w:rsidRDefault="00FE51AC" w:rsidP="00FE51AC">
      <w:pPr>
        <w:tabs>
          <w:tab w:val="left" w:pos="567"/>
        </w:tabs>
        <w:spacing w:after="0" w:line="240" w:lineRule="auto"/>
        <w:jc w:val="center"/>
        <w:rPr>
          <w:rFonts w:ascii="Times New Roman" w:hAnsi="Times New Roman"/>
          <w:b/>
        </w:rPr>
      </w:pPr>
      <w:r w:rsidRPr="001969FD">
        <w:rPr>
          <w:rFonts w:ascii="Times New Roman" w:hAnsi="Times New Roman"/>
        </w:rPr>
        <w:t>Rafinuotas sojų aliejus, vidutinės grandinės trigliceridai, rafinuotas alyvuogių aliejus, žuvų taukai, praturtinti omega-3 riebalų rūgštimis</w:t>
      </w:r>
    </w:p>
    <w:p w:rsidR="00FE51AC" w:rsidRPr="001969FD" w:rsidRDefault="00FE51AC" w:rsidP="00FE51AC">
      <w:pPr>
        <w:tabs>
          <w:tab w:val="left" w:pos="567"/>
        </w:tabs>
        <w:spacing w:after="0" w:line="240" w:lineRule="auto"/>
        <w:rPr>
          <w:rFonts w:ascii="Times New Roman" w:hAnsi="Times New Roman"/>
          <w:b/>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b/>
        </w:rPr>
        <w:t>Atidžiai perskaitykite visą šį lapelį, prieš pradėdami vartoti vaistą, nes jame pateikiama Jums svarbi informacija.</w:t>
      </w:r>
    </w:p>
    <w:p w:rsidR="00FE51AC" w:rsidRPr="001969FD" w:rsidRDefault="00FE51AC" w:rsidP="00FE51AC">
      <w:pPr>
        <w:tabs>
          <w:tab w:val="left" w:pos="567"/>
        </w:tabs>
        <w:spacing w:after="0" w:line="240" w:lineRule="auto"/>
        <w:jc w:val="both"/>
        <w:rPr>
          <w:rFonts w:ascii="Times New Roman" w:hAnsi="Times New Roman"/>
        </w:rPr>
      </w:pPr>
      <w:r w:rsidRPr="001969FD">
        <w:rPr>
          <w:rFonts w:ascii="Times New Roman" w:hAnsi="Times New Roman"/>
        </w:rPr>
        <w:t>-</w:t>
      </w:r>
      <w:r w:rsidRPr="001969FD">
        <w:rPr>
          <w:rFonts w:ascii="Times New Roman" w:hAnsi="Times New Roman"/>
        </w:rPr>
        <w:tab/>
        <w:t>Neišmeskite šio lapelio, nes vėl gali prireikti jį perskaityti.</w:t>
      </w:r>
    </w:p>
    <w:p w:rsidR="00FE51AC" w:rsidRPr="001969FD" w:rsidRDefault="00FE51AC" w:rsidP="00FE51AC">
      <w:pPr>
        <w:tabs>
          <w:tab w:val="left" w:pos="567"/>
        </w:tabs>
        <w:spacing w:after="0" w:line="240" w:lineRule="auto"/>
        <w:jc w:val="both"/>
        <w:rPr>
          <w:rFonts w:ascii="Times New Roman" w:hAnsi="Times New Roman"/>
        </w:rPr>
      </w:pPr>
      <w:r w:rsidRPr="001969FD">
        <w:rPr>
          <w:rFonts w:ascii="Times New Roman" w:hAnsi="Times New Roman"/>
        </w:rPr>
        <w:t>-</w:t>
      </w:r>
      <w:r w:rsidRPr="001969FD">
        <w:rPr>
          <w:rFonts w:ascii="Times New Roman" w:hAnsi="Times New Roman"/>
        </w:rPr>
        <w:tab/>
        <w:t>Jeigu kiltų daugiau klausimų, kreipkitės į gydytoją arba slaugytoją.</w:t>
      </w:r>
    </w:p>
    <w:p w:rsidR="00FE51AC" w:rsidRPr="001969FD" w:rsidRDefault="00FE51AC" w:rsidP="00FE51AC">
      <w:pPr>
        <w:numPr>
          <w:ilvl w:val="0"/>
          <w:numId w:val="1"/>
        </w:numPr>
        <w:tabs>
          <w:tab w:val="left" w:pos="0"/>
          <w:tab w:val="left" w:pos="567"/>
        </w:tabs>
        <w:spacing w:after="0" w:line="240" w:lineRule="auto"/>
        <w:ind w:left="567" w:hanging="567"/>
        <w:rPr>
          <w:rFonts w:ascii="Times New Roman" w:hAnsi="Times New Roman"/>
        </w:rPr>
      </w:pPr>
      <w:r w:rsidRPr="001969FD">
        <w:rPr>
          <w:rFonts w:ascii="Times New Roman" w:hAnsi="Times New Roman"/>
        </w:rPr>
        <w:t>Jeigu pasireiškė šalutinis poveikis (net jeigu jis šiame lapelyje nenurodytas), kreipkitės į gydytoją arba slaugytoją. Žr. 4 skyrių.</w:t>
      </w:r>
    </w:p>
    <w:p w:rsidR="00FE51AC" w:rsidRPr="001969FD" w:rsidRDefault="00FE51AC" w:rsidP="00FE51AC">
      <w:pPr>
        <w:tabs>
          <w:tab w:val="left" w:pos="567"/>
        </w:tabs>
        <w:spacing w:after="0" w:line="240" w:lineRule="auto"/>
        <w:ind w:left="567" w:hanging="567"/>
        <w:rPr>
          <w:rFonts w:ascii="Times New Roman" w:hAnsi="Times New Roman"/>
        </w:rPr>
      </w:pPr>
    </w:p>
    <w:p w:rsidR="00FE51AC" w:rsidRPr="001969FD" w:rsidRDefault="00FE51AC" w:rsidP="00FE51AC">
      <w:pPr>
        <w:spacing w:after="0" w:line="240" w:lineRule="auto"/>
        <w:rPr>
          <w:rFonts w:ascii="Times New Roman" w:hAnsi="Times New Roman"/>
          <w:b/>
        </w:rPr>
      </w:pPr>
      <w:r w:rsidRPr="001969FD">
        <w:rPr>
          <w:rFonts w:ascii="Times New Roman" w:hAnsi="Times New Roman"/>
          <w:b/>
        </w:rPr>
        <w:t>Apie ką rašoma šiame lapelyje?</w:t>
      </w:r>
    </w:p>
    <w:p w:rsidR="00FE51AC" w:rsidRPr="001969FD" w:rsidRDefault="00FE51AC" w:rsidP="00FE51AC">
      <w:pPr>
        <w:spacing w:after="0" w:line="240" w:lineRule="auto"/>
        <w:rPr>
          <w:rFonts w:ascii="Times New Roman" w:hAnsi="Times New Roman"/>
          <w:b/>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1.</w:t>
      </w:r>
      <w:r w:rsidRPr="001969FD">
        <w:rPr>
          <w:rFonts w:ascii="Times New Roman" w:hAnsi="Times New Roman"/>
        </w:rPr>
        <w:tab/>
        <w:t>Kas yra SMOFlipid ir kam ji vartojama</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2.</w:t>
      </w:r>
      <w:r w:rsidRPr="001969FD">
        <w:rPr>
          <w:rFonts w:ascii="Times New Roman" w:hAnsi="Times New Roman"/>
        </w:rPr>
        <w:tab/>
        <w:t xml:space="preserve">Kas žinotina prieš vartojant SMOFlipid </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3.</w:t>
      </w:r>
      <w:r w:rsidRPr="001969FD">
        <w:rPr>
          <w:rFonts w:ascii="Times New Roman" w:hAnsi="Times New Roman"/>
        </w:rPr>
        <w:tab/>
        <w:t xml:space="preserve">Kaip vartoti SMOFlipid </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4.</w:t>
      </w:r>
      <w:r w:rsidRPr="001969FD">
        <w:rPr>
          <w:rFonts w:ascii="Times New Roman" w:hAnsi="Times New Roman"/>
        </w:rPr>
        <w:tab/>
        <w:t>Galimas šalutinis poveikis</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5.</w:t>
      </w:r>
      <w:r w:rsidRPr="001969FD">
        <w:rPr>
          <w:rFonts w:ascii="Times New Roman" w:hAnsi="Times New Roman"/>
        </w:rPr>
        <w:tab/>
        <w:t xml:space="preserve">Kaip laikyti SMOFlipid </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6.</w:t>
      </w:r>
      <w:r w:rsidRPr="001969FD">
        <w:rPr>
          <w:rFonts w:ascii="Times New Roman" w:hAnsi="Times New Roman"/>
        </w:rPr>
        <w:tab/>
        <w:t>Pakuotės turinys ir kita informacija</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b/>
        </w:rPr>
        <w:t>1.</w:t>
      </w:r>
      <w:r w:rsidRPr="001969FD">
        <w:rPr>
          <w:rFonts w:ascii="Times New Roman" w:hAnsi="Times New Roman"/>
          <w:b/>
        </w:rPr>
        <w:tab/>
        <w:t>Kas yra SMOFlipid ir kam ji vartojama</w:t>
      </w:r>
    </w:p>
    <w:p w:rsidR="00FE51AC" w:rsidRPr="001969FD" w:rsidRDefault="00FE51AC" w:rsidP="00FE51AC">
      <w:pPr>
        <w:tabs>
          <w:tab w:val="left" w:pos="567"/>
        </w:tabs>
        <w:spacing w:after="0" w:line="240" w:lineRule="auto"/>
        <w:rPr>
          <w:rFonts w:ascii="Times New Roman" w:hAnsi="Times New Roman"/>
          <w:b/>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rPr>
        <w:t>SMOFlipid sudėtyje yra keturios skirtingos lipidų (riebalų) rūšys: sojų aliejaus, vidutinės grandinės trigliceridų, alyvuogių aliejaus ir žuvų taukų, praturtintų omega-3 riebalų rūgštimis.</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Toks riebalų ir vandens mišinys vadinasi „riebalų emulsija“.</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Preparato vartojama tuo atveju, jei Jūsų organizmą reikia papildyti energetinėmis medžiagomis ir riebalų rūgštimis.</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 xml:space="preserve">SMOFlipid į Jūsų kraują galima infuzuoti lašiniu būdu arba naudojant infuzijų pompą. </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SMOFlipid Jums skirs sveikatos priežiūros specialistas tuo atveju, jei Jūs kitu būdu maitintis negalite, tokia mityba yra nepakankama arba neveiksminga.</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b/>
        </w:rPr>
        <w:t>2.</w:t>
      </w:r>
      <w:r w:rsidRPr="001969FD">
        <w:rPr>
          <w:rFonts w:ascii="Times New Roman" w:hAnsi="Times New Roman"/>
        </w:rPr>
        <w:tab/>
      </w:r>
      <w:r w:rsidRPr="001969FD">
        <w:rPr>
          <w:rFonts w:ascii="Times New Roman" w:hAnsi="Times New Roman"/>
          <w:b/>
        </w:rPr>
        <w:t>Kas žinotina prieš vartojant SMOFlipid</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b/>
        </w:rPr>
        <w:t>SMOFlipid vartoti negalima:</w:t>
      </w:r>
    </w:p>
    <w:p w:rsidR="00FE51AC" w:rsidRPr="001969FD" w:rsidRDefault="00FE51AC" w:rsidP="00FE51AC">
      <w:pPr>
        <w:tabs>
          <w:tab w:val="left" w:pos="567"/>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jeigu yra alergija sojų aliejui, vidutinės grandinės trigliceridams, alyvuogių aliejui, žuvų taukams arba bet kuriai pagalbinei šio vaisto medžiagai (jos išvardytos 6 skyriuje);</w:t>
      </w:r>
    </w:p>
    <w:p w:rsidR="00FE51AC" w:rsidRPr="001969FD" w:rsidRDefault="00FE51AC" w:rsidP="00FE51AC">
      <w:pPr>
        <w:tabs>
          <w:tab w:val="left" w:pos="567"/>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jeigu yra alergija produktams, kurių sudėtyje yra žuvų, kiaušinių, sojų ar žemės riešutų baltymų;</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 xml:space="preserve">jeigu yra sunki hiperlipidemija (riebalų kiekio padidėjimas kraujyje); </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jeigu sergama sunkiu kepenų arba inkstų funkcijos sutrikimu;</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jeigu yra sunkus kraujo krešėjimo sutrikimas;</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jei ištiko šokas;</w:t>
      </w:r>
    </w:p>
    <w:p w:rsidR="00FE51AC" w:rsidRPr="001969FD" w:rsidRDefault="00FE51AC" w:rsidP="00FE51AC">
      <w:pPr>
        <w:tabs>
          <w:tab w:val="left" w:pos="567"/>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 xml:space="preserve">jei plaučiuose yra vandens (plaučių edema, t.y. pabrinkimas), pasireiškė hiperhidracija (vandens kiekio organizme padidėjimas) arba dėl per didelio kiekio vandens organizme pasireiškė dekompensuotas širdies nepakankamumas; </w:t>
      </w:r>
    </w:p>
    <w:p w:rsidR="00FE51AC" w:rsidRPr="001969FD" w:rsidRDefault="00FE51AC" w:rsidP="00FE51AC">
      <w:pPr>
        <w:tabs>
          <w:tab w:val="left" w:pos="567"/>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jei būklė yra nestabili (pvz., būklė po sunkios traumos, ūminis miokardo infarktas, insultas, kraujo krešulių atsiradimas (trombozė), metabolinė acidozė (reikšmingas kraujo parūgštėjimas) arba negydytas cukrinis diabetas, sepsis (kraujo užkrėtimas), dehidracija (vandens kiekio sumažėjimas organizme).</w:t>
      </w:r>
    </w:p>
    <w:p w:rsidR="00FE51AC" w:rsidRPr="001969FD" w:rsidRDefault="00FE51AC" w:rsidP="00FE51AC">
      <w:pPr>
        <w:tabs>
          <w:tab w:val="left" w:pos="567"/>
        </w:tabs>
        <w:spacing w:after="0" w:line="240" w:lineRule="auto"/>
        <w:rPr>
          <w:rFonts w:ascii="Times New Roman" w:hAnsi="Times New Roman"/>
          <w:b/>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b/>
        </w:rPr>
        <w:t xml:space="preserve">Įspėjimai ir atsargumo priemonės </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Pasitarkite su gydytoju arba slaugytoju, prieš pradėdami vartoti šį vaistą, jei:</w:t>
      </w:r>
    </w:p>
    <w:p w:rsidR="00FE51AC" w:rsidRPr="001969FD" w:rsidRDefault="00FE51AC" w:rsidP="00FE51AC">
      <w:pPr>
        <w:tabs>
          <w:tab w:val="left" w:pos="0"/>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 xml:space="preserve">Jūsų kraujyje yra padidėjusi lipidų koncentracija, todėl jums negalima vartoti riebalų (yra sutrikęs lipidų metabolizmas). </w:t>
      </w:r>
    </w:p>
    <w:p w:rsidR="00FE51AC" w:rsidRDefault="00FE51AC" w:rsidP="00FE51AC">
      <w:pPr>
        <w:tabs>
          <w:tab w:val="left" w:pos="567"/>
        </w:tabs>
        <w:spacing w:after="0" w:line="240" w:lineRule="auto"/>
        <w:rPr>
          <w:rFonts w:ascii="Times New Roman" w:hAnsi="Times New Roman"/>
        </w:rPr>
      </w:pPr>
    </w:p>
    <w:p w:rsidR="00FE51AC" w:rsidRPr="00671478" w:rsidRDefault="00FE51AC" w:rsidP="00FE51AC">
      <w:pPr>
        <w:tabs>
          <w:tab w:val="left" w:pos="567"/>
        </w:tabs>
        <w:spacing w:after="0" w:line="240" w:lineRule="auto"/>
        <w:rPr>
          <w:rFonts w:ascii="Times New Roman" w:hAnsi="Times New Roman"/>
        </w:rPr>
      </w:pPr>
      <w:r w:rsidRPr="00B66522">
        <w:rPr>
          <w:rFonts w:ascii="Times New Roman" w:hAnsi="Times New Roman"/>
        </w:rPr>
        <w:lastRenderedPageBreak/>
        <w:t>Kai SMOFlipid lašinamas</w:t>
      </w:r>
      <w:r w:rsidRPr="00671478">
        <w:rPr>
          <w:rFonts w:ascii="Times New Roman" w:hAnsi="Times New Roman"/>
        </w:rPr>
        <w:t xml:space="preserve"> naujagimiams ir jaunesniems kaip 2 metų vaikams, tirpalas (maišeliuose ir infuzijos rinkiniuose) turi būti apsaugotas nuo šviesos, kol lašinimas bus užbaigtas. Dėl aplinkos šviesos poveikio </w:t>
      </w:r>
      <w:r w:rsidRPr="001969FD">
        <w:rPr>
          <w:rFonts w:ascii="Times New Roman" w:hAnsi="Times New Roman"/>
        </w:rPr>
        <w:t>SMOFlipid</w:t>
      </w:r>
      <w:r w:rsidRPr="00671478">
        <w:rPr>
          <w:rFonts w:ascii="Times New Roman" w:hAnsi="Times New Roman"/>
        </w:rPr>
        <w:t>, ypač po to, kai į jį įmaišoma mikroelementų ir (arba) vitaminų, tirpale susidaro peroksidų ir kitų degradacijos produktų, kurių kiekį galima sumažinti tirpalą apsaugant nuo šviesos.</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b/>
        </w:rPr>
        <w:t>Alerginės reakcijos</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Jei SMOFlipid infuzijos metu pasireiškė alerginė reakcija, infuziją reikia nedelsiant nutraukti. Nedelsiant pasakykite gydytojui arba slaugytojai, jei jums infuzijos metu pasireiškė nors vienas iš toliau išvardytų požymių:</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karščiavimas (aukšta temperatūra);</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drebulys;</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išbėrimas;</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 xml:space="preserve">pasunkėjęs kvėpavimas. </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b/>
        </w:rPr>
        <w:t>Vaikams</w:t>
      </w:r>
    </w:p>
    <w:p w:rsidR="00FE51AC" w:rsidRPr="001969FD" w:rsidRDefault="00FE51AC" w:rsidP="00FE51AC">
      <w:pPr>
        <w:tabs>
          <w:tab w:val="left" w:pos="0"/>
        </w:tabs>
        <w:spacing w:after="0" w:line="240" w:lineRule="auto"/>
        <w:ind w:left="567" w:hanging="567"/>
        <w:rPr>
          <w:rFonts w:ascii="Times New Roman" w:hAnsi="Times New Roman"/>
        </w:rPr>
      </w:pPr>
      <w:r w:rsidRPr="001969FD">
        <w:rPr>
          <w:rFonts w:ascii="Times New Roman" w:hAnsi="Times New Roman"/>
        </w:rPr>
        <w:t>Kreipkitės į gydytoją ar slaugytoją, jei šis vaistas yra skiriamas Jūsų naujagimiui ir jam yra:</w:t>
      </w:r>
    </w:p>
    <w:p w:rsidR="00FE51AC" w:rsidRPr="001969FD" w:rsidRDefault="00FE51AC" w:rsidP="00FE51AC">
      <w:pPr>
        <w:tabs>
          <w:tab w:val="left" w:pos="0"/>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nustatytas per didelis tam tikros medžiagos bilirubino kiekis kraujyje (yra hiperbilirubinemija);</w:t>
      </w:r>
    </w:p>
    <w:p w:rsidR="00FE51AC" w:rsidRPr="001969FD" w:rsidRDefault="00FE51AC" w:rsidP="00FE51AC">
      <w:pPr>
        <w:tabs>
          <w:tab w:val="left" w:pos="0"/>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padidėjęs spaudimas plaučiuose (plautinė hipertenzija).</w:t>
      </w:r>
    </w:p>
    <w:p w:rsidR="00FE51AC" w:rsidRPr="001969FD" w:rsidRDefault="00FE51AC" w:rsidP="00FE51AC">
      <w:pPr>
        <w:tabs>
          <w:tab w:val="left" w:pos="0"/>
        </w:tabs>
        <w:spacing w:after="0" w:line="240" w:lineRule="auto"/>
        <w:rPr>
          <w:rFonts w:ascii="Times New Roman" w:hAnsi="Times New Roman"/>
        </w:rPr>
      </w:pPr>
      <w:r w:rsidRPr="001969FD">
        <w:rPr>
          <w:rFonts w:ascii="Times New Roman" w:hAnsi="Times New Roman"/>
        </w:rPr>
        <w:t xml:space="preserve">Jei naujagimiui SMOFlipid skiriama ilgą laiką, siekiant nustatyti, koks yra vaisto poveikis, gydytojas atliks kraujo tyrimus. </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b/>
        </w:rPr>
        <w:t>Kiti vaistai ir SMOFlipid</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Jeigu vartojate ar neseniai vartojote kitų vaistų arba dėl to nesate tikri, apie tai pasakykite gydytojui.</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Svarbu pasakyti gydytojui, jei vartojate arba neseniai vartojote vaistų, slopinančių kraujo krešėjimą, pvz., varfarino ir heparino.</w:t>
      </w:r>
    </w:p>
    <w:p w:rsidR="00FE51AC" w:rsidRPr="001969FD" w:rsidRDefault="00FE51AC" w:rsidP="00FE51AC">
      <w:pPr>
        <w:tabs>
          <w:tab w:val="left" w:pos="0"/>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SMOFlipid yra natūralus vitamino K</w:t>
      </w:r>
      <w:r w:rsidRPr="001969FD">
        <w:rPr>
          <w:rFonts w:ascii="Times New Roman" w:hAnsi="Times New Roman"/>
          <w:vertAlign w:val="subscript"/>
        </w:rPr>
        <w:t>1</w:t>
      </w:r>
      <w:r w:rsidRPr="001969FD">
        <w:rPr>
          <w:rFonts w:ascii="Times New Roman" w:hAnsi="Times New Roman"/>
        </w:rPr>
        <w:t>, kuris gali daryti įtaką varfarino veikimui, šaltinis. Tačiau SMOFlipid sudėtyje vitamino K kiekis yra toks mažas, jog nepanašu, kad galėtų sukelti šias problemas.</w:t>
      </w:r>
    </w:p>
    <w:p w:rsidR="00FE51AC" w:rsidRPr="001969FD" w:rsidRDefault="00FE51AC" w:rsidP="00FE51AC">
      <w:pPr>
        <w:tabs>
          <w:tab w:val="left" w:pos="0"/>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Terapinės heparino dozės gali padidinti riebalų rūgščių koncentraciją kraujyje dėl riebalų rūgščių atsipalaidavimo iš audinių į kraujotaką, o po to iš kraujo pašalinamas mažesnis riebalų rūgščių kiekis (sumažėja trigliceridų klirensas).</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b/>
        </w:rPr>
        <w:t>Nėštumas ir žindymo laikotarpis</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Ar saugu nėščiai ar krūtimi maitinančiai moteriai vartoti SMOFlipid, nežinoma. Jei nėštumo arba žindymo laikotarpiu Jums reikalinga tiesioginė mityba į veną, gydytojas SMOFlipid Jums gali skirti tik kruopščiai įvertinęs situaciją.</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Jeigu esate nėščia, žindote kūdikį, manote, kad galbūt esate nėščia, arba planuojate pastoti, tai prieš vartodama šį vaistą, pasitarkite su gydytoju arba vaistininku.</w:t>
      </w:r>
    </w:p>
    <w:p w:rsidR="00FE51AC" w:rsidRPr="001969FD" w:rsidRDefault="00FE51AC" w:rsidP="00FE51AC">
      <w:pPr>
        <w:tabs>
          <w:tab w:val="left" w:pos="567"/>
        </w:tabs>
        <w:spacing w:after="0" w:line="240" w:lineRule="auto"/>
        <w:rPr>
          <w:rFonts w:ascii="Times New Roman" w:hAnsi="Times New Roman"/>
          <w:b/>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b/>
        </w:rPr>
        <w:t>Vairavimas ir mechanizmų valdymas</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Duomenys neaktualūs, nes preparatas vartojamas tik ligoninėje.</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b/>
        </w:rPr>
        <w:t>SMOFlipid sudėtyje yra natrio</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Kiekviename šio vaistinio preparato 1000 ml sudėtyje yra 5 mmol (115 mg) natrio. Į tai reikia atsižvelgti pacientams, kuriems kontroliuojamas natrio kiekis dietoje.</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b/>
        </w:rPr>
        <w:t>3.</w:t>
      </w:r>
      <w:r w:rsidRPr="001969FD">
        <w:rPr>
          <w:rFonts w:ascii="Times New Roman" w:hAnsi="Times New Roman"/>
          <w:b/>
        </w:rPr>
        <w:tab/>
        <w:t xml:space="preserve">Kaip vartoti SMOFlipid </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SMOFlipid į veną infuzuojama lašiniu būdu arba naudojant infuzijų pompą. Gydytojas, atsižvelgdamas į Jūsų kūno svorį ir infuzuotų riebalų kiekio panaudojimo gebą, nutars, kokia SMOFlipid dozė Jums reikalinga.</w:t>
      </w:r>
    </w:p>
    <w:p w:rsidR="00FE51AC" w:rsidRPr="001969FD" w:rsidRDefault="00FE51AC" w:rsidP="00FE51AC">
      <w:pPr>
        <w:tabs>
          <w:tab w:val="left" w:pos="567"/>
        </w:tabs>
        <w:spacing w:after="0" w:line="240" w:lineRule="auto"/>
        <w:rPr>
          <w:rFonts w:ascii="Times New Roman" w:hAnsi="Times New Roman"/>
        </w:rPr>
      </w:pPr>
    </w:p>
    <w:p w:rsidR="00FE51AC" w:rsidRDefault="00FE51AC" w:rsidP="00FE51AC">
      <w:pPr>
        <w:tabs>
          <w:tab w:val="left" w:pos="567"/>
        </w:tabs>
        <w:spacing w:after="0" w:line="240" w:lineRule="auto"/>
        <w:rPr>
          <w:rFonts w:ascii="Times New Roman" w:hAnsi="Times New Roman"/>
        </w:rPr>
      </w:pPr>
      <w:r w:rsidRPr="00281FA7">
        <w:rPr>
          <w:rFonts w:ascii="Times New Roman" w:hAnsi="Times New Roman"/>
        </w:rPr>
        <w:t xml:space="preserve">Kai </w:t>
      </w:r>
      <w:r w:rsidRPr="001969FD">
        <w:rPr>
          <w:rFonts w:ascii="Times New Roman" w:hAnsi="Times New Roman"/>
        </w:rPr>
        <w:t>SMOFlipid</w:t>
      </w:r>
      <w:r w:rsidRPr="00281FA7">
        <w:rPr>
          <w:rFonts w:ascii="Times New Roman" w:hAnsi="Times New Roman"/>
        </w:rPr>
        <w:t xml:space="preserve"> lašinamas naujagimiams ir jaunesniems kaip 2 metų vaikams, tirpalas (maišeliuose ir infuzijos rinkiniuose) turi būti apsaugotas nuo šviesos, kol lašinimas bus užbaigtas (žr. 2 skyrių).</w:t>
      </w:r>
    </w:p>
    <w:p w:rsidR="00FE51AC"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SMOFlipid vartojimo ir dozavimo detalus aprašymas pateiktas pakuotės lapelio pabaigoje, skyriuje, skirtame sveikatos priežiūros specialistams.</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b/>
        </w:rPr>
        <w:t>Ką daryti pavartojus per didelę SMOFlipid dozę</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 xml:space="preserve">Jei Jums infuzuota per didelė SMOFlipid dozė, Jūsų organizme gali atsirasti daugiau riebalų, negu jis gali įsisavinti. Pasireiškia taip vadinamas „riebalų pertekliaus sindromas“ (žr. 4 skyrių). </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keepNext/>
        <w:keepLines/>
        <w:tabs>
          <w:tab w:val="left" w:pos="567"/>
        </w:tabs>
        <w:spacing w:after="0" w:line="240" w:lineRule="auto"/>
        <w:rPr>
          <w:rFonts w:ascii="Times New Roman" w:hAnsi="Times New Roman"/>
          <w:b/>
        </w:rPr>
      </w:pPr>
      <w:r w:rsidRPr="001969FD">
        <w:rPr>
          <w:rFonts w:ascii="Times New Roman" w:hAnsi="Times New Roman"/>
          <w:b/>
        </w:rPr>
        <w:t>4.</w:t>
      </w:r>
      <w:r w:rsidRPr="001969FD">
        <w:rPr>
          <w:rFonts w:ascii="Times New Roman" w:hAnsi="Times New Roman"/>
          <w:b/>
        </w:rPr>
        <w:tab/>
        <w:t>Galimas šalutinis poveikis</w:t>
      </w:r>
    </w:p>
    <w:p w:rsidR="00FE51AC" w:rsidRPr="001969FD" w:rsidRDefault="00FE51AC" w:rsidP="00FE51AC">
      <w:pPr>
        <w:keepNext/>
        <w:keepLines/>
        <w:tabs>
          <w:tab w:val="left" w:pos="567"/>
        </w:tabs>
        <w:spacing w:after="0" w:line="240" w:lineRule="auto"/>
        <w:rPr>
          <w:rFonts w:ascii="Times New Roman" w:hAnsi="Times New Roman"/>
          <w:b/>
        </w:rPr>
      </w:pPr>
    </w:p>
    <w:p w:rsidR="00FE51AC" w:rsidRPr="001969FD" w:rsidRDefault="00FE51AC" w:rsidP="00FE51AC">
      <w:pPr>
        <w:keepNext/>
        <w:keepLines/>
        <w:tabs>
          <w:tab w:val="left" w:pos="567"/>
        </w:tabs>
        <w:spacing w:after="0" w:line="240" w:lineRule="auto"/>
        <w:rPr>
          <w:rFonts w:ascii="Times New Roman" w:hAnsi="Times New Roman"/>
        </w:rPr>
      </w:pPr>
      <w:r w:rsidRPr="001969FD">
        <w:rPr>
          <w:rFonts w:ascii="Times New Roman" w:hAnsi="Times New Roman"/>
        </w:rPr>
        <w:t>Šis vaistas, kaip ir visi kiti, gali sukelti šalutinį poveikį, nors jis pasireiškia ne visiems žmonėms.</w:t>
      </w:r>
    </w:p>
    <w:p w:rsidR="00FE51AC" w:rsidRPr="001969FD" w:rsidRDefault="00FE51AC" w:rsidP="00FE51AC">
      <w:pPr>
        <w:tabs>
          <w:tab w:val="left" w:pos="567"/>
        </w:tabs>
        <w:spacing w:after="0" w:line="240" w:lineRule="auto"/>
        <w:rPr>
          <w:rFonts w:ascii="Times New Roman" w:hAnsi="Times New Roman"/>
          <w:b/>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b/>
        </w:rPr>
        <w:t>Riebalų pertekliaus sindromas</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Riebalų pertekliaus sindromas gali pasireikšti, jei Jūsų organizme yra sutrikęs riebalų panaudojimas per daug pavartojus SMOFlipid. Jis gali atsirasti ir tuo atveju, jei staiga pakinta Jūsų būklė (pvz., sutrinka inkstų veikla ar susergama infekcine liga). Šiam sindromui būdinga hiperlipidemija (padaugėja riebalų kraujyje), karščiavimas, audiniuose susikaupia daugiau, negu įprasta, riebalų (audinių infiltracija riebalais), sutrinka įvairių organų veikla, ištinka koma. Visi simptomai dažniausiai išnyksta nutraukus riebalų emulsijos infuziją.</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Riebalų emulsijos infuzijos metu gali pasireikšti toliau nurodyti sutrikimai.</w:t>
      </w:r>
    </w:p>
    <w:p w:rsidR="00FE51AC" w:rsidRPr="001969FD" w:rsidRDefault="00FE51AC" w:rsidP="00FE51AC">
      <w:pPr>
        <w:tabs>
          <w:tab w:val="left" w:pos="567"/>
        </w:tabs>
        <w:spacing w:after="0" w:line="240" w:lineRule="auto"/>
        <w:rPr>
          <w:rFonts w:ascii="Times New Roman" w:hAnsi="Times New Roman"/>
          <w:i/>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b/>
        </w:rPr>
        <w:t>Dažni</w:t>
      </w:r>
      <w:r w:rsidRPr="001969FD">
        <w:rPr>
          <w:rFonts w:ascii="Times New Roman" w:hAnsi="Times New Roman"/>
        </w:rPr>
        <w:t xml:space="preserve"> (gali pasireikšti iki 1 iš 10 žmonių):</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šiek tiek padidėja kūno temperatūra.</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b/>
        </w:rPr>
        <w:t>Nedažni</w:t>
      </w:r>
      <w:r w:rsidRPr="001969FD">
        <w:rPr>
          <w:rFonts w:ascii="Times New Roman" w:hAnsi="Times New Roman"/>
        </w:rPr>
        <w:t xml:space="preserve"> (gali pasireikšti iki 1 iš 100 žmonių):</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drebulys;</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apetito netekimas;</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šleikštulys;</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vėmimas.</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b/>
        </w:rPr>
        <w:t>Reti</w:t>
      </w:r>
      <w:r w:rsidRPr="001969FD">
        <w:rPr>
          <w:rFonts w:ascii="Times New Roman" w:hAnsi="Times New Roman"/>
        </w:rPr>
        <w:t xml:space="preserve"> (gali pasireikšti iki 1 iš 1000 žmonių):</w:t>
      </w:r>
    </w:p>
    <w:p w:rsidR="00FE51AC" w:rsidRPr="001969FD" w:rsidRDefault="00FE51AC" w:rsidP="00FE51AC">
      <w:pPr>
        <w:tabs>
          <w:tab w:val="left" w:pos="567"/>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alerginė reakcija (pvz., aukšta temperatūra, paburkimas, kraujo spaudimo sumažėjimas, odos išbėrimas, paraudimas, galvos skausmas);</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šalčio ar karščio pojūtis;</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odos blyškumas;</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melsva oda ir gleivinės (dėl deguonies kiekio sumažėjimo kraujyje);</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kaklo, nugaros, kaulų, krūtinės ar strėnų skausmas;</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 xml:space="preserve">kyla arba krenta kraujo spaudimas; </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dusulys.</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b/>
        </w:rPr>
        <w:t>Labai reti</w:t>
      </w:r>
      <w:r w:rsidRPr="001969FD">
        <w:rPr>
          <w:rFonts w:ascii="Times New Roman" w:hAnsi="Times New Roman"/>
        </w:rPr>
        <w:t xml:space="preserve"> (gali pasireikšti iki 1 iš 10000 žmonių):</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vyrams pasireiškia ilgalaikė ir skausminga erekcija.</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b/>
        </w:rPr>
        <w:t>Pranešimas apie šalutinį poveikį</w:t>
      </w:r>
    </w:p>
    <w:p w:rsidR="00FE51AC" w:rsidRPr="001969FD" w:rsidRDefault="00FE51AC" w:rsidP="00FE51AC">
      <w:pPr>
        <w:tabs>
          <w:tab w:val="left" w:pos="567"/>
        </w:tabs>
        <w:spacing w:after="0" w:line="240" w:lineRule="auto"/>
        <w:ind w:right="-449"/>
        <w:rPr>
          <w:rFonts w:ascii="Times New Roman" w:hAnsi="Times New Roman"/>
        </w:rPr>
      </w:pPr>
      <w:r w:rsidRPr="001969FD">
        <w:rPr>
          <w:rFonts w:ascii="Times New Roman" w:hAnsi="Times New Roman"/>
        </w:rPr>
        <w:t xml:space="preserve">Jeigu pasireiškė šalutinis poveikis, įskaitant šiame lapelyje nenurodytą, pasakykite gydytojui arba slaugytojui. Apie šalutinį poveikį taip pat galite pranešti tiesiogiai, užpildę interneto svetainėje </w:t>
      </w:r>
      <w:hyperlink r:id="rId5" w:history="1">
        <w:r w:rsidRPr="001969FD">
          <w:rPr>
            <w:rFonts w:ascii="Times New Roman" w:hAnsi="Times New Roman"/>
          </w:rPr>
          <w:t>www.vvkt.lt</w:t>
        </w:r>
      </w:hyperlink>
      <w:r w:rsidRPr="001969FD">
        <w:rPr>
          <w:rFonts w:ascii="Times New Roman" w:hAnsi="Times New Roman"/>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6" w:history="1">
        <w:r w:rsidRPr="001969FD">
          <w:rPr>
            <w:rFonts w:ascii="Times New Roman" w:hAnsi="Times New Roman"/>
          </w:rPr>
          <w:t>NepageidaujamaR@vvkt.lt</w:t>
        </w:r>
      </w:hyperlink>
      <w:r w:rsidRPr="001969FD">
        <w:rPr>
          <w:rFonts w:ascii="Times New Roman" w:hAnsi="Times New Roman"/>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FE51AC" w:rsidRPr="001969FD" w:rsidRDefault="00FE51AC" w:rsidP="00FE51AC">
      <w:pPr>
        <w:tabs>
          <w:tab w:val="left" w:pos="567"/>
        </w:tabs>
        <w:spacing w:after="0" w:line="240" w:lineRule="auto"/>
        <w:ind w:right="-2"/>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b/>
        </w:rPr>
        <w:t>5.</w:t>
      </w:r>
      <w:r w:rsidRPr="001969FD">
        <w:rPr>
          <w:rFonts w:ascii="Times New Roman" w:hAnsi="Times New Roman"/>
          <w:b/>
        </w:rPr>
        <w:tab/>
        <w:t>Kaip laikyti SMOFlipid</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lastRenderedPageBreak/>
        <w:t>Šį vaistą laikykite vaikams nepastebimoje ir nepasiekiamoje vietoje.</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Laikyti ne aukštesnėje kaip 25 </w:t>
      </w:r>
      <w:r w:rsidRPr="001969FD">
        <w:rPr>
          <w:rFonts w:ascii="Times New Roman" w:hAnsi="Times New Roman"/>
        </w:rPr>
        <w:sym w:font="Symbol" w:char="F0B0"/>
      </w:r>
      <w:r w:rsidRPr="001969FD">
        <w:rPr>
          <w:rFonts w:ascii="Times New Roman" w:hAnsi="Times New Roman"/>
        </w:rPr>
        <w:t>C temperatūroje. Negalima užšaldyti.</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Ant etiketės po „Tinka iki“ nurodytam tinkamumo laikui pasibaigus, šio vaisto vartoti negalima. Vaistas tinkamas vartoti iki paskutinės nurodyto mėnesio dienos.</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 xml:space="preserve">Pastebėjus, kad pakuotė pažeista, šio vaisto vartoti negalima. Galima vartoti tik baltą, homogeninę emulsiją. Ji skirta tik vienkartiniam vartojimui. Nesuvartotą tirpalą reikia išpilti, jo pakartotinai vartoti negalima. </w:t>
      </w:r>
    </w:p>
    <w:p w:rsidR="00FE51AC" w:rsidRPr="00B66522" w:rsidRDefault="00FE51AC" w:rsidP="00FE51AC">
      <w:pPr>
        <w:tabs>
          <w:tab w:val="left" w:pos="567"/>
        </w:tabs>
        <w:spacing w:after="0" w:line="240" w:lineRule="auto"/>
        <w:rPr>
          <w:rFonts w:ascii="Times New Roman" w:hAnsi="Times New Roman"/>
        </w:rPr>
      </w:pPr>
    </w:p>
    <w:p w:rsidR="00FE51AC" w:rsidRPr="00B66522" w:rsidRDefault="00FE51AC" w:rsidP="00FE51AC">
      <w:pPr>
        <w:tabs>
          <w:tab w:val="left" w:pos="567"/>
        </w:tabs>
        <w:spacing w:after="0" w:line="240" w:lineRule="auto"/>
        <w:rPr>
          <w:rFonts w:ascii="Times New Roman" w:hAnsi="Times New Roman"/>
        </w:rPr>
      </w:pPr>
      <w:r w:rsidRPr="00B66522">
        <w:rPr>
          <w:rFonts w:ascii="Times New Roman" w:hAnsi="Times New Roman"/>
        </w:rPr>
        <w:t xml:space="preserve">Kai </w:t>
      </w:r>
      <w:r w:rsidRPr="001969FD">
        <w:rPr>
          <w:rFonts w:ascii="Times New Roman" w:hAnsi="Times New Roman"/>
        </w:rPr>
        <w:t>SMOFlipid</w:t>
      </w:r>
      <w:r w:rsidRPr="00B66522">
        <w:rPr>
          <w:rFonts w:ascii="Times New Roman" w:hAnsi="Times New Roman"/>
        </w:rPr>
        <w:t xml:space="preserve"> lašinamas naujagimiams ir jaunesniems kaip 2 metų vaikams, tirpalas (maišeliuose ir infuzijos rinkiniuose) turi būti apsaugotas nuo šviesos, kol lašinimas bus užbaigtas (žr. 2 skyrių).</w:t>
      </w:r>
    </w:p>
    <w:p w:rsidR="00FE51AC" w:rsidRDefault="00FE51AC" w:rsidP="00FE51AC">
      <w:pPr>
        <w:tabs>
          <w:tab w:val="left" w:pos="567"/>
        </w:tabs>
        <w:spacing w:after="0" w:line="240" w:lineRule="auto"/>
        <w:rPr>
          <w:rFonts w:ascii="Times New Roman" w:hAnsi="Times New Roman"/>
        </w:rPr>
      </w:pPr>
    </w:p>
    <w:p w:rsidR="00FE51AC" w:rsidRPr="00B66522" w:rsidRDefault="00FE51AC" w:rsidP="00FE51AC">
      <w:pPr>
        <w:tabs>
          <w:tab w:val="left" w:pos="567"/>
        </w:tabs>
        <w:spacing w:after="0" w:line="240" w:lineRule="auto"/>
        <w:rPr>
          <w:rFonts w:ascii="Times New Roman" w:hAnsi="Times New Roman"/>
        </w:rPr>
      </w:pPr>
    </w:p>
    <w:p w:rsidR="00FE51AC" w:rsidRPr="001969FD" w:rsidRDefault="00FE51AC" w:rsidP="00FE51AC">
      <w:pPr>
        <w:keepNext/>
        <w:keepLines/>
        <w:tabs>
          <w:tab w:val="left" w:pos="567"/>
        </w:tabs>
        <w:spacing w:after="0" w:line="240" w:lineRule="auto"/>
        <w:rPr>
          <w:rFonts w:ascii="Times New Roman" w:hAnsi="Times New Roman"/>
          <w:b/>
        </w:rPr>
      </w:pPr>
      <w:r w:rsidRPr="001969FD">
        <w:rPr>
          <w:rFonts w:ascii="Times New Roman" w:hAnsi="Times New Roman"/>
          <w:b/>
        </w:rPr>
        <w:t>6.</w:t>
      </w:r>
      <w:r w:rsidRPr="001969FD">
        <w:rPr>
          <w:rFonts w:ascii="Times New Roman" w:hAnsi="Times New Roman"/>
          <w:b/>
        </w:rPr>
        <w:tab/>
        <w:t>Pakuotės turinys ir kita informacija</w:t>
      </w:r>
    </w:p>
    <w:p w:rsidR="00FE51AC" w:rsidRPr="001969FD" w:rsidRDefault="00FE51AC" w:rsidP="00FE51AC">
      <w:pPr>
        <w:keepNext/>
        <w:keepLines/>
        <w:tabs>
          <w:tab w:val="left" w:pos="567"/>
        </w:tabs>
        <w:spacing w:after="0" w:line="240" w:lineRule="auto"/>
        <w:rPr>
          <w:rFonts w:ascii="Times New Roman" w:hAnsi="Times New Roman"/>
          <w:b/>
        </w:rPr>
      </w:pPr>
    </w:p>
    <w:p w:rsidR="00FE51AC" w:rsidRPr="001969FD" w:rsidRDefault="00FE51AC" w:rsidP="00FE51AC">
      <w:pPr>
        <w:keepNext/>
        <w:keepLines/>
        <w:tabs>
          <w:tab w:val="left" w:pos="567"/>
        </w:tabs>
        <w:spacing w:after="0" w:line="240" w:lineRule="auto"/>
        <w:rPr>
          <w:rFonts w:ascii="Times New Roman" w:hAnsi="Times New Roman"/>
          <w:b/>
        </w:rPr>
      </w:pPr>
      <w:r w:rsidRPr="001969FD">
        <w:rPr>
          <w:rFonts w:ascii="Times New Roman" w:hAnsi="Times New Roman"/>
          <w:b/>
        </w:rPr>
        <w:t>SMOFlipid sudėtis</w:t>
      </w:r>
    </w:p>
    <w:p w:rsidR="00FE51AC" w:rsidRPr="001969FD" w:rsidRDefault="00FE51AC" w:rsidP="00FE51AC">
      <w:pPr>
        <w:tabs>
          <w:tab w:val="left" w:pos="0"/>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 xml:space="preserve">Veiklioji (-sios) medžiaga (-os) yra: </w:t>
      </w:r>
    </w:p>
    <w:p w:rsidR="00FE51AC" w:rsidRPr="001969FD" w:rsidRDefault="00FE51AC" w:rsidP="00FE51AC">
      <w:pPr>
        <w:tabs>
          <w:tab w:val="left" w:pos="0"/>
        </w:tabs>
        <w:spacing w:after="0" w:line="240" w:lineRule="auto"/>
        <w:ind w:left="567" w:hanging="567"/>
        <w:rPr>
          <w:rFonts w:ascii="Times New Roman" w:hAnsi="Times New Roman"/>
        </w:rPr>
      </w:pPr>
      <w:r w:rsidRPr="001969FD">
        <w:rPr>
          <w:rFonts w:ascii="Times New Roman" w:hAnsi="Times New Roman"/>
        </w:rPr>
        <w:t>rafinuotas sojų aliejus</w:t>
      </w:r>
      <w:r w:rsidRPr="001969FD">
        <w:rPr>
          <w:rFonts w:ascii="Times New Roman" w:hAnsi="Times New Roman"/>
        </w:rPr>
        <w:tab/>
      </w:r>
      <w:r w:rsidRPr="001969FD">
        <w:rPr>
          <w:rFonts w:ascii="Times New Roman" w:hAnsi="Times New Roman"/>
        </w:rPr>
        <w:tab/>
      </w:r>
      <w:r w:rsidRPr="001969FD">
        <w:rPr>
          <w:rFonts w:ascii="Times New Roman" w:hAnsi="Times New Roman"/>
        </w:rPr>
        <w:tab/>
        <w:t>60 mg/ml;</w:t>
      </w:r>
    </w:p>
    <w:p w:rsidR="00FE51AC" w:rsidRPr="001969FD" w:rsidRDefault="00FE51AC" w:rsidP="00FE51AC">
      <w:pPr>
        <w:tabs>
          <w:tab w:val="left" w:pos="0"/>
        </w:tabs>
        <w:spacing w:after="0" w:line="240" w:lineRule="auto"/>
        <w:ind w:left="567" w:hanging="567"/>
        <w:rPr>
          <w:rFonts w:ascii="Times New Roman" w:hAnsi="Times New Roman"/>
        </w:rPr>
      </w:pPr>
      <w:r w:rsidRPr="001969FD">
        <w:rPr>
          <w:rFonts w:ascii="Times New Roman" w:hAnsi="Times New Roman"/>
        </w:rPr>
        <w:t>vidutinės grandinės trigliceridai</w:t>
      </w:r>
      <w:r w:rsidRPr="001969FD">
        <w:rPr>
          <w:rFonts w:ascii="Times New Roman" w:hAnsi="Times New Roman"/>
        </w:rPr>
        <w:tab/>
      </w:r>
      <w:r w:rsidRPr="001969FD">
        <w:rPr>
          <w:rFonts w:ascii="Times New Roman" w:hAnsi="Times New Roman"/>
        </w:rPr>
        <w:tab/>
        <w:t>60 mg/ml;</w:t>
      </w:r>
    </w:p>
    <w:p w:rsidR="00FE51AC" w:rsidRPr="001969FD" w:rsidRDefault="00FE51AC" w:rsidP="00FE51AC">
      <w:pPr>
        <w:tabs>
          <w:tab w:val="left" w:pos="0"/>
        </w:tabs>
        <w:spacing w:after="0" w:line="240" w:lineRule="auto"/>
        <w:ind w:left="567" w:hanging="567"/>
        <w:rPr>
          <w:rFonts w:ascii="Times New Roman" w:hAnsi="Times New Roman"/>
        </w:rPr>
      </w:pPr>
      <w:r w:rsidRPr="001969FD">
        <w:rPr>
          <w:rFonts w:ascii="Times New Roman" w:hAnsi="Times New Roman"/>
        </w:rPr>
        <w:t>rafinuotas alyvuogių aliejus</w:t>
      </w:r>
      <w:r w:rsidRPr="001969FD">
        <w:rPr>
          <w:rFonts w:ascii="Times New Roman" w:hAnsi="Times New Roman"/>
        </w:rPr>
        <w:tab/>
      </w:r>
      <w:r w:rsidRPr="001969FD">
        <w:rPr>
          <w:rFonts w:ascii="Times New Roman" w:hAnsi="Times New Roman"/>
        </w:rPr>
        <w:tab/>
      </w:r>
      <w:r w:rsidRPr="001969FD">
        <w:rPr>
          <w:rFonts w:ascii="Times New Roman" w:hAnsi="Times New Roman"/>
        </w:rPr>
        <w:tab/>
        <w:t>50 mg/ml;</w:t>
      </w:r>
    </w:p>
    <w:p w:rsidR="00FE51AC" w:rsidRPr="001969FD" w:rsidRDefault="00FE51AC" w:rsidP="00FE51AC">
      <w:pPr>
        <w:tabs>
          <w:tab w:val="left" w:pos="0"/>
        </w:tabs>
        <w:spacing w:after="0" w:line="240" w:lineRule="auto"/>
        <w:ind w:left="567" w:hanging="567"/>
        <w:rPr>
          <w:rFonts w:ascii="Times New Roman" w:hAnsi="Times New Roman"/>
        </w:rPr>
      </w:pPr>
      <w:r w:rsidRPr="001969FD">
        <w:rPr>
          <w:rFonts w:ascii="Times New Roman" w:hAnsi="Times New Roman"/>
        </w:rPr>
        <w:t>žuvų taukai, praturtinti omega-3 riebalų rūgštimis</w:t>
      </w:r>
      <w:r w:rsidRPr="001969FD">
        <w:rPr>
          <w:rFonts w:ascii="Times New Roman" w:hAnsi="Times New Roman"/>
        </w:rPr>
        <w:tab/>
        <w:t>30 mg/ml.</w:t>
      </w:r>
    </w:p>
    <w:p w:rsidR="00FE51AC" w:rsidRPr="001969FD" w:rsidRDefault="00FE51AC" w:rsidP="00FE51AC">
      <w:pPr>
        <w:tabs>
          <w:tab w:val="left" w:pos="0"/>
        </w:tabs>
        <w:spacing w:after="0" w:line="240" w:lineRule="auto"/>
        <w:ind w:left="567" w:hanging="567"/>
        <w:rPr>
          <w:rFonts w:ascii="Times New Roman" w:hAnsi="Times New Roman"/>
        </w:rPr>
      </w:pPr>
    </w:p>
    <w:p w:rsidR="00FE51AC" w:rsidRPr="001969FD" w:rsidRDefault="00FE51AC" w:rsidP="00FE51AC">
      <w:pPr>
        <w:tabs>
          <w:tab w:val="left" w:pos="0"/>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 xml:space="preserve">Pagalbinė (-ės) medžiaga (-os) yra: </w:t>
      </w:r>
    </w:p>
    <w:p w:rsidR="00FE51AC" w:rsidRPr="001969FD" w:rsidRDefault="00FE51AC" w:rsidP="00FE51AC">
      <w:pPr>
        <w:tabs>
          <w:tab w:val="left" w:pos="0"/>
        </w:tabs>
        <w:spacing w:after="0" w:line="240" w:lineRule="auto"/>
        <w:ind w:left="567" w:hanging="567"/>
        <w:rPr>
          <w:rFonts w:ascii="Times New Roman" w:hAnsi="Times New Roman"/>
        </w:rPr>
      </w:pPr>
      <w:r>
        <w:rPr>
          <w:rFonts w:ascii="Times New Roman" w:hAnsi="Times New Roman"/>
        </w:rPr>
        <w:t>G</w:t>
      </w:r>
      <w:r w:rsidRPr="001969FD">
        <w:rPr>
          <w:rFonts w:ascii="Times New Roman" w:hAnsi="Times New Roman"/>
        </w:rPr>
        <w:t>licerolis.</w:t>
      </w:r>
    </w:p>
    <w:p w:rsidR="00FE51AC" w:rsidRPr="001969FD" w:rsidRDefault="00FE51AC" w:rsidP="00FE51AC">
      <w:pPr>
        <w:tabs>
          <w:tab w:val="left" w:pos="0"/>
        </w:tabs>
        <w:spacing w:after="0" w:line="240" w:lineRule="auto"/>
        <w:ind w:left="567" w:hanging="567"/>
        <w:rPr>
          <w:rFonts w:ascii="Times New Roman" w:hAnsi="Times New Roman"/>
        </w:rPr>
      </w:pPr>
      <w:r w:rsidRPr="001969FD">
        <w:rPr>
          <w:rFonts w:ascii="Times New Roman" w:hAnsi="Times New Roman"/>
        </w:rPr>
        <w:t>Kiaušinių lecitinas.</w:t>
      </w:r>
    </w:p>
    <w:p w:rsidR="00FE51AC" w:rsidRPr="001969FD" w:rsidRDefault="00FE51AC" w:rsidP="00FE51AC">
      <w:pPr>
        <w:tabs>
          <w:tab w:val="left" w:pos="0"/>
        </w:tabs>
        <w:spacing w:after="0" w:line="240" w:lineRule="auto"/>
        <w:ind w:left="567" w:hanging="567"/>
        <w:rPr>
          <w:rFonts w:ascii="Times New Roman" w:hAnsi="Times New Roman"/>
        </w:rPr>
      </w:pPr>
      <w:r w:rsidRPr="001969FD">
        <w:rPr>
          <w:rFonts w:ascii="Times New Roman" w:hAnsi="Times New Roman"/>
        </w:rPr>
        <w:t>Visų racematų-</w:t>
      </w:r>
      <w:r w:rsidRPr="001969FD">
        <w:rPr>
          <w:rFonts w:ascii="Times New Roman" w:hAnsi="Times New Roman"/>
        </w:rPr>
        <w:sym w:font="Symbol" w:char="F061"/>
      </w:r>
      <w:r w:rsidRPr="001969FD">
        <w:rPr>
          <w:rFonts w:ascii="Times New Roman" w:hAnsi="Times New Roman"/>
        </w:rPr>
        <w:t>- tokoferolis (vitaminas E).</w:t>
      </w:r>
    </w:p>
    <w:p w:rsidR="00FE51AC" w:rsidRPr="001969FD" w:rsidRDefault="00FE51AC" w:rsidP="00FE51AC">
      <w:pPr>
        <w:tabs>
          <w:tab w:val="left" w:pos="0"/>
        </w:tabs>
        <w:spacing w:after="0" w:line="240" w:lineRule="auto"/>
        <w:ind w:left="567" w:hanging="567"/>
        <w:rPr>
          <w:rFonts w:ascii="Times New Roman" w:hAnsi="Times New Roman"/>
        </w:rPr>
      </w:pPr>
      <w:r w:rsidRPr="001969FD">
        <w:rPr>
          <w:rFonts w:ascii="Times New Roman" w:hAnsi="Times New Roman"/>
        </w:rPr>
        <w:t>Injekcinis vanduo.</w:t>
      </w:r>
    </w:p>
    <w:p w:rsidR="00FE51AC" w:rsidRPr="001969FD" w:rsidRDefault="00FE51AC" w:rsidP="00FE51AC">
      <w:pPr>
        <w:tabs>
          <w:tab w:val="left" w:pos="0"/>
        </w:tabs>
        <w:spacing w:after="0" w:line="240" w:lineRule="auto"/>
        <w:ind w:left="567" w:hanging="567"/>
        <w:rPr>
          <w:rFonts w:ascii="Times New Roman" w:hAnsi="Times New Roman"/>
        </w:rPr>
      </w:pPr>
      <w:r w:rsidRPr="001969FD">
        <w:rPr>
          <w:rFonts w:ascii="Times New Roman" w:hAnsi="Times New Roman"/>
        </w:rPr>
        <w:t xml:space="preserve">Natrio hidroksidas (pH koreguoti). </w:t>
      </w:r>
    </w:p>
    <w:p w:rsidR="00FE51AC" w:rsidRPr="001969FD" w:rsidRDefault="00FE51AC" w:rsidP="00FE51AC">
      <w:pPr>
        <w:tabs>
          <w:tab w:val="left" w:pos="0"/>
        </w:tabs>
        <w:spacing w:after="0" w:line="240" w:lineRule="auto"/>
        <w:ind w:left="567" w:hanging="567"/>
        <w:rPr>
          <w:rFonts w:ascii="Times New Roman" w:hAnsi="Times New Roman"/>
        </w:rPr>
      </w:pPr>
      <w:r w:rsidRPr="001969FD">
        <w:rPr>
          <w:rFonts w:ascii="Times New Roman" w:hAnsi="Times New Roman"/>
        </w:rPr>
        <w:t>Natrio oleatas.</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b/>
        </w:rPr>
        <w:t>SMOFlipid išvaizda ir kiekis pakuotėje</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Emulsija yra balta, homogeninė. Ji tiekiama stiklo buteliukais arba plastiko maišeliais.</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Pakuočių dydžiai</w:t>
      </w:r>
    </w:p>
    <w:p w:rsidR="00FE51AC" w:rsidRPr="001969FD" w:rsidRDefault="00FE51AC" w:rsidP="00FE51AC">
      <w:pPr>
        <w:tabs>
          <w:tab w:val="left" w:pos="567"/>
        </w:tabs>
        <w:spacing w:after="0" w:line="240" w:lineRule="auto"/>
        <w:rPr>
          <w:rFonts w:ascii="Times New Roman" w:hAnsi="Times New Roman"/>
        </w:rPr>
      </w:pPr>
    </w:p>
    <w:tbl>
      <w:tblPr>
        <w:tblW w:w="0" w:type="auto"/>
        <w:tblCellMar>
          <w:left w:w="70" w:type="dxa"/>
          <w:right w:w="70" w:type="dxa"/>
        </w:tblCellMar>
        <w:tblLook w:val="0000" w:firstRow="0" w:lastRow="0" w:firstColumn="0" w:lastColumn="0" w:noHBand="0" w:noVBand="0"/>
      </w:tblPr>
      <w:tblGrid>
        <w:gridCol w:w="1913"/>
        <w:gridCol w:w="2482"/>
      </w:tblGrid>
      <w:tr w:rsidR="00FE51AC" w:rsidRPr="001969FD" w:rsidTr="001A67AB">
        <w:tc>
          <w:tcPr>
            <w:tcW w:w="1913" w:type="dxa"/>
          </w:tcPr>
          <w:p w:rsidR="00FE51AC" w:rsidRPr="001969FD" w:rsidRDefault="00FE51AC" w:rsidP="001A67AB">
            <w:pPr>
              <w:tabs>
                <w:tab w:val="left" w:pos="567"/>
                <w:tab w:val="center" w:pos="4153"/>
                <w:tab w:val="right" w:pos="8306"/>
              </w:tabs>
              <w:spacing w:after="0" w:line="240" w:lineRule="auto"/>
              <w:rPr>
                <w:rFonts w:ascii="Times New Roman" w:hAnsi="Times New Roman"/>
              </w:rPr>
            </w:pPr>
            <w:r w:rsidRPr="001969FD">
              <w:rPr>
                <w:rFonts w:ascii="Times New Roman" w:hAnsi="Times New Roman"/>
                <w:u w:val="single"/>
              </w:rPr>
              <w:t>Stiklo buteliukas</w:t>
            </w:r>
          </w:p>
        </w:tc>
        <w:tc>
          <w:tcPr>
            <w:tcW w:w="2482" w:type="dxa"/>
          </w:tcPr>
          <w:p w:rsidR="00FE51AC" w:rsidRPr="001969FD" w:rsidRDefault="00FE51AC" w:rsidP="001A67AB">
            <w:pPr>
              <w:tabs>
                <w:tab w:val="left" w:pos="567"/>
                <w:tab w:val="center" w:pos="4153"/>
                <w:tab w:val="right" w:pos="8306"/>
              </w:tabs>
              <w:spacing w:after="0" w:line="240" w:lineRule="auto"/>
              <w:rPr>
                <w:rFonts w:ascii="Times New Roman" w:hAnsi="Times New Roman"/>
              </w:rPr>
            </w:pPr>
            <w:r w:rsidRPr="001969FD">
              <w:rPr>
                <w:rFonts w:ascii="Times New Roman" w:hAnsi="Times New Roman"/>
                <w:u w:val="single"/>
              </w:rPr>
              <w:t>Plastiko maišelis</w:t>
            </w:r>
          </w:p>
        </w:tc>
      </w:tr>
      <w:tr w:rsidR="00FE51AC" w:rsidRPr="001969FD" w:rsidTr="001A67AB">
        <w:tc>
          <w:tcPr>
            <w:tcW w:w="1913" w:type="dxa"/>
          </w:tcPr>
          <w:p w:rsidR="00FE51AC" w:rsidRPr="001969FD" w:rsidRDefault="00FE51AC" w:rsidP="001A67AB">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100 ml</w:t>
            </w:r>
          </w:p>
        </w:tc>
        <w:tc>
          <w:tcPr>
            <w:tcW w:w="2482" w:type="dxa"/>
          </w:tcPr>
          <w:p w:rsidR="00FE51AC" w:rsidRPr="001969FD" w:rsidRDefault="00FE51AC" w:rsidP="001A67AB">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100 ml</w:t>
            </w:r>
          </w:p>
        </w:tc>
      </w:tr>
      <w:tr w:rsidR="00FE51AC" w:rsidRPr="001969FD" w:rsidTr="001A67AB">
        <w:tc>
          <w:tcPr>
            <w:tcW w:w="1913" w:type="dxa"/>
          </w:tcPr>
          <w:p w:rsidR="00FE51AC" w:rsidRPr="001969FD" w:rsidRDefault="00FE51AC" w:rsidP="001A67AB">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 x 100 ml</w:t>
            </w:r>
          </w:p>
        </w:tc>
        <w:tc>
          <w:tcPr>
            <w:tcW w:w="2482" w:type="dxa"/>
          </w:tcPr>
          <w:p w:rsidR="00FE51AC" w:rsidRPr="001969FD" w:rsidRDefault="00FE51AC" w:rsidP="001A67AB">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 x 100 ml</w:t>
            </w:r>
            <w:r>
              <w:rPr>
                <w:rFonts w:ascii="Times New Roman" w:hAnsi="Times New Roman"/>
              </w:rPr>
              <w:t>, 20 x 100 ml</w:t>
            </w:r>
          </w:p>
        </w:tc>
      </w:tr>
      <w:tr w:rsidR="00FE51AC" w:rsidRPr="001969FD" w:rsidTr="001A67AB">
        <w:tc>
          <w:tcPr>
            <w:tcW w:w="1913" w:type="dxa"/>
          </w:tcPr>
          <w:p w:rsidR="00FE51AC" w:rsidRPr="001969FD" w:rsidRDefault="00FE51AC" w:rsidP="001A67AB">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250 ml</w:t>
            </w:r>
          </w:p>
        </w:tc>
        <w:tc>
          <w:tcPr>
            <w:tcW w:w="2482" w:type="dxa"/>
          </w:tcPr>
          <w:p w:rsidR="00FE51AC" w:rsidRPr="001969FD" w:rsidRDefault="00FE51AC" w:rsidP="001A67AB">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250 ml</w:t>
            </w:r>
          </w:p>
        </w:tc>
      </w:tr>
      <w:tr w:rsidR="00FE51AC" w:rsidRPr="001969FD" w:rsidTr="001A67AB">
        <w:tc>
          <w:tcPr>
            <w:tcW w:w="1913" w:type="dxa"/>
          </w:tcPr>
          <w:p w:rsidR="00FE51AC" w:rsidRPr="001969FD" w:rsidRDefault="00FE51AC" w:rsidP="001A67AB">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 x 250 ml</w:t>
            </w:r>
          </w:p>
        </w:tc>
        <w:tc>
          <w:tcPr>
            <w:tcW w:w="2482" w:type="dxa"/>
          </w:tcPr>
          <w:p w:rsidR="00FE51AC" w:rsidRPr="001969FD" w:rsidRDefault="00FE51AC" w:rsidP="001A67AB">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 x 250 ml</w:t>
            </w:r>
          </w:p>
        </w:tc>
      </w:tr>
      <w:tr w:rsidR="00FE51AC" w:rsidRPr="001969FD" w:rsidTr="001A67AB">
        <w:tc>
          <w:tcPr>
            <w:tcW w:w="1913" w:type="dxa"/>
          </w:tcPr>
          <w:p w:rsidR="00FE51AC" w:rsidRPr="001969FD" w:rsidRDefault="00FE51AC" w:rsidP="001A67AB">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500 ml</w:t>
            </w:r>
          </w:p>
        </w:tc>
        <w:tc>
          <w:tcPr>
            <w:tcW w:w="2482" w:type="dxa"/>
          </w:tcPr>
          <w:p w:rsidR="00FE51AC" w:rsidRPr="001969FD" w:rsidRDefault="00FE51AC" w:rsidP="001A67AB">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500 ml</w:t>
            </w:r>
          </w:p>
        </w:tc>
      </w:tr>
      <w:tr w:rsidR="00FE51AC" w:rsidRPr="001969FD" w:rsidTr="001A67AB">
        <w:tc>
          <w:tcPr>
            <w:tcW w:w="1913" w:type="dxa"/>
          </w:tcPr>
          <w:p w:rsidR="00FE51AC" w:rsidRPr="001969FD" w:rsidRDefault="00FE51AC" w:rsidP="001A67AB">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 x 500 ml</w:t>
            </w:r>
          </w:p>
        </w:tc>
        <w:tc>
          <w:tcPr>
            <w:tcW w:w="2482" w:type="dxa"/>
          </w:tcPr>
          <w:p w:rsidR="00FE51AC" w:rsidRDefault="00FE51AC" w:rsidP="001A67AB">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12 x 500 ml</w:t>
            </w:r>
          </w:p>
          <w:p w:rsidR="00FE51AC" w:rsidRDefault="00FE51AC" w:rsidP="001A67AB">
            <w:pPr>
              <w:tabs>
                <w:tab w:val="left" w:pos="567"/>
                <w:tab w:val="center" w:pos="4153"/>
                <w:tab w:val="right" w:pos="8306"/>
              </w:tabs>
              <w:spacing w:after="0" w:line="240" w:lineRule="auto"/>
              <w:rPr>
                <w:rFonts w:ascii="Times New Roman" w:hAnsi="Times New Roman"/>
              </w:rPr>
            </w:pPr>
            <w:r>
              <w:rPr>
                <w:rFonts w:ascii="Times New Roman" w:hAnsi="Times New Roman"/>
              </w:rPr>
              <w:t>1000 ml</w:t>
            </w:r>
          </w:p>
          <w:p w:rsidR="00FE51AC" w:rsidRPr="001969FD" w:rsidRDefault="00FE51AC" w:rsidP="001A67AB">
            <w:pPr>
              <w:tabs>
                <w:tab w:val="left" w:pos="567"/>
                <w:tab w:val="center" w:pos="4153"/>
                <w:tab w:val="right" w:pos="8306"/>
              </w:tabs>
              <w:spacing w:after="0" w:line="240" w:lineRule="auto"/>
              <w:rPr>
                <w:rFonts w:ascii="Times New Roman" w:hAnsi="Times New Roman"/>
              </w:rPr>
            </w:pPr>
            <w:r>
              <w:rPr>
                <w:rFonts w:ascii="Times New Roman" w:hAnsi="Times New Roman"/>
              </w:rPr>
              <w:t>6 x 1000 ml</w:t>
            </w:r>
          </w:p>
        </w:tc>
      </w:tr>
    </w:tbl>
    <w:p w:rsidR="00FE51AC" w:rsidRPr="001969FD" w:rsidRDefault="00FE51AC" w:rsidP="00FE51AC">
      <w:pPr>
        <w:tabs>
          <w:tab w:val="left" w:pos="567"/>
        </w:tabs>
        <w:spacing w:after="0" w:line="240" w:lineRule="auto"/>
        <w:rPr>
          <w:rFonts w:ascii="Times New Roman" w:hAnsi="Times New Roman"/>
          <w:b/>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Gali būti tiekiamos ne visų dydžių pakuotės.</w:t>
      </w:r>
    </w:p>
    <w:p w:rsidR="00FE51AC" w:rsidRPr="004055CC" w:rsidRDefault="00FE51AC" w:rsidP="00FE51AC">
      <w:pPr>
        <w:tabs>
          <w:tab w:val="left" w:pos="567"/>
        </w:tabs>
        <w:spacing w:after="0" w:line="240" w:lineRule="auto"/>
        <w:rPr>
          <w:rFonts w:ascii="Times New Roman" w:hAnsi="Times New Roman"/>
          <w:b/>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b/>
        </w:rPr>
        <w:t>Registruotojas ir gamintojas</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i/>
        </w:rPr>
      </w:pPr>
      <w:r w:rsidRPr="001969FD">
        <w:rPr>
          <w:rFonts w:ascii="Times New Roman" w:hAnsi="Times New Roman"/>
          <w:i/>
        </w:rPr>
        <w:t xml:space="preserve">Registruotojas </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Fresenius Kabi AB</w:t>
      </w:r>
    </w:p>
    <w:p w:rsidR="00FE51AC" w:rsidRPr="001969FD" w:rsidRDefault="00FE51AC" w:rsidP="00FE51AC">
      <w:pPr>
        <w:tabs>
          <w:tab w:val="left" w:pos="567"/>
          <w:tab w:val="left" w:pos="4005"/>
        </w:tabs>
        <w:spacing w:after="0" w:line="240" w:lineRule="auto"/>
        <w:rPr>
          <w:rFonts w:ascii="Times New Roman" w:hAnsi="Times New Roman"/>
        </w:rPr>
      </w:pPr>
      <w:r w:rsidRPr="001969FD">
        <w:rPr>
          <w:rFonts w:ascii="Times New Roman" w:hAnsi="Times New Roman"/>
        </w:rPr>
        <w:t>SE-751 74 Uppsala</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Švedija</w:t>
      </w:r>
    </w:p>
    <w:p w:rsidR="00FE51AC" w:rsidRPr="001969FD" w:rsidRDefault="00FE51AC" w:rsidP="00FE51AC">
      <w:pPr>
        <w:tabs>
          <w:tab w:val="left" w:pos="567"/>
        </w:tabs>
        <w:spacing w:after="0" w:line="240" w:lineRule="auto"/>
        <w:rPr>
          <w:rFonts w:ascii="Times New Roman" w:hAnsi="Times New Roman"/>
          <w:b/>
        </w:rPr>
      </w:pPr>
    </w:p>
    <w:p w:rsidR="00FE51AC" w:rsidRPr="001969FD" w:rsidRDefault="00FE51AC" w:rsidP="00FE51AC">
      <w:pPr>
        <w:tabs>
          <w:tab w:val="left" w:pos="567"/>
        </w:tabs>
        <w:spacing w:after="0" w:line="240" w:lineRule="auto"/>
        <w:rPr>
          <w:rFonts w:ascii="Times New Roman" w:hAnsi="Times New Roman"/>
          <w:i/>
        </w:rPr>
      </w:pPr>
      <w:r w:rsidRPr="001969FD">
        <w:rPr>
          <w:rFonts w:ascii="Times New Roman" w:hAnsi="Times New Roman"/>
          <w:i/>
        </w:rPr>
        <w:t>Gamintojas</w:t>
      </w:r>
    </w:p>
    <w:p w:rsidR="00FE51AC" w:rsidRPr="001969FD" w:rsidRDefault="00FE51AC" w:rsidP="00FE51AC">
      <w:pPr>
        <w:tabs>
          <w:tab w:val="left" w:pos="567"/>
        </w:tabs>
        <w:spacing w:after="0" w:line="240" w:lineRule="auto"/>
        <w:rPr>
          <w:rFonts w:ascii="Times New Roman" w:hAnsi="Times New Roman"/>
          <w:i/>
          <w:u w:val="single"/>
        </w:rPr>
      </w:pPr>
      <w:r w:rsidRPr="001969FD">
        <w:rPr>
          <w:rFonts w:ascii="Times New Roman" w:hAnsi="Times New Roman"/>
          <w:i/>
          <w:u w:val="single"/>
        </w:rPr>
        <w:lastRenderedPageBreak/>
        <w:t>SMOFlipid 20 % infuzinė emulsija</w:t>
      </w:r>
      <w:r w:rsidRPr="001969FD">
        <w:rPr>
          <w:rFonts w:ascii="Times New Roman" w:hAnsi="Times New Roman"/>
          <w:i/>
        </w:rPr>
        <w:t xml:space="preserve">, </w:t>
      </w:r>
      <w:r w:rsidRPr="001969FD">
        <w:rPr>
          <w:rFonts w:ascii="Times New Roman" w:hAnsi="Times New Roman"/>
          <w:i/>
          <w:u w:val="single"/>
        </w:rPr>
        <w:t>tiekiama buteliukais</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Fresenius Kabi Austria GmbH</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Hafnerstrasse 36, A-8055 Graz</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Austrija</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i/>
          <w:u w:val="single"/>
        </w:rPr>
      </w:pPr>
      <w:r w:rsidRPr="001969FD">
        <w:rPr>
          <w:rFonts w:ascii="Times New Roman" w:hAnsi="Times New Roman"/>
          <w:i/>
          <w:u w:val="single"/>
        </w:rPr>
        <w:t>SMOFlipid 20 % infuzinė emulsija, tiekiama plastiko maišeliais</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Fresenius Kabi AB</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Rapsgatan 7,</w:t>
      </w:r>
      <w:r w:rsidRPr="001969FD">
        <w:rPr>
          <w:rFonts w:ascii="Times New Roman" w:hAnsi="Times New Roman"/>
        </w:rPr>
        <w:tab/>
        <w:t>SE-751 74 Uppsala</w:t>
      </w:r>
    </w:p>
    <w:p w:rsidR="00FE51AC" w:rsidRPr="001969FD" w:rsidRDefault="00FE51AC" w:rsidP="00FE51AC">
      <w:pPr>
        <w:tabs>
          <w:tab w:val="left" w:pos="567"/>
          <w:tab w:val="left" w:pos="900"/>
        </w:tabs>
        <w:spacing w:after="0" w:line="240" w:lineRule="auto"/>
        <w:rPr>
          <w:rFonts w:ascii="Times New Roman" w:hAnsi="Times New Roman"/>
        </w:rPr>
      </w:pPr>
      <w:r w:rsidRPr="001969FD">
        <w:rPr>
          <w:rFonts w:ascii="Times New Roman" w:hAnsi="Times New Roman"/>
        </w:rPr>
        <w:t>Švedija</w:t>
      </w:r>
    </w:p>
    <w:p w:rsidR="00FE51AC" w:rsidRPr="001969FD" w:rsidRDefault="00FE51AC" w:rsidP="00FE51AC">
      <w:pPr>
        <w:tabs>
          <w:tab w:val="left" w:pos="567"/>
        </w:tabs>
        <w:spacing w:after="0" w:line="240" w:lineRule="auto"/>
        <w:rPr>
          <w:rFonts w:ascii="Times New Roman" w:hAnsi="Times New Roman"/>
          <w:b/>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Jeigu apie šį vaistą norite sužinoti daugiau, kreipkitės į vietinį registruotojo atstovą.</w:t>
      </w:r>
    </w:p>
    <w:p w:rsidR="00FE51AC" w:rsidRPr="001969FD" w:rsidRDefault="00FE51AC" w:rsidP="00FE51AC">
      <w:pPr>
        <w:tabs>
          <w:tab w:val="left" w:pos="567"/>
        </w:tabs>
        <w:spacing w:after="0" w:line="240" w:lineRule="auto"/>
        <w:rPr>
          <w:rFonts w:ascii="Times New Roman" w:hAnsi="Times New Roman"/>
        </w:rPr>
      </w:pPr>
    </w:p>
    <w:p w:rsidR="00FE51AC" w:rsidRPr="0042331B" w:rsidRDefault="00FE51AC" w:rsidP="00FE51AC">
      <w:pPr>
        <w:pStyle w:val="Antrats"/>
        <w:tabs>
          <w:tab w:val="left" w:pos="567"/>
        </w:tabs>
        <w:rPr>
          <w:szCs w:val="22"/>
        </w:rPr>
      </w:pPr>
      <w:r w:rsidRPr="0042331B">
        <w:rPr>
          <w:szCs w:val="22"/>
        </w:rPr>
        <w:t>UAB „Fresenius Kabi Baltics“</w:t>
      </w:r>
    </w:p>
    <w:p w:rsidR="00FE51AC" w:rsidRPr="0042331B" w:rsidRDefault="00FE51AC" w:rsidP="00FE51AC">
      <w:pPr>
        <w:pStyle w:val="Antrats"/>
        <w:tabs>
          <w:tab w:val="left" w:pos="567"/>
        </w:tabs>
        <w:rPr>
          <w:szCs w:val="22"/>
        </w:rPr>
      </w:pPr>
      <w:r w:rsidRPr="0042331B">
        <w:rPr>
          <w:szCs w:val="22"/>
        </w:rPr>
        <w:t>J. Basanavičiaus g. 26</w:t>
      </w:r>
    </w:p>
    <w:p w:rsidR="00FE51AC" w:rsidRPr="0042331B" w:rsidRDefault="00FE51AC" w:rsidP="00FE51AC">
      <w:pPr>
        <w:tabs>
          <w:tab w:val="left" w:pos="567"/>
        </w:tabs>
        <w:spacing w:after="0"/>
        <w:rPr>
          <w:rFonts w:ascii="Times New Roman" w:hAnsi="Times New Roman" w:cs="Times New Roman"/>
        </w:rPr>
      </w:pPr>
      <w:r w:rsidRPr="0042331B">
        <w:rPr>
          <w:rFonts w:ascii="Times New Roman" w:hAnsi="Times New Roman" w:cs="Times New Roman"/>
        </w:rPr>
        <w:t>LT-03244, Vilnius</w:t>
      </w:r>
    </w:p>
    <w:p w:rsidR="00FE51AC" w:rsidRPr="0042331B" w:rsidRDefault="00FE51AC" w:rsidP="00FE51AC">
      <w:pPr>
        <w:pStyle w:val="Antrats"/>
        <w:tabs>
          <w:tab w:val="left" w:pos="567"/>
        </w:tabs>
        <w:rPr>
          <w:szCs w:val="22"/>
        </w:rPr>
      </w:pPr>
      <w:r w:rsidRPr="0042331B">
        <w:rPr>
          <w:szCs w:val="22"/>
        </w:rPr>
        <w:t>Lietuva</w:t>
      </w:r>
    </w:p>
    <w:p w:rsidR="00FE51AC" w:rsidRPr="0042331B" w:rsidRDefault="00FE51AC" w:rsidP="00FE51AC">
      <w:pPr>
        <w:pStyle w:val="Antrats"/>
        <w:tabs>
          <w:tab w:val="left" w:pos="567"/>
        </w:tabs>
        <w:rPr>
          <w:szCs w:val="22"/>
        </w:rPr>
      </w:pPr>
      <w:r w:rsidRPr="0042331B">
        <w:rPr>
          <w:szCs w:val="22"/>
        </w:rPr>
        <w:t>Tel. +370 5 252 3213</w:t>
      </w:r>
    </w:p>
    <w:p w:rsidR="00FE51AC" w:rsidRPr="0042331B" w:rsidRDefault="00FE51AC" w:rsidP="00FE51AC">
      <w:pPr>
        <w:pStyle w:val="Antrats"/>
        <w:tabs>
          <w:tab w:val="left" w:pos="567"/>
        </w:tabs>
        <w:rPr>
          <w:b/>
          <w:szCs w:val="22"/>
        </w:rPr>
      </w:pPr>
      <w:r w:rsidRPr="0042331B">
        <w:rPr>
          <w:szCs w:val="22"/>
        </w:rPr>
        <w:t>Faksas +370 5 260 8696</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b/>
        </w:rPr>
        <w:t>Šis vaistas EEE valstybėse narėse registruotas tokiais pavadinimais:</w:t>
      </w:r>
    </w:p>
    <w:p w:rsidR="00FE51AC" w:rsidRPr="001969FD" w:rsidRDefault="00FE51AC" w:rsidP="00FE51AC">
      <w:pPr>
        <w:keepNext/>
        <w:tabs>
          <w:tab w:val="left" w:pos="567"/>
        </w:tabs>
        <w:spacing w:after="0" w:line="240" w:lineRule="auto"/>
        <w:rPr>
          <w:rFonts w:ascii="Times New Roman" w:hAnsi="Times New Roman"/>
        </w:rPr>
      </w:pPr>
    </w:p>
    <w:p w:rsidR="00FE51AC" w:rsidRPr="001969FD" w:rsidRDefault="00FE51AC" w:rsidP="00FE51AC">
      <w:pPr>
        <w:keepNext/>
        <w:tabs>
          <w:tab w:val="left" w:pos="567"/>
        </w:tabs>
        <w:spacing w:after="0" w:line="240" w:lineRule="auto"/>
        <w:rPr>
          <w:rFonts w:ascii="Times New Roman" w:hAnsi="Times New Roman"/>
        </w:rPr>
      </w:pPr>
      <w:r w:rsidRPr="001969FD">
        <w:rPr>
          <w:rFonts w:ascii="Times New Roman" w:hAnsi="Times New Roman"/>
        </w:rPr>
        <w:t>Austrija, Belgija, Suomija, Prancūzija, Vokietija, Islandija, Airija, Olandija, Norvegija, Slovėnija, Švedija, Jungtinė Karalystė: SMOFlipid 200 mg/ml.</w:t>
      </w:r>
    </w:p>
    <w:p w:rsidR="00FE51AC" w:rsidRPr="001969FD" w:rsidRDefault="00FE51AC" w:rsidP="00FE51AC">
      <w:pPr>
        <w:keepNext/>
        <w:tabs>
          <w:tab w:val="left" w:pos="567"/>
        </w:tabs>
        <w:spacing w:after="0" w:line="240" w:lineRule="auto"/>
        <w:rPr>
          <w:rFonts w:ascii="Times New Roman" w:hAnsi="Times New Roman"/>
        </w:rPr>
      </w:pPr>
    </w:p>
    <w:p w:rsidR="00FE51AC" w:rsidRPr="001969FD" w:rsidRDefault="00FE51AC" w:rsidP="00FE51AC">
      <w:pPr>
        <w:spacing w:after="0" w:line="240" w:lineRule="auto"/>
        <w:rPr>
          <w:rFonts w:ascii="Times New Roman" w:hAnsi="Times New Roman"/>
        </w:rPr>
      </w:pPr>
      <w:r w:rsidRPr="001969FD">
        <w:rPr>
          <w:rFonts w:ascii="Times New Roman" w:hAnsi="Times New Roman"/>
        </w:rPr>
        <w:t>Kipras, Čekijos Respublika, Estija, Graikija, Vengrija, Latvija, Lietuva, Liuksemburgas, Ispanija: SMOFlipid 20 %.</w:t>
      </w:r>
    </w:p>
    <w:p w:rsidR="00FE51AC" w:rsidRPr="001969FD" w:rsidRDefault="00FE51AC" w:rsidP="00FE51AC">
      <w:pPr>
        <w:keepNext/>
        <w:tabs>
          <w:tab w:val="left" w:pos="567"/>
        </w:tabs>
        <w:spacing w:after="0" w:line="240" w:lineRule="auto"/>
        <w:rPr>
          <w:rFonts w:ascii="Times New Roman" w:hAnsi="Times New Roman"/>
        </w:rPr>
      </w:pPr>
    </w:p>
    <w:p w:rsidR="00FE51AC" w:rsidRPr="001969FD" w:rsidRDefault="00FE51AC" w:rsidP="00FE51AC">
      <w:pPr>
        <w:spacing w:after="0" w:line="240" w:lineRule="auto"/>
        <w:rPr>
          <w:rFonts w:ascii="Times New Roman" w:hAnsi="Times New Roman"/>
        </w:rPr>
      </w:pPr>
      <w:r w:rsidRPr="001969FD">
        <w:rPr>
          <w:rFonts w:ascii="Times New Roman" w:hAnsi="Times New Roman"/>
        </w:rPr>
        <w:t>Slovakija, Lenkija, Portugalija, Danija: SMOFlipid.</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b/>
        </w:rPr>
        <w:t>Šis pakuotės lapelis paskutinį kartą peržiūrėtas</w:t>
      </w:r>
      <w:r>
        <w:rPr>
          <w:rFonts w:ascii="Times New Roman" w:hAnsi="Times New Roman"/>
          <w:b/>
        </w:rPr>
        <w:t xml:space="preserve"> 2020-11-24.</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numPr>
          <w:ilvl w:val="12"/>
          <w:numId w:val="0"/>
        </w:numPr>
        <w:tabs>
          <w:tab w:val="left" w:pos="567"/>
        </w:tabs>
        <w:spacing w:after="0" w:line="240" w:lineRule="auto"/>
        <w:ind w:right="-2"/>
        <w:rPr>
          <w:rFonts w:ascii="Times New Roman" w:hAnsi="Times New Roman"/>
        </w:rPr>
      </w:pPr>
      <w:r w:rsidRPr="001969FD">
        <w:rPr>
          <w:rFonts w:ascii="Times New Roman" w:hAnsi="Times New Roman"/>
        </w:rPr>
        <w:t>Išsami informacija apie šį vaistą pateikiama Valstybinės vaistų kontrolės tarnybos prie Lietuvos Respublikos sveikatos apsaugos ministerijos tinklalapyje</w:t>
      </w:r>
      <w:r w:rsidRPr="001969FD">
        <w:rPr>
          <w:rFonts w:ascii="Times New Roman" w:hAnsi="Times New Roman"/>
          <w:i/>
        </w:rPr>
        <w:t xml:space="preserve"> </w:t>
      </w:r>
      <w:hyperlink r:id="rId7" w:history="1">
        <w:r w:rsidRPr="001969FD">
          <w:rPr>
            <w:rFonts w:ascii="Times New Roman" w:hAnsi="Times New Roman"/>
            <w:color w:val="0000FF"/>
            <w:u w:val="single"/>
          </w:rPr>
          <w:t>http://www.vvkt.lt/</w:t>
        </w:r>
      </w:hyperlink>
      <w:r w:rsidRPr="001969FD">
        <w:rPr>
          <w:rFonts w:ascii="Times New Roman" w:hAnsi="Times New Roman"/>
        </w:rPr>
        <w:t>.</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numPr>
          <w:ilvl w:val="12"/>
          <w:numId w:val="0"/>
        </w:numPr>
        <w:spacing w:after="0" w:line="240" w:lineRule="auto"/>
        <w:ind w:right="-2"/>
        <w:rPr>
          <w:rFonts w:ascii="Times New Roman" w:hAnsi="Times New Roman"/>
        </w:rPr>
      </w:pPr>
      <w:r w:rsidRPr="001969FD">
        <w:rPr>
          <w:rFonts w:ascii="Times New Roman" w:hAnsi="Times New Roman"/>
        </w:rPr>
        <w:t>---------------------------------------------------------------------------------------------------------------------------</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Toliau pateikta informacija skirta tik sveikatos priežiūros specialistams</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b/>
        </w:rPr>
        <w:t>Įspėjimai ir atsargumo priemonės</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 xml:space="preserve">Infuzijos metu trigliceridų koncentracija serume neturėtų viršyti 3 mmol/l. Jei preparato perdozuojama, gali pasireikšti riebalų perdozavimo sindromas. Ypatingai atidžiai reikia stebėti pacientus, kuriems yra didelė hiperlipidemijos rizika (pvz., pacientus, kuriems skiriama daug lipidų, sergančius sunkiu sepsiu arba kūdikius, gimusius ypač mažo svorio). </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Infuzavus vien vidutinės grandinės riebalų rūgščių, gali pasireikšti metabolinė acidozė. Tokį pavojų galima efektyviai pašalinti kartu infuzuojant ilgos grandinės riebalų rūgščių, kurių yra SMOFlipid sudėtyje. Jei kartu infuzuojama angliavandenių, pavojus dar labiau sumažėja. Taigi, rekomenduojama infuzuoti kartu angliavandenių arba aminorūgščių tirpalų, kuriuose yra angliavandenių. Būtina reguliariai atlikti daugiausia su intraveninės mitybos kontrole susijusius laboratorinius tyrimus, įskaitant gliukozės koncentracijos kraujyje, kepenų funkcijos rodiklių, rūgščių ir šarmų metabolizmo, skysčių balanso, elektrolitų kiekio nustatymą bei bendrąjį kraujo tyrimą.</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Šiame vaistiniame preparate yra sojų aliejaus, žuvų taukų ir kiaušinių fosfolipidų. Minėtos medžiagos retais atvejais gali sukelti alerginę reakciją. Pastebėta, kad tarp sojų ir žemės riešutų gali pasireikšti kryžminė alerginė reakcija.</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Jei atsiranda bet koks anafilaksinės reakcijos požymis ar simptomas (pvz., karščiavimas, šaltkrėtis, išbėrimas ar dusulys), infuziją būtina nedelsiant nutraukti.</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 xml:space="preserve">SMOFlipid reikia atsargiai skirti naujagimiams bei neišnešiotiems naujagimiams, kuriems yra hiperbilirubinemija, ir tais atvejais, kai yra plautinė hipertenzija. Jei naujagimiai, ypač neišnešioti, yra ilgai maitinami parenteriniu būdu, reikia nuolat tirti jų trombocitų skaičių kraujyje, kepenų funkcijos rodiklius bei stebėti trigliceridų koncentraciją serume. </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1000 ml SMOFlipid sudėtyje yra iki 5 mmol natrio. Į tai būtina atsižvelgti pacientams, kurie kontroliuoja natrio kiekį kraujyje.</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Paprastai SMOFlipid maišyti su kitais vaistiniais preparatais arba medžiagomis draudžiama, išskyrus tuos atvejus, jei jų suderinamumas žinomas.</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b/>
        </w:rPr>
      </w:pPr>
      <w:r w:rsidRPr="001969FD">
        <w:rPr>
          <w:rFonts w:ascii="Times New Roman" w:hAnsi="Times New Roman"/>
          <w:b/>
        </w:rPr>
        <w:t>Vartojimo metodas</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Infuzuojama į periferinę arba centrinę veną.</w:t>
      </w:r>
    </w:p>
    <w:p w:rsidR="00FE51AC" w:rsidRPr="00281FA7" w:rsidRDefault="00FE51AC" w:rsidP="00FE51AC">
      <w:pPr>
        <w:tabs>
          <w:tab w:val="left" w:pos="567"/>
        </w:tabs>
        <w:spacing w:after="0" w:line="240" w:lineRule="auto"/>
        <w:rPr>
          <w:rFonts w:ascii="Times New Roman" w:hAnsi="Times New Roman"/>
        </w:rPr>
      </w:pPr>
      <w:r w:rsidRPr="00281FA7">
        <w:rPr>
          <w:rFonts w:ascii="Times New Roman" w:hAnsi="Times New Roman"/>
        </w:rPr>
        <w:t>Kai vaistinis preparatas lašinamas naujagimiams ir jaunesniems kaip 2 metų vaikams, tirpalas (maišeliuose ir infuzijos rinkiniuose) turi būti apsaugotas nuo šviesos, kol infuzija bus užbaigta.</w:t>
      </w:r>
    </w:p>
    <w:p w:rsidR="00FE51AC" w:rsidRPr="00281FA7" w:rsidRDefault="00FE51AC" w:rsidP="00FE51AC">
      <w:pPr>
        <w:tabs>
          <w:tab w:val="left" w:pos="567"/>
        </w:tabs>
        <w:spacing w:after="0" w:line="240" w:lineRule="auto"/>
        <w:rPr>
          <w:rFonts w:ascii="Times New Roman" w:hAnsi="Times New Roman"/>
        </w:rPr>
      </w:pPr>
    </w:p>
    <w:p w:rsidR="00FE51AC" w:rsidRPr="001969FD" w:rsidRDefault="00FE51AC" w:rsidP="00FE51AC">
      <w:pPr>
        <w:keepNext/>
        <w:keepLines/>
        <w:tabs>
          <w:tab w:val="left" w:pos="567"/>
        </w:tabs>
        <w:spacing w:after="0" w:line="240" w:lineRule="auto"/>
        <w:rPr>
          <w:rFonts w:ascii="Times New Roman" w:hAnsi="Times New Roman"/>
          <w:b/>
        </w:rPr>
      </w:pPr>
      <w:r w:rsidRPr="001969FD">
        <w:rPr>
          <w:rFonts w:ascii="Times New Roman" w:hAnsi="Times New Roman"/>
          <w:b/>
        </w:rPr>
        <w:t>Specialūs reikalavimai atliekoms tvarkyti ir vaistiniam preparatui ruošti</w:t>
      </w:r>
    </w:p>
    <w:p w:rsidR="00FE51AC" w:rsidRPr="00281FA7" w:rsidRDefault="00FE51AC" w:rsidP="00FE51AC">
      <w:pPr>
        <w:tabs>
          <w:tab w:val="left" w:pos="567"/>
        </w:tabs>
        <w:spacing w:after="0" w:line="240" w:lineRule="auto"/>
        <w:rPr>
          <w:rFonts w:ascii="Times New Roman" w:hAnsi="Times New Roman"/>
        </w:rPr>
      </w:pPr>
    </w:p>
    <w:p w:rsidR="00FE51AC" w:rsidRPr="00281FA7" w:rsidRDefault="00FE51AC" w:rsidP="00FE51AC">
      <w:pPr>
        <w:tabs>
          <w:tab w:val="left" w:pos="567"/>
        </w:tabs>
        <w:spacing w:after="0" w:line="240" w:lineRule="auto"/>
        <w:rPr>
          <w:rFonts w:ascii="Times New Roman" w:hAnsi="Times New Roman"/>
          <w:b/>
          <w:i/>
        </w:rPr>
      </w:pPr>
      <w:r w:rsidRPr="00281FA7">
        <w:rPr>
          <w:rFonts w:ascii="Times New Roman" w:hAnsi="Times New Roman"/>
          <w:b/>
          <w:i/>
        </w:rPr>
        <w:t>Specialūs įspėjimai ir atsargumo priemonės</w:t>
      </w:r>
    </w:p>
    <w:p w:rsidR="00FE51AC" w:rsidRPr="001969FD" w:rsidRDefault="00FE51AC" w:rsidP="00FE51AC">
      <w:pPr>
        <w:keepNext/>
        <w:keepLines/>
        <w:tabs>
          <w:tab w:val="left" w:pos="567"/>
        </w:tabs>
        <w:spacing w:after="0" w:line="240" w:lineRule="auto"/>
        <w:rPr>
          <w:rFonts w:ascii="Times New Roman" w:hAnsi="Times New Roman"/>
          <w:i/>
          <w:u w:val="single"/>
        </w:rPr>
      </w:pPr>
      <w:r w:rsidRPr="001969FD">
        <w:rPr>
          <w:rFonts w:ascii="Times New Roman" w:hAnsi="Times New Roman"/>
        </w:rPr>
        <w:t>Vartoti galima tik homogeninę emulsiją.</w:t>
      </w:r>
      <w:r w:rsidRPr="001969FD">
        <w:rPr>
          <w:rFonts w:ascii="Times New Roman" w:hAnsi="Times New Roman"/>
          <w:i/>
          <w:u w:val="single"/>
        </w:rPr>
        <w:t xml:space="preserve"> </w:t>
      </w:r>
    </w:p>
    <w:p w:rsidR="00FE51AC" w:rsidRPr="00281FA7" w:rsidRDefault="00FE51AC" w:rsidP="00FE51AC">
      <w:pPr>
        <w:tabs>
          <w:tab w:val="left" w:pos="567"/>
        </w:tabs>
        <w:spacing w:after="0" w:line="240" w:lineRule="auto"/>
        <w:rPr>
          <w:rFonts w:ascii="Times New Roman" w:hAnsi="Times New Roman"/>
        </w:rPr>
      </w:pPr>
    </w:p>
    <w:p w:rsidR="00FE51AC" w:rsidRPr="00281FA7" w:rsidRDefault="00FE51AC" w:rsidP="00FE51AC">
      <w:pPr>
        <w:tabs>
          <w:tab w:val="left" w:pos="567"/>
        </w:tabs>
        <w:spacing w:after="0" w:line="240" w:lineRule="auto"/>
        <w:rPr>
          <w:rFonts w:ascii="Times New Roman" w:hAnsi="Times New Roman"/>
        </w:rPr>
      </w:pPr>
      <w:r w:rsidRPr="00281FA7">
        <w:rPr>
          <w:rFonts w:ascii="Times New Roman" w:hAnsi="Times New Roman"/>
        </w:rPr>
        <w:t xml:space="preserve">Šviesos poveikis intraveninei parenterinei mitybai skirtiems tirpalams, ypač po to, kai į juos įmaišoma mikroelementų ir (arba) vitaminų, gali turėti neigiamos įtakos naujagimių klinikiniams gydymo rezultatams, nes juose gali susidaryti peroksidų ir kitų degradacijos produktų. Kai vaistinis preparatas lašinamas naujagimiams ir jaunesniems kaip 2 metų vaikams, </w:t>
      </w:r>
      <w:r w:rsidRPr="001969FD">
        <w:rPr>
          <w:rFonts w:ascii="Times New Roman" w:hAnsi="Times New Roman"/>
        </w:rPr>
        <w:t>SMOFlipid</w:t>
      </w:r>
      <w:r w:rsidRPr="00281FA7">
        <w:rPr>
          <w:rFonts w:ascii="Times New Roman" w:hAnsi="Times New Roman"/>
        </w:rPr>
        <w:t xml:space="preserve"> turi būti apsaugotas nuo aplinkos šviesos, kol infuzija bus užbaigta.</w:t>
      </w:r>
    </w:p>
    <w:p w:rsidR="00FE51AC" w:rsidRPr="00281FA7" w:rsidRDefault="00FE51AC" w:rsidP="00FE51AC">
      <w:pPr>
        <w:tabs>
          <w:tab w:val="left" w:pos="567"/>
        </w:tabs>
        <w:spacing w:after="0" w:line="240" w:lineRule="auto"/>
        <w:rPr>
          <w:rFonts w:ascii="Times New Roman" w:hAnsi="Times New Roman"/>
        </w:rPr>
      </w:pPr>
    </w:p>
    <w:p w:rsidR="00FE51AC" w:rsidRPr="001969FD" w:rsidRDefault="00FE51AC" w:rsidP="00FE51AC">
      <w:pPr>
        <w:keepNext/>
        <w:keepLines/>
        <w:tabs>
          <w:tab w:val="left" w:pos="567"/>
        </w:tabs>
        <w:spacing w:after="0" w:line="240" w:lineRule="auto"/>
        <w:rPr>
          <w:rFonts w:ascii="Times New Roman" w:hAnsi="Times New Roman"/>
        </w:rPr>
      </w:pPr>
      <w:r w:rsidRPr="001969FD">
        <w:rPr>
          <w:rFonts w:ascii="Times New Roman" w:hAnsi="Times New Roman"/>
          <w:i/>
          <w:u w:val="single"/>
        </w:rPr>
        <w:t>Infuzijos m</w:t>
      </w:r>
      <w:r w:rsidRPr="001969FD">
        <w:rPr>
          <w:rFonts w:ascii="Times New Roman" w:hAnsi="Times New Roman"/>
          <w:i/>
        </w:rPr>
        <w:t>aišelis</w:t>
      </w:r>
      <w:r w:rsidRPr="001969FD">
        <w:rPr>
          <w:rFonts w:ascii="Times New Roman" w:hAnsi="Times New Roman"/>
          <w:i/>
          <w:u w:val="single"/>
        </w:rPr>
        <w:t>.</w:t>
      </w:r>
      <w:r w:rsidRPr="001969FD">
        <w:rPr>
          <w:rFonts w:ascii="Times New Roman" w:hAnsi="Times New Roman"/>
        </w:rPr>
        <w:t xml:space="preserve"> Prieš nutraukiant nuo vidinio maišelio apvalkalą, reikia įsitikinti, ar nepakitusi vientisumo indikatoriaus (Oxalert) spalva. Jei indikatorius pajuodęs, vadinasi, deguonis prasiskverbė pro apvalkalą. Tokiu atveju preparatą būtina išmesti. Prieš vartojimą reikia apžiūrėti, ar emulsijos fazės neatsiskyrė. Reikia įsitikinti, kad nėra jokių emulsijos fazių atsiskyrimo požymių. Preparatas yra vienkartinis. Nesuvartotą emulsiją reikia išpilti.</w:t>
      </w:r>
    </w:p>
    <w:p w:rsidR="00FE51AC" w:rsidRPr="001969FD" w:rsidRDefault="00FE51AC" w:rsidP="00FE51AC">
      <w:pPr>
        <w:keepNext/>
        <w:tabs>
          <w:tab w:val="left" w:pos="567"/>
        </w:tabs>
        <w:spacing w:after="0" w:line="240" w:lineRule="auto"/>
        <w:outlineLvl w:val="5"/>
        <w:rPr>
          <w:rFonts w:ascii="Times New Roman" w:hAnsi="Times New Roman"/>
        </w:rPr>
      </w:pPr>
      <w:r w:rsidRPr="001969FD">
        <w:rPr>
          <w:rFonts w:ascii="Times New Roman" w:hAnsi="Times New Roman"/>
          <w:i/>
        </w:rPr>
        <w:t>Priedai</w:t>
      </w:r>
      <w:r w:rsidRPr="001969FD">
        <w:rPr>
          <w:rFonts w:ascii="Times New Roman" w:hAnsi="Times New Roman"/>
          <w:i/>
          <w:u w:val="single"/>
        </w:rPr>
        <w:t>.</w:t>
      </w:r>
      <w:r w:rsidRPr="001969FD">
        <w:rPr>
          <w:rFonts w:ascii="Times New Roman" w:hAnsi="Times New Roman"/>
        </w:rPr>
        <w:t xml:space="preserve"> SMOFlipid aseptinėmis sąlygomis galima maišyti su aminorūgščių, gliukozės ir elektrolitų tirpalais. Tokiu būdu pagaminamas mišinys „Viskas viename”, skirtas pilnavertei parenterinei mitybai.</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Jei pageidaujama, duomenis apie skirtingų priedų suderinamumą ir skirtingų mišinių laikymo trukmę pateikia rinkodaros teisės turėtojas. Priedus būtina ruošti laikantis aseptikos reikalavimų. Po infuzijos likusius emulsijos likučius būtina išmesti.</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tabs>
          <w:tab w:val="left" w:pos="567"/>
        </w:tabs>
        <w:spacing w:after="0" w:line="240" w:lineRule="auto"/>
        <w:rPr>
          <w:rFonts w:ascii="Times New Roman" w:hAnsi="Times New Roman"/>
          <w:u w:val="single"/>
        </w:rPr>
      </w:pPr>
      <w:r w:rsidRPr="001969FD">
        <w:rPr>
          <w:rFonts w:ascii="Times New Roman" w:hAnsi="Times New Roman"/>
          <w:u w:val="single"/>
        </w:rPr>
        <w:t>Negalima laikyti didesnėje, kaip 25 °C temperatūroje, negalima užšaldyti.</w:t>
      </w:r>
    </w:p>
    <w:p w:rsidR="00FE51AC" w:rsidRPr="001969FD" w:rsidRDefault="00FE51AC" w:rsidP="00FE51AC">
      <w:pPr>
        <w:tabs>
          <w:tab w:val="left" w:pos="567"/>
        </w:tabs>
        <w:spacing w:after="0" w:line="240" w:lineRule="auto"/>
        <w:rPr>
          <w:rFonts w:ascii="Times New Roman" w:hAnsi="Times New Roman"/>
          <w:u w:val="single"/>
        </w:rPr>
      </w:pPr>
      <w:r w:rsidRPr="001969FD">
        <w:rPr>
          <w:rFonts w:ascii="Times New Roman" w:hAnsi="Times New Roman"/>
          <w:u w:val="single"/>
        </w:rPr>
        <w:t>Tinkamumo laikas, sumaišius preparatą su priedais</w:t>
      </w:r>
    </w:p>
    <w:p w:rsidR="00FE51AC" w:rsidRPr="001969FD" w:rsidRDefault="00FE51AC" w:rsidP="00FE51AC">
      <w:pPr>
        <w:tabs>
          <w:tab w:val="left" w:pos="567"/>
        </w:tabs>
        <w:spacing w:after="0" w:line="240" w:lineRule="auto"/>
        <w:rPr>
          <w:rFonts w:ascii="Times New Roman" w:hAnsi="Times New Roman"/>
        </w:rPr>
      </w:pPr>
      <w:r w:rsidRPr="001969FD">
        <w:rPr>
          <w:rFonts w:ascii="Times New Roman" w:hAnsi="Times New Roman"/>
        </w:rPr>
        <w:t>Mikrobiologiniu požiūriu mišinį būtina vartoti tuoj pat. Jei tuoj pat suvartoti negalima, už paruošto infuzuoti mišinio laikymo laiką ir sąlygas atsako vartotojas. Tokiu atveju mišinį reikia laikyti 2 </w:t>
      </w:r>
      <w:r w:rsidRPr="001969FD">
        <w:rPr>
          <w:rFonts w:ascii="Times New Roman" w:hAnsi="Times New Roman"/>
        </w:rPr>
        <w:sym w:font="Symbol" w:char="F0B0"/>
      </w:r>
      <w:r w:rsidRPr="001969FD">
        <w:rPr>
          <w:rFonts w:ascii="Times New Roman" w:hAnsi="Times New Roman"/>
        </w:rPr>
        <w:t>C – 8 </w:t>
      </w:r>
      <w:r w:rsidRPr="001969FD">
        <w:rPr>
          <w:rFonts w:ascii="Times New Roman" w:hAnsi="Times New Roman"/>
        </w:rPr>
        <w:sym w:font="Symbol" w:char="F0B0"/>
      </w:r>
      <w:r w:rsidRPr="001969FD">
        <w:rPr>
          <w:rFonts w:ascii="Times New Roman" w:hAnsi="Times New Roman"/>
        </w:rPr>
        <w:t>C temperatūroje, tačiau ne ilgiau kaip 24 val., nebent priedai buvo ruošiami aseptinėmis kontroliuojamomis ir validuotomis sąlygomis.</w:t>
      </w:r>
    </w:p>
    <w:p w:rsidR="00FE51AC" w:rsidRDefault="00FE51AC" w:rsidP="00FE51AC">
      <w:pPr>
        <w:tabs>
          <w:tab w:val="left" w:pos="567"/>
        </w:tabs>
        <w:spacing w:after="0" w:line="240" w:lineRule="auto"/>
        <w:rPr>
          <w:rFonts w:ascii="Times New Roman" w:hAnsi="Times New Roman"/>
        </w:rPr>
      </w:pPr>
    </w:p>
    <w:p w:rsidR="00FE51AC" w:rsidRPr="00281FA7" w:rsidRDefault="00FE51AC" w:rsidP="00FE51AC">
      <w:pPr>
        <w:tabs>
          <w:tab w:val="left" w:pos="567"/>
        </w:tabs>
        <w:spacing w:after="0" w:line="240" w:lineRule="auto"/>
        <w:rPr>
          <w:rFonts w:ascii="Times New Roman" w:hAnsi="Times New Roman"/>
          <w:b/>
          <w:i/>
        </w:rPr>
      </w:pPr>
      <w:r w:rsidRPr="00281FA7">
        <w:rPr>
          <w:rFonts w:ascii="Times New Roman" w:hAnsi="Times New Roman"/>
          <w:b/>
          <w:i/>
        </w:rPr>
        <w:t xml:space="preserve">Specialūs reikalavimai atliekoms tvarkyti ir vaistiniam preparatui ruošti </w:t>
      </w:r>
    </w:p>
    <w:p w:rsidR="00FE51AC" w:rsidRDefault="00FE51AC" w:rsidP="00FE51AC">
      <w:pPr>
        <w:tabs>
          <w:tab w:val="left" w:pos="567"/>
        </w:tabs>
        <w:spacing w:after="0" w:line="240" w:lineRule="auto"/>
        <w:rPr>
          <w:rFonts w:ascii="Times New Roman" w:hAnsi="Times New Roman"/>
        </w:rPr>
      </w:pPr>
    </w:p>
    <w:p w:rsidR="00FE51AC" w:rsidRDefault="00FE51AC" w:rsidP="00FE51AC">
      <w:pPr>
        <w:tabs>
          <w:tab w:val="left" w:pos="567"/>
        </w:tabs>
        <w:spacing w:after="0" w:line="240" w:lineRule="auto"/>
        <w:rPr>
          <w:rFonts w:ascii="Times New Roman" w:hAnsi="Times New Roman"/>
        </w:rPr>
      </w:pPr>
      <w:r w:rsidRPr="00281FA7">
        <w:rPr>
          <w:rFonts w:ascii="Times New Roman" w:hAnsi="Times New Roman"/>
        </w:rPr>
        <w:t xml:space="preserve">Kai vaistinis preparatas lašinamas naujagimiams ir jaunesniems kaip 2 metų vaikams, tirpalą reikia apsaugoti nuo šviesos, kol infuzija bus užbaigta. Dėl aplinkos šviesos poveikio </w:t>
      </w:r>
      <w:r w:rsidRPr="001969FD">
        <w:rPr>
          <w:rFonts w:ascii="Times New Roman" w:hAnsi="Times New Roman"/>
        </w:rPr>
        <w:t>SMOFlipid</w:t>
      </w:r>
      <w:r w:rsidRPr="00281FA7">
        <w:rPr>
          <w:rFonts w:ascii="Times New Roman" w:hAnsi="Times New Roman"/>
        </w:rPr>
        <w:t>, ypač po to, kai į jį įmaišoma mikroelementų ir (arba) vitaminų, tirpale susidaro peroksidų ir kitų degradacijos produktų, kurių kiekį galima sumažinti tirpalą apsaugant nuo šviesos.</w:t>
      </w:r>
    </w:p>
    <w:p w:rsidR="00FE51AC" w:rsidRPr="001969FD" w:rsidRDefault="00FE51AC" w:rsidP="00FE51AC">
      <w:pPr>
        <w:tabs>
          <w:tab w:val="left" w:pos="567"/>
        </w:tabs>
        <w:spacing w:after="0" w:line="240" w:lineRule="auto"/>
        <w:rPr>
          <w:rFonts w:ascii="Times New Roman" w:hAnsi="Times New Roman"/>
        </w:rPr>
      </w:pPr>
    </w:p>
    <w:p w:rsidR="00FE51AC" w:rsidRPr="001969FD" w:rsidRDefault="00FE51AC" w:rsidP="00FE51AC">
      <w:pPr>
        <w:widowControl w:val="0"/>
        <w:tabs>
          <w:tab w:val="left" w:pos="0"/>
          <w:tab w:val="left" w:pos="567"/>
        </w:tabs>
        <w:spacing w:after="0" w:line="240" w:lineRule="auto"/>
        <w:ind w:right="31"/>
        <w:rPr>
          <w:rFonts w:ascii="Times New Roman" w:eastAsia="Times New Roman" w:hAnsi="Times New Roman" w:cs="Times New Roman"/>
          <w:b/>
          <w:sz w:val="24"/>
          <w:szCs w:val="24"/>
        </w:rPr>
      </w:pPr>
      <w:r w:rsidRPr="001969FD">
        <w:rPr>
          <w:rFonts w:ascii="Times New Roman" w:eastAsia="Times New Roman" w:hAnsi="Times New Roman" w:cs="Times New Roman"/>
          <w:b/>
          <w:sz w:val="24"/>
          <w:szCs w:val="24"/>
        </w:rPr>
        <w:t>Vartojimo instrukcijos, taikomos infuzijos maišeliui</w:t>
      </w: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sz w:val="20"/>
          <w:szCs w:val="20"/>
          <w:lang w:eastAsia="sv-SE"/>
        </w:rPr>
      </w:pPr>
    </w:p>
    <w:p w:rsidR="00FE51AC" w:rsidRPr="001969FD" w:rsidRDefault="00FE51AC" w:rsidP="00FE51AC">
      <w:pPr>
        <w:widowControl w:val="0"/>
        <w:tabs>
          <w:tab w:val="left" w:pos="0"/>
          <w:tab w:val="left" w:pos="567"/>
        </w:tabs>
        <w:spacing w:after="0" w:line="240" w:lineRule="auto"/>
        <w:ind w:right="31"/>
        <w:rPr>
          <w:rFonts w:ascii="Times New Roman" w:eastAsia="Times New Roman" w:hAnsi="Times New Roman" w:cs="Times New Roman"/>
          <w:noProof/>
          <w:szCs w:val="20"/>
          <w:lang w:eastAsia="sv-SE"/>
        </w:rPr>
      </w:pP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r w:rsidRPr="001969FD">
        <w:rPr>
          <w:rFonts w:ascii="Arial" w:eastAsia="Times New Roman" w:hAnsi="Arial" w:cs="Arial"/>
          <w:b/>
          <w:noProof/>
          <w:sz w:val="20"/>
          <w:szCs w:val="20"/>
          <w:lang w:eastAsia="lt-LT"/>
        </w:rPr>
        <w:drawing>
          <wp:inline distT="0" distB="0" distL="0" distR="0" wp14:anchorId="0ED1A543" wp14:editId="1BBDA7B3">
            <wp:extent cx="2512612" cy="2075870"/>
            <wp:effectExtent l="0" t="0" r="2540" b="635"/>
            <wp:docPr id="1" name="Picture 1" descr="C:\Users\SE51290\Pictures\Picture 1_plastic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51290\Pictures\Picture 1_plastic ba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6064" cy="2078722"/>
                    </a:xfrm>
                    <a:prstGeom prst="rect">
                      <a:avLst/>
                    </a:prstGeom>
                    <a:noFill/>
                    <a:ln>
                      <a:noFill/>
                    </a:ln>
                  </pic:spPr>
                </pic:pic>
              </a:graphicData>
            </a:graphic>
          </wp:inline>
        </w:drawing>
      </w: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p>
    <w:p w:rsidR="00FE51AC" w:rsidRPr="001969FD" w:rsidRDefault="00FE51AC" w:rsidP="00FE51AC">
      <w:pPr>
        <w:tabs>
          <w:tab w:val="left" w:pos="567"/>
        </w:tabs>
        <w:autoSpaceDE w:val="0"/>
        <w:autoSpaceDN w:val="0"/>
        <w:adjustRightInd w:val="0"/>
        <w:spacing w:after="0" w:line="260" w:lineRule="exact"/>
        <w:contextualSpacing/>
        <w:rPr>
          <w:rFonts w:ascii="Times New Roman" w:eastAsia="Times New Roman" w:hAnsi="Times New Roman" w:cs="Times New Roman"/>
          <w:szCs w:val="20"/>
          <w:lang w:eastAsia="sv-SE"/>
        </w:rPr>
      </w:pPr>
      <w:r w:rsidRPr="001969FD">
        <w:rPr>
          <w:rFonts w:ascii="Times New Roman" w:eastAsia="Times New Roman" w:hAnsi="Times New Roman" w:cs="Times New Roman"/>
          <w:szCs w:val="20"/>
          <w:lang w:eastAsia="sv-SE"/>
        </w:rPr>
        <w:t xml:space="preserve">1. Prieš maišelio apvalkalo nuėmimą būtina patikrinti vientisumo indikatorių (Oxalert) (A). </w:t>
      </w:r>
    </w:p>
    <w:p w:rsidR="00FE51AC" w:rsidRPr="001969FD" w:rsidRDefault="00FE51AC" w:rsidP="00FE51AC">
      <w:pPr>
        <w:tabs>
          <w:tab w:val="left" w:pos="567"/>
        </w:tabs>
        <w:autoSpaceDE w:val="0"/>
        <w:autoSpaceDN w:val="0"/>
        <w:adjustRightInd w:val="0"/>
        <w:spacing w:after="0" w:line="260" w:lineRule="exact"/>
        <w:ind w:left="360"/>
        <w:rPr>
          <w:rFonts w:ascii="Times New Roman" w:eastAsia="Times New Roman" w:hAnsi="Times New Roman" w:cs="Times New Roman"/>
          <w:szCs w:val="20"/>
          <w:lang w:eastAsia="sv-SE"/>
        </w:rPr>
      </w:pPr>
      <w:r w:rsidRPr="001969FD">
        <w:rPr>
          <w:rFonts w:ascii="Times New Roman" w:eastAsia="Times New Roman" w:hAnsi="Times New Roman" w:cs="Times New Roman"/>
          <w:szCs w:val="20"/>
          <w:lang w:eastAsia="sv-SE"/>
        </w:rPr>
        <w:t>Jei indikatorius yra juodas, apvalkalas yra pažeistas ir vaistinį preparatą būtina išmesti.</w:t>
      </w: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r w:rsidRPr="001969FD">
        <w:rPr>
          <w:rFonts w:ascii="Arial" w:eastAsia="Times New Roman" w:hAnsi="Arial" w:cs="Arial"/>
          <w:b/>
          <w:noProof/>
          <w:sz w:val="20"/>
          <w:szCs w:val="20"/>
          <w:lang w:eastAsia="lt-LT"/>
        </w:rPr>
        <w:drawing>
          <wp:inline distT="0" distB="0" distL="0" distR="0" wp14:anchorId="55D745E2" wp14:editId="3EA0D05C">
            <wp:extent cx="2712888" cy="2011680"/>
            <wp:effectExtent l="0" t="0" r="0" b="7620"/>
            <wp:docPr id="2" name="Picture 2" descr="C:\Users\SE51290\Pictures\Picture 2_plastic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51290\Pictures\Picture 2_plastic ba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3167" cy="2011887"/>
                    </a:xfrm>
                    <a:prstGeom prst="rect">
                      <a:avLst/>
                    </a:prstGeom>
                    <a:noFill/>
                    <a:ln>
                      <a:noFill/>
                    </a:ln>
                  </pic:spPr>
                </pic:pic>
              </a:graphicData>
            </a:graphic>
          </wp:inline>
        </w:drawing>
      </w:r>
    </w:p>
    <w:p w:rsidR="00FE51AC" w:rsidRPr="001969FD" w:rsidRDefault="00FE51AC" w:rsidP="00FE51AC">
      <w:pPr>
        <w:tabs>
          <w:tab w:val="left" w:pos="567"/>
        </w:tabs>
        <w:spacing w:after="0" w:line="260" w:lineRule="exact"/>
        <w:rPr>
          <w:rFonts w:ascii="Times New Roman" w:eastAsia="Times New Roman" w:hAnsi="Times New Roman" w:cs="Times New Roman"/>
          <w:szCs w:val="20"/>
        </w:rPr>
      </w:pPr>
    </w:p>
    <w:p w:rsidR="00FE51AC" w:rsidRPr="001969FD" w:rsidRDefault="00FE51AC" w:rsidP="00FE51AC">
      <w:pPr>
        <w:tabs>
          <w:tab w:val="left" w:pos="567"/>
        </w:tabs>
        <w:spacing w:after="0" w:line="260" w:lineRule="exact"/>
        <w:rPr>
          <w:rFonts w:ascii="Times New Roman" w:eastAsia="Times New Roman" w:hAnsi="Times New Roman" w:cs="Times New Roman"/>
          <w:szCs w:val="20"/>
        </w:rPr>
      </w:pPr>
      <w:r w:rsidRPr="001969FD">
        <w:rPr>
          <w:rFonts w:ascii="Times New Roman" w:eastAsia="Times New Roman" w:hAnsi="Times New Roman" w:cs="Times New Roman"/>
          <w:szCs w:val="20"/>
        </w:rPr>
        <w:t>2. Apvalkalą nuimkite jį įplėšdami ties įranta ir nutraukdami nuo talpyklės. Oxalert paketėlį (A) ir deguonies absorbentą (B) reikia išmesti.</w:t>
      </w: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r w:rsidRPr="001969FD">
        <w:rPr>
          <w:rFonts w:ascii="Arial" w:eastAsia="Times New Roman" w:hAnsi="Arial" w:cs="Arial"/>
          <w:b/>
          <w:noProof/>
          <w:sz w:val="20"/>
          <w:szCs w:val="20"/>
          <w:lang w:eastAsia="lt-LT"/>
        </w:rPr>
        <w:drawing>
          <wp:inline distT="0" distB="0" distL="0" distR="0" wp14:anchorId="3A662A6C" wp14:editId="7C763245">
            <wp:extent cx="2536920" cy="2091193"/>
            <wp:effectExtent l="0" t="0" r="0" b="4445"/>
            <wp:docPr id="3" name="Picture 3" descr="C:\Users\SE51290\Pictures\Picture 3_plastic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51290\Pictures\Picture 3_plastic ba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6897" cy="2091174"/>
                    </a:xfrm>
                    <a:prstGeom prst="rect">
                      <a:avLst/>
                    </a:prstGeom>
                    <a:noFill/>
                    <a:ln>
                      <a:noFill/>
                    </a:ln>
                  </pic:spPr>
                </pic:pic>
              </a:graphicData>
            </a:graphic>
          </wp:inline>
        </w:drawing>
      </w: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p>
    <w:p w:rsidR="00FE51AC" w:rsidRPr="001969FD" w:rsidRDefault="00FE51AC" w:rsidP="00FE51AC">
      <w:pPr>
        <w:tabs>
          <w:tab w:val="left" w:pos="567"/>
        </w:tabs>
        <w:spacing w:after="0" w:line="260" w:lineRule="exact"/>
        <w:rPr>
          <w:rFonts w:ascii="Times New Roman" w:eastAsia="Times New Roman" w:hAnsi="Times New Roman" w:cs="Times New Roman"/>
          <w:szCs w:val="20"/>
        </w:rPr>
      </w:pPr>
      <w:r w:rsidRPr="001969FD">
        <w:rPr>
          <w:rFonts w:ascii="Times New Roman" w:eastAsia="Times New Roman" w:hAnsi="Times New Roman" w:cs="Times New Roman"/>
          <w:szCs w:val="20"/>
        </w:rPr>
        <w:t>3. Jei nebus papildomai švirkščiama jokių vaistinių preparatų, pereikite prie 5</w:t>
      </w:r>
      <w:r w:rsidRPr="001969FD">
        <w:rPr>
          <w:rFonts w:ascii="Times New Roman" w:eastAsia="Times New Roman" w:hAnsi="Times New Roman" w:cs="Times New Roman"/>
          <w:szCs w:val="20"/>
        </w:rPr>
        <w:noBreakHyphen/>
        <w:t>ojo paveikslo.</w:t>
      </w:r>
    </w:p>
    <w:p w:rsidR="00FE51AC" w:rsidRPr="001969FD" w:rsidRDefault="00FE51AC" w:rsidP="00FE51AC">
      <w:pPr>
        <w:tabs>
          <w:tab w:val="left" w:pos="567"/>
        </w:tabs>
        <w:spacing w:after="0" w:line="260" w:lineRule="exact"/>
        <w:rPr>
          <w:rFonts w:ascii="Times New Roman" w:eastAsia="Times New Roman" w:hAnsi="Times New Roman" w:cs="Times New Roman"/>
          <w:szCs w:val="20"/>
        </w:rPr>
      </w:pPr>
      <w:r w:rsidRPr="001969FD">
        <w:rPr>
          <w:rFonts w:ascii="Times New Roman" w:eastAsia="Times New Roman" w:hAnsi="Times New Roman" w:cs="Times New Roman"/>
          <w:szCs w:val="20"/>
        </w:rPr>
        <w:t>Jei bus papildomai įšvirkščiama vaistinių preparatų, nuplėškite pirmąjį atidarymą rodančią baltos papildomos jungties plokštelę su rodykle.</w:t>
      </w: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r w:rsidRPr="001969FD">
        <w:rPr>
          <w:rFonts w:ascii="Arial" w:eastAsia="Times New Roman" w:hAnsi="Arial" w:cs="Arial"/>
          <w:b/>
          <w:noProof/>
          <w:sz w:val="20"/>
          <w:szCs w:val="20"/>
          <w:lang w:eastAsia="lt-LT"/>
        </w:rPr>
        <w:lastRenderedPageBreak/>
        <w:drawing>
          <wp:inline distT="0" distB="0" distL="0" distR="0" wp14:anchorId="5D737461" wp14:editId="31449C0F">
            <wp:extent cx="2662314" cy="2162754"/>
            <wp:effectExtent l="0" t="0" r="5080" b="9525"/>
            <wp:docPr id="4" name="Picture 4" descr="C:\Users\SE51290\Pictures\Picture 4_plastic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E51290\Pictures\Picture 4_plastic ba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2402" cy="2162825"/>
                    </a:xfrm>
                    <a:prstGeom prst="rect">
                      <a:avLst/>
                    </a:prstGeom>
                    <a:noFill/>
                    <a:ln>
                      <a:noFill/>
                    </a:ln>
                  </pic:spPr>
                </pic:pic>
              </a:graphicData>
            </a:graphic>
          </wp:inline>
        </w:drawing>
      </w:r>
    </w:p>
    <w:p w:rsidR="00FE51AC" w:rsidRPr="001969FD" w:rsidRDefault="00FE51AC" w:rsidP="00FE51AC">
      <w:pPr>
        <w:tabs>
          <w:tab w:val="left" w:pos="567"/>
        </w:tabs>
        <w:spacing w:after="0" w:line="260" w:lineRule="exact"/>
        <w:rPr>
          <w:rFonts w:ascii="Times New Roman" w:eastAsia="Times New Roman" w:hAnsi="Times New Roman" w:cs="Times New Roman"/>
          <w:szCs w:val="20"/>
        </w:rPr>
      </w:pPr>
    </w:p>
    <w:p w:rsidR="00FE51AC" w:rsidRPr="001969FD" w:rsidRDefault="00FE51AC" w:rsidP="00FE51AC">
      <w:pPr>
        <w:tabs>
          <w:tab w:val="left" w:pos="567"/>
        </w:tabs>
        <w:spacing w:after="0" w:line="260" w:lineRule="exact"/>
        <w:rPr>
          <w:rFonts w:ascii="Times New Roman" w:eastAsia="Times New Roman" w:hAnsi="Times New Roman" w:cs="Times New Roman"/>
          <w:szCs w:val="20"/>
        </w:rPr>
      </w:pPr>
      <w:r w:rsidRPr="001969FD">
        <w:rPr>
          <w:rFonts w:ascii="Times New Roman" w:eastAsia="Times New Roman" w:hAnsi="Times New Roman" w:cs="Times New Roman"/>
          <w:noProof/>
          <w:szCs w:val="20"/>
          <w:lang w:eastAsia="lt-LT"/>
        </w:rPr>
        <w:drawing>
          <wp:inline distT="0" distB="0" distL="0" distR="0" wp14:anchorId="3023B7BA" wp14:editId="654C30F6">
            <wp:extent cx="3095625" cy="2514600"/>
            <wp:effectExtent l="0" t="0" r="9525" b="0"/>
            <wp:docPr id="5" name="Picture 5" descr="C:\Users\SE51290\Pictures\Picture 4_plastic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51290\Pictures\Picture 4_plastic ba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25" cy="2514600"/>
                    </a:xfrm>
                    <a:prstGeom prst="rect">
                      <a:avLst/>
                    </a:prstGeom>
                    <a:noFill/>
                    <a:ln>
                      <a:noFill/>
                    </a:ln>
                  </pic:spPr>
                </pic:pic>
              </a:graphicData>
            </a:graphic>
          </wp:inline>
        </w:drawing>
      </w:r>
    </w:p>
    <w:p w:rsidR="00FE51AC" w:rsidRPr="001969FD" w:rsidRDefault="00FE51AC" w:rsidP="00FE51AC">
      <w:pPr>
        <w:tabs>
          <w:tab w:val="left" w:pos="567"/>
        </w:tabs>
        <w:spacing w:after="0" w:line="260" w:lineRule="exact"/>
        <w:rPr>
          <w:rFonts w:ascii="Times New Roman" w:eastAsia="Times New Roman" w:hAnsi="Times New Roman" w:cs="Times New Roman"/>
          <w:szCs w:val="20"/>
        </w:rPr>
      </w:pPr>
      <w:r w:rsidRPr="001969FD">
        <w:rPr>
          <w:rFonts w:ascii="Times New Roman" w:eastAsia="Times New Roman" w:hAnsi="Times New Roman" w:cs="Times New Roman"/>
          <w:szCs w:val="20"/>
        </w:rPr>
        <w:t>4. Paimkite švirkštą, kuriame yra papildomų vaistinių preparatų. Suimkite papildomos jungties pagrindą. Adatą įsmeikite horizontaliai per papildomos jungties angos centrą ir suleiskite papildomą vaistinį preparatą (jo suderinamumas turi būti žinomas). Reikia naudoti švirkštus su 18</w:t>
      </w:r>
      <w:r w:rsidRPr="001969FD">
        <w:rPr>
          <w:rFonts w:ascii="Times New Roman" w:eastAsia="Times New Roman" w:hAnsi="Times New Roman" w:cs="Times New Roman"/>
          <w:szCs w:val="20"/>
        </w:rPr>
        <w:noBreakHyphen/>
        <w:t>23 dydžio adatomis (ilgis turi būti ne didesnis kaip 40 mm).</w:t>
      </w:r>
    </w:p>
    <w:p w:rsidR="00FE51AC" w:rsidRPr="001969FD" w:rsidRDefault="00FE51AC" w:rsidP="00FE51AC">
      <w:pPr>
        <w:spacing w:after="0" w:line="240" w:lineRule="auto"/>
        <w:rPr>
          <w:rFonts w:ascii="Arial" w:eastAsia="Times New Roman" w:hAnsi="Arial" w:cs="Arial"/>
          <w:b/>
          <w:sz w:val="20"/>
          <w:szCs w:val="20"/>
        </w:rPr>
      </w:pPr>
    </w:p>
    <w:p w:rsidR="00FE51AC" w:rsidRPr="001969FD" w:rsidRDefault="00FE51AC" w:rsidP="00FE51AC">
      <w:pPr>
        <w:spacing w:after="0" w:line="240" w:lineRule="auto"/>
        <w:rPr>
          <w:rFonts w:ascii="Arial" w:eastAsia="Times New Roman" w:hAnsi="Arial" w:cs="Arial"/>
          <w:b/>
          <w:sz w:val="20"/>
          <w:szCs w:val="20"/>
        </w:rPr>
      </w:pPr>
    </w:p>
    <w:p w:rsidR="00FE51AC" w:rsidRPr="001969FD" w:rsidRDefault="00FE51AC" w:rsidP="00FE51AC">
      <w:pPr>
        <w:spacing w:after="0" w:line="240" w:lineRule="auto"/>
        <w:rPr>
          <w:rFonts w:ascii="Arial" w:eastAsia="Times New Roman" w:hAnsi="Arial" w:cs="Arial"/>
          <w:b/>
          <w:sz w:val="20"/>
          <w:szCs w:val="20"/>
        </w:rPr>
      </w:pPr>
      <w:r w:rsidRPr="001969FD">
        <w:rPr>
          <w:rFonts w:ascii="Arial" w:eastAsia="Times New Roman" w:hAnsi="Arial" w:cs="Arial"/>
          <w:b/>
          <w:noProof/>
          <w:sz w:val="20"/>
          <w:szCs w:val="20"/>
          <w:lang w:eastAsia="lt-LT"/>
        </w:rPr>
        <mc:AlternateContent>
          <mc:Choice Requires="wps">
            <w:drawing>
              <wp:anchor distT="0" distB="0" distL="114300" distR="114300" simplePos="0" relativeHeight="251659264" behindDoc="0" locked="0" layoutInCell="1" allowOverlap="1" wp14:anchorId="36FF37C4" wp14:editId="780B3157">
                <wp:simplePos x="0" y="0"/>
                <wp:positionH relativeFrom="column">
                  <wp:posOffset>1585595</wp:posOffset>
                </wp:positionH>
                <wp:positionV relativeFrom="paragraph">
                  <wp:posOffset>346710</wp:posOffset>
                </wp:positionV>
                <wp:extent cx="609600" cy="2000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609600" cy="200025"/>
                        </a:xfrm>
                        <a:prstGeom prst="rect">
                          <a:avLst/>
                        </a:prstGeom>
                        <a:solidFill>
                          <a:sysClr val="window" lastClr="FFFFFF"/>
                        </a:solidFill>
                        <a:ln w="6350">
                          <a:noFill/>
                        </a:ln>
                        <a:effectLst/>
                      </wps:spPr>
                      <wps:txbx>
                        <w:txbxContent>
                          <w:p w:rsidR="00FE51AC" w:rsidRPr="005510CB" w:rsidRDefault="00FE51AC" w:rsidP="00FE51AC">
                            <w:pPr>
                              <w:rPr>
                                <w:sz w:val="16"/>
                                <w:szCs w:val="16"/>
                              </w:rPr>
                            </w:pPr>
                            <w:r>
                              <w:rPr>
                                <w:sz w:val="16"/>
                                <w:szCs w:val="16"/>
                              </w:rPr>
                              <w:t>Uždaryta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F37C4" id="_x0000_t202" coordsize="21600,21600" o:spt="202" path="m,l,21600r21600,l21600,xe">
                <v:stroke joinstyle="miter"/>
                <v:path gradientshapeok="t" o:connecttype="rect"/>
              </v:shapetype>
              <v:shape id="Text Box 10" o:spid="_x0000_s1026" type="#_x0000_t202" style="position:absolute;margin-left:124.85pt;margin-top:27.3pt;width:48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" fillcolor="window" stroked="f" strokeweight=".5pt">
                <v:textbox>
                  <w:txbxContent>
                    <w:p w:rsidR="00FE51AC" w:rsidRPr="005510CB" w:rsidRDefault="00FE51AC" w:rsidP="00FE51AC">
                      <w:pPr>
                        <w:rPr>
                          <w:sz w:val="16"/>
                          <w:szCs w:val="16"/>
                        </w:rPr>
                      </w:pPr>
                      <w:r>
                        <w:rPr>
                          <w:sz w:val="16"/>
                          <w:szCs w:val="16"/>
                        </w:rPr>
                        <w:t>Uždaryta</w:t>
                      </w:r>
                    </w:p>
                  </w:txbxContent>
                </v:textbox>
              </v:shape>
            </w:pict>
          </mc:Fallback>
        </mc:AlternateContent>
      </w:r>
      <w:r w:rsidRPr="001969FD">
        <w:rPr>
          <w:rFonts w:ascii="Arial" w:eastAsia="Times New Roman" w:hAnsi="Arial" w:cs="Arial"/>
          <w:b/>
          <w:noProof/>
          <w:sz w:val="20"/>
          <w:szCs w:val="20"/>
          <w:lang w:eastAsia="lt-LT"/>
        </w:rPr>
        <mc:AlternateContent>
          <mc:Choice Requires="wps">
            <w:drawing>
              <wp:anchor distT="0" distB="0" distL="114300" distR="114300" simplePos="0" relativeHeight="251660288" behindDoc="0" locked="0" layoutInCell="1" allowOverlap="1" wp14:anchorId="6070E052" wp14:editId="655AA498">
                <wp:simplePos x="0" y="0"/>
                <wp:positionH relativeFrom="column">
                  <wp:posOffset>442595</wp:posOffset>
                </wp:positionH>
                <wp:positionV relativeFrom="paragraph">
                  <wp:posOffset>1584960</wp:posOffset>
                </wp:positionV>
                <wp:extent cx="933450" cy="2381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933450" cy="238125"/>
                        </a:xfrm>
                        <a:prstGeom prst="rect">
                          <a:avLst/>
                        </a:prstGeom>
                        <a:solidFill>
                          <a:sysClr val="window" lastClr="FFFFFF"/>
                        </a:solidFill>
                        <a:ln w="6350">
                          <a:noFill/>
                        </a:ln>
                        <a:effectLst/>
                      </wps:spPr>
                      <wps:txbx>
                        <w:txbxContent>
                          <w:p w:rsidR="00FE51AC" w:rsidRPr="005510CB" w:rsidRDefault="00FE51AC" w:rsidP="00FE51AC">
                            <w:pPr>
                              <w:rPr>
                                <w:sz w:val="16"/>
                                <w:szCs w:val="16"/>
                              </w:rPr>
                            </w:pPr>
                            <w:r w:rsidRPr="005510CB">
                              <w:rPr>
                                <w:sz w:val="16"/>
                                <w:szCs w:val="16"/>
                              </w:rPr>
                              <w:t>Neventiliuojamas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0E052" id="Text Box 12" o:spid="_x0000_s1027" type="#_x0000_t202" style="position:absolute;margin-left:34.85pt;margin-top:124.8pt;width:73.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" fillcolor="window" stroked="f" strokeweight=".5pt">
                <v:textbox>
                  <w:txbxContent>
                    <w:p w:rsidR="00FE51AC" w:rsidRPr="005510CB" w:rsidRDefault="00FE51AC" w:rsidP="00FE51AC">
                      <w:pPr>
                        <w:rPr>
                          <w:sz w:val="16"/>
                          <w:szCs w:val="16"/>
                        </w:rPr>
                      </w:pPr>
                      <w:r w:rsidRPr="005510CB">
                        <w:rPr>
                          <w:sz w:val="16"/>
                          <w:szCs w:val="16"/>
                        </w:rPr>
                        <w:t>Neventiliuojamas</w:t>
                      </w:r>
                    </w:p>
                  </w:txbxContent>
                </v:textbox>
              </v:shape>
            </w:pict>
          </mc:Fallback>
        </mc:AlternateContent>
      </w:r>
      <w:r w:rsidRPr="001969FD">
        <w:rPr>
          <w:rFonts w:ascii="Arial" w:eastAsia="Times New Roman" w:hAnsi="Arial" w:cs="Arial"/>
          <w:b/>
          <w:noProof/>
          <w:sz w:val="20"/>
          <w:szCs w:val="20"/>
          <w:lang w:eastAsia="lt-LT"/>
        </w:rPr>
        <mc:AlternateContent>
          <mc:Choice Requires="wps">
            <w:drawing>
              <wp:anchor distT="0" distB="0" distL="114300" distR="114300" simplePos="0" relativeHeight="251661312" behindDoc="0" locked="0" layoutInCell="1" allowOverlap="1" wp14:anchorId="61695041" wp14:editId="2038C32E">
                <wp:simplePos x="0" y="0"/>
                <wp:positionH relativeFrom="column">
                  <wp:posOffset>1252220</wp:posOffset>
                </wp:positionH>
                <wp:positionV relativeFrom="paragraph">
                  <wp:posOffset>1584960</wp:posOffset>
                </wp:positionV>
                <wp:extent cx="819150" cy="21907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819150" cy="219075"/>
                        </a:xfrm>
                        <a:prstGeom prst="rect">
                          <a:avLst/>
                        </a:prstGeom>
                        <a:solidFill>
                          <a:sysClr val="window" lastClr="FFFFFF"/>
                        </a:solidFill>
                        <a:ln w="6350">
                          <a:noFill/>
                        </a:ln>
                        <a:effectLst/>
                      </wps:spPr>
                      <wps:txbx>
                        <w:txbxContent>
                          <w:p w:rsidR="00FE51AC" w:rsidRPr="005510CB" w:rsidRDefault="00FE51AC" w:rsidP="00FE51AC">
                            <w:pPr>
                              <w:rPr>
                                <w:sz w:val="16"/>
                                <w:szCs w:val="16"/>
                              </w:rPr>
                            </w:pPr>
                            <w:r>
                              <w:rPr>
                                <w:sz w:val="16"/>
                                <w:szCs w:val="16"/>
                              </w:rPr>
                              <w:t>V</w:t>
                            </w:r>
                            <w:r w:rsidRPr="005510CB">
                              <w:rPr>
                                <w:sz w:val="16"/>
                                <w:szCs w:val="16"/>
                              </w:rPr>
                              <w:t>entiliuojamas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5041" id="Text Box 13" o:spid="_x0000_s1028" type="#_x0000_t202" style="position:absolute;margin-left:98.6pt;margin-top:124.8pt;width:64.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" fillcolor="window" stroked="f" strokeweight=".5pt">
                <v:textbox>
                  <w:txbxContent>
                    <w:p w:rsidR="00FE51AC" w:rsidRPr="005510CB" w:rsidRDefault="00FE51AC" w:rsidP="00FE51AC">
                      <w:pPr>
                        <w:rPr>
                          <w:sz w:val="16"/>
                          <w:szCs w:val="16"/>
                        </w:rPr>
                      </w:pPr>
                      <w:r>
                        <w:rPr>
                          <w:sz w:val="16"/>
                          <w:szCs w:val="16"/>
                        </w:rPr>
                        <w:t>V</w:t>
                      </w:r>
                      <w:r w:rsidRPr="005510CB">
                        <w:rPr>
                          <w:sz w:val="16"/>
                          <w:szCs w:val="16"/>
                        </w:rPr>
                        <w:t>entiliuojamas</w:t>
                      </w:r>
                    </w:p>
                  </w:txbxContent>
                </v:textbox>
              </v:shape>
            </w:pict>
          </mc:Fallback>
        </mc:AlternateContent>
      </w:r>
      <w:r w:rsidRPr="001969FD">
        <w:rPr>
          <w:rFonts w:ascii="Arial" w:eastAsia="Times New Roman" w:hAnsi="Arial" w:cs="Arial"/>
          <w:b/>
          <w:noProof/>
          <w:sz w:val="20"/>
          <w:szCs w:val="20"/>
          <w:lang w:eastAsia="lt-LT"/>
        </w:rPr>
        <w:drawing>
          <wp:inline distT="0" distB="0" distL="0" distR="0" wp14:anchorId="3CA46EF6" wp14:editId="0B41B680">
            <wp:extent cx="2329890" cy="1948069"/>
            <wp:effectExtent l="0" t="0" r="0" b="0"/>
            <wp:docPr id="6" name="Picture 6" descr="C:\Users\SE51290\Pictures\Picture 5_plastic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E51290\Pictures\Picture 5_plastic ba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3624" cy="1951191"/>
                    </a:xfrm>
                    <a:prstGeom prst="rect">
                      <a:avLst/>
                    </a:prstGeom>
                    <a:noFill/>
                    <a:ln>
                      <a:noFill/>
                    </a:ln>
                  </pic:spPr>
                </pic:pic>
              </a:graphicData>
            </a:graphic>
          </wp:inline>
        </w:drawing>
      </w: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p>
    <w:p w:rsidR="00FE51AC" w:rsidRPr="001969FD" w:rsidRDefault="00FE51AC" w:rsidP="00FE51AC">
      <w:pPr>
        <w:tabs>
          <w:tab w:val="left" w:pos="567"/>
        </w:tabs>
        <w:spacing w:after="0" w:line="260" w:lineRule="exact"/>
        <w:rPr>
          <w:rFonts w:ascii="Times New Roman" w:eastAsia="Times New Roman" w:hAnsi="Times New Roman" w:cs="Times New Roman"/>
          <w:szCs w:val="20"/>
        </w:rPr>
      </w:pPr>
      <w:r w:rsidRPr="001969FD">
        <w:rPr>
          <w:rFonts w:ascii="Times New Roman" w:eastAsia="Times New Roman" w:hAnsi="Times New Roman" w:cs="Times New Roman"/>
          <w:szCs w:val="20"/>
        </w:rPr>
        <w:t>5. Reikia naudoti neventiliuojamą infuzijos rinkinį, o jei naudojamas ventiliuojamas rinkinys, reikia atidaryti ventiliavimo angą. Būtina vykdyti infuzijos rinkinio naudojimo instrukcijos nurodymus. Reikia naudoti ISO 8536-4 nurodytą smaigą (5,6 ± 0,1 mm).</w:t>
      </w: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p>
    <w:p w:rsidR="00FE51AC" w:rsidRPr="001969FD" w:rsidRDefault="00FE51AC" w:rsidP="00FE51AC">
      <w:pPr>
        <w:widowControl w:val="0"/>
        <w:tabs>
          <w:tab w:val="left" w:pos="0"/>
          <w:tab w:val="left" w:pos="567"/>
        </w:tabs>
        <w:spacing w:after="0" w:line="240" w:lineRule="auto"/>
        <w:ind w:right="31"/>
        <w:rPr>
          <w:rFonts w:ascii="Times New Roman" w:eastAsia="Times New Roman" w:hAnsi="Times New Roman" w:cs="Times New Roman"/>
          <w:noProof/>
          <w:szCs w:val="20"/>
          <w:lang w:eastAsia="sv-SE"/>
        </w:rPr>
      </w:pP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r w:rsidRPr="001969FD">
        <w:rPr>
          <w:rFonts w:ascii="Arial" w:eastAsia="Times New Roman" w:hAnsi="Arial" w:cs="Arial"/>
          <w:b/>
          <w:noProof/>
          <w:sz w:val="20"/>
          <w:szCs w:val="20"/>
          <w:lang w:eastAsia="lt-LT"/>
        </w:rPr>
        <w:drawing>
          <wp:inline distT="0" distB="0" distL="0" distR="0" wp14:anchorId="73030BE3" wp14:editId="56EBF6EE">
            <wp:extent cx="2329732" cy="1934137"/>
            <wp:effectExtent l="0" t="0" r="0" b="9525"/>
            <wp:docPr id="7" name="Picture 7" descr="C:\Users\SE51290\Pictures\Picture 6_plastic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E51290\Pictures\Picture 6_plastic ba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3658" cy="1937396"/>
                    </a:xfrm>
                    <a:prstGeom prst="rect">
                      <a:avLst/>
                    </a:prstGeom>
                    <a:noFill/>
                    <a:ln>
                      <a:noFill/>
                    </a:ln>
                  </pic:spPr>
                </pic:pic>
              </a:graphicData>
            </a:graphic>
          </wp:inline>
        </w:drawing>
      </w: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r w:rsidRPr="001969FD">
        <w:rPr>
          <w:rFonts w:ascii="Times New Roman" w:eastAsia="Times New Roman" w:hAnsi="Times New Roman" w:cs="Times New Roman"/>
          <w:szCs w:val="20"/>
        </w:rPr>
        <w:t>6. Nuplėškite pirmąjį atidarymą rodančią mėlynos infuzijos jungties plokštelę su rodykle.</w:t>
      </w:r>
    </w:p>
    <w:p w:rsidR="00FE51AC" w:rsidRPr="001969FD" w:rsidRDefault="00FE51AC" w:rsidP="00FE51AC">
      <w:pPr>
        <w:widowControl w:val="0"/>
        <w:tabs>
          <w:tab w:val="left" w:pos="0"/>
          <w:tab w:val="left" w:pos="567"/>
        </w:tabs>
        <w:spacing w:after="0" w:line="240" w:lineRule="auto"/>
        <w:ind w:right="31"/>
        <w:rPr>
          <w:rFonts w:ascii="Times New Roman" w:eastAsia="Times New Roman" w:hAnsi="Times New Roman" w:cs="Times New Roman"/>
          <w:noProof/>
          <w:szCs w:val="20"/>
          <w:lang w:eastAsia="sv-SE"/>
        </w:rPr>
      </w:pPr>
    </w:p>
    <w:p w:rsidR="00FE51AC" w:rsidRPr="001969FD" w:rsidRDefault="00FE51AC" w:rsidP="00FE51AC">
      <w:pPr>
        <w:widowControl w:val="0"/>
        <w:tabs>
          <w:tab w:val="left" w:pos="0"/>
          <w:tab w:val="left" w:pos="567"/>
        </w:tabs>
        <w:spacing w:after="0" w:line="240" w:lineRule="auto"/>
        <w:ind w:right="31"/>
        <w:rPr>
          <w:rFonts w:ascii="Times New Roman" w:eastAsia="Times New Roman" w:hAnsi="Times New Roman" w:cs="Times New Roman"/>
          <w:noProof/>
          <w:szCs w:val="20"/>
          <w:lang w:eastAsia="sv-SE"/>
        </w:rPr>
      </w:pPr>
    </w:p>
    <w:p w:rsidR="00FE51AC" w:rsidRPr="001969FD" w:rsidRDefault="00FE51AC" w:rsidP="00FE51AC">
      <w:pPr>
        <w:widowControl w:val="0"/>
        <w:tabs>
          <w:tab w:val="left" w:pos="0"/>
          <w:tab w:val="left" w:pos="567"/>
        </w:tabs>
        <w:spacing w:after="0" w:line="240" w:lineRule="auto"/>
        <w:ind w:right="31"/>
        <w:rPr>
          <w:rFonts w:ascii="Times New Roman" w:eastAsia="Times New Roman" w:hAnsi="Times New Roman" w:cs="Times New Roman"/>
          <w:noProof/>
          <w:szCs w:val="20"/>
          <w:lang w:eastAsia="sv-SE"/>
        </w:rPr>
      </w:pP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r w:rsidRPr="001969FD">
        <w:rPr>
          <w:rFonts w:ascii="Arial" w:eastAsia="Times New Roman" w:hAnsi="Arial" w:cs="Arial"/>
          <w:b/>
          <w:noProof/>
          <w:sz w:val="20"/>
          <w:szCs w:val="20"/>
          <w:lang w:eastAsia="lt-LT"/>
        </w:rPr>
        <w:lastRenderedPageBreak/>
        <w:drawing>
          <wp:inline distT="0" distB="0" distL="0" distR="0" wp14:anchorId="356CDEDB" wp14:editId="2CAE3B98">
            <wp:extent cx="2337683" cy="1916693"/>
            <wp:effectExtent l="0" t="0" r="5715" b="7620"/>
            <wp:docPr id="8" name="Picture 8" descr="C:\Users\SE51290\Pictures\Picture 7 plastic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E51290\Pictures\Picture 7 plastic ba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7503" cy="1916545"/>
                    </a:xfrm>
                    <a:prstGeom prst="rect">
                      <a:avLst/>
                    </a:prstGeom>
                    <a:noFill/>
                    <a:ln>
                      <a:noFill/>
                    </a:ln>
                  </pic:spPr>
                </pic:pic>
              </a:graphicData>
            </a:graphic>
          </wp:inline>
        </w:drawing>
      </w:r>
    </w:p>
    <w:p w:rsidR="00FE51AC" w:rsidRPr="001969FD" w:rsidRDefault="00FE51AC" w:rsidP="00FE51AC">
      <w:pPr>
        <w:widowControl w:val="0"/>
        <w:tabs>
          <w:tab w:val="left" w:pos="0"/>
          <w:tab w:val="left" w:pos="567"/>
        </w:tabs>
        <w:spacing w:after="0" w:line="240" w:lineRule="auto"/>
        <w:ind w:right="31"/>
        <w:rPr>
          <w:rFonts w:ascii="Times New Roman" w:eastAsia="Times New Roman" w:hAnsi="Times New Roman" w:cs="Times New Roman"/>
          <w:b/>
        </w:rPr>
      </w:pPr>
    </w:p>
    <w:p w:rsidR="00FE51AC" w:rsidRPr="001969FD" w:rsidRDefault="00FE51AC" w:rsidP="00FE51AC">
      <w:pPr>
        <w:widowControl w:val="0"/>
        <w:tabs>
          <w:tab w:val="left" w:pos="0"/>
          <w:tab w:val="left" w:pos="567"/>
        </w:tabs>
        <w:spacing w:after="0" w:line="240" w:lineRule="auto"/>
        <w:ind w:right="31"/>
        <w:rPr>
          <w:rFonts w:ascii="Times New Roman" w:eastAsia="Times New Roman" w:hAnsi="Times New Roman" w:cs="Times New Roman"/>
          <w:szCs w:val="20"/>
        </w:rPr>
      </w:pPr>
      <w:r w:rsidRPr="001969FD">
        <w:rPr>
          <w:rFonts w:ascii="Times New Roman" w:eastAsia="Times New Roman" w:hAnsi="Times New Roman" w:cs="Times New Roman"/>
          <w:szCs w:val="20"/>
        </w:rPr>
        <w:t>7. Suimkite infuzijos jungties pagrindą. Į infuzijos jungtį įkiškite smaigą, jį atsargiai sukiodami riešu, kol smaigas bus įkištas.</w:t>
      </w: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r w:rsidRPr="001969FD">
        <w:rPr>
          <w:rFonts w:ascii="Arial" w:eastAsia="Times New Roman" w:hAnsi="Arial" w:cs="Arial"/>
          <w:b/>
          <w:noProof/>
          <w:sz w:val="20"/>
          <w:szCs w:val="20"/>
          <w:lang w:eastAsia="lt-LT"/>
        </w:rPr>
        <w:drawing>
          <wp:inline distT="0" distB="0" distL="0" distR="0" wp14:anchorId="33310D5D" wp14:editId="7BDA65C6">
            <wp:extent cx="2337683" cy="1996312"/>
            <wp:effectExtent l="0" t="0" r="5715" b="4445"/>
            <wp:docPr id="9" name="Picture 9" descr="C:\Users\SE51290\Pictures\Picture 8 plastic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51290\Pictures\Picture 8 plastic bag.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7923" cy="1996517"/>
                    </a:xfrm>
                    <a:prstGeom prst="rect">
                      <a:avLst/>
                    </a:prstGeom>
                    <a:noFill/>
                    <a:ln>
                      <a:noFill/>
                    </a:ln>
                  </pic:spPr>
                </pic:pic>
              </a:graphicData>
            </a:graphic>
          </wp:inline>
        </w:drawing>
      </w:r>
    </w:p>
    <w:p w:rsidR="00FE51AC" w:rsidRPr="001969FD" w:rsidRDefault="00FE51AC" w:rsidP="00FE51AC">
      <w:pPr>
        <w:widowControl w:val="0"/>
        <w:tabs>
          <w:tab w:val="left" w:pos="0"/>
          <w:tab w:val="left" w:pos="567"/>
        </w:tabs>
        <w:spacing w:after="0" w:line="240" w:lineRule="auto"/>
        <w:ind w:right="31"/>
        <w:rPr>
          <w:rFonts w:ascii="Arial" w:eastAsia="Times New Roman" w:hAnsi="Arial" w:cs="Arial"/>
          <w:b/>
          <w:sz w:val="20"/>
          <w:szCs w:val="20"/>
        </w:rPr>
      </w:pPr>
    </w:p>
    <w:p w:rsidR="00FE51AC" w:rsidRPr="001969FD" w:rsidRDefault="00FE51AC" w:rsidP="00FE51AC">
      <w:pPr>
        <w:widowControl w:val="0"/>
        <w:tabs>
          <w:tab w:val="left" w:pos="0"/>
          <w:tab w:val="left" w:pos="567"/>
        </w:tabs>
        <w:spacing w:after="0" w:line="240" w:lineRule="auto"/>
        <w:ind w:right="31"/>
        <w:contextualSpacing/>
        <w:rPr>
          <w:rFonts w:ascii="Times New Roman" w:eastAsia="Times New Roman" w:hAnsi="Times New Roman" w:cs="Times New Roman"/>
        </w:rPr>
      </w:pPr>
      <w:r w:rsidRPr="001969FD">
        <w:rPr>
          <w:rFonts w:ascii="Times New Roman" w:eastAsia="Times New Roman" w:hAnsi="Times New Roman" w:cs="Times New Roman"/>
        </w:rPr>
        <w:t>8. Pakabinkite maišelį per laikiklio įpjovą ir pradėkite infuziją.</w:t>
      </w:r>
    </w:p>
    <w:p w:rsidR="00FE51AC" w:rsidRPr="001969FD" w:rsidRDefault="00FE51AC" w:rsidP="00FE51AC">
      <w:pPr>
        <w:widowControl w:val="0"/>
        <w:tabs>
          <w:tab w:val="left" w:pos="0"/>
          <w:tab w:val="left" w:pos="567"/>
        </w:tabs>
        <w:spacing w:after="0" w:line="240" w:lineRule="auto"/>
        <w:ind w:right="31"/>
        <w:rPr>
          <w:rFonts w:ascii="Arial" w:hAnsi="Arial"/>
          <w:b/>
          <w:sz w:val="20"/>
        </w:rPr>
      </w:pPr>
    </w:p>
    <w:p w:rsidR="00FE51AC" w:rsidRPr="001969FD" w:rsidRDefault="00FE51AC" w:rsidP="00FE51AC">
      <w:pPr>
        <w:widowControl w:val="0"/>
        <w:tabs>
          <w:tab w:val="left" w:pos="0"/>
          <w:tab w:val="left" w:pos="567"/>
        </w:tabs>
        <w:spacing w:after="0" w:line="240" w:lineRule="auto"/>
        <w:ind w:right="31"/>
        <w:rPr>
          <w:rFonts w:ascii="Times New Roman" w:hAnsi="Times New Roman"/>
        </w:rPr>
      </w:pPr>
    </w:p>
    <w:p w:rsidR="00FE51AC" w:rsidRPr="001969FD" w:rsidRDefault="00FE51AC" w:rsidP="00FE51AC">
      <w:pPr>
        <w:tabs>
          <w:tab w:val="left" w:pos="567"/>
        </w:tabs>
        <w:spacing w:after="0" w:line="240" w:lineRule="auto"/>
      </w:pPr>
    </w:p>
    <w:p w:rsidR="00FE51AC" w:rsidRPr="001969FD" w:rsidRDefault="00FE51AC" w:rsidP="00FE51AC">
      <w:pPr>
        <w:widowControl w:val="0"/>
        <w:tabs>
          <w:tab w:val="left" w:pos="0"/>
          <w:tab w:val="left" w:pos="567"/>
        </w:tabs>
        <w:spacing w:after="0" w:line="240" w:lineRule="auto"/>
        <w:ind w:right="31"/>
      </w:pPr>
      <w:bookmarkStart w:id="0" w:name="_GoBack"/>
      <w:bookmarkEnd w:id="0"/>
    </w:p>
    <w:p w:rsidR="00FE51AC" w:rsidRPr="001969FD" w:rsidRDefault="00FE51AC" w:rsidP="00FE51AC"/>
    <w:p w:rsidR="00FE51AC" w:rsidRPr="001969FD" w:rsidRDefault="00FE51AC" w:rsidP="00FE51AC"/>
    <w:p w:rsidR="00FE51AC" w:rsidRDefault="00FE51AC" w:rsidP="00FE51AC"/>
    <w:p w:rsidR="00FE51AC" w:rsidRDefault="00FE51AC" w:rsidP="00FE51AC"/>
    <w:p w:rsidR="00FE51AC" w:rsidRDefault="00FE51AC" w:rsidP="00FE51AC"/>
    <w:p w:rsidR="00FE51AC" w:rsidRDefault="00FE51AC" w:rsidP="00FE51AC"/>
    <w:p w:rsidR="009041DB" w:rsidRDefault="009041DB"/>
    <w:sectPr w:rsidR="009041DB" w:rsidSect="0057155C">
      <w:footerReference w:type="even" r:id="rId16"/>
      <w:footerReference w:type="default" r:id="rId17"/>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A72" w:rsidRDefault="00FE51A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DB0A72" w:rsidRDefault="00FE51A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A72" w:rsidRDefault="00FE51A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rsidR="00DB0A72" w:rsidRDefault="00FE51AC">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1AC"/>
    <w:rsid w:val="009041DB"/>
    <w:rsid w:val="00EE3634"/>
    <w:rsid w:val="00FE5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5D35B-AD06-4F2B-899D-4B58A006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51AC"/>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FE51AC"/>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rsid w:val="00FE51AC"/>
    <w:rPr>
      <w:rFonts w:ascii="Times New Roman" w:hAnsi="Times New Roman" w:cs="Times New Roman"/>
      <w:snapToGrid w:val="0"/>
      <w:szCs w:val="20"/>
      <w:lang w:val="en-GB" w:eastAsia="x-none"/>
    </w:rPr>
  </w:style>
  <w:style w:type="character" w:styleId="Puslapionumeris">
    <w:name w:val="page number"/>
    <w:rsid w:val="00FE51AC"/>
    <w:rPr>
      <w:rFonts w:cs="Times New Roman"/>
    </w:rPr>
  </w:style>
  <w:style w:type="paragraph" w:styleId="Antrats">
    <w:name w:val="header"/>
    <w:basedOn w:val="prastasis"/>
    <w:link w:val="AntratsDiagrama"/>
    <w:uiPriority w:val="99"/>
    <w:rsid w:val="00FE51AC"/>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FE51AC"/>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image" Target="media/image4.jpeg"/><Relationship Id="rId5" Type="http://schemas.openxmlformats.org/officeDocument/2006/relationships/hyperlink" Target="http://www.vvkt.lt" TargetMode="Externa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11449</Words>
  <Characters>6527</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2020-11-25T12:10:00Z</dcterms:created>
  <dcterms:modified xsi:type="dcterms:W3CDTF">2020-11-25T12:11:00Z</dcterms:modified>
</cp:coreProperties>
</file>