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A8CE8" w14:textId="77777777" w:rsidR="00AF362A" w:rsidRDefault="00AF362A" w:rsidP="00AF362A">
      <w:pPr>
        <w:jc w:val="center"/>
        <w:outlineLvl w:val="0"/>
        <w:rPr>
          <w:b/>
          <w:noProof/>
        </w:rPr>
      </w:pPr>
      <w:r w:rsidRPr="007D78EB">
        <w:rPr>
          <w:b/>
          <w:iCs/>
          <w:szCs w:val="22"/>
        </w:rPr>
        <w:t>Pakuotės lapelis: informacija vartotojui</w:t>
      </w:r>
    </w:p>
    <w:p w14:paraId="001CA236" w14:textId="77777777" w:rsidR="00AF362A" w:rsidRDefault="00AF362A" w:rsidP="00AF362A">
      <w:pPr>
        <w:jc w:val="center"/>
        <w:outlineLvl w:val="0"/>
        <w:rPr>
          <w:b/>
          <w:noProof/>
        </w:rPr>
      </w:pPr>
    </w:p>
    <w:p w14:paraId="6587A3E4" w14:textId="77777777" w:rsidR="00AF362A" w:rsidRDefault="00AF362A" w:rsidP="00AF362A">
      <w:pPr>
        <w:ind w:left="567" w:hanging="567"/>
        <w:jc w:val="center"/>
        <w:rPr>
          <w:b/>
        </w:rPr>
      </w:pPr>
      <w:proofErr w:type="spellStart"/>
      <w:r>
        <w:rPr>
          <w:b/>
        </w:rPr>
        <w:t>Arimidex</w:t>
      </w:r>
      <w:proofErr w:type="spellEnd"/>
      <w:r>
        <w:rPr>
          <w:b/>
        </w:rPr>
        <w:t xml:space="preserve"> 1 mg plėvele dengtos tabletės</w:t>
      </w:r>
    </w:p>
    <w:p w14:paraId="1FA75D77" w14:textId="77777777" w:rsidR="00AF362A" w:rsidRDefault="00AF362A" w:rsidP="00AF362A">
      <w:pPr>
        <w:ind w:left="567" w:hanging="567"/>
        <w:jc w:val="center"/>
      </w:pPr>
      <w:proofErr w:type="spellStart"/>
      <w:r>
        <w:t>Anastrozolas</w:t>
      </w:r>
      <w:proofErr w:type="spellEnd"/>
    </w:p>
    <w:p w14:paraId="72B954DA" w14:textId="77777777" w:rsidR="00AF362A" w:rsidRDefault="00AF362A" w:rsidP="00AF362A">
      <w:pPr>
        <w:jc w:val="center"/>
        <w:rPr>
          <w:noProof/>
        </w:rPr>
      </w:pPr>
    </w:p>
    <w:p w14:paraId="4AF918FE" w14:textId="77777777" w:rsidR="00AF362A" w:rsidRDefault="00AF362A" w:rsidP="00AF362A">
      <w:pPr>
        <w:ind w:left="567" w:hanging="567"/>
        <w:rPr>
          <w:b/>
        </w:rPr>
      </w:pPr>
      <w:r>
        <w:rPr>
          <w:b/>
        </w:rPr>
        <w:t xml:space="preserve">Atidžiai perskaitykite visą šį lapelį, prieš pradėdami vartoti vaistą, </w:t>
      </w:r>
      <w:r w:rsidRPr="00153901">
        <w:rPr>
          <w:b/>
        </w:rPr>
        <w:t>nes jame pateikiama Jums svarbi informacija</w:t>
      </w:r>
      <w:r>
        <w:rPr>
          <w:b/>
        </w:rPr>
        <w:t>.</w:t>
      </w:r>
    </w:p>
    <w:p w14:paraId="5140B465" w14:textId="77777777" w:rsidR="00AF362A" w:rsidRDefault="00AF362A" w:rsidP="00AF362A">
      <w:pPr>
        <w:ind w:left="567" w:hanging="567"/>
      </w:pPr>
      <w:r>
        <w:t>-</w:t>
      </w:r>
      <w:r>
        <w:tab/>
        <w:t>Neišmeskite šio lapelio, nes vėl gali prireikti jį perskaityti.</w:t>
      </w:r>
    </w:p>
    <w:p w14:paraId="3A5564A7" w14:textId="77777777" w:rsidR="00AF362A" w:rsidRDefault="00AF362A" w:rsidP="00AF362A">
      <w:pPr>
        <w:ind w:left="567" w:hanging="567"/>
      </w:pPr>
      <w:r>
        <w:t>-</w:t>
      </w:r>
      <w:r>
        <w:tab/>
        <w:t>Jeigu kiltų daugiau klausimų, kreipkitės į gydytoją, vaistininką arba slaugytoją.</w:t>
      </w:r>
    </w:p>
    <w:p w14:paraId="79032BF6" w14:textId="77777777" w:rsidR="00AF362A" w:rsidRDefault="00AF362A" w:rsidP="00AF362A">
      <w:pPr>
        <w:numPr>
          <w:ilvl w:val="0"/>
          <w:numId w:val="1"/>
        </w:numPr>
        <w:ind w:left="567" w:hanging="567"/>
      </w:pPr>
      <w:r>
        <w:t>Šis vaistas skirtas tik Jums todėl kitiems žmonėms jo duoti negalima. Vaistas gali jiems pakenkti (net tiems, kurių ligos požymiai yra tokie patys kaip Jūsų).</w:t>
      </w:r>
    </w:p>
    <w:p w14:paraId="09BA7FA5" w14:textId="77777777" w:rsidR="00AF362A" w:rsidRDefault="00AF362A" w:rsidP="00AF362A">
      <w:pPr>
        <w:numPr>
          <w:ilvl w:val="0"/>
          <w:numId w:val="1"/>
        </w:numPr>
        <w:ind w:left="567" w:hanging="567"/>
      </w:pPr>
      <w:r>
        <w:t xml:space="preserve">Jeigu pasireiškė šalutinis poveikis </w:t>
      </w:r>
      <w:r w:rsidRPr="00153901">
        <w:rPr>
          <w:szCs w:val="22"/>
        </w:rPr>
        <w:t>(net jeigu jis šiame lapelyje nenurodytas)</w:t>
      </w:r>
      <w:r>
        <w:rPr>
          <w:szCs w:val="22"/>
        </w:rPr>
        <w:t xml:space="preserve">, </w:t>
      </w:r>
      <w:r>
        <w:t xml:space="preserve">kreipkitės į </w:t>
      </w:r>
      <w:r w:rsidRPr="00153901">
        <w:rPr>
          <w:szCs w:val="22"/>
        </w:rPr>
        <w:t>gydytoją</w:t>
      </w:r>
      <w:r>
        <w:rPr>
          <w:szCs w:val="22"/>
        </w:rPr>
        <w:t>, vaistininką arba slaugytoją</w:t>
      </w:r>
      <w:r>
        <w:t xml:space="preserve">. </w:t>
      </w:r>
      <w:r w:rsidRPr="008B7B7A">
        <w:t>Žr. 4 skyrių.</w:t>
      </w:r>
    </w:p>
    <w:p w14:paraId="52BF9968" w14:textId="77777777" w:rsidR="00AF362A" w:rsidRDefault="00AF362A" w:rsidP="00AF362A">
      <w:pPr>
        <w:ind w:right="-2"/>
      </w:pPr>
    </w:p>
    <w:p w14:paraId="1B6D1B07" w14:textId="77777777" w:rsidR="00AF362A" w:rsidRDefault="00AF362A" w:rsidP="00AF362A">
      <w:pPr>
        <w:ind w:right="-2"/>
      </w:pPr>
    </w:p>
    <w:p w14:paraId="43B292C4" w14:textId="77777777" w:rsidR="00AF362A" w:rsidRDefault="00AF362A" w:rsidP="00AF362A">
      <w:pPr>
        <w:ind w:left="567" w:hanging="567"/>
        <w:outlineLvl w:val="0"/>
        <w:rPr>
          <w:b/>
        </w:rPr>
      </w:pPr>
      <w:r w:rsidRPr="003F49CA">
        <w:t xml:space="preserve"> </w:t>
      </w:r>
      <w:r w:rsidRPr="001B7E1D">
        <w:rPr>
          <w:b/>
        </w:rPr>
        <w:t>Apie ką rašoma šiame lapelyje?</w:t>
      </w:r>
    </w:p>
    <w:p w14:paraId="34B53E06" w14:textId="77777777" w:rsidR="00AF362A" w:rsidRDefault="00AF362A" w:rsidP="00AF362A">
      <w:pPr>
        <w:ind w:left="567" w:hanging="567"/>
        <w:outlineLvl w:val="0"/>
        <w:rPr>
          <w:b/>
        </w:rPr>
      </w:pPr>
    </w:p>
    <w:p w14:paraId="28193756" w14:textId="77777777" w:rsidR="00AF362A" w:rsidRDefault="00AF362A" w:rsidP="00AF362A">
      <w:pPr>
        <w:numPr>
          <w:ilvl w:val="0"/>
          <w:numId w:val="5"/>
        </w:numPr>
      </w:pPr>
      <w:r>
        <w:t xml:space="preserve">Kas yra </w:t>
      </w:r>
      <w:proofErr w:type="spellStart"/>
      <w:r>
        <w:t>Arimidex</w:t>
      </w:r>
      <w:proofErr w:type="spellEnd"/>
      <w:r>
        <w:t xml:space="preserve"> ir kam jis vartojamas</w:t>
      </w:r>
    </w:p>
    <w:p w14:paraId="6A6C98D5" w14:textId="77777777" w:rsidR="00AF362A" w:rsidRDefault="00AF362A" w:rsidP="00AF362A">
      <w:pPr>
        <w:numPr>
          <w:ilvl w:val="0"/>
          <w:numId w:val="5"/>
        </w:numPr>
      </w:pPr>
      <w:r>
        <w:t xml:space="preserve">Kas žinotina prieš vartojant </w:t>
      </w:r>
      <w:proofErr w:type="spellStart"/>
      <w:r>
        <w:t>Arimidex</w:t>
      </w:r>
      <w:proofErr w:type="spellEnd"/>
    </w:p>
    <w:p w14:paraId="6330253A" w14:textId="77777777" w:rsidR="00AF362A" w:rsidRDefault="00AF362A" w:rsidP="00AF362A">
      <w:pPr>
        <w:numPr>
          <w:ilvl w:val="0"/>
          <w:numId w:val="5"/>
        </w:numPr>
      </w:pPr>
      <w:r>
        <w:t xml:space="preserve">Kaip vartoti </w:t>
      </w:r>
      <w:proofErr w:type="spellStart"/>
      <w:r>
        <w:t>Arimidex</w:t>
      </w:r>
      <w:proofErr w:type="spellEnd"/>
    </w:p>
    <w:p w14:paraId="491119F5" w14:textId="77777777" w:rsidR="00AF362A" w:rsidRDefault="00AF362A" w:rsidP="00AF362A">
      <w:pPr>
        <w:numPr>
          <w:ilvl w:val="0"/>
          <w:numId w:val="5"/>
        </w:numPr>
      </w:pPr>
      <w:r>
        <w:t>Galimas šalutinis poveikis</w:t>
      </w:r>
    </w:p>
    <w:p w14:paraId="301D9775" w14:textId="77777777" w:rsidR="00AF362A" w:rsidRDefault="00AF362A" w:rsidP="00AF362A">
      <w:pPr>
        <w:numPr>
          <w:ilvl w:val="0"/>
          <w:numId w:val="5"/>
        </w:numPr>
      </w:pPr>
      <w:r>
        <w:t xml:space="preserve">Kaip laikyti </w:t>
      </w:r>
      <w:proofErr w:type="spellStart"/>
      <w:r>
        <w:t>Arimidex</w:t>
      </w:r>
      <w:proofErr w:type="spellEnd"/>
    </w:p>
    <w:p w14:paraId="7A4839F8" w14:textId="77777777" w:rsidR="00AF362A" w:rsidRDefault="00AF362A" w:rsidP="00AF362A">
      <w:pPr>
        <w:numPr>
          <w:ilvl w:val="0"/>
          <w:numId w:val="5"/>
        </w:numPr>
      </w:pPr>
      <w:r>
        <w:t>Pakuotės turinys ir kita informacija</w:t>
      </w:r>
    </w:p>
    <w:p w14:paraId="3FE4D076" w14:textId="77777777" w:rsidR="00AF362A" w:rsidRDefault="00AF362A" w:rsidP="00AF362A">
      <w:pPr>
        <w:ind w:left="567" w:hanging="567"/>
        <w:rPr>
          <w:noProof/>
        </w:rPr>
      </w:pPr>
    </w:p>
    <w:p w14:paraId="481E11F6" w14:textId="77777777" w:rsidR="00AF362A" w:rsidRDefault="00AF362A" w:rsidP="00AF362A">
      <w:pPr>
        <w:ind w:left="567" w:hanging="567"/>
        <w:rPr>
          <w:noProof/>
        </w:rPr>
      </w:pPr>
    </w:p>
    <w:p w14:paraId="44A3F511" w14:textId="77777777" w:rsidR="00AF362A" w:rsidRDefault="00AF362A" w:rsidP="00AF362A">
      <w:pPr>
        <w:numPr>
          <w:ilvl w:val="12"/>
          <w:numId w:val="0"/>
        </w:numPr>
        <w:ind w:left="567" w:hanging="567"/>
        <w:outlineLvl w:val="0"/>
        <w:rPr>
          <w:b/>
          <w:caps/>
          <w:noProof/>
        </w:rPr>
      </w:pPr>
      <w:r>
        <w:rPr>
          <w:b/>
          <w:noProof/>
        </w:rPr>
        <w:t>1.</w:t>
      </w:r>
      <w:r>
        <w:rPr>
          <w:b/>
          <w:noProof/>
        </w:rPr>
        <w:tab/>
      </w:r>
      <w:r w:rsidRPr="007E3297">
        <w:rPr>
          <w:b/>
        </w:rPr>
        <w:t xml:space="preserve">Kas yra </w:t>
      </w:r>
      <w:proofErr w:type="spellStart"/>
      <w:r w:rsidRPr="007E3297">
        <w:rPr>
          <w:b/>
        </w:rPr>
        <w:t>Arimidex</w:t>
      </w:r>
      <w:proofErr w:type="spellEnd"/>
      <w:r w:rsidRPr="007E3297">
        <w:rPr>
          <w:b/>
        </w:rPr>
        <w:t xml:space="preserve"> ir kam jis vartojamas</w:t>
      </w:r>
    </w:p>
    <w:p w14:paraId="60FD59D3" w14:textId="77777777" w:rsidR="00AF362A" w:rsidRDefault="00AF362A" w:rsidP="00AF362A">
      <w:pPr>
        <w:ind w:left="567" w:hanging="567"/>
        <w:rPr>
          <w:noProof/>
        </w:rPr>
      </w:pPr>
    </w:p>
    <w:p w14:paraId="726BECE2" w14:textId="77777777" w:rsidR="00AF362A" w:rsidRDefault="00AF362A" w:rsidP="00AF362A">
      <w:proofErr w:type="spellStart"/>
      <w:r>
        <w:t>Arimidex</w:t>
      </w:r>
      <w:proofErr w:type="spellEnd"/>
      <w:r>
        <w:t xml:space="preserve"> sudėtyje yra </w:t>
      </w:r>
      <w:proofErr w:type="spellStart"/>
      <w:r>
        <w:t>anastrozolo</w:t>
      </w:r>
      <w:proofErr w:type="spellEnd"/>
      <w:r>
        <w:t xml:space="preserve"> (jis priklauso vaistų, vadinamų </w:t>
      </w:r>
      <w:proofErr w:type="spellStart"/>
      <w:r>
        <w:t>aromatazės</w:t>
      </w:r>
      <w:proofErr w:type="spellEnd"/>
      <w:r>
        <w:t xml:space="preserve"> inhibitoriais, grupei). </w:t>
      </w:r>
      <w:proofErr w:type="spellStart"/>
      <w:r>
        <w:t>Arimidex</w:t>
      </w:r>
      <w:proofErr w:type="spellEnd"/>
      <w:r>
        <w:t xml:space="preserve"> vartojamas moterų po menopauzės krūties vėžiui gydyti.</w:t>
      </w:r>
    </w:p>
    <w:p w14:paraId="316B9642" w14:textId="77777777" w:rsidR="00AF362A" w:rsidRDefault="00AF362A" w:rsidP="00AF362A"/>
    <w:p w14:paraId="07703B12" w14:textId="77777777" w:rsidR="00AF362A" w:rsidRDefault="00AF362A" w:rsidP="00AF362A">
      <w:proofErr w:type="spellStart"/>
      <w:r>
        <w:t>Arimidex</w:t>
      </w:r>
      <w:proofErr w:type="spellEnd"/>
      <w:r>
        <w:t xml:space="preserve"> mažina hormono, vadinamo estrogenu, gamybą organizme, kadangi blokuoja ją skatinančią natūralią medžiagą (fermentą), vadinamą </w:t>
      </w:r>
      <w:proofErr w:type="spellStart"/>
      <w:r>
        <w:t>aromataze</w:t>
      </w:r>
      <w:proofErr w:type="spellEnd"/>
      <w:r>
        <w:t>.</w:t>
      </w:r>
    </w:p>
    <w:p w14:paraId="7796D3E3" w14:textId="77777777" w:rsidR="00AF362A" w:rsidRDefault="00AF362A" w:rsidP="00AF362A">
      <w:pPr>
        <w:numPr>
          <w:ilvl w:val="12"/>
          <w:numId w:val="0"/>
        </w:numPr>
        <w:rPr>
          <w:noProof/>
        </w:rPr>
      </w:pPr>
    </w:p>
    <w:p w14:paraId="704BAE10" w14:textId="77777777" w:rsidR="00AF362A" w:rsidRDefault="00AF362A" w:rsidP="00AF362A">
      <w:pPr>
        <w:numPr>
          <w:ilvl w:val="12"/>
          <w:numId w:val="0"/>
        </w:numPr>
        <w:rPr>
          <w:noProof/>
        </w:rPr>
      </w:pPr>
    </w:p>
    <w:p w14:paraId="22618CBB" w14:textId="77777777" w:rsidR="00AF362A" w:rsidRDefault="00AF362A" w:rsidP="00AF362A">
      <w:pPr>
        <w:numPr>
          <w:ilvl w:val="12"/>
          <w:numId w:val="0"/>
        </w:numPr>
        <w:ind w:left="567" w:hanging="567"/>
        <w:outlineLvl w:val="0"/>
        <w:rPr>
          <w:b/>
          <w:caps/>
          <w:noProof/>
        </w:rPr>
      </w:pPr>
      <w:r>
        <w:rPr>
          <w:b/>
          <w:noProof/>
        </w:rPr>
        <w:t>2.</w:t>
      </w:r>
      <w:r>
        <w:rPr>
          <w:b/>
          <w:noProof/>
        </w:rPr>
        <w:tab/>
        <w:t>Kas žinotina prieš vartojant Arimidex</w:t>
      </w:r>
    </w:p>
    <w:p w14:paraId="1360B196" w14:textId="77777777" w:rsidR="00AF362A" w:rsidRDefault="00AF362A" w:rsidP="00AF362A">
      <w:pPr>
        <w:ind w:left="567" w:hanging="567"/>
        <w:rPr>
          <w:noProof/>
        </w:rPr>
      </w:pPr>
    </w:p>
    <w:p w14:paraId="7F897E30" w14:textId="77777777" w:rsidR="00AF362A" w:rsidRDefault="00AF362A" w:rsidP="00AF362A">
      <w:pPr>
        <w:ind w:left="567" w:hanging="567"/>
        <w:outlineLvl w:val="0"/>
        <w:rPr>
          <w:b/>
          <w:caps/>
        </w:rPr>
      </w:pPr>
      <w:proofErr w:type="spellStart"/>
      <w:r>
        <w:rPr>
          <w:b/>
        </w:rPr>
        <w:t>Arimidex</w:t>
      </w:r>
      <w:proofErr w:type="spellEnd"/>
      <w:r>
        <w:rPr>
          <w:b/>
          <w:bCs/>
        </w:rPr>
        <w:t xml:space="preserve"> vartoti negalima</w:t>
      </w:r>
    </w:p>
    <w:p w14:paraId="58BAE834" w14:textId="77777777" w:rsidR="00AF362A" w:rsidRDefault="00AF362A" w:rsidP="00AF362A">
      <w:pPr>
        <w:ind w:left="567" w:hanging="567"/>
      </w:pPr>
      <w:r>
        <w:t>-</w:t>
      </w:r>
      <w:r>
        <w:tab/>
        <w:t xml:space="preserve">jeigu yra alergija </w:t>
      </w:r>
      <w:proofErr w:type="spellStart"/>
      <w:r>
        <w:t>anastrozolui</w:t>
      </w:r>
      <w:proofErr w:type="spellEnd"/>
      <w:r>
        <w:t xml:space="preserve"> arba bet kuriai pagalbinei šio vaisto  medžiagai (jos išvardytos žr. 6 skyriuje </w:t>
      </w:r>
    </w:p>
    <w:p w14:paraId="156AFAF8" w14:textId="77777777" w:rsidR="00AF362A" w:rsidRDefault="00AF362A" w:rsidP="00AF362A">
      <w:pPr>
        <w:ind w:left="567" w:hanging="567"/>
      </w:pPr>
      <w:r>
        <w:t>-</w:t>
      </w:r>
      <w:r>
        <w:tab/>
        <w:t>nėščiosioms ir žindyvėms (žr. skyrių „Nėštumas ir žindymo laikotarpis“).</w:t>
      </w:r>
    </w:p>
    <w:p w14:paraId="442ABB09" w14:textId="77777777" w:rsidR="00AF362A" w:rsidRDefault="00AF362A" w:rsidP="00AF362A">
      <w:pPr>
        <w:numPr>
          <w:ilvl w:val="12"/>
          <w:numId w:val="0"/>
        </w:numPr>
        <w:ind w:left="567" w:hanging="567"/>
      </w:pPr>
    </w:p>
    <w:p w14:paraId="365611ED" w14:textId="77777777" w:rsidR="00AF362A" w:rsidRDefault="00AF362A" w:rsidP="00AF362A">
      <w:pPr>
        <w:numPr>
          <w:ilvl w:val="12"/>
          <w:numId w:val="0"/>
        </w:numPr>
        <w:ind w:right="-2"/>
      </w:pPr>
      <w:r>
        <w:t xml:space="preserve">Nevartokite </w:t>
      </w:r>
      <w:proofErr w:type="spellStart"/>
      <w:r>
        <w:t>Arimidex</w:t>
      </w:r>
      <w:proofErr w:type="spellEnd"/>
      <w:r>
        <w:t xml:space="preserve">, jeigu turite kurią nors iš aukščiau išvardytų problemų. Jeigu abejojate, aptarkite tai su gydytoju arba vaistininku, prieš pradėdami vartoti </w:t>
      </w:r>
      <w:proofErr w:type="spellStart"/>
      <w:r>
        <w:t>Arimidex</w:t>
      </w:r>
      <w:proofErr w:type="spellEnd"/>
      <w:r>
        <w:t>.</w:t>
      </w:r>
    </w:p>
    <w:p w14:paraId="1EFA79C8" w14:textId="77777777" w:rsidR="00AF362A" w:rsidRDefault="00AF362A" w:rsidP="00AF362A">
      <w:pPr>
        <w:numPr>
          <w:ilvl w:val="12"/>
          <w:numId w:val="0"/>
        </w:numPr>
        <w:ind w:left="567" w:hanging="567"/>
      </w:pPr>
    </w:p>
    <w:p w14:paraId="0A1EA87B" w14:textId="77777777" w:rsidR="00AF362A" w:rsidRDefault="00AF362A" w:rsidP="00AF362A">
      <w:pPr>
        <w:ind w:left="567" w:hanging="567"/>
        <w:outlineLvl w:val="0"/>
        <w:rPr>
          <w:b/>
        </w:rPr>
      </w:pPr>
      <w:r w:rsidRPr="00622048">
        <w:rPr>
          <w:b/>
        </w:rPr>
        <w:t>Įspėjimai ir atsargumo priemonės</w:t>
      </w:r>
    </w:p>
    <w:p w14:paraId="55321A59" w14:textId="77777777" w:rsidR="00AF362A" w:rsidRDefault="00AF362A" w:rsidP="00AF362A">
      <w:pPr>
        <w:numPr>
          <w:ilvl w:val="12"/>
          <w:numId w:val="0"/>
        </w:numPr>
        <w:ind w:right="-2"/>
      </w:pPr>
      <w:r w:rsidRPr="00153901">
        <w:t>Pasitarkite su gydytoju</w:t>
      </w:r>
      <w:r>
        <w:t>, vaistininku arba slaugytoju</w:t>
      </w:r>
      <w:r w:rsidRPr="00153901">
        <w:t xml:space="preserve"> </w:t>
      </w:r>
      <w:r>
        <w:t xml:space="preserve">prieš </w:t>
      </w:r>
      <w:r w:rsidRPr="00153901">
        <w:t xml:space="preserve">pradėdami vartoti </w:t>
      </w:r>
      <w:proofErr w:type="spellStart"/>
      <w:r>
        <w:t>Arimidex</w:t>
      </w:r>
      <w:proofErr w:type="spellEnd"/>
      <w:r>
        <w:t>:</w:t>
      </w:r>
    </w:p>
    <w:p w14:paraId="7E29B3DA" w14:textId="77777777" w:rsidR="00AF362A" w:rsidRDefault="00AF362A" w:rsidP="00AF362A">
      <w:pPr>
        <w:numPr>
          <w:ilvl w:val="0"/>
          <w:numId w:val="6"/>
        </w:numPr>
        <w:ind w:left="567" w:hanging="567"/>
      </w:pPr>
      <w:r>
        <w:t xml:space="preserve">jeigu dar vyksta menstruacijos ir </w:t>
      </w:r>
      <w:proofErr w:type="spellStart"/>
      <w:r>
        <w:t>menopauzinė</w:t>
      </w:r>
      <w:proofErr w:type="spellEnd"/>
      <w:r>
        <w:t xml:space="preserve"> neprasidėjusi;</w:t>
      </w:r>
    </w:p>
    <w:p w14:paraId="20E5A523" w14:textId="77777777" w:rsidR="00AF362A" w:rsidRDefault="00AF362A" w:rsidP="00AF362A">
      <w:pPr>
        <w:numPr>
          <w:ilvl w:val="0"/>
          <w:numId w:val="6"/>
        </w:numPr>
        <w:ind w:left="567" w:hanging="567"/>
      </w:pPr>
      <w:r>
        <w:t xml:space="preserve">jeigu vartojate vaistą, vadinamą </w:t>
      </w:r>
      <w:proofErr w:type="spellStart"/>
      <w:r>
        <w:t>tamoksifenu</w:t>
      </w:r>
      <w:proofErr w:type="spellEnd"/>
      <w:r>
        <w:t xml:space="preserve">, arba vaistų, kurių sudėtyje yra estrogeno (žr. skyrių „Kiti vaistai ir </w:t>
      </w:r>
      <w:proofErr w:type="spellStart"/>
      <w:r>
        <w:t>Arimidex</w:t>
      </w:r>
      <w:proofErr w:type="spellEnd"/>
      <w:r>
        <w:t>“);</w:t>
      </w:r>
    </w:p>
    <w:p w14:paraId="24FCFBC5" w14:textId="77777777" w:rsidR="00AF362A" w:rsidRDefault="00AF362A" w:rsidP="00AF362A">
      <w:pPr>
        <w:numPr>
          <w:ilvl w:val="0"/>
          <w:numId w:val="6"/>
        </w:numPr>
        <w:ind w:left="567" w:hanging="567"/>
      </w:pPr>
      <w:r>
        <w:t>jeigu sirgote arba sergate liga, dėl kurios silpnėja kaulai (osteoporoze);</w:t>
      </w:r>
    </w:p>
    <w:p w14:paraId="1853760E" w14:textId="77777777" w:rsidR="00AF362A" w:rsidRDefault="00AF362A" w:rsidP="00AF362A">
      <w:pPr>
        <w:numPr>
          <w:ilvl w:val="0"/>
          <w:numId w:val="6"/>
        </w:numPr>
        <w:ind w:left="567" w:hanging="567"/>
      </w:pPr>
      <w:r>
        <w:t>jeigu nesveikos Jūsų kepenys arba inkstai.</w:t>
      </w:r>
    </w:p>
    <w:p w14:paraId="54E4C77C" w14:textId="77777777" w:rsidR="00AF362A" w:rsidRDefault="00AF362A" w:rsidP="00AF362A">
      <w:pPr>
        <w:numPr>
          <w:ilvl w:val="12"/>
          <w:numId w:val="0"/>
        </w:numPr>
        <w:ind w:right="-2"/>
      </w:pPr>
    </w:p>
    <w:p w14:paraId="67C5B610" w14:textId="77777777" w:rsidR="00AF362A" w:rsidRDefault="00AF362A" w:rsidP="00AF362A">
      <w:pPr>
        <w:numPr>
          <w:ilvl w:val="12"/>
          <w:numId w:val="0"/>
        </w:numPr>
        <w:ind w:right="-2"/>
      </w:pPr>
      <w:r>
        <w:t xml:space="preserve">Jeigu abejojate, ar turite kurią nors iš šių problemų, aptarkite tai su gydytoju arba vaistininku, prieš pradėdami vartoti </w:t>
      </w:r>
      <w:proofErr w:type="spellStart"/>
      <w:r>
        <w:t>Arimidex</w:t>
      </w:r>
      <w:proofErr w:type="spellEnd"/>
      <w:r>
        <w:t>.</w:t>
      </w:r>
    </w:p>
    <w:p w14:paraId="26E671BC" w14:textId="77777777" w:rsidR="00AF362A" w:rsidRDefault="00AF362A" w:rsidP="00AF362A">
      <w:pPr>
        <w:numPr>
          <w:ilvl w:val="12"/>
          <w:numId w:val="0"/>
        </w:numPr>
        <w:ind w:right="-2"/>
      </w:pPr>
    </w:p>
    <w:p w14:paraId="71A5FEAE" w14:textId="77777777" w:rsidR="00AF362A" w:rsidRDefault="00AF362A" w:rsidP="00AF362A">
      <w:pPr>
        <w:numPr>
          <w:ilvl w:val="12"/>
          <w:numId w:val="0"/>
        </w:numPr>
        <w:ind w:right="-2"/>
      </w:pPr>
      <w:r>
        <w:t xml:space="preserve">Nuvykusi į ligoninę apie </w:t>
      </w:r>
      <w:proofErr w:type="spellStart"/>
      <w:r>
        <w:t>Arimidex</w:t>
      </w:r>
      <w:proofErr w:type="spellEnd"/>
      <w:r>
        <w:t xml:space="preserve"> vartojimą informuokite medicinos personalą.</w:t>
      </w:r>
    </w:p>
    <w:p w14:paraId="08283AB2" w14:textId="77777777" w:rsidR="00AF362A" w:rsidRDefault="00AF362A" w:rsidP="00AF362A">
      <w:pPr>
        <w:numPr>
          <w:ilvl w:val="12"/>
          <w:numId w:val="0"/>
        </w:numPr>
        <w:ind w:right="-2"/>
      </w:pPr>
    </w:p>
    <w:p w14:paraId="0A607E48" w14:textId="77777777" w:rsidR="00AF362A" w:rsidRDefault="00AF362A" w:rsidP="00AF362A">
      <w:pPr>
        <w:ind w:left="567" w:hanging="567"/>
        <w:outlineLvl w:val="0"/>
        <w:rPr>
          <w:b/>
        </w:rPr>
      </w:pPr>
      <w:r>
        <w:rPr>
          <w:b/>
        </w:rPr>
        <w:lastRenderedPageBreak/>
        <w:t xml:space="preserve">Kiti vaistai ir </w:t>
      </w:r>
      <w:proofErr w:type="spellStart"/>
      <w:r>
        <w:rPr>
          <w:b/>
        </w:rPr>
        <w:t>Arimidex</w:t>
      </w:r>
      <w:proofErr w:type="spellEnd"/>
    </w:p>
    <w:p w14:paraId="32D94BCD" w14:textId="77777777" w:rsidR="00AF362A" w:rsidRDefault="00AF362A" w:rsidP="00AF362A">
      <w:r>
        <w:t xml:space="preserve">Jeigu vartojate arba neseniai vartojote kitų vaistų, pasakykite gydytojui arba vaistininkui. Tai svarbu dėl to, kad </w:t>
      </w:r>
      <w:proofErr w:type="spellStart"/>
      <w:r>
        <w:t>Arimidex</w:t>
      </w:r>
      <w:proofErr w:type="spellEnd"/>
      <w:r>
        <w:t xml:space="preserve"> gali keisti kai kurių kitų vaistų poveikį, o kai kurie kiti vaistai gali keisti </w:t>
      </w:r>
      <w:proofErr w:type="spellStart"/>
      <w:r>
        <w:t>Arimidex</w:t>
      </w:r>
      <w:proofErr w:type="spellEnd"/>
      <w:r>
        <w:t xml:space="preserve"> poveikį.</w:t>
      </w:r>
    </w:p>
    <w:p w14:paraId="553DC16D" w14:textId="77777777" w:rsidR="00AF362A" w:rsidRDefault="00AF362A" w:rsidP="00AF362A"/>
    <w:p w14:paraId="3D325727" w14:textId="77777777" w:rsidR="00AF362A" w:rsidRDefault="00AF362A" w:rsidP="00AF362A">
      <w:r>
        <w:t xml:space="preserve">Nevartokite </w:t>
      </w:r>
      <w:proofErr w:type="spellStart"/>
      <w:r>
        <w:t>Arimidex</w:t>
      </w:r>
      <w:proofErr w:type="spellEnd"/>
      <w:r>
        <w:t>, jeigu jau vartojate kurį nors iš šių vaistų:</w:t>
      </w:r>
    </w:p>
    <w:p w14:paraId="4F4643DD" w14:textId="77777777" w:rsidR="00AF362A" w:rsidRDefault="00AF362A" w:rsidP="00AF362A">
      <w:pPr>
        <w:numPr>
          <w:ilvl w:val="0"/>
          <w:numId w:val="1"/>
        </w:numPr>
      </w:pPr>
      <w:r>
        <w:t xml:space="preserve">tam tikrų vaistų krūties vėžiui gydyti – selektyvių estrogenų receptorių moduliatorių, pvz., </w:t>
      </w:r>
      <w:proofErr w:type="spellStart"/>
      <w:r>
        <w:t>tamoksifeno</w:t>
      </w:r>
      <w:proofErr w:type="spellEnd"/>
      <w:r>
        <w:t xml:space="preserve"> (šie vaistai gali sutrikdyti </w:t>
      </w:r>
      <w:proofErr w:type="spellStart"/>
      <w:r>
        <w:t>Arimidex</w:t>
      </w:r>
      <w:proofErr w:type="spellEnd"/>
      <w:r>
        <w:t xml:space="preserve"> veikimą);</w:t>
      </w:r>
    </w:p>
    <w:p w14:paraId="55A6672D" w14:textId="77777777" w:rsidR="00AF362A" w:rsidRDefault="00AF362A" w:rsidP="00AF362A">
      <w:pPr>
        <w:numPr>
          <w:ilvl w:val="0"/>
          <w:numId w:val="1"/>
        </w:numPr>
      </w:pPr>
      <w:r>
        <w:t>vaistų, kurių sudėtyje yra estrogenų pvz., pakeičiamajam hormoniniam gydymui.</w:t>
      </w:r>
    </w:p>
    <w:p w14:paraId="6BD106C8" w14:textId="77777777" w:rsidR="00AF362A" w:rsidRDefault="00AF362A" w:rsidP="00AF362A">
      <w:r>
        <w:t>Jeigu vartojate kurį nors iš šių vaistų, pasitarkite su gydytoju arba vaistininku.</w:t>
      </w:r>
    </w:p>
    <w:p w14:paraId="4CFE13E7" w14:textId="77777777" w:rsidR="00AF362A" w:rsidRDefault="00AF362A" w:rsidP="00AF362A"/>
    <w:p w14:paraId="4A4E5876" w14:textId="77777777" w:rsidR="00AF362A" w:rsidRDefault="00AF362A" w:rsidP="00AF362A">
      <w:r>
        <w:t>Pasakykite gydytojui arba vaistininkui, jeigu vartojate:</w:t>
      </w:r>
    </w:p>
    <w:p w14:paraId="3AA49503" w14:textId="77777777" w:rsidR="00AF362A" w:rsidRDefault="00AF362A" w:rsidP="00AF362A">
      <w:pPr>
        <w:numPr>
          <w:ilvl w:val="0"/>
          <w:numId w:val="1"/>
        </w:numPr>
      </w:pPr>
      <w:r>
        <w:t>vaistą, vadinamą LHRH analogu (</w:t>
      </w:r>
      <w:proofErr w:type="spellStart"/>
      <w:r>
        <w:rPr>
          <w:szCs w:val="22"/>
        </w:rPr>
        <w:t>gonadoreliną</w:t>
      </w:r>
      <w:proofErr w:type="spellEnd"/>
      <w:r>
        <w:rPr>
          <w:szCs w:val="22"/>
        </w:rPr>
        <w:t xml:space="preserve">, </w:t>
      </w:r>
      <w:proofErr w:type="spellStart"/>
      <w:r>
        <w:rPr>
          <w:szCs w:val="22"/>
        </w:rPr>
        <w:t>busereliną</w:t>
      </w:r>
      <w:proofErr w:type="spellEnd"/>
      <w:r>
        <w:rPr>
          <w:szCs w:val="22"/>
        </w:rPr>
        <w:t xml:space="preserve">, </w:t>
      </w:r>
      <w:proofErr w:type="spellStart"/>
      <w:r>
        <w:rPr>
          <w:szCs w:val="22"/>
        </w:rPr>
        <w:t>gosereliną</w:t>
      </w:r>
      <w:proofErr w:type="spellEnd"/>
      <w:r>
        <w:rPr>
          <w:szCs w:val="22"/>
        </w:rPr>
        <w:t xml:space="preserve">, </w:t>
      </w:r>
      <w:proofErr w:type="spellStart"/>
      <w:r>
        <w:rPr>
          <w:szCs w:val="22"/>
        </w:rPr>
        <w:t>leuproreliną</w:t>
      </w:r>
      <w:proofErr w:type="spellEnd"/>
      <w:r>
        <w:rPr>
          <w:szCs w:val="22"/>
        </w:rPr>
        <w:t xml:space="preserve"> arba </w:t>
      </w:r>
      <w:proofErr w:type="spellStart"/>
      <w:r>
        <w:rPr>
          <w:szCs w:val="22"/>
        </w:rPr>
        <w:t>triptoreliną</w:t>
      </w:r>
      <w:proofErr w:type="spellEnd"/>
      <w:r>
        <w:rPr>
          <w:szCs w:val="22"/>
        </w:rPr>
        <w:t xml:space="preserve">). Jų skiriama </w:t>
      </w:r>
      <w:r>
        <w:t>krūties vėžiui, kai kurioms moterų (ginekologinėms) ligoms ir nevaisingumui gydyti.</w:t>
      </w:r>
    </w:p>
    <w:p w14:paraId="56F56E61" w14:textId="77777777" w:rsidR="00AF362A" w:rsidRDefault="00AF362A" w:rsidP="00AF362A">
      <w:pPr>
        <w:numPr>
          <w:ilvl w:val="12"/>
          <w:numId w:val="0"/>
        </w:numPr>
        <w:ind w:right="-2"/>
      </w:pPr>
    </w:p>
    <w:p w14:paraId="2098545C" w14:textId="77777777" w:rsidR="00AF362A" w:rsidRDefault="00AF362A" w:rsidP="00AF362A">
      <w:pPr>
        <w:ind w:left="567" w:hanging="567"/>
        <w:outlineLvl w:val="0"/>
        <w:rPr>
          <w:b/>
        </w:rPr>
      </w:pPr>
      <w:r>
        <w:rPr>
          <w:b/>
        </w:rPr>
        <w:t>Nėštumas, žindymo laikotarpis ir vaisingumas</w:t>
      </w:r>
    </w:p>
    <w:p w14:paraId="0EE90E17" w14:textId="77777777" w:rsidR="00AF362A" w:rsidRDefault="00AF362A" w:rsidP="00AF362A">
      <w:pPr>
        <w:numPr>
          <w:ilvl w:val="12"/>
          <w:numId w:val="0"/>
        </w:numPr>
        <w:ind w:right="-2"/>
      </w:pPr>
      <w:r>
        <w:t xml:space="preserve">Jeigu esate nėščia arba žindote kūdikį, </w:t>
      </w:r>
      <w:proofErr w:type="spellStart"/>
      <w:r>
        <w:t>Arimidex</w:t>
      </w:r>
      <w:proofErr w:type="spellEnd"/>
      <w:r>
        <w:t xml:space="preserve"> vartoti negalima. Pastojus reikia nutraukti </w:t>
      </w:r>
      <w:proofErr w:type="spellStart"/>
      <w:r>
        <w:t>Arimidex</w:t>
      </w:r>
      <w:proofErr w:type="spellEnd"/>
      <w:r>
        <w:t xml:space="preserve"> vartojimą ir pasikonsultuoti su gydytoju.</w:t>
      </w:r>
    </w:p>
    <w:p w14:paraId="1DCE3278" w14:textId="77777777" w:rsidR="00AF362A" w:rsidRDefault="00AF362A" w:rsidP="00AF362A">
      <w:pPr>
        <w:numPr>
          <w:ilvl w:val="12"/>
          <w:numId w:val="0"/>
        </w:numPr>
        <w:ind w:right="-2"/>
      </w:pPr>
    </w:p>
    <w:p w14:paraId="0A72DC38" w14:textId="77777777" w:rsidR="00AF362A" w:rsidRDefault="00AF362A" w:rsidP="00AF362A">
      <w:pPr>
        <w:numPr>
          <w:ilvl w:val="12"/>
          <w:numId w:val="0"/>
        </w:numPr>
        <w:ind w:right="-2"/>
      </w:pPr>
      <w:r>
        <w:t>Prieš vartojant bet kokį vaistą, būtina pasitarti su gydytoju arba vaistininku.</w:t>
      </w:r>
    </w:p>
    <w:p w14:paraId="737713C7" w14:textId="77777777" w:rsidR="00AF362A" w:rsidRDefault="00AF362A" w:rsidP="00AF362A">
      <w:pPr>
        <w:numPr>
          <w:ilvl w:val="12"/>
          <w:numId w:val="0"/>
        </w:numPr>
        <w:ind w:right="-2"/>
      </w:pPr>
    </w:p>
    <w:p w14:paraId="3A3EA56A" w14:textId="77777777" w:rsidR="00AF362A" w:rsidRDefault="00AF362A" w:rsidP="00AF362A">
      <w:pPr>
        <w:ind w:left="567" w:hanging="567"/>
        <w:outlineLvl w:val="0"/>
        <w:rPr>
          <w:b/>
        </w:rPr>
      </w:pPr>
      <w:r>
        <w:rPr>
          <w:b/>
        </w:rPr>
        <w:t>Vairavimas ir mechanizmų valdymas</w:t>
      </w:r>
    </w:p>
    <w:p w14:paraId="105CB18C" w14:textId="77777777" w:rsidR="00AF362A" w:rsidRDefault="00AF362A" w:rsidP="00AF362A">
      <w:pPr>
        <w:numPr>
          <w:ilvl w:val="12"/>
          <w:numId w:val="0"/>
        </w:numPr>
        <w:ind w:right="-2"/>
      </w:pPr>
      <w:r>
        <w:t xml:space="preserve">Gebėjimo vairuoti automobilį ar dirbti su technika </w:t>
      </w:r>
      <w:proofErr w:type="spellStart"/>
      <w:r>
        <w:t>Arimidex</w:t>
      </w:r>
      <w:proofErr w:type="spellEnd"/>
      <w:r>
        <w:t xml:space="preserve"> neturėtų trikdyti, tačiau kai kurios šį vaistą vartojančios pacientės kartais gali jausti silpnumą ar mieguistumą. Jeigu Jums pasireikštų tokių sutrikimų, pasitarkite su gydytoju arba vaistininku.</w:t>
      </w:r>
    </w:p>
    <w:p w14:paraId="4F13F9C3" w14:textId="77777777" w:rsidR="00AF362A" w:rsidRDefault="00AF362A" w:rsidP="00AF362A">
      <w:pPr>
        <w:numPr>
          <w:ilvl w:val="12"/>
          <w:numId w:val="0"/>
        </w:numPr>
        <w:ind w:right="-2"/>
      </w:pPr>
    </w:p>
    <w:p w14:paraId="4C6186A1" w14:textId="77777777" w:rsidR="00AF362A" w:rsidRDefault="00AF362A" w:rsidP="00AF362A">
      <w:pPr>
        <w:numPr>
          <w:ilvl w:val="12"/>
          <w:numId w:val="0"/>
        </w:numPr>
        <w:ind w:right="-2"/>
      </w:pPr>
      <w:proofErr w:type="spellStart"/>
      <w:r w:rsidRPr="00BA41B6">
        <w:rPr>
          <w:b/>
        </w:rPr>
        <w:t>Arimidex</w:t>
      </w:r>
      <w:proofErr w:type="spellEnd"/>
      <w:r w:rsidRPr="00BA41B6">
        <w:rPr>
          <w:b/>
        </w:rPr>
        <w:t xml:space="preserve"> sudėtyje yra laktozės</w:t>
      </w:r>
      <w:r>
        <w:t xml:space="preserve">. </w:t>
      </w:r>
    </w:p>
    <w:p w14:paraId="5476B1B1" w14:textId="77777777" w:rsidR="00AF362A" w:rsidRPr="00E15C3A" w:rsidRDefault="00AF362A" w:rsidP="00AF362A">
      <w:pPr>
        <w:numPr>
          <w:ilvl w:val="12"/>
          <w:numId w:val="0"/>
        </w:numPr>
        <w:ind w:right="-2"/>
      </w:pPr>
      <w:proofErr w:type="spellStart"/>
      <w:r>
        <w:t>Arimidex</w:t>
      </w:r>
      <w:proofErr w:type="spellEnd"/>
      <w:r>
        <w:t xml:space="preserve"> sudėtyje yra laktozės (tam tikro angliavandenio). Jeigu gydytojas yra sakęs, kad Jūsų organizmas netoleruoja kokių nors angliavandenių, pasakykite savo gydytojui apie tai, prieš </w:t>
      </w:r>
      <w:r w:rsidRPr="00E15C3A">
        <w:t>pradėdama vartoti šį vaistą.</w:t>
      </w:r>
    </w:p>
    <w:p w14:paraId="688BC005" w14:textId="77777777" w:rsidR="00AF362A" w:rsidRPr="00E15C3A" w:rsidRDefault="00AF362A" w:rsidP="00AF362A">
      <w:pPr>
        <w:numPr>
          <w:ilvl w:val="12"/>
          <w:numId w:val="0"/>
        </w:numPr>
        <w:ind w:right="-2"/>
      </w:pPr>
    </w:p>
    <w:p w14:paraId="54526F29" w14:textId="77777777" w:rsidR="00AF362A" w:rsidRPr="00E15C3A" w:rsidRDefault="00AF362A" w:rsidP="00AF362A">
      <w:pPr>
        <w:numPr>
          <w:ilvl w:val="12"/>
          <w:numId w:val="0"/>
        </w:numPr>
        <w:ind w:right="-2"/>
        <w:rPr>
          <w:b/>
        </w:rPr>
      </w:pPr>
      <w:proofErr w:type="spellStart"/>
      <w:r w:rsidRPr="00E15C3A">
        <w:rPr>
          <w:b/>
        </w:rPr>
        <w:t>Arimidex</w:t>
      </w:r>
      <w:proofErr w:type="spellEnd"/>
      <w:r w:rsidRPr="00E15C3A">
        <w:rPr>
          <w:b/>
        </w:rPr>
        <w:t xml:space="preserve"> sudėtyje yra natrio</w:t>
      </w:r>
    </w:p>
    <w:p w14:paraId="797F4E95" w14:textId="77777777" w:rsidR="00AF362A" w:rsidRPr="00E15C3A" w:rsidRDefault="00AF362A" w:rsidP="00AF362A">
      <w:pPr>
        <w:numPr>
          <w:ilvl w:val="12"/>
          <w:numId w:val="0"/>
        </w:numPr>
        <w:ind w:right="-2"/>
      </w:pPr>
      <w:r w:rsidRPr="00E15C3A">
        <w:t xml:space="preserve">Šio vaisto vienoje tabletėje yra mažiau kaip 1 </w:t>
      </w:r>
      <w:proofErr w:type="spellStart"/>
      <w:r w:rsidRPr="00E15C3A">
        <w:t>mmol</w:t>
      </w:r>
      <w:proofErr w:type="spellEnd"/>
      <w:r w:rsidRPr="00E15C3A">
        <w:t xml:space="preserve"> (23 mg) natrio, t. y. jis beveik neturi reikšmės.</w:t>
      </w:r>
    </w:p>
    <w:p w14:paraId="23F6B067" w14:textId="77777777" w:rsidR="00AF362A" w:rsidRPr="00E15C3A" w:rsidRDefault="00AF362A" w:rsidP="00AF362A">
      <w:pPr>
        <w:numPr>
          <w:ilvl w:val="12"/>
          <w:numId w:val="0"/>
        </w:numPr>
        <w:ind w:right="-2"/>
        <w:rPr>
          <w:noProof/>
        </w:rPr>
      </w:pPr>
    </w:p>
    <w:p w14:paraId="49DA2613" w14:textId="77777777" w:rsidR="00AF362A" w:rsidRPr="00E15C3A" w:rsidRDefault="00AF362A" w:rsidP="00AF362A">
      <w:pPr>
        <w:numPr>
          <w:ilvl w:val="12"/>
          <w:numId w:val="0"/>
        </w:numPr>
        <w:ind w:right="-2"/>
        <w:rPr>
          <w:noProof/>
        </w:rPr>
      </w:pPr>
    </w:p>
    <w:p w14:paraId="50F38BC1" w14:textId="77777777" w:rsidR="00AF362A" w:rsidRDefault="00AF362A" w:rsidP="00AF362A">
      <w:pPr>
        <w:numPr>
          <w:ilvl w:val="12"/>
          <w:numId w:val="0"/>
        </w:numPr>
        <w:ind w:left="567" w:hanging="567"/>
        <w:outlineLvl w:val="0"/>
        <w:rPr>
          <w:b/>
          <w:caps/>
          <w:noProof/>
        </w:rPr>
      </w:pPr>
      <w:r w:rsidRPr="00E15C3A">
        <w:rPr>
          <w:b/>
          <w:noProof/>
        </w:rPr>
        <w:t>3.</w:t>
      </w:r>
      <w:r w:rsidRPr="00E15C3A">
        <w:rPr>
          <w:b/>
          <w:noProof/>
        </w:rPr>
        <w:tab/>
        <w:t xml:space="preserve">Kaip vartoti </w:t>
      </w:r>
      <w:proofErr w:type="spellStart"/>
      <w:r w:rsidRPr="00E15C3A">
        <w:rPr>
          <w:b/>
        </w:rPr>
        <w:t>Arimidex</w:t>
      </w:r>
      <w:proofErr w:type="spellEnd"/>
    </w:p>
    <w:p w14:paraId="2A4557B0" w14:textId="77777777" w:rsidR="00AF362A" w:rsidRDefault="00AF362A" w:rsidP="00AF362A">
      <w:pPr>
        <w:ind w:left="567" w:hanging="567"/>
        <w:rPr>
          <w:noProof/>
        </w:rPr>
      </w:pPr>
    </w:p>
    <w:p w14:paraId="4141B5FB" w14:textId="77777777" w:rsidR="00AF362A" w:rsidRDefault="00AF362A" w:rsidP="00AF362A">
      <w:r>
        <w:t>Visada vartokite šį vaistą tiksliai kaip nurodė gydytojas arba vaistininkas. Jeigu abejojate, kreipkitės į gydytoją arba vaistininką.</w:t>
      </w:r>
    </w:p>
    <w:p w14:paraId="10EF3D1F" w14:textId="77777777" w:rsidR="00AF362A" w:rsidRDefault="00AF362A" w:rsidP="00AF362A">
      <w:pPr>
        <w:numPr>
          <w:ilvl w:val="0"/>
          <w:numId w:val="1"/>
        </w:numPr>
      </w:pPr>
      <w:r>
        <w:t>Rekomenduojama dozė yra 1 tabletė 1 kartą per parą.</w:t>
      </w:r>
    </w:p>
    <w:p w14:paraId="4508870F" w14:textId="77777777" w:rsidR="00AF362A" w:rsidRDefault="00AF362A" w:rsidP="00AF362A">
      <w:pPr>
        <w:numPr>
          <w:ilvl w:val="0"/>
          <w:numId w:val="1"/>
        </w:numPr>
      </w:pPr>
      <w:r>
        <w:t>Stenkitės gerti tabletę kasdien tuo pačiu laiku.</w:t>
      </w:r>
    </w:p>
    <w:p w14:paraId="73321826" w14:textId="77777777" w:rsidR="00AF362A" w:rsidRDefault="00AF362A" w:rsidP="00AF362A">
      <w:pPr>
        <w:numPr>
          <w:ilvl w:val="0"/>
          <w:numId w:val="1"/>
        </w:numPr>
      </w:pPr>
      <w:r>
        <w:t>Nurykite tabletę nepažeistą, užgerdama vandeniu.</w:t>
      </w:r>
    </w:p>
    <w:p w14:paraId="63D55181" w14:textId="77777777" w:rsidR="00AF362A" w:rsidRDefault="00AF362A" w:rsidP="00AF362A">
      <w:pPr>
        <w:numPr>
          <w:ilvl w:val="0"/>
          <w:numId w:val="1"/>
        </w:numPr>
      </w:pPr>
      <w:proofErr w:type="spellStart"/>
      <w:r>
        <w:t>Arimidex</w:t>
      </w:r>
      <w:proofErr w:type="spellEnd"/>
      <w:r>
        <w:t xml:space="preserve"> galima vartoti prieš valgį, valgio metu arba po jo.</w:t>
      </w:r>
    </w:p>
    <w:p w14:paraId="09A4AAB1" w14:textId="77777777" w:rsidR="00AF362A" w:rsidRDefault="00AF362A" w:rsidP="00AF362A"/>
    <w:p w14:paraId="0D350033" w14:textId="77777777" w:rsidR="00AF362A" w:rsidRDefault="00AF362A" w:rsidP="00AF362A">
      <w:proofErr w:type="spellStart"/>
      <w:r>
        <w:t>Arimidex</w:t>
      </w:r>
      <w:proofErr w:type="spellEnd"/>
      <w:r>
        <w:t xml:space="preserve"> vartokite tiek laiko, kiek nurodė gydytojas arba vaistininkas. Šio vaisto vartojama ilgai, Jums gali tekti juo gydytis kelis metus.</w:t>
      </w:r>
      <w:r w:rsidRPr="00673A9F">
        <w:t xml:space="preserve"> </w:t>
      </w:r>
      <w:r>
        <w:t xml:space="preserve">Jeigu abejojate, kreipkitės į gydytoją arba </w:t>
      </w:r>
      <w:r w:rsidRPr="00153901">
        <w:t>vaistininką</w:t>
      </w:r>
      <w:r>
        <w:t>.</w:t>
      </w:r>
    </w:p>
    <w:p w14:paraId="45556B56" w14:textId="77777777" w:rsidR="00AF362A" w:rsidRDefault="00AF362A" w:rsidP="00AF362A"/>
    <w:p w14:paraId="79038EAA" w14:textId="77777777" w:rsidR="00AF362A" w:rsidRDefault="00AF362A" w:rsidP="00AF362A">
      <w:pPr>
        <w:ind w:left="567" w:hanging="567"/>
        <w:rPr>
          <w:b/>
          <w:szCs w:val="22"/>
        </w:rPr>
      </w:pPr>
      <w:r>
        <w:rPr>
          <w:b/>
          <w:szCs w:val="22"/>
        </w:rPr>
        <w:t>Vartojimas vaikams ir paaugliams</w:t>
      </w:r>
    </w:p>
    <w:p w14:paraId="18851A74" w14:textId="77777777" w:rsidR="00AF362A" w:rsidRDefault="00AF362A" w:rsidP="00AF362A">
      <w:pPr>
        <w:numPr>
          <w:ilvl w:val="12"/>
          <w:numId w:val="0"/>
        </w:numPr>
        <w:ind w:right="-2"/>
      </w:pPr>
      <w:r>
        <w:t xml:space="preserve">Vaikams ir paaugliams </w:t>
      </w:r>
      <w:proofErr w:type="spellStart"/>
      <w:r>
        <w:t>Arimidex</w:t>
      </w:r>
      <w:proofErr w:type="spellEnd"/>
      <w:r>
        <w:t xml:space="preserve"> duoti negalima.</w:t>
      </w:r>
    </w:p>
    <w:p w14:paraId="45549002" w14:textId="77777777" w:rsidR="00AF362A" w:rsidRDefault="00AF362A" w:rsidP="00AF362A">
      <w:pPr>
        <w:numPr>
          <w:ilvl w:val="12"/>
          <w:numId w:val="0"/>
        </w:numPr>
        <w:ind w:right="-2"/>
      </w:pPr>
    </w:p>
    <w:p w14:paraId="58257B96" w14:textId="77777777" w:rsidR="00AF362A" w:rsidRDefault="00AF362A" w:rsidP="00AF362A">
      <w:pPr>
        <w:ind w:left="567" w:hanging="567"/>
        <w:outlineLvl w:val="0"/>
        <w:rPr>
          <w:b/>
        </w:rPr>
      </w:pPr>
      <w:r>
        <w:rPr>
          <w:b/>
        </w:rPr>
        <w:t xml:space="preserve">Ką daryti pavartojus per didelę </w:t>
      </w:r>
      <w:proofErr w:type="spellStart"/>
      <w:r>
        <w:rPr>
          <w:b/>
        </w:rPr>
        <w:t>Arimidex</w:t>
      </w:r>
      <w:proofErr w:type="spellEnd"/>
      <w:r>
        <w:rPr>
          <w:b/>
        </w:rPr>
        <w:t xml:space="preserve"> dozę</w:t>
      </w:r>
      <w:r w:rsidRPr="00951C50">
        <w:rPr>
          <w:b/>
        </w:rPr>
        <w:t>?</w:t>
      </w:r>
    </w:p>
    <w:p w14:paraId="310301AF" w14:textId="77777777" w:rsidR="00AF362A" w:rsidRDefault="00AF362A" w:rsidP="00AF362A">
      <w:pPr>
        <w:numPr>
          <w:ilvl w:val="12"/>
          <w:numId w:val="0"/>
        </w:numPr>
        <w:ind w:right="-2"/>
      </w:pPr>
      <w:r>
        <w:t>Jei išgėrėte per didelę dozę, nedelsdama kreipkitės į savo gydytoją arba artimiausią ligoninę.</w:t>
      </w:r>
    </w:p>
    <w:p w14:paraId="5B646865" w14:textId="77777777" w:rsidR="00AF362A" w:rsidRDefault="00AF362A" w:rsidP="00AF362A">
      <w:pPr>
        <w:numPr>
          <w:ilvl w:val="12"/>
          <w:numId w:val="0"/>
        </w:numPr>
        <w:ind w:right="-2"/>
      </w:pPr>
    </w:p>
    <w:p w14:paraId="3605D205" w14:textId="77777777" w:rsidR="00AF362A" w:rsidRDefault="00AF362A" w:rsidP="00AF362A">
      <w:pPr>
        <w:ind w:left="567" w:hanging="567"/>
        <w:outlineLvl w:val="0"/>
        <w:rPr>
          <w:b/>
        </w:rPr>
      </w:pPr>
      <w:r>
        <w:rPr>
          <w:b/>
        </w:rPr>
        <w:t xml:space="preserve">Pamiršus pavartoti </w:t>
      </w:r>
      <w:proofErr w:type="spellStart"/>
      <w:r>
        <w:rPr>
          <w:b/>
        </w:rPr>
        <w:t>Arimidex</w:t>
      </w:r>
      <w:proofErr w:type="spellEnd"/>
    </w:p>
    <w:p w14:paraId="1856CFCD" w14:textId="77777777" w:rsidR="00AF362A" w:rsidRDefault="00AF362A" w:rsidP="00AF362A">
      <w:pPr>
        <w:numPr>
          <w:ilvl w:val="12"/>
          <w:numId w:val="0"/>
        </w:numPr>
        <w:ind w:right="-2"/>
      </w:pPr>
      <w:r>
        <w:t>Užmiršusi išgerti šio vaisto dozę, kitą vartokite įprastu laiku.</w:t>
      </w:r>
    </w:p>
    <w:p w14:paraId="556EB7F9" w14:textId="77777777" w:rsidR="00AF362A" w:rsidRDefault="00AF362A" w:rsidP="00AF362A">
      <w:pPr>
        <w:numPr>
          <w:ilvl w:val="12"/>
          <w:numId w:val="0"/>
        </w:numPr>
        <w:ind w:right="-2"/>
      </w:pPr>
      <w:r>
        <w:t>Negalima vartoti dvigubos dozės (dviejų dozių iš karto) norint kompensuoti praleistą dozę.</w:t>
      </w:r>
    </w:p>
    <w:p w14:paraId="1394B6C2" w14:textId="77777777" w:rsidR="00AF362A" w:rsidRDefault="00AF362A" w:rsidP="00AF362A">
      <w:pPr>
        <w:numPr>
          <w:ilvl w:val="12"/>
          <w:numId w:val="0"/>
        </w:numPr>
        <w:ind w:right="-2"/>
      </w:pPr>
    </w:p>
    <w:p w14:paraId="4B33E826" w14:textId="77777777" w:rsidR="00AF362A" w:rsidRDefault="00AF362A" w:rsidP="00AF362A">
      <w:pPr>
        <w:ind w:left="567" w:hanging="567"/>
        <w:outlineLvl w:val="0"/>
      </w:pPr>
      <w:r>
        <w:rPr>
          <w:b/>
        </w:rPr>
        <w:t xml:space="preserve">Nustojus vartoti </w:t>
      </w:r>
      <w:proofErr w:type="spellStart"/>
      <w:r>
        <w:rPr>
          <w:b/>
        </w:rPr>
        <w:t>Arimidex</w:t>
      </w:r>
      <w:proofErr w:type="spellEnd"/>
      <w:r>
        <w:rPr>
          <w:b/>
        </w:rPr>
        <w:t xml:space="preserve"> </w:t>
      </w:r>
    </w:p>
    <w:p w14:paraId="215DD213" w14:textId="77777777" w:rsidR="00AF362A" w:rsidRDefault="00AF362A" w:rsidP="00AF362A">
      <w:pPr>
        <w:numPr>
          <w:ilvl w:val="12"/>
          <w:numId w:val="0"/>
        </w:numPr>
        <w:ind w:right="-2"/>
      </w:pPr>
      <w:r>
        <w:t>Nenutraukite šių tablečių vartojimo, jeigu to nenurodė gydytojas.</w:t>
      </w:r>
    </w:p>
    <w:p w14:paraId="2750D555" w14:textId="77777777" w:rsidR="00AF362A" w:rsidRDefault="00AF362A" w:rsidP="00AF362A">
      <w:pPr>
        <w:numPr>
          <w:ilvl w:val="12"/>
          <w:numId w:val="0"/>
        </w:numPr>
        <w:ind w:right="-2"/>
      </w:pPr>
    </w:p>
    <w:p w14:paraId="6314DAB8" w14:textId="77777777" w:rsidR="00AF362A" w:rsidRDefault="00AF362A" w:rsidP="00AF362A">
      <w:pPr>
        <w:numPr>
          <w:ilvl w:val="12"/>
          <w:numId w:val="0"/>
        </w:numPr>
        <w:ind w:right="-2"/>
      </w:pPr>
      <w:r>
        <w:t>Jeigu kiltų daugiau klausimų dėl šio vaisto vartojimo, kreipkitės į gydytoją arba vaistininką.</w:t>
      </w:r>
    </w:p>
    <w:p w14:paraId="3217B191" w14:textId="77777777" w:rsidR="00AF362A" w:rsidRDefault="00AF362A" w:rsidP="00AF362A">
      <w:pPr>
        <w:ind w:left="567" w:hanging="567"/>
        <w:rPr>
          <w:noProof/>
        </w:rPr>
      </w:pPr>
    </w:p>
    <w:p w14:paraId="5203D0A8" w14:textId="77777777" w:rsidR="00AF362A" w:rsidRDefault="00AF362A" w:rsidP="00AF362A">
      <w:pPr>
        <w:numPr>
          <w:ilvl w:val="12"/>
          <w:numId w:val="0"/>
        </w:numPr>
        <w:ind w:right="-2"/>
        <w:rPr>
          <w:noProof/>
        </w:rPr>
      </w:pPr>
    </w:p>
    <w:p w14:paraId="776893B8" w14:textId="77777777" w:rsidR="00AF362A" w:rsidRDefault="00AF362A" w:rsidP="00AF362A">
      <w:pPr>
        <w:numPr>
          <w:ilvl w:val="12"/>
          <w:numId w:val="0"/>
        </w:numPr>
        <w:ind w:left="567" w:hanging="567"/>
        <w:outlineLvl w:val="0"/>
        <w:rPr>
          <w:b/>
          <w:caps/>
          <w:noProof/>
        </w:rPr>
      </w:pPr>
      <w:r>
        <w:rPr>
          <w:b/>
          <w:caps/>
          <w:noProof/>
        </w:rPr>
        <w:t>4.</w:t>
      </w:r>
      <w:r>
        <w:rPr>
          <w:b/>
          <w:caps/>
          <w:noProof/>
        </w:rPr>
        <w:tab/>
      </w:r>
      <w:r w:rsidRPr="00951C50">
        <w:t xml:space="preserve"> </w:t>
      </w:r>
      <w:r w:rsidRPr="00951C50">
        <w:rPr>
          <w:b/>
        </w:rPr>
        <w:t>Galimas šalutinis poveikis</w:t>
      </w:r>
    </w:p>
    <w:p w14:paraId="01F8001F" w14:textId="77777777" w:rsidR="00AF362A" w:rsidRDefault="00AF362A" w:rsidP="00AF362A">
      <w:pPr>
        <w:ind w:left="567" w:hanging="567"/>
        <w:rPr>
          <w:noProof/>
        </w:rPr>
      </w:pPr>
    </w:p>
    <w:p w14:paraId="2229458F" w14:textId="77777777" w:rsidR="00AF362A" w:rsidRDefault="00AF362A" w:rsidP="00AF362A">
      <w:pPr>
        <w:numPr>
          <w:ilvl w:val="12"/>
          <w:numId w:val="0"/>
        </w:numPr>
        <w:ind w:right="-2"/>
      </w:pPr>
      <w:r w:rsidRPr="00153901">
        <w:t>Šis vaistas, kaip ir visi kiti, gali sukelti šalutinį poveikį</w:t>
      </w:r>
      <w:r>
        <w:t>, nors jis pasireiškia ne visiems žmonėms.</w:t>
      </w:r>
    </w:p>
    <w:p w14:paraId="245E3D72" w14:textId="77777777" w:rsidR="00AF362A" w:rsidRDefault="00AF362A" w:rsidP="00AF362A">
      <w:pPr>
        <w:numPr>
          <w:ilvl w:val="12"/>
          <w:numId w:val="0"/>
        </w:numPr>
        <w:ind w:right="-2"/>
      </w:pPr>
      <w:r>
        <w:t xml:space="preserve">Nutraukite </w:t>
      </w:r>
      <w:proofErr w:type="spellStart"/>
      <w:r>
        <w:t>Arimidex</w:t>
      </w:r>
      <w:proofErr w:type="spellEnd"/>
      <w:r>
        <w:t xml:space="preserve"> vartojimą ir nedelsdami kreipkitės į gydytoją, jeigu Jums pasireiškė kuris nors žemiau nurodytas sunkus, bet labai retas šalutinis poveikis:</w:t>
      </w:r>
    </w:p>
    <w:p w14:paraId="4E67F543" w14:textId="77777777" w:rsidR="00AF362A" w:rsidRDefault="00AF362A" w:rsidP="00AF362A">
      <w:pPr>
        <w:numPr>
          <w:ilvl w:val="0"/>
          <w:numId w:val="7"/>
        </w:numPr>
        <w:ind w:right="-2"/>
      </w:pPr>
      <w:r>
        <w:t xml:space="preserve">labai sunki odos reakcija susidarant ant jos opelių ar pūslių (vadinama </w:t>
      </w:r>
      <w:proofErr w:type="spellStart"/>
      <w:r>
        <w:t>Sivenso</w:t>
      </w:r>
      <w:proofErr w:type="spellEnd"/>
      <w:r>
        <w:t>-Džonsono (</w:t>
      </w:r>
      <w:proofErr w:type="spellStart"/>
      <w:r w:rsidRPr="007C03F5">
        <w:rPr>
          <w:i/>
        </w:rPr>
        <w:t>Stevens</w:t>
      </w:r>
      <w:r w:rsidRPr="007C03F5">
        <w:rPr>
          <w:i/>
        </w:rPr>
        <w:noBreakHyphen/>
        <w:t>Johnson</w:t>
      </w:r>
      <w:proofErr w:type="spellEnd"/>
      <w:r>
        <w:t>) sindromu);</w:t>
      </w:r>
    </w:p>
    <w:p w14:paraId="0538E3AF" w14:textId="77777777" w:rsidR="00AF362A" w:rsidRDefault="00AF362A" w:rsidP="00AF362A">
      <w:pPr>
        <w:numPr>
          <w:ilvl w:val="0"/>
          <w:numId w:val="7"/>
        </w:numPr>
        <w:ind w:right="-2"/>
      </w:pPr>
      <w:r>
        <w:t xml:space="preserve">alerginė (padidėjusio jautrumo) reakcija, dėl kurios patinsta gerklos, gali pasunkėti rijimas ar kvėpavimas (ji vadinama </w:t>
      </w:r>
      <w:proofErr w:type="spellStart"/>
      <w:r>
        <w:t>angioedema</w:t>
      </w:r>
      <w:proofErr w:type="spellEnd"/>
      <w:r>
        <w:t>).</w:t>
      </w:r>
    </w:p>
    <w:p w14:paraId="728369F7" w14:textId="77777777" w:rsidR="00AF362A" w:rsidRDefault="00AF362A" w:rsidP="00AF362A">
      <w:pPr>
        <w:numPr>
          <w:ilvl w:val="12"/>
          <w:numId w:val="0"/>
        </w:numPr>
        <w:ind w:right="-2"/>
      </w:pPr>
    </w:p>
    <w:p w14:paraId="36852E2E" w14:textId="77777777" w:rsidR="00AF362A" w:rsidRDefault="00AF362A" w:rsidP="00AF362A">
      <w:pPr>
        <w:numPr>
          <w:ilvl w:val="12"/>
          <w:numId w:val="0"/>
        </w:numPr>
        <w:ind w:right="-2"/>
        <w:rPr>
          <w:b/>
        </w:rPr>
      </w:pPr>
      <w:r>
        <w:rPr>
          <w:b/>
        </w:rPr>
        <w:t>Labai dažnas šalutinis poveikis (pasireiškia daugiau kaip 1 žmogui iš 10):</w:t>
      </w:r>
    </w:p>
    <w:p w14:paraId="2E496185" w14:textId="77777777" w:rsidR="00AF362A" w:rsidRDefault="00AF362A" w:rsidP="00AF362A">
      <w:pPr>
        <w:numPr>
          <w:ilvl w:val="0"/>
          <w:numId w:val="7"/>
        </w:numPr>
        <w:ind w:right="-2"/>
      </w:pPr>
      <w:r>
        <w:t>galvos skausmas;</w:t>
      </w:r>
    </w:p>
    <w:p w14:paraId="502EF7BE" w14:textId="77777777" w:rsidR="00AF362A" w:rsidRDefault="00AF362A" w:rsidP="00AF362A">
      <w:pPr>
        <w:numPr>
          <w:ilvl w:val="0"/>
          <w:numId w:val="7"/>
        </w:numPr>
        <w:ind w:right="-2"/>
      </w:pPr>
      <w:r>
        <w:t>karščio pylimas;</w:t>
      </w:r>
    </w:p>
    <w:p w14:paraId="34E3185A" w14:textId="77777777" w:rsidR="00AF362A" w:rsidRDefault="00AF362A" w:rsidP="00AF362A">
      <w:pPr>
        <w:numPr>
          <w:ilvl w:val="0"/>
          <w:numId w:val="7"/>
        </w:numPr>
        <w:ind w:right="-2"/>
      </w:pPr>
      <w:r>
        <w:t>pykinimas;</w:t>
      </w:r>
    </w:p>
    <w:p w14:paraId="072A16DB" w14:textId="77777777" w:rsidR="00AF362A" w:rsidRDefault="00AF362A" w:rsidP="00AF362A">
      <w:pPr>
        <w:numPr>
          <w:ilvl w:val="0"/>
          <w:numId w:val="7"/>
        </w:numPr>
        <w:ind w:right="-2"/>
      </w:pPr>
      <w:r>
        <w:t>odos išbėrimas;</w:t>
      </w:r>
    </w:p>
    <w:p w14:paraId="74BB8115" w14:textId="77777777" w:rsidR="00AF362A" w:rsidRDefault="00AF362A" w:rsidP="00AF362A">
      <w:pPr>
        <w:numPr>
          <w:ilvl w:val="0"/>
          <w:numId w:val="7"/>
        </w:numPr>
        <w:ind w:right="-2"/>
      </w:pPr>
      <w:r>
        <w:t>sąnarių skausmas ar stingulys;</w:t>
      </w:r>
    </w:p>
    <w:p w14:paraId="5854054D" w14:textId="77777777" w:rsidR="00AF362A" w:rsidRDefault="00AF362A" w:rsidP="00AF362A">
      <w:pPr>
        <w:numPr>
          <w:ilvl w:val="0"/>
          <w:numId w:val="7"/>
        </w:numPr>
        <w:tabs>
          <w:tab w:val="left" w:pos="-1440"/>
        </w:tabs>
        <w:suppressAutoHyphens/>
        <w:rPr>
          <w:szCs w:val="22"/>
        </w:rPr>
      </w:pPr>
      <w:r>
        <w:rPr>
          <w:szCs w:val="22"/>
        </w:rPr>
        <w:t>sąnarių uždegimas (artritas);</w:t>
      </w:r>
    </w:p>
    <w:p w14:paraId="2A5C52C9" w14:textId="77777777" w:rsidR="00AF362A" w:rsidRDefault="00AF362A" w:rsidP="00AF362A">
      <w:pPr>
        <w:numPr>
          <w:ilvl w:val="0"/>
          <w:numId w:val="7"/>
        </w:numPr>
        <w:tabs>
          <w:tab w:val="left" w:pos="-1440"/>
        </w:tabs>
        <w:suppressAutoHyphens/>
        <w:rPr>
          <w:szCs w:val="22"/>
        </w:rPr>
      </w:pPr>
      <w:r>
        <w:rPr>
          <w:szCs w:val="22"/>
        </w:rPr>
        <w:t>silpnumas;</w:t>
      </w:r>
    </w:p>
    <w:p w14:paraId="32E0AD81" w14:textId="77777777" w:rsidR="00AF362A" w:rsidRDefault="00AF362A" w:rsidP="00AF362A">
      <w:pPr>
        <w:numPr>
          <w:ilvl w:val="0"/>
          <w:numId w:val="7"/>
        </w:numPr>
        <w:tabs>
          <w:tab w:val="left" w:pos="-1440"/>
        </w:tabs>
        <w:suppressAutoHyphens/>
        <w:rPr>
          <w:szCs w:val="22"/>
        </w:rPr>
      </w:pPr>
      <w:r>
        <w:rPr>
          <w:szCs w:val="22"/>
        </w:rPr>
        <w:t>kaulų retėjimas (osteoporozė);</w:t>
      </w:r>
    </w:p>
    <w:p w14:paraId="706D0873" w14:textId="77777777" w:rsidR="00AF362A" w:rsidRDefault="00AF362A" w:rsidP="00AF362A">
      <w:pPr>
        <w:numPr>
          <w:ilvl w:val="0"/>
          <w:numId w:val="7"/>
        </w:numPr>
        <w:tabs>
          <w:tab w:val="left" w:pos="-1440"/>
        </w:tabs>
        <w:suppressAutoHyphens/>
        <w:rPr>
          <w:szCs w:val="22"/>
        </w:rPr>
      </w:pPr>
      <w:r>
        <w:rPr>
          <w:szCs w:val="22"/>
        </w:rPr>
        <w:t>depresija.</w:t>
      </w:r>
    </w:p>
    <w:p w14:paraId="21EA14C5" w14:textId="77777777" w:rsidR="00AF362A" w:rsidRDefault="00AF362A" w:rsidP="00AF362A">
      <w:pPr>
        <w:numPr>
          <w:ilvl w:val="12"/>
          <w:numId w:val="0"/>
        </w:numPr>
        <w:ind w:right="-2"/>
      </w:pPr>
    </w:p>
    <w:p w14:paraId="2C2BA01C" w14:textId="77777777" w:rsidR="00AF362A" w:rsidRDefault="00AF362A" w:rsidP="00AF362A">
      <w:pPr>
        <w:numPr>
          <w:ilvl w:val="12"/>
          <w:numId w:val="0"/>
        </w:numPr>
        <w:ind w:right="-2"/>
        <w:rPr>
          <w:b/>
        </w:rPr>
      </w:pPr>
      <w:r>
        <w:rPr>
          <w:b/>
        </w:rPr>
        <w:t>Dažnas šalutinis poveikis (pasireiškia nuo 1 iki 10 žmonių iš 100):</w:t>
      </w:r>
    </w:p>
    <w:p w14:paraId="20AA2425" w14:textId="77777777" w:rsidR="00AF362A" w:rsidRDefault="00AF362A" w:rsidP="00AF362A">
      <w:pPr>
        <w:numPr>
          <w:ilvl w:val="0"/>
          <w:numId w:val="2"/>
        </w:numPr>
        <w:tabs>
          <w:tab w:val="left" w:pos="-1440"/>
        </w:tabs>
        <w:suppressAutoHyphens/>
        <w:rPr>
          <w:szCs w:val="22"/>
        </w:rPr>
      </w:pPr>
      <w:r>
        <w:rPr>
          <w:szCs w:val="22"/>
        </w:rPr>
        <w:t>apetito stoka;</w:t>
      </w:r>
    </w:p>
    <w:p w14:paraId="3A396E57" w14:textId="77777777" w:rsidR="00AF362A" w:rsidRDefault="00AF362A" w:rsidP="00AF362A">
      <w:pPr>
        <w:numPr>
          <w:ilvl w:val="0"/>
          <w:numId w:val="2"/>
        </w:numPr>
        <w:tabs>
          <w:tab w:val="left" w:pos="-1440"/>
        </w:tabs>
        <w:suppressAutoHyphens/>
        <w:rPr>
          <w:szCs w:val="22"/>
        </w:rPr>
      </w:pPr>
      <w:r>
        <w:rPr>
          <w:szCs w:val="22"/>
        </w:rPr>
        <w:t>padidėjęs ar didelis riebalinės medžiagos, vadinamos cholesteroliu, kiekis kraujyje (nustatomas tiriant kraują);</w:t>
      </w:r>
    </w:p>
    <w:p w14:paraId="484AE3B6" w14:textId="77777777" w:rsidR="00AF362A" w:rsidRDefault="00AF362A" w:rsidP="00AF362A">
      <w:pPr>
        <w:numPr>
          <w:ilvl w:val="0"/>
          <w:numId w:val="2"/>
        </w:numPr>
        <w:tabs>
          <w:tab w:val="left" w:pos="-1440"/>
        </w:tabs>
        <w:suppressAutoHyphens/>
        <w:rPr>
          <w:szCs w:val="22"/>
        </w:rPr>
      </w:pPr>
      <w:r>
        <w:rPr>
          <w:szCs w:val="22"/>
        </w:rPr>
        <w:t>mieguistumas;</w:t>
      </w:r>
    </w:p>
    <w:p w14:paraId="7C0E8A5D" w14:textId="77777777" w:rsidR="00AF362A" w:rsidRDefault="00AF362A" w:rsidP="00AF362A">
      <w:pPr>
        <w:numPr>
          <w:ilvl w:val="0"/>
          <w:numId w:val="2"/>
        </w:numPr>
        <w:tabs>
          <w:tab w:val="left" w:pos="-1440"/>
        </w:tabs>
        <w:suppressAutoHyphens/>
      </w:pPr>
      <w:r>
        <w:t xml:space="preserve">riešo </w:t>
      </w:r>
      <w:r>
        <w:rPr>
          <w:szCs w:val="22"/>
        </w:rPr>
        <w:t>kanalo</w:t>
      </w:r>
      <w:r>
        <w:t xml:space="preserve"> tunelinis sindromas (dalies plaštakos dilgčiojimas, skausmas, šalimas ir silpnumas);</w:t>
      </w:r>
    </w:p>
    <w:p w14:paraId="54DF1C67" w14:textId="77777777" w:rsidR="00AF362A" w:rsidRDefault="00AF362A" w:rsidP="00AF362A">
      <w:pPr>
        <w:pStyle w:val="Sraopastraipa"/>
        <w:numPr>
          <w:ilvl w:val="0"/>
          <w:numId w:val="2"/>
        </w:numPr>
        <w:spacing w:before="100" w:beforeAutospacing="1"/>
      </w:pPr>
      <w:r>
        <w:t>odos kutenimas, dilgčiojimas ar nejautra, skonio susilpnėjimas, išnykimas ar pokyčiai;</w:t>
      </w:r>
    </w:p>
    <w:p w14:paraId="0E5176C2" w14:textId="77777777" w:rsidR="00AF362A" w:rsidRDefault="00AF362A" w:rsidP="00AF362A">
      <w:pPr>
        <w:numPr>
          <w:ilvl w:val="0"/>
          <w:numId w:val="2"/>
        </w:numPr>
        <w:tabs>
          <w:tab w:val="left" w:pos="-1440"/>
        </w:tabs>
        <w:suppressAutoHyphens/>
        <w:rPr>
          <w:szCs w:val="22"/>
        </w:rPr>
      </w:pPr>
      <w:r>
        <w:rPr>
          <w:szCs w:val="22"/>
        </w:rPr>
        <w:t>viduriavimas;</w:t>
      </w:r>
    </w:p>
    <w:p w14:paraId="6645B40F" w14:textId="77777777" w:rsidR="00AF362A" w:rsidRDefault="00AF362A" w:rsidP="00AF362A">
      <w:pPr>
        <w:numPr>
          <w:ilvl w:val="0"/>
          <w:numId w:val="2"/>
        </w:numPr>
        <w:tabs>
          <w:tab w:val="left" w:pos="-1440"/>
        </w:tabs>
        <w:suppressAutoHyphens/>
        <w:rPr>
          <w:szCs w:val="22"/>
        </w:rPr>
      </w:pPr>
      <w:r>
        <w:rPr>
          <w:szCs w:val="22"/>
        </w:rPr>
        <w:t>vėmimas;</w:t>
      </w:r>
    </w:p>
    <w:p w14:paraId="1B199D83" w14:textId="77777777" w:rsidR="00AF362A" w:rsidRDefault="00AF362A" w:rsidP="00AF362A">
      <w:pPr>
        <w:numPr>
          <w:ilvl w:val="0"/>
          <w:numId w:val="2"/>
        </w:numPr>
        <w:tabs>
          <w:tab w:val="left" w:pos="-1440"/>
        </w:tabs>
        <w:suppressAutoHyphens/>
        <w:rPr>
          <w:bCs/>
          <w:szCs w:val="22"/>
        </w:rPr>
      </w:pPr>
      <w:r>
        <w:rPr>
          <w:szCs w:val="22"/>
        </w:rPr>
        <w:t>pakitę kepenų funkciją rodančių kraujo tyrimų duomenys;</w:t>
      </w:r>
    </w:p>
    <w:p w14:paraId="40BC59F2" w14:textId="77777777" w:rsidR="00AF362A" w:rsidRDefault="00AF362A" w:rsidP="00AF362A">
      <w:pPr>
        <w:numPr>
          <w:ilvl w:val="0"/>
          <w:numId w:val="2"/>
        </w:numPr>
        <w:tabs>
          <w:tab w:val="left" w:pos="-1440"/>
        </w:tabs>
        <w:suppressAutoHyphens/>
        <w:rPr>
          <w:szCs w:val="22"/>
        </w:rPr>
      </w:pPr>
      <w:r>
        <w:rPr>
          <w:szCs w:val="22"/>
        </w:rPr>
        <w:t>plaukų išplonėjimas (slinkimas);</w:t>
      </w:r>
    </w:p>
    <w:p w14:paraId="14D36AF7" w14:textId="77777777" w:rsidR="00AF362A" w:rsidRDefault="00AF362A" w:rsidP="00AF362A">
      <w:pPr>
        <w:numPr>
          <w:ilvl w:val="0"/>
          <w:numId w:val="2"/>
        </w:numPr>
        <w:tabs>
          <w:tab w:val="left" w:pos="-1440"/>
        </w:tabs>
        <w:suppressAutoHyphens/>
        <w:rPr>
          <w:szCs w:val="22"/>
        </w:rPr>
      </w:pPr>
      <w:r>
        <w:t>alerginės (padidėjusio jautrumo) reakcijos, tarp jų veido, lūpų ir liežuvio tinimas;</w:t>
      </w:r>
    </w:p>
    <w:p w14:paraId="0DBB353D" w14:textId="77777777" w:rsidR="00AF362A" w:rsidRDefault="00AF362A" w:rsidP="00AF362A">
      <w:pPr>
        <w:numPr>
          <w:ilvl w:val="0"/>
          <w:numId w:val="2"/>
        </w:numPr>
        <w:tabs>
          <w:tab w:val="left" w:pos="-1440"/>
        </w:tabs>
        <w:suppressAutoHyphens/>
      </w:pPr>
      <w:r>
        <w:rPr>
          <w:szCs w:val="22"/>
        </w:rPr>
        <w:t>kaulų skausmas;</w:t>
      </w:r>
    </w:p>
    <w:p w14:paraId="61F61EC7" w14:textId="77777777" w:rsidR="00AF362A" w:rsidRDefault="00AF362A" w:rsidP="00AF362A">
      <w:pPr>
        <w:numPr>
          <w:ilvl w:val="0"/>
          <w:numId w:val="2"/>
        </w:numPr>
        <w:tabs>
          <w:tab w:val="left" w:pos="-1440"/>
        </w:tabs>
        <w:suppressAutoHyphens/>
        <w:rPr>
          <w:szCs w:val="22"/>
        </w:rPr>
      </w:pPr>
      <w:r>
        <w:rPr>
          <w:szCs w:val="22"/>
        </w:rPr>
        <w:t>makšties sausumas;</w:t>
      </w:r>
    </w:p>
    <w:p w14:paraId="3A07AC48" w14:textId="77777777" w:rsidR="00AF362A" w:rsidRDefault="00AF362A" w:rsidP="00AF362A">
      <w:pPr>
        <w:numPr>
          <w:ilvl w:val="0"/>
          <w:numId w:val="2"/>
        </w:numPr>
        <w:tabs>
          <w:tab w:val="left" w:pos="-1440"/>
        </w:tabs>
        <w:suppressAutoHyphens/>
        <w:rPr>
          <w:szCs w:val="22"/>
        </w:rPr>
      </w:pPr>
      <w:r>
        <w:rPr>
          <w:szCs w:val="22"/>
        </w:rPr>
        <w:t xml:space="preserve">kraujavimas </w:t>
      </w:r>
      <w:r>
        <w:t>iš makšties (dažniausiai per kelias pirmąsias gydymo savaites; jei kraujavimas nepraeina, kreipkitės į gydytoją</w:t>
      </w:r>
      <w:r>
        <w:rPr>
          <w:szCs w:val="22"/>
        </w:rPr>
        <w:t>);</w:t>
      </w:r>
    </w:p>
    <w:p w14:paraId="536926E3" w14:textId="77777777" w:rsidR="00AF362A" w:rsidRDefault="00AF362A" w:rsidP="00AF362A">
      <w:pPr>
        <w:numPr>
          <w:ilvl w:val="0"/>
          <w:numId w:val="2"/>
        </w:numPr>
        <w:tabs>
          <w:tab w:val="left" w:pos="-1440"/>
        </w:tabs>
        <w:suppressAutoHyphens/>
        <w:rPr>
          <w:szCs w:val="22"/>
        </w:rPr>
      </w:pPr>
      <w:r>
        <w:rPr>
          <w:szCs w:val="22"/>
        </w:rPr>
        <w:t>raumenų skausmas.</w:t>
      </w:r>
    </w:p>
    <w:p w14:paraId="0405BF6A" w14:textId="77777777" w:rsidR="00AF362A" w:rsidRDefault="00AF362A" w:rsidP="00AF362A">
      <w:pPr>
        <w:numPr>
          <w:ilvl w:val="12"/>
          <w:numId w:val="0"/>
        </w:numPr>
        <w:ind w:right="-2"/>
      </w:pPr>
    </w:p>
    <w:p w14:paraId="6B8CFD07" w14:textId="77777777" w:rsidR="00AF362A" w:rsidRDefault="00AF362A" w:rsidP="00AF362A">
      <w:pPr>
        <w:numPr>
          <w:ilvl w:val="12"/>
          <w:numId w:val="0"/>
        </w:numPr>
        <w:ind w:right="-2"/>
        <w:rPr>
          <w:b/>
        </w:rPr>
      </w:pPr>
      <w:r>
        <w:rPr>
          <w:b/>
        </w:rPr>
        <w:t>Nedažnas šalutinis poveikis (pasireiškia nuo 1 iki 10 žmonių iš 1 000):</w:t>
      </w:r>
    </w:p>
    <w:p w14:paraId="1AD3E63D" w14:textId="77777777" w:rsidR="00AF362A" w:rsidRDefault="00AF362A" w:rsidP="00AF362A">
      <w:pPr>
        <w:numPr>
          <w:ilvl w:val="0"/>
          <w:numId w:val="3"/>
        </w:numPr>
        <w:tabs>
          <w:tab w:val="left" w:pos="-1440"/>
        </w:tabs>
        <w:suppressAutoHyphens/>
        <w:rPr>
          <w:szCs w:val="22"/>
        </w:rPr>
      </w:pPr>
      <w:r>
        <w:rPr>
          <w:szCs w:val="22"/>
        </w:rPr>
        <w:t xml:space="preserve">pakitę kepenų funkciją rodančių specialių kraujo tyrimų duomenys (gama-GT ir </w:t>
      </w:r>
      <w:proofErr w:type="spellStart"/>
      <w:r>
        <w:rPr>
          <w:szCs w:val="22"/>
        </w:rPr>
        <w:t>bilirubino</w:t>
      </w:r>
      <w:proofErr w:type="spellEnd"/>
      <w:r>
        <w:rPr>
          <w:szCs w:val="22"/>
        </w:rPr>
        <w:t xml:space="preserve"> kiekis);</w:t>
      </w:r>
    </w:p>
    <w:p w14:paraId="4E346CD4" w14:textId="77777777" w:rsidR="00AF362A" w:rsidRDefault="00AF362A" w:rsidP="00AF362A">
      <w:pPr>
        <w:numPr>
          <w:ilvl w:val="0"/>
          <w:numId w:val="3"/>
        </w:numPr>
        <w:tabs>
          <w:tab w:val="left" w:pos="-1440"/>
        </w:tabs>
        <w:suppressAutoHyphens/>
        <w:rPr>
          <w:szCs w:val="22"/>
        </w:rPr>
      </w:pPr>
      <w:r>
        <w:rPr>
          <w:szCs w:val="22"/>
        </w:rPr>
        <w:t>kepenų uždegimas (hepatitas);</w:t>
      </w:r>
    </w:p>
    <w:p w14:paraId="4C3FE379" w14:textId="77777777" w:rsidR="00AF362A" w:rsidRDefault="00AF362A" w:rsidP="00AF362A">
      <w:pPr>
        <w:numPr>
          <w:ilvl w:val="0"/>
          <w:numId w:val="3"/>
        </w:numPr>
        <w:tabs>
          <w:tab w:val="left" w:pos="-1440"/>
        </w:tabs>
        <w:suppressAutoHyphens/>
        <w:rPr>
          <w:szCs w:val="22"/>
        </w:rPr>
      </w:pPr>
      <w:r>
        <w:rPr>
          <w:szCs w:val="22"/>
        </w:rPr>
        <w:t>dilgėlinė;</w:t>
      </w:r>
    </w:p>
    <w:p w14:paraId="4A06665C" w14:textId="77777777" w:rsidR="00AF362A" w:rsidRPr="00951C50" w:rsidRDefault="00AF362A" w:rsidP="00AF362A">
      <w:pPr>
        <w:numPr>
          <w:ilvl w:val="0"/>
          <w:numId w:val="3"/>
        </w:numPr>
        <w:tabs>
          <w:tab w:val="left" w:pos="-1440"/>
        </w:tabs>
        <w:suppressAutoHyphens/>
        <w:rPr>
          <w:szCs w:val="22"/>
        </w:rPr>
      </w:pPr>
      <w:r>
        <w:t>„užstrigęs“ pirštas (būklė, kai nykštys ar kitas pirštas užstringa sulenktas);</w:t>
      </w:r>
    </w:p>
    <w:p w14:paraId="7291A33F" w14:textId="77777777" w:rsidR="00AF362A" w:rsidRDefault="00AF362A" w:rsidP="00AF362A">
      <w:pPr>
        <w:numPr>
          <w:ilvl w:val="0"/>
          <w:numId w:val="3"/>
        </w:numPr>
        <w:tabs>
          <w:tab w:val="left" w:pos="-1440"/>
        </w:tabs>
        <w:suppressAutoHyphens/>
        <w:rPr>
          <w:szCs w:val="22"/>
        </w:rPr>
      </w:pPr>
      <w:r>
        <w:t>padidėjęs kalcio kiekis kraujyje. Jeigu atsirastų pykinimas, vėmimas ir troškulys, apie tai pasakykite gydytojui, vaistininkui arba slaugytojui, kadangi gali reikėti patikrinti Jūsų kraują.</w:t>
      </w:r>
    </w:p>
    <w:p w14:paraId="5830A132" w14:textId="77777777" w:rsidR="00AF362A" w:rsidRDefault="00AF362A" w:rsidP="00AF362A"/>
    <w:p w14:paraId="5CA4D800" w14:textId="77777777" w:rsidR="00AF362A" w:rsidRDefault="00AF362A" w:rsidP="00AF362A">
      <w:pPr>
        <w:numPr>
          <w:ilvl w:val="12"/>
          <w:numId w:val="0"/>
        </w:numPr>
        <w:ind w:right="-2"/>
        <w:rPr>
          <w:b/>
        </w:rPr>
      </w:pPr>
      <w:r>
        <w:rPr>
          <w:b/>
        </w:rPr>
        <w:lastRenderedPageBreak/>
        <w:t>Retas šalutinis poveikis (pasireiškia nuo 1 iki 10 žmonių iš 10 000):</w:t>
      </w:r>
    </w:p>
    <w:p w14:paraId="3AFF53DD" w14:textId="77777777" w:rsidR="00AF362A" w:rsidRDefault="00AF362A" w:rsidP="00AF362A">
      <w:pPr>
        <w:numPr>
          <w:ilvl w:val="0"/>
          <w:numId w:val="4"/>
        </w:numPr>
        <w:tabs>
          <w:tab w:val="left" w:pos="-1440"/>
        </w:tabs>
        <w:suppressAutoHyphens/>
        <w:rPr>
          <w:szCs w:val="22"/>
        </w:rPr>
      </w:pPr>
      <w:r>
        <w:rPr>
          <w:szCs w:val="22"/>
        </w:rPr>
        <w:t xml:space="preserve">odos uždegimas </w:t>
      </w:r>
      <w:r>
        <w:t>(gali susidaryti raudonų dėmių ar pūslių);</w:t>
      </w:r>
    </w:p>
    <w:p w14:paraId="70411348" w14:textId="77777777" w:rsidR="00AF362A" w:rsidRDefault="00AF362A" w:rsidP="00AF362A">
      <w:pPr>
        <w:numPr>
          <w:ilvl w:val="0"/>
          <w:numId w:val="4"/>
        </w:numPr>
        <w:tabs>
          <w:tab w:val="left" w:pos="-1440"/>
        </w:tabs>
        <w:suppressAutoHyphens/>
      </w:pPr>
      <w:r>
        <w:t xml:space="preserve">odos išbėrimas dėl padidėjusio jautrumo (gali išberti dėl alerginės ar </w:t>
      </w:r>
      <w:proofErr w:type="spellStart"/>
      <w:r>
        <w:t>anafilaktoidinės</w:t>
      </w:r>
      <w:proofErr w:type="spellEnd"/>
      <w:r>
        <w:t xml:space="preserve"> reakcijos);</w:t>
      </w:r>
    </w:p>
    <w:p w14:paraId="0B8DB4BC" w14:textId="77777777" w:rsidR="00AF362A" w:rsidRDefault="00AF362A" w:rsidP="00AF362A">
      <w:pPr>
        <w:numPr>
          <w:ilvl w:val="0"/>
          <w:numId w:val="4"/>
        </w:numPr>
        <w:tabs>
          <w:tab w:val="left" w:pos="-1440"/>
        </w:tabs>
        <w:suppressAutoHyphens/>
        <w:rPr>
          <w:szCs w:val="22"/>
        </w:rPr>
      </w:pPr>
      <w:r>
        <w:t xml:space="preserve">smulkių kraujagyslių uždegimas, dėl kurio odos spalva pasidaro raudona ar purpurinė. Labai retais atvejais gali pasireikšti sąnarių, skrandžio ir inkstų sutrikimų (skausmas), vadinamų </w:t>
      </w:r>
      <w:proofErr w:type="spellStart"/>
      <w:r>
        <w:t>Henoko-Šionlaino</w:t>
      </w:r>
      <w:proofErr w:type="spellEnd"/>
      <w:r>
        <w:t xml:space="preserve"> (</w:t>
      </w:r>
      <w:proofErr w:type="spellStart"/>
      <w:r w:rsidRPr="007C03F5">
        <w:rPr>
          <w:i/>
        </w:rPr>
        <w:t>Henoch-Schönlein</w:t>
      </w:r>
      <w:proofErr w:type="spellEnd"/>
      <w:r>
        <w:t>) purpura.</w:t>
      </w:r>
    </w:p>
    <w:p w14:paraId="565B4246" w14:textId="77777777" w:rsidR="00AF362A" w:rsidRDefault="00AF362A" w:rsidP="00AF362A">
      <w:pPr>
        <w:numPr>
          <w:ilvl w:val="12"/>
          <w:numId w:val="0"/>
        </w:numPr>
        <w:ind w:right="-2"/>
      </w:pPr>
    </w:p>
    <w:p w14:paraId="060A5731" w14:textId="77777777" w:rsidR="00AF362A" w:rsidRPr="008463A3" w:rsidRDefault="00AF362A" w:rsidP="00AF362A">
      <w:pPr>
        <w:numPr>
          <w:ilvl w:val="12"/>
          <w:numId w:val="0"/>
        </w:numPr>
        <w:ind w:right="-2"/>
        <w:rPr>
          <w:b/>
          <w:bCs/>
        </w:rPr>
      </w:pPr>
      <w:r w:rsidRPr="008463A3">
        <w:rPr>
          <w:b/>
          <w:bCs/>
        </w:rPr>
        <w:t>Šalutinis poveikis, kurio dažnis nežinomas (negali būti įvertintas pagal turimus duomenis)</w:t>
      </w:r>
      <w:r>
        <w:rPr>
          <w:b/>
          <w:bCs/>
        </w:rPr>
        <w:t>:</w:t>
      </w:r>
      <w:r w:rsidRPr="008463A3">
        <w:rPr>
          <w:b/>
          <w:bCs/>
        </w:rPr>
        <w:t xml:space="preserve"> </w:t>
      </w:r>
    </w:p>
    <w:p w14:paraId="55BFAB85" w14:textId="77777777" w:rsidR="00AF362A" w:rsidRDefault="00AF362A" w:rsidP="00AF362A">
      <w:pPr>
        <w:pStyle w:val="Sraopastraipa"/>
        <w:numPr>
          <w:ilvl w:val="0"/>
          <w:numId w:val="9"/>
        </w:numPr>
        <w:ind w:left="567" w:hanging="567"/>
      </w:pPr>
      <w:r>
        <w:t>a</w:t>
      </w:r>
      <w:r w:rsidRPr="00785BF7">
        <w:t>kių sausumas</w:t>
      </w:r>
      <w:r>
        <w:t>;</w:t>
      </w:r>
    </w:p>
    <w:p w14:paraId="3523FA6A" w14:textId="77777777" w:rsidR="00AF362A" w:rsidRDefault="00AF362A" w:rsidP="00AF362A">
      <w:pPr>
        <w:pStyle w:val="Sraopastraipa"/>
        <w:numPr>
          <w:ilvl w:val="0"/>
          <w:numId w:val="9"/>
        </w:numPr>
        <w:ind w:left="567" w:hanging="567"/>
      </w:pPr>
      <w:proofErr w:type="spellStart"/>
      <w:r>
        <w:t>l</w:t>
      </w:r>
      <w:r w:rsidRPr="00785BF7">
        <w:t>ichenoidinis</w:t>
      </w:r>
      <w:proofErr w:type="spellEnd"/>
      <w:r w:rsidRPr="00785BF7">
        <w:t xml:space="preserve"> bėrimas (maži, raudoni arba violetiniai niežtintys odos iškilimai)</w:t>
      </w:r>
      <w:r>
        <w:t>;</w:t>
      </w:r>
    </w:p>
    <w:p w14:paraId="404A79F7" w14:textId="77777777" w:rsidR="00AF362A" w:rsidRDefault="00AF362A" w:rsidP="00AF362A">
      <w:pPr>
        <w:pStyle w:val="Sraopastraipa"/>
        <w:numPr>
          <w:ilvl w:val="0"/>
          <w:numId w:val="9"/>
        </w:numPr>
        <w:ind w:left="567" w:hanging="567"/>
      </w:pPr>
      <w:r>
        <w:t>s</w:t>
      </w:r>
      <w:r w:rsidRPr="00785BF7">
        <w:t xml:space="preserve">ausgyslės uždegimas arba </w:t>
      </w:r>
      <w:proofErr w:type="spellStart"/>
      <w:r w:rsidRPr="00785BF7">
        <w:t>tendinitas</w:t>
      </w:r>
      <w:proofErr w:type="spellEnd"/>
      <w:r w:rsidRPr="00785BF7">
        <w:t xml:space="preserve"> (jungiamojo audinio, jungiančio raumenis su kaulais)</w:t>
      </w:r>
      <w:r>
        <w:t>;</w:t>
      </w:r>
    </w:p>
    <w:p w14:paraId="0435E12F" w14:textId="77777777" w:rsidR="00AF362A" w:rsidRDefault="00AF362A" w:rsidP="00AF362A">
      <w:pPr>
        <w:pStyle w:val="Sraopastraipa"/>
        <w:numPr>
          <w:ilvl w:val="0"/>
          <w:numId w:val="9"/>
        </w:numPr>
        <w:ind w:left="567" w:hanging="567"/>
      </w:pPr>
      <w:r>
        <w:t>s</w:t>
      </w:r>
      <w:r w:rsidRPr="00785BF7">
        <w:t>ausgyslės (jungiamojo audinio, jungiančio raumenis su kaulais) plyšimas</w:t>
      </w:r>
      <w:r>
        <w:t>;</w:t>
      </w:r>
    </w:p>
    <w:p w14:paraId="220C837F" w14:textId="77777777" w:rsidR="00AF362A" w:rsidRDefault="00AF362A" w:rsidP="00AF362A">
      <w:pPr>
        <w:pStyle w:val="Sraopastraipa"/>
        <w:numPr>
          <w:ilvl w:val="0"/>
          <w:numId w:val="9"/>
        </w:numPr>
        <w:ind w:left="567" w:hanging="567"/>
      </w:pPr>
      <w:r>
        <w:t>a</w:t>
      </w:r>
      <w:r w:rsidRPr="00785BF7">
        <w:t>tminties sutrikimas</w:t>
      </w:r>
      <w:r>
        <w:t>.</w:t>
      </w:r>
    </w:p>
    <w:p w14:paraId="551D542F" w14:textId="77777777" w:rsidR="00AF362A" w:rsidRDefault="00AF362A" w:rsidP="00AF362A">
      <w:pPr>
        <w:pStyle w:val="Sraopastraipa"/>
        <w:ind w:left="567"/>
      </w:pPr>
    </w:p>
    <w:p w14:paraId="61337FFD" w14:textId="77777777" w:rsidR="00AF362A" w:rsidRDefault="00AF362A" w:rsidP="00AF362A">
      <w:pPr>
        <w:numPr>
          <w:ilvl w:val="12"/>
          <w:numId w:val="0"/>
        </w:numPr>
        <w:ind w:right="-2"/>
        <w:rPr>
          <w:b/>
        </w:rPr>
      </w:pPr>
      <w:r>
        <w:rPr>
          <w:b/>
        </w:rPr>
        <w:t>Poveikis Jūsų kaulams</w:t>
      </w:r>
    </w:p>
    <w:p w14:paraId="0FC202DA" w14:textId="77777777" w:rsidR="00AF362A" w:rsidRDefault="00AF362A" w:rsidP="00AF362A">
      <w:pPr>
        <w:tabs>
          <w:tab w:val="left" w:pos="-1440"/>
        </w:tabs>
        <w:suppressAutoHyphens/>
        <w:rPr>
          <w:szCs w:val="22"/>
        </w:rPr>
      </w:pPr>
      <w:proofErr w:type="spellStart"/>
      <w:r>
        <w:rPr>
          <w:szCs w:val="22"/>
        </w:rPr>
        <w:t>Arimidex</w:t>
      </w:r>
      <w:proofErr w:type="spellEnd"/>
      <w:r>
        <w:rPr>
          <w:szCs w:val="22"/>
        </w:rPr>
        <w:t xml:space="preserve"> mažina Jūsų organizmo hormono estrogeno kiekį, todėl gali sumažėti mineralų kiekis kauluose, kaulai gali susilpnėti ir padidėti jų lūžių pavojus. Gydytojas imsis priemonių tokiam pavojui sumažinti, atsižvelgdamas į moterų po menopauzės kaulų būklės reguliavimo rekomendacijas. Galimą pavojaus padidėjimą ir jo koregavimo galimybes aptarkite su gydytoju.</w:t>
      </w:r>
    </w:p>
    <w:p w14:paraId="20F414ED" w14:textId="77777777" w:rsidR="00AF362A" w:rsidRDefault="00AF362A" w:rsidP="00AF362A">
      <w:pPr>
        <w:tabs>
          <w:tab w:val="left" w:pos="-1440"/>
        </w:tabs>
        <w:suppressAutoHyphens/>
        <w:rPr>
          <w:szCs w:val="22"/>
        </w:rPr>
      </w:pPr>
    </w:p>
    <w:p w14:paraId="4ED3969F" w14:textId="77777777" w:rsidR="00AF362A" w:rsidRDefault="00AF362A" w:rsidP="00AF362A">
      <w:pPr>
        <w:numPr>
          <w:ilvl w:val="12"/>
          <w:numId w:val="0"/>
        </w:numPr>
        <w:ind w:right="-2"/>
      </w:pPr>
      <w:r>
        <w:t>Jeigu pasireiškė sunkus šalutinis poveikis arba pastebėjote šiame lapelyje nenurodytą šalutinį poveikį, pasakykite gydytojui arba vaistininkui.</w:t>
      </w:r>
    </w:p>
    <w:p w14:paraId="26463964" w14:textId="77777777" w:rsidR="00AF362A" w:rsidRDefault="00AF362A" w:rsidP="00AF362A">
      <w:pPr>
        <w:numPr>
          <w:ilvl w:val="12"/>
          <w:numId w:val="0"/>
        </w:numPr>
        <w:ind w:right="-2"/>
        <w:rPr>
          <w:noProof/>
        </w:rPr>
      </w:pPr>
    </w:p>
    <w:p w14:paraId="6F146CD2" w14:textId="77777777" w:rsidR="00AF362A" w:rsidRPr="008463A3" w:rsidRDefault="00AF362A" w:rsidP="00AF362A">
      <w:pPr>
        <w:outlineLvl w:val="0"/>
        <w:rPr>
          <w:b/>
          <w:bCs/>
          <w:szCs w:val="22"/>
        </w:rPr>
      </w:pPr>
      <w:r w:rsidRPr="008463A3">
        <w:rPr>
          <w:b/>
          <w:bCs/>
          <w:szCs w:val="22"/>
        </w:rPr>
        <w:t>Pranešimas apie šalutinį poveikį</w:t>
      </w:r>
    </w:p>
    <w:p w14:paraId="7D9F96AB" w14:textId="77777777" w:rsidR="00AF362A" w:rsidRDefault="00AF362A" w:rsidP="00AF362A">
      <w:pPr>
        <w:tabs>
          <w:tab w:val="left" w:pos="567"/>
        </w:tabs>
        <w:ind w:right="-29"/>
        <w:rPr>
          <w:noProof/>
          <w:snapToGrid w:val="0"/>
        </w:rPr>
      </w:pPr>
      <w:r>
        <w:rPr>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+370 800 73 568. Pranešdami apie šalutinį poveikį galite mums padėti gauti daugiau informacijos apie šio vaisto saugumą.</w:t>
      </w:r>
    </w:p>
    <w:p w14:paraId="6E640AFD" w14:textId="77777777" w:rsidR="00AF362A" w:rsidRDefault="00AF362A" w:rsidP="00AF362A">
      <w:pPr>
        <w:numPr>
          <w:ilvl w:val="12"/>
          <w:numId w:val="0"/>
        </w:numPr>
        <w:ind w:right="-2"/>
        <w:rPr>
          <w:noProof/>
        </w:rPr>
      </w:pPr>
    </w:p>
    <w:p w14:paraId="0F068945" w14:textId="77777777" w:rsidR="00AF362A" w:rsidRDefault="00AF362A" w:rsidP="00AF362A">
      <w:pPr>
        <w:numPr>
          <w:ilvl w:val="12"/>
          <w:numId w:val="0"/>
        </w:numPr>
        <w:ind w:right="-2"/>
        <w:rPr>
          <w:noProof/>
        </w:rPr>
      </w:pPr>
    </w:p>
    <w:p w14:paraId="08CCCB33" w14:textId="77777777" w:rsidR="00AF362A" w:rsidRDefault="00AF362A" w:rsidP="00AF362A">
      <w:pPr>
        <w:numPr>
          <w:ilvl w:val="12"/>
          <w:numId w:val="0"/>
        </w:numPr>
        <w:ind w:left="567" w:right="-2" w:hanging="567"/>
        <w:rPr>
          <w:noProof/>
        </w:rPr>
      </w:pPr>
      <w:r>
        <w:rPr>
          <w:b/>
          <w:noProof/>
        </w:rPr>
        <w:t>5.</w:t>
      </w:r>
      <w:r>
        <w:rPr>
          <w:b/>
          <w:noProof/>
        </w:rPr>
        <w:tab/>
      </w:r>
      <w:r w:rsidRPr="00951C50">
        <w:t xml:space="preserve"> </w:t>
      </w:r>
      <w:r w:rsidRPr="00951C50">
        <w:rPr>
          <w:b/>
        </w:rPr>
        <w:t xml:space="preserve">Kaip laikyti </w:t>
      </w:r>
      <w:proofErr w:type="spellStart"/>
      <w:r w:rsidRPr="00951C50">
        <w:rPr>
          <w:b/>
        </w:rPr>
        <w:t>Arimidex</w:t>
      </w:r>
      <w:proofErr w:type="spellEnd"/>
    </w:p>
    <w:p w14:paraId="339C20AB" w14:textId="77777777" w:rsidR="00AF362A" w:rsidRDefault="00AF362A" w:rsidP="00AF362A">
      <w:pPr>
        <w:numPr>
          <w:ilvl w:val="12"/>
          <w:numId w:val="0"/>
        </w:numPr>
        <w:ind w:right="-2"/>
        <w:rPr>
          <w:noProof/>
        </w:rPr>
      </w:pPr>
    </w:p>
    <w:p w14:paraId="079E225B" w14:textId="77777777" w:rsidR="00AF362A" w:rsidRDefault="00AF362A" w:rsidP="00AF362A">
      <w:r>
        <w:t>Laikyti ne aukštesnėje kaip 30</w:t>
      </w:r>
      <w:r>
        <w:rPr>
          <w:szCs w:val="22"/>
        </w:rPr>
        <w:sym w:font="Symbol" w:char="F0B0"/>
      </w:r>
      <w:r>
        <w:t>C temperatūroje.</w:t>
      </w:r>
    </w:p>
    <w:p w14:paraId="5898B58E" w14:textId="77777777" w:rsidR="00AF362A" w:rsidRDefault="00AF362A" w:rsidP="00AF362A">
      <w:pPr>
        <w:numPr>
          <w:ilvl w:val="12"/>
          <w:numId w:val="0"/>
        </w:numPr>
        <w:ind w:right="-2"/>
        <w:outlineLvl w:val="0"/>
      </w:pPr>
    </w:p>
    <w:p w14:paraId="7579E0C6" w14:textId="77777777" w:rsidR="00AF362A" w:rsidRDefault="00AF362A" w:rsidP="00AF362A">
      <w:pPr>
        <w:numPr>
          <w:ilvl w:val="12"/>
          <w:numId w:val="0"/>
        </w:numPr>
        <w:ind w:right="-2"/>
        <w:outlineLvl w:val="0"/>
      </w:pPr>
      <w:r w:rsidRPr="00153901">
        <w:t xml:space="preserve">Šį vaistą </w:t>
      </w:r>
      <w:r w:rsidRPr="005C52FE">
        <w:t>laikykite vaikams nepastebimoje ir nepasiekiamoje vietoje</w:t>
      </w:r>
      <w:r>
        <w:t>. Laikykite šias tabletes saugioje vietoje, kur jų negalėtų pastebėti ar pasiekti vaikai, kadangi šios tabletės gali jiems pakenkti.</w:t>
      </w:r>
    </w:p>
    <w:p w14:paraId="5FB1041D" w14:textId="77777777" w:rsidR="00AF362A" w:rsidRDefault="00AF362A" w:rsidP="00AF362A"/>
    <w:p w14:paraId="24F7B3DD" w14:textId="77777777" w:rsidR="00AF362A" w:rsidRDefault="00AF362A" w:rsidP="00AF362A">
      <w:r w:rsidRPr="00334F98">
        <w:t xml:space="preserve"> </w:t>
      </w:r>
      <w:r w:rsidRPr="00334F98">
        <w:rPr>
          <w:rFonts w:eastAsia="TimesNewRoman"/>
          <w:szCs w:val="22"/>
          <w:lang w:eastAsia="lt-LT"/>
        </w:rPr>
        <w:t>Ant lizdinės plokštelės ir dėžutės po „EXP“ nurodytam tinkamumo laikui pasibaigus, šio vaisto vartoti negalima</w:t>
      </w:r>
      <w:r w:rsidRPr="00334F98">
        <w:rPr>
          <w:szCs w:val="22"/>
        </w:rPr>
        <w:t>.</w:t>
      </w:r>
      <w:r>
        <w:t>  Vaistas tinkamas vartoti iki paskutinės nurodyto mėnesio dienos.</w:t>
      </w:r>
    </w:p>
    <w:p w14:paraId="4DBBEB45" w14:textId="77777777" w:rsidR="00AF362A" w:rsidRDefault="00AF362A" w:rsidP="00AF362A">
      <w:pPr>
        <w:numPr>
          <w:ilvl w:val="12"/>
          <w:numId w:val="0"/>
        </w:numPr>
        <w:ind w:right="-2"/>
      </w:pPr>
    </w:p>
    <w:p w14:paraId="3D3D8292" w14:textId="77777777" w:rsidR="00AF362A" w:rsidRDefault="00AF362A" w:rsidP="00AF362A">
      <w:pPr>
        <w:numPr>
          <w:ilvl w:val="12"/>
          <w:numId w:val="0"/>
        </w:numPr>
        <w:ind w:right="-2"/>
        <w:rPr>
          <w:i/>
          <w:iCs/>
        </w:rPr>
      </w:pPr>
      <w:r>
        <w:t>Tabletes laikykite gamintojo pakuotėje.</w:t>
      </w:r>
    </w:p>
    <w:p w14:paraId="7BC6DFF8" w14:textId="77777777" w:rsidR="00AF362A" w:rsidRDefault="00AF362A" w:rsidP="00AF362A">
      <w:pPr>
        <w:numPr>
          <w:ilvl w:val="12"/>
          <w:numId w:val="0"/>
        </w:numPr>
        <w:ind w:right="-2"/>
      </w:pPr>
    </w:p>
    <w:p w14:paraId="178B317F" w14:textId="77777777" w:rsidR="00AF362A" w:rsidRDefault="00AF362A" w:rsidP="00AF362A">
      <w:pPr>
        <w:numPr>
          <w:ilvl w:val="12"/>
          <w:numId w:val="0"/>
        </w:numPr>
        <w:ind w:right="-2"/>
      </w:pPr>
      <w:r>
        <w:t xml:space="preserve">Vaistų negalima </w:t>
      </w:r>
      <w:r w:rsidRPr="00153901">
        <w:rPr>
          <w:szCs w:val="22"/>
        </w:rPr>
        <w:t>išmesti</w:t>
      </w:r>
      <w:r>
        <w:t xml:space="preserve"> į kanalizaciją arba su buitinėmis atliekomis. Kaip </w:t>
      </w:r>
      <w:r w:rsidRPr="00153901">
        <w:rPr>
          <w:szCs w:val="22"/>
        </w:rPr>
        <w:t>išmesti</w:t>
      </w:r>
      <w:r>
        <w:t xml:space="preserve"> nereikalingus vaistus, klauskite vaistininko. Šios priemonės padės apsaugoti aplinką.</w:t>
      </w:r>
    </w:p>
    <w:p w14:paraId="51F6871D" w14:textId="77777777" w:rsidR="00AF362A" w:rsidRDefault="00AF362A" w:rsidP="00AF362A">
      <w:pPr>
        <w:numPr>
          <w:ilvl w:val="12"/>
          <w:numId w:val="0"/>
        </w:numPr>
        <w:ind w:right="-2"/>
        <w:rPr>
          <w:noProof/>
        </w:rPr>
      </w:pPr>
    </w:p>
    <w:p w14:paraId="79AA434A" w14:textId="77777777" w:rsidR="00AF362A" w:rsidRDefault="00AF362A" w:rsidP="00AF362A">
      <w:pPr>
        <w:numPr>
          <w:ilvl w:val="12"/>
          <w:numId w:val="0"/>
        </w:numPr>
        <w:ind w:right="-2"/>
        <w:rPr>
          <w:noProof/>
        </w:rPr>
      </w:pPr>
    </w:p>
    <w:p w14:paraId="13E47355" w14:textId="77777777" w:rsidR="00AF362A" w:rsidRDefault="00AF362A" w:rsidP="00AF362A">
      <w:pPr>
        <w:numPr>
          <w:ilvl w:val="12"/>
          <w:numId w:val="0"/>
        </w:numPr>
        <w:ind w:left="540" w:right="-2" w:hanging="540"/>
        <w:rPr>
          <w:b/>
          <w:noProof/>
        </w:rPr>
      </w:pPr>
      <w:r>
        <w:rPr>
          <w:b/>
          <w:noProof/>
        </w:rPr>
        <w:t>6.</w:t>
      </w:r>
      <w:r>
        <w:rPr>
          <w:b/>
          <w:noProof/>
        </w:rPr>
        <w:tab/>
      </w:r>
      <w:r w:rsidRPr="007C0C67">
        <w:rPr>
          <w:b/>
          <w:noProof/>
        </w:rPr>
        <w:t>Pakuotės turinys ir kita informacija</w:t>
      </w:r>
    </w:p>
    <w:p w14:paraId="3E294AB0" w14:textId="77777777" w:rsidR="00AF362A" w:rsidRDefault="00AF362A" w:rsidP="00AF362A">
      <w:pPr>
        <w:numPr>
          <w:ilvl w:val="12"/>
          <w:numId w:val="0"/>
        </w:numPr>
        <w:ind w:right="-2"/>
        <w:rPr>
          <w:noProof/>
        </w:rPr>
      </w:pPr>
    </w:p>
    <w:p w14:paraId="51230E5D" w14:textId="77777777" w:rsidR="00AF362A" w:rsidRDefault="00AF362A" w:rsidP="00AF362A">
      <w:pPr>
        <w:numPr>
          <w:ilvl w:val="12"/>
          <w:numId w:val="0"/>
        </w:numPr>
        <w:ind w:right="-2"/>
        <w:outlineLvl w:val="0"/>
        <w:rPr>
          <w:b/>
          <w:bCs/>
        </w:rPr>
      </w:pPr>
      <w:proofErr w:type="spellStart"/>
      <w:r>
        <w:rPr>
          <w:b/>
        </w:rPr>
        <w:t>Arimidex</w:t>
      </w:r>
      <w:proofErr w:type="spellEnd"/>
      <w:r>
        <w:rPr>
          <w:b/>
          <w:bCs/>
        </w:rPr>
        <w:t xml:space="preserve"> sudėtis</w:t>
      </w:r>
    </w:p>
    <w:p w14:paraId="48EAEA1D" w14:textId="77777777" w:rsidR="00AF362A" w:rsidRDefault="00AF362A" w:rsidP="00AF362A">
      <w:pPr>
        <w:numPr>
          <w:ilvl w:val="12"/>
          <w:numId w:val="0"/>
        </w:numPr>
        <w:ind w:right="-2"/>
        <w:outlineLvl w:val="0"/>
        <w:rPr>
          <w:b/>
          <w:bCs/>
        </w:rPr>
      </w:pPr>
    </w:p>
    <w:p w14:paraId="77243CB0" w14:textId="77777777" w:rsidR="00AF362A" w:rsidRDefault="00AF362A" w:rsidP="00AF362A">
      <w:pPr>
        <w:numPr>
          <w:ilvl w:val="0"/>
          <w:numId w:val="8"/>
        </w:numPr>
        <w:rPr>
          <w:i/>
        </w:rPr>
      </w:pPr>
      <w:r>
        <w:t xml:space="preserve">Veiklioji medžiaga yra </w:t>
      </w:r>
      <w:proofErr w:type="spellStart"/>
      <w:r>
        <w:t>anastrozolas</w:t>
      </w:r>
      <w:proofErr w:type="spellEnd"/>
      <w:r>
        <w:t xml:space="preserve">. Kiekvienoje plėvele dengtoje tabletėje yra 1 mg </w:t>
      </w:r>
      <w:proofErr w:type="spellStart"/>
      <w:r>
        <w:t>anastrozolo</w:t>
      </w:r>
      <w:proofErr w:type="spellEnd"/>
      <w:r>
        <w:t>.</w:t>
      </w:r>
    </w:p>
    <w:p w14:paraId="44392A31" w14:textId="77777777" w:rsidR="00AF362A" w:rsidRDefault="00AF362A" w:rsidP="00AF362A">
      <w:pPr>
        <w:numPr>
          <w:ilvl w:val="0"/>
          <w:numId w:val="8"/>
        </w:numPr>
      </w:pPr>
      <w:r>
        <w:t xml:space="preserve">Pagalbinės medžiagos yra laktozė </w:t>
      </w:r>
      <w:proofErr w:type="spellStart"/>
      <w:r>
        <w:t>monohidratas</w:t>
      </w:r>
      <w:proofErr w:type="spellEnd"/>
      <w:r>
        <w:t xml:space="preserve">, </w:t>
      </w:r>
      <w:proofErr w:type="spellStart"/>
      <w:r>
        <w:t>povidonas</w:t>
      </w:r>
      <w:proofErr w:type="spellEnd"/>
      <w:r>
        <w:t xml:space="preserve">, </w:t>
      </w:r>
      <w:proofErr w:type="spellStart"/>
      <w:r>
        <w:t>karboksimetilkrakmolo</w:t>
      </w:r>
      <w:proofErr w:type="spellEnd"/>
      <w:r>
        <w:t xml:space="preserve"> natrio druska, magnio </w:t>
      </w:r>
      <w:proofErr w:type="spellStart"/>
      <w:r>
        <w:t>stearatas</w:t>
      </w:r>
      <w:proofErr w:type="spellEnd"/>
      <w:r>
        <w:t xml:space="preserve">, </w:t>
      </w:r>
      <w:proofErr w:type="spellStart"/>
      <w:r>
        <w:t>hipromeliozė</w:t>
      </w:r>
      <w:proofErr w:type="spellEnd"/>
      <w:r>
        <w:t xml:space="preserve">, </w:t>
      </w:r>
      <w:proofErr w:type="spellStart"/>
      <w:r>
        <w:t>makrogolis</w:t>
      </w:r>
      <w:proofErr w:type="spellEnd"/>
      <w:r>
        <w:t xml:space="preserve"> 300 ir titano dioksidas.</w:t>
      </w:r>
    </w:p>
    <w:p w14:paraId="60147630" w14:textId="77777777" w:rsidR="00AF362A" w:rsidRDefault="00AF362A" w:rsidP="00AF362A">
      <w:pPr>
        <w:ind w:right="-2"/>
      </w:pPr>
    </w:p>
    <w:p w14:paraId="0C06E7DB" w14:textId="77777777" w:rsidR="00AF362A" w:rsidRDefault="00AF362A" w:rsidP="00AF362A">
      <w:pPr>
        <w:numPr>
          <w:ilvl w:val="12"/>
          <w:numId w:val="0"/>
        </w:numPr>
        <w:ind w:right="-2"/>
        <w:outlineLvl w:val="0"/>
        <w:rPr>
          <w:b/>
          <w:bCs/>
        </w:rPr>
      </w:pPr>
      <w:proofErr w:type="spellStart"/>
      <w:r>
        <w:rPr>
          <w:b/>
        </w:rPr>
        <w:t>Arimidex</w:t>
      </w:r>
      <w:proofErr w:type="spellEnd"/>
      <w:r>
        <w:rPr>
          <w:b/>
          <w:bCs/>
        </w:rPr>
        <w:t xml:space="preserve"> išvaizda ir kiekis pakuotėje </w:t>
      </w:r>
    </w:p>
    <w:p w14:paraId="7FF97CEB" w14:textId="77777777" w:rsidR="00AF362A" w:rsidRDefault="00AF362A" w:rsidP="00AF362A">
      <w:pPr>
        <w:numPr>
          <w:ilvl w:val="12"/>
          <w:numId w:val="0"/>
        </w:numPr>
        <w:ind w:right="-2"/>
        <w:rPr>
          <w:u w:val="single"/>
        </w:rPr>
      </w:pPr>
    </w:p>
    <w:p w14:paraId="213A44B3" w14:textId="77777777" w:rsidR="00AF362A" w:rsidRDefault="00AF362A" w:rsidP="00AF362A">
      <w:pPr>
        <w:numPr>
          <w:ilvl w:val="12"/>
          <w:numId w:val="0"/>
        </w:numPr>
        <w:ind w:right="-2"/>
      </w:pPr>
      <w:r>
        <w:t>Baltos, apvalios, abipus išgautos plėvele dengtos tabletės maždaug 6.1 mm skersmens, su „A“ žyma vienoje pusėje bei „Adx1“ – kitoje.</w:t>
      </w:r>
    </w:p>
    <w:p w14:paraId="536A4E49" w14:textId="77777777" w:rsidR="00AF362A" w:rsidRDefault="00AF362A" w:rsidP="00AF362A">
      <w:pPr>
        <w:numPr>
          <w:ilvl w:val="12"/>
          <w:numId w:val="0"/>
        </w:numPr>
        <w:ind w:right="-2"/>
        <w:rPr>
          <w:u w:val="single"/>
        </w:rPr>
      </w:pPr>
    </w:p>
    <w:p w14:paraId="304A1665" w14:textId="77777777" w:rsidR="00AF362A" w:rsidRPr="000C2FE8" w:rsidRDefault="00AF362A" w:rsidP="00AF362A">
      <w:pPr>
        <w:pStyle w:val="Pagrindinistekstas"/>
        <w:rPr>
          <w:i w:val="0"/>
          <w:color w:val="auto"/>
          <w:sz w:val="22"/>
          <w:lang w:val="lt-LT"/>
        </w:rPr>
      </w:pPr>
      <w:proofErr w:type="spellStart"/>
      <w:r w:rsidRPr="000C2FE8">
        <w:rPr>
          <w:i w:val="0"/>
          <w:color w:val="auto"/>
          <w:sz w:val="22"/>
          <w:lang w:val="lt-LT"/>
        </w:rPr>
        <w:t>Arimidex</w:t>
      </w:r>
      <w:proofErr w:type="spellEnd"/>
      <w:r w:rsidRPr="000C2FE8">
        <w:rPr>
          <w:i w:val="0"/>
          <w:color w:val="auto"/>
          <w:sz w:val="22"/>
          <w:lang w:val="lt-LT"/>
        </w:rPr>
        <w:t xml:space="preserve"> tiekiamas lizdinių plokštelių pakuotėmis po 20, 28, 30, 84, 98, 100 arba 300 tablečių.</w:t>
      </w:r>
    </w:p>
    <w:p w14:paraId="2549EC4C" w14:textId="77777777" w:rsidR="00AF362A" w:rsidRPr="000C2FE8" w:rsidRDefault="00AF362A" w:rsidP="00AF362A">
      <w:pPr>
        <w:pStyle w:val="Pagrindinistekstas"/>
        <w:rPr>
          <w:i w:val="0"/>
          <w:color w:val="auto"/>
          <w:sz w:val="22"/>
          <w:lang w:val="lt-LT"/>
        </w:rPr>
      </w:pPr>
      <w:r w:rsidRPr="000C2FE8">
        <w:rPr>
          <w:i w:val="0"/>
          <w:color w:val="auto"/>
          <w:sz w:val="22"/>
          <w:lang w:val="lt-LT"/>
        </w:rPr>
        <w:t>Gali būti tiekiamos ne visų dydžių pakuotės.</w:t>
      </w:r>
    </w:p>
    <w:p w14:paraId="1FFADDA7" w14:textId="77777777" w:rsidR="00AF362A" w:rsidRDefault="00AF362A" w:rsidP="00AF362A">
      <w:pPr>
        <w:numPr>
          <w:ilvl w:val="12"/>
          <w:numId w:val="0"/>
        </w:numPr>
        <w:ind w:right="-2"/>
      </w:pPr>
    </w:p>
    <w:p w14:paraId="7616126D" w14:textId="77777777" w:rsidR="00AF362A" w:rsidRDefault="00AF362A" w:rsidP="00AF362A">
      <w:pPr>
        <w:numPr>
          <w:ilvl w:val="12"/>
          <w:numId w:val="0"/>
        </w:numPr>
        <w:ind w:right="-2"/>
        <w:outlineLvl w:val="0"/>
        <w:rPr>
          <w:b/>
          <w:bCs/>
        </w:rPr>
      </w:pPr>
      <w:r>
        <w:rPr>
          <w:b/>
          <w:bCs/>
        </w:rPr>
        <w:t>Registruotojas ir gamintojas</w:t>
      </w:r>
    </w:p>
    <w:p w14:paraId="47CDD9BB" w14:textId="77777777" w:rsidR="00AF362A" w:rsidRDefault="00AF362A" w:rsidP="00AF362A">
      <w:pPr>
        <w:numPr>
          <w:ilvl w:val="12"/>
          <w:numId w:val="0"/>
        </w:numPr>
        <w:ind w:right="-2"/>
      </w:pPr>
    </w:p>
    <w:p w14:paraId="3F26B7C5" w14:textId="77777777" w:rsidR="00AF362A" w:rsidRPr="008463A3" w:rsidRDefault="00AF362A" w:rsidP="00AF362A">
      <w:pPr>
        <w:pStyle w:val="Pagrindinistekstas"/>
        <w:rPr>
          <w:color w:val="auto"/>
          <w:sz w:val="22"/>
          <w:szCs w:val="22"/>
          <w:lang w:val="lt-LT"/>
        </w:rPr>
      </w:pPr>
      <w:r w:rsidRPr="008463A3">
        <w:rPr>
          <w:color w:val="auto"/>
          <w:sz w:val="22"/>
          <w:szCs w:val="22"/>
          <w:lang w:val="lt-LT"/>
        </w:rPr>
        <w:t>Registruotojas</w:t>
      </w:r>
    </w:p>
    <w:p w14:paraId="4B64DC6E" w14:textId="77777777" w:rsidR="00AF362A" w:rsidRPr="00741A4C" w:rsidRDefault="00AF362A" w:rsidP="00AF362A">
      <w:pPr>
        <w:rPr>
          <w:szCs w:val="22"/>
        </w:rPr>
      </w:pPr>
      <w:proofErr w:type="spellStart"/>
      <w:r w:rsidRPr="00741A4C">
        <w:rPr>
          <w:szCs w:val="22"/>
        </w:rPr>
        <w:t>Laboratoires</w:t>
      </w:r>
      <w:proofErr w:type="spellEnd"/>
      <w:r w:rsidRPr="00741A4C">
        <w:rPr>
          <w:szCs w:val="22"/>
        </w:rPr>
        <w:t xml:space="preserve"> </w:t>
      </w:r>
      <w:proofErr w:type="spellStart"/>
      <w:r w:rsidRPr="00741A4C">
        <w:rPr>
          <w:szCs w:val="22"/>
        </w:rPr>
        <w:t>Juvisé</w:t>
      </w:r>
      <w:proofErr w:type="spellEnd"/>
      <w:r w:rsidRPr="00741A4C">
        <w:rPr>
          <w:szCs w:val="22"/>
        </w:rPr>
        <w:t xml:space="preserve"> </w:t>
      </w:r>
      <w:proofErr w:type="spellStart"/>
      <w:r w:rsidRPr="00741A4C">
        <w:rPr>
          <w:szCs w:val="22"/>
        </w:rPr>
        <w:t>Pharmaceuticals</w:t>
      </w:r>
      <w:proofErr w:type="spellEnd"/>
    </w:p>
    <w:p w14:paraId="776935F5" w14:textId="77777777" w:rsidR="00AF362A" w:rsidRPr="00741A4C" w:rsidRDefault="00AF362A" w:rsidP="00AF362A">
      <w:pPr>
        <w:rPr>
          <w:szCs w:val="22"/>
        </w:rPr>
      </w:pPr>
      <w:r w:rsidRPr="00741A4C">
        <w:rPr>
          <w:szCs w:val="22"/>
        </w:rPr>
        <w:t xml:space="preserve">149 </w:t>
      </w:r>
      <w:proofErr w:type="spellStart"/>
      <w:r w:rsidRPr="00741A4C">
        <w:rPr>
          <w:szCs w:val="22"/>
        </w:rPr>
        <w:t>boulevard</w:t>
      </w:r>
      <w:proofErr w:type="spellEnd"/>
      <w:r w:rsidRPr="00741A4C">
        <w:rPr>
          <w:szCs w:val="22"/>
        </w:rPr>
        <w:t xml:space="preserve"> </w:t>
      </w:r>
      <w:proofErr w:type="spellStart"/>
      <w:r w:rsidRPr="00741A4C">
        <w:rPr>
          <w:szCs w:val="22"/>
        </w:rPr>
        <w:t>Bataille</w:t>
      </w:r>
      <w:proofErr w:type="spellEnd"/>
      <w:r w:rsidRPr="00741A4C">
        <w:rPr>
          <w:szCs w:val="22"/>
        </w:rPr>
        <w:t xml:space="preserve"> de </w:t>
      </w:r>
      <w:proofErr w:type="spellStart"/>
      <w:r w:rsidRPr="00741A4C">
        <w:rPr>
          <w:szCs w:val="22"/>
        </w:rPr>
        <w:t>Stalingrad</w:t>
      </w:r>
      <w:proofErr w:type="spellEnd"/>
    </w:p>
    <w:p w14:paraId="1A47FB95" w14:textId="77777777" w:rsidR="00AF362A" w:rsidRPr="00741A4C" w:rsidRDefault="00AF362A" w:rsidP="00AF362A">
      <w:pPr>
        <w:rPr>
          <w:szCs w:val="22"/>
        </w:rPr>
      </w:pPr>
      <w:r w:rsidRPr="00741A4C">
        <w:rPr>
          <w:szCs w:val="22"/>
        </w:rPr>
        <w:t xml:space="preserve">69100 </w:t>
      </w:r>
      <w:proofErr w:type="spellStart"/>
      <w:r w:rsidRPr="00741A4C">
        <w:rPr>
          <w:szCs w:val="22"/>
        </w:rPr>
        <w:t>Villeurbanne</w:t>
      </w:r>
      <w:proofErr w:type="spellEnd"/>
    </w:p>
    <w:p w14:paraId="568B351B" w14:textId="77777777" w:rsidR="00AF362A" w:rsidRDefault="00AF362A" w:rsidP="00AF362A">
      <w:pPr>
        <w:rPr>
          <w:szCs w:val="22"/>
        </w:rPr>
      </w:pPr>
      <w:r w:rsidRPr="00741A4C">
        <w:rPr>
          <w:szCs w:val="22"/>
        </w:rPr>
        <w:t>Prancūzija</w:t>
      </w:r>
    </w:p>
    <w:p w14:paraId="35812C91" w14:textId="77777777" w:rsidR="00AF362A" w:rsidRDefault="00AF362A" w:rsidP="00AF362A">
      <w:pPr>
        <w:numPr>
          <w:ilvl w:val="12"/>
          <w:numId w:val="0"/>
        </w:numPr>
        <w:ind w:right="-2"/>
      </w:pPr>
    </w:p>
    <w:p w14:paraId="379795C3" w14:textId="77777777" w:rsidR="00AF362A" w:rsidRPr="008463A3" w:rsidRDefault="00AF362A" w:rsidP="00AF362A">
      <w:pPr>
        <w:numPr>
          <w:ilvl w:val="12"/>
          <w:numId w:val="0"/>
        </w:numPr>
        <w:ind w:right="-2"/>
        <w:rPr>
          <w:i/>
        </w:rPr>
      </w:pPr>
      <w:r w:rsidRPr="007C03F5">
        <w:rPr>
          <w:bCs/>
          <w:i/>
        </w:rPr>
        <w:t>Gamintojas</w:t>
      </w:r>
    </w:p>
    <w:p w14:paraId="4D592092" w14:textId="77777777" w:rsidR="00AF362A" w:rsidRPr="00E55A9B" w:rsidRDefault="00AF362A" w:rsidP="00AF362A">
      <w:pPr>
        <w:numPr>
          <w:ilvl w:val="12"/>
          <w:numId w:val="0"/>
        </w:numPr>
        <w:ind w:right="-2"/>
      </w:pPr>
      <w:proofErr w:type="spellStart"/>
      <w:r w:rsidRPr="00E55A9B">
        <w:t>Haupt</w:t>
      </w:r>
      <w:proofErr w:type="spellEnd"/>
      <w:r w:rsidRPr="00E55A9B">
        <w:t xml:space="preserve"> Pharma </w:t>
      </w:r>
      <w:proofErr w:type="spellStart"/>
      <w:r w:rsidRPr="00E55A9B">
        <w:t>Muenster</w:t>
      </w:r>
      <w:proofErr w:type="spellEnd"/>
      <w:r w:rsidRPr="00E55A9B">
        <w:t xml:space="preserve"> </w:t>
      </w:r>
      <w:proofErr w:type="spellStart"/>
      <w:r w:rsidRPr="00E55A9B">
        <w:t>GmbH</w:t>
      </w:r>
      <w:proofErr w:type="spellEnd"/>
    </w:p>
    <w:p w14:paraId="6F436CDC" w14:textId="77777777" w:rsidR="00AF362A" w:rsidRPr="00E55A9B" w:rsidRDefault="00AF362A" w:rsidP="00AF362A">
      <w:pPr>
        <w:numPr>
          <w:ilvl w:val="12"/>
          <w:numId w:val="0"/>
        </w:numPr>
        <w:ind w:right="-2"/>
      </w:pPr>
      <w:proofErr w:type="spellStart"/>
      <w:r w:rsidRPr="00E55A9B">
        <w:t>Schleebrueggenkamp</w:t>
      </w:r>
      <w:proofErr w:type="spellEnd"/>
      <w:r w:rsidRPr="00E55A9B">
        <w:t xml:space="preserve"> 15, </w:t>
      </w:r>
      <w:proofErr w:type="spellStart"/>
      <w:r w:rsidRPr="00E55A9B">
        <w:t>Muenster</w:t>
      </w:r>
      <w:proofErr w:type="spellEnd"/>
      <w:r w:rsidRPr="00E55A9B">
        <w:t xml:space="preserve">, </w:t>
      </w:r>
    </w:p>
    <w:p w14:paraId="08B41C60" w14:textId="77777777" w:rsidR="00AF362A" w:rsidRPr="00E55A9B" w:rsidRDefault="00AF362A" w:rsidP="00AF362A">
      <w:pPr>
        <w:numPr>
          <w:ilvl w:val="12"/>
          <w:numId w:val="0"/>
        </w:numPr>
        <w:ind w:right="-2"/>
      </w:pPr>
      <w:proofErr w:type="spellStart"/>
      <w:r w:rsidRPr="00E55A9B">
        <w:t>Nordrhein-Westfalen</w:t>
      </w:r>
      <w:proofErr w:type="spellEnd"/>
      <w:r w:rsidRPr="00E55A9B">
        <w:t xml:space="preserve">, 48159, </w:t>
      </w:r>
    </w:p>
    <w:p w14:paraId="00B14A72" w14:textId="77777777" w:rsidR="00AF362A" w:rsidRDefault="00AF362A" w:rsidP="00AF362A">
      <w:pPr>
        <w:numPr>
          <w:ilvl w:val="12"/>
          <w:numId w:val="0"/>
        </w:numPr>
        <w:ind w:right="-2"/>
      </w:pPr>
      <w:r w:rsidRPr="00E55A9B">
        <w:t>Vokietija</w:t>
      </w:r>
    </w:p>
    <w:p w14:paraId="2C81BA67" w14:textId="77777777" w:rsidR="00AF362A" w:rsidRDefault="00AF362A" w:rsidP="00AF362A">
      <w:pPr>
        <w:numPr>
          <w:ilvl w:val="12"/>
          <w:numId w:val="0"/>
        </w:numPr>
        <w:ind w:right="-2"/>
      </w:pPr>
    </w:p>
    <w:p w14:paraId="07D8C3BC" w14:textId="77777777" w:rsidR="00AF362A" w:rsidRDefault="00AF362A" w:rsidP="00AF362A">
      <w:pPr>
        <w:numPr>
          <w:ilvl w:val="12"/>
          <w:numId w:val="0"/>
        </w:numPr>
        <w:ind w:right="-2"/>
      </w:pPr>
      <w:r>
        <w:t>arba</w:t>
      </w:r>
    </w:p>
    <w:p w14:paraId="21D9B8C3" w14:textId="77777777" w:rsidR="00AF362A" w:rsidRDefault="00AF362A" w:rsidP="00AF362A">
      <w:pPr>
        <w:numPr>
          <w:ilvl w:val="12"/>
          <w:numId w:val="0"/>
        </w:numPr>
        <w:ind w:right="-2"/>
      </w:pPr>
    </w:p>
    <w:p w14:paraId="3891C82D" w14:textId="77777777" w:rsidR="00AF362A" w:rsidRPr="008463A3" w:rsidRDefault="00AF362A" w:rsidP="00AF362A">
      <w:pPr>
        <w:numPr>
          <w:ilvl w:val="12"/>
          <w:numId w:val="0"/>
        </w:numPr>
        <w:ind w:right="-2"/>
      </w:pPr>
      <w:r w:rsidRPr="008463A3">
        <w:t xml:space="preserve">AstraZeneca AB, </w:t>
      </w:r>
    </w:p>
    <w:p w14:paraId="4BB93270" w14:textId="77777777" w:rsidR="00AF362A" w:rsidRPr="008463A3" w:rsidRDefault="00AF362A" w:rsidP="00AF362A">
      <w:pPr>
        <w:numPr>
          <w:ilvl w:val="12"/>
          <w:numId w:val="0"/>
        </w:numPr>
        <w:ind w:right="-2"/>
      </w:pPr>
      <w:proofErr w:type="spellStart"/>
      <w:r w:rsidRPr="008463A3">
        <w:t>Gärtunavägen</w:t>
      </w:r>
      <w:proofErr w:type="spellEnd"/>
      <w:r w:rsidRPr="008463A3">
        <w:t xml:space="preserve"> SE-151 85 </w:t>
      </w:r>
      <w:proofErr w:type="spellStart"/>
      <w:r w:rsidRPr="008463A3">
        <w:t>Södertälje</w:t>
      </w:r>
      <w:proofErr w:type="spellEnd"/>
      <w:r w:rsidRPr="008463A3">
        <w:t xml:space="preserve"> </w:t>
      </w:r>
    </w:p>
    <w:p w14:paraId="1AD0CACE" w14:textId="77777777" w:rsidR="00AF362A" w:rsidRDefault="00AF362A" w:rsidP="00AF362A">
      <w:pPr>
        <w:numPr>
          <w:ilvl w:val="12"/>
          <w:numId w:val="0"/>
        </w:numPr>
        <w:ind w:right="-2"/>
      </w:pPr>
      <w:r>
        <w:t>Švedija</w:t>
      </w:r>
    </w:p>
    <w:p w14:paraId="57010BB0" w14:textId="77777777" w:rsidR="00AF362A" w:rsidRDefault="00AF362A" w:rsidP="00AF362A">
      <w:pPr>
        <w:numPr>
          <w:ilvl w:val="12"/>
          <w:numId w:val="0"/>
        </w:numPr>
        <w:ind w:right="-2"/>
      </w:pPr>
    </w:p>
    <w:p w14:paraId="5E2A4A62" w14:textId="77777777" w:rsidR="00AF362A" w:rsidRDefault="00AF362A" w:rsidP="00AF362A">
      <w:pPr>
        <w:numPr>
          <w:ilvl w:val="12"/>
          <w:numId w:val="0"/>
        </w:numPr>
        <w:ind w:right="-2"/>
      </w:pPr>
    </w:p>
    <w:p w14:paraId="17747D93" w14:textId="77777777" w:rsidR="00AF362A" w:rsidRDefault="00AF362A" w:rsidP="00AF362A">
      <w:pPr>
        <w:numPr>
          <w:ilvl w:val="12"/>
          <w:numId w:val="0"/>
        </w:numPr>
        <w:ind w:right="-2"/>
        <w:rPr>
          <w:b/>
        </w:rPr>
      </w:pPr>
      <w:r w:rsidRPr="00B34FA1">
        <w:rPr>
          <w:b/>
        </w:rPr>
        <w:t>Ši</w:t>
      </w:r>
      <w:r>
        <w:rPr>
          <w:b/>
        </w:rPr>
        <w:t>s</w:t>
      </w:r>
      <w:r w:rsidRPr="00B34FA1">
        <w:rPr>
          <w:b/>
        </w:rPr>
        <w:t xml:space="preserve"> </w:t>
      </w:r>
      <w:r>
        <w:rPr>
          <w:b/>
        </w:rPr>
        <w:t>vaistas</w:t>
      </w:r>
      <w:r w:rsidRPr="00B34FA1">
        <w:rPr>
          <w:b/>
        </w:rPr>
        <w:t xml:space="preserve"> EEE valstybėse narėse </w:t>
      </w:r>
      <w:r>
        <w:rPr>
          <w:b/>
        </w:rPr>
        <w:t xml:space="preserve">registruotas </w:t>
      </w:r>
      <w:r w:rsidRPr="00B34FA1">
        <w:rPr>
          <w:b/>
        </w:rPr>
        <w:t>tokiais pavadinimais</w:t>
      </w:r>
      <w:r w:rsidRPr="00B34FA1">
        <w:t>:</w:t>
      </w:r>
    </w:p>
    <w:p w14:paraId="6B02406C" w14:textId="77777777" w:rsidR="00AF362A" w:rsidRDefault="00AF362A" w:rsidP="00AF362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0"/>
        <w:gridCol w:w="6452"/>
      </w:tblGrid>
      <w:tr w:rsidR="00AF362A" w14:paraId="2048F41F" w14:textId="77777777" w:rsidTr="002C2D49">
        <w:tc>
          <w:tcPr>
            <w:tcW w:w="2520" w:type="dxa"/>
          </w:tcPr>
          <w:p w14:paraId="506E6F23" w14:textId="77777777" w:rsidR="00AF362A" w:rsidRDefault="00AF362A" w:rsidP="002C2D49">
            <w:pPr>
              <w:rPr>
                <w:b/>
                <w:bCs/>
              </w:rPr>
            </w:pPr>
            <w:r w:rsidRPr="00EF3B71">
              <w:rPr>
                <w:b/>
              </w:rPr>
              <w:t>Valstybė narė</w:t>
            </w:r>
            <w:r>
              <w:rPr>
                <w:b/>
                <w:bCs/>
              </w:rPr>
              <w:t xml:space="preserve"> </w:t>
            </w:r>
          </w:p>
        </w:tc>
        <w:tc>
          <w:tcPr>
            <w:tcW w:w="6552" w:type="dxa"/>
          </w:tcPr>
          <w:p w14:paraId="37AA6DF4" w14:textId="77777777" w:rsidR="00AF362A" w:rsidRDefault="00AF362A" w:rsidP="002C2D49">
            <w:pPr>
              <w:rPr>
                <w:b/>
                <w:bCs/>
              </w:rPr>
            </w:pPr>
            <w:r w:rsidRPr="00EF3B71">
              <w:rPr>
                <w:b/>
              </w:rPr>
              <w:t xml:space="preserve">Sugalvotas pavadinimas, stiprumas ir farmacinė forma </w:t>
            </w:r>
          </w:p>
        </w:tc>
      </w:tr>
      <w:tr w:rsidR="00AF362A" w14:paraId="00972B71" w14:textId="77777777" w:rsidTr="002C2D49">
        <w:tc>
          <w:tcPr>
            <w:tcW w:w="2520" w:type="dxa"/>
          </w:tcPr>
          <w:p w14:paraId="29CA11DE" w14:textId="77777777" w:rsidR="00AF362A" w:rsidRDefault="00AF362A" w:rsidP="002C2D49">
            <w:pPr>
              <w:rPr>
                <w:lang w:val="en-US"/>
              </w:rPr>
            </w:pPr>
            <w:proofErr w:type="spellStart"/>
            <w:r>
              <w:rPr>
                <w:lang w:val="en-US"/>
              </w:rPr>
              <w:t>Austrija</w:t>
            </w:r>
            <w:proofErr w:type="spellEnd"/>
            <w:r>
              <w:rPr>
                <w:lang w:val="en-US"/>
              </w:rPr>
              <w:t xml:space="preserve"> </w:t>
            </w:r>
          </w:p>
        </w:tc>
        <w:tc>
          <w:tcPr>
            <w:tcW w:w="6552" w:type="dxa"/>
          </w:tcPr>
          <w:p w14:paraId="481C4BDD" w14:textId="77777777" w:rsidR="00AF362A" w:rsidRDefault="00AF362A" w:rsidP="002C2D49">
            <w:pPr>
              <w:rPr>
                <w:lang w:val="en-US"/>
              </w:rPr>
            </w:pPr>
            <w:proofErr w:type="spellStart"/>
            <w:r>
              <w:t>Arimidex</w:t>
            </w:r>
            <w:proofErr w:type="spellEnd"/>
            <w:r>
              <w:t xml:space="preserve"> 1 mg </w:t>
            </w:r>
            <w:proofErr w:type="spellStart"/>
            <w:r>
              <w:t>Filmtabletten</w:t>
            </w:r>
            <w:proofErr w:type="spellEnd"/>
          </w:p>
        </w:tc>
      </w:tr>
      <w:tr w:rsidR="00AF362A" w14:paraId="69117B0E" w14:textId="77777777" w:rsidTr="002C2D49">
        <w:tc>
          <w:tcPr>
            <w:tcW w:w="2520" w:type="dxa"/>
          </w:tcPr>
          <w:p w14:paraId="426A2C79" w14:textId="77777777" w:rsidR="00AF362A" w:rsidRDefault="00AF362A" w:rsidP="002C2D49">
            <w:pPr>
              <w:rPr>
                <w:lang w:val="en-US"/>
              </w:rPr>
            </w:pPr>
            <w:proofErr w:type="spellStart"/>
            <w:r>
              <w:rPr>
                <w:lang w:val="en-US"/>
              </w:rPr>
              <w:t>Belgija</w:t>
            </w:r>
            <w:proofErr w:type="spellEnd"/>
          </w:p>
        </w:tc>
        <w:tc>
          <w:tcPr>
            <w:tcW w:w="6552" w:type="dxa"/>
          </w:tcPr>
          <w:p w14:paraId="7E38EE0E" w14:textId="77777777" w:rsidR="00AF362A" w:rsidRDefault="00AF362A" w:rsidP="002C2D49">
            <w:pPr>
              <w:rPr>
                <w:lang w:val="en-US"/>
              </w:rPr>
            </w:pPr>
            <w:proofErr w:type="spellStart"/>
            <w:r>
              <w:t>Arimidex</w:t>
            </w:r>
            <w:proofErr w:type="spellEnd"/>
            <w:r>
              <w:t xml:space="preserve">, 1 mg, </w:t>
            </w:r>
            <w:proofErr w:type="spellStart"/>
            <w:r>
              <w:t>comprimés</w:t>
            </w:r>
            <w:proofErr w:type="spellEnd"/>
            <w:r>
              <w:t xml:space="preserve"> </w:t>
            </w:r>
            <w:proofErr w:type="spellStart"/>
            <w:r>
              <w:t>pelliculés</w:t>
            </w:r>
            <w:proofErr w:type="spellEnd"/>
          </w:p>
        </w:tc>
      </w:tr>
      <w:tr w:rsidR="00AF362A" w14:paraId="213EAB31" w14:textId="77777777" w:rsidTr="002C2D49">
        <w:tc>
          <w:tcPr>
            <w:tcW w:w="2520" w:type="dxa"/>
          </w:tcPr>
          <w:p w14:paraId="5EAABE8C" w14:textId="77777777" w:rsidR="00AF362A" w:rsidRDefault="00AF362A" w:rsidP="002C2D49">
            <w:pPr>
              <w:rPr>
                <w:lang w:val="en-US"/>
              </w:rPr>
            </w:pPr>
            <w:proofErr w:type="spellStart"/>
            <w:r>
              <w:rPr>
                <w:lang w:val="en-US"/>
              </w:rPr>
              <w:t>Bulgarija</w:t>
            </w:r>
            <w:proofErr w:type="spellEnd"/>
            <w:r>
              <w:rPr>
                <w:lang w:val="en-US"/>
              </w:rPr>
              <w:t xml:space="preserve"> </w:t>
            </w:r>
          </w:p>
        </w:tc>
        <w:tc>
          <w:tcPr>
            <w:tcW w:w="6552" w:type="dxa"/>
          </w:tcPr>
          <w:p w14:paraId="575CE15E" w14:textId="77777777" w:rsidR="00AF362A" w:rsidRDefault="00AF362A" w:rsidP="002C2D49">
            <w:pPr>
              <w:rPr>
                <w:sz w:val="21"/>
                <w:szCs w:val="21"/>
                <w:lang w:val="en-US"/>
              </w:rPr>
            </w:pPr>
            <w:r>
              <w:rPr>
                <w:sz w:val="24"/>
                <w:lang w:val="bg-BG"/>
              </w:rPr>
              <w:t>Аримидекс 1 mg филмирани таблетки</w:t>
            </w:r>
          </w:p>
        </w:tc>
      </w:tr>
      <w:tr w:rsidR="00AF362A" w14:paraId="14EBBFC1" w14:textId="77777777" w:rsidTr="002C2D49">
        <w:tc>
          <w:tcPr>
            <w:tcW w:w="2520" w:type="dxa"/>
          </w:tcPr>
          <w:p w14:paraId="7C3A3AAF" w14:textId="77777777" w:rsidR="00AF362A" w:rsidRDefault="00AF362A" w:rsidP="002C2D49">
            <w:pPr>
              <w:rPr>
                <w:lang w:val="en-US"/>
              </w:rPr>
            </w:pPr>
            <w:r w:rsidRPr="001F08AB">
              <w:t>Kipras</w:t>
            </w:r>
            <w:r>
              <w:rPr>
                <w:lang w:val="en-US"/>
              </w:rPr>
              <w:t xml:space="preserve"> </w:t>
            </w:r>
          </w:p>
        </w:tc>
        <w:tc>
          <w:tcPr>
            <w:tcW w:w="6552" w:type="dxa"/>
          </w:tcPr>
          <w:p w14:paraId="60EA3B24" w14:textId="77777777" w:rsidR="00AF362A" w:rsidRDefault="00AF362A" w:rsidP="002C2D49">
            <w:pPr>
              <w:autoSpaceDE w:val="0"/>
              <w:autoSpaceDN w:val="0"/>
              <w:adjustRightInd w:val="0"/>
              <w:rPr>
                <w:sz w:val="21"/>
                <w:szCs w:val="21"/>
                <w:lang w:val="en-US"/>
              </w:rPr>
            </w:pPr>
            <w:r>
              <w:rPr>
                <w:sz w:val="21"/>
                <w:szCs w:val="21"/>
                <w:lang w:val="en-US"/>
              </w:rPr>
              <w:t>Arimidex 1 mg film coated tablets</w:t>
            </w:r>
          </w:p>
        </w:tc>
      </w:tr>
      <w:tr w:rsidR="00AF362A" w:rsidRPr="005B5A02" w14:paraId="4C4AC973" w14:textId="77777777" w:rsidTr="002C2D49">
        <w:tc>
          <w:tcPr>
            <w:tcW w:w="2520" w:type="dxa"/>
          </w:tcPr>
          <w:p w14:paraId="33280344" w14:textId="77777777" w:rsidR="00AF362A" w:rsidRPr="005B5A02" w:rsidRDefault="00AF362A" w:rsidP="002C2D49">
            <w:pPr>
              <w:rPr>
                <w:lang w:val="en-US"/>
              </w:rPr>
            </w:pPr>
            <w:r w:rsidRPr="005B5A02">
              <w:t>Čekij</w:t>
            </w:r>
            <w:r>
              <w:t>a</w:t>
            </w:r>
          </w:p>
        </w:tc>
        <w:tc>
          <w:tcPr>
            <w:tcW w:w="6552" w:type="dxa"/>
          </w:tcPr>
          <w:p w14:paraId="21120B5E" w14:textId="77777777" w:rsidR="00AF362A" w:rsidRPr="007C03F5" w:rsidRDefault="00AF362A" w:rsidP="002C2D49">
            <w:pPr>
              <w:pStyle w:val="Pagrindinistekstas"/>
              <w:rPr>
                <w:i w:val="0"/>
                <w:color w:val="auto"/>
                <w:sz w:val="22"/>
              </w:rPr>
            </w:pPr>
            <w:r w:rsidRPr="007C03F5">
              <w:rPr>
                <w:i w:val="0"/>
                <w:color w:val="auto"/>
                <w:sz w:val="22"/>
              </w:rPr>
              <w:t xml:space="preserve">Arimidex 1 mg </w:t>
            </w:r>
            <w:r w:rsidRPr="007C03F5">
              <w:rPr>
                <w:i w:val="0"/>
                <w:color w:val="auto"/>
                <w:sz w:val="22"/>
                <w:lang w:val="cs-CZ"/>
              </w:rPr>
              <w:t>potahované tablety</w:t>
            </w:r>
          </w:p>
        </w:tc>
      </w:tr>
      <w:tr w:rsidR="00AF362A" w14:paraId="408798F5" w14:textId="77777777" w:rsidTr="002C2D49">
        <w:tc>
          <w:tcPr>
            <w:tcW w:w="2520" w:type="dxa"/>
          </w:tcPr>
          <w:p w14:paraId="6C1F125F" w14:textId="77777777" w:rsidR="00AF362A" w:rsidRDefault="00AF362A" w:rsidP="002C2D49">
            <w:pPr>
              <w:rPr>
                <w:lang w:val="en-US"/>
              </w:rPr>
            </w:pPr>
            <w:r w:rsidRPr="001F08AB">
              <w:t>Danija</w:t>
            </w:r>
            <w:r>
              <w:rPr>
                <w:lang w:val="en-US"/>
              </w:rPr>
              <w:t xml:space="preserve">  </w:t>
            </w:r>
          </w:p>
        </w:tc>
        <w:tc>
          <w:tcPr>
            <w:tcW w:w="6552" w:type="dxa"/>
          </w:tcPr>
          <w:p w14:paraId="7F10BF4B" w14:textId="77777777" w:rsidR="00AF362A" w:rsidRDefault="00AF362A" w:rsidP="002C2D49">
            <w:pPr>
              <w:rPr>
                <w:lang w:val="en-US"/>
              </w:rPr>
            </w:pPr>
            <w:proofErr w:type="spellStart"/>
            <w:r>
              <w:rPr>
                <w:spacing w:val="-3"/>
              </w:rPr>
              <w:t>Arimidex</w:t>
            </w:r>
            <w:proofErr w:type="spellEnd"/>
            <w:r>
              <w:rPr>
                <w:spacing w:val="-3"/>
              </w:rPr>
              <w:t xml:space="preserve"> 1 mg </w:t>
            </w:r>
            <w:proofErr w:type="spellStart"/>
            <w:r>
              <w:rPr>
                <w:spacing w:val="-3"/>
              </w:rPr>
              <w:t>filmovertrukne</w:t>
            </w:r>
            <w:proofErr w:type="spellEnd"/>
            <w:r>
              <w:rPr>
                <w:spacing w:val="-3"/>
              </w:rPr>
              <w:t xml:space="preserve"> </w:t>
            </w:r>
            <w:proofErr w:type="spellStart"/>
            <w:r>
              <w:rPr>
                <w:spacing w:val="-3"/>
              </w:rPr>
              <w:t>tabletter</w:t>
            </w:r>
            <w:proofErr w:type="spellEnd"/>
          </w:p>
        </w:tc>
      </w:tr>
      <w:tr w:rsidR="00AF362A" w14:paraId="556D4B76" w14:textId="77777777" w:rsidTr="002C2D49">
        <w:tc>
          <w:tcPr>
            <w:tcW w:w="2520" w:type="dxa"/>
          </w:tcPr>
          <w:p w14:paraId="2D03BA75" w14:textId="77777777" w:rsidR="00AF362A" w:rsidRDefault="00AF362A" w:rsidP="002C2D49">
            <w:pPr>
              <w:rPr>
                <w:lang w:val="en-US"/>
              </w:rPr>
            </w:pPr>
            <w:proofErr w:type="spellStart"/>
            <w:r>
              <w:rPr>
                <w:lang w:val="en-US"/>
              </w:rPr>
              <w:t>Estija</w:t>
            </w:r>
            <w:proofErr w:type="spellEnd"/>
          </w:p>
        </w:tc>
        <w:tc>
          <w:tcPr>
            <w:tcW w:w="6552" w:type="dxa"/>
          </w:tcPr>
          <w:p w14:paraId="0314F0FA" w14:textId="77777777" w:rsidR="00AF362A" w:rsidRDefault="00AF362A" w:rsidP="002C2D49">
            <w:pPr>
              <w:pStyle w:val="A-Single"/>
              <w:rPr>
                <w:sz w:val="20"/>
                <w:szCs w:val="21"/>
                <w:lang w:val="en-US"/>
              </w:rPr>
            </w:pPr>
            <w:r>
              <w:t xml:space="preserve">ARIMIDEX, 1 mg </w:t>
            </w:r>
            <w:proofErr w:type="spellStart"/>
            <w:r>
              <w:t>õhukese</w:t>
            </w:r>
            <w:proofErr w:type="spellEnd"/>
            <w:r>
              <w:t xml:space="preserve"> </w:t>
            </w:r>
            <w:proofErr w:type="spellStart"/>
            <w:r>
              <w:t>polümeerikattega</w:t>
            </w:r>
            <w:proofErr w:type="spellEnd"/>
            <w:r>
              <w:t xml:space="preserve"> </w:t>
            </w:r>
            <w:proofErr w:type="spellStart"/>
            <w:r>
              <w:t>tabletid</w:t>
            </w:r>
            <w:proofErr w:type="spellEnd"/>
          </w:p>
        </w:tc>
      </w:tr>
      <w:tr w:rsidR="00AF362A" w14:paraId="62EBCF3B" w14:textId="77777777" w:rsidTr="002C2D49">
        <w:tc>
          <w:tcPr>
            <w:tcW w:w="2520" w:type="dxa"/>
          </w:tcPr>
          <w:p w14:paraId="5CF4C0E3" w14:textId="77777777" w:rsidR="00AF362A" w:rsidRDefault="00AF362A" w:rsidP="002C2D49">
            <w:pPr>
              <w:rPr>
                <w:lang w:val="sv-SE"/>
              </w:rPr>
            </w:pPr>
            <w:r>
              <w:rPr>
                <w:lang w:val="sv-SE"/>
              </w:rPr>
              <w:t>Suomija</w:t>
            </w:r>
          </w:p>
        </w:tc>
        <w:tc>
          <w:tcPr>
            <w:tcW w:w="6552" w:type="dxa"/>
          </w:tcPr>
          <w:p w14:paraId="3498BF33" w14:textId="77777777" w:rsidR="00AF362A" w:rsidRDefault="00AF362A" w:rsidP="002C2D49">
            <w:pPr>
              <w:pStyle w:val="A-TableText"/>
              <w:tabs>
                <w:tab w:val="left" w:pos="567"/>
              </w:tabs>
              <w:spacing w:before="0" w:after="0" w:line="260" w:lineRule="exact"/>
              <w:rPr>
                <w:lang w:val="sv-SE"/>
              </w:rPr>
            </w:pPr>
            <w:r>
              <w:rPr>
                <w:color w:val="000000"/>
              </w:rPr>
              <w:t xml:space="preserve">Arimidex 1 mg </w:t>
            </w:r>
            <w:proofErr w:type="spellStart"/>
            <w:r>
              <w:rPr>
                <w:color w:val="000000"/>
              </w:rPr>
              <w:t>kalvopäällysteinen</w:t>
            </w:r>
            <w:proofErr w:type="spellEnd"/>
            <w:r>
              <w:rPr>
                <w:color w:val="000000"/>
              </w:rPr>
              <w:t xml:space="preserve"> </w:t>
            </w:r>
            <w:proofErr w:type="spellStart"/>
            <w:r>
              <w:rPr>
                <w:color w:val="000000"/>
              </w:rPr>
              <w:t>tabletti</w:t>
            </w:r>
            <w:proofErr w:type="spellEnd"/>
          </w:p>
        </w:tc>
      </w:tr>
      <w:tr w:rsidR="00AF362A" w14:paraId="1730415F" w14:textId="77777777" w:rsidTr="002C2D49">
        <w:tc>
          <w:tcPr>
            <w:tcW w:w="2520" w:type="dxa"/>
          </w:tcPr>
          <w:p w14:paraId="0B7A041F" w14:textId="77777777" w:rsidR="00AF362A" w:rsidRDefault="00AF362A" w:rsidP="002C2D49">
            <w:pPr>
              <w:rPr>
                <w:lang w:val="en-US"/>
              </w:rPr>
            </w:pPr>
            <w:r w:rsidRPr="001F08AB">
              <w:t>Prancūzija</w:t>
            </w:r>
            <w:r>
              <w:rPr>
                <w:lang w:val="en-US"/>
              </w:rPr>
              <w:t xml:space="preserve"> </w:t>
            </w:r>
          </w:p>
        </w:tc>
        <w:tc>
          <w:tcPr>
            <w:tcW w:w="6552" w:type="dxa"/>
          </w:tcPr>
          <w:p w14:paraId="62FCCC23" w14:textId="77777777" w:rsidR="00AF362A" w:rsidRDefault="00AF362A" w:rsidP="002C2D49">
            <w:pPr>
              <w:rPr>
                <w:lang w:val="en-US"/>
              </w:rPr>
            </w:pPr>
            <w:proofErr w:type="spellStart"/>
            <w:r>
              <w:t>Arimidex</w:t>
            </w:r>
            <w:proofErr w:type="spellEnd"/>
            <w:r>
              <w:t xml:space="preserve">, 1 mg, </w:t>
            </w:r>
            <w:proofErr w:type="spellStart"/>
            <w:r>
              <w:t>comprimé</w:t>
            </w:r>
            <w:proofErr w:type="spellEnd"/>
            <w:r>
              <w:t xml:space="preserve"> </w:t>
            </w:r>
            <w:proofErr w:type="spellStart"/>
            <w:r>
              <w:t>pelliculé</w:t>
            </w:r>
            <w:proofErr w:type="spellEnd"/>
          </w:p>
        </w:tc>
      </w:tr>
      <w:tr w:rsidR="00AF362A" w14:paraId="2030C50D" w14:textId="77777777" w:rsidTr="002C2D49">
        <w:tc>
          <w:tcPr>
            <w:tcW w:w="2520" w:type="dxa"/>
          </w:tcPr>
          <w:p w14:paraId="31488725" w14:textId="77777777" w:rsidR="00AF362A" w:rsidRDefault="00AF362A" w:rsidP="002C2D49">
            <w:pPr>
              <w:rPr>
                <w:lang w:val="en-US"/>
              </w:rPr>
            </w:pPr>
            <w:r w:rsidRPr="001F08AB">
              <w:t>Vokietija</w:t>
            </w:r>
            <w:r>
              <w:rPr>
                <w:lang w:val="en-US"/>
              </w:rPr>
              <w:t xml:space="preserve"> </w:t>
            </w:r>
          </w:p>
        </w:tc>
        <w:tc>
          <w:tcPr>
            <w:tcW w:w="6552" w:type="dxa"/>
          </w:tcPr>
          <w:p w14:paraId="467561AB" w14:textId="77777777" w:rsidR="00AF362A" w:rsidRDefault="00AF362A" w:rsidP="002C2D49">
            <w:pPr>
              <w:rPr>
                <w:lang w:val="en-US"/>
              </w:rPr>
            </w:pPr>
            <w:proofErr w:type="spellStart"/>
            <w:r>
              <w:t>Arimidex</w:t>
            </w:r>
            <w:proofErr w:type="spellEnd"/>
            <w:r>
              <w:rPr>
                <w:vertAlign w:val="superscript"/>
              </w:rPr>
              <w:t>®</w:t>
            </w:r>
            <w:r>
              <w:rPr>
                <w:szCs w:val="22"/>
              </w:rPr>
              <w:t xml:space="preserve"> </w:t>
            </w:r>
            <w:r>
              <w:t xml:space="preserve">1 mg </w:t>
            </w:r>
            <w:proofErr w:type="spellStart"/>
            <w:r>
              <w:t>Filmtabletten</w:t>
            </w:r>
            <w:proofErr w:type="spellEnd"/>
          </w:p>
        </w:tc>
      </w:tr>
      <w:tr w:rsidR="00AF362A" w14:paraId="46DDE486" w14:textId="77777777" w:rsidTr="002C2D49">
        <w:tc>
          <w:tcPr>
            <w:tcW w:w="2520" w:type="dxa"/>
          </w:tcPr>
          <w:p w14:paraId="0A0434BB" w14:textId="77777777" w:rsidR="00AF362A" w:rsidRDefault="00AF362A" w:rsidP="002C2D49">
            <w:pPr>
              <w:rPr>
                <w:lang w:val="en-US"/>
              </w:rPr>
            </w:pPr>
            <w:proofErr w:type="spellStart"/>
            <w:r>
              <w:rPr>
                <w:lang w:val="en-US"/>
              </w:rPr>
              <w:t>Graikija</w:t>
            </w:r>
            <w:proofErr w:type="spellEnd"/>
          </w:p>
        </w:tc>
        <w:tc>
          <w:tcPr>
            <w:tcW w:w="6552" w:type="dxa"/>
          </w:tcPr>
          <w:p w14:paraId="5E679577" w14:textId="77777777" w:rsidR="00AF362A" w:rsidRPr="00513B94" w:rsidRDefault="00AF362A" w:rsidP="002C2D49">
            <w:pPr>
              <w:autoSpaceDE w:val="0"/>
              <w:autoSpaceDN w:val="0"/>
              <w:adjustRightInd w:val="0"/>
              <w:rPr>
                <w:rFonts w:ascii="TimesNewRoman,Bold+1" w:hAnsi="TimesNewRoman,Bold+1" w:cs="TimesNewRoman,Bold+1"/>
                <w:sz w:val="20"/>
                <w:szCs w:val="20"/>
                <w:lang w:eastAsia="lt-LT"/>
              </w:rPr>
            </w:pPr>
            <w:proofErr w:type="spellStart"/>
            <w:r w:rsidRPr="00513B94">
              <w:rPr>
                <w:rFonts w:ascii="TimesNewRoman,Bold+1" w:hAnsi="TimesNewRoman,Bold+1" w:cs="TimesNewRoman,Bold+1"/>
                <w:bCs/>
                <w:szCs w:val="22"/>
                <w:lang w:eastAsia="lt-LT"/>
              </w:rPr>
              <w:t>Arimidex</w:t>
            </w:r>
            <w:proofErr w:type="spellEnd"/>
            <w:r>
              <w:rPr>
                <w:vertAlign w:val="superscript"/>
              </w:rPr>
              <w:t>®</w:t>
            </w:r>
            <w:r>
              <w:rPr>
                <w:rFonts w:ascii="TimesNewRoman,Bold+1" w:hAnsi="TimesNewRoman,Bold+1" w:cs="TimesNewRoman,Bold+1"/>
                <w:b/>
                <w:bCs/>
                <w:szCs w:val="22"/>
                <w:lang w:eastAsia="lt-LT"/>
              </w:rPr>
              <w:t xml:space="preserve"> </w:t>
            </w:r>
            <w:r w:rsidRPr="00BA24B2">
              <w:rPr>
                <w:szCs w:val="22"/>
                <w:lang w:eastAsia="lt-LT"/>
              </w:rPr>
              <w:t>επ</w:t>
            </w:r>
            <w:proofErr w:type="spellStart"/>
            <w:r w:rsidRPr="00BA24B2">
              <w:rPr>
                <w:szCs w:val="22"/>
                <w:lang w:eastAsia="lt-LT"/>
              </w:rPr>
              <w:t>ικ</w:t>
            </w:r>
            <w:proofErr w:type="spellEnd"/>
            <w:r w:rsidRPr="00BA24B2">
              <w:rPr>
                <w:szCs w:val="22"/>
                <w:lang w:eastAsia="lt-LT"/>
              </w:rPr>
              <w:t xml:space="preserve">αλυµµένα µε </w:t>
            </w:r>
            <w:proofErr w:type="spellStart"/>
            <w:r w:rsidRPr="00BA24B2">
              <w:rPr>
                <w:szCs w:val="22"/>
                <w:lang w:eastAsia="lt-LT"/>
              </w:rPr>
              <w:t>λε</w:t>
            </w:r>
            <w:proofErr w:type="spellEnd"/>
            <w:r w:rsidRPr="00BA24B2">
              <w:rPr>
                <w:szCs w:val="22"/>
                <w:lang w:eastAsia="lt-LT"/>
              </w:rPr>
              <w:t xml:space="preserve">πτό </w:t>
            </w:r>
            <w:proofErr w:type="spellStart"/>
            <w:r w:rsidRPr="00BA24B2">
              <w:rPr>
                <w:szCs w:val="22"/>
                <w:lang w:eastAsia="lt-LT"/>
              </w:rPr>
              <w:t>υµένιο</w:t>
            </w:r>
            <w:proofErr w:type="spellEnd"/>
            <w:r w:rsidRPr="00BA24B2">
              <w:rPr>
                <w:szCs w:val="22"/>
                <w:lang w:eastAsia="lt-LT"/>
              </w:rPr>
              <w:t xml:space="preserve"> </w:t>
            </w:r>
            <w:proofErr w:type="spellStart"/>
            <w:r w:rsidRPr="00BA24B2">
              <w:rPr>
                <w:szCs w:val="22"/>
                <w:lang w:eastAsia="lt-LT"/>
              </w:rPr>
              <w:t>δισκί</w:t>
            </w:r>
            <w:proofErr w:type="spellEnd"/>
            <w:r w:rsidRPr="00BA24B2">
              <w:rPr>
                <w:szCs w:val="22"/>
                <w:lang w:eastAsia="lt-LT"/>
              </w:rPr>
              <w:t>α</w:t>
            </w:r>
            <w:r>
              <w:rPr>
                <w:rFonts w:ascii="TimesNewRoman+1" w:hAnsi="TimesNewRoman+1" w:cs="TimesNewRoman+1"/>
                <w:szCs w:val="22"/>
                <w:lang w:eastAsia="lt-LT"/>
              </w:rPr>
              <w:t xml:space="preserve"> </w:t>
            </w:r>
            <w:r>
              <w:rPr>
                <w:rFonts w:ascii="TimesNewRoman" w:hAnsi="TimesNewRoman" w:cs="TimesNewRoman"/>
                <w:szCs w:val="22"/>
                <w:lang w:eastAsia="lt-LT"/>
              </w:rPr>
              <w:t>1</w:t>
            </w:r>
            <w:r>
              <w:rPr>
                <w:rFonts w:ascii="TimesNewRoman+1" w:hAnsi="TimesNewRoman+1" w:cs="TimesNewRoman+1"/>
                <w:szCs w:val="22"/>
                <w:lang w:eastAsia="lt-LT"/>
              </w:rPr>
              <w:t xml:space="preserve"> mg</w:t>
            </w:r>
          </w:p>
        </w:tc>
      </w:tr>
      <w:tr w:rsidR="00AF362A" w14:paraId="5E47E34E" w14:textId="77777777" w:rsidTr="002C2D49">
        <w:tc>
          <w:tcPr>
            <w:tcW w:w="2520" w:type="dxa"/>
          </w:tcPr>
          <w:p w14:paraId="4994D0E8" w14:textId="77777777" w:rsidR="00AF362A" w:rsidRDefault="00AF362A" w:rsidP="002C2D49">
            <w:pPr>
              <w:rPr>
                <w:lang w:val="en-US"/>
              </w:rPr>
            </w:pPr>
            <w:proofErr w:type="spellStart"/>
            <w:r>
              <w:rPr>
                <w:lang w:val="en-US"/>
              </w:rPr>
              <w:t>Vengrija</w:t>
            </w:r>
            <w:proofErr w:type="spellEnd"/>
          </w:p>
        </w:tc>
        <w:tc>
          <w:tcPr>
            <w:tcW w:w="6552" w:type="dxa"/>
          </w:tcPr>
          <w:p w14:paraId="6D1F2128" w14:textId="77777777" w:rsidR="00AF362A" w:rsidRPr="004810D1" w:rsidRDefault="00AF362A" w:rsidP="002C2D49">
            <w:pPr>
              <w:autoSpaceDE w:val="0"/>
              <w:autoSpaceDN w:val="0"/>
              <w:adjustRightInd w:val="0"/>
              <w:rPr>
                <w:sz w:val="20"/>
                <w:szCs w:val="20"/>
                <w:lang w:eastAsia="lt-LT"/>
              </w:rPr>
            </w:pPr>
            <w:proofErr w:type="spellStart"/>
            <w:r>
              <w:rPr>
                <w:sz w:val="21"/>
                <w:szCs w:val="21"/>
                <w:lang w:eastAsia="lt-LT"/>
              </w:rPr>
              <w:t>Arimidex</w:t>
            </w:r>
            <w:proofErr w:type="spellEnd"/>
            <w:r>
              <w:rPr>
                <w:sz w:val="21"/>
                <w:szCs w:val="21"/>
                <w:lang w:eastAsia="lt-LT"/>
              </w:rPr>
              <w:t xml:space="preserve"> 1 mg </w:t>
            </w:r>
            <w:proofErr w:type="spellStart"/>
            <w:r>
              <w:rPr>
                <w:sz w:val="21"/>
                <w:szCs w:val="21"/>
                <w:lang w:eastAsia="lt-LT"/>
              </w:rPr>
              <w:t>filmtabletta</w:t>
            </w:r>
            <w:proofErr w:type="spellEnd"/>
          </w:p>
        </w:tc>
      </w:tr>
      <w:tr w:rsidR="00AF362A" w14:paraId="714C4E0F" w14:textId="77777777" w:rsidTr="002C2D49">
        <w:tc>
          <w:tcPr>
            <w:tcW w:w="2520" w:type="dxa"/>
          </w:tcPr>
          <w:p w14:paraId="06E81735" w14:textId="77777777" w:rsidR="00AF362A" w:rsidRDefault="00AF362A" w:rsidP="002C2D49">
            <w:pPr>
              <w:rPr>
                <w:lang w:val="en-US"/>
              </w:rPr>
            </w:pPr>
            <w:proofErr w:type="spellStart"/>
            <w:r>
              <w:rPr>
                <w:lang w:val="en-US"/>
              </w:rPr>
              <w:t>Islandija</w:t>
            </w:r>
            <w:proofErr w:type="spellEnd"/>
          </w:p>
        </w:tc>
        <w:tc>
          <w:tcPr>
            <w:tcW w:w="6552" w:type="dxa"/>
          </w:tcPr>
          <w:p w14:paraId="10CF0700" w14:textId="77777777" w:rsidR="00AF362A" w:rsidRDefault="00AF362A" w:rsidP="002C2D49">
            <w:pPr>
              <w:rPr>
                <w:lang w:val="en-US"/>
              </w:rPr>
            </w:pPr>
            <w:proofErr w:type="spellStart"/>
            <w:r>
              <w:t>Arimidex</w:t>
            </w:r>
            <w:proofErr w:type="spellEnd"/>
            <w:r>
              <w:t xml:space="preserve"> 1 mg </w:t>
            </w:r>
            <w:proofErr w:type="spellStart"/>
            <w:r>
              <w:t>filmuhúðaðar</w:t>
            </w:r>
            <w:proofErr w:type="spellEnd"/>
            <w:r>
              <w:t xml:space="preserve"> </w:t>
            </w:r>
            <w:proofErr w:type="spellStart"/>
            <w:r>
              <w:t>töflur</w:t>
            </w:r>
            <w:proofErr w:type="spellEnd"/>
          </w:p>
        </w:tc>
      </w:tr>
      <w:tr w:rsidR="00AF362A" w14:paraId="020EADE7" w14:textId="77777777" w:rsidTr="002C2D49">
        <w:tc>
          <w:tcPr>
            <w:tcW w:w="2520" w:type="dxa"/>
          </w:tcPr>
          <w:p w14:paraId="175B8518" w14:textId="77777777" w:rsidR="00AF362A" w:rsidRDefault="00AF362A" w:rsidP="002C2D49">
            <w:pPr>
              <w:rPr>
                <w:lang w:val="en-US"/>
              </w:rPr>
            </w:pPr>
            <w:r>
              <w:rPr>
                <w:lang w:val="en-US"/>
              </w:rPr>
              <w:t xml:space="preserve">Airija </w:t>
            </w:r>
          </w:p>
        </w:tc>
        <w:tc>
          <w:tcPr>
            <w:tcW w:w="6552" w:type="dxa"/>
          </w:tcPr>
          <w:p w14:paraId="2D0DB612" w14:textId="77777777" w:rsidR="00AF362A" w:rsidRDefault="00AF362A" w:rsidP="002C2D49">
            <w:pPr>
              <w:rPr>
                <w:lang w:val="en-US"/>
              </w:rPr>
            </w:pPr>
            <w:proofErr w:type="spellStart"/>
            <w:r>
              <w:t>Arimidex</w:t>
            </w:r>
            <w:proofErr w:type="spellEnd"/>
            <w:r>
              <w:rPr>
                <w:b/>
                <w:bCs/>
                <w:vertAlign w:val="superscript"/>
              </w:rPr>
              <w:t>®</w:t>
            </w:r>
            <w:r>
              <w:t xml:space="preserve"> 1 mg </w:t>
            </w:r>
            <w:proofErr w:type="spellStart"/>
            <w:r>
              <w:t>film-coated</w:t>
            </w:r>
            <w:proofErr w:type="spellEnd"/>
            <w:r>
              <w:t xml:space="preserve"> </w:t>
            </w:r>
            <w:proofErr w:type="spellStart"/>
            <w:r>
              <w:t>tablets</w:t>
            </w:r>
            <w:proofErr w:type="spellEnd"/>
          </w:p>
        </w:tc>
      </w:tr>
      <w:tr w:rsidR="00AF362A" w14:paraId="6A882804" w14:textId="77777777" w:rsidTr="002C2D49">
        <w:tc>
          <w:tcPr>
            <w:tcW w:w="2520" w:type="dxa"/>
          </w:tcPr>
          <w:p w14:paraId="083236D6" w14:textId="77777777" w:rsidR="00AF362A" w:rsidRDefault="00AF362A" w:rsidP="002C2D49">
            <w:pPr>
              <w:rPr>
                <w:lang w:val="en-US"/>
              </w:rPr>
            </w:pPr>
            <w:proofErr w:type="spellStart"/>
            <w:r>
              <w:rPr>
                <w:lang w:val="en-US"/>
              </w:rPr>
              <w:t>Italija</w:t>
            </w:r>
            <w:proofErr w:type="spellEnd"/>
            <w:r>
              <w:rPr>
                <w:lang w:val="en-US"/>
              </w:rPr>
              <w:t xml:space="preserve"> </w:t>
            </w:r>
          </w:p>
        </w:tc>
        <w:tc>
          <w:tcPr>
            <w:tcW w:w="6552" w:type="dxa"/>
          </w:tcPr>
          <w:p w14:paraId="096E60E7" w14:textId="77777777" w:rsidR="00AF362A" w:rsidRPr="008463A3" w:rsidRDefault="00AF362A" w:rsidP="002C2D49">
            <w:pPr>
              <w:rPr>
                <w:lang w:val="it-IT"/>
              </w:rPr>
            </w:pPr>
            <w:r>
              <w:rPr>
                <w:sz w:val="24"/>
                <w:lang w:val="it-IT"/>
              </w:rPr>
              <w:t>ARIMIDEX 1 mg compresse rivestite con film</w:t>
            </w:r>
          </w:p>
        </w:tc>
      </w:tr>
      <w:tr w:rsidR="00AF362A" w14:paraId="56FFC32F" w14:textId="77777777" w:rsidTr="002C2D49">
        <w:tc>
          <w:tcPr>
            <w:tcW w:w="2520" w:type="dxa"/>
          </w:tcPr>
          <w:p w14:paraId="0474158D" w14:textId="77777777" w:rsidR="00AF362A" w:rsidRDefault="00AF362A" w:rsidP="002C2D49">
            <w:pPr>
              <w:rPr>
                <w:lang w:val="en-US"/>
              </w:rPr>
            </w:pPr>
            <w:proofErr w:type="spellStart"/>
            <w:r>
              <w:rPr>
                <w:lang w:val="en-US"/>
              </w:rPr>
              <w:t>Latvija</w:t>
            </w:r>
            <w:proofErr w:type="spellEnd"/>
          </w:p>
        </w:tc>
        <w:tc>
          <w:tcPr>
            <w:tcW w:w="6552" w:type="dxa"/>
          </w:tcPr>
          <w:p w14:paraId="746B649D" w14:textId="77777777" w:rsidR="00AF362A" w:rsidRDefault="00AF362A" w:rsidP="002C2D49">
            <w:pPr>
              <w:rPr>
                <w:sz w:val="21"/>
                <w:szCs w:val="21"/>
                <w:lang w:val="en-US"/>
              </w:rPr>
            </w:pPr>
            <w:r>
              <w:rPr>
                <w:szCs w:val="22"/>
                <w:lang w:val="lv-LV"/>
              </w:rPr>
              <w:t>ARIMIDEX</w:t>
            </w:r>
            <w:r>
              <w:rPr>
                <w:b/>
                <w:bCs/>
                <w:szCs w:val="22"/>
                <w:lang w:val="lv-LV"/>
              </w:rPr>
              <w:t xml:space="preserve"> </w:t>
            </w:r>
            <w:r>
              <w:rPr>
                <w:szCs w:val="22"/>
                <w:lang w:val="lv-LV"/>
              </w:rPr>
              <w:t>1 mg apvalkotās tabletes</w:t>
            </w:r>
          </w:p>
        </w:tc>
      </w:tr>
      <w:tr w:rsidR="00AF362A" w14:paraId="35976E7C" w14:textId="77777777" w:rsidTr="002C2D49">
        <w:tc>
          <w:tcPr>
            <w:tcW w:w="2520" w:type="dxa"/>
          </w:tcPr>
          <w:p w14:paraId="2CEFCE7F" w14:textId="77777777" w:rsidR="00AF362A" w:rsidRDefault="00AF362A" w:rsidP="002C2D49">
            <w:pPr>
              <w:rPr>
                <w:lang w:val="en-US"/>
              </w:rPr>
            </w:pPr>
            <w:r>
              <w:rPr>
                <w:lang w:val="en-US"/>
              </w:rPr>
              <w:t>Lietuva</w:t>
            </w:r>
          </w:p>
        </w:tc>
        <w:tc>
          <w:tcPr>
            <w:tcW w:w="6552" w:type="dxa"/>
          </w:tcPr>
          <w:p w14:paraId="06D1B19C" w14:textId="77777777" w:rsidR="00AF362A" w:rsidRPr="004C7C4A" w:rsidRDefault="00AF362A" w:rsidP="002C2D49">
            <w:pPr>
              <w:rPr>
                <w:sz w:val="21"/>
                <w:szCs w:val="21"/>
              </w:rPr>
            </w:pPr>
            <w:r>
              <w:rPr>
                <w:sz w:val="21"/>
                <w:szCs w:val="21"/>
                <w:lang w:val="en-US"/>
              </w:rPr>
              <w:t xml:space="preserve">Arimidex 1 mg </w:t>
            </w:r>
            <w:proofErr w:type="spellStart"/>
            <w:r>
              <w:rPr>
                <w:sz w:val="21"/>
                <w:szCs w:val="21"/>
                <w:lang w:val="en-US"/>
              </w:rPr>
              <w:t>plėvele</w:t>
            </w:r>
            <w:proofErr w:type="spellEnd"/>
            <w:r>
              <w:rPr>
                <w:sz w:val="21"/>
                <w:szCs w:val="21"/>
                <w:lang w:val="en-US"/>
              </w:rPr>
              <w:t xml:space="preserve"> </w:t>
            </w:r>
            <w:proofErr w:type="spellStart"/>
            <w:r>
              <w:rPr>
                <w:sz w:val="21"/>
                <w:szCs w:val="21"/>
                <w:lang w:val="en-US"/>
              </w:rPr>
              <w:t>dengtos</w:t>
            </w:r>
            <w:proofErr w:type="spellEnd"/>
            <w:r>
              <w:rPr>
                <w:sz w:val="21"/>
                <w:szCs w:val="21"/>
                <w:lang w:val="en-US"/>
              </w:rPr>
              <w:t xml:space="preserve"> </w:t>
            </w:r>
            <w:proofErr w:type="spellStart"/>
            <w:r>
              <w:rPr>
                <w:sz w:val="21"/>
                <w:szCs w:val="21"/>
                <w:lang w:val="en-US"/>
              </w:rPr>
              <w:t>tabletės</w:t>
            </w:r>
            <w:proofErr w:type="spellEnd"/>
          </w:p>
        </w:tc>
      </w:tr>
      <w:tr w:rsidR="00AF362A" w14:paraId="4B69956F" w14:textId="77777777" w:rsidTr="002C2D49">
        <w:tc>
          <w:tcPr>
            <w:tcW w:w="2520" w:type="dxa"/>
          </w:tcPr>
          <w:p w14:paraId="0D766976" w14:textId="77777777" w:rsidR="00AF362A" w:rsidRPr="000C2FE8" w:rsidRDefault="00AF362A" w:rsidP="002C2D49">
            <w:pPr>
              <w:pStyle w:val="BTEMEASMCA"/>
              <w:rPr>
                <w:sz w:val="22"/>
                <w:lang w:val="lt-LT"/>
              </w:rPr>
            </w:pPr>
            <w:r w:rsidRPr="000C2FE8">
              <w:rPr>
                <w:sz w:val="22"/>
                <w:lang w:val="lt-LT"/>
              </w:rPr>
              <w:t xml:space="preserve">Liuksemburgas </w:t>
            </w:r>
          </w:p>
        </w:tc>
        <w:tc>
          <w:tcPr>
            <w:tcW w:w="6552" w:type="dxa"/>
          </w:tcPr>
          <w:p w14:paraId="12B88240" w14:textId="77777777" w:rsidR="00AF362A" w:rsidRPr="00333BC8" w:rsidRDefault="00AF362A" w:rsidP="002C2D49">
            <w:r w:rsidRPr="00333BC8">
              <w:t xml:space="preserve">ARIMIDEX, </w:t>
            </w:r>
            <w:proofErr w:type="spellStart"/>
            <w:r w:rsidRPr="00333BC8">
              <w:t>comprimés</w:t>
            </w:r>
            <w:proofErr w:type="spellEnd"/>
            <w:r w:rsidRPr="00333BC8">
              <w:t xml:space="preserve"> </w:t>
            </w:r>
            <w:proofErr w:type="spellStart"/>
            <w:r w:rsidRPr="00333BC8">
              <w:t>pelliculés</w:t>
            </w:r>
            <w:proofErr w:type="spellEnd"/>
            <w:r w:rsidRPr="00333BC8">
              <w:t xml:space="preserve"> à1mg</w:t>
            </w:r>
          </w:p>
        </w:tc>
      </w:tr>
      <w:tr w:rsidR="00AF362A" w14:paraId="3BB60073" w14:textId="77777777" w:rsidTr="002C2D49">
        <w:tc>
          <w:tcPr>
            <w:tcW w:w="2520" w:type="dxa"/>
          </w:tcPr>
          <w:p w14:paraId="2C96A867" w14:textId="77777777" w:rsidR="00AF362A" w:rsidRPr="000C2FE8" w:rsidRDefault="00AF362A" w:rsidP="002C2D49">
            <w:pPr>
              <w:pStyle w:val="BTEMEASMCA"/>
              <w:rPr>
                <w:sz w:val="22"/>
                <w:lang w:val="lt-LT"/>
              </w:rPr>
            </w:pPr>
            <w:r w:rsidRPr="000C2FE8">
              <w:rPr>
                <w:sz w:val="22"/>
                <w:lang w:val="lt-LT"/>
              </w:rPr>
              <w:t>Malta</w:t>
            </w:r>
          </w:p>
        </w:tc>
        <w:tc>
          <w:tcPr>
            <w:tcW w:w="6552" w:type="dxa"/>
          </w:tcPr>
          <w:p w14:paraId="2AC75288" w14:textId="77777777" w:rsidR="00AF362A" w:rsidRPr="00AE606A" w:rsidRDefault="00AF362A" w:rsidP="002C2D49">
            <w:pPr>
              <w:pStyle w:val="A-NormalIndent"/>
              <w:spacing w:after="0" w:line="240" w:lineRule="auto"/>
              <w:ind w:left="0"/>
            </w:pPr>
            <w:r w:rsidRPr="00AE606A">
              <w:rPr>
                <w:sz w:val="22"/>
                <w:szCs w:val="22"/>
              </w:rPr>
              <w:t>Arimidex</w:t>
            </w:r>
            <w:r>
              <w:rPr>
                <w:b/>
                <w:bCs/>
                <w:vertAlign w:val="superscript"/>
              </w:rPr>
              <w:t>®</w:t>
            </w:r>
            <w:r>
              <w:t xml:space="preserve"> 1 mg film-coated tablets</w:t>
            </w:r>
          </w:p>
        </w:tc>
      </w:tr>
      <w:tr w:rsidR="00AF362A" w14:paraId="28AD80DB" w14:textId="77777777" w:rsidTr="002C2D49">
        <w:tc>
          <w:tcPr>
            <w:tcW w:w="2520" w:type="dxa"/>
          </w:tcPr>
          <w:p w14:paraId="503C1BD6" w14:textId="77777777" w:rsidR="00AF362A" w:rsidRPr="000C2FE8" w:rsidRDefault="00AF362A" w:rsidP="002C2D49">
            <w:pPr>
              <w:pStyle w:val="BTEMEASMCA"/>
              <w:rPr>
                <w:sz w:val="22"/>
                <w:lang w:val="lt-LT"/>
              </w:rPr>
            </w:pPr>
            <w:r w:rsidRPr="000C2FE8">
              <w:rPr>
                <w:sz w:val="22"/>
                <w:lang w:val="lt-LT"/>
              </w:rPr>
              <w:t xml:space="preserve">Nyderlandai </w:t>
            </w:r>
          </w:p>
        </w:tc>
        <w:tc>
          <w:tcPr>
            <w:tcW w:w="6552" w:type="dxa"/>
          </w:tcPr>
          <w:p w14:paraId="2D04B556" w14:textId="77777777" w:rsidR="00AF362A" w:rsidRDefault="00AF362A" w:rsidP="002C2D49">
            <w:pPr>
              <w:rPr>
                <w:lang w:val="en-US"/>
              </w:rPr>
            </w:pPr>
            <w:proofErr w:type="spellStart"/>
            <w:r>
              <w:t>Arimidex</w:t>
            </w:r>
            <w:proofErr w:type="spellEnd"/>
            <w:r>
              <w:t xml:space="preserve">, </w:t>
            </w:r>
            <w:proofErr w:type="spellStart"/>
            <w:r>
              <w:t>filmomhulde</w:t>
            </w:r>
            <w:proofErr w:type="spellEnd"/>
            <w:r>
              <w:t xml:space="preserve"> </w:t>
            </w:r>
            <w:proofErr w:type="spellStart"/>
            <w:r>
              <w:t>tabletten</w:t>
            </w:r>
            <w:proofErr w:type="spellEnd"/>
            <w:r>
              <w:t xml:space="preserve"> 1 mg</w:t>
            </w:r>
          </w:p>
        </w:tc>
      </w:tr>
      <w:tr w:rsidR="00AF362A" w14:paraId="0D67B184" w14:textId="77777777" w:rsidTr="002C2D49">
        <w:tc>
          <w:tcPr>
            <w:tcW w:w="2520" w:type="dxa"/>
          </w:tcPr>
          <w:p w14:paraId="23351885" w14:textId="77777777" w:rsidR="00AF362A" w:rsidRPr="000C2FE8" w:rsidRDefault="00AF362A" w:rsidP="002C2D49">
            <w:pPr>
              <w:pStyle w:val="BTEMEASMCA"/>
              <w:rPr>
                <w:sz w:val="22"/>
                <w:lang w:val="lt-LT"/>
              </w:rPr>
            </w:pPr>
            <w:r w:rsidRPr="000C2FE8">
              <w:rPr>
                <w:sz w:val="22"/>
                <w:lang w:val="lt-LT"/>
              </w:rPr>
              <w:t xml:space="preserve">Lenkija </w:t>
            </w:r>
          </w:p>
        </w:tc>
        <w:tc>
          <w:tcPr>
            <w:tcW w:w="6552" w:type="dxa"/>
          </w:tcPr>
          <w:p w14:paraId="46FA5A51" w14:textId="77777777" w:rsidR="00AF362A" w:rsidRDefault="00AF362A" w:rsidP="002C2D49">
            <w:pPr>
              <w:rPr>
                <w:sz w:val="21"/>
                <w:szCs w:val="21"/>
                <w:lang w:val="en-US"/>
              </w:rPr>
            </w:pPr>
            <w:proofErr w:type="spellStart"/>
            <w:r>
              <w:t>Arimidex</w:t>
            </w:r>
            <w:proofErr w:type="spellEnd"/>
            <w:r>
              <w:t xml:space="preserve"> 1 mg </w:t>
            </w:r>
            <w:proofErr w:type="spellStart"/>
            <w:r>
              <w:t>tabletki</w:t>
            </w:r>
            <w:proofErr w:type="spellEnd"/>
            <w:r>
              <w:t xml:space="preserve"> </w:t>
            </w:r>
            <w:proofErr w:type="spellStart"/>
            <w:r>
              <w:t>powlekane</w:t>
            </w:r>
            <w:proofErr w:type="spellEnd"/>
          </w:p>
        </w:tc>
      </w:tr>
      <w:tr w:rsidR="00AF362A" w14:paraId="221E2E03" w14:textId="77777777" w:rsidTr="002C2D49">
        <w:tc>
          <w:tcPr>
            <w:tcW w:w="2520" w:type="dxa"/>
          </w:tcPr>
          <w:p w14:paraId="5E11D17E" w14:textId="77777777" w:rsidR="00AF362A" w:rsidRPr="000C2FE8" w:rsidRDefault="00AF362A" w:rsidP="002C2D49">
            <w:pPr>
              <w:pStyle w:val="BTEMEASMCA"/>
              <w:rPr>
                <w:sz w:val="22"/>
                <w:lang w:val="lt-LT"/>
              </w:rPr>
            </w:pPr>
            <w:r w:rsidRPr="000C2FE8">
              <w:rPr>
                <w:sz w:val="22"/>
                <w:lang w:val="lt-LT"/>
              </w:rPr>
              <w:t>Norvegija</w:t>
            </w:r>
          </w:p>
        </w:tc>
        <w:tc>
          <w:tcPr>
            <w:tcW w:w="6552" w:type="dxa"/>
          </w:tcPr>
          <w:p w14:paraId="6C9EC5FB" w14:textId="77777777" w:rsidR="00AF362A" w:rsidRDefault="00AF362A" w:rsidP="002C2D49">
            <w:pPr>
              <w:rPr>
                <w:lang w:val="en-US"/>
              </w:rPr>
            </w:pPr>
            <w:r>
              <w:rPr>
                <w:lang w:val="nb-NO"/>
              </w:rPr>
              <w:t>Arimidex 1 mg filmdrasjerte tabletter</w:t>
            </w:r>
          </w:p>
        </w:tc>
      </w:tr>
      <w:tr w:rsidR="00AF362A" w:rsidRPr="006E6108" w14:paraId="40A9BE74" w14:textId="77777777" w:rsidTr="002C2D49">
        <w:tc>
          <w:tcPr>
            <w:tcW w:w="2520" w:type="dxa"/>
          </w:tcPr>
          <w:p w14:paraId="7AD7FE6E" w14:textId="77777777" w:rsidR="00AF362A" w:rsidRPr="000C2FE8" w:rsidRDefault="00AF362A" w:rsidP="002C2D49">
            <w:pPr>
              <w:pStyle w:val="BTEMEASMCA"/>
              <w:rPr>
                <w:sz w:val="22"/>
                <w:lang w:val="lt-LT"/>
              </w:rPr>
            </w:pPr>
            <w:r w:rsidRPr="000C2FE8">
              <w:rPr>
                <w:sz w:val="22"/>
                <w:lang w:val="lt-LT"/>
              </w:rPr>
              <w:t xml:space="preserve">Portugalija </w:t>
            </w:r>
          </w:p>
        </w:tc>
        <w:tc>
          <w:tcPr>
            <w:tcW w:w="6552" w:type="dxa"/>
          </w:tcPr>
          <w:p w14:paraId="4B48BDE4" w14:textId="77777777" w:rsidR="00AF362A" w:rsidRPr="00D61C2E" w:rsidRDefault="00AF362A" w:rsidP="002C2D49">
            <w:pPr>
              <w:autoSpaceDE w:val="0"/>
              <w:autoSpaceDN w:val="0"/>
              <w:adjustRightInd w:val="0"/>
              <w:rPr>
                <w:lang w:eastAsia="lt-LT"/>
              </w:rPr>
            </w:pPr>
            <w:proofErr w:type="spellStart"/>
            <w:r w:rsidRPr="00D61C2E">
              <w:rPr>
                <w:szCs w:val="22"/>
                <w:lang w:eastAsia="lt-LT"/>
              </w:rPr>
              <w:t>Arimidex</w:t>
            </w:r>
            <w:proofErr w:type="spellEnd"/>
            <w:r w:rsidRPr="00D61C2E">
              <w:rPr>
                <w:szCs w:val="22"/>
                <w:lang w:eastAsia="lt-LT"/>
              </w:rPr>
              <w:t xml:space="preserve"> 1 mg </w:t>
            </w:r>
            <w:proofErr w:type="spellStart"/>
            <w:r w:rsidRPr="00D61C2E">
              <w:rPr>
                <w:szCs w:val="22"/>
                <w:lang w:eastAsia="lt-LT"/>
              </w:rPr>
              <w:t>comprimidos</w:t>
            </w:r>
            <w:proofErr w:type="spellEnd"/>
            <w:r w:rsidRPr="00D61C2E">
              <w:rPr>
                <w:szCs w:val="22"/>
                <w:lang w:eastAsia="lt-LT"/>
              </w:rPr>
              <w:t xml:space="preserve"> </w:t>
            </w:r>
            <w:proofErr w:type="spellStart"/>
            <w:r w:rsidRPr="00D61C2E">
              <w:rPr>
                <w:szCs w:val="22"/>
                <w:lang w:eastAsia="lt-LT"/>
              </w:rPr>
              <w:t>revestidos</w:t>
            </w:r>
            <w:proofErr w:type="spellEnd"/>
            <w:r w:rsidRPr="00D61C2E">
              <w:rPr>
                <w:szCs w:val="22"/>
                <w:lang w:eastAsia="lt-LT"/>
              </w:rPr>
              <w:t xml:space="preserve"> </w:t>
            </w:r>
            <w:proofErr w:type="spellStart"/>
            <w:r w:rsidRPr="00D61C2E">
              <w:rPr>
                <w:szCs w:val="22"/>
                <w:lang w:eastAsia="lt-LT"/>
              </w:rPr>
              <w:t>por</w:t>
            </w:r>
            <w:proofErr w:type="spellEnd"/>
            <w:r w:rsidRPr="00D61C2E">
              <w:rPr>
                <w:szCs w:val="22"/>
                <w:lang w:eastAsia="lt-LT"/>
              </w:rPr>
              <w:t xml:space="preserve"> </w:t>
            </w:r>
            <w:proofErr w:type="spellStart"/>
            <w:r w:rsidRPr="00D61C2E">
              <w:rPr>
                <w:szCs w:val="22"/>
                <w:lang w:eastAsia="lt-LT"/>
              </w:rPr>
              <w:t>película</w:t>
            </w:r>
            <w:proofErr w:type="spellEnd"/>
          </w:p>
        </w:tc>
      </w:tr>
      <w:tr w:rsidR="00AF362A" w14:paraId="33E2655C" w14:textId="77777777" w:rsidTr="002C2D49">
        <w:tc>
          <w:tcPr>
            <w:tcW w:w="2520" w:type="dxa"/>
          </w:tcPr>
          <w:p w14:paraId="4AFC2DD3" w14:textId="77777777" w:rsidR="00AF362A" w:rsidRPr="000C2FE8" w:rsidRDefault="00AF362A" w:rsidP="002C2D49">
            <w:pPr>
              <w:pStyle w:val="BTEMEASMCA"/>
              <w:rPr>
                <w:sz w:val="22"/>
                <w:lang w:val="lt-LT"/>
              </w:rPr>
            </w:pPr>
            <w:r w:rsidRPr="000C2FE8">
              <w:rPr>
                <w:sz w:val="22"/>
                <w:lang w:val="lt-LT"/>
              </w:rPr>
              <w:t xml:space="preserve">Rumunija </w:t>
            </w:r>
          </w:p>
        </w:tc>
        <w:tc>
          <w:tcPr>
            <w:tcW w:w="6552" w:type="dxa"/>
          </w:tcPr>
          <w:p w14:paraId="4776CEA5" w14:textId="77777777" w:rsidR="00AF362A" w:rsidRDefault="00AF362A" w:rsidP="002C2D49">
            <w:pPr>
              <w:rPr>
                <w:sz w:val="21"/>
                <w:lang w:val="en-US"/>
              </w:rPr>
            </w:pPr>
            <w:r>
              <w:rPr>
                <w:sz w:val="21"/>
                <w:lang w:val="en-US"/>
              </w:rPr>
              <w:t xml:space="preserve">Arimidex 1 mg </w:t>
            </w:r>
            <w:proofErr w:type="spellStart"/>
            <w:r>
              <w:rPr>
                <w:sz w:val="21"/>
                <w:lang w:val="en-US"/>
              </w:rPr>
              <w:t>comprimate</w:t>
            </w:r>
            <w:proofErr w:type="spellEnd"/>
            <w:r>
              <w:rPr>
                <w:sz w:val="21"/>
                <w:lang w:val="en-US"/>
              </w:rPr>
              <w:t xml:space="preserve"> </w:t>
            </w:r>
            <w:proofErr w:type="spellStart"/>
            <w:r>
              <w:rPr>
                <w:sz w:val="21"/>
                <w:lang w:val="en-US"/>
              </w:rPr>
              <w:t>filmate</w:t>
            </w:r>
            <w:proofErr w:type="spellEnd"/>
          </w:p>
        </w:tc>
      </w:tr>
      <w:tr w:rsidR="00AF362A" w14:paraId="097F108C" w14:textId="77777777" w:rsidTr="002C2D49">
        <w:tc>
          <w:tcPr>
            <w:tcW w:w="2520" w:type="dxa"/>
          </w:tcPr>
          <w:p w14:paraId="0F5756F6" w14:textId="77777777" w:rsidR="00AF362A" w:rsidRPr="000C2FE8" w:rsidRDefault="00AF362A" w:rsidP="002C2D49">
            <w:pPr>
              <w:pStyle w:val="BTEMEASMCA"/>
              <w:rPr>
                <w:sz w:val="22"/>
                <w:lang w:val="lt-LT"/>
              </w:rPr>
            </w:pPr>
            <w:r w:rsidRPr="000C2FE8">
              <w:rPr>
                <w:sz w:val="22"/>
                <w:lang w:val="lt-LT"/>
              </w:rPr>
              <w:lastRenderedPageBreak/>
              <w:t xml:space="preserve">Slovakija </w:t>
            </w:r>
          </w:p>
        </w:tc>
        <w:tc>
          <w:tcPr>
            <w:tcW w:w="6552" w:type="dxa"/>
          </w:tcPr>
          <w:p w14:paraId="24AFDB5C" w14:textId="77777777" w:rsidR="00AF362A" w:rsidRDefault="00AF362A" w:rsidP="002C2D49">
            <w:pPr>
              <w:rPr>
                <w:sz w:val="21"/>
                <w:szCs w:val="21"/>
                <w:lang w:val="en-US"/>
              </w:rPr>
            </w:pPr>
            <w:proofErr w:type="spellStart"/>
            <w:r>
              <w:rPr>
                <w:szCs w:val="22"/>
              </w:rPr>
              <w:t>Arimidex</w:t>
            </w:r>
            <w:proofErr w:type="spellEnd"/>
            <w:r>
              <w:rPr>
                <w:szCs w:val="22"/>
              </w:rPr>
              <w:t xml:space="preserve"> 1 mg </w:t>
            </w:r>
            <w:proofErr w:type="spellStart"/>
            <w:r>
              <w:rPr>
                <w:szCs w:val="22"/>
              </w:rPr>
              <w:t>filmom</w:t>
            </w:r>
            <w:proofErr w:type="spellEnd"/>
            <w:r>
              <w:rPr>
                <w:szCs w:val="22"/>
              </w:rPr>
              <w:t xml:space="preserve"> </w:t>
            </w:r>
            <w:proofErr w:type="spellStart"/>
            <w:r>
              <w:rPr>
                <w:szCs w:val="22"/>
              </w:rPr>
              <w:t>obalené</w:t>
            </w:r>
            <w:proofErr w:type="spellEnd"/>
            <w:r>
              <w:rPr>
                <w:szCs w:val="22"/>
              </w:rPr>
              <w:t xml:space="preserve"> </w:t>
            </w:r>
            <w:proofErr w:type="spellStart"/>
            <w:r>
              <w:rPr>
                <w:szCs w:val="22"/>
              </w:rPr>
              <w:t>tablety</w:t>
            </w:r>
            <w:proofErr w:type="spellEnd"/>
          </w:p>
        </w:tc>
      </w:tr>
      <w:tr w:rsidR="00AF362A" w:rsidRPr="00195259" w14:paraId="2A0193AA" w14:textId="77777777" w:rsidTr="002C2D49">
        <w:tc>
          <w:tcPr>
            <w:tcW w:w="2520" w:type="dxa"/>
          </w:tcPr>
          <w:p w14:paraId="6AAA8035" w14:textId="77777777" w:rsidR="00AF362A" w:rsidRPr="000C2FE8" w:rsidRDefault="00AF362A" w:rsidP="002C2D49">
            <w:pPr>
              <w:pStyle w:val="BTEMEASMCA"/>
              <w:rPr>
                <w:sz w:val="22"/>
                <w:lang w:val="lt-LT"/>
              </w:rPr>
            </w:pPr>
            <w:r w:rsidRPr="000C2FE8">
              <w:rPr>
                <w:sz w:val="22"/>
                <w:lang w:val="lt-LT"/>
              </w:rPr>
              <w:t xml:space="preserve">Slovėnija </w:t>
            </w:r>
          </w:p>
        </w:tc>
        <w:tc>
          <w:tcPr>
            <w:tcW w:w="6552" w:type="dxa"/>
          </w:tcPr>
          <w:p w14:paraId="2A0557AF" w14:textId="77777777" w:rsidR="00AF362A" w:rsidRPr="00195259" w:rsidRDefault="00AF362A" w:rsidP="002C2D49">
            <w:pPr>
              <w:rPr>
                <w:sz w:val="21"/>
                <w:szCs w:val="21"/>
              </w:rPr>
            </w:pPr>
            <w:proofErr w:type="spellStart"/>
            <w:r>
              <w:rPr>
                <w:szCs w:val="22"/>
              </w:rPr>
              <w:t>Arimidex</w:t>
            </w:r>
            <w:proofErr w:type="spellEnd"/>
            <w:r>
              <w:rPr>
                <w:szCs w:val="22"/>
              </w:rPr>
              <w:t xml:space="preserve"> 1mg </w:t>
            </w:r>
            <w:proofErr w:type="spellStart"/>
            <w:r>
              <w:rPr>
                <w:szCs w:val="22"/>
              </w:rPr>
              <w:t>filmsko</w:t>
            </w:r>
            <w:proofErr w:type="spellEnd"/>
            <w:r>
              <w:rPr>
                <w:szCs w:val="22"/>
              </w:rPr>
              <w:t xml:space="preserve"> </w:t>
            </w:r>
            <w:proofErr w:type="spellStart"/>
            <w:r>
              <w:rPr>
                <w:szCs w:val="22"/>
              </w:rPr>
              <w:t>obložene</w:t>
            </w:r>
            <w:proofErr w:type="spellEnd"/>
            <w:r>
              <w:rPr>
                <w:szCs w:val="22"/>
              </w:rPr>
              <w:t xml:space="preserve"> tablete</w:t>
            </w:r>
          </w:p>
        </w:tc>
      </w:tr>
      <w:tr w:rsidR="00AF362A" w:rsidRPr="006E6108" w14:paraId="186A9B49" w14:textId="77777777" w:rsidTr="002C2D49">
        <w:tc>
          <w:tcPr>
            <w:tcW w:w="2520" w:type="dxa"/>
          </w:tcPr>
          <w:p w14:paraId="198AB85A" w14:textId="77777777" w:rsidR="00AF362A" w:rsidRPr="000C2FE8" w:rsidRDefault="00AF362A" w:rsidP="002C2D49">
            <w:pPr>
              <w:pStyle w:val="BTEMEASMCA"/>
              <w:rPr>
                <w:sz w:val="22"/>
                <w:lang w:val="lt-LT"/>
              </w:rPr>
            </w:pPr>
            <w:r w:rsidRPr="000C2FE8">
              <w:rPr>
                <w:sz w:val="22"/>
                <w:lang w:val="lt-LT"/>
              </w:rPr>
              <w:t xml:space="preserve">Ispanija </w:t>
            </w:r>
          </w:p>
        </w:tc>
        <w:tc>
          <w:tcPr>
            <w:tcW w:w="6552" w:type="dxa"/>
          </w:tcPr>
          <w:p w14:paraId="79CF1521" w14:textId="77777777" w:rsidR="00AF362A" w:rsidRPr="008463A3" w:rsidRDefault="00AF362A" w:rsidP="002C2D49">
            <w:pPr>
              <w:rPr>
                <w:lang w:val="pt-BR"/>
              </w:rPr>
            </w:pPr>
            <w:proofErr w:type="spellStart"/>
            <w:r>
              <w:t>Arimidex</w:t>
            </w:r>
            <w:proofErr w:type="spellEnd"/>
            <w:r>
              <w:t xml:space="preserve"> 1 mg </w:t>
            </w:r>
            <w:proofErr w:type="spellStart"/>
            <w:r>
              <w:t>comprimidos</w:t>
            </w:r>
            <w:proofErr w:type="spellEnd"/>
            <w:r>
              <w:t xml:space="preserve"> </w:t>
            </w:r>
            <w:proofErr w:type="spellStart"/>
            <w:r>
              <w:t>recubiertos</w:t>
            </w:r>
            <w:proofErr w:type="spellEnd"/>
            <w:r>
              <w:t xml:space="preserve"> </w:t>
            </w:r>
            <w:proofErr w:type="spellStart"/>
            <w:r>
              <w:t>con</w:t>
            </w:r>
            <w:proofErr w:type="spellEnd"/>
            <w:r>
              <w:t xml:space="preserve"> </w:t>
            </w:r>
            <w:proofErr w:type="spellStart"/>
            <w:r>
              <w:t>película</w:t>
            </w:r>
            <w:proofErr w:type="spellEnd"/>
          </w:p>
        </w:tc>
      </w:tr>
      <w:tr w:rsidR="00AF362A" w14:paraId="031BA35A" w14:textId="77777777" w:rsidTr="002C2D49">
        <w:tc>
          <w:tcPr>
            <w:tcW w:w="2520" w:type="dxa"/>
          </w:tcPr>
          <w:p w14:paraId="4CD40294" w14:textId="77777777" w:rsidR="00AF362A" w:rsidRPr="000C2FE8" w:rsidRDefault="00AF362A" w:rsidP="002C2D49">
            <w:pPr>
              <w:pStyle w:val="BTEMEASMCA"/>
              <w:rPr>
                <w:sz w:val="22"/>
                <w:lang w:val="lt-LT"/>
              </w:rPr>
            </w:pPr>
            <w:r w:rsidRPr="000C2FE8">
              <w:rPr>
                <w:sz w:val="22"/>
                <w:lang w:val="lt-LT"/>
              </w:rPr>
              <w:t xml:space="preserve">Švedija </w:t>
            </w:r>
          </w:p>
        </w:tc>
        <w:tc>
          <w:tcPr>
            <w:tcW w:w="6552" w:type="dxa"/>
          </w:tcPr>
          <w:p w14:paraId="7C73D768" w14:textId="77777777" w:rsidR="00AF362A" w:rsidRDefault="00AF362A" w:rsidP="002C2D49">
            <w:pPr>
              <w:rPr>
                <w:lang w:val="en-US"/>
              </w:rPr>
            </w:pPr>
            <w:r>
              <w:rPr>
                <w:lang w:val="sv-SE"/>
              </w:rPr>
              <w:t>Arimidex 1 mg filmdragerade tabletter</w:t>
            </w:r>
          </w:p>
        </w:tc>
      </w:tr>
      <w:tr w:rsidR="00AF362A" w14:paraId="4DB60C83" w14:textId="77777777" w:rsidTr="002C2D49">
        <w:tc>
          <w:tcPr>
            <w:tcW w:w="2520" w:type="dxa"/>
          </w:tcPr>
          <w:p w14:paraId="56565CD4" w14:textId="77777777" w:rsidR="00AF362A" w:rsidRPr="000C2FE8" w:rsidRDefault="00AF362A" w:rsidP="002C2D49">
            <w:pPr>
              <w:pStyle w:val="BTEMEASMCA"/>
              <w:rPr>
                <w:sz w:val="22"/>
                <w:lang w:val="lt-LT"/>
              </w:rPr>
            </w:pPr>
            <w:r w:rsidRPr="000C2FE8">
              <w:rPr>
                <w:sz w:val="22"/>
                <w:lang w:val="lt-LT"/>
              </w:rPr>
              <w:t xml:space="preserve">Jungtinė Karalystė </w:t>
            </w:r>
          </w:p>
        </w:tc>
        <w:tc>
          <w:tcPr>
            <w:tcW w:w="6552" w:type="dxa"/>
          </w:tcPr>
          <w:p w14:paraId="4A342681" w14:textId="77777777" w:rsidR="00AF362A" w:rsidRDefault="00AF362A" w:rsidP="002C2D49">
            <w:pPr>
              <w:rPr>
                <w:lang w:val="en-US"/>
              </w:rPr>
            </w:pPr>
            <w:r>
              <w:rPr>
                <w:lang w:val="en-US"/>
              </w:rPr>
              <w:t>Arimidex</w:t>
            </w:r>
            <w:r>
              <w:rPr>
                <w:b/>
                <w:bCs/>
                <w:vertAlign w:val="superscript"/>
              </w:rPr>
              <w:t>®</w:t>
            </w:r>
            <w:r>
              <w:rPr>
                <w:lang w:val="en-US"/>
              </w:rPr>
              <w:t xml:space="preserve"> 1 mg film-coated tablets</w:t>
            </w:r>
          </w:p>
        </w:tc>
      </w:tr>
    </w:tbl>
    <w:p w14:paraId="5C0ADBC6" w14:textId="77777777" w:rsidR="00AF362A" w:rsidRDefault="00AF362A" w:rsidP="00AF362A">
      <w:pPr>
        <w:numPr>
          <w:ilvl w:val="12"/>
          <w:numId w:val="0"/>
        </w:numPr>
        <w:ind w:right="-2"/>
        <w:rPr>
          <w:iCs/>
        </w:rPr>
      </w:pPr>
    </w:p>
    <w:p w14:paraId="279E2122" w14:textId="77777777" w:rsidR="00AF362A" w:rsidRDefault="00AF362A" w:rsidP="00AF362A">
      <w:pPr>
        <w:numPr>
          <w:ilvl w:val="12"/>
          <w:numId w:val="0"/>
        </w:numPr>
        <w:ind w:right="-2"/>
      </w:pPr>
    </w:p>
    <w:p w14:paraId="7869E5E5" w14:textId="77777777" w:rsidR="00AF362A" w:rsidRDefault="00AF362A" w:rsidP="00AF362A">
      <w:pPr>
        <w:numPr>
          <w:ilvl w:val="12"/>
          <w:numId w:val="0"/>
        </w:numPr>
        <w:ind w:right="-2"/>
        <w:outlineLvl w:val="0"/>
      </w:pPr>
      <w:r>
        <w:rPr>
          <w:b/>
          <w:bCs/>
        </w:rPr>
        <w:t xml:space="preserve">Šis pakuotės </w:t>
      </w:r>
      <w:r>
        <w:rPr>
          <w:b/>
        </w:rPr>
        <w:t>lapelis paskutinį kartą peržiūrėtas 2025-07-10.</w:t>
      </w:r>
    </w:p>
    <w:p w14:paraId="11A58C83" w14:textId="77777777" w:rsidR="00AF362A" w:rsidRDefault="00AF362A" w:rsidP="00AF362A">
      <w:pPr>
        <w:numPr>
          <w:ilvl w:val="12"/>
          <w:numId w:val="0"/>
        </w:numPr>
        <w:ind w:right="-2"/>
      </w:pPr>
    </w:p>
    <w:p w14:paraId="170C3D0F" w14:textId="77777777" w:rsidR="00AF362A" w:rsidRDefault="00AF362A" w:rsidP="00AF362A">
      <w:pPr>
        <w:numPr>
          <w:ilvl w:val="12"/>
          <w:numId w:val="0"/>
        </w:numPr>
        <w:ind w:right="-2"/>
      </w:pPr>
    </w:p>
    <w:p w14:paraId="4B8F1628" w14:textId="77777777" w:rsidR="00AF362A" w:rsidRPr="00222CD0" w:rsidRDefault="00AF362A" w:rsidP="00AF362A">
      <w:pPr>
        <w:numPr>
          <w:ilvl w:val="12"/>
          <w:numId w:val="0"/>
        </w:numPr>
        <w:tabs>
          <w:tab w:val="left" w:pos="567"/>
        </w:tabs>
        <w:ind w:right="-2"/>
        <w:rPr>
          <w:snapToGrid w:val="0"/>
        </w:rPr>
      </w:pPr>
      <w:r w:rsidRPr="00222CD0">
        <w:rPr>
          <w:snapToGrid w:val="0"/>
          <w:szCs w:val="20"/>
        </w:rPr>
        <w:t xml:space="preserve">Išsami informacija apie šį </w:t>
      </w:r>
      <w:r w:rsidRPr="00222CD0">
        <w:rPr>
          <w:snapToGrid w:val="0"/>
        </w:rPr>
        <w:t>vaistą</w:t>
      </w:r>
      <w:r w:rsidRPr="00222CD0">
        <w:rPr>
          <w:snapToGrid w:val="0"/>
          <w:szCs w:val="20"/>
        </w:rPr>
        <w:t xml:space="preserve"> pateikiama Valstybinės vaistų kontrolės tarnybos prie Lietuvos Respublikos sveikatos apsaugos ministerijos tinklalapyje</w:t>
      </w:r>
      <w:r w:rsidRPr="00222CD0">
        <w:rPr>
          <w:i/>
          <w:snapToGrid w:val="0"/>
        </w:rPr>
        <w:t xml:space="preserve"> </w:t>
      </w:r>
      <w:bookmarkStart w:id="0" w:name="_Hlk210653266"/>
      <w:r>
        <w:rPr>
          <w:color w:val="0000EE"/>
          <w:szCs w:val="22"/>
          <w:u w:val="single"/>
          <w:lang w:eastAsia="lt-LT"/>
        </w:rPr>
        <w:t>https://vvkt.lrv.lt/lt/</w:t>
      </w:r>
      <w:r w:rsidRPr="00222CD0">
        <w:rPr>
          <w:snapToGrid w:val="0"/>
          <w:szCs w:val="20"/>
        </w:rPr>
        <w:t>.</w:t>
      </w:r>
      <w:bookmarkEnd w:id="0"/>
    </w:p>
    <w:p w14:paraId="4B51CEBA" w14:textId="77777777" w:rsidR="00AF362A" w:rsidRDefault="00AF362A" w:rsidP="00AF362A"/>
    <w:p w14:paraId="1C749961" w14:textId="77777777" w:rsidR="00AF362A" w:rsidRDefault="00AF362A" w:rsidP="00AF362A">
      <w:pPr>
        <w:numPr>
          <w:ilvl w:val="12"/>
          <w:numId w:val="0"/>
        </w:numPr>
        <w:ind w:right="-2"/>
        <w:rPr>
          <w:noProof/>
        </w:rPr>
      </w:pPr>
    </w:p>
    <w:p w14:paraId="402CCF9E" w14:textId="77777777" w:rsidR="00AF362A" w:rsidRPr="0086404C" w:rsidRDefault="00AF362A" w:rsidP="00AF362A"/>
    <w:p w14:paraId="1225AEC7" w14:textId="77777777" w:rsidR="00AF362A" w:rsidRDefault="00AF362A" w:rsidP="00AF362A"/>
    <w:p w14:paraId="4AAEBB9E" w14:textId="77777777" w:rsidR="00AF362A" w:rsidRDefault="00AF362A" w:rsidP="00AF362A">
      <w:pPr>
        <w:numPr>
          <w:ilvl w:val="12"/>
          <w:numId w:val="0"/>
        </w:numPr>
        <w:ind w:right="-2"/>
        <w:rPr>
          <w:noProof/>
        </w:rPr>
      </w:pPr>
    </w:p>
    <w:p w14:paraId="2C608680" w14:textId="77777777" w:rsidR="00AF362A" w:rsidRPr="0086404C" w:rsidRDefault="00AF362A" w:rsidP="00AF362A"/>
    <w:p w14:paraId="0E1497C6" w14:textId="77777777" w:rsidR="00AF362A" w:rsidRPr="00FB0219" w:rsidRDefault="00AF362A" w:rsidP="00AF362A"/>
    <w:p w14:paraId="470F2E0B" w14:textId="77777777" w:rsidR="00AF362A" w:rsidRDefault="00AF362A" w:rsidP="00AF362A"/>
    <w:p w14:paraId="2C662ECB" w14:textId="77777777" w:rsidR="00AF362A" w:rsidRDefault="00AF362A" w:rsidP="00AF362A"/>
    <w:p w14:paraId="671DF092" w14:textId="77777777" w:rsidR="00AF362A" w:rsidRDefault="00AF362A" w:rsidP="00AF362A"/>
    <w:p w14:paraId="224096C4" w14:textId="77777777" w:rsidR="00222FED" w:rsidRDefault="00222FED"/>
    <w:sectPr w:rsidR="00222FED" w:rsidSect="00AF362A">
      <w:headerReference w:type="default" r:id="rId5"/>
      <w:footerReference w:type="even" r:id="rId6"/>
      <w:footerReference w:type="default" r:id="rId7"/>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TimesNewRoman">
    <w:altName w:val="Yu Gothic UI"/>
    <w:panose1 w:val="00000000000000000000"/>
    <w:charset w:val="80"/>
    <w:family w:val="auto"/>
    <w:notTrueType/>
    <w:pitch w:val="default"/>
    <w:sig w:usb0="00000000" w:usb1="08070000" w:usb2="00000010" w:usb3="00000000" w:csb0="00020000" w:csb1="00000000"/>
  </w:font>
  <w:font w:name="TimesNewRoman,Bold+1">
    <w:altName w:val="Times New Roman"/>
    <w:panose1 w:val="00000000000000000000"/>
    <w:charset w:val="00"/>
    <w:family w:val="auto"/>
    <w:notTrueType/>
    <w:pitch w:val="default"/>
    <w:sig w:usb0="00000003" w:usb1="00000000" w:usb2="00000000" w:usb3="00000000" w:csb0="00000001" w:csb1="00000000"/>
  </w:font>
  <w:font w:name="TimesNewRoman+1">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47BA" w14:textId="77777777" w:rsidR="00AF362A" w:rsidRDefault="00AF362A">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5F6C79EB" w14:textId="77777777" w:rsidR="00AF362A" w:rsidRDefault="00AF362A">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F1F9F" w14:textId="77777777" w:rsidR="00AF362A" w:rsidRDefault="00AF362A">
    <w:pPr>
      <w:pStyle w:val="Porat"/>
      <w:framePr w:wrap="around" w:vAnchor="text" w:hAnchor="margin" w:xAlign="right" w:y="1"/>
      <w:rPr>
        <w:rStyle w:val="Puslapionumeris"/>
        <w:lang w:val="lt-LT"/>
      </w:rPr>
    </w:pPr>
  </w:p>
  <w:p w14:paraId="3B8CFD44" w14:textId="77777777" w:rsidR="00AF362A" w:rsidRPr="00DE214E" w:rsidRDefault="00AF362A">
    <w:pPr>
      <w:pStyle w:val="Porat"/>
      <w:ind w:right="360"/>
      <w:jc w:val="center"/>
      <w:rPr>
        <w:rStyle w:val="Puslapionumeris"/>
        <w:rFonts w:ascii="Times New Roman" w:hAnsi="Times New Roman"/>
        <w:sz w:val="22"/>
        <w:lang w:val="lt-LT"/>
      </w:rPr>
    </w:pPr>
    <w:r w:rsidRPr="00DE214E">
      <w:rPr>
        <w:rStyle w:val="Puslapionumeris"/>
        <w:rFonts w:ascii="Times New Roman" w:hAnsi="Times New Roman"/>
        <w:sz w:val="22"/>
        <w:lang w:val="lt-LT"/>
      </w:rPr>
      <w:fldChar w:fldCharType="begin"/>
    </w:r>
    <w:r w:rsidRPr="00DE214E">
      <w:rPr>
        <w:rStyle w:val="Puslapionumeris"/>
        <w:rFonts w:ascii="Times New Roman" w:hAnsi="Times New Roman"/>
        <w:sz w:val="22"/>
        <w:lang w:val="lt-LT"/>
      </w:rPr>
      <w:instrText xml:space="preserve"> PAGE </w:instrText>
    </w:r>
    <w:r w:rsidRPr="00DE214E">
      <w:rPr>
        <w:rStyle w:val="Puslapionumeris"/>
        <w:rFonts w:ascii="Times New Roman" w:hAnsi="Times New Roman"/>
        <w:sz w:val="22"/>
        <w:lang w:val="lt-LT"/>
      </w:rPr>
      <w:fldChar w:fldCharType="separate"/>
    </w:r>
    <w:r>
      <w:rPr>
        <w:rStyle w:val="Puslapionumeris"/>
        <w:rFonts w:ascii="Times New Roman" w:hAnsi="Times New Roman"/>
        <w:noProof/>
        <w:sz w:val="22"/>
        <w:lang w:val="lt-LT"/>
      </w:rPr>
      <w:t>1</w:t>
    </w:r>
    <w:r w:rsidRPr="00DE214E">
      <w:rPr>
        <w:rStyle w:val="Puslapionumeris"/>
        <w:rFonts w:ascii="Times New Roman" w:hAnsi="Times New Roman"/>
        <w:sz w:val="22"/>
        <w:lang w:val="lt-LT"/>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2EE2E" w14:textId="77777777" w:rsidR="00AF362A" w:rsidRDefault="00AF36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EA4C1F"/>
    <w:multiLevelType w:val="hybridMultilevel"/>
    <w:tmpl w:val="EDA69738"/>
    <w:lvl w:ilvl="0" w:tplc="BF02444E">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8C6401"/>
    <w:multiLevelType w:val="hybridMultilevel"/>
    <w:tmpl w:val="8098B3E8"/>
    <w:lvl w:ilvl="0" w:tplc="CBE23848">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35733B48"/>
    <w:multiLevelType w:val="hybridMultilevel"/>
    <w:tmpl w:val="CDFE3CBA"/>
    <w:lvl w:ilvl="0" w:tplc="CBE23848">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AB6353"/>
    <w:multiLevelType w:val="hybridMultilevel"/>
    <w:tmpl w:val="586EF57C"/>
    <w:lvl w:ilvl="0" w:tplc="FFFFFFFF">
      <w:start w:val="1"/>
      <w:numFmt w:val="bullet"/>
      <w:lvlText w:val=""/>
      <w:lvlJc w:val="left"/>
      <w:pPr>
        <w:tabs>
          <w:tab w:val="num" w:pos="567"/>
        </w:tabs>
        <w:ind w:left="567" w:hanging="567"/>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50947C2E"/>
    <w:multiLevelType w:val="hybridMultilevel"/>
    <w:tmpl w:val="739C82A6"/>
    <w:lvl w:ilvl="0" w:tplc="CBE23848">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50CD04B6"/>
    <w:multiLevelType w:val="hybridMultilevel"/>
    <w:tmpl w:val="D2525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FE82265"/>
    <w:multiLevelType w:val="hybridMultilevel"/>
    <w:tmpl w:val="D13C92E6"/>
    <w:lvl w:ilvl="0" w:tplc="0409000F">
      <w:start w:val="1"/>
      <w:numFmt w:val="bullet"/>
      <w:lvlText w:val=""/>
      <w:lvlJc w:val="left"/>
      <w:pPr>
        <w:tabs>
          <w:tab w:val="num" w:pos="567"/>
        </w:tabs>
        <w:ind w:left="567" w:hanging="567"/>
      </w:pPr>
      <w:rPr>
        <w:rFonts w:ascii="Symbol" w:hAnsi="Symbol"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cs="Times New Roman" w:hint="default"/>
      </w:rPr>
    </w:lvl>
    <w:lvl w:ilvl="3" w:tplc="0409000F">
      <w:start w:val="1"/>
      <w:numFmt w:val="bullet"/>
      <w:lvlText w:val=""/>
      <w:lvlJc w:val="left"/>
      <w:pPr>
        <w:ind w:left="2880" w:hanging="360"/>
      </w:pPr>
      <w:rPr>
        <w:rFonts w:ascii="Symbol" w:hAnsi="Symbol" w:cs="Times New Roman"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cs="Times New Roman" w:hint="default"/>
      </w:rPr>
    </w:lvl>
    <w:lvl w:ilvl="6" w:tplc="0409000F">
      <w:start w:val="1"/>
      <w:numFmt w:val="bullet"/>
      <w:lvlText w:val=""/>
      <w:lvlJc w:val="left"/>
      <w:pPr>
        <w:ind w:left="5040" w:hanging="360"/>
      </w:pPr>
      <w:rPr>
        <w:rFonts w:ascii="Symbol" w:hAnsi="Symbol" w:cs="Times New Roman"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cs="Times New Roman" w:hint="default"/>
      </w:rPr>
    </w:lvl>
  </w:abstractNum>
  <w:abstractNum w:abstractNumId="8" w15:restartNumberingAfterBreak="0">
    <w:nsid w:val="63DA6319"/>
    <w:multiLevelType w:val="hybridMultilevel"/>
    <w:tmpl w:val="213E8FCA"/>
    <w:lvl w:ilvl="0" w:tplc="7C764EFE">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4840178">
    <w:abstractNumId w:val="0"/>
    <w:lvlOverride w:ilvl="0">
      <w:lvl w:ilvl="0">
        <w:start w:val="1"/>
        <w:numFmt w:val="bullet"/>
        <w:lvlText w:val="-"/>
        <w:legacy w:legacy="1" w:legacySpace="0" w:legacyIndent="360"/>
        <w:lvlJc w:val="left"/>
        <w:pPr>
          <w:ind w:left="360" w:hanging="360"/>
        </w:pPr>
      </w:lvl>
    </w:lvlOverride>
  </w:num>
  <w:num w:numId="2" w16cid:durableId="1319769386">
    <w:abstractNumId w:val="5"/>
  </w:num>
  <w:num w:numId="3" w16cid:durableId="1132793376">
    <w:abstractNumId w:val="4"/>
  </w:num>
  <w:num w:numId="4" w16cid:durableId="1022778141">
    <w:abstractNumId w:val="2"/>
  </w:num>
  <w:num w:numId="5" w16cid:durableId="1567062445">
    <w:abstractNumId w:val="1"/>
  </w:num>
  <w:num w:numId="6" w16cid:durableId="358043772">
    <w:abstractNumId w:val="8"/>
  </w:num>
  <w:num w:numId="7" w16cid:durableId="1088041532">
    <w:abstractNumId w:val="7"/>
  </w:num>
  <w:num w:numId="8" w16cid:durableId="19622617">
    <w:abstractNumId w:val="3"/>
  </w:num>
  <w:num w:numId="9" w16cid:durableId="18352241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62A"/>
    <w:rsid w:val="00222FED"/>
    <w:rsid w:val="00334B15"/>
    <w:rsid w:val="005F173E"/>
    <w:rsid w:val="008B3AD4"/>
    <w:rsid w:val="00AF362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0A936"/>
  <w15:chartTrackingRefBased/>
  <w15:docId w15:val="{4B0BE85B-83AC-4A95-9DD1-70869079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362A"/>
    <w:pPr>
      <w:spacing w:after="0" w:line="240" w:lineRule="auto"/>
    </w:pPr>
    <w:rPr>
      <w:rFonts w:ascii="Times New Roman" w:eastAsia="Times New Roman" w:hAnsi="Times New Roman" w:cs="Times New Roman"/>
      <w:kern w:val="0"/>
      <w:sz w:val="22"/>
      <w14:ligatures w14:val="none"/>
    </w:rPr>
  </w:style>
  <w:style w:type="paragraph" w:styleId="Antrat1">
    <w:name w:val="heading 1"/>
    <w:basedOn w:val="prastasis"/>
    <w:next w:val="prastasis"/>
    <w:link w:val="Antrat1Diagrama"/>
    <w:uiPriority w:val="9"/>
    <w:qFormat/>
    <w:rsid w:val="00AF36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36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362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362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362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362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362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362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362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362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362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362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362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362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362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362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362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362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362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362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362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362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362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362A"/>
    <w:rPr>
      <w:i/>
      <w:iCs/>
      <w:color w:val="404040" w:themeColor="text1" w:themeTint="BF"/>
    </w:rPr>
  </w:style>
  <w:style w:type="paragraph" w:styleId="Sraopastraipa">
    <w:name w:val="List Paragraph"/>
    <w:basedOn w:val="prastasis"/>
    <w:uiPriority w:val="34"/>
    <w:qFormat/>
    <w:rsid w:val="00AF362A"/>
    <w:pPr>
      <w:ind w:left="720"/>
      <w:contextualSpacing/>
    </w:pPr>
  </w:style>
  <w:style w:type="character" w:styleId="Rykuspabraukimas">
    <w:name w:val="Intense Emphasis"/>
    <w:basedOn w:val="Numatytasispastraiposriftas"/>
    <w:uiPriority w:val="21"/>
    <w:qFormat/>
    <w:rsid w:val="00AF362A"/>
    <w:rPr>
      <w:i/>
      <w:iCs/>
      <w:color w:val="0F4761" w:themeColor="accent1" w:themeShade="BF"/>
    </w:rPr>
  </w:style>
  <w:style w:type="paragraph" w:styleId="Iskirtacitata">
    <w:name w:val="Intense Quote"/>
    <w:basedOn w:val="prastasis"/>
    <w:next w:val="prastasis"/>
    <w:link w:val="IskirtacitataDiagrama"/>
    <w:uiPriority w:val="30"/>
    <w:qFormat/>
    <w:rsid w:val="00AF36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362A"/>
    <w:rPr>
      <w:i/>
      <w:iCs/>
      <w:color w:val="0F4761" w:themeColor="accent1" w:themeShade="BF"/>
    </w:rPr>
  </w:style>
  <w:style w:type="character" w:styleId="Rykinuoroda">
    <w:name w:val="Intense Reference"/>
    <w:basedOn w:val="Numatytasispastraiposriftas"/>
    <w:uiPriority w:val="32"/>
    <w:qFormat/>
    <w:rsid w:val="00AF362A"/>
    <w:rPr>
      <w:b/>
      <w:bCs/>
      <w:smallCaps/>
      <w:color w:val="0F4761" w:themeColor="accent1" w:themeShade="BF"/>
      <w:spacing w:val="5"/>
    </w:rPr>
  </w:style>
  <w:style w:type="paragraph" w:styleId="Porat">
    <w:name w:val="footer"/>
    <w:basedOn w:val="prastasis"/>
    <w:link w:val="PoratDiagrama"/>
    <w:semiHidden/>
    <w:rsid w:val="00AF362A"/>
    <w:pPr>
      <w:tabs>
        <w:tab w:val="left" w:pos="567"/>
        <w:tab w:val="center" w:pos="4536"/>
        <w:tab w:val="center" w:pos="8930"/>
      </w:tabs>
    </w:pPr>
    <w:rPr>
      <w:rFonts w:ascii="Helvetica" w:hAnsi="Helvetica"/>
      <w:sz w:val="16"/>
      <w:szCs w:val="20"/>
      <w:lang w:val="cs-CZ" w:eastAsia="x-none"/>
    </w:rPr>
  </w:style>
  <w:style w:type="character" w:customStyle="1" w:styleId="PoratDiagrama">
    <w:name w:val="Poraštė Diagrama"/>
    <w:basedOn w:val="Numatytasispastraiposriftas"/>
    <w:link w:val="Porat"/>
    <w:semiHidden/>
    <w:rsid w:val="00AF362A"/>
    <w:rPr>
      <w:rFonts w:ascii="Helvetica" w:eastAsia="Times New Roman" w:hAnsi="Helvetica" w:cs="Times New Roman"/>
      <w:kern w:val="0"/>
      <w:sz w:val="16"/>
      <w:szCs w:val="20"/>
      <w:lang w:val="cs-CZ" w:eastAsia="x-none"/>
      <w14:ligatures w14:val="none"/>
    </w:rPr>
  </w:style>
  <w:style w:type="character" w:styleId="Puslapionumeris">
    <w:name w:val="page number"/>
    <w:semiHidden/>
    <w:rsid w:val="00AF362A"/>
  </w:style>
  <w:style w:type="character" w:customStyle="1" w:styleId="AntratsDiagrama">
    <w:name w:val="Antraštės Diagrama"/>
    <w:basedOn w:val="Numatytasispastraiposriftas"/>
    <w:link w:val="Antrats"/>
    <w:semiHidden/>
    <w:rsid w:val="00AF362A"/>
    <w:rPr>
      <w:rFonts w:ascii="Helvetica" w:eastAsia="Times New Roman" w:hAnsi="Helvetica" w:cs="Times New Roman"/>
      <w:sz w:val="20"/>
      <w:szCs w:val="20"/>
      <w:lang w:val="cs-CZ" w:eastAsia="x-none"/>
    </w:rPr>
  </w:style>
  <w:style w:type="paragraph" w:styleId="Antrats">
    <w:name w:val="header"/>
    <w:basedOn w:val="prastasis"/>
    <w:link w:val="AntratsDiagrama"/>
    <w:semiHidden/>
    <w:rsid w:val="00AF362A"/>
    <w:pPr>
      <w:tabs>
        <w:tab w:val="left" w:pos="567"/>
        <w:tab w:val="center" w:pos="4153"/>
        <w:tab w:val="right" w:pos="8306"/>
      </w:tabs>
    </w:pPr>
    <w:rPr>
      <w:rFonts w:ascii="Helvetica" w:hAnsi="Helvetica"/>
      <w:kern w:val="2"/>
      <w:sz w:val="20"/>
      <w:szCs w:val="20"/>
      <w:lang w:val="cs-CZ" w:eastAsia="x-none"/>
      <w14:ligatures w14:val="standardContextual"/>
    </w:rPr>
  </w:style>
  <w:style w:type="character" w:customStyle="1" w:styleId="AntratsDiagrama1">
    <w:name w:val="Antraštės Diagrama1"/>
    <w:basedOn w:val="Numatytasispastraiposriftas"/>
    <w:uiPriority w:val="99"/>
    <w:semiHidden/>
    <w:rsid w:val="00AF362A"/>
    <w:rPr>
      <w:rFonts w:ascii="Times New Roman" w:eastAsia="Times New Roman" w:hAnsi="Times New Roman" w:cs="Times New Roman"/>
      <w:kern w:val="0"/>
      <w:sz w:val="22"/>
      <w14:ligatures w14:val="none"/>
    </w:rPr>
  </w:style>
  <w:style w:type="paragraph" w:styleId="Pagrindinistekstas">
    <w:name w:val="Body Text"/>
    <w:basedOn w:val="prastasis"/>
    <w:link w:val="PagrindinistekstasDiagrama"/>
    <w:semiHidden/>
    <w:rsid w:val="00AF362A"/>
    <w:rPr>
      <w:i/>
      <w:color w:val="008000"/>
      <w:sz w:val="20"/>
      <w:szCs w:val="20"/>
      <w:lang w:val="en-GB" w:eastAsia="x-none"/>
    </w:rPr>
  </w:style>
  <w:style w:type="character" w:customStyle="1" w:styleId="PagrindinistekstasDiagrama">
    <w:name w:val="Pagrindinis tekstas Diagrama"/>
    <w:basedOn w:val="Numatytasispastraiposriftas"/>
    <w:link w:val="Pagrindinistekstas"/>
    <w:semiHidden/>
    <w:rsid w:val="00AF362A"/>
    <w:rPr>
      <w:rFonts w:ascii="Times New Roman" w:eastAsia="Times New Roman" w:hAnsi="Times New Roman" w:cs="Times New Roman"/>
      <w:i/>
      <w:color w:val="008000"/>
      <w:kern w:val="0"/>
      <w:sz w:val="20"/>
      <w:szCs w:val="20"/>
      <w:lang w:val="en-GB" w:eastAsia="x-none"/>
      <w14:ligatures w14:val="none"/>
    </w:rPr>
  </w:style>
  <w:style w:type="paragraph" w:customStyle="1" w:styleId="A-TableText">
    <w:name w:val="A-Table Text"/>
    <w:uiPriority w:val="99"/>
    <w:rsid w:val="00AF362A"/>
    <w:pPr>
      <w:spacing w:before="60" w:after="60" w:line="240" w:lineRule="auto"/>
    </w:pPr>
    <w:rPr>
      <w:rFonts w:ascii="Times New Roman" w:eastAsia="Times New Roman" w:hAnsi="Times New Roman" w:cs="Times New Roman"/>
      <w:kern w:val="0"/>
      <w:sz w:val="22"/>
      <w:szCs w:val="20"/>
      <w:lang w:val="en-GB"/>
      <w14:ligatures w14:val="none"/>
    </w:rPr>
  </w:style>
  <w:style w:type="paragraph" w:customStyle="1" w:styleId="BTEMEASMCA">
    <w:name w:val="BT EMEA_SMCA"/>
    <w:basedOn w:val="prastasis"/>
    <w:link w:val="BTEMEASMCAChar"/>
    <w:autoRedefine/>
    <w:uiPriority w:val="99"/>
    <w:rsid w:val="00AF362A"/>
    <w:rPr>
      <w:noProof/>
      <w:sz w:val="20"/>
      <w:szCs w:val="20"/>
      <w:lang w:val="x-none" w:eastAsia="x-none"/>
    </w:rPr>
  </w:style>
  <w:style w:type="character" w:customStyle="1" w:styleId="BTEMEASMCAChar">
    <w:name w:val="BT EMEA_SMCA Char"/>
    <w:link w:val="BTEMEASMCA"/>
    <w:uiPriority w:val="99"/>
    <w:locked/>
    <w:rsid w:val="00AF362A"/>
    <w:rPr>
      <w:rFonts w:ascii="Times New Roman" w:eastAsia="Times New Roman" w:hAnsi="Times New Roman" w:cs="Times New Roman"/>
      <w:noProof/>
      <w:kern w:val="0"/>
      <w:sz w:val="20"/>
      <w:szCs w:val="20"/>
      <w:lang w:val="x-none" w:eastAsia="x-none"/>
      <w14:ligatures w14:val="none"/>
    </w:rPr>
  </w:style>
  <w:style w:type="paragraph" w:customStyle="1" w:styleId="A-Single">
    <w:name w:val="A-Single"/>
    <w:uiPriority w:val="99"/>
    <w:rsid w:val="00AF362A"/>
    <w:pPr>
      <w:spacing w:after="0" w:line="240" w:lineRule="auto"/>
    </w:pPr>
    <w:rPr>
      <w:rFonts w:ascii="Times New Roman" w:eastAsia="Times New Roman" w:hAnsi="Times New Roman" w:cs="Times New Roman"/>
      <w:kern w:val="0"/>
      <w:szCs w:val="20"/>
      <w:lang w:val="en-GB"/>
      <w14:ligatures w14:val="none"/>
    </w:rPr>
  </w:style>
  <w:style w:type="paragraph" w:customStyle="1" w:styleId="A-NormalIndent">
    <w:name w:val="A-Normal Indent"/>
    <w:next w:val="prastasis"/>
    <w:uiPriority w:val="99"/>
    <w:rsid w:val="00AF362A"/>
    <w:pPr>
      <w:spacing w:after="240" w:line="280" w:lineRule="atLeast"/>
      <w:ind w:left="992"/>
    </w:pPr>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8084</Words>
  <Characters>4609</Characters>
  <Application>Microsoft Office Word</Application>
  <DocSecurity>0</DocSecurity>
  <Lines>38</Lines>
  <Paragraphs>25</Paragraphs>
  <ScaleCrop>false</ScaleCrop>
  <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2025-10-13T11:35:00Z</dcterms:created>
  <dcterms:modified xsi:type="dcterms:W3CDTF">2025-10-13T11:36:00Z</dcterms:modified>
</cp:coreProperties>
</file>