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2A8E4" w14:textId="77777777" w:rsidR="00AD5A09" w:rsidRDefault="00AD5A09" w:rsidP="00410F9C">
      <w:pPr>
        <w:jc w:val="right"/>
        <w:rPr>
          <w:szCs w:val="22"/>
        </w:rPr>
      </w:pPr>
    </w:p>
    <w:p w14:paraId="1416016E" w14:textId="77777777" w:rsidR="00AD5A09" w:rsidRDefault="00AD5A09" w:rsidP="00AD5A09">
      <w:pPr>
        <w:jc w:val="both"/>
        <w:rPr>
          <w:szCs w:val="22"/>
        </w:rPr>
      </w:pPr>
    </w:p>
    <w:p w14:paraId="2B41A132" w14:textId="77777777" w:rsidR="00AD5A09" w:rsidRDefault="00AD5A09" w:rsidP="00AD5A09">
      <w:pPr>
        <w:jc w:val="both"/>
        <w:rPr>
          <w:szCs w:val="22"/>
        </w:rPr>
      </w:pPr>
    </w:p>
    <w:p w14:paraId="0FD1B28A" w14:textId="77777777" w:rsidR="00AD5A09" w:rsidRDefault="00AD5A09" w:rsidP="00AD5A09">
      <w:pPr>
        <w:jc w:val="both"/>
        <w:rPr>
          <w:szCs w:val="22"/>
        </w:rPr>
      </w:pPr>
    </w:p>
    <w:p w14:paraId="7ABB1486" w14:textId="77777777" w:rsidR="00AD5A09" w:rsidRDefault="00AD5A09" w:rsidP="00AD5A09">
      <w:pPr>
        <w:jc w:val="both"/>
        <w:rPr>
          <w:szCs w:val="22"/>
        </w:rPr>
      </w:pPr>
    </w:p>
    <w:p w14:paraId="760F41F3" w14:textId="77777777" w:rsidR="00AD5A09" w:rsidRDefault="00AD5A09" w:rsidP="00AD5A09">
      <w:pPr>
        <w:jc w:val="both"/>
        <w:rPr>
          <w:szCs w:val="22"/>
        </w:rPr>
      </w:pPr>
    </w:p>
    <w:p w14:paraId="42620F6C" w14:textId="77777777" w:rsidR="00AD5A09" w:rsidRDefault="00AD5A09" w:rsidP="00AD5A09">
      <w:pPr>
        <w:jc w:val="both"/>
        <w:rPr>
          <w:szCs w:val="22"/>
        </w:rPr>
      </w:pPr>
    </w:p>
    <w:p w14:paraId="46F67DB9" w14:textId="77777777" w:rsidR="00AD5A09" w:rsidRDefault="00AD5A09" w:rsidP="00AD5A09">
      <w:pPr>
        <w:jc w:val="both"/>
        <w:rPr>
          <w:szCs w:val="22"/>
        </w:rPr>
      </w:pPr>
    </w:p>
    <w:p w14:paraId="7941F3BA" w14:textId="77777777" w:rsidR="00AD5A09" w:rsidRDefault="00AD5A09" w:rsidP="00AD5A09">
      <w:pPr>
        <w:jc w:val="both"/>
        <w:rPr>
          <w:szCs w:val="22"/>
        </w:rPr>
      </w:pPr>
    </w:p>
    <w:p w14:paraId="72301862" w14:textId="77777777" w:rsidR="00AD5A09" w:rsidRDefault="00AD5A09" w:rsidP="00AD5A09">
      <w:pPr>
        <w:jc w:val="both"/>
        <w:rPr>
          <w:szCs w:val="22"/>
        </w:rPr>
      </w:pPr>
    </w:p>
    <w:p w14:paraId="3A246482" w14:textId="77777777" w:rsidR="00AD5A09" w:rsidRDefault="00AD5A09" w:rsidP="00AD5A09">
      <w:pPr>
        <w:jc w:val="both"/>
        <w:rPr>
          <w:szCs w:val="22"/>
        </w:rPr>
      </w:pPr>
    </w:p>
    <w:p w14:paraId="2130A146" w14:textId="77777777" w:rsidR="00AD5A09" w:rsidRDefault="00AD5A09" w:rsidP="00AD5A09">
      <w:pPr>
        <w:jc w:val="both"/>
        <w:rPr>
          <w:szCs w:val="22"/>
        </w:rPr>
      </w:pPr>
    </w:p>
    <w:p w14:paraId="61A7D04C" w14:textId="77777777" w:rsidR="00AD5A09" w:rsidRDefault="00AD5A09" w:rsidP="00AD5A09">
      <w:pPr>
        <w:jc w:val="both"/>
        <w:rPr>
          <w:szCs w:val="22"/>
        </w:rPr>
      </w:pPr>
    </w:p>
    <w:p w14:paraId="7DEED397" w14:textId="77777777" w:rsidR="00AD5A09" w:rsidRDefault="00AD5A09" w:rsidP="00AD5A09">
      <w:pPr>
        <w:jc w:val="both"/>
        <w:rPr>
          <w:szCs w:val="22"/>
        </w:rPr>
      </w:pPr>
    </w:p>
    <w:p w14:paraId="4E383BD8" w14:textId="77777777" w:rsidR="00AD5A09" w:rsidRDefault="00AD5A09" w:rsidP="00AD5A09">
      <w:pPr>
        <w:jc w:val="both"/>
        <w:rPr>
          <w:szCs w:val="22"/>
        </w:rPr>
      </w:pPr>
    </w:p>
    <w:p w14:paraId="5E5CAE33" w14:textId="77777777" w:rsidR="00AD5A09" w:rsidRDefault="00AD5A09" w:rsidP="00AD5A09">
      <w:pPr>
        <w:jc w:val="both"/>
        <w:rPr>
          <w:szCs w:val="22"/>
        </w:rPr>
      </w:pPr>
    </w:p>
    <w:p w14:paraId="2493C77A" w14:textId="77777777" w:rsidR="00AD5A09" w:rsidRDefault="00AD5A09" w:rsidP="00AD5A09">
      <w:pPr>
        <w:jc w:val="both"/>
        <w:rPr>
          <w:szCs w:val="22"/>
        </w:rPr>
      </w:pPr>
    </w:p>
    <w:p w14:paraId="54584AD7" w14:textId="77777777" w:rsidR="00AD5A09" w:rsidRDefault="00AD5A09" w:rsidP="00AD5A09">
      <w:pPr>
        <w:jc w:val="both"/>
        <w:rPr>
          <w:szCs w:val="22"/>
        </w:rPr>
      </w:pPr>
    </w:p>
    <w:p w14:paraId="5A3C0ACC" w14:textId="77777777" w:rsidR="00AD5A09" w:rsidRDefault="00AD5A09" w:rsidP="00AD5A09">
      <w:pPr>
        <w:jc w:val="both"/>
        <w:rPr>
          <w:szCs w:val="22"/>
        </w:rPr>
      </w:pPr>
    </w:p>
    <w:p w14:paraId="4C771524" w14:textId="77777777" w:rsidR="00AD5A09" w:rsidRDefault="00AD5A09" w:rsidP="00AD5A09">
      <w:pPr>
        <w:jc w:val="both"/>
        <w:rPr>
          <w:szCs w:val="22"/>
        </w:rPr>
      </w:pPr>
    </w:p>
    <w:p w14:paraId="0F72E88A" w14:textId="77777777" w:rsidR="00AD5A09" w:rsidRDefault="00AD5A09" w:rsidP="00AD5A09">
      <w:pPr>
        <w:jc w:val="both"/>
        <w:rPr>
          <w:szCs w:val="22"/>
        </w:rPr>
      </w:pPr>
    </w:p>
    <w:p w14:paraId="464F9D2C" w14:textId="77777777" w:rsidR="00AD5A09" w:rsidRDefault="00AD5A09" w:rsidP="00AD5A09">
      <w:pPr>
        <w:jc w:val="both"/>
        <w:rPr>
          <w:szCs w:val="22"/>
        </w:rPr>
      </w:pPr>
    </w:p>
    <w:p w14:paraId="774D6CCF" w14:textId="77777777" w:rsidR="00AD5A09" w:rsidRDefault="00AD5A09" w:rsidP="00AD5A09">
      <w:pPr>
        <w:jc w:val="both"/>
        <w:rPr>
          <w:szCs w:val="22"/>
        </w:rPr>
      </w:pPr>
    </w:p>
    <w:p w14:paraId="70543A81" w14:textId="77777777" w:rsidR="00AD5A09" w:rsidRDefault="00AD5A09" w:rsidP="00AD5A09">
      <w:pPr>
        <w:jc w:val="center"/>
        <w:rPr>
          <w:b/>
          <w:szCs w:val="22"/>
        </w:rPr>
      </w:pPr>
      <w:r>
        <w:rPr>
          <w:b/>
          <w:szCs w:val="22"/>
        </w:rPr>
        <w:t>I PRIEDAS</w:t>
      </w:r>
    </w:p>
    <w:p w14:paraId="6A556A0F" w14:textId="77777777" w:rsidR="00AD5A09" w:rsidRDefault="00AD5A09" w:rsidP="00AD5A09">
      <w:pPr>
        <w:jc w:val="center"/>
        <w:rPr>
          <w:b/>
          <w:szCs w:val="22"/>
        </w:rPr>
      </w:pPr>
    </w:p>
    <w:p w14:paraId="69D2C3BF" w14:textId="77777777" w:rsidR="00AD5A09" w:rsidRDefault="00AD5A09" w:rsidP="00AD5A09">
      <w:pPr>
        <w:jc w:val="center"/>
        <w:rPr>
          <w:b/>
          <w:szCs w:val="22"/>
        </w:rPr>
      </w:pPr>
      <w:r>
        <w:rPr>
          <w:b/>
          <w:szCs w:val="22"/>
        </w:rPr>
        <w:t>PREPARATO CHARAKTERISTIKŲ SANTRAUKA</w:t>
      </w:r>
    </w:p>
    <w:p w14:paraId="55AC71B8" w14:textId="77777777" w:rsidR="00AD5A09" w:rsidRDefault="00AD5A09" w:rsidP="00AD5A09">
      <w:pPr>
        <w:jc w:val="both"/>
        <w:rPr>
          <w:b/>
          <w:szCs w:val="22"/>
        </w:rPr>
      </w:pPr>
      <w:r>
        <w:rPr>
          <w:b/>
          <w:szCs w:val="22"/>
        </w:rPr>
        <w:br w:type="page"/>
      </w:r>
    </w:p>
    <w:p w14:paraId="539378EF" w14:textId="77777777" w:rsidR="00AD5A09" w:rsidRDefault="00AD5A09" w:rsidP="00AD5A09">
      <w:pPr>
        <w:rPr>
          <w:b/>
          <w:szCs w:val="22"/>
        </w:rPr>
      </w:pPr>
      <w:r>
        <w:rPr>
          <w:b/>
          <w:szCs w:val="22"/>
        </w:rPr>
        <w:lastRenderedPageBreak/>
        <w:t>1.</w:t>
      </w:r>
      <w:r>
        <w:rPr>
          <w:b/>
          <w:szCs w:val="22"/>
        </w:rPr>
        <w:tab/>
        <w:t>VAISTINIO PREPATO PAVADINIMAS</w:t>
      </w:r>
    </w:p>
    <w:p w14:paraId="5B93418A" w14:textId="77777777" w:rsidR="00AD5A09" w:rsidRDefault="00AD5A09" w:rsidP="00AD5A09">
      <w:pPr>
        <w:rPr>
          <w:b/>
          <w:szCs w:val="22"/>
        </w:rPr>
      </w:pPr>
    </w:p>
    <w:p w14:paraId="3B46275F" w14:textId="77777777" w:rsidR="00AD5A09" w:rsidRDefault="00AD5A09" w:rsidP="00AD5A09">
      <w:pPr>
        <w:rPr>
          <w:szCs w:val="22"/>
        </w:rPr>
      </w:pPr>
      <w:r>
        <w:rPr>
          <w:szCs w:val="22"/>
        </w:rPr>
        <w:t xml:space="preserve">GlucaGen HypoKit 1 mg milteliai ir tirpiklis injekciniam tirpalui </w:t>
      </w:r>
      <w:r w:rsidRPr="00794A7A">
        <w:rPr>
          <w:szCs w:val="22"/>
        </w:rPr>
        <w:t>užpildytame švirkšte</w:t>
      </w:r>
    </w:p>
    <w:p w14:paraId="0D6131FE" w14:textId="77777777" w:rsidR="00AD5A09" w:rsidRDefault="00AD5A09" w:rsidP="00AD5A09">
      <w:pPr>
        <w:rPr>
          <w:szCs w:val="22"/>
        </w:rPr>
      </w:pPr>
    </w:p>
    <w:p w14:paraId="64C7A5E1" w14:textId="77777777" w:rsidR="00AD5A09" w:rsidRDefault="00AD5A09" w:rsidP="00AD5A09">
      <w:pPr>
        <w:rPr>
          <w:szCs w:val="22"/>
        </w:rPr>
      </w:pPr>
    </w:p>
    <w:p w14:paraId="5A3382F3" w14:textId="77777777" w:rsidR="00AD5A09" w:rsidRDefault="00AD5A09" w:rsidP="00AD5A09">
      <w:pPr>
        <w:rPr>
          <w:b/>
          <w:szCs w:val="22"/>
        </w:rPr>
      </w:pPr>
      <w:r>
        <w:rPr>
          <w:b/>
          <w:szCs w:val="22"/>
        </w:rPr>
        <w:t>2.</w:t>
      </w:r>
      <w:r>
        <w:rPr>
          <w:b/>
          <w:szCs w:val="22"/>
        </w:rPr>
        <w:tab/>
        <w:t>KOKYBINĖ IR KIEKYBINĖ SUDĖTIS</w:t>
      </w:r>
    </w:p>
    <w:p w14:paraId="053398CB" w14:textId="77777777" w:rsidR="00AD5A09" w:rsidRDefault="00AD5A09" w:rsidP="00AD5A09">
      <w:pPr>
        <w:rPr>
          <w:b/>
          <w:szCs w:val="22"/>
        </w:rPr>
      </w:pPr>
    </w:p>
    <w:p w14:paraId="27796888" w14:textId="77777777" w:rsidR="00AD5A09" w:rsidRDefault="00AD5A09" w:rsidP="00AD5A09">
      <w:pPr>
        <w:rPr>
          <w:szCs w:val="22"/>
        </w:rPr>
      </w:pPr>
      <w:r>
        <w:rPr>
          <w:szCs w:val="22"/>
        </w:rPr>
        <w:t xml:space="preserve">Veiklioji medžiaga: žmogaus gliukagonas, pagamintas iš </w:t>
      </w:r>
      <w:r w:rsidRPr="007B16F8">
        <w:rPr>
          <w:i/>
          <w:szCs w:val="22"/>
        </w:rPr>
        <w:t>Saccharomyces Cerevisiae</w:t>
      </w:r>
      <w:r>
        <w:rPr>
          <w:szCs w:val="22"/>
        </w:rPr>
        <w:t xml:space="preserve"> rekombinantinės DNR technologijos būdu.</w:t>
      </w:r>
    </w:p>
    <w:p w14:paraId="77ABF980" w14:textId="77777777" w:rsidR="00AD5A09" w:rsidRDefault="00AD5A09" w:rsidP="00AD5A09">
      <w:pPr>
        <w:rPr>
          <w:szCs w:val="22"/>
        </w:rPr>
      </w:pPr>
    </w:p>
    <w:p w14:paraId="1B8FAA60" w14:textId="77777777" w:rsidR="00AD5A09" w:rsidRDefault="00AD5A09" w:rsidP="00AD5A09">
      <w:r>
        <w:t xml:space="preserve">Viename </w:t>
      </w:r>
      <w:r w:rsidR="003A27F3">
        <w:t xml:space="preserve">flakone </w:t>
      </w:r>
      <w:r>
        <w:t xml:space="preserve">yra 1 mg gliukagono hidrochlorido pavidalu, jį ištirpinus gaunamas </w:t>
      </w:r>
      <w:r w:rsidRPr="003A4988">
        <w:t>1</w:t>
      </w:r>
      <w:r>
        <w:t> mg/ml (</w:t>
      </w:r>
      <w:r w:rsidRPr="00BF0EEA">
        <w:t xml:space="preserve">1 TV) </w:t>
      </w:r>
      <w:r>
        <w:t>gliukagono tirpalas.</w:t>
      </w:r>
    </w:p>
    <w:p w14:paraId="7187D68D" w14:textId="77777777" w:rsidR="00AD5A09" w:rsidRDefault="00AD5A09" w:rsidP="00AD5A09">
      <w:pPr>
        <w:rPr>
          <w:szCs w:val="22"/>
        </w:rPr>
      </w:pPr>
      <w:r>
        <w:rPr>
          <w:szCs w:val="22"/>
        </w:rPr>
        <w:t>Visos pagalbinės medžiagos išvardytos 6.1 skyriuje.</w:t>
      </w:r>
    </w:p>
    <w:p w14:paraId="033EC97A" w14:textId="77777777" w:rsidR="00AD5A09" w:rsidRDefault="00AD5A09" w:rsidP="00AD5A09">
      <w:pPr>
        <w:rPr>
          <w:szCs w:val="22"/>
        </w:rPr>
      </w:pPr>
    </w:p>
    <w:p w14:paraId="1AC3F050" w14:textId="77777777" w:rsidR="00AD5A09" w:rsidRDefault="00AD5A09" w:rsidP="00AD5A09">
      <w:pPr>
        <w:rPr>
          <w:szCs w:val="22"/>
        </w:rPr>
      </w:pPr>
    </w:p>
    <w:p w14:paraId="69E7003C" w14:textId="77777777" w:rsidR="00AD5A09" w:rsidRDefault="00AD5A09" w:rsidP="00AD5A09">
      <w:pPr>
        <w:rPr>
          <w:b/>
          <w:szCs w:val="22"/>
        </w:rPr>
      </w:pPr>
      <w:r>
        <w:rPr>
          <w:b/>
          <w:szCs w:val="22"/>
        </w:rPr>
        <w:t>3.</w:t>
      </w:r>
      <w:r>
        <w:rPr>
          <w:b/>
          <w:szCs w:val="22"/>
        </w:rPr>
        <w:tab/>
        <w:t>FARMACINĖ FORMA</w:t>
      </w:r>
    </w:p>
    <w:p w14:paraId="5E00E01A" w14:textId="77777777" w:rsidR="00AD5A09" w:rsidRDefault="00AD5A09" w:rsidP="00AD5A09">
      <w:pPr>
        <w:rPr>
          <w:b/>
          <w:szCs w:val="22"/>
        </w:rPr>
      </w:pPr>
    </w:p>
    <w:p w14:paraId="62A22B45" w14:textId="77777777" w:rsidR="00AD5A09" w:rsidRDefault="00AD5A09" w:rsidP="00AD5A09">
      <w:pPr>
        <w:rPr>
          <w:szCs w:val="22"/>
        </w:rPr>
      </w:pPr>
      <w:r>
        <w:rPr>
          <w:szCs w:val="22"/>
        </w:rPr>
        <w:t xml:space="preserve">Milteliai ir tirpiklis injekciniam tirpalui </w:t>
      </w:r>
      <w:r w:rsidRPr="00794A7A">
        <w:rPr>
          <w:szCs w:val="22"/>
        </w:rPr>
        <w:t>užpildytame švirkšte</w:t>
      </w:r>
    </w:p>
    <w:p w14:paraId="0262F081" w14:textId="77777777" w:rsidR="00AD5A09" w:rsidRDefault="00AD5A09" w:rsidP="00AD5A09">
      <w:pPr>
        <w:rPr>
          <w:szCs w:val="22"/>
        </w:rPr>
      </w:pPr>
    </w:p>
    <w:p w14:paraId="28B130B3" w14:textId="77777777" w:rsidR="00AD5A09" w:rsidRDefault="00AD5A09" w:rsidP="00AD5A09">
      <w:pPr>
        <w:rPr>
          <w:szCs w:val="22"/>
        </w:rPr>
      </w:pPr>
      <w:r>
        <w:rPr>
          <w:szCs w:val="22"/>
        </w:rPr>
        <w:t>Prieš ištirpinimą kompaktiški milteliai turi būti baltos arba beveik baltos spalvos. Tirpiklis turi būti skaidrus, bespalvis, be dalelių.</w:t>
      </w:r>
    </w:p>
    <w:p w14:paraId="30A60079" w14:textId="77777777" w:rsidR="00AD5A09" w:rsidRDefault="00AD5A09" w:rsidP="00AD5A09">
      <w:pPr>
        <w:rPr>
          <w:szCs w:val="22"/>
        </w:rPr>
      </w:pPr>
    </w:p>
    <w:p w14:paraId="6B6CEA56" w14:textId="77777777" w:rsidR="00AD5A09" w:rsidRDefault="00AD5A09" w:rsidP="00AD5A09">
      <w:pPr>
        <w:rPr>
          <w:szCs w:val="22"/>
        </w:rPr>
      </w:pPr>
    </w:p>
    <w:p w14:paraId="4C66D0EA" w14:textId="77777777" w:rsidR="00AD5A09" w:rsidRDefault="00AD5A09" w:rsidP="00AD5A09">
      <w:pPr>
        <w:tabs>
          <w:tab w:val="left" w:pos="900"/>
        </w:tabs>
        <w:rPr>
          <w:b/>
          <w:szCs w:val="22"/>
        </w:rPr>
      </w:pPr>
      <w:r>
        <w:rPr>
          <w:b/>
          <w:szCs w:val="22"/>
        </w:rPr>
        <w:t>4.</w:t>
      </w:r>
      <w:r>
        <w:rPr>
          <w:b/>
          <w:szCs w:val="22"/>
        </w:rPr>
        <w:tab/>
        <w:t>KLINIKINĖ INFORMACIJA</w:t>
      </w:r>
    </w:p>
    <w:p w14:paraId="1F697B99" w14:textId="77777777" w:rsidR="00AD5A09" w:rsidRDefault="00AD5A09" w:rsidP="00AD5A09">
      <w:pPr>
        <w:rPr>
          <w:szCs w:val="22"/>
        </w:rPr>
      </w:pPr>
    </w:p>
    <w:p w14:paraId="2CB76736" w14:textId="77777777" w:rsidR="00AD5A09" w:rsidRDefault="00AD5A09" w:rsidP="00AD5A09">
      <w:pPr>
        <w:rPr>
          <w:b/>
          <w:szCs w:val="22"/>
        </w:rPr>
      </w:pPr>
      <w:r>
        <w:rPr>
          <w:b/>
          <w:szCs w:val="22"/>
        </w:rPr>
        <w:t>4.1.</w:t>
      </w:r>
      <w:r>
        <w:rPr>
          <w:b/>
          <w:szCs w:val="22"/>
        </w:rPr>
        <w:tab/>
        <w:t>Terapinės indikacijos</w:t>
      </w:r>
    </w:p>
    <w:p w14:paraId="12FF592A" w14:textId="77777777" w:rsidR="00AD5A09" w:rsidRDefault="00AD5A09" w:rsidP="00AD5A09">
      <w:pPr>
        <w:rPr>
          <w:szCs w:val="22"/>
        </w:rPr>
      </w:pPr>
    </w:p>
    <w:p w14:paraId="690C4BDD" w14:textId="77777777" w:rsidR="00AD5A09" w:rsidRDefault="00AD5A09" w:rsidP="00AD5A09">
      <w:pPr>
        <w:rPr>
          <w:szCs w:val="22"/>
          <w:u w:val="single"/>
        </w:rPr>
      </w:pPr>
      <w:r w:rsidRPr="0038658E">
        <w:rPr>
          <w:szCs w:val="22"/>
          <w:u w:val="single"/>
        </w:rPr>
        <w:t>Terapinė indikacij</w:t>
      </w:r>
      <w:r>
        <w:rPr>
          <w:szCs w:val="22"/>
          <w:u w:val="single"/>
        </w:rPr>
        <w:t>a</w:t>
      </w:r>
    </w:p>
    <w:p w14:paraId="17C7528D" w14:textId="77777777" w:rsidR="00AD5A09" w:rsidRPr="0038658E" w:rsidRDefault="00AD5A09" w:rsidP="00AD5A09">
      <w:pPr>
        <w:rPr>
          <w:szCs w:val="22"/>
          <w:u w:val="single"/>
        </w:rPr>
      </w:pPr>
    </w:p>
    <w:p w14:paraId="54B6A8F6" w14:textId="77777777" w:rsidR="00AD5A09" w:rsidRDefault="00AD5A09" w:rsidP="00AD5A09">
      <w:pPr>
        <w:rPr>
          <w:szCs w:val="22"/>
        </w:rPr>
      </w:pPr>
      <w:r>
        <w:rPr>
          <w:szCs w:val="22"/>
        </w:rPr>
        <w:t>GlucaGen skirtas sunkių hipoglikeminių reakcijų, atsiradusių cukriniu diabetu sergantiems ir insulinu gydomiems vaikams ir suaugusiesiems, gydymui.</w:t>
      </w:r>
    </w:p>
    <w:p w14:paraId="7E7CD8FA" w14:textId="77777777" w:rsidR="00AD5A09" w:rsidRDefault="00AD5A09" w:rsidP="00AD5A09">
      <w:pPr>
        <w:rPr>
          <w:szCs w:val="22"/>
        </w:rPr>
      </w:pPr>
    </w:p>
    <w:p w14:paraId="169CF971" w14:textId="77777777" w:rsidR="00AD5A09" w:rsidRDefault="00AD5A09" w:rsidP="00AD5A09">
      <w:pPr>
        <w:rPr>
          <w:szCs w:val="22"/>
          <w:u w:val="single"/>
        </w:rPr>
      </w:pPr>
      <w:r w:rsidRPr="0038658E">
        <w:rPr>
          <w:szCs w:val="22"/>
          <w:u w:val="single"/>
        </w:rPr>
        <w:t>Diagnostinė indikacij</w:t>
      </w:r>
      <w:r>
        <w:rPr>
          <w:szCs w:val="22"/>
          <w:u w:val="single"/>
        </w:rPr>
        <w:t>a</w:t>
      </w:r>
    </w:p>
    <w:p w14:paraId="1F1A1907" w14:textId="77777777" w:rsidR="00AD5A09" w:rsidRPr="0038658E" w:rsidRDefault="00AD5A09" w:rsidP="00AD5A09">
      <w:pPr>
        <w:rPr>
          <w:szCs w:val="22"/>
          <w:u w:val="single"/>
        </w:rPr>
      </w:pPr>
    </w:p>
    <w:p w14:paraId="473EE521" w14:textId="77777777" w:rsidR="00AD5A09" w:rsidRDefault="00AD5A09" w:rsidP="00AD5A09">
      <w:pPr>
        <w:rPr>
          <w:szCs w:val="22"/>
        </w:rPr>
      </w:pPr>
      <w:r>
        <w:rPr>
          <w:szCs w:val="22"/>
        </w:rPr>
        <w:t>GlucaGen skirtas p</w:t>
      </w:r>
      <w:r w:rsidRPr="006C71E3">
        <w:rPr>
          <w:szCs w:val="22"/>
        </w:rPr>
        <w:t>eristaltikos slopinim</w:t>
      </w:r>
      <w:r>
        <w:rPr>
          <w:szCs w:val="22"/>
        </w:rPr>
        <w:t>ui</w:t>
      </w:r>
      <w:r w:rsidRPr="006C71E3">
        <w:rPr>
          <w:szCs w:val="22"/>
        </w:rPr>
        <w:t xml:space="preserve">, kai tiriamas </w:t>
      </w:r>
      <w:r>
        <w:rPr>
          <w:szCs w:val="22"/>
        </w:rPr>
        <w:t xml:space="preserve">suaugusiųjų </w:t>
      </w:r>
      <w:r w:rsidRPr="006C71E3">
        <w:rPr>
          <w:szCs w:val="22"/>
        </w:rPr>
        <w:t>virškin</w:t>
      </w:r>
      <w:r>
        <w:rPr>
          <w:szCs w:val="22"/>
        </w:rPr>
        <w:t>imo</w:t>
      </w:r>
      <w:r w:rsidRPr="006C71E3">
        <w:rPr>
          <w:szCs w:val="22"/>
        </w:rPr>
        <w:t xml:space="preserve"> traktas.</w:t>
      </w:r>
    </w:p>
    <w:p w14:paraId="52E8F6AF" w14:textId="77777777" w:rsidR="00AD5A09" w:rsidRDefault="00AD5A09" w:rsidP="00AD5A09">
      <w:pPr>
        <w:rPr>
          <w:szCs w:val="22"/>
        </w:rPr>
      </w:pPr>
    </w:p>
    <w:p w14:paraId="4E4C6D4B" w14:textId="77777777" w:rsidR="00AD5A09" w:rsidRDefault="00AD5A09" w:rsidP="00AD5A09">
      <w:pPr>
        <w:rPr>
          <w:b/>
          <w:szCs w:val="22"/>
        </w:rPr>
      </w:pPr>
      <w:r>
        <w:rPr>
          <w:b/>
          <w:szCs w:val="22"/>
        </w:rPr>
        <w:t>4.2</w:t>
      </w:r>
      <w:r>
        <w:rPr>
          <w:b/>
          <w:szCs w:val="22"/>
        </w:rPr>
        <w:tab/>
        <w:t>Dozavimas ir vartojimo metodas</w:t>
      </w:r>
    </w:p>
    <w:p w14:paraId="6509A84A" w14:textId="77777777" w:rsidR="00AD5A09" w:rsidRDefault="00AD5A09" w:rsidP="00AD5A09">
      <w:pPr>
        <w:rPr>
          <w:b/>
          <w:szCs w:val="22"/>
        </w:rPr>
      </w:pPr>
    </w:p>
    <w:p w14:paraId="3E8A1B1D" w14:textId="77777777" w:rsidR="00AD5A09" w:rsidRPr="00A50C32" w:rsidRDefault="00AD5A09" w:rsidP="00AD5A09">
      <w:pPr>
        <w:rPr>
          <w:szCs w:val="22"/>
          <w:u w:val="single"/>
        </w:rPr>
      </w:pPr>
      <w:r w:rsidRPr="00A50C32">
        <w:rPr>
          <w:szCs w:val="22"/>
          <w:u w:val="single"/>
        </w:rPr>
        <w:t>Dozavimas</w:t>
      </w:r>
    </w:p>
    <w:p w14:paraId="533F0784" w14:textId="77777777" w:rsidR="00AD5A09" w:rsidRDefault="00AD5A09" w:rsidP="00AD5A09">
      <w:pPr>
        <w:rPr>
          <w:b/>
          <w:szCs w:val="22"/>
        </w:rPr>
      </w:pPr>
    </w:p>
    <w:p w14:paraId="341046F1" w14:textId="77777777" w:rsidR="00AD5A09" w:rsidRPr="0038658E" w:rsidRDefault="00AD5A09" w:rsidP="00AD5A09">
      <w:pPr>
        <w:rPr>
          <w:szCs w:val="22"/>
          <w:u w:val="single"/>
        </w:rPr>
      </w:pPr>
      <w:r w:rsidRPr="001D367A">
        <w:t>•</w:t>
      </w:r>
      <w:r w:rsidRPr="001D367A">
        <w:tab/>
      </w:r>
      <w:r w:rsidRPr="00B949EC">
        <w:rPr>
          <w:i/>
          <w:szCs w:val="22"/>
        </w:rPr>
        <w:t>Terapinė indikacija</w:t>
      </w:r>
      <w:r w:rsidRPr="00481EAD">
        <w:rPr>
          <w:szCs w:val="22"/>
        </w:rPr>
        <w:t xml:space="preserve"> </w:t>
      </w:r>
      <w:r w:rsidRPr="00B949EC">
        <w:rPr>
          <w:i/>
          <w:szCs w:val="22"/>
        </w:rPr>
        <w:t>(sunki hipoglikemija)</w:t>
      </w:r>
    </w:p>
    <w:p w14:paraId="6F7E6C48" w14:textId="77777777" w:rsidR="00AD5A09" w:rsidRDefault="00AD5A09" w:rsidP="00AD5A09">
      <w:pPr>
        <w:rPr>
          <w:szCs w:val="22"/>
        </w:rPr>
      </w:pPr>
    </w:p>
    <w:p w14:paraId="600CF31A" w14:textId="77777777" w:rsidR="00AD5A09" w:rsidRDefault="00AD5A09" w:rsidP="00AD5A09">
      <w:pPr>
        <w:rPr>
          <w:szCs w:val="22"/>
        </w:rPr>
      </w:pPr>
      <w:r>
        <w:rPr>
          <w:szCs w:val="22"/>
        </w:rPr>
        <w:t>Dozavimas suaugusiesiems</w:t>
      </w:r>
    </w:p>
    <w:p w14:paraId="6BD70A7A" w14:textId="77777777" w:rsidR="00AD5A09" w:rsidRDefault="00AD5A09" w:rsidP="00AD5A09">
      <w:pPr>
        <w:rPr>
          <w:szCs w:val="22"/>
        </w:rPr>
      </w:pPr>
      <w:r>
        <w:rPr>
          <w:szCs w:val="22"/>
        </w:rPr>
        <w:t>Suleisti 1 mg po oda arba į raumenis.</w:t>
      </w:r>
    </w:p>
    <w:p w14:paraId="33B9E8F3" w14:textId="77777777" w:rsidR="00AD5A09" w:rsidRDefault="00AD5A09" w:rsidP="00AD5A09">
      <w:pPr>
        <w:rPr>
          <w:szCs w:val="22"/>
        </w:rPr>
      </w:pPr>
    </w:p>
    <w:p w14:paraId="7E2A8B37" w14:textId="77777777" w:rsidR="00AD5A09" w:rsidRPr="00B949EC" w:rsidRDefault="00AD5A09" w:rsidP="00AD5A09">
      <w:pPr>
        <w:rPr>
          <w:szCs w:val="22"/>
          <w:u w:val="single"/>
        </w:rPr>
      </w:pPr>
      <w:r>
        <w:rPr>
          <w:szCs w:val="22"/>
          <w:u w:val="single"/>
        </w:rPr>
        <w:t>Ypatingos</w:t>
      </w:r>
      <w:r w:rsidRPr="00B949EC">
        <w:rPr>
          <w:szCs w:val="22"/>
          <w:u w:val="single"/>
        </w:rPr>
        <w:t xml:space="preserve"> populiacijos</w:t>
      </w:r>
    </w:p>
    <w:p w14:paraId="412BAE1F" w14:textId="77777777" w:rsidR="00AD5A09" w:rsidRDefault="00AD5A09" w:rsidP="00AD5A09">
      <w:pPr>
        <w:rPr>
          <w:szCs w:val="22"/>
        </w:rPr>
      </w:pPr>
    </w:p>
    <w:p w14:paraId="43C3BFE4" w14:textId="77777777" w:rsidR="00AD5A09" w:rsidRDefault="00AD5A09" w:rsidP="00AD5A09">
      <w:pPr>
        <w:rPr>
          <w:i/>
          <w:szCs w:val="22"/>
        </w:rPr>
      </w:pPr>
      <w:r w:rsidRPr="00B949EC">
        <w:rPr>
          <w:i/>
          <w:szCs w:val="22"/>
        </w:rPr>
        <w:t xml:space="preserve">Vaikų populiacija (&lt; </w:t>
      </w:r>
      <w:r w:rsidRPr="00BF0EEA">
        <w:rPr>
          <w:i/>
          <w:szCs w:val="22"/>
        </w:rPr>
        <w:t xml:space="preserve">18 </w:t>
      </w:r>
      <w:r w:rsidRPr="00B949EC">
        <w:rPr>
          <w:i/>
          <w:szCs w:val="22"/>
        </w:rPr>
        <w:t>metų)</w:t>
      </w:r>
    </w:p>
    <w:p w14:paraId="47A5657E" w14:textId="77777777" w:rsidR="00AD5A09" w:rsidRDefault="00AD5A09" w:rsidP="00AD5A09">
      <w:pPr>
        <w:rPr>
          <w:szCs w:val="22"/>
        </w:rPr>
      </w:pPr>
      <w:r>
        <w:rPr>
          <w:szCs w:val="22"/>
        </w:rPr>
        <w:t>GlucaGen gali būti vartojamas gydant sunkią vaikų ir paauglių hipoglikemiją.</w:t>
      </w:r>
    </w:p>
    <w:p w14:paraId="2F33808B" w14:textId="77777777" w:rsidR="00AD5A09" w:rsidRDefault="00AD5A09" w:rsidP="00AD5A09">
      <w:pPr>
        <w:rPr>
          <w:szCs w:val="22"/>
        </w:rPr>
      </w:pPr>
    </w:p>
    <w:p w14:paraId="65D7324E" w14:textId="77777777" w:rsidR="00AD5A09" w:rsidRDefault="00AD5A09" w:rsidP="00AD5A09">
      <w:pPr>
        <w:rPr>
          <w:szCs w:val="22"/>
        </w:rPr>
      </w:pPr>
      <w:r>
        <w:rPr>
          <w:szCs w:val="22"/>
        </w:rPr>
        <w:t>Dozavimas vaikams</w:t>
      </w:r>
    </w:p>
    <w:p w14:paraId="0BB1C410" w14:textId="77777777" w:rsidR="00AD5A09" w:rsidRDefault="00AD5A09" w:rsidP="00AD5A09">
      <w:pPr>
        <w:rPr>
          <w:szCs w:val="22"/>
        </w:rPr>
      </w:pPr>
      <w:r>
        <w:rPr>
          <w:szCs w:val="22"/>
        </w:rPr>
        <w:t xml:space="preserve">Skirti </w:t>
      </w:r>
      <w:r w:rsidRPr="00924EFA">
        <w:rPr>
          <w:szCs w:val="22"/>
        </w:rPr>
        <w:t>0,5</w:t>
      </w:r>
      <w:r>
        <w:rPr>
          <w:szCs w:val="22"/>
        </w:rPr>
        <w:t xml:space="preserve"> mg (vaikams, sveriantiems mažiau kaip </w:t>
      </w:r>
      <w:smartTag w:uri="urn:schemas-microsoft-com:office:smarttags" w:element="metricconverter">
        <w:smartTagPr>
          <w:attr w:name="ProductID" w:val="25ﾠkg"/>
        </w:smartTagPr>
        <w:r>
          <w:rPr>
            <w:szCs w:val="22"/>
          </w:rPr>
          <w:t>25 kg</w:t>
        </w:r>
      </w:smartTag>
      <w:r>
        <w:rPr>
          <w:szCs w:val="22"/>
        </w:rPr>
        <w:t xml:space="preserve"> ar jaunesniems kaip 6−8 metų amžiaus) arba </w:t>
      </w:r>
      <w:r w:rsidRPr="00924EFA">
        <w:rPr>
          <w:szCs w:val="22"/>
        </w:rPr>
        <w:t>1</w:t>
      </w:r>
      <w:r>
        <w:rPr>
          <w:szCs w:val="22"/>
        </w:rPr>
        <w:t xml:space="preserve"> mg (vaikams, sveriantiems daugiau kaip </w:t>
      </w:r>
      <w:smartTag w:uri="urn:schemas-microsoft-com:office:smarttags" w:element="metricconverter">
        <w:smartTagPr>
          <w:attr w:name="ProductID" w:val="25ﾠkg"/>
        </w:smartTagPr>
        <w:r>
          <w:rPr>
            <w:szCs w:val="22"/>
          </w:rPr>
          <w:t>25 kg</w:t>
        </w:r>
      </w:smartTag>
      <w:r>
        <w:rPr>
          <w:szCs w:val="22"/>
        </w:rPr>
        <w:t xml:space="preserve"> ar vyresniems kaip 6−8 metų amžiaus).</w:t>
      </w:r>
    </w:p>
    <w:p w14:paraId="3DBB589A" w14:textId="77777777" w:rsidR="00AD5A09" w:rsidRDefault="00AD5A09" w:rsidP="00AD5A09">
      <w:pPr>
        <w:rPr>
          <w:szCs w:val="22"/>
        </w:rPr>
      </w:pPr>
    </w:p>
    <w:p w14:paraId="5742EE06" w14:textId="77777777" w:rsidR="00AD5A09" w:rsidRDefault="00AD5A09" w:rsidP="00AD5A09">
      <w:pPr>
        <w:rPr>
          <w:szCs w:val="22"/>
        </w:rPr>
      </w:pPr>
      <w:r w:rsidRPr="00B949EC">
        <w:rPr>
          <w:i/>
          <w:szCs w:val="22"/>
        </w:rPr>
        <w:t>Senyv</w:t>
      </w:r>
      <w:r>
        <w:rPr>
          <w:i/>
          <w:szCs w:val="22"/>
        </w:rPr>
        <w:t>iems</w:t>
      </w:r>
      <w:r w:rsidRPr="00B949EC">
        <w:rPr>
          <w:i/>
          <w:szCs w:val="22"/>
        </w:rPr>
        <w:t xml:space="preserve"> pacienta</w:t>
      </w:r>
      <w:r>
        <w:rPr>
          <w:i/>
          <w:szCs w:val="22"/>
        </w:rPr>
        <w:t>ms</w:t>
      </w:r>
      <w:r w:rsidRPr="00B949EC">
        <w:rPr>
          <w:i/>
          <w:szCs w:val="22"/>
        </w:rPr>
        <w:t xml:space="preserve"> (≥ 65 metų)</w:t>
      </w:r>
    </w:p>
    <w:p w14:paraId="3DB25377" w14:textId="77777777" w:rsidR="00AD5A09" w:rsidRDefault="00AD5A09" w:rsidP="00AD5A09">
      <w:pPr>
        <w:rPr>
          <w:szCs w:val="22"/>
        </w:rPr>
      </w:pPr>
      <w:r>
        <w:rPr>
          <w:szCs w:val="22"/>
        </w:rPr>
        <w:t>GlucaGen gali vartoti senyvo amžiaus pacientai.</w:t>
      </w:r>
    </w:p>
    <w:p w14:paraId="7D38DCA9" w14:textId="77777777" w:rsidR="00AD5A09" w:rsidRDefault="00AD5A09" w:rsidP="00AD5A09">
      <w:pPr>
        <w:rPr>
          <w:szCs w:val="22"/>
        </w:rPr>
      </w:pPr>
    </w:p>
    <w:p w14:paraId="097636D5" w14:textId="77777777" w:rsidR="00AD5A09" w:rsidRDefault="00AD5A09" w:rsidP="00AD5A09">
      <w:pPr>
        <w:rPr>
          <w:szCs w:val="22"/>
        </w:rPr>
      </w:pPr>
      <w:r w:rsidRPr="00B949EC">
        <w:rPr>
          <w:i/>
          <w:szCs w:val="22"/>
        </w:rPr>
        <w:lastRenderedPageBreak/>
        <w:t>Pacienta</w:t>
      </w:r>
      <w:r>
        <w:rPr>
          <w:i/>
          <w:szCs w:val="22"/>
        </w:rPr>
        <w:t>ms</w:t>
      </w:r>
      <w:r w:rsidRPr="00B949EC">
        <w:rPr>
          <w:i/>
          <w:szCs w:val="22"/>
        </w:rPr>
        <w:t xml:space="preserve">, </w:t>
      </w:r>
      <w:r>
        <w:rPr>
          <w:i/>
          <w:szCs w:val="22"/>
        </w:rPr>
        <w:t xml:space="preserve">kurių </w:t>
      </w:r>
      <w:r w:rsidRPr="00B949EC">
        <w:rPr>
          <w:i/>
          <w:szCs w:val="22"/>
        </w:rPr>
        <w:t xml:space="preserve">inkstų ir kepenų </w:t>
      </w:r>
      <w:r>
        <w:rPr>
          <w:i/>
          <w:szCs w:val="22"/>
        </w:rPr>
        <w:t>funkcija sutrikusi</w:t>
      </w:r>
      <w:r>
        <w:rPr>
          <w:szCs w:val="22"/>
        </w:rPr>
        <w:t xml:space="preserve"> </w:t>
      </w:r>
    </w:p>
    <w:p w14:paraId="1722518A" w14:textId="77777777" w:rsidR="00AD5A09" w:rsidRDefault="00AD5A09" w:rsidP="00AD5A09">
      <w:pPr>
        <w:rPr>
          <w:szCs w:val="22"/>
        </w:rPr>
      </w:pPr>
      <w:r>
        <w:rPr>
          <w:szCs w:val="22"/>
        </w:rPr>
        <w:t>GlucaGen gali vartoti p</w:t>
      </w:r>
      <w:r w:rsidRPr="00823A51">
        <w:rPr>
          <w:szCs w:val="22"/>
        </w:rPr>
        <w:t>acientai, kuriems sutrikusi inkstų ir kepenų veikla</w:t>
      </w:r>
      <w:r>
        <w:rPr>
          <w:szCs w:val="22"/>
        </w:rPr>
        <w:t>.</w:t>
      </w:r>
    </w:p>
    <w:p w14:paraId="1A9ECB8A" w14:textId="77777777" w:rsidR="00AD5A09" w:rsidRDefault="00AD5A09" w:rsidP="00AD5A09">
      <w:pPr>
        <w:rPr>
          <w:szCs w:val="22"/>
        </w:rPr>
      </w:pPr>
    </w:p>
    <w:p w14:paraId="58F32DA5" w14:textId="77777777" w:rsidR="00AD5A09" w:rsidRPr="002952C8" w:rsidRDefault="00AD5A09" w:rsidP="00AD5A09">
      <w:pPr>
        <w:rPr>
          <w:szCs w:val="22"/>
        </w:rPr>
      </w:pPr>
      <w:r w:rsidRPr="002952C8">
        <w:t>•</w:t>
      </w:r>
      <w:r w:rsidRPr="002952C8">
        <w:tab/>
      </w:r>
      <w:r w:rsidRPr="00A50C32">
        <w:rPr>
          <w:i/>
        </w:rPr>
        <w:t>Diagnostinė indikacija</w:t>
      </w:r>
      <w:r w:rsidRPr="002952C8">
        <w:rPr>
          <w:i/>
          <w:szCs w:val="22"/>
        </w:rPr>
        <w:t xml:space="preserve"> (virškinimo trakto peristaltikos slopinimas)</w:t>
      </w:r>
    </w:p>
    <w:p w14:paraId="042AFBD8" w14:textId="77777777" w:rsidR="00AD5A09" w:rsidRDefault="00AD5A09" w:rsidP="00AD5A09">
      <w:pPr>
        <w:rPr>
          <w:szCs w:val="22"/>
        </w:rPr>
      </w:pPr>
    </w:p>
    <w:p w14:paraId="000C4C56" w14:textId="77777777" w:rsidR="00AD5A09" w:rsidRDefault="00AD5A09" w:rsidP="00AD5A09">
      <w:pPr>
        <w:rPr>
          <w:szCs w:val="22"/>
        </w:rPr>
      </w:pPr>
      <w:r w:rsidRPr="001D367A">
        <w:rPr>
          <w:szCs w:val="22"/>
        </w:rPr>
        <w:t>Do</w:t>
      </w:r>
      <w:r>
        <w:rPr>
          <w:szCs w:val="22"/>
        </w:rPr>
        <w:t>zavimas suaugusiems pacientams</w:t>
      </w:r>
      <w:r w:rsidRPr="001D367A">
        <w:rPr>
          <w:szCs w:val="22"/>
        </w:rPr>
        <w:t xml:space="preserve">: </w:t>
      </w:r>
      <w:r>
        <w:rPr>
          <w:szCs w:val="22"/>
        </w:rPr>
        <w:t>diagnostinė dozė, norint atpalaiduoti skrandį, dvylikapirštės žarnos stormenį, dvylikapirštę ir plonąsias žarnas, yra 0,2−0,5 mg, švirkščiant į veną, arba 1 mg, švirkščiant į raumenis</w:t>
      </w:r>
      <w:r w:rsidRPr="001D367A">
        <w:rPr>
          <w:szCs w:val="22"/>
        </w:rPr>
        <w:t xml:space="preserve">; </w:t>
      </w:r>
      <w:r>
        <w:rPr>
          <w:szCs w:val="22"/>
        </w:rPr>
        <w:t>dozė, kai reikia atpalaiduoti storąsias žarnas, yra 0,5−0,75 mg, švirkščiant į veną, arba 1−2 mg, švirkščiant į raumenis.</w:t>
      </w:r>
    </w:p>
    <w:p w14:paraId="72D941ED" w14:textId="77777777" w:rsidR="00AD5A09" w:rsidRDefault="00AD5A09" w:rsidP="00AD5A09">
      <w:pPr>
        <w:rPr>
          <w:szCs w:val="22"/>
        </w:rPr>
      </w:pPr>
    </w:p>
    <w:p w14:paraId="13C31444" w14:textId="77777777" w:rsidR="00AD5A09" w:rsidRPr="00496E2E" w:rsidRDefault="00AD5A09" w:rsidP="00AD5A09">
      <w:pPr>
        <w:rPr>
          <w:szCs w:val="22"/>
          <w:u w:val="single"/>
        </w:rPr>
      </w:pPr>
      <w:r>
        <w:rPr>
          <w:szCs w:val="22"/>
          <w:u w:val="single"/>
        </w:rPr>
        <w:t>Ypatingos</w:t>
      </w:r>
      <w:r w:rsidRPr="00496E2E">
        <w:rPr>
          <w:szCs w:val="22"/>
          <w:u w:val="single"/>
        </w:rPr>
        <w:t xml:space="preserve"> populiacijos</w:t>
      </w:r>
    </w:p>
    <w:p w14:paraId="3DED3CDC" w14:textId="77777777" w:rsidR="00AD5A09" w:rsidRDefault="00AD5A09" w:rsidP="00AD5A09">
      <w:pPr>
        <w:rPr>
          <w:szCs w:val="22"/>
        </w:rPr>
      </w:pPr>
    </w:p>
    <w:p w14:paraId="51449AB0" w14:textId="77777777" w:rsidR="00AD5A09" w:rsidRDefault="00AD5A09" w:rsidP="00AD5A09">
      <w:pPr>
        <w:rPr>
          <w:i/>
          <w:szCs w:val="22"/>
        </w:rPr>
      </w:pPr>
      <w:r w:rsidRPr="00496E2E">
        <w:rPr>
          <w:i/>
          <w:szCs w:val="22"/>
        </w:rPr>
        <w:t xml:space="preserve">Vaikų populiacija (&lt; </w:t>
      </w:r>
      <w:r w:rsidRPr="00BF0EEA">
        <w:rPr>
          <w:i/>
          <w:szCs w:val="22"/>
        </w:rPr>
        <w:t xml:space="preserve">18 </w:t>
      </w:r>
      <w:r w:rsidRPr="00496E2E">
        <w:rPr>
          <w:i/>
          <w:szCs w:val="22"/>
        </w:rPr>
        <w:t>metų)</w:t>
      </w:r>
    </w:p>
    <w:p w14:paraId="4FEF38D0" w14:textId="77777777" w:rsidR="00AD5A09" w:rsidRDefault="00AD5A09" w:rsidP="00AD5A09">
      <w:pPr>
        <w:rPr>
          <w:szCs w:val="22"/>
        </w:rPr>
      </w:pPr>
      <w:r>
        <w:rPr>
          <w:szCs w:val="22"/>
        </w:rPr>
        <w:t>GlucaGen saugumas ir veiksmingumas slopinant vaikų ir paauglių virškinimo trakto peristaltiką nenustatytas. Duomenų nėra.</w:t>
      </w:r>
    </w:p>
    <w:p w14:paraId="27636C77" w14:textId="77777777" w:rsidR="00AD5A09" w:rsidRDefault="00AD5A09" w:rsidP="00AD5A09">
      <w:pPr>
        <w:rPr>
          <w:szCs w:val="22"/>
        </w:rPr>
      </w:pPr>
    </w:p>
    <w:p w14:paraId="2C44D019" w14:textId="77777777" w:rsidR="00AD5A09" w:rsidRDefault="00AD5A09" w:rsidP="00AD5A09">
      <w:pPr>
        <w:rPr>
          <w:i/>
          <w:szCs w:val="22"/>
        </w:rPr>
      </w:pPr>
      <w:r w:rsidRPr="00A70E2D">
        <w:rPr>
          <w:i/>
          <w:szCs w:val="22"/>
        </w:rPr>
        <w:t>Senyv</w:t>
      </w:r>
      <w:r>
        <w:rPr>
          <w:i/>
          <w:szCs w:val="22"/>
        </w:rPr>
        <w:t>iems</w:t>
      </w:r>
      <w:r w:rsidRPr="00A70E2D">
        <w:rPr>
          <w:i/>
          <w:szCs w:val="22"/>
        </w:rPr>
        <w:t xml:space="preserve"> pacienta</w:t>
      </w:r>
      <w:r>
        <w:rPr>
          <w:i/>
          <w:szCs w:val="22"/>
        </w:rPr>
        <w:t>ms</w:t>
      </w:r>
      <w:r w:rsidRPr="00A70E2D">
        <w:rPr>
          <w:i/>
          <w:szCs w:val="22"/>
        </w:rPr>
        <w:t xml:space="preserve"> (≥ 65 metų)</w:t>
      </w:r>
    </w:p>
    <w:p w14:paraId="66F011C4" w14:textId="77777777" w:rsidR="00AD5A09" w:rsidRDefault="00AD5A09" w:rsidP="00AD5A09">
      <w:pPr>
        <w:rPr>
          <w:szCs w:val="22"/>
        </w:rPr>
      </w:pPr>
      <w:r w:rsidRPr="00A70E2D">
        <w:rPr>
          <w:szCs w:val="22"/>
        </w:rPr>
        <w:t>GlucaGen gali vartoti senyvo amžiaus pacientai.</w:t>
      </w:r>
    </w:p>
    <w:p w14:paraId="22E67F5F" w14:textId="77777777" w:rsidR="00AD5A09" w:rsidRDefault="00AD5A09" w:rsidP="00AD5A09">
      <w:pPr>
        <w:rPr>
          <w:szCs w:val="22"/>
        </w:rPr>
      </w:pPr>
    </w:p>
    <w:p w14:paraId="7FB119F4" w14:textId="77777777" w:rsidR="00AD5A09" w:rsidRDefault="00AD5A09" w:rsidP="00AD5A09">
      <w:pPr>
        <w:rPr>
          <w:i/>
          <w:szCs w:val="22"/>
        </w:rPr>
      </w:pPr>
      <w:r w:rsidRPr="00A70E2D">
        <w:rPr>
          <w:i/>
          <w:szCs w:val="22"/>
        </w:rPr>
        <w:t>Pacienta</w:t>
      </w:r>
      <w:r>
        <w:rPr>
          <w:i/>
          <w:szCs w:val="22"/>
        </w:rPr>
        <w:t>ms</w:t>
      </w:r>
      <w:r w:rsidRPr="00A70E2D">
        <w:rPr>
          <w:i/>
          <w:szCs w:val="22"/>
        </w:rPr>
        <w:t xml:space="preserve">, </w:t>
      </w:r>
      <w:r>
        <w:rPr>
          <w:i/>
          <w:szCs w:val="22"/>
        </w:rPr>
        <w:t xml:space="preserve">kurių </w:t>
      </w:r>
      <w:r w:rsidRPr="00A70E2D">
        <w:rPr>
          <w:i/>
          <w:szCs w:val="22"/>
        </w:rPr>
        <w:t xml:space="preserve">inkstų ir kepenų </w:t>
      </w:r>
      <w:r>
        <w:rPr>
          <w:i/>
          <w:szCs w:val="22"/>
        </w:rPr>
        <w:t>funkcija sutrikusi</w:t>
      </w:r>
    </w:p>
    <w:p w14:paraId="483D998E" w14:textId="77777777" w:rsidR="00AD5A09" w:rsidRDefault="00AD5A09" w:rsidP="00AD5A09">
      <w:pPr>
        <w:rPr>
          <w:szCs w:val="22"/>
        </w:rPr>
      </w:pPr>
      <w:r w:rsidRPr="002E00D2">
        <w:rPr>
          <w:szCs w:val="22"/>
        </w:rPr>
        <w:t>GlucaGen gali vartoti pacientai, kuriems sutrikusi inkstų ir kepenų veikla.</w:t>
      </w:r>
    </w:p>
    <w:p w14:paraId="7E38B66C" w14:textId="77777777" w:rsidR="00AD5A09" w:rsidRDefault="00AD5A09" w:rsidP="00AD5A09">
      <w:pPr>
        <w:rPr>
          <w:szCs w:val="22"/>
        </w:rPr>
      </w:pPr>
    </w:p>
    <w:p w14:paraId="60BB4545" w14:textId="77777777" w:rsidR="00AD5A09" w:rsidRPr="00437BEA" w:rsidRDefault="00AD5A09" w:rsidP="00AD5A09">
      <w:pPr>
        <w:rPr>
          <w:bCs/>
          <w:u w:val="single"/>
        </w:rPr>
      </w:pPr>
      <w:r w:rsidRPr="00437BEA">
        <w:rPr>
          <w:bCs/>
          <w:u w:val="single"/>
        </w:rPr>
        <w:t>Vartojimo metodas</w:t>
      </w:r>
    </w:p>
    <w:p w14:paraId="0B5D419C" w14:textId="77777777" w:rsidR="00AD5A09" w:rsidRDefault="00AD5A09" w:rsidP="00AD5A09">
      <w:pPr>
        <w:rPr>
          <w:szCs w:val="22"/>
        </w:rPr>
      </w:pPr>
    </w:p>
    <w:p w14:paraId="13AAB379" w14:textId="77777777" w:rsidR="00AD5A09" w:rsidRPr="00204CCF" w:rsidRDefault="00AD5A09" w:rsidP="00AD5A09">
      <w:r>
        <w:rPr>
          <w:szCs w:val="22"/>
        </w:rPr>
        <w:t xml:space="preserve">Kompaktinius miltelius ištirpinti tirpikliu, kuris pateikiamas kartu, kaip aprašyta </w:t>
      </w:r>
      <w:r w:rsidRPr="00CF3F1F">
        <w:rPr>
          <w:szCs w:val="22"/>
        </w:rPr>
        <w:t>6.6</w:t>
      </w:r>
      <w:r>
        <w:rPr>
          <w:szCs w:val="22"/>
        </w:rPr>
        <w:t xml:space="preserve"> skyriuje</w:t>
      </w:r>
      <w:r w:rsidRPr="00CF3F1F">
        <w:rPr>
          <w:szCs w:val="22"/>
        </w:rPr>
        <w:t>.</w:t>
      </w:r>
    </w:p>
    <w:p w14:paraId="16B3EC78" w14:textId="77777777" w:rsidR="00AD5A09" w:rsidRPr="00204CCF" w:rsidRDefault="00AD5A09" w:rsidP="00AD5A09"/>
    <w:p w14:paraId="0F838453" w14:textId="77777777" w:rsidR="00AD5A09" w:rsidRPr="00204CCF" w:rsidRDefault="00AD5A09" w:rsidP="00AD5A09">
      <w:r w:rsidRPr="00204CCF">
        <w:rPr>
          <w:i/>
        </w:rPr>
        <w:t>Terapinė indikacija (sunki hipoglikemija</w:t>
      </w:r>
      <w:r w:rsidRPr="00AE7E78">
        <w:rPr>
          <w:i/>
          <w:szCs w:val="22"/>
        </w:rPr>
        <w:t>)</w:t>
      </w:r>
    </w:p>
    <w:p w14:paraId="437817A1" w14:textId="77777777" w:rsidR="00AD5A09" w:rsidRDefault="00AD5A09" w:rsidP="00AD5A09">
      <w:pPr>
        <w:rPr>
          <w:szCs w:val="22"/>
        </w:rPr>
      </w:pPr>
    </w:p>
    <w:p w14:paraId="712F4D28" w14:textId="77777777" w:rsidR="00AD5A09" w:rsidRDefault="00AD5A09" w:rsidP="00AD5A09">
      <w:pPr>
        <w:rPr>
          <w:szCs w:val="22"/>
        </w:rPr>
      </w:pPr>
      <w:r>
        <w:rPr>
          <w:szCs w:val="22"/>
        </w:rPr>
        <w:t>Leisti po oda ar į raumenis. Pacientas normaliai turėtų atgauti sąmonę per 10 minučių. Atgavusiam sąmonę pacientui duokite suvalgyti angliavandenių, kad būtų atstatytos glikogeno atsargos kepenyse ir išvengta antrinės hipoglikemijos. Jei pacientas per 10 minučių neatgavo sąmonės, suleiskite gliukozės į veną.</w:t>
      </w:r>
    </w:p>
    <w:p w14:paraId="3EAFF749" w14:textId="77777777" w:rsidR="00AD5A09" w:rsidRDefault="00AD5A09" w:rsidP="00AD5A09">
      <w:pPr>
        <w:rPr>
          <w:szCs w:val="22"/>
        </w:rPr>
      </w:pPr>
    </w:p>
    <w:p w14:paraId="7FAE79D1" w14:textId="77777777" w:rsidR="00AD5A09" w:rsidRPr="00204CCF" w:rsidRDefault="00AD5A09" w:rsidP="00AD5A09">
      <w:pPr>
        <w:rPr>
          <w:i/>
        </w:rPr>
      </w:pPr>
      <w:r w:rsidRPr="00204CCF">
        <w:rPr>
          <w:i/>
        </w:rPr>
        <w:t>Diagnostinė indikacija (</w:t>
      </w:r>
      <w:r w:rsidRPr="00B949EC">
        <w:rPr>
          <w:i/>
          <w:szCs w:val="22"/>
        </w:rPr>
        <w:t>virškin</w:t>
      </w:r>
      <w:r>
        <w:rPr>
          <w:i/>
          <w:szCs w:val="22"/>
        </w:rPr>
        <w:t>imo</w:t>
      </w:r>
      <w:r w:rsidRPr="00B949EC">
        <w:rPr>
          <w:i/>
          <w:szCs w:val="22"/>
        </w:rPr>
        <w:t xml:space="preserve"> trakto </w:t>
      </w:r>
      <w:r w:rsidRPr="00204CCF">
        <w:rPr>
          <w:i/>
        </w:rPr>
        <w:t>peristaltikos slopinimas</w:t>
      </w:r>
      <w:r w:rsidRPr="00B949EC">
        <w:rPr>
          <w:i/>
          <w:szCs w:val="22"/>
        </w:rPr>
        <w:t>)</w:t>
      </w:r>
    </w:p>
    <w:p w14:paraId="63844002" w14:textId="77777777" w:rsidR="00AD5A09" w:rsidRDefault="00AD5A09" w:rsidP="00AD5A09">
      <w:pPr>
        <w:rPr>
          <w:szCs w:val="22"/>
        </w:rPr>
      </w:pPr>
    </w:p>
    <w:p w14:paraId="63987AF2" w14:textId="77777777" w:rsidR="00AD5A09" w:rsidRDefault="00AD5A09" w:rsidP="00AD5A09">
      <w:pPr>
        <w:rPr>
          <w:szCs w:val="22"/>
        </w:rPr>
      </w:pPr>
      <w:r>
        <w:rPr>
          <w:szCs w:val="22"/>
        </w:rPr>
        <w:t>GlucaGen leisti turi medicinos darbuotojai. Po 0,2−0,5 mg injekcijos į veną poveikis pasireiškia per vieną minutę ir tęsiasi 5−20 minučių. Po 1−2 mg injekcijos į raumenis poveikis pasireiškia po 5−15 minučių ir tęsiasi apytiksliai 10−40 minučių.</w:t>
      </w:r>
    </w:p>
    <w:p w14:paraId="6BB1772B" w14:textId="77777777" w:rsidR="00AD5A09" w:rsidRDefault="00AD5A09" w:rsidP="00AD5A09">
      <w:pPr>
        <w:rPr>
          <w:szCs w:val="22"/>
        </w:rPr>
      </w:pPr>
    </w:p>
    <w:p w14:paraId="1235A3FC" w14:textId="77777777" w:rsidR="00AD5A09" w:rsidRDefault="00AD5A09" w:rsidP="00AD5A09">
      <w:pPr>
        <w:rPr>
          <w:szCs w:val="22"/>
        </w:rPr>
      </w:pPr>
      <w:r>
        <w:rPr>
          <w:szCs w:val="22"/>
        </w:rPr>
        <w:t>Po diagnostinės procedūros rekomenduojama duoti geriamų angliavandenių, jei tai yra suderinama su diagnostinės procedūros taikymu.</w:t>
      </w:r>
    </w:p>
    <w:p w14:paraId="2EE0BBA9" w14:textId="77777777" w:rsidR="00AD5A09" w:rsidRDefault="00AD5A09" w:rsidP="00AD5A09">
      <w:pPr>
        <w:rPr>
          <w:szCs w:val="22"/>
        </w:rPr>
      </w:pPr>
    </w:p>
    <w:p w14:paraId="7E8C1650" w14:textId="77777777" w:rsidR="00AD5A09" w:rsidRDefault="00AD5A09" w:rsidP="00AD5A09">
      <w:pPr>
        <w:rPr>
          <w:szCs w:val="22"/>
        </w:rPr>
      </w:pPr>
    </w:p>
    <w:p w14:paraId="5F40E5AF" w14:textId="77777777" w:rsidR="00AD5A09" w:rsidRDefault="00AD5A09" w:rsidP="00AD5A09">
      <w:pPr>
        <w:rPr>
          <w:b/>
          <w:szCs w:val="22"/>
        </w:rPr>
      </w:pPr>
      <w:r>
        <w:rPr>
          <w:b/>
          <w:szCs w:val="22"/>
        </w:rPr>
        <w:t>4.3</w:t>
      </w:r>
      <w:r>
        <w:rPr>
          <w:b/>
          <w:szCs w:val="22"/>
        </w:rPr>
        <w:tab/>
        <w:t>Kontraindikacijos</w:t>
      </w:r>
    </w:p>
    <w:p w14:paraId="57B856B2" w14:textId="77777777" w:rsidR="00AD5A09" w:rsidRDefault="00AD5A09" w:rsidP="00AD5A09">
      <w:pPr>
        <w:rPr>
          <w:b/>
          <w:szCs w:val="22"/>
        </w:rPr>
      </w:pPr>
    </w:p>
    <w:p w14:paraId="55E2C8A0" w14:textId="77777777" w:rsidR="00AD5A09" w:rsidRDefault="00AD5A09" w:rsidP="00AD5A09">
      <w:pPr>
        <w:rPr>
          <w:szCs w:val="22"/>
        </w:rPr>
      </w:pPr>
      <w:r>
        <w:rPr>
          <w:szCs w:val="22"/>
        </w:rPr>
        <w:t xml:space="preserve">Padidėjęs jautrumas </w:t>
      </w:r>
      <w:r w:rsidRPr="00976D94">
        <w:t>veikliajai arba bet kuriai 6.1 skyriuje nurodytai pagalbinei medžiagai</w:t>
      </w:r>
      <w:r>
        <w:rPr>
          <w:szCs w:val="22"/>
        </w:rPr>
        <w:t>.</w:t>
      </w:r>
    </w:p>
    <w:p w14:paraId="7837736B" w14:textId="77777777" w:rsidR="00AD5A09" w:rsidRDefault="00AD5A09" w:rsidP="00AD5A09">
      <w:pPr>
        <w:rPr>
          <w:szCs w:val="22"/>
        </w:rPr>
      </w:pPr>
    </w:p>
    <w:p w14:paraId="0253D326" w14:textId="77777777" w:rsidR="00AD5A09" w:rsidRDefault="00AD5A09" w:rsidP="00AD5A09">
      <w:pPr>
        <w:rPr>
          <w:szCs w:val="22"/>
        </w:rPr>
      </w:pPr>
      <w:r>
        <w:rPr>
          <w:szCs w:val="22"/>
        </w:rPr>
        <w:t>Feochromocitoma.</w:t>
      </w:r>
    </w:p>
    <w:p w14:paraId="64D81545" w14:textId="77777777" w:rsidR="00AD5A09" w:rsidRDefault="00AD5A09" w:rsidP="00AD5A09">
      <w:pPr>
        <w:rPr>
          <w:szCs w:val="22"/>
        </w:rPr>
      </w:pPr>
    </w:p>
    <w:p w14:paraId="50B4E850" w14:textId="77777777" w:rsidR="00AD5A09" w:rsidRDefault="00AD5A09" w:rsidP="00AD5A09">
      <w:pPr>
        <w:rPr>
          <w:b/>
          <w:szCs w:val="22"/>
        </w:rPr>
      </w:pPr>
      <w:r>
        <w:rPr>
          <w:b/>
          <w:szCs w:val="22"/>
        </w:rPr>
        <w:t>4.4</w:t>
      </w:r>
      <w:r>
        <w:rPr>
          <w:b/>
          <w:szCs w:val="22"/>
        </w:rPr>
        <w:tab/>
        <w:t>Specialūs įspėjimai ir atsargumo priemonės</w:t>
      </w:r>
    </w:p>
    <w:p w14:paraId="4741134A" w14:textId="1FDCA910" w:rsidR="00AD5A09" w:rsidRDefault="00AD5A09" w:rsidP="00AD5A09">
      <w:pPr>
        <w:rPr>
          <w:szCs w:val="22"/>
        </w:rPr>
      </w:pPr>
    </w:p>
    <w:p w14:paraId="05EF9CAC" w14:textId="3E4EDBFE" w:rsidR="00C00D18" w:rsidRPr="003221D8" w:rsidRDefault="00C00D18" w:rsidP="00C00D18">
      <w:pPr>
        <w:spacing w:line="260" w:lineRule="exact"/>
        <w:rPr>
          <w:snapToGrid w:val="0"/>
          <w:u w:val="single"/>
        </w:rPr>
      </w:pPr>
      <w:r w:rsidRPr="003221D8">
        <w:rPr>
          <w:snapToGrid w:val="0"/>
          <w:u w:val="single"/>
        </w:rPr>
        <w:t>Atsekamumas</w:t>
      </w:r>
    </w:p>
    <w:p w14:paraId="545A134D" w14:textId="3F02BBB2" w:rsidR="00C00D18" w:rsidRPr="005D554B" w:rsidRDefault="00C00D18" w:rsidP="00C00D18">
      <w:pPr>
        <w:spacing w:line="260" w:lineRule="exact"/>
        <w:rPr>
          <w:snapToGrid w:val="0"/>
        </w:rPr>
      </w:pPr>
      <w:r w:rsidRPr="005D554B">
        <w:rPr>
          <w:snapToGrid w:val="0"/>
        </w:rPr>
        <w:t>Siekiant pagerinti biologinių vaistinių preparatų atsekamumą, reikia aiškiai užrašyti paskirto vaistinio preparato pavadinimą ir serijos numerį.</w:t>
      </w:r>
    </w:p>
    <w:p w14:paraId="6F4E8E65" w14:textId="77777777" w:rsidR="00C00D18" w:rsidRDefault="00C00D18" w:rsidP="00AD5A09">
      <w:pPr>
        <w:rPr>
          <w:szCs w:val="22"/>
        </w:rPr>
      </w:pPr>
    </w:p>
    <w:p w14:paraId="268DC9A3" w14:textId="77777777" w:rsidR="00AD5A09" w:rsidRDefault="00AD5A09" w:rsidP="00AD5A09">
      <w:pPr>
        <w:rPr>
          <w:szCs w:val="22"/>
        </w:rPr>
      </w:pPr>
      <w:r>
        <w:rPr>
          <w:szCs w:val="22"/>
        </w:rPr>
        <w:t>Kadangi GlucaGen yra nestabilus</w:t>
      </w:r>
      <w:r w:rsidRPr="00134DC2">
        <w:rPr>
          <w:szCs w:val="22"/>
        </w:rPr>
        <w:t xml:space="preserve"> </w:t>
      </w:r>
      <w:r>
        <w:rPr>
          <w:szCs w:val="22"/>
        </w:rPr>
        <w:t>tirpale, preparatas turi būti suvartojamas iškart baigus tirpinti. Jis negali būti vartojamas intraveninei infuzijai.</w:t>
      </w:r>
    </w:p>
    <w:p w14:paraId="287D3E32" w14:textId="77777777" w:rsidR="00AD5A09" w:rsidRDefault="00AD5A09" w:rsidP="00AD5A09">
      <w:pPr>
        <w:rPr>
          <w:szCs w:val="22"/>
          <w:u w:val="single"/>
        </w:rPr>
      </w:pPr>
    </w:p>
    <w:p w14:paraId="67C7BEAE" w14:textId="77777777" w:rsidR="00AD5A09" w:rsidRDefault="00AD5A09" w:rsidP="00AD5A09">
      <w:pPr>
        <w:rPr>
          <w:szCs w:val="22"/>
          <w:u w:val="single"/>
        </w:rPr>
      </w:pPr>
      <w:r>
        <w:rPr>
          <w:szCs w:val="22"/>
          <w:u w:val="single"/>
        </w:rPr>
        <w:t>Terapinė indikacija</w:t>
      </w:r>
    </w:p>
    <w:p w14:paraId="74EB1417" w14:textId="77777777" w:rsidR="00AD5A09" w:rsidRPr="00E56A6D" w:rsidRDefault="00AD5A09" w:rsidP="00AD5A09">
      <w:pPr>
        <w:rPr>
          <w:szCs w:val="22"/>
        </w:rPr>
      </w:pPr>
    </w:p>
    <w:p w14:paraId="796EB25C" w14:textId="77777777" w:rsidR="00AD5A09" w:rsidRDefault="00AD5A09" w:rsidP="00AD5A09">
      <w:pPr>
        <w:rPr>
          <w:szCs w:val="22"/>
        </w:rPr>
      </w:pPr>
      <w:r>
        <w:rPr>
          <w:szCs w:val="22"/>
        </w:rPr>
        <w:t>Siekiant išvengti hipoglikemijos pasikartojimo, atgavusiam sąmonę pacientui turi būti duodama suvalgyti angliavandenių, kad būtų atstatytos glikogeno atsargos kepenyse.</w:t>
      </w:r>
    </w:p>
    <w:p w14:paraId="26BD64F1" w14:textId="77777777" w:rsidR="00AD5A09" w:rsidRDefault="00AD5A09" w:rsidP="00AD5A09">
      <w:pPr>
        <w:rPr>
          <w:szCs w:val="22"/>
          <w:u w:val="single"/>
        </w:rPr>
      </w:pPr>
    </w:p>
    <w:p w14:paraId="4AD62C38" w14:textId="77777777" w:rsidR="00AD5A09" w:rsidRDefault="00AD5A09" w:rsidP="00AD5A09">
      <w:pPr>
        <w:rPr>
          <w:szCs w:val="22"/>
        </w:rPr>
      </w:pPr>
      <w:r w:rsidRPr="00A925B2">
        <w:rPr>
          <w:szCs w:val="22"/>
        </w:rPr>
        <w:t xml:space="preserve">Gliukagoną vartoti tikslinga tik tuomet, jei kepenyse yra glikogeno. Todėl gliukagonas mažai veiksmingas ar net visai neefektyvus, kai pacientas badauja ilgesnį laiką, turi antinksčių nepakankamumą, </w:t>
      </w:r>
      <w:r>
        <w:rPr>
          <w:szCs w:val="22"/>
        </w:rPr>
        <w:t>lėtinę</w:t>
      </w:r>
      <w:r w:rsidRPr="00A925B2">
        <w:rPr>
          <w:szCs w:val="22"/>
        </w:rPr>
        <w:t xml:space="preserve"> hipoglikemiją ar alkoholio sukeltą hipoglikemiją.</w:t>
      </w:r>
    </w:p>
    <w:p w14:paraId="156B42CD" w14:textId="77777777" w:rsidR="00AD5A09" w:rsidRDefault="00AD5A09" w:rsidP="00AD5A09">
      <w:pPr>
        <w:rPr>
          <w:szCs w:val="22"/>
        </w:rPr>
      </w:pPr>
    </w:p>
    <w:p w14:paraId="4EEE7FDF" w14:textId="77777777" w:rsidR="00AD5A09" w:rsidRPr="00A925B2" w:rsidRDefault="00AD5A09" w:rsidP="00AD5A09">
      <w:pPr>
        <w:rPr>
          <w:szCs w:val="22"/>
        </w:rPr>
      </w:pPr>
      <w:r w:rsidRPr="00A925B2">
        <w:rPr>
          <w:szCs w:val="22"/>
        </w:rPr>
        <w:t>Gliukagonas, skirtingai nei adrenalinas, neveikia raumenų fosforilazės ir dėl šios priežasties jis negali dalyvauti angliavandenių pernešime iš daug didesnių, tokių kaip skeleto raumenys, glikogeno talpyklų.</w:t>
      </w:r>
    </w:p>
    <w:p w14:paraId="2EAC8034" w14:textId="77777777" w:rsidR="00AD5A09" w:rsidRDefault="00AD5A09" w:rsidP="00AD5A09">
      <w:pPr>
        <w:rPr>
          <w:szCs w:val="22"/>
          <w:u w:val="single"/>
        </w:rPr>
      </w:pPr>
    </w:p>
    <w:p w14:paraId="2ABF1DD6" w14:textId="77777777" w:rsidR="00AD5A09" w:rsidRPr="00481EAD" w:rsidRDefault="00AD5A09" w:rsidP="00AD5A09">
      <w:pPr>
        <w:rPr>
          <w:szCs w:val="22"/>
          <w:u w:val="single"/>
        </w:rPr>
      </w:pPr>
      <w:r w:rsidRPr="00481EAD">
        <w:rPr>
          <w:szCs w:val="22"/>
          <w:u w:val="single"/>
        </w:rPr>
        <w:t>Diagnostinė indikacija</w:t>
      </w:r>
    </w:p>
    <w:p w14:paraId="00E87782" w14:textId="77777777" w:rsidR="00AD5A09" w:rsidRDefault="00AD5A09" w:rsidP="00AD5A09">
      <w:pPr>
        <w:rPr>
          <w:szCs w:val="22"/>
        </w:rPr>
      </w:pPr>
    </w:p>
    <w:p w14:paraId="713D64C1" w14:textId="4587FCBD" w:rsidR="00AD5A09" w:rsidRDefault="00AD5A09" w:rsidP="00AD5A09">
      <w:pPr>
        <w:rPr>
          <w:szCs w:val="22"/>
        </w:rPr>
      </w:pPr>
      <w:r>
        <w:rPr>
          <w:szCs w:val="22"/>
        </w:rPr>
        <w:t>Asmenys, kuriems gliukagono buvo skiriama diagnostiniais tikslais, gali jausti diskomfortą, ypač, jeigu jie buvo nevalgę. Tokiais atvejais pasireiškia šleikštulys, hipoglikemija ir kraujospūdžio pakitimų. Diagnostinei procedūrai pasibaigus pacientui, jeigu jis buvo nevalgęs, turi būti duodama geriamų angliavandenių, jei tai leidžia diagnostinė procedūra. Jei reikia nevalgyti po tyrimo arba esant sunkiai hipoglikemijai, gali reikėti suleisti gliukozės į veną.</w:t>
      </w:r>
    </w:p>
    <w:p w14:paraId="2927FFAC" w14:textId="750E0352" w:rsidR="00C00D18" w:rsidRDefault="00C00D18" w:rsidP="00AD5A09">
      <w:pPr>
        <w:rPr>
          <w:szCs w:val="22"/>
        </w:rPr>
      </w:pPr>
    </w:p>
    <w:p w14:paraId="35A25827" w14:textId="3340A841" w:rsidR="00C00D18" w:rsidRDefault="00C00D18" w:rsidP="00AD5A09">
      <w:pPr>
        <w:rPr>
          <w:rStyle w:val="rynqvb"/>
        </w:rPr>
      </w:pPr>
      <w:r>
        <w:rPr>
          <w:rStyle w:val="rynqvb"/>
        </w:rPr>
        <w:t>GlucaGen gali padidinti miokardo deguonies poreikį, kraujospūdį ir puls</w:t>
      </w:r>
      <w:r w:rsidR="00011159">
        <w:rPr>
          <w:rStyle w:val="rynqvb"/>
        </w:rPr>
        <w:t>ą</w:t>
      </w:r>
      <w:r>
        <w:rPr>
          <w:rStyle w:val="rynqvb"/>
        </w:rPr>
        <w:t>.</w:t>
      </w:r>
      <w:r w:rsidR="00011159">
        <w:rPr>
          <w:rStyle w:val="rynqvb"/>
        </w:rPr>
        <w:t xml:space="preserve"> Stebėkite pacientus, sergančius širdies ligomis, varto</w:t>
      </w:r>
      <w:r w:rsidR="00151683">
        <w:rPr>
          <w:rStyle w:val="rynqvb"/>
        </w:rPr>
        <w:t>jant</w:t>
      </w:r>
      <w:r w:rsidR="00011159">
        <w:rPr>
          <w:rStyle w:val="rynqvb"/>
        </w:rPr>
        <w:t xml:space="preserve"> GlucaGen kaip diagnostikos priemonę ir, jei reikia, gydykite.</w:t>
      </w:r>
    </w:p>
    <w:p w14:paraId="5A04031D" w14:textId="40D02A26" w:rsidR="00011159" w:rsidRDefault="00011159" w:rsidP="00AD5A09">
      <w:pPr>
        <w:rPr>
          <w:szCs w:val="22"/>
        </w:rPr>
      </w:pPr>
    </w:p>
    <w:p w14:paraId="5D8F7E72" w14:textId="49298302" w:rsidR="00011159" w:rsidRDefault="00706B55" w:rsidP="00AD5A09">
      <w:pPr>
        <w:rPr>
          <w:rStyle w:val="rynqvb"/>
        </w:rPr>
      </w:pPr>
      <w:r>
        <w:rPr>
          <w:rStyle w:val="rynqvb"/>
        </w:rPr>
        <w:t xml:space="preserve">Pacientams, sergantiems cukriniu diabetu </w:t>
      </w:r>
      <w:r w:rsidR="00011159">
        <w:rPr>
          <w:rStyle w:val="rynqvb"/>
        </w:rPr>
        <w:t>GlucaGen gali sukelti trumpalaikę hiperglikemiją, kai naudojamas kaip diagnostikos priemonė.</w:t>
      </w:r>
      <w:r w:rsidR="00011159">
        <w:rPr>
          <w:rStyle w:val="hwtze"/>
        </w:rPr>
        <w:t xml:space="preserve"> </w:t>
      </w:r>
      <w:r w:rsidR="00011159">
        <w:rPr>
          <w:rStyle w:val="rynqvb"/>
        </w:rPr>
        <w:t>Stebėkite diabetu sergančius pacientus dėl gliukozės kiekio kraujyje pokyčių vartojimo metu ir, jei reikia, gydykite.</w:t>
      </w:r>
    </w:p>
    <w:p w14:paraId="329066CA" w14:textId="77777777" w:rsidR="00011159" w:rsidRDefault="00011159" w:rsidP="00AD5A09">
      <w:pPr>
        <w:rPr>
          <w:rStyle w:val="rynqvb"/>
        </w:rPr>
      </w:pPr>
    </w:p>
    <w:p w14:paraId="0CEDD930" w14:textId="670D1E08" w:rsidR="00011159" w:rsidRDefault="00011159" w:rsidP="00AD5A09">
      <w:pPr>
        <w:rPr>
          <w:szCs w:val="22"/>
        </w:rPr>
      </w:pPr>
      <w:r>
        <w:rPr>
          <w:rStyle w:val="rynqvb"/>
        </w:rPr>
        <w:t>Pacientams, sergantiems gliukagonoma, reikia būti atsargiems, kai naudojam</w:t>
      </w:r>
      <w:r w:rsidR="00CC004B">
        <w:rPr>
          <w:rStyle w:val="rynqvb"/>
        </w:rPr>
        <w:t>as</w:t>
      </w:r>
      <w:r>
        <w:rPr>
          <w:rStyle w:val="rynqvb"/>
        </w:rPr>
        <w:t xml:space="preserve"> kaip diagnostikos priemonė.</w:t>
      </w:r>
    </w:p>
    <w:p w14:paraId="5B4F3899" w14:textId="43F4C730" w:rsidR="00AD5A09" w:rsidRDefault="00AD5A09" w:rsidP="00AD5A09">
      <w:pPr>
        <w:rPr>
          <w:szCs w:val="22"/>
        </w:rPr>
      </w:pPr>
    </w:p>
    <w:p w14:paraId="208A4F29" w14:textId="7E909A36" w:rsidR="003221D8" w:rsidRPr="003221D8" w:rsidRDefault="003221D8" w:rsidP="00AD5A09">
      <w:pPr>
        <w:rPr>
          <w:rStyle w:val="rynqvb"/>
          <w:u w:val="single"/>
        </w:rPr>
      </w:pPr>
      <w:r w:rsidRPr="003221D8">
        <w:rPr>
          <w:rStyle w:val="rynqvb"/>
          <w:u w:val="single"/>
        </w:rPr>
        <w:t>Terapinės ir diagnostinės indikacijos</w:t>
      </w:r>
    </w:p>
    <w:p w14:paraId="0C790C12" w14:textId="77777777" w:rsidR="003221D8" w:rsidRPr="00CA6F05" w:rsidRDefault="003221D8" w:rsidP="00AD5A09">
      <w:pPr>
        <w:rPr>
          <w:szCs w:val="22"/>
        </w:rPr>
      </w:pPr>
    </w:p>
    <w:p w14:paraId="093B2DF6" w14:textId="056957F4" w:rsidR="00AD5A09" w:rsidRDefault="00AD5A09" w:rsidP="00AD5A09">
      <w:pPr>
        <w:rPr>
          <w:szCs w:val="22"/>
        </w:rPr>
      </w:pPr>
      <w:r w:rsidRPr="006C71E3">
        <w:rPr>
          <w:szCs w:val="22"/>
        </w:rPr>
        <w:t>Gliukagonas yra insulino antagonistas, todėl GlucaGen turi būti atidžiai skiriamas pacientams,</w:t>
      </w:r>
      <w:r w:rsidRPr="00486FAE">
        <w:rPr>
          <w:szCs w:val="22"/>
        </w:rPr>
        <w:t xml:space="preserve"> sergantiems insulinoma.</w:t>
      </w:r>
    </w:p>
    <w:p w14:paraId="2ABA000C" w14:textId="77777777" w:rsidR="00AD5A09" w:rsidRDefault="00AD5A09" w:rsidP="00AD5A09">
      <w:pPr>
        <w:rPr>
          <w:szCs w:val="22"/>
        </w:rPr>
      </w:pPr>
    </w:p>
    <w:p w14:paraId="3CA09F75" w14:textId="77777777" w:rsidR="00AD5A09" w:rsidRPr="00CF3F1F" w:rsidRDefault="00AD5A09" w:rsidP="00AD5A09">
      <w:pPr>
        <w:rPr>
          <w:szCs w:val="22"/>
        </w:rPr>
      </w:pPr>
      <w:r w:rsidRPr="00CF3F1F">
        <w:rPr>
          <w:szCs w:val="22"/>
        </w:rPr>
        <w:t>Gl</w:t>
      </w:r>
      <w:r>
        <w:rPr>
          <w:szCs w:val="22"/>
        </w:rPr>
        <w:t>iukagonas skatina katecholaminų išsiskyrimą</w:t>
      </w:r>
      <w:r w:rsidRPr="00CF3F1F">
        <w:rPr>
          <w:szCs w:val="22"/>
        </w:rPr>
        <w:t xml:space="preserve">. </w:t>
      </w:r>
      <w:r>
        <w:rPr>
          <w:szCs w:val="22"/>
        </w:rPr>
        <w:t>Esant feochromocitomai, dėl gliukagono auglys gali išskirti didelį katecholaminų kiekį, kuris sukels ūminę padidėjusio jautrumo reakciją. Gliukagonas kontraindikuojamas pacientams, kuriems yra feochromocitoma (žr.</w:t>
      </w:r>
      <w:r w:rsidRPr="00717D97">
        <w:rPr>
          <w:szCs w:val="22"/>
        </w:rPr>
        <w:t xml:space="preserve"> 4.3</w:t>
      </w:r>
      <w:r>
        <w:rPr>
          <w:szCs w:val="22"/>
        </w:rPr>
        <w:t xml:space="preserve"> skyrių</w:t>
      </w:r>
      <w:r w:rsidRPr="00717D97">
        <w:rPr>
          <w:szCs w:val="22"/>
        </w:rPr>
        <w:t>).</w:t>
      </w:r>
    </w:p>
    <w:p w14:paraId="79120FD6" w14:textId="7129E7D4" w:rsidR="00AD5A09" w:rsidRDefault="00AD5A09" w:rsidP="00AD5A09">
      <w:pPr>
        <w:rPr>
          <w:szCs w:val="22"/>
        </w:rPr>
      </w:pPr>
    </w:p>
    <w:p w14:paraId="6F1DEBD3" w14:textId="77777777" w:rsidR="00522723" w:rsidRPr="00522723" w:rsidRDefault="00522723" w:rsidP="00522723">
      <w:pPr>
        <w:rPr>
          <w:szCs w:val="22"/>
          <w:u w:val="single"/>
        </w:rPr>
      </w:pPr>
      <w:bookmarkStart w:id="0" w:name="_Hlk71717633"/>
      <w:r w:rsidRPr="00522723">
        <w:rPr>
          <w:szCs w:val="22"/>
          <w:u w:val="single"/>
        </w:rPr>
        <w:t>Pagalbinės medžiagos</w:t>
      </w:r>
    </w:p>
    <w:p w14:paraId="6FAF940B" w14:textId="3D863D88" w:rsidR="00522723" w:rsidRDefault="008313A6" w:rsidP="00522723">
      <w:pPr>
        <w:rPr>
          <w:szCs w:val="22"/>
        </w:rPr>
      </w:pPr>
      <w:r w:rsidRPr="00966EEB">
        <w:rPr>
          <w:szCs w:val="22"/>
        </w:rPr>
        <w:t>D</w:t>
      </w:r>
      <w:r>
        <w:rPr>
          <w:szCs w:val="22"/>
        </w:rPr>
        <w:t xml:space="preserve">idžiausioje </w:t>
      </w:r>
      <w:r w:rsidR="00522723" w:rsidRPr="00966EEB">
        <w:rPr>
          <w:szCs w:val="22"/>
        </w:rPr>
        <w:t xml:space="preserve">GlucaGen </w:t>
      </w:r>
      <w:r>
        <w:rPr>
          <w:szCs w:val="22"/>
        </w:rPr>
        <w:t>dozėje (2 </w:t>
      </w:r>
      <w:r w:rsidR="00522723" w:rsidRPr="00522723">
        <w:rPr>
          <w:szCs w:val="22"/>
        </w:rPr>
        <w:t>ml</w:t>
      </w:r>
      <w:r>
        <w:rPr>
          <w:szCs w:val="22"/>
        </w:rPr>
        <w:t>)</w:t>
      </w:r>
      <w:r w:rsidR="00522723" w:rsidRPr="00522723">
        <w:rPr>
          <w:szCs w:val="22"/>
        </w:rPr>
        <w:t xml:space="preserve"> yra mažiau kaip 1 mmol (23 mg) natrio, t.</w:t>
      </w:r>
      <w:r w:rsidR="00323892">
        <w:rPr>
          <w:szCs w:val="22"/>
        </w:rPr>
        <w:t xml:space="preserve"> </w:t>
      </w:r>
      <w:r w:rsidR="00522723" w:rsidRPr="00522723">
        <w:rPr>
          <w:szCs w:val="22"/>
        </w:rPr>
        <w:t>y. jis beveik neturi reikšmės.</w:t>
      </w:r>
      <w:bookmarkEnd w:id="0"/>
    </w:p>
    <w:p w14:paraId="44F677C2" w14:textId="77777777" w:rsidR="00AD5A09" w:rsidRDefault="00AD5A09" w:rsidP="00AD5A09">
      <w:pPr>
        <w:rPr>
          <w:szCs w:val="22"/>
        </w:rPr>
      </w:pPr>
    </w:p>
    <w:p w14:paraId="3E5D206C" w14:textId="77777777" w:rsidR="00AD5A09" w:rsidRDefault="00AD5A09" w:rsidP="00AD5A09">
      <w:pPr>
        <w:rPr>
          <w:b/>
          <w:szCs w:val="22"/>
        </w:rPr>
      </w:pPr>
      <w:r>
        <w:rPr>
          <w:b/>
          <w:szCs w:val="22"/>
        </w:rPr>
        <w:t>4.5</w:t>
      </w:r>
      <w:r>
        <w:rPr>
          <w:b/>
          <w:szCs w:val="22"/>
        </w:rPr>
        <w:tab/>
        <w:t>Sąveika su kitais vaistiniais preparatais ir kitokia sąveika</w:t>
      </w:r>
    </w:p>
    <w:p w14:paraId="15B1AC00" w14:textId="77777777" w:rsidR="00AD5A09" w:rsidRDefault="00AD5A09" w:rsidP="00AD5A09">
      <w:pPr>
        <w:rPr>
          <w:b/>
          <w:szCs w:val="22"/>
        </w:rPr>
      </w:pPr>
    </w:p>
    <w:p w14:paraId="5C202A87" w14:textId="77777777" w:rsidR="00AD5A09" w:rsidRDefault="00AD5A09" w:rsidP="00AD5A09">
      <w:pPr>
        <w:rPr>
          <w:szCs w:val="22"/>
        </w:rPr>
      </w:pPr>
      <w:r>
        <w:rPr>
          <w:szCs w:val="22"/>
        </w:rPr>
        <w:t>Insulinas: veikia kaip gliukagono antagonistas.</w:t>
      </w:r>
    </w:p>
    <w:p w14:paraId="590C7587" w14:textId="77777777" w:rsidR="00AD5A09" w:rsidRDefault="00AD5A09" w:rsidP="00AD5A09">
      <w:pPr>
        <w:rPr>
          <w:szCs w:val="22"/>
        </w:rPr>
      </w:pPr>
    </w:p>
    <w:p w14:paraId="4E0598E1" w14:textId="77777777" w:rsidR="00AD5A09" w:rsidRDefault="00AD5A09" w:rsidP="00AD5A09">
      <w:pPr>
        <w:rPr>
          <w:szCs w:val="22"/>
        </w:rPr>
      </w:pPr>
      <w:r>
        <w:rPr>
          <w:szCs w:val="22"/>
        </w:rPr>
        <w:t>Indometacinas: gliukagonas gali prarasti savybę padidinti gliukozės kiekį kraujyje ar netgi paskatinti hipoglikemiją.</w:t>
      </w:r>
    </w:p>
    <w:p w14:paraId="47C6CB9A" w14:textId="77777777" w:rsidR="00AD5A09" w:rsidRDefault="00AD5A09" w:rsidP="00AD5A09">
      <w:pPr>
        <w:rPr>
          <w:szCs w:val="22"/>
        </w:rPr>
      </w:pPr>
    </w:p>
    <w:p w14:paraId="307DA0F2" w14:textId="77777777" w:rsidR="00AD5A09" w:rsidRDefault="00AD5A09" w:rsidP="00AD5A09">
      <w:pPr>
        <w:rPr>
          <w:szCs w:val="22"/>
        </w:rPr>
      </w:pPr>
      <w:r>
        <w:rPr>
          <w:szCs w:val="22"/>
        </w:rPr>
        <w:t>Varfarinas: gliukagonas gali sustiprinti antikoaguliacinį varfarino poveikį.</w:t>
      </w:r>
    </w:p>
    <w:p w14:paraId="5E944120" w14:textId="77777777" w:rsidR="00AD5A09" w:rsidRDefault="00AD5A09" w:rsidP="00AD5A09">
      <w:pPr>
        <w:rPr>
          <w:szCs w:val="22"/>
        </w:rPr>
      </w:pPr>
    </w:p>
    <w:p w14:paraId="789340F6" w14:textId="77777777" w:rsidR="00AD5A09" w:rsidRPr="00CF3F1F" w:rsidRDefault="00AD5A09" w:rsidP="00AD5A09">
      <w:pPr>
        <w:rPr>
          <w:szCs w:val="22"/>
        </w:rPr>
      </w:pPr>
      <w:r w:rsidRPr="003B28EF">
        <w:rPr>
          <w:szCs w:val="22"/>
        </w:rPr>
        <w:t>Beta</w:t>
      </w:r>
      <w:r>
        <w:rPr>
          <w:szCs w:val="22"/>
        </w:rPr>
        <w:t xml:space="preserve"> adrenoblokatoriai</w:t>
      </w:r>
      <w:r w:rsidRPr="003B28EF">
        <w:rPr>
          <w:szCs w:val="22"/>
        </w:rPr>
        <w:t xml:space="preserve">: </w:t>
      </w:r>
      <w:r>
        <w:rPr>
          <w:szCs w:val="22"/>
        </w:rPr>
        <w:t>tikėtina, kad pacientams, vartojantiems beta adrenoblokatorių, gali labiau padidėti pulsas ir kraujospūdis. Šis padidėjimas bus laikinas dėl trumpo gliukagono pusperiodžio. Pacientų, sergančių vainikinių arterijų liga, padidėjusį kraujospūdį ir pulsą gali reikėti gydyti.</w:t>
      </w:r>
    </w:p>
    <w:p w14:paraId="4430237D" w14:textId="77777777" w:rsidR="00AD5A09" w:rsidRDefault="00AD5A09" w:rsidP="00AD5A09">
      <w:pPr>
        <w:rPr>
          <w:szCs w:val="22"/>
        </w:rPr>
      </w:pPr>
    </w:p>
    <w:p w14:paraId="05CE51A6" w14:textId="77777777" w:rsidR="00AD5A09" w:rsidRDefault="00AD5A09" w:rsidP="00AD5A09">
      <w:pPr>
        <w:rPr>
          <w:szCs w:val="22"/>
        </w:rPr>
      </w:pPr>
      <w:r>
        <w:rPr>
          <w:szCs w:val="22"/>
        </w:rPr>
        <w:lastRenderedPageBreak/>
        <w:t>GlucaGen ir kitų vaistų sąveika, kai GlucaGen vartojamas pagal patvirtintas indikacijas, nežinoma.</w:t>
      </w:r>
    </w:p>
    <w:p w14:paraId="571EFB9C" w14:textId="77777777" w:rsidR="00AD5A09" w:rsidRDefault="00AD5A09" w:rsidP="00AD5A09">
      <w:pPr>
        <w:rPr>
          <w:szCs w:val="22"/>
        </w:rPr>
      </w:pPr>
    </w:p>
    <w:p w14:paraId="5AA77340" w14:textId="77777777" w:rsidR="00AD5A09" w:rsidRDefault="00AD5A09" w:rsidP="00AD5A09">
      <w:pPr>
        <w:rPr>
          <w:b/>
          <w:szCs w:val="22"/>
        </w:rPr>
      </w:pPr>
      <w:r>
        <w:rPr>
          <w:b/>
          <w:szCs w:val="22"/>
        </w:rPr>
        <w:t>4.6</w:t>
      </w:r>
      <w:r>
        <w:rPr>
          <w:b/>
          <w:szCs w:val="22"/>
        </w:rPr>
        <w:tab/>
        <w:t>Vaisingumas, nėštumo ir žindymo laikotarpis</w:t>
      </w:r>
    </w:p>
    <w:p w14:paraId="64FD4773" w14:textId="77777777" w:rsidR="00AD5A09" w:rsidRDefault="00AD5A09" w:rsidP="00AD5A09">
      <w:pPr>
        <w:rPr>
          <w:b/>
          <w:szCs w:val="22"/>
        </w:rPr>
      </w:pPr>
    </w:p>
    <w:p w14:paraId="63AAE183" w14:textId="77777777" w:rsidR="00AD5A09" w:rsidRPr="00B949EC" w:rsidRDefault="00AD5A09" w:rsidP="00AD5A09">
      <w:pPr>
        <w:rPr>
          <w:szCs w:val="22"/>
          <w:u w:val="single"/>
        </w:rPr>
      </w:pPr>
      <w:r w:rsidRPr="00B949EC">
        <w:rPr>
          <w:szCs w:val="22"/>
          <w:u w:val="single"/>
        </w:rPr>
        <w:t>Nėštumas</w:t>
      </w:r>
    </w:p>
    <w:p w14:paraId="2D9A5D85" w14:textId="77777777" w:rsidR="00AD5A09" w:rsidRPr="00A50C32" w:rsidRDefault="00AD5A09" w:rsidP="00AD5A09"/>
    <w:p w14:paraId="1602859F" w14:textId="77777777" w:rsidR="00AD5A09" w:rsidRDefault="00AD5A09" w:rsidP="00AD5A09">
      <w:pPr>
        <w:rPr>
          <w:szCs w:val="22"/>
        </w:rPr>
      </w:pPr>
      <w:r>
        <w:rPr>
          <w:szCs w:val="22"/>
        </w:rPr>
        <w:t>Gliukagonas neprasiskverbia pro placentos barjerą. Pranešta, kad gliukagoną vartojo nėščios moterys sergančios diabetu, tačiau jokių žalingų poveikių nei nėštumo periodui, nei būsimam kūdikiui nepastebėta. GlucaGen galima vartoti nėštumo laikotarpiu.</w:t>
      </w:r>
    </w:p>
    <w:p w14:paraId="79CCD11E" w14:textId="77777777" w:rsidR="00AD5A09" w:rsidRDefault="00AD5A09" w:rsidP="00AD5A09">
      <w:pPr>
        <w:rPr>
          <w:szCs w:val="22"/>
        </w:rPr>
      </w:pPr>
    </w:p>
    <w:p w14:paraId="417F5A1E" w14:textId="77777777" w:rsidR="00AD5A09" w:rsidRPr="00B949EC" w:rsidRDefault="00AD5A09" w:rsidP="00AD5A09">
      <w:pPr>
        <w:rPr>
          <w:szCs w:val="22"/>
          <w:u w:val="single"/>
        </w:rPr>
      </w:pPr>
      <w:r>
        <w:rPr>
          <w:szCs w:val="22"/>
          <w:u w:val="single"/>
        </w:rPr>
        <w:t>Žindymas</w:t>
      </w:r>
    </w:p>
    <w:p w14:paraId="4DB1123B" w14:textId="77777777" w:rsidR="00AD5A09" w:rsidRDefault="00AD5A09" w:rsidP="00AD5A09">
      <w:pPr>
        <w:rPr>
          <w:szCs w:val="22"/>
        </w:rPr>
      </w:pPr>
    </w:p>
    <w:p w14:paraId="1D153967" w14:textId="77777777" w:rsidR="00AD5A09" w:rsidRDefault="00AD5A09" w:rsidP="00AD5A09">
      <w:pPr>
        <w:rPr>
          <w:szCs w:val="22"/>
        </w:rPr>
      </w:pPr>
      <w:r>
        <w:rPr>
          <w:szCs w:val="22"/>
        </w:rPr>
        <w:t>Gliukagonas iš kraujo pasišalina labai greitai (daugiausiai per kepenis) (t</w:t>
      </w:r>
      <w:r w:rsidRPr="006A5FBD">
        <w:rPr>
          <w:szCs w:val="22"/>
          <w:vertAlign w:val="subscript"/>
        </w:rPr>
        <w:t>1/2</w:t>
      </w:r>
      <w:r>
        <w:rPr>
          <w:szCs w:val="22"/>
        </w:rPr>
        <w:t xml:space="preserve"> =3−6 min.), tad manoma, kad sunkias hipoglikemines reakcijas besigydančios maitinančios motinos piene išsiskyręs gliukagono kiekis bus ypač mažas. Kadangi gliukagonas virškinimo trakte yra suardomas ir negali būti absorbuojamas nepaliestos formos, todėl vaikui neturės jokio metabolinio poveikio. GlucaGen galima vartoti žindymo laikotarpiu.</w:t>
      </w:r>
    </w:p>
    <w:p w14:paraId="5247E155" w14:textId="77777777" w:rsidR="00AD5A09" w:rsidRDefault="00AD5A09" w:rsidP="00AD5A09">
      <w:pPr>
        <w:rPr>
          <w:szCs w:val="22"/>
        </w:rPr>
      </w:pPr>
    </w:p>
    <w:p w14:paraId="2A9C6D92" w14:textId="77777777" w:rsidR="00AD5A09" w:rsidRPr="00B949EC" w:rsidRDefault="00AD5A09" w:rsidP="00AD5A09">
      <w:pPr>
        <w:rPr>
          <w:szCs w:val="22"/>
          <w:u w:val="single"/>
        </w:rPr>
      </w:pPr>
      <w:r w:rsidRPr="00B949EC">
        <w:rPr>
          <w:szCs w:val="22"/>
          <w:u w:val="single"/>
        </w:rPr>
        <w:t>Vaisingumas</w:t>
      </w:r>
    </w:p>
    <w:p w14:paraId="4E243EE6" w14:textId="77777777" w:rsidR="00AD5A09" w:rsidRDefault="00AD5A09" w:rsidP="00AD5A09">
      <w:pPr>
        <w:rPr>
          <w:szCs w:val="22"/>
        </w:rPr>
      </w:pPr>
    </w:p>
    <w:p w14:paraId="5F8DD49F" w14:textId="77777777" w:rsidR="00AD5A09" w:rsidRDefault="00AD5A09" w:rsidP="00AD5A09">
      <w:pPr>
        <w:rPr>
          <w:szCs w:val="22"/>
        </w:rPr>
      </w:pPr>
      <w:r w:rsidRPr="00AC4532">
        <w:rPr>
          <w:szCs w:val="22"/>
        </w:rPr>
        <w:t xml:space="preserve">Gyvūnų reprodukcijos tyrimų su </w:t>
      </w:r>
      <w:r>
        <w:rPr>
          <w:szCs w:val="22"/>
        </w:rPr>
        <w:t>GlucaGen</w:t>
      </w:r>
      <w:r w:rsidRPr="00AC4532">
        <w:rPr>
          <w:szCs w:val="22"/>
        </w:rPr>
        <w:t xml:space="preserve"> neatlikta.</w:t>
      </w:r>
      <w:r>
        <w:rPr>
          <w:szCs w:val="22"/>
        </w:rPr>
        <w:t xml:space="preserve"> Tyrimai su žiurkėmis parodė, kad gliukagonas nesukelia vaisingumo sutrikimo.</w:t>
      </w:r>
    </w:p>
    <w:p w14:paraId="5F22B426" w14:textId="77777777" w:rsidR="00AD5A09" w:rsidRDefault="00AD5A09" w:rsidP="00AD5A09">
      <w:pPr>
        <w:rPr>
          <w:szCs w:val="22"/>
        </w:rPr>
      </w:pPr>
    </w:p>
    <w:p w14:paraId="5165EE38" w14:textId="77777777" w:rsidR="00AD5A09" w:rsidRDefault="00AD5A09" w:rsidP="00AD5A09">
      <w:pPr>
        <w:rPr>
          <w:szCs w:val="22"/>
        </w:rPr>
      </w:pPr>
    </w:p>
    <w:p w14:paraId="4E70C112" w14:textId="77777777" w:rsidR="00AD5A09" w:rsidRDefault="00AD5A09" w:rsidP="00AD5A09">
      <w:pPr>
        <w:rPr>
          <w:szCs w:val="22"/>
        </w:rPr>
      </w:pPr>
      <w:r>
        <w:rPr>
          <w:b/>
          <w:szCs w:val="22"/>
        </w:rPr>
        <w:t>4.7</w:t>
      </w:r>
      <w:r>
        <w:rPr>
          <w:b/>
          <w:szCs w:val="22"/>
        </w:rPr>
        <w:tab/>
        <w:t>Poveikis gebėjimui vairuoti ir valdyti mechanizmus</w:t>
      </w:r>
    </w:p>
    <w:p w14:paraId="56ABAA80" w14:textId="77777777" w:rsidR="00AD5A09" w:rsidRDefault="00AD5A09" w:rsidP="00AD5A09">
      <w:pPr>
        <w:rPr>
          <w:szCs w:val="22"/>
        </w:rPr>
      </w:pPr>
    </w:p>
    <w:p w14:paraId="12B8DDF9" w14:textId="77777777" w:rsidR="00AD5A09" w:rsidRPr="006762A4" w:rsidRDefault="00AD5A09" w:rsidP="00AD5A09">
      <w:r w:rsidRPr="00A50C32">
        <w:t xml:space="preserve">Po sunkaus hipoglikemijos atvejo gali sutrikti paciento gebėjimas koncentruotis ir reaguoti. Tad pacientas turi nevairuoti ir nevaldyti mechanizmų po sunkaus hipoglikemijos atvejo, </w:t>
      </w:r>
      <w:r w:rsidRPr="00410F9C">
        <w:t>kol jo būklė nesistabilizavo</w:t>
      </w:r>
      <w:r w:rsidRPr="006762A4">
        <w:t>.</w:t>
      </w:r>
    </w:p>
    <w:p w14:paraId="59285B65" w14:textId="77777777" w:rsidR="00AD5A09" w:rsidRPr="006762A4" w:rsidRDefault="00AD5A09" w:rsidP="00AD5A09">
      <w:pPr>
        <w:rPr>
          <w:szCs w:val="22"/>
        </w:rPr>
      </w:pPr>
    </w:p>
    <w:p w14:paraId="7C470588" w14:textId="77777777" w:rsidR="00AD5A09" w:rsidRDefault="00AD5A09" w:rsidP="00AD5A09">
      <w:pPr>
        <w:rPr>
          <w:szCs w:val="22"/>
        </w:rPr>
      </w:pPr>
      <w:r>
        <w:rPr>
          <w:szCs w:val="22"/>
        </w:rPr>
        <w:t xml:space="preserve">Po diagnostinių procedūrų kartais pasireiškia hipoglikemija. Todėl prieš vairuojant transporto priemonę ar </w:t>
      </w:r>
      <w:r w:rsidRPr="00410F9C">
        <w:t>valdant mechanizmus</w:t>
      </w:r>
      <w:r>
        <w:rPr>
          <w:szCs w:val="22"/>
        </w:rPr>
        <w:t xml:space="preserve"> būtina užvalgyti maisto, turinčio angliavandenių.</w:t>
      </w:r>
    </w:p>
    <w:p w14:paraId="4BAC3C6C" w14:textId="77777777" w:rsidR="00AD5A09" w:rsidRDefault="00AD5A09" w:rsidP="00AD5A09">
      <w:pPr>
        <w:rPr>
          <w:szCs w:val="22"/>
        </w:rPr>
      </w:pPr>
    </w:p>
    <w:p w14:paraId="2996EB8E" w14:textId="77777777" w:rsidR="00AD5A09" w:rsidRDefault="00AD5A09" w:rsidP="00AD5A09">
      <w:pPr>
        <w:rPr>
          <w:b/>
          <w:szCs w:val="22"/>
        </w:rPr>
      </w:pPr>
      <w:r>
        <w:rPr>
          <w:b/>
          <w:szCs w:val="22"/>
        </w:rPr>
        <w:t>4.8</w:t>
      </w:r>
      <w:r>
        <w:rPr>
          <w:b/>
          <w:szCs w:val="22"/>
        </w:rPr>
        <w:tab/>
        <w:t>Nepageidaujamas poveikis</w:t>
      </w:r>
    </w:p>
    <w:p w14:paraId="1DD764C7" w14:textId="77777777" w:rsidR="00AD5A09" w:rsidRDefault="00AD5A09" w:rsidP="00AD5A09">
      <w:pPr>
        <w:rPr>
          <w:szCs w:val="22"/>
        </w:rPr>
      </w:pPr>
    </w:p>
    <w:p w14:paraId="6B41F6FD" w14:textId="77777777" w:rsidR="00AD5A09" w:rsidRDefault="00AD5A09" w:rsidP="00AD5A09">
      <w:pPr>
        <w:rPr>
          <w:i/>
          <w:szCs w:val="22"/>
        </w:rPr>
      </w:pPr>
      <w:r w:rsidRPr="00F243C2">
        <w:rPr>
          <w:i/>
          <w:szCs w:val="22"/>
        </w:rPr>
        <w:t>Saugumo duomenų santrauka</w:t>
      </w:r>
    </w:p>
    <w:p w14:paraId="5CAD39CD" w14:textId="77777777" w:rsidR="00AD5A09" w:rsidRPr="00924EFA" w:rsidRDefault="00AD5A09" w:rsidP="00AD5A09"/>
    <w:p w14:paraId="7C8F4AE8" w14:textId="66E3712E" w:rsidR="00AD5A09" w:rsidRPr="00A50C32" w:rsidRDefault="00AD5A09" w:rsidP="00AD5A09">
      <w:r w:rsidRPr="00A50C32">
        <w:t xml:space="preserve">Sunkios nepageidaujamos reakcijos yra labai retos, tačiau kartais gali pasitaikyti pykinimas, vėmimas ir pilvo skausmas. Labai retai (mažiau nei 1 iš </w:t>
      </w:r>
      <w:r w:rsidRPr="00A50C32">
        <w:rPr>
          <w:szCs w:val="22"/>
        </w:rPr>
        <w:t>10</w:t>
      </w:r>
      <w:r w:rsidR="006A7F16" w:rsidRPr="005D554B">
        <w:rPr>
          <w:snapToGrid w:val="0"/>
        </w:rPr>
        <w:t> </w:t>
      </w:r>
      <w:r w:rsidRPr="00A50C32">
        <w:rPr>
          <w:szCs w:val="22"/>
        </w:rPr>
        <w:t>000</w:t>
      </w:r>
      <w:r w:rsidRPr="00A50C32">
        <w:t xml:space="preserve"> pacientų) buvo pranešta apie padidėjusio jautrumo reakcijas, įskaitant anafilaksines reakcijas. Vartojant preparatą pagal diagnostinę indikaciją, pranešta apie hipoglikemiją ar hipoglikeminę komą, ypač nevalgiusiems pacientams.</w:t>
      </w:r>
    </w:p>
    <w:p w14:paraId="20399387" w14:textId="77777777" w:rsidR="00AD5A09" w:rsidRPr="00A50C32" w:rsidRDefault="00AD5A09" w:rsidP="00AD5A09">
      <w:r w:rsidRPr="00A50C32">
        <w:t xml:space="preserve">Apie nepageidaujamas širdies ir kraujagyslių reakcijas, tokias kaip tachikardija ir kraujospūdžio pokyčiai, pranešta tik GlucaGen papildomai vartojant endoskopijos ar radiografijos procedūrose. </w:t>
      </w:r>
    </w:p>
    <w:p w14:paraId="5BDD7596" w14:textId="77777777" w:rsidR="00AD5A09" w:rsidRPr="002952C8" w:rsidRDefault="00AD5A09" w:rsidP="00AD5A09">
      <w:pPr>
        <w:rPr>
          <w:szCs w:val="22"/>
        </w:rPr>
      </w:pPr>
    </w:p>
    <w:p w14:paraId="59F4E9A3" w14:textId="77777777" w:rsidR="00AD5A09" w:rsidRPr="00A50C32" w:rsidRDefault="00AD5A09" w:rsidP="00AD5A09">
      <w:pPr>
        <w:rPr>
          <w:i/>
        </w:rPr>
      </w:pPr>
      <w:r w:rsidRPr="00A50C32">
        <w:rPr>
          <w:i/>
        </w:rPr>
        <w:t>Nepageidaujamų reakcijų santrauka lentelėje</w:t>
      </w:r>
    </w:p>
    <w:p w14:paraId="23B3EC81" w14:textId="77777777" w:rsidR="00AD5A09" w:rsidRPr="00A50C32" w:rsidRDefault="00AD5A09" w:rsidP="00AD5A09">
      <w:pPr>
        <w:rPr>
          <w:szCs w:val="22"/>
        </w:rPr>
      </w:pPr>
    </w:p>
    <w:p w14:paraId="4884E5FB" w14:textId="0305DE54" w:rsidR="00AD5A09" w:rsidRDefault="00AD5A09" w:rsidP="00AD5A09">
      <w:pPr>
        <w:rPr>
          <w:szCs w:val="22"/>
        </w:rPr>
      </w:pPr>
      <w:r>
        <w:rPr>
          <w:szCs w:val="22"/>
        </w:rPr>
        <w:t>Nepageidaujamų poveikių dažnumas, susijęs su gydymu GlucaGen, gautas klinikinių tyrimų metu ir/ ar pateikus vaistą į rinką, pateikiamas žemiau. Nepageidaujami poveikiai, kurie nepastebėti klinikinių tyrimų metu, bet buvo pranešti, apibrėžiami kaip „labai reti“. Pateikus vaistą į rinką, pranešimai apie rimtus šalutinius poveikius yra labai reti (&lt;1/10</w:t>
      </w:r>
      <w:r w:rsidR="006A7F16" w:rsidRPr="005D554B">
        <w:rPr>
          <w:snapToGrid w:val="0"/>
        </w:rPr>
        <w:t> </w:t>
      </w:r>
      <w:r>
        <w:rPr>
          <w:szCs w:val="22"/>
        </w:rPr>
        <w:t xml:space="preserve">000). Kadangi pateikus vaistą į rinką, ne visi nepageidaujami poveikiai pranešami, reikia atsižvelgti į tai. </w:t>
      </w:r>
    </w:p>
    <w:p w14:paraId="2D77B536" w14:textId="77777777" w:rsidR="00AD5A09" w:rsidRDefault="00AD5A09" w:rsidP="00AD5A09">
      <w:pPr>
        <w:rPr>
          <w:szCs w:val="22"/>
        </w:rPr>
      </w:pPr>
    </w:p>
    <w:p w14:paraId="646FA917" w14:textId="77777777" w:rsidR="00AD5A09" w:rsidRPr="00094EA0" w:rsidRDefault="00AD5A09" w:rsidP="00AD5A09">
      <w:pPr>
        <w:rPr>
          <w:szCs w:val="22"/>
          <w:u w:val="single"/>
        </w:rPr>
      </w:pPr>
      <w:r w:rsidRPr="00094EA0">
        <w:rPr>
          <w:szCs w:val="22"/>
          <w:u w:val="single"/>
        </w:rPr>
        <w:t>Terapinė indikacij</w:t>
      </w:r>
      <w:r>
        <w:rPr>
          <w:szCs w:val="22"/>
          <w:u w:val="single"/>
        </w:rPr>
        <w:t>a</w:t>
      </w:r>
    </w:p>
    <w:p w14:paraId="2AB6B458" w14:textId="77777777" w:rsidR="00AD5A09" w:rsidRDefault="00AD5A09" w:rsidP="00AD5A09">
      <w:pPr>
        <w:rPr>
          <w:szCs w:val="22"/>
        </w:rPr>
      </w:pP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3745"/>
      </w:tblGrid>
      <w:tr w:rsidR="00AD5A09" w:rsidRPr="002952C8" w14:paraId="06696C05" w14:textId="77777777" w:rsidTr="00FA196D">
        <w:trPr>
          <w:trHeight w:val="316"/>
        </w:trPr>
        <w:tc>
          <w:tcPr>
            <w:tcW w:w="2835" w:type="dxa"/>
          </w:tcPr>
          <w:p w14:paraId="3E315768" w14:textId="77777777" w:rsidR="00AD5A09" w:rsidRPr="00A50C32" w:rsidRDefault="00AD5A09" w:rsidP="00FA196D">
            <w:pPr>
              <w:rPr>
                <w:b/>
              </w:rPr>
            </w:pPr>
            <w:r w:rsidRPr="00A50C32">
              <w:rPr>
                <w:b/>
              </w:rPr>
              <w:t>Organų sistemų klasė</w:t>
            </w:r>
          </w:p>
        </w:tc>
        <w:tc>
          <w:tcPr>
            <w:tcW w:w="3261" w:type="dxa"/>
          </w:tcPr>
          <w:p w14:paraId="05F2F68B" w14:textId="77777777" w:rsidR="00AD5A09" w:rsidRPr="00A50C32" w:rsidRDefault="00AD5A09" w:rsidP="00FA196D">
            <w:pPr>
              <w:rPr>
                <w:b/>
              </w:rPr>
            </w:pPr>
            <w:r w:rsidRPr="00A50C32">
              <w:rPr>
                <w:b/>
              </w:rPr>
              <w:t>Dažnumas</w:t>
            </w:r>
          </w:p>
        </w:tc>
        <w:tc>
          <w:tcPr>
            <w:tcW w:w="3745" w:type="dxa"/>
          </w:tcPr>
          <w:p w14:paraId="54E8EA18" w14:textId="77777777" w:rsidR="00AD5A09" w:rsidRPr="00A50C32" w:rsidRDefault="00AD5A09" w:rsidP="00FA196D">
            <w:pPr>
              <w:rPr>
                <w:b/>
              </w:rPr>
            </w:pPr>
            <w:r w:rsidRPr="00A50C32">
              <w:rPr>
                <w:b/>
              </w:rPr>
              <w:t>Šalutinis poveikis</w:t>
            </w:r>
          </w:p>
        </w:tc>
      </w:tr>
      <w:tr w:rsidR="00AD5A09" w14:paraId="18121862" w14:textId="77777777" w:rsidTr="00FA196D">
        <w:tc>
          <w:tcPr>
            <w:tcW w:w="2835" w:type="dxa"/>
          </w:tcPr>
          <w:p w14:paraId="1561B25E" w14:textId="77777777" w:rsidR="00AD5A09" w:rsidRPr="00F71A1F" w:rsidRDefault="00AD5A09" w:rsidP="00FA196D">
            <w:r w:rsidRPr="00F71A1F">
              <w:rPr>
                <w:szCs w:val="22"/>
              </w:rPr>
              <w:t>Imuninės sistemos sutrikimai</w:t>
            </w:r>
          </w:p>
        </w:tc>
        <w:tc>
          <w:tcPr>
            <w:tcW w:w="3261" w:type="dxa"/>
          </w:tcPr>
          <w:p w14:paraId="60047C9D" w14:textId="0AA72BE8" w:rsidR="00AD5A09" w:rsidRPr="00F71A1F" w:rsidRDefault="00AD5A09" w:rsidP="00FA196D">
            <w:r w:rsidRPr="00F71A1F">
              <w:rPr>
                <w:szCs w:val="22"/>
              </w:rPr>
              <w:t xml:space="preserve">Labai reti </w:t>
            </w:r>
            <w:r>
              <w:rPr>
                <w:szCs w:val="22"/>
              </w:rPr>
              <w:t>&lt;</w:t>
            </w:r>
            <w:r w:rsidRPr="00F71A1F">
              <w:rPr>
                <w:szCs w:val="22"/>
              </w:rPr>
              <w:t>1</w:t>
            </w:r>
            <w:r w:rsidR="006A7F16" w:rsidRPr="005D554B">
              <w:rPr>
                <w:snapToGrid w:val="0"/>
              </w:rPr>
              <w:t> </w:t>
            </w:r>
            <w:r w:rsidRPr="00F71A1F">
              <w:rPr>
                <w:szCs w:val="22"/>
              </w:rPr>
              <w:t>/1</w:t>
            </w:r>
            <w:r w:rsidR="006A7F16" w:rsidRPr="005D554B">
              <w:rPr>
                <w:snapToGrid w:val="0"/>
              </w:rPr>
              <w:t> </w:t>
            </w:r>
            <w:r w:rsidRPr="00F71A1F">
              <w:rPr>
                <w:szCs w:val="22"/>
              </w:rPr>
              <w:t>0000</w:t>
            </w:r>
          </w:p>
        </w:tc>
        <w:tc>
          <w:tcPr>
            <w:tcW w:w="3745" w:type="dxa"/>
          </w:tcPr>
          <w:p w14:paraId="272D8348" w14:textId="77777777" w:rsidR="00AD5A09" w:rsidRPr="00F71A1F" w:rsidRDefault="00AD5A09" w:rsidP="00FA196D">
            <w:r w:rsidRPr="00F71A1F">
              <w:rPr>
                <w:szCs w:val="22"/>
              </w:rPr>
              <w:t>Padidėjusio jautrumo reakcijos, t. p. anafilaksinės reakcijos/šokas</w:t>
            </w:r>
          </w:p>
        </w:tc>
      </w:tr>
      <w:tr w:rsidR="00AD5A09" w14:paraId="5F495032" w14:textId="77777777" w:rsidTr="00FA196D">
        <w:tc>
          <w:tcPr>
            <w:tcW w:w="2835" w:type="dxa"/>
          </w:tcPr>
          <w:p w14:paraId="093E1610" w14:textId="77777777" w:rsidR="00AD5A09" w:rsidRPr="00F71A1F" w:rsidRDefault="00AD5A09" w:rsidP="00FA196D">
            <w:r w:rsidRPr="00F71A1F">
              <w:rPr>
                <w:szCs w:val="22"/>
              </w:rPr>
              <w:lastRenderedPageBreak/>
              <w:t>Virškinimo trakto sutrikimai</w:t>
            </w:r>
          </w:p>
        </w:tc>
        <w:tc>
          <w:tcPr>
            <w:tcW w:w="3261" w:type="dxa"/>
          </w:tcPr>
          <w:p w14:paraId="2DE1089B" w14:textId="768126AD" w:rsidR="00AD5A09" w:rsidRPr="00F71A1F" w:rsidRDefault="00AD5A09" w:rsidP="00FA196D">
            <w:r w:rsidRPr="00F71A1F">
              <w:rPr>
                <w:szCs w:val="22"/>
              </w:rPr>
              <w:t xml:space="preserve">Dažni </w:t>
            </w:r>
            <w:r>
              <w:rPr>
                <w:szCs w:val="22"/>
              </w:rPr>
              <w:t>nuo ≥</w:t>
            </w:r>
            <w:r w:rsidR="006A7F16" w:rsidRPr="005D554B">
              <w:rPr>
                <w:snapToGrid w:val="0"/>
              </w:rPr>
              <w:t> </w:t>
            </w:r>
            <w:r w:rsidRPr="00F71A1F">
              <w:rPr>
                <w:szCs w:val="22"/>
              </w:rPr>
              <w:t xml:space="preserve">1/100 </w:t>
            </w:r>
            <w:r>
              <w:rPr>
                <w:szCs w:val="22"/>
              </w:rPr>
              <w:t>iki</w:t>
            </w:r>
            <w:r w:rsidRPr="00F71A1F">
              <w:rPr>
                <w:szCs w:val="22"/>
              </w:rPr>
              <w:t xml:space="preserve"> &lt;</w:t>
            </w:r>
            <w:r w:rsidR="006A7F16" w:rsidRPr="005D554B">
              <w:rPr>
                <w:snapToGrid w:val="0"/>
              </w:rPr>
              <w:t> </w:t>
            </w:r>
            <w:r w:rsidRPr="00F71A1F">
              <w:rPr>
                <w:szCs w:val="22"/>
              </w:rPr>
              <w:t>1/10</w:t>
            </w:r>
          </w:p>
          <w:p w14:paraId="2D13DCE7" w14:textId="157E77FD" w:rsidR="00AD5A09" w:rsidRPr="00F71A1F" w:rsidRDefault="00AD5A09" w:rsidP="00FA196D">
            <w:r w:rsidRPr="00F71A1F">
              <w:rPr>
                <w:szCs w:val="22"/>
              </w:rPr>
              <w:t>Nedažni</w:t>
            </w:r>
            <w:r>
              <w:rPr>
                <w:szCs w:val="22"/>
              </w:rPr>
              <w:t xml:space="preserve"> nuo</w:t>
            </w:r>
            <w:r w:rsidRPr="00F71A1F">
              <w:rPr>
                <w:szCs w:val="22"/>
              </w:rPr>
              <w:t xml:space="preserve"> </w:t>
            </w:r>
            <w:r>
              <w:rPr>
                <w:szCs w:val="22"/>
              </w:rPr>
              <w:t>≥</w:t>
            </w:r>
            <w:r w:rsidR="006A7F16" w:rsidRPr="005D554B">
              <w:rPr>
                <w:snapToGrid w:val="0"/>
              </w:rPr>
              <w:t> </w:t>
            </w:r>
            <w:r w:rsidRPr="00F71A1F">
              <w:rPr>
                <w:szCs w:val="22"/>
              </w:rPr>
              <w:t>1/1</w:t>
            </w:r>
            <w:r w:rsidR="006A7F16" w:rsidRPr="005D554B">
              <w:rPr>
                <w:snapToGrid w:val="0"/>
              </w:rPr>
              <w:t> </w:t>
            </w:r>
            <w:r w:rsidRPr="00F71A1F">
              <w:rPr>
                <w:szCs w:val="22"/>
              </w:rPr>
              <w:t>000 i</w:t>
            </w:r>
            <w:r>
              <w:rPr>
                <w:szCs w:val="22"/>
              </w:rPr>
              <w:t>ki</w:t>
            </w:r>
            <w:r w:rsidRPr="00F71A1F">
              <w:rPr>
                <w:szCs w:val="22"/>
              </w:rPr>
              <w:t xml:space="preserve"> </w:t>
            </w:r>
            <w:r>
              <w:rPr>
                <w:szCs w:val="22"/>
              </w:rPr>
              <w:t>&lt;</w:t>
            </w:r>
            <w:r w:rsidRPr="00F71A1F">
              <w:rPr>
                <w:szCs w:val="22"/>
              </w:rPr>
              <w:t>1</w:t>
            </w:r>
            <w:r w:rsidR="006A7F16" w:rsidRPr="005D554B">
              <w:rPr>
                <w:snapToGrid w:val="0"/>
              </w:rPr>
              <w:t> </w:t>
            </w:r>
            <w:r w:rsidRPr="00F71A1F">
              <w:rPr>
                <w:szCs w:val="22"/>
              </w:rPr>
              <w:t>/100</w:t>
            </w:r>
          </w:p>
          <w:p w14:paraId="6E0E6567" w14:textId="1A75FEE2" w:rsidR="00AD5A09" w:rsidRPr="00F71A1F" w:rsidRDefault="00AD5A09" w:rsidP="00FA196D">
            <w:r w:rsidRPr="00F71A1F">
              <w:rPr>
                <w:szCs w:val="22"/>
              </w:rPr>
              <w:t xml:space="preserve">Reti </w:t>
            </w:r>
            <w:r>
              <w:rPr>
                <w:szCs w:val="22"/>
              </w:rPr>
              <w:t>nuo ≥</w:t>
            </w:r>
            <w:r w:rsidR="006A7F16" w:rsidRPr="005D554B">
              <w:rPr>
                <w:snapToGrid w:val="0"/>
              </w:rPr>
              <w:t> </w:t>
            </w:r>
            <w:r w:rsidRPr="00F71A1F">
              <w:rPr>
                <w:szCs w:val="22"/>
              </w:rPr>
              <w:t>1/10</w:t>
            </w:r>
            <w:r w:rsidR="006A7F16" w:rsidRPr="005D554B">
              <w:rPr>
                <w:snapToGrid w:val="0"/>
              </w:rPr>
              <w:t> </w:t>
            </w:r>
            <w:r w:rsidRPr="00F71A1F">
              <w:rPr>
                <w:szCs w:val="22"/>
              </w:rPr>
              <w:t>000 i</w:t>
            </w:r>
            <w:r>
              <w:rPr>
                <w:szCs w:val="22"/>
              </w:rPr>
              <w:t>ki</w:t>
            </w:r>
            <w:r w:rsidRPr="00F71A1F">
              <w:rPr>
                <w:szCs w:val="22"/>
              </w:rPr>
              <w:t xml:space="preserve"> </w:t>
            </w:r>
            <w:r>
              <w:rPr>
                <w:szCs w:val="22"/>
              </w:rPr>
              <w:t>&lt;</w:t>
            </w:r>
            <w:r w:rsidR="006A7F16" w:rsidRPr="005D554B">
              <w:rPr>
                <w:snapToGrid w:val="0"/>
              </w:rPr>
              <w:t> </w:t>
            </w:r>
            <w:r w:rsidRPr="00F71A1F">
              <w:rPr>
                <w:szCs w:val="22"/>
              </w:rPr>
              <w:t>1/1</w:t>
            </w:r>
            <w:r w:rsidR="006A7F16" w:rsidRPr="005D554B">
              <w:rPr>
                <w:snapToGrid w:val="0"/>
              </w:rPr>
              <w:t> </w:t>
            </w:r>
            <w:r w:rsidRPr="00F71A1F">
              <w:rPr>
                <w:szCs w:val="22"/>
              </w:rPr>
              <w:t>000</w:t>
            </w:r>
          </w:p>
        </w:tc>
        <w:tc>
          <w:tcPr>
            <w:tcW w:w="3745" w:type="dxa"/>
          </w:tcPr>
          <w:p w14:paraId="3955184E" w14:textId="77777777" w:rsidR="00AD5A09" w:rsidRPr="00F71A1F" w:rsidRDefault="00AD5A09" w:rsidP="00FA196D">
            <w:r>
              <w:rPr>
                <w:szCs w:val="22"/>
              </w:rPr>
              <w:t>Pykinimas</w:t>
            </w:r>
          </w:p>
          <w:p w14:paraId="109233CB" w14:textId="77777777" w:rsidR="00AD5A09" w:rsidRPr="00F71A1F" w:rsidRDefault="00AD5A09" w:rsidP="00FA196D">
            <w:r w:rsidRPr="00F71A1F">
              <w:rPr>
                <w:szCs w:val="22"/>
              </w:rPr>
              <w:t>Vėmimas</w:t>
            </w:r>
          </w:p>
          <w:p w14:paraId="53D9A2D9" w14:textId="77777777" w:rsidR="00AD5A09" w:rsidRPr="00F71A1F" w:rsidRDefault="00AD5A09" w:rsidP="00FA196D">
            <w:r w:rsidRPr="00F71A1F">
              <w:rPr>
                <w:szCs w:val="22"/>
              </w:rPr>
              <w:t>Pilvo skausmas</w:t>
            </w:r>
          </w:p>
        </w:tc>
      </w:tr>
      <w:tr w:rsidR="003F0A5C" w14:paraId="09D332A0" w14:textId="77777777" w:rsidTr="00FA196D">
        <w:tc>
          <w:tcPr>
            <w:tcW w:w="2835" w:type="dxa"/>
          </w:tcPr>
          <w:p w14:paraId="12833CF6" w14:textId="53EDB97C" w:rsidR="003F0A5C" w:rsidRPr="00F71A1F" w:rsidRDefault="003F0A5C" w:rsidP="003F0A5C">
            <w:pPr>
              <w:rPr>
                <w:szCs w:val="22"/>
              </w:rPr>
            </w:pPr>
            <w:r w:rsidRPr="005A7976">
              <w:t xml:space="preserve">Bendrieji sutrikimai ir vartojimo vietos pažeidimai </w:t>
            </w:r>
          </w:p>
        </w:tc>
        <w:tc>
          <w:tcPr>
            <w:tcW w:w="3261" w:type="dxa"/>
          </w:tcPr>
          <w:p w14:paraId="4FC659FF" w14:textId="065CA5A7" w:rsidR="003F0A5C" w:rsidRPr="00F71A1F" w:rsidRDefault="005A487A" w:rsidP="003F0A5C">
            <w:pPr>
              <w:rPr>
                <w:szCs w:val="22"/>
              </w:rPr>
            </w:pPr>
            <w:r>
              <w:rPr>
                <w:snapToGrid w:val="0"/>
              </w:rPr>
              <w:t>D</w:t>
            </w:r>
            <w:r w:rsidRPr="005A487A">
              <w:rPr>
                <w:snapToGrid w:val="0"/>
              </w:rPr>
              <w:t xml:space="preserve">ažnis nežinomas </w:t>
            </w:r>
            <w:r w:rsidRPr="005D554B">
              <w:rPr>
                <w:snapToGrid w:val="0"/>
              </w:rPr>
              <w:t>(negali būti apskaičiuotas pagal turimus duomenis)</w:t>
            </w:r>
          </w:p>
        </w:tc>
        <w:tc>
          <w:tcPr>
            <w:tcW w:w="3745" w:type="dxa"/>
          </w:tcPr>
          <w:p w14:paraId="0777610F" w14:textId="4B0A84AA" w:rsidR="003F0A5C" w:rsidRDefault="005A487A" w:rsidP="005A487A">
            <w:pPr>
              <w:pStyle w:val="Default"/>
              <w:rPr>
                <w:szCs w:val="22"/>
              </w:rPr>
            </w:pPr>
            <w:r>
              <w:rPr>
                <w:sz w:val="22"/>
                <w:szCs w:val="22"/>
              </w:rPr>
              <w:t>Injekcijos vietos reakcijos</w:t>
            </w:r>
          </w:p>
        </w:tc>
      </w:tr>
    </w:tbl>
    <w:p w14:paraId="1A96878D" w14:textId="77777777" w:rsidR="00AD5A09" w:rsidRDefault="00AD5A09" w:rsidP="00AD5A09">
      <w:pPr>
        <w:rPr>
          <w:szCs w:val="22"/>
        </w:rPr>
      </w:pPr>
    </w:p>
    <w:p w14:paraId="1BDAE997" w14:textId="77777777" w:rsidR="00AD5A09" w:rsidRPr="00C9581F" w:rsidRDefault="00AD5A09" w:rsidP="00AD5A09">
      <w:pPr>
        <w:autoSpaceDE w:val="0"/>
        <w:autoSpaceDN w:val="0"/>
        <w:adjustRightInd w:val="0"/>
        <w:rPr>
          <w:rFonts w:ascii="TimesNewRomanPSMT" w:hAnsi="TimesNewRomanPSMT" w:cs="TimesNewRomanPSMT"/>
          <w:i/>
          <w:szCs w:val="22"/>
        </w:rPr>
      </w:pPr>
      <w:r>
        <w:rPr>
          <w:rFonts w:ascii="TimesNewRomanPSMT" w:hAnsi="TimesNewRomanPSMT" w:cs="TimesNewRomanPSMT"/>
          <w:i/>
          <w:szCs w:val="22"/>
        </w:rPr>
        <w:t>Vaikų populiacija</w:t>
      </w:r>
    </w:p>
    <w:p w14:paraId="384016A1" w14:textId="77777777" w:rsidR="00AD5A09" w:rsidRPr="00C9581F" w:rsidRDefault="00AD5A09" w:rsidP="00AD5A09">
      <w:pPr>
        <w:autoSpaceDE w:val="0"/>
        <w:autoSpaceDN w:val="0"/>
        <w:adjustRightInd w:val="0"/>
        <w:rPr>
          <w:rFonts w:ascii="TimesNewRomanPSMT" w:hAnsi="TimesNewRomanPSMT" w:cs="TimesNewRomanPSMT"/>
          <w:i/>
          <w:szCs w:val="22"/>
        </w:rPr>
      </w:pPr>
    </w:p>
    <w:p w14:paraId="0DB0F0FD" w14:textId="77777777" w:rsidR="00AD5A09" w:rsidRPr="00C9581F" w:rsidRDefault="00AD5A09" w:rsidP="00AD5A09">
      <w:pPr>
        <w:autoSpaceDE w:val="0"/>
        <w:autoSpaceDN w:val="0"/>
        <w:adjustRightInd w:val="0"/>
        <w:rPr>
          <w:rFonts w:ascii="TimesNewRomanPSMT" w:hAnsi="TimesNewRomanPSMT" w:cs="TimesNewRomanPSMT"/>
          <w:szCs w:val="22"/>
        </w:rPr>
      </w:pPr>
      <w:r>
        <w:rPr>
          <w:rFonts w:ascii="TimesNewRomanPSMT" w:hAnsi="TimesNewRomanPSMT" w:cs="TimesNewRomanPSMT"/>
          <w:szCs w:val="22"/>
        </w:rPr>
        <w:t xml:space="preserve">Remiantis klinikinių tyrimų ir stebėjimo vaistinį preparatą pateikus į rinką duomenimis, manoma, kad nepageidaujamų reakcijų vaikams dažnis, tipas ir sunkumas bus tokie patys kaip suaugusiesiems. </w:t>
      </w:r>
    </w:p>
    <w:p w14:paraId="5819CCDC" w14:textId="77777777" w:rsidR="00AD5A09" w:rsidRPr="00C9581F" w:rsidRDefault="00AD5A09" w:rsidP="00AD5A09">
      <w:pPr>
        <w:autoSpaceDE w:val="0"/>
        <w:autoSpaceDN w:val="0"/>
        <w:adjustRightInd w:val="0"/>
        <w:rPr>
          <w:rFonts w:ascii="TimesNewRomanPSMT" w:hAnsi="TimesNewRomanPSMT" w:cs="TimesNewRomanPSMT"/>
          <w:szCs w:val="22"/>
        </w:rPr>
      </w:pPr>
    </w:p>
    <w:p w14:paraId="70D5018A" w14:textId="77777777" w:rsidR="00AD5A09" w:rsidRPr="00C9581F" w:rsidRDefault="00AD5A09" w:rsidP="00AD5A09">
      <w:pPr>
        <w:autoSpaceDE w:val="0"/>
        <w:autoSpaceDN w:val="0"/>
        <w:adjustRightInd w:val="0"/>
        <w:rPr>
          <w:rFonts w:ascii="TimesNewRomanPSMT" w:hAnsi="TimesNewRomanPSMT" w:cs="TimesNewRomanPSMT"/>
          <w:i/>
          <w:szCs w:val="22"/>
        </w:rPr>
      </w:pPr>
      <w:r>
        <w:rPr>
          <w:rFonts w:ascii="TimesNewRomanPSMT" w:hAnsi="TimesNewRomanPSMT" w:cs="TimesNewRomanPSMT"/>
          <w:i/>
          <w:szCs w:val="22"/>
        </w:rPr>
        <w:t>Kitos specialios populiacijos</w:t>
      </w:r>
    </w:p>
    <w:p w14:paraId="36A9015F" w14:textId="77777777" w:rsidR="00AD5A09" w:rsidRPr="00C9581F" w:rsidRDefault="00AD5A09" w:rsidP="00AD5A09">
      <w:pPr>
        <w:autoSpaceDE w:val="0"/>
        <w:autoSpaceDN w:val="0"/>
        <w:adjustRightInd w:val="0"/>
        <w:rPr>
          <w:rFonts w:ascii="TimesNewRomanPSMT" w:hAnsi="TimesNewRomanPSMT" w:cs="TimesNewRomanPSMT"/>
          <w:i/>
          <w:szCs w:val="22"/>
        </w:rPr>
      </w:pPr>
    </w:p>
    <w:p w14:paraId="0CA66545" w14:textId="77777777" w:rsidR="00AD5A09" w:rsidRDefault="00AD5A09" w:rsidP="00AD5A09">
      <w:pPr>
        <w:rPr>
          <w:rFonts w:ascii="TimesNewRomanPSMT" w:hAnsi="TimesNewRomanPSMT" w:cs="TimesNewRomanPSMT"/>
          <w:szCs w:val="22"/>
        </w:rPr>
      </w:pPr>
      <w:r>
        <w:rPr>
          <w:rFonts w:ascii="TimesNewRomanPSMT" w:hAnsi="TimesNewRomanPSMT" w:cs="TimesNewRomanPSMT"/>
          <w:szCs w:val="22"/>
        </w:rPr>
        <w:t xml:space="preserve">Remiantis klinikinių tyrimų ir stebėjimo vaistą pateikus į rinką duomenimis, manoma, kad nepageidaujamų reakcijų senyviems pacientams ir pacientams, kurių inkstų ar kepenų veikla yra sutrikusi, dažnis, tipas ir sunkumas bus tokie patys kaip bendrai populiacijai. </w:t>
      </w:r>
    </w:p>
    <w:p w14:paraId="6687ADAE" w14:textId="77777777" w:rsidR="00AD5A09" w:rsidRPr="00322024" w:rsidRDefault="00AD5A09" w:rsidP="00AD5A09">
      <w:pPr>
        <w:rPr>
          <w:rFonts w:ascii="TimesNewRomanPSMT" w:hAnsi="TimesNewRomanPSMT"/>
        </w:rPr>
      </w:pPr>
    </w:p>
    <w:p w14:paraId="7E1ECD17" w14:textId="77777777" w:rsidR="00AD5A09" w:rsidRPr="00437BEA" w:rsidRDefault="00AD5A09" w:rsidP="00AD5A09">
      <w:pPr>
        <w:rPr>
          <w:bCs/>
          <w:u w:val="single"/>
        </w:rPr>
      </w:pPr>
      <w:r w:rsidRPr="00437BEA">
        <w:rPr>
          <w:bCs/>
          <w:u w:val="single"/>
        </w:rPr>
        <w:t>Diagnostinė indikacija</w:t>
      </w:r>
    </w:p>
    <w:p w14:paraId="7EAEE63C" w14:textId="77777777" w:rsidR="00AD5A09" w:rsidRDefault="00AD5A09" w:rsidP="00AD5A09">
      <w:pPr>
        <w:rPr>
          <w:szCs w:val="22"/>
        </w:rPr>
      </w:pP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604"/>
      </w:tblGrid>
      <w:tr w:rsidR="00AD5A09" w14:paraId="26F3D623" w14:textId="77777777" w:rsidTr="00FA196D">
        <w:tc>
          <w:tcPr>
            <w:tcW w:w="2977" w:type="dxa"/>
          </w:tcPr>
          <w:p w14:paraId="16C387CE" w14:textId="77777777" w:rsidR="00AD5A09" w:rsidRPr="00322024" w:rsidRDefault="00AD5A09" w:rsidP="00FA196D">
            <w:pPr>
              <w:overflowPunct w:val="0"/>
              <w:autoSpaceDE w:val="0"/>
              <w:autoSpaceDN w:val="0"/>
              <w:adjustRightInd w:val="0"/>
              <w:textAlignment w:val="baseline"/>
              <w:rPr>
                <w:b/>
              </w:rPr>
            </w:pPr>
            <w:r w:rsidRPr="00322024">
              <w:rPr>
                <w:b/>
              </w:rPr>
              <w:t>Organų sistemų klasė</w:t>
            </w:r>
          </w:p>
        </w:tc>
        <w:tc>
          <w:tcPr>
            <w:tcW w:w="3260" w:type="dxa"/>
          </w:tcPr>
          <w:p w14:paraId="663DB4FD" w14:textId="77777777" w:rsidR="00AD5A09" w:rsidRPr="00322024" w:rsidRDefault="00AD5A09" w:rsidP="00FA196D">
            <w:pPr>
              <w:overflowPunct w:val="0"/>
              <w:autoSpaceDE w:val="0"/>
              <w:autoSpaceDN w:val="0"/>
              <w:adjustRightInd w:val="0"/>
              <w:textAlignment w:val="baseline"/>
              <w:rPr>
                <w:b/>
              </w:rPr>
            </w:pPr>
            <w:r w:rsidRPr="00322024">
              <w:rPr>
                <w:b/>
              </w:rPr>
              <w:t>Dažnumas</w:t>
            </w:r>
          </w:p>
        </w:tc>
        <w:tc>
          <w:tcPr>
            <w:tcW w:w="3604" w:type="dxa"/>
          </w:tcPr>
          <w:p w14:paraId="68552EDD" w14:textId="77777777" w:rsidR="00AD5A09" w:rsidRPr="00322024" w:rsidRDefault="00AD5A09" w:rsidP="00FA196D">
            <w:pPr>
              <w:overflowPunct w:val="0"/>
              <w:autoSpaceDE w:val="0"/>
              <w:autoSpaceDN w:val="0"/>
              <w:adjustRightInd w:val="0"/>
              <w:textAlignment w:val="baseline"/>
              <w:rPr>
                <w:b/>
              </w:rPr>
            </w:pPr>
            <w:r w:rsidRPr="00322024">
              <w:rPr>
                <w:b/>
              </w:rPr>
              <w:t>Šalutinis poveikis</w:t>
            </w:r>
          </w:p>
        </w:tc>
      </w:tr>
      <w:tr w:rsidR="00AD5A09" w14:paraId="1FD875BD" w14:textId="77777777" w:rsidTr="00FA196D">
        <w:tc>
          <w:tcPr>
            <w:tcW w:w="2977" w:type="dxa"/>
          </w:tcPr>
          <w:p w14:paraId="736ACE3C" w14:textId="77777777" w:rsidR="00AD5A09" w:rsidRPr="00F71A1F" w:rsidRDefault="00AD5A09" w:rsidP="00FA196D">
            <w:pPr>
              <w:overflowPunct w:val="0"/>
              <w:autoSpaceDE w:val="0"/>
              <w:autoSpaceDN w:val="0"/>
              <w:adjustRightInd w:val="0"/>
              <w:textAlignment w:val="baseline"/>
            </w:pPr>
            <w:r w:rsidRPr="00F71A1F">
              <w:rPr>
                <w:szCs w:val="22"/>
              </w:rPr>
              <w:t>Imuninės sistemos sutrikimai</w:t>
            </w:r>
          </w:p>
        </w:tc>
        <w:tc>
          <w:tcPr>
            <w:tcW w:w="3260" w:type="dxa"/>
          </w:tcPr>
          <w:p w14:paraId="6376C59C" w14:textId="279CFFA8" w:rsidR="00AD5A09" w:rsidRPr="00F71A1F" w:rsidRDefault="00AD5A09" w:rsidP="00FA196D">
            <w:pPr>
              <w:overflowPunct w:val="0"/>
              <w:autoSpaceDE w:val="0"/>
              <w:autoSpaceDN w:val="0"/>
              <w:adjustRightInd w:val="0"/>
              <w:textAlignment w:val="baseline"/>
            </w:pPr>
            <w:r w:rsidRPr="00F71A1F">
              <w:rPr>
                <w:szCs w:val="22"/>
              </w:rPr>
              <w:t xml:space="preserve">Labai reti </w:t>
            </w:r>
            <w:r>
              <w:rPr>
                <w:szCs w:val="22"/>
              </w:rPr>
              <w:t>&lt;</w:t>
            </w:r>
            <w:r w:rsidR="006A7F16" w:rsidRPr="005D554B">
              <w:rPr>
                <w:snapToGrid w:val="0"/>
              </w:rPr>
              <w:t> </w:t>
            </w:r>
            <w:r w:rsidRPr="00F71A1F">
              <w:rPr>
                <w:szCs w:val="22"/>
              </w:rPr>
              <w:t>1/10</w:t>
            </w:r>
            <w:r w:rsidR="006A7F16" w:rsidRPr="005D554B">
              <w:rPr>
                <w:snapToGrid w:val="0"/>
              </w:rPr>
              <w:t> </w:t>
            </w:r>
            <w:r w:rsidRPr="00F71A1F">
              <w:rPr>
                <w:szCs w:val="22"/>
              </w:rPr>
              <w:t>000</w:t>
            </w:r>
          </w:p>
        </w:tc>
        <w:tc>
          <w:tcPr>
            <w:tcW w:w="3604" w:type="dxa"/>
          </w:tcPr>
          <w:p w14:paraId="5E87EE93" w14:textId="77777777" w:rsidR="00AD5A09" w:rsidRPr="00F71A1F" w:rsidRDefault="00AD5A09" w:rsidP="00FA196D">
            <w:pPr>
              <w:overflowPunct w:val="0"/>
              <w:autoSpaceDE w:val="0"/>
              <w:autoSpaceDN w:val="0"/>
              <w:adjustRightInd w:val="0"/>
              <w:textAlignment w:val="baseline"/>
            </w:pPr>
            <w:r w:rsidRPr="00F71A1F">
              <w:rPr>
                <w:szCs w:val="22"/>
              </w:rPr>
              <w:t>Padidėjusio jautrumo reakcijos, t. p. anafilaksinės reakcijos/šokas</w:t>
            </w:r>
          </w:p>
        </w:tc>
      </w:tr>
      <w:tr w:rsidR="00AD5A09" w14:paraId="78096C29" w14:textId="77777777" w:rsidTr="00FA196D">
        <w:tc>
          <w:tcPr>
            <w:tcW w:w="2977" w:type="dxa"/>
          </w:tcPr>
          <w:p w14:paraId="4E29A28F" w14:textId="77777777" w:rsidR="00AD5A09" w:rsidRPr="00F71A1F" w:rsidRDefault="00AD5A09" w:rsidP="00FA196D">
            <w:pPr>
              <w:overflowPunct w:val="0"/>
              <w:autoSpaceDE w:val="0"/>
              <w:autoSpaceDN w:val="0"/>
              <w:adjustRightInd w:val="0"/>
              <w:textAlignment w:val="baseline"/>
            </w:pPr>
            <w:r w:rsidRPr="00F71A1F">
              <w:rPr>
                <w:szCs w:val="22"/>
              </w:rPr>
              <w:t>Metabolizmo ir mitybos sutrikimai</w:t>
            </w:r>
          </w:p>
        </w:tc>
        <w:tc>
          <w:tcPr>
            <w:tcW w:w="3260" w:type="dxa"/>
          </w:tcPr>
          <w:p w14:paraId="2E4E2C0E" w14:textId="58EBDBEF" w:rsidR="00AD5A09" w:rsidRPr="00F71A1F" w:rsidRDefault="00AD5A09" w:rsidP="00FA196D">
            <w:pPr>
              <w:overflowPunct w:val="0"/>
              <w:autoSpaceDE w:val="0"/>
              <w:autoSpaceDN w:val="0"/>
              <w:adjustRightInd w:val="0"/>
              <w:textAlignment w:val="baseline"/>
            </w:pPr>
            <w:r w:rsidRPr="00F71A1F">
              <w:rPr>
                <w:szCs w:val="22"/>
              </w:rPr>
              <w:t xml:space="preserve">Nedažni </w:t>
            </w:r>
            <w:r>
              <w:rPr>
                <w:szCs w:val="22"/>
              </w:rPr>
              <w:t>nuo ≥</w:t>
            </w:r>
            <w:r w:rsidR="006A7F16" w:rsidRPr="005D554B">
              <w:rPr>
                <w:snapToGrid w:val="0"/>
              </w:rPr>
              <w:t> </w:t>
            </w:r>
            <w:r w:rsidRPr="00F71A1F">
              <w:rPr>
                <w:szCs w:val="22"/>
              </w:rPr>
              <w:t>1/</w:t>
            </w:r>
            <w:r w:rsidR="006A7F16" w:rsidRPr="005D554B">
              <w:rPr>
                <w:snapToGrid w:val="0"/>
              </w:rPr>
              <w:t> </w:t>
            </w:r>
            <w:r w:rsidRPr="00F71A1F">
              <w:rPr>
                <w:szCs w:val="22"/>
              </w:rPr>
              <w:t>1000</w:t>
            </w:r>
            <w:r>
              <w:rPr>
                <w:szCs w:val="22"/>
              </w:rPr>
              <w:t xml:space="preserve"> iki</w:t>
            </w:r>
            <w:r w:rsidRPr="00F71A1F">
              <w:rPr>
                <w:szCs w:val="22"/>
              </w:rPr>
              <w:t xml:space="preserve"> </w:t>
            </w:r>
            <w:r>
              <w:rPr>
                <w:szCs w:val="22"/>
              </w:rPr>
              <w:t>&lt;</w:t>
            </w:r>
            <w:r w:rsidR="006A7F16" w:rsidRPr="005D554B">
              <w:rPr>
                <w:snapToGrid w:val="0"/>
              </w:rPr>
              <w:t> </w:t>
            </w:r>
            <w:r w:rsidRPr="00F71A1F">
              <w:rPr>
                <w:szCs w:val="22"/>
              </w:rPr>
              <w:t>1/100</w:t>
            </w:r>
          </w:p>
          <w:p w14:paraId="07FCE257" w14:textId="42EC8497" w:rsidR="00AD5A09" w:rsidRPr="00F71A1F" w:rsidRDefault="00AD5A09" w:rsidP="00FA196D">
            <w:pPr>
              <w:overflowPunct w:val="0"/>
              <w:autoSpaceDE w:val="0"/>
              <w:autoSpaceDN w:val="0"/>
              <w:adjustRightInd w:val="0"/>
              <w:textAlignment w:val="baseline"/>
            </w:pPr>
            <w:r w:rsidRPr="00F71A1F">
              <w:rPr>
                <w:szCs w:val="22"/>
              </w:rPr>
              <w:t xml:space="preserve">Labai reti </w:t>
            </w:r>
            <w:r>
              <w:rPr>
                <w:szCs w:val="22"/>
              </w:rPr>
              <w:t>&lt;</w:t>
            </w:r>
            <w:r w:rsidR="006A7F16" w:rsidRPr="005D554B">
              <w:rPr>
                <w:snapToGrid w:val="0"/>
              </w:rPr>
              <w:t> </w:t>
            </w:r>
            <w:r w:rsidRPr="00F71A1F">
              <w:rPr>
                <w:szCs w:val="22"/>
              </w:rPr>
              <w:t>1/10</w:t>
            </w:r>
            <w:r w:rsidR="006A7F16" w:rsidRPr="005D554B">
              <w:rPr>
                <w:snapToGrid w:val="0"/>
              </w:rPr>
              <w:t> </w:t>
            </w:r>
            <w:r w:rsidRPr="00F71A1F">
              <w:rPr>
                <w:szCs w:val="22"/>
              </w:rPr>
              <w:t>000</w:t>
            </w:r>
          </w:p>
        </w:tc>
        <w:tc>
          <w:tcPr>
            <w:tcW w:w="3604" w:type="dxa"/>
          </w:tcPr>
          <w:p w14:paraId="0B83E180" w14:textId="77777777" w:rsidR="00AD5A09" w:rsidRPr="00F71A1F" w:rsidRDefault="00AD5A09" w:rsidP="00FA196D">
            <w:pPr>
              <w:overflowPunct w:val="0"/>
              <w:autoSpaceDE w:val="0"/>
              <w:autoSpaceDN w:val="0"/>
              <w:adjustRightInd w:val="0"/>
              <w:textAlignment w:val="baseline"/>
            </w:pPr>
            <w:r w:rsidRPr="00F71A1F">
              <w:rPr>
                <w:szCs w:val="22"/>
              </w:rPr>
              <w:t>Hipoglikemija</w:t>
            </w:r>
            <w:r w:rsidRPr="00F71A1F">
              <w:rPr>
                <w:szCs w:val="22"/>
                <w:vertAlign w:val="superscript"/>
              </w:rPr>
              <w:t>*1</w:t>
            </w:r>
          </w:p>
          <w:p w14:paraId="5D6EA053" w14:textId="77777777" w:rsidR="00AD5A09" w:rsidRPr="00F71A1F" w:rsidRDefault="00AD5A09" w:rsidP="00FA196D">
            <w:pPr>
              <w:overflowPunct w:val="0"/>
              <w:autoSpaceDE w:val="0"/>
              <w:autoSpaceDN w:val="0"/>
              <w:adjustRightInd w:val="0"/>
              <w:textAlignment w:val="baseline"/>
            </w:pPr>
            <w:r w:rsidRPr="00F71A1F">
              <w:rPr>
                <w:szCs w:val="22"/>
              </w:rPr>
              <w:t>Hipoglikeminė koma</w:t>
            </w:r>
          </w:p>
        </w:tc>
      </w:tr>
      <w:tr w:rsidR="00AD5A09" w14:paraId="26E7D8A9" w14:textId="77777777" w:rsidTr="00FA196D">
        <w:tc>
          <w:tcPr>
            <w:tcW w:w="2977" w:type="dxa"/>
          </w:tcPr>
          <w:p w14:paraId="1C876333" w14:textId="77777777" w:rsidR="00AD5A09" w:rsidRPr="00F71A1F" w:rsidRDefault="00AD5A09" w:rsidP="00FA196D">
            <w:pPr>
              <w:overflowPunct w:val="0"/>
              <w:autoSpaceDE w:val="0"/>
              <w:autoSpaceDN w:val="0"/>
              <w:adjustRightInd w:val="0"/>
              <w:textAlignment w:val="baseline"/>
            </w:pPr>
            <w:r w:rsidRPr="00F71A1F">
              <w:rPr>
                <w:szCs w:val="22"/>
              </w:rPr>
              <w:t>Širdies sutrikimai</w:t>
            </w:r>
          </w:p>
        </w:tc>
        <w:tc>
          <w:tcPr>
            <w:tcW w:w="3260" w:type="dxa"/>
          </w:tcPr>
          <w:p w14:paraId="10F54A36" w14:textId="1B628D72" w:rsidR="00AD5A09" w:rsidRPr="00F71A1F" w:rsidRDefault="00AD5A09" w:rsidP="00FA196D">
            <w:pPr>
              <w:overflowPunct w:val="0"/>
              <w:autoSpaceDE w:val="0"/>
              <w:autoSpaceDN w:val="0"/>
              <w:adjustRightInd w:val="0"/>
              <w:textAlignment w:val="baseline"/>
            </w:pPr>
            <w:r w:rsidRPr="00F71A1F">
              <w:rPr>
                <w:szCs w:val="22"/>
              </w:rPr>
              <w:t xml:space="preserve">Labai reti </w:t>
            </w:r>
            <w:r>
              <w:rPr>
                <w:szCs w:val="22"/>
              </w:rPr>
              <w:t>&lt;</w:t>
            </w:r>
            <w:r w:rsidR="006A7F16" w:rsidRPr="005D554B">
              <w:rPr>
                <w:snapToGrid w:val="0"/>
              </w:rPr>
              <w:t> </w:t>
            </w:r>
            <w:r w:rsidRPr="00F71A1F">
              <w:rPr>
                <w:szCs w:val="22"/>
              </w:rPr>
              <w:t>1/10</w:t>
            </w:r>
            <w:r w:rsidR="006A7F16" w:rsidRPr="005D554B">
              <w:rPr>
                <w:snapToGrid w:val="0"/>
              </w:rPr>
              <w:t> </w:t>
            </w:r>
            <w:r w:rsidRPr="00F71A1F">
              <w:rPr>
                <w:szCs w:val="22"/>
              </w:rPr>
              <w:t>000</w:t>
            </w:r>
          </w:p>
        </w:tc>
        <w:tc>
          <w:tcPr>
            <w:tcW w:w="3604" w:type="dxa"/>
          </w:tcPr>
          <w:p w14:paraId="2D2CB350" w14:textId="77777777" w:rsidR="00AD5A09" w:rsidRPr="00F71A1F" w:rsidRDefault="00AD5A09" w:rsidP="00FA196D">
            <w:pPr>
              <w:overflowPunct w:val="0"/>
              <w:autoSpaceDE w:val="0"/>
              <w:autoSpaceDN w:val="0"/>
              <w:adjustRightInd w:val="0"/>
              <w:textAlignment w:val="baseline"/>
            </w:pPr>
            <w:r w:rsidRPr="00F71A1F">
              <w:rPr>
                <w:szCs w:val="22"/>
              </w:rPr>
              <w:t>Tachikardija</w:t>
            </w:r>
            <w:r w:rsidRPr="00F71A1F">
              <w:rPr>
                <w:szCs w:val="22"/>
                <w:vertAlign w:val="superscript"/>
              </w:rPr>
              <w:t>*2</w:t>
            </w:r>
          </w:p>
        </w:tc>
      </w:tr>
      <w:tr w:rsidR="00AD5A09" w14:paraId="6EA6ACC5" w14:textId="77777777" w:rsidTr="00FA196D">
        <w:tc>
          <w:tcPr>
            <w:tcW w:w="2977" w:type="dxa"/>
          </w:tcPr>
          <w:p w14:paraId="276F81A5" w14:textId="77777777" w:rsidR="00AD5A09" w:rsidRPr="00F71A1F" w:rsidRDefault="00AD5A09" w:rsidP="00FA196D">
            <w:pPr>
              <w:overflowPunct w:val="0"/>
              <w:autoSpaceDE w:val="0"/>
              <w:autoSpaceDN w:val="0"/>
              <w:adjustRightInd w:val="0"/>
              <w:textAlignment w:val="baseline"/>
            </w:pPr>
            <w:r w:rsidRPr="00F71A1F">
              <w:rPr>
                <w:szCs w:val="22"/>
              </w:rPr>
              <w:t>Kraujagyslių sutrikimai</w:t>
            </w:r>
          </w:p>
        </w:tc>
        <w:tc>
          <w:tcPr>
            <w:tcW w:w="3260" w:type="dxa"/>
          </w:tcPr>
          <w:p w14:paraId="7BCD5DE5" w14:textId="5A835926" w:rsidR="00AD5A09" w:rsidRPr="00F71A1F" w:rsidRDefault="00AD5A09" w:rsidP="00FA196D">
            <w:pPr>
              <w:overflowPunct w:val="0"/>
              <w:autoSpaceDE w:val="0"/>
              <w:autoSpaceDN w:val="0"/>
              <w:adjustRightInd w:val="0"/>
              <w:textAlignment w:val="baseline"/>
            </w:pPr>
            <w:r w:rsidRPr="00F71A1F">
              <w:rPr>
                <w:szCs w:val="22"/>
              </w:rPr>
              <w:t xml:space="preserve">Labai reti </w:t>
            </w:r>
            <w:r>
              <w:rPr>
                <w:szCs w:val="22"/>
              </w:rPr>
              <w:t>&lt;</w:t>
            </w:r>
            <w:r w:rsidRPr="00F71A1F">
              <w:rPr>
                <w:szCs w:val="22"/>
              </w:rPr>
              <w:t>1</w:t>
            </w:r>
            <w:r w:rsidR="006A7F16" w:rsidRPr="005D554B">
              <w:rPr>
                <w:snapToGrid w:val="0"/>
              </w:rPr>
              <w:t> </w:t>
            </w:r>
            <w:r w:rsidRPr="00F71A1F">
              <w:rPr>
                <w:szCs w:val="22"/>
              </w:rPr>
              <w:t>/10</w:t>
            </w:r>
            <w:r w:rsidR="006A7F16" w:rsidRPr="005D554B">
              <w:rPr>
                <w:snapToGrid w:val="0"/>
              </w:rPr>
              <w:t> </w:t>
            </w:r>
            <w:r w:rsidRPr="00F71A1F">
              <w:rPr>
                <w:szCs w:val="22"/>
              </w:rPr>
              <w:t>000</w:t>
            </w:r>
          </w:p>
          <w:p w14:paraId="10981AEC" w14:textId="531619A4" w:rsidR="00AD5A09" w:rsidRPr="00F71A1F" w:rsidRDefault="00AD5A09" w:rsidP="00FA196D">
            <w:pPr>
              <w:overflowPunct w:val="0"/>
              <w:autoSpaceDE w:val="0"/>
              <w:autoSpaceDN w:val="0"/>
              <w:adjustRightInd w:val="0"/>
              <w:textAlignment w:val="baseline"/>
            </w:pPr>
            <w:r w:rsidRPr="00F71A1F">
              <w:rPr>
                <w:szCs w:val="22"/>
              </w:rPr>
              <w:t xml:space="preserve">Labai reti </w:t>
            </w:r>
            <w:r>
              <w:rPr>
                <w:szCs w:val="22"/>
              </w:rPr>
              <w:t>&lt;</w:t>
            </w:r>
            <w:r w:rsidR="006A7F16" w:rsidRPr="005D554B">
              <w:rPr>
                <w:snapToGrid w:val="0"/>
              </w:rPr>
              <w:t> </w:t>
            </w:r>
            <w:r w:rsidRPr="00F71A1F">
              <w:rPr>
                <w:szCs w:val="22"/>
              </w:rPr>
              <w:t>1/10</w:t>
            </w:r>
            <w:r w:rsidR="006A7F16" w:rsidRPr="005D554B">
              <w:rPr>
                <w:snapToGrid w:val="0"/>
              </w:rPr>
              <w:t> </w:t>
            </w:r>
            <w:r w:rsidRPr="00F71A1F">
              <w:rPr>
                <w:szCs w:val="22"/>
              </w:rPr>
              <w:t>000</w:t>
            </w:r>
          </w:p>
        </w:tc>
        <w:tc>
          <w:tcPr>
            <w:tcW w:w="3604" w:type="dxa"/>
          </w:tcPr>
          <w:p w14:paraId="364D859C" w14:textId="77777777" w:rsidR="00AD5A09" w:rsidRPr="00F71A1F" w:rsidRDefault="00AD5A09" w:rsidP="00FA196D">
            <w:pPr>
              <w:overflowPunct w:val="0"/>
              <w:autoSpaceDE w:val="0"/>
              <w:autoSpaceDN w:val="0"/>
              <w:adjustRightInd w:val="0"/>
              <w:textAlignment w:val="baseline"/>
            </w:pPr>
            <w:r w:rsidRPr="00F71A1F">
              <w:rPr>
                <w:szCs w:val="22"/>
              </w:rPr>
              <w:t>Hipotenzija</w:t>
            </w:r>
            <w:r w:rsidRPr="00F71A1F">
              <w:rPr>
                <w:szCs w:val="22"/>
                <w:vertAlign w:val="superscript"/>
              </w:rPr>
              <w:t>*2</w:t>
            </w:r>
          </w:p>
          <w:p w14:paraId="570B7C26" w14:textId="77777777" w:rsidR="00AD5A09" w:rsidRPr="00F71A1F" w:rsidRDefault="00AD5A09" w:rsidP="00FA196D">
            <w:pPr>
              <w:overflowPunct w:val="0"/>
              <w:autoSpaceDE w:val="0"/>
              <w:autoSpaceDN w:val="0"/>
              <w:adjustRightInd w:val="0"/>
              <w:textAlignment w:val="baseline"/>
            </w:pPr>
            <w:r w:rsidRPr="00F71A1F">
              <w:rPr>
                <w:szCs w:val="22"/>
              </w:rPr>
              <w:t>Hipertenzija</w:t>
            </w:r>
            <w:r w:rsidRPr="00F71A1F">
              <w:rPr>
                <w:szCs w:val="22"/>
                <w:vertAlign w:val="superscript"/>
              </w:rPr>
              <w:t>*2</w:t>
            </w:r>
          </w:p>
        </w:tc>
      </w:tr>
      <w:tr w:rsidR="00AD5A09" w14:paraId="3DAF6C56" w14:textId="77777777" w:rsidTr="00FA196D">
        <w:tc>
          <w:tcPr>
            <w:tcW w:w="2977" w:type="dxa"/>
          </w:tcPr>
          <w:p w14:paraId="0B3F0226" w14:textId="77777777" w:rsidR="00AD5A09" w:rsidRPr="00F71A1F" w:rsidRDefault="00AD5A09" w:rsidP="00FA196D">
            <w:pPr>
              <w:overflowPunct w:val="0"/>
              <w:autoSpaceDE w:val="0"/>
              <w:autoSpaceDN w:val="0"/>
              <w:adjustRightInd w:val="0"/>
              <w:textAlignment w:val="baseline"/>
            </w:pPr>
            <w:r w:rsidRPr="00F71A1F">
              <w:rPr>
                <w:szCs w:val="22"/>
              </w:rPr>
              <w:t>Virškinimo trakto sutrikimai</w:t>
            </w:r>
          </w:p>
        </w:tc>
        <w:tc>
          <w:tcPr>
            <w:tcW w:w="3260" w:type="dxa"/>
          </w:tcPr>
          <w:p w14:paraId="0B421398" w14:textId="6F11C51A" w:rsidR="00AD5A09" w:rsidRPr="00F71A1F" w:rsidRDefault="00AD5A09" w:rsidP="00FA196D">
            <w:pPr>
              <w:overflowPunct w:val="0"/>
              <w:autoSpaceDE w:val="0"/>
              <w:autoSpaceDN w:val="0"/>
              <w:adjustRightInd w:val="0"/>
              <w:textAlignment w:val="baseline"/>
            </w:pPr>
            <w:r w:rsidRPr="00F71A1F">
              <w:rPr>
                <w:szCs w:val="22"/>
              </w:rPr>
              <w:t xml:space="preserve">Dažni </w:t>
            </w:r>
            <w:r>
              <w:rPr>
                <w:szCs w:val="22"/>
              </w:rPr>
              <w:t>nuo ≥</w:t>
            </w:r>
            <w:r w:rsidR="006A7F16" w:rsidRPr="005D554B">
              <w:rPr>
                <w:snapToGrid w:val="0"/>
              </w:rPr>
              <w:t> </w:t>
            </w:r>
            <w:r w:rsidRPr="00F71A1F">
              <w:rPr>
                <w:szCs w:val="22"/>
              </w:rPr>
              <w:t xml:space="preserve">1/100 </w:t>
            </w:r>
            <w:r>
              <w:rPr>
                <w:szCs w:val="22"/>
              </w:rPr>
              <w:t>iki</w:t>
            </w:r>
            <w:r w:rsidRPr="00F71A1F">
              <w:rPr>
                <w:szCs w:val="22"/>
              </w:rPr>
              <w:t xml:space="preserve"> &lt;</w:t>
            </w:r>
            <w:r w:rsidR="006A7F16" w:rsidRPr="005D554B">
              <w:rPr>
                <w:snapToGrid w:val="0"/>
              </w:rPr>
              <w:t> </w:t>
            </w:r>
            <w:r w:rsidRPr="00F71A1F">
              <w:rPr>
                <w:szCs w:val="22"/>
              </w:rPr>
              <w:t>1/10</w:t>
            </w:r>
          </w:p>
          <w:p w14:paraId="00F67302" w14:textId="11F9880F" w:rsidR="00AD5A09" w:rsidRPr="00F71A1F" w:rsidRDefault="00AD5A09" w:rsidP="00FA196D">
            <w:pPr>
              <w:overflowPunct w:val="0"/>
              <w:autoSpaceDE w:val="0"/>
              <w:autoSpaceDN w:val="0"/>
              <w:adjustRightInd w:val="0"/>
              <w:textAlignment w:val="baseline"/>
            </w:pPr>
            <w:r w:rsidRPr="00F71A1F">
              <w:rPr>
                <w:szCs w:val="22"/>
              </w:rPr>
              <w:t xml:space="preserve">Nedažni </w:t>
            </w:r>
            <w:r>
              <w:rPr>
                <w:szCs w:val="22"/>
              </w:rPr>
              <w:t>nuo ≥</w:t>
            </w:r>
            <w:r w:rsidR="006A7F16" w:rsidRPr="005D554B">
              <w:rPr>
                <w:snapToGrid w:val="0"/>
              </w:rPr>
              <w:t> </w:t>
            </w:r>
            <w:r w:rsidRPr="00F71A1F">
              <w:rPr>
                <w:szCs w:val="22"/>
              </w:rPr>
              <w:t>1/1</w:t>
            </w:r>
            <w:r w:rsidR="006A7F16" w:rsidRPr="005D554B">
              <w:rPr>
                <w:snapToGrid w:val="0"/>
              </w:rPr>
              <w:t> </w:t>
            </w:r>
            <w:r w:rsidRPr="00F71A1F">
              <w:rPr>
                <w:szCs w:val="22"/>
              </w:rPr>
              <w:t xml:space="preserve">000 </w:t>
            </w:r>
            <w:r>
              <w:rPr>
                <w:szCs w:val="22"/>
              </w:rPr>
              <w:t>iki</w:t>
            </w:r>
            <w:r w:rsidRPr="00F71A1F">
              <w:rPr>
                <w:szCs w:val="22"/>
              </w:rPr>
              <w:t xml:space="preserve"> </w:t>
            </w:r>
            <w:r>
              <w:rPr>
                <w:szCs w:val="22"/>
              </w:rPr>
              <w:t>&lt;</w:t>
            </w:r>
            <w:r w:rsidR="006A7F16" w:rsidRPr="005D554B">
              <w:rPr>
                <w:snapToGrid w:val="0"/>
              </w:rPr>
              <w:t> </w:t>
            </w:r>
            <w:r w:rsidRPr="00F71A1F">
              <w:rPr>
                <w:szCs w:val="22"/>
              </w:rPr>
              <w:t>1/100</w:t>
            </w:r>
          </w:p>
          <w:p w14:paraId="09A6BD77" w14:textId="0BC3E415" w:rsidR="00AD5A09" w:rsidRPr="00F71A1F" w:rsidRDefault="00AD5A09" w:rsidP="00FA196D">
            <w:pPr>
              <w:overflowPunct w:val="0"/>
              <w:autoSpaceDE w:val="0"/>
              <w:autoSpaceDN w:val="0"/>
              <w:adjustRightInd w:val="0"/>
              <w:textAlignment w:val="baseline"/>
            </w:pPr>
            <w:r w:rsidRPr="00F71A1F">
              <w:rPr>
                <w:szCs w:val="22"/>
              </w:rPr>
              <w:t xml:space="preserve">Reti </w:t>
            </w:r>
            <w:r>
              <w:rPr>
                <w:szCs w:val="22"/>
              </w:rPr>
              <w:t>nuo ≥</w:t>
            </w:r>
            <w:r w:rsidR="006A7F16" w:rsidRPr="005D554B">
              <w:rPr>
                <w:snapToGrid w:val="0"/>
              </w:rPr>
              <w:t> </w:t>
            </w:r>
            <w:r w:rsidRPr="00F71A1F">
              <w:rPr>
                <w:szCs w:val="22"/>
              </w:rPr>
              <w:t>1/10</w:t>
            </w:r>
            <w:r w:rsidR="006A7F16" w:rsidRPr="005D554B">
              <w:rPr>
                <w:snapToGrid w:val="0"/>
              </w:rPr>
              <w:t> </w:t>
            </w:r>
            <w:r w:rsidRPr="00F71A1F">
              <w:rPr>
                <w:szCs w:val="22"/>
              </w:rPr>
              <w:t xml:space="preserve">000 </w:t>
            </w:r>
            <w:r>
              <w:rPr>
                <w:szCs w:val="22"/>
              </w:rPr>
              <w:t>iki</w:t>
            </w:r>
            <w:r w:rsidRPr="00F71A1F">
              <w:rPr>
                <w:szCs w:val="22"/>
              </w:rPr>
              <w:t xml:space="preserve"> </w:t>
            </w:r>
            <w:r>
              <w:rPr>
                <w:szCs w:val="22"/>
              </w:rPr>
              <w:t>&lt;</w:t>
            </w:r>
            <w:r w:rsidR="006A7F16" w:rsidRPr="005D554B">
              <w:rPr>
                <w:snapToGrid w:val="0"/>
              </w:rPr>
              <w:t> </w:t>
            </w:r>
            <w:r w:rsidRPr="00F71A1F">
              <w:rPr>
                <w:szCs w:val="22"/>
              </w:rPr>
              <w:t>1/1</w:t>
            </w:r>
            <w:r w:rsidR="006A7F16" w:rsidRPr="005D554B">
              <w:rPr>
                <w:snapToGrid w:val="0"/>
              </w:rPr>
              <w:t> </w:t>
            </w:r>
            <w:r w:rsidRPr="00F71A1F">
              <w:rPr>
                <w:szCs w:val="22"/>
              </w:rPr>
              <w:t>000</w:t>
            </w:r>
          </w:p>
        </w:tc>
        <w:tc>
          <w:tcPr>
            <w:tcW w:w="3604" w:type="dxa"/>
          </w:tcPr>
          <w:p w14:paraId="5CBF3860" w14:textId="77777777" w:rsidR="00AD5A09" w:rsidRPr="00F71A1F" w:rsidRDefault="00AD5A09" w:rsidP="00FA196D">
            <w:pPr>
              <w:overflowPunct w:val="0"/>
              <w:autoSpaceDE w:val="0"/>
              <w:autoSpaceDN w:val="0"/>
              <w:adjustRightInd w:val="0"/>
              <w:textAlignment w:val="baseline"/>
            </w:pPr>
            <w:r>
              <w:rPr>
                <w:szCs w:val="22"/>
              </w:rPr>
              <w:t>Pykinimas</w:t>
            </w:r>
          </w:p>
          <w:p w14:paraId="2EE29E6B" w14:textId="77777777" w:rsidR="00AD5A09" w:rsidRPr="00F71A1F" w:rsidRDefault="00AD5A09" w:rsidP="00FA196D">
            <w:pPr>
              <w:overflowPunct w:val="0"/>
              <w:autoSpaceDE w:val="0"/>
              <w:autoSpaceDN w:val="0"/>
              <w:adjustRightInd w:val="0"/>
              <w:textAlignment w:val="baseline"/>
            </w:pPr>
            <w:r w:rsidRPr="00F71A1F">
              <w:rPr>
                <w:szCs w:val="22"/>
              </w:rPr>
              <w:t>Vėmimas</w:t>
            </w:r>
          </w:p>
          <w:p w14:paraId="46E44171" w14:textId="77777777" w:rsidR="00AD5A09" w:rsidRPr="00F71A1F" w:rsidRDefault="00AD5A09" w:rsidP="00FA196D">
            <w:pPr>
              <w:overflowPunct w:val="0"/>
              <w:autoSpaceDE w:val="0"/>
              <w:autoSpaceDN w:val="0"/>
              <w:adjustRightInd w:val="0"/>
              <w:textAlignment w:val="baseline"/>
            </w:pPr>
            <w:r w:rsidRPr="00F71A1F">
              <w:rPr>
                <w:szCs w:val="22"/>
              </w:rPr>
              <w:t>Pilvo skausmas</w:t>
            </w:r>
          </w:p>
        </w:tc>
      </w:tr>
      <w:tr w:rsidR="005A487A" w14:paraId="789B8249" w14:textId="77777777" w:rsidTr="00FA196D">
        <w:tc>
          <w:tcPr>
            <w:tcW w:w="2977" w:type="dxa"/>
          </w:tcPr>
          <w:p w14:paraId="4A8A038C" w14:textId="6D1244EC" w:rsidR="005A487A" w:rsidRPr="00F71A1F" w:rsidRDefault="005A487A" w:rsidP="005A487A">
            <w:pPr>
              <w:overflowPunct w:val="0"/>
              <w:autoSpaceDE w:val="0"/>
              <w:autoSpaceDN w:val="0"/>
              <w:adjustRightInd w:val="0"/>
              <w:textAlignment w:val="baseline"/>
              <w:rPr>
                <w:szCs w:val="22"/>
              </w:rPr>
            </w:pPr>
            <w:r w:rsidRPr="005A7976">
              <w:t>Bendrieji sutrikimai ir vartojimo vietos pažeidimai</w:t>
            </w:r>
          </w:p>
        </w:tc>
        <w:tc>
          <w:tcPr>
            <w:tcW w:w="3260" w:type="dxa"/>
          </w:tcPr>
          <w:p w14:paraId="2BB6E182" w14:textId="155D556F" w:rsidR="005A487A" w:rsidRPr="00F71A1F" w:rsidRDefault="005A487A" w:rsidP="005A487A">
            <w:pPr>
              <w:overflowPunct w:val="0"/>
              <w:autoSpaceDE w:val="0"/>
              <w:autoSpaceDN w:val="0"/>
              <w:adjustRightInd w:val="0"/>
              <w:textAlignment w:val="baseline"/>
              <w:rPr>
                <w:szCs w:val="22"/>
              </w:rPr>
            </w:pPr>
            <w:r>
              <w:rPr>
                <w:snapToGrid w:val="0"/>
              </w:rPr>
              <w:t>D</w:t>
            </w:r>
            <w:r w:rsidRPr="005A487A">
              <w:rPr>
                <w:snapToGrid w:val="0"/>
              </w:rPr>
              <w:t xml:space="preserve">ažnis nežinomas </w:t>
            </w:r>
            <w:r w:rsidRPr="005D554B">
              <w:rPr>
                <w:snapToGrid w:val="0"/>
              </w:rPr>
              <w:t>(negali būti apskaičiuotas pagal turimus duomenis)</w:t>
            </w:r>
          </w:p>
        </w:tc>
        <w:tc>
          <w:tcPr>
            <w:tcW w:w="3604" w:type="dxa"/>
          </w:tcPr>
          <w:p w14:paraId="21F6154A" w14:textId="38A32DE2" w:rsidR="005A487A" w:rsidRDefault="005A487A" w:rsidP="005A487A">
            <w:pPr>
              <w:overflowPunct w:val="0"/>
              <w:autoSpaceDE w:val="0"/>
              <w:autoSpaceDN w:val="0"/>
              <w:adjustRightInd w:val="0"/>
              <w:textAlignment w:val="baseline"/>
              <w:rPr>
                <w:szCs w:val="22"/>
              </w:rPr>
            </w:pPr>
            <w:r>
              <w:rPr>
                <w:szCs w:val="22"/>
              </w:rPr>
              <w:t>Injekcijos vietos reakcijos</w:t>
            </w:r>
          </w:p>
        </w:tc>
      </w:tr>
    </w:tbl>
    <w:p w14:paraId="0DDBE262" w14:textId="77777777" w:rsidR="00AD5A09" w:rsidRPr="00390C97" w:rsidRDefault="00AD5A09" w:rsidP="00AD5A09">
      <w:pPr>
        <w:rPr>
          <w:sz w:val="18"/>
        </w:rPr>
      </w:pPr>
      <w:r w:rsidRPr="00322024">
        <w:rPr>
          <w:sz w:val="18"/>
          <w:vertAlign w:val="superscript"/>
        </w:rPr>
        <w:t>*1</w:t>
      </w:r>
      <w:r w:rsidRPr="00322024">
        <w:rPr>
          <w:sz w:val="18"/>
        </w:rPr>
        <w:t xml:space="preserve"> Labiau tikėtina pacientams, kurie badauja prieš diagnostines procedūras (žr. 4.4 </w:t>
      </w:r>
      <w:r w:rsidRPr="00390C97">
        <w:rPr>
          <w:sz w:val="18"/>
        </w:rPr>
        <w:t>skyrių).</w:t>
      </w:r>
    </w:p>
    <w:p w14:paraId="4788737D" w14:textId="77777777" w:rsidR="00AD5A09" w:rsidRPr="00322024" w:rsidRDefault="00AD5A09" w:rsidP="00AD5A09">
      <w:pPr>
        <w:rPr>
          <w:sz w:val="18"/>
        </w:rPr>
      </w:pPr>
    </w:p>
    <w:p w14:paraId="58C34A7D" w14:textId="77777777" w:rsidR="00AD5A09" w:rsidRPr="00322024" w:rsidRDefault="00AD5A09" w:rsidP="00AD5A09">
      <w:pPr>
        <w:rPr>
          <w:sz w:val="18"/>
        </w:rPr>
      </w:pPr>
      <w:r w:rsidRPr="00322024">
        <w:rPr>
          <w:sz w:val="18"/>
          <w:vertAlign w:val="superscript"/>
        </w:rPr>
        <w:t>*2</w:t>
      </w:r>
      <w:r w:rsidRPr="00322024">
        <w:rPr>
          <w:sz w:val="18"/>
        </w:rPr>
        <w:t xml:space="preserve"> </w:t>
      </w:r>
      <w:r>
        <w:rPr>
          <w:sz w:val="18"/>
        </w:rPr>
        <w:t>Apie š</w:t>
      </w:r>
      <w:r w:rsidRPr="00322024">
        <w:rPr>
          <w:sz w:val="18"/>
        </w:rPr>
        <w:t>irdies ir kraujagyslių sutrikim</w:t>
      </w:r>
      <w:r>
        <w:rPr>
          <w:sz w:val="18"/>
        </w:rPr>
        <w:t>us</w:t>
      </w:r>
      <w:r w:rsidRPr="00322024">
        <w:rPr>
          <w:sz w:val="18"/>
        </w:rPr>
        <w:t xml:space="preserve"> buvo pranešt</w:t>
      </w:r>
      <w:r>
        <w:rPr>
          <w:sz w:val="18"/>
        </w:rPr>
        <w:t>a</w:t>
      </w:r>
      <w:r w:rsidRPr="00322024">
        <w:rPr>
          <w:sz w:val="18"/>
        </w:rPr>
        <w:t xml:space="preserve"> tik, kai </w:t>
      </w:r>
      <w:r w:rsidRPr="00B30C6D">
        <w:rPr>
          <w:sz w:val="18"/>
        </w:rPr>
        <w:t>gliukagonas</w:t>
      </w:r>
      <w:r w:rsidRPr="00322024">
        <w:rPr>
          <w:sz w:val="18"/>
        </w:rPr>
        <w:t xml:space="preserve"> buvo papildomai naudojamas endoskopijos ar radiografijos procedūrose.</w:t>
      </w:r>
    </w:p>
    <w:p w14:paraId="570D9392" w14:textId="77777777" w:rsidR="00AD5A09" w:rsidRDefault="00AD5A09" w:rsidP="00AD5A09">
      <w:pPr>
        <w:rPr>
          <w:szCs w:val="22"/>
        </w:rPr>
      </w:pPr>
    </w:p>
    <w:p w14:paraId="3EE33309" w14:textId="77777777" w:rsidR="00AD5A09" w:rsidRPr="00C9581F" w:rsidRDefault="00AD5A09" w:rsidP="00AD5A09">
      <w:pPr>
        <w:autoSpaceDE w:val="0"/>
        <w:autoSpaceDN w:val="0"/>
        <w:adjustRightInd w:val="0"/>
        <w:rPr>
          <w:rFonts w:ascii="TimesNewRomanPSMT" w:hAnsi="TimesNewRomanPSMT" w:cs="TimesNewRomanPSMT"/>
          <w:i/>
          <w:szCs w:val="22"/>
        </w:rPr>
      </w:pPr>
      <w:r>
        <w:rPr>
          <w:rFonts w:ascii="TimesNewRomanPSMT" w:hAnsi="TimesNewRomanPSMT" w:cs="TimesNewRomanPSMT"/>
          <w:i/>
          <w:szCs w:val="22"/>
        </w:rPr>
        <w:t>Vaikų populiacija</w:t>
      </w:r>
    </w:p>
    <w:p w14:paraId="2D29C8CC" w14:textId="77777777" w:rsidR="00AD5A09" w:rsidRPr="00C9581F" w:rsidRDefault="00AD5A09" w:rsidP="00AD5A09">
      <w:pPr>
        <w:autoSpaceDE w:val="0"/>
        <w:autoSpaceDN w:val="0"/>
        <w:adjustRightInd w:val="0"/>
        <w:rPr>
          <w:rFonts w:ascii="TimesNewRomanPSMT" w:hAnsi="TimesNewRomanPSMT" w:cs="TimesNewRomanPSMT"/>
          <w:i/>
          <w:szCs w:val="22"/>
        </w:rPr>
      </w:pPr>
    </w:p>
    <w:p w14:paraId="3708FC7F" w14:textId="77777777" w:rsidR="00AD5A09" w:rsidRPr="00C9581F" w:rsidRDefault="00AD5A09" w:rsidP="00AD5A09">
      <w:pPr>
        <w:autoSpaceDE w:val="0"/>
        <w:autoSpaceDN w:val="0"/>
        <w:adjustRightInd w:val="0"/>
        <w:rPr>
          <w:rFonts w:ascii="TimesNewRomanPSMT" w:hAnsi="TimesNewRomanPSMT" w:cs="TimesNewRomanPSMT"/>
          <w:szCs w:val="22"/>
        </w:rPr>
      </w:pPr>
      <w:r w:rsidRPr="00924EFA">
        <w:rPr>
          <w:rFonts w:ascii="TimesNewRomanPSMT" w:hAnsi="TimesNewRomanPSMT" w:cs="TimesNewRomanPSMT"/>
          <w:szCs w:val="22"/>
        </w:rPr>
        <w:t>Apie GlucaGen vartojimą vaikams diagnozavimo tikslais duomenų nėra.</w:t>
      </w:r>
    </w:p>
    <w:p w14:paraId="6ECB6B6D" w14:textId="77777777" w:rsidR="00AD5A09" w:rsidRPr="00C9581F" w:rsidRDefault="00AD5A09" w:rsidP="00AD5A09">
      <w:pPr>
        <w:autoSpaceDE w:val="0"/>
        <w:autoSpaceDN w:val="0"/>
        <w:adjustRightInd w:val="0"/>
        <w:rPr>
          <w:rFonts w:ascii="TimesNewRomanPSMT" w:hAnsi="TimesNewRomanPSMT" w:cs="TimesNewRomanPSMT"/>
          <w:szCs w:val="22"/>
        </w:rPr>
      </w:pPr>
    </w:p>
    <w:p w14:paraId="0CE525E5" w14:textId="77777777" w:rsidR="00AD5A09" w:rsidRPr="00C9581F" w:rsidRDefault="00AD5A09" w:rsidP="00AD5A09">
      <w:pPr>
        <w:autoSpaceDE w:val="0"/>
        <w:autoSpaceDN w:val="0"/>
        <w:adjustRightInd w:val="0"/>
        <w:rPr>
          <w:rFonts w:ascii="TimesNewRomanPSMT" w:hAnsi="TimesNewRomanPSMT" w:cs="TimesNewRomanPSMT"/>
          <w:i/>
          <w:szCs w:val="22"/>
        </w:rPr>
      </w:pPr>
      <w:r>
        <w:rPr>
          <w:rFonts w:ascii="TimesNewRomanPSMT" w:hAnsi="TimesNewRomanPSMT" w:cs="TimesNewRomanPSMT"/>
          <w:i/>
          <w:szCs w:val="22"/>
        </w:rPr>
        <w:t>Kitos ypatingos populiacijos</w:t>
      </w:r>
    </w:p>
    <w:p w14:paraId="4DEB67E1" w14:textId="77777777" w:rsidR="00AD5A09" w:rsidRPr="00C9581F" w:rsidRDefault="00AD5A09" w:rsidP="00AD5A09">
      <w:pPr>
        <w:autoSpaceDE w:val="0"/>
        <w:autoSpaceDN w:val="0"/>
        <w:adjustRightInd w:val="0"/>
        <w:rPr>
          <w:rFonts w:ascii="TimesNewRomanPSMT" w:hAnsi="TimesNewRomanPSMT" w:cs="TimesNewRomanPSMT"/>
          <w:i/>
          <w:szCs w:val="22"/>
        </w:rPr>
      </w:pPr>
    </w:p>
    <w:p w14:paraId="5AFD0A96" w14:textId="77777777" w:rsidR="00AD5A09" w:rsidRDefault="00AD5A09" w:rsidP="00AD5A09">
      <w:pPr>
        <w:rPr>
          <w:rFonts w:ascii="TimesNewRomanPSMT" w:hAnsi="TimesNewRomanPSMT" w:cs="TimesNewRomanPSMT"/>
          <w:szCs w:val="22"/>
        </w:rPr>
      </w:pPr>
      <w:r>
        <w:rPr>
          <w:rFonts w:ascii="TimesNewRomanPSMT" w:hAnsi="TimesNewRomanPSMT" w:cs="TimesNewRomanPSMT"/>
          <w:szCs w:val="22"/>
        </w:rPr>
        <w:t>Remiantis klinikinių tyrimų ir stebėjimo vaistą pateikus į rinką duomenimis, manoma, kad nepageidaujamų reakcijų senyviems pacientams ir pacientams, kurių inkstų ar kepenų veikla yra sutrikusi, dažnis, tipas ir sunkumas bus tokie patys kaip bendrai populiacijai.</w:t>
      </w:r>
    </w:p>
    <w:p w14:paraId="388C1341" w14:textId="77777777" w:rsidR="00AD5A09" w:rsidRDefault="00AD5A09" w:rsidP="00AD5A09">
      <w:pPr>
        <w:rPr>
          <w:rFonts w:ascii="TimesNewRomanPSMT" w:hAnsi="TimesNewRomanPSMT" w:cs="TimesNewRomanPSMT"/>
          <w:szCs w:val="22"/>
        </w:rPr>
      </w:pPr>
    </w:p>
    <w:p w14:paraId="492C6068" w14:textId="2B3FB544" w:rsidR="00AD5A09" w:rsidRDefault="00AD5A09" w:rsidP="00AD5A09">
      <w:pPr>
        <w:autoSpaceDE w:val="0"/>
        <w:autoSpaceDN w:val="0"/>
        <w:adjustRightInd w:val="0"/>
        <w:jc w:val="both"/>
        <w:rPr>
          <w:u w:val="single"/>
        </w:rPr>
      </w:pPr>
      <w:r>
        <w:rPr>
          <w:u w:val="single"/>
        </w:rPr>
        <w:t>Pranešimas apie įtariamas nepageidaujamas reakcijas</w:t>
      </w:r>
    </w:p>
    <w:p w14:paraId="67E03F15" w14:textId="4BD57CCD" w:rsidR="00D9765D" w:rsidRDefault="00D9765D" w:rsidP="00AD5A09">
      <w:pPr>
        <w:rPr>
          <w:szCs w:val="22"/>
        </w:rPr>
      </w:pPr>
      <w:r w:rsidRPr="00D9765D">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w:t>
      </w:r>
      <w:r w:rsidRPr="00D9765D">
        <w:lastRenderedPageBreak/>
        <w:t xml:space="preserve">https://www.vvkt.lt/index.php?1399030386, ir atsiųsti elektroniniu paštu (adresu </w:t>
      </w:r>
      <w:hyperlink r:id="rId8" w:history="1">
        <w:r w:rsidRPr="008C2712">
          <w:rPr>
            <w:rStyle w:val="Hipersaitas"/>
            <w:rFonts w:ascii="Times New Roman" w:hAnsi="Times New Roman"/>
            <w:sz w:val="22"/>
          </w:rPr>
          <w:t>NepageidaujamaR@vvkt.lt</w:t>
        </w:r>
      </w:hyperlink>
      <w:r w:rsidRPr="00D9765D">
        <w:t>).</w:t>
      </w:r>
    </w:p>
    <w:p w14:paraId="065C3966" w14:textId="77777777" w:rsidR="00AD5A09" w:rsidRDefault="00AD5A09" w:rsidP="00AD5A09">
      <w:pPr>
        <w:rPr>
          <w:szCs w:val="22"/>
        </w:rPr>
      </w:pPr>
    </w:p>
    <w:p w14:paraId="1B12B97A" w14:textId="77777777" w:rsidR="00AD5A09" w:rsidRDefault="00AD5A09" w:rsidP="00AD5A09">
      <w:pPr>
        <w:rPr>
          <w:b/>
          <w:szCs w:val="22"/>
        </w:rPr>
      </w:pPr>
      <w:r>
        <w:rPr>
          <w:b/>
          <w:szCs w:val="22"/>
        </w:rPr>
        <w:t>4.9</w:t>
      </w:r>
      <w:r>
        <w:rPr>
          <w:b/>
          <w:szCs w:val="22"/>
        </w:rPr>
        <w:tab/>
        <w:t>Perdozavimas</w:t>
      </w:r>
    </w:p>
    <w:p w14:paraId="3862325F" w14:textId="77777777" w:rsidR="00AD5A09" w:rsidRDefault="00AD5A09" w:rsidP="00AD5A09">
      <w:pPr>
        <w:rPr>
          <w:szCs w:val="22"/>
        </w:rPr>
      </w:pPr>
    </w:p>
    <w:p w14:paraId="2A333111" w14:textId="77777777" w:rsidR="00AD5A09" w:rsidRDefault="00AD5A09" w:rsidP="00AD5A09">
      <w:pPr>
        <w:rPr>
          <w:szCs w:val="22"/>
        </w:rPr>
      </w:pPr>
      <w:r w:rsidRPr="00BF0EEA">
        <w:rPr>
          <w:szCs w:val="22"/>
        </w:rPr>
        <w:t xml:space="preserve">Perdozavimo atveju pacientą gali pykinti, jis gali vemti. Šie simptomai bus laikini dėl trumpo gliukagono pusperiodžio. </w:t>
      </w:r>
    </w:p>
    <w:p w14:paraId="08EE28C1" w14:textId="77777777" w:rsidR="00AD5A09" w:rsidRDefault="00AD5A09" w:rsidP="00AD5A09">
      <w:pPr>
        <w:rPr>
          <w:szCs w:val="22"/>
        </w:rPr>
      </w:pPr>
    </w:p>
    <w:p w14:paraId="339E23D8" w14:textId="77777777" w:rsidR="00AD5A09" w:rsidRDefault="00AD5A09" w:rsidP="00AD5A09">
      <w:pPr>
        <w:rPr>
          <w:szCs w:val="22"/>
        </w:rPr>
      </w:pPr>
      <w:r>
        <w:rPr>
          <w:szCs w:val="22"/>
        </w:rPr>
        <w:t>Žymiai viršijus terapines dozes, gali sumažėti kalio kiekis serume, kuris, esant reikalui, turi būti patikrintas ir atstatytas.</w:t>
      </w:r>
    </w:p>
    <w:p w14:paraId="54D1E3FE" w14:textId="77777777" w:rsidR="00AD5A09" w:rsidRDefault="00AD5A09" w:rsidP="00AD5A09">
      <w:pPr>
        <w:rPr>
          <w:b/>
          <w:szCs w:val="22"/>
        </w:rPr>
      </w:pPr>
    </w:p>
    <w:p w14:paraId="13246EE7" w14:textId="77777777" w:rsidR="00AD5A09" w:rsidRDefault="00AD5A09" w:rsidP="00AD5A09">
      <w:pPr>
        <w:rPr>
          <w:b/>
          <w:szCs w:val="22"/>
        </w:rPr>
      </w:pPr>
    </w:p>
    <w:p w14:paraId="77BF4F68" w14:textId="77777777" w:rsidR="00AD5A09" w:rsidRDefault="00AD5A09" w:rsidP="00AD5A09">
      <w:pPr>
        <w:tabs>
          <w:tab w:val="left" w:pos="900"/>
        </w:tabs>
        <w:rPr>
          <w:b/>
          <w:szCs w:val="22"/>
        </w:rPr>
      </w:pPr>
      <w:r>
        <w:rPr>
          <w:b/>
          <w:szCs w:val="22"/>
        </w:rPr>
        <w:t>5.</w:t>
      </w:r>
      <w:r>
        <w:rPr>
          <w:b/>
          <w:szCs w:val="22"/>
        </w:rPr>
        <w:tab/>
        <w:t>FARMAKOLOGINĖS SAVYBĖS</w:t>
      </w:r>
    </w:p>
    <w:p w14:paraId="01565188" w14:textId="77777777" w:rsidR="00AD5A09" w:rsidRDefault="00AD5A09" w:rsidP="00AD5A09">
      <w:pPr>
        <w:rPr>
          <w:b/>
          <w:szCs w:val="22"/>
        </w:rPr>
      </w:pPr>
    </w:p>
    <w:p w14:paraId="67826E8C" w14:textId="77777777" w:rsidR="00AD5A09" w:rsidRDefault="00AD5A09" w:rsidP="00AD5A09">
      <w:pPr>
        <w:rPr>
          <w:b/>
          <w:szCs w:val="22"/>
        </w:rPr>
      </w:pPr>
      <w:r>
        <w:rPr>
          <w:b/>
          <w:szCs w:val="22"/>
        </w:rPr>
        <w:t>5.1</w:t>
      </w:r>
      <w:r>
        <w:rPr>
          <w:b/>
          <w:szCs w:val="22"/>
        </w:rPr>
        <w:tab/>
        <w:t>Farmakodinaminės savybės</w:t>
      </w:r>
    </w:p>
    <w:p w14:paraId="11D7EE25" w14:textId="77777777" w:rsidR="00AD5A09" w:rsidRDefault="00AD5A09" w:rsidP="00AD5A09">
      <w:pPr>
        <w:rPr>
          <w:b/>
          <w:szCs w:val="22"/>
        </w:rPr>
      </w:pPr>
    </w:p>
    <w:p w14:paraId="23D7B4FE" w14:textId="77777777" w:rsidR="00AD5A09" w:rsidRDefault="00AD5A09" w:rsidP="00AD5A09">
      <w:pPr>
        <w:rPr>
          <w:szCs w:val="22"/>
        </w:rPr>
      </w:pPr>
      <w:r>
        <w:rPr>
          <w:szCs w:val="22"/>
        </w:rPr>
        <w:t xml:space="preserve">Farmakoterapinė grupė − kasos hormonai, glikogenolitiniai hormonai. </w:t>
      </w:r>
      <w:r w:rsidRPr="00976D94">
        <w:t xml:space="preserve">ATC kodas – </w:t>
      </w:r>
      <w:r>
        <w:rPr>
          <w:szCs w:val="22"/>
        </w:rPr>
        <w:t>H04AA01.</w:t>
      </w:r>
    </w:p>
    <w:p w14:paraId="25474CEA" w14:textId="77777777" w:rsidR="00AD5A09" w:rsidRDefault="00AD5A09" w:rsidP="00AD5A09">
      <w:pPr>
        <w:rPr>
          <w:szCs w:val="22"/>
        </w:rPr>
      </w:pPr>
    </w:p>
    <w:p w14:paraId="3B5E8247" w14:textId="77777777" w:rsidR="00AD5A09" w:rsidRDefault="00AD5A09" w:rsidP="00AD5A09">
      <w:pPr>
        <w:rPr>
          <w:szCs w:val="22"/>
        </w:rPr>
      </w:pPr>
      <w:r w:rsidRPr="00976D94">
        <w:rPr>
          <w:u w:val="single"/>
        </w:rPr>
        <w:t>Veikimo mechanizmas</w:t>
      </w:r>
      <w:r w:rsidRPr="00A925B2">
        <w:rPr>
          <w:szCs w:val="22"/>
        </w:rPr>
        <w:t xml:space="preserve"> </w:t>
      </w:r>
    </w:p>
    <w:p w14:paraId="33B8AC65" w14:textId="77777777" w:rsidR="00AD5A09" w:rsidRDefault="00AD5A09" w:rsidP="00AD5A09">
      <w:pPr>
        <w:rPr>
          <w:szCs w:val="22"/>
        </w:rPr>
      </w:pPr>
    </w:p>
    <w:p w14:paraId="4EBA66EC" w14:textId="77777777" w:rsidR="00AD5A09" w:rsidRPr="00A925B2" w:rsidRDefault="00AD5A09" w:rsidP="00AD5A09">
      <w:pPr>
        <w:rPr>
          <w:szCs w:val="22"/>
        </w:rPr>
      </w:pPr>
      <w:r w:rsidRPr="00A925B2">
        <w:rPr>
          <w:szCs w:val="22"/>
        </w:rPr>
        <w:t xml:space="preserve">Gliukagonas yra hiperglikeminis </w:t>
      </w:r>
      <w:r>
        <w:rPr>
          <w:szCs w:val="22"/>
        </w:rPr>
        <w:t>veiksnys</w:t>
      </w:r>
      <w:r w:rsidRPr="00A925B2">
        <w:rPr>
          <w:szCs w:val="22"/>
        </w:rPr>
        <w:t xml:space="preserve">, atpalaiduojantis kepenų glikogeną, kuris kraujyje pasiskirsto gliukozės pavidalu. </w:t>
      </w:r>
    </w:p>
    <w:p w14:paraId="600B4978" w14:textId="77777777" w:rsidR="00AD5A09" w:rsidRPr="00A50C32" w:rsidRDefault="00AD5A09" w:rsidP="00AD5A09"/>
    <w:p w14:paraId="2C0E635A" w14:textId="77777777" w:rsidR="00AD5A09" w:rsidRDefault="00AD5A09" w:rsidP="00AD5A09">
      <w:pPr>
        <w:rPr>
          <w:szCs w:val="22"/>
        </w:rPr>
      </w:pPr>
      <w:r w:rsidRPr="001B1780">
        <w:rPr>
          <w:szCs w:val="22"/>
        </w:rPr>
        <w:t>Gliukagonas slopina virškin</w:t>
      </w:r>
      <w:r>
        <w:rPr>
          <w:szCs w:val="22"/>
        </w:rPr>
        <w:t>imo</w:t>
      </w:r>
      <w:r w:rsidRPr="001B1780">
        <w:rPr>
          <w:szCs w:val="22"/>
        </w:rPr>
        <w:t xml:space="preserve"> trakto lygiųjų raumenų tonusą ir judėjimą.</w:t>
      </w:r>
    </w:p>
    <w:p w14:paraId="3F06369B" w14:textId="77777777" w:rsidR="00AD5A09" w:rsidRDefault="00AD5A09" w:rsidP="00AD5A09">
      <w:pPr>
        <w:rPr>
          <w:szCs w:val="22"/>
        </w:rPr>
      </w:pPr>
    </w:p>
    <w:p w14:paraId="6C69BA03" w14:textId="77777777" w:rsidR="00AD5A09" w:rsidRDefault="00AD5A09" w:rsidP="00AD5A09">
      <w:pPr>
        <w:rPr>
          <w:szCs w:val="22"/>
        </w:rPr>
      </w:pPr>
      <w:r w:rsidRPr="00976D94">
        <w:rPr>
          <w:u w:val="single"/>
        </w:rPr>
        <w:t>Farmakodinaminis poveikis</w:t>
      </w:r>
      <w:r w:rsidRPr="001B1780">
        <w:rPr>
          <w:szCs w:val="22"/>
        </w:rPr>
        <w:t xml:space="preserve"> </w:t>
      </w:r>
    </w:p>
    <w:p w14:paraId="2F11FFE6" w14:textId="77777777" w:rsidR="00AD5A09" w:rsidRDefault="00AD5A09" w:rsidP="00AD5A09">
      <w:pPr>
        <w:rPr>
          <w:szCs w:val="22"/>
        </w:rPr>
      </w:pPr>
    </w:p>
    <w:p w14:paraId="6092E94D" w14:textId="77777777" w:rsidR="00AD5A09" w:rsidRDefault="00AD5A09" w:rsidP="00AD5A09">
      <w:pPr>
        <w:rPr>
          <w:szCs w:val="22"/>
        </w:rPr>
      </w:pPr>
      <w:r w:rsidRPr="001B1780">
        <w:rPr>
          <w:szCs w:val="22"/>
        </w:rPr>
        <w:t>Kai gliukagonas naudojamas sunkios hipoglikemijos gydymui, poveikis gliukozės kiekiui kraujyje paprastai matomas per 10 minučių.</w:t>
      </w:r>
    </w:p>
    <w:p w14:paraId="7F0D2B80" w14:textId="77777777" w:rsidR="00AD5A09" w:rsidRDefault="00AD5A09" w:rsidP="00AD5A09">
      <w:pPr>
        <w:rPr>
          <w:szCs w:val="22"/>
        </w:rPr>
      </w:pPr>
    </w:p>
    <w:p w14:paraId="374AC95B" w14:textId="77777777" w:rsidR="00AD5A09" w:rsidRPr="001B1780" w:rsidRDefault="00AD5A09" w:rsidP="00AD5A09">
      <w:pPr>
        <w:rPr>
          <w:szCs w:val="22"/>
        </w:rPr>
      </w:pPr>
      <w:r>
        <w:rPr>
          <w:szCs w:val="22"/>
        </w:rPr>
        <w:t>Slopinamasis p</w:t>
      </w:r>
      <w:r w:rsidRPr="001B1780">
        <w:rPr>
          <w:szCs w:val="22"/>
        </w:rPr>
        <w:t xml:space="preserve">oveikis </w:t>
      </w:r>
      <w:r>
        <w:rPr>
          <w:szCs w:val="22"/>
        </w:rPr>
        <w:t xml:space="preserve">virškinimo trakto peristaltikai </w:t>
      </w:r>
      <w:r w:rsidRPr="001B1780">
        <w:rPr>
          <w:szCs w:val="22"/>
        </w:rPr>
        <w:t>pasireiškia p</w:t>
      </w:r>
      <w:r>
        <w:rPr>
          <w:szCs w:val="22"/>
        </w:rPr>
        <w:t>er</w:t>
      </w:r>
      <w:r w:rsidRPr="001B1780">
        <w:rPr>
          <w:szCs w:val="22"/>
        </w:rPr>
        <w:t xml:space="preserve"> 1 minut</w:t>
      </w:r>
      <w:r>
        <w:rPr>
          <w:szCs w:val="22"/>
        </w:rPr>
        <w:t>ę</w:t>
      </w:r>
      <w:r w:rsidRPr="001B1780">
        <w:rPr>
          <w:szCs w:val="22"/>
        </w:rPr>
        <w:t xml:space="preserve"> po injekc</w:t>
      </w:r>
      <w:r>
        <w:rPr>
          <w:szCs w:val="22"/>
        </w:rPr>
        <w:t>ijos į veną. Poveikis tęsiasi 5−</w:t>
      </w:r>
      <w:r w:rsidRPr="001B1780">
        <w:rPr>
          <w:szCs w:val="22"/>
        </w:rPr>
        <w:t>20 minučių, priklausomai nuo dozės</w:t>
      </w:r>
      <w:r>
        <w:rPr>
          <w:szCs w:val="22"/>
        </w:rPr>
        <w:t>. Po injekcijos į raumenis poveikis pasireiškia praėjus 5−15 minučių ir tęsiasi 10−</w:t>
      </w:r>
      <w:r w:rsidRPr="001B1780">
        <w:rPr>
          <w:szCs w:val="22"/>
        </w:rPr>
        <w:t>40 minučių.</w:t>
      </w:r>
    </w:p>
    <w:p w14:paraId="4B1B8BA3" w14:textId="77777777" w:rsidR="00AD5A09" w:rsidRPr="001B1780" w:rsidRDefault="00AD5A09" w:rsidP="00AD5A09">
      <w:pPr>
        <w:rPr>
          <w:szCs w:val="22"/>
        </w:rPr>
      </w:pPr>
    </w:p>
    <w:p w14:paraId="7AC8D569" w14:textId="77777777" w:rsidR="00AD5A09" w:rsidRPr="001B1780" w:rsidRDefault="00AD5A09" w:rsidP="00AD5A09">
      <w:pPr>
        <w:rPr>
          <w:szCs w:val="22"/>
        </w:rPr>
      </w:pPr>
    </w:p>
    <w:p w14:paraId="05B01E40" w14:textId="77777777" w:rsidR="00AD5A09" w:rsidRPr="001B1780" w:rsidRDefault="00AD5A09" w:rsidP="00AD5A09">
      <w:pPr>
        <w:rPr>
          <w:b/>
          <w:szCs w:val="22"/>
        </w:rPr>
      </w:pPr>
      <w:r w:rsidRPr="001B1780">
        <w:rPr>
          <w:b/>
          <w:szCs w:val="22"/>
        </w:rPr>
        <w:t>5.2</w:t>
      </w:r>
      <w:r w:rsidRPr="001B1780">
        <w:rPr>
          <w:b/>
          <w:szCs w:val="22"/>
        </w:rPr>
        <w:tab/>
        <w:t>Farmakokinetinės savybės</w:t>
      </w:r>
    </w:p>
    <w:p w14:paraId="50852F87" w14:textId="77777777" w:rsidR="00AD5A09" w:rsidRPr="001B1780" w:rsidRDefault="00AD5A09" w:rsidP="00AD5A09">
      <w:pPr>
        <w:tabs>
          <w:tab w:val="left" w:pos="1512"/>
        </w:tabs>
        <w:rPr>
          <w:b/>
          <w:szCs w:val="22"/>
        </w:rPr>
      </w:pPr>
    </w:p>
    <w:p w14:paraId="207D2350" w14:textId="77777777" w:rsidR="00AD5A09" w:rsidRDefault="00AD5A09" w:rsidP="00AD5A09">
      <w:pPr>
        <w:jc w:val="both"/>
        <w:rPr>
          <w:szCs w:val="22"/>
        </w:rPr>
      </w:pPr>
      <w:r w:rsidRPr="00976D94">
        <w:rPr>
          <w:u w:val="single"/>
        </w:rPr>
        <w:t>Biotransformacija</w:t>
      </w:r>
      <w:r w:rsidRPr="001B1780">
        <w:rPr>
          <w:szCs w:val="22"/>
        </w:rPr>
        <w:t xml:space="preserve"> </w:t>
      </w:r>
    </w:p>
    <w:p w14:paraId="7BC082A9" w14:textId="77777777" w:rsidR="00AD5A09" w:rsidRDefault="00AD5A09" w:rsidP="00AD5A09">
      <w:pPr>
        <w:jc w:val="both"/>
        <w:rPr>
          <w:szCs w:val="22"/>
        </w:rPr>
      </w:pPr>
    </w:p>
    <w:p w14:paraId="23617BFE" w14:textId="77777777" w:rsidR="00AD5A09" w:rsidRPr="001B1780" w:rsidRDefault="00AD5A09" w:rsidP="00AD5A09">
      <w:pPr>
        <w:jc w:val="both"/>
        <w:rPr>
          <w:szCs w:val="22"/>
        </w:rPr>
      </w:pPr>
      <w:r>
        <w:rPr>
          <w:szCs w:val="22"/>
        </w:rPr>
        <w:t>Gliukagoną</w:t>
      </w:r>
      <w:r w:rsidRPr="001B1780">
        <w:rPr>
          <w:szCs w:val="22"/>
        </w:rPr>
        <w:t xml:space="preserve"> suardo ferment</w:t>
      </w:r>
      <w:r>
        <w:rPr>
          <w:szCs w:val="22"/>
        </w:rPr>
        <w:t>ai</w:t>
      </w:r>
      <w:r w:rsidRPr="001B1780">
        <w:rPr>
          <w:szCs w:val="22"/>
        </w:rPr>
        <w:t xml:space="preserve"> kraujo plazmoje ir organuose, į kuriuos buvo paskirstytas. Didžiausios gliukagono pašalinimo vietos yra kepenys ir inkstai, kiekvienas šių organų sudaro apie 30</w:t>
      </w:r>
      <w:r>
        <w:rPr>
          <w:szCs w:val="22"/>
        </w:rPr>
        <w:t> </w:t>
      </w:r>
      <w:r w:rsidRPr="00A40AFE">
        <w:rPr>
          <w:szCs w:val="22"/>
        </w:rPr>
        <w:t>%</w:t>
      </w:r>
      <w:r w:rsidRPr="001B1780">
        <w:rPr>
          <w:szCs w:val="22"/>
        </w:rPr>
        <w:t xml:space="preserve"> viso metabolinio pašalinimo proceso.</w:t>
      </w:r>
    </w:p>
    <w:p w14:paraId="6DDE76A5" w14:textId="77777777" w:rsidR="00AD5A09" w:rsidRPr="001B1780" w:rsidRDefault="00AD5A09" w:rsidP="00AD5A09">
      <w:pPr>
        <w:jc w:val="both"/>
        <w:rPr>
          <w:szCs w:val="22"/>
        </w:rPr>
      </w:pPr>
    </w:p>
    <w:p w14:paraId="0A7A7AB3" w14:textId="77777777" w:rsidR="00AD5A09" w:rsidRDefault="00AD5A09" w:rsidP="00AD5A09">
      <w:pPr>
        <w:jc w:val="both"/>
        <w:rPr>
          <w:szCs w:val="22"/>
        </w:rPr>
      </w:pPr>
      <w:r w:rsidRPr="00976D94">
        <w:rPr>
          <w:u w:val="single"/>
        </w:rPr>
        <w:t>Eliminacija</w:t>
      </w:r>
      <w:r w:rsidRPr="001B1780">
        <w:rPr>
          <w:szCs w:val="22"/>
        </w:rPr>
        <w:t xml:space="preserve"> </w:t>
      </w:r>
    </w:p>
    <w:p w14:paraId="17C1E817" w14:textId="77777777" w:rsidR="00AD5A09" w:rsidRDefault="00AD5A09" w:rsidP="00AD5A09">
      <w:pPr>
        <w:jc w:val="both"/>
        <w:rPr>
          <w:szCs w:val="22"/>
        </w:rPr>
      </w:pPr>
    </w:p>
    <w:p w14:paraId="04F183A4" w14:textId="77777777" w:rsidR="00AD5A09" w:rsidRDefault="00AD5A09" w:rsidP="00AD5A09">
      <w:pPr>
        <w:jc w:val="both"/>
        <w:rPr>
          <w:szCs w:val="22"/>
        </w:rPr>
      </w:pPr>
      <w:r w:rsidRPr="001B1780">
        <w:rPr>
          <w:szCs w:val="22"/>
        </w:rPr>
        <w:t>Gliukagonas turi trumpą 3</w:t>
      </w:r>
      <w:r>
        <w:rPr>
          <w:szCs w:val="22"/>
        </w:rPr>
        <w:t>−</w:t>
      </w:r>
      <w:r w:rsidRPr="001B1780">
        <w:rPr>
          <w:szCs w:val="22"/>
        </w:rPr>
        <w:t>6 min. trukmės pusperiodį kraujyje.</w:t>
      </w:r>
    </w:p>
    <w:p w14:paraId="4053D06B" w14:textId="77777777" w:rsidR="00AD5A09" w:rsidRDefault="00AD5A09" w:rsidP="00AD5A09">
      <w:pPr>
        <w:jc w:val="both"/>
        <w:rPr>
          <w:szCs w:val="22"/>
        </w:rPr>
      </w:pPr>
    </w:p>
    <w:p w14:paraId="6A6F684B" w14:textId="77777777" w:rsidR="00AD5A09" w:rsidRPr="001B1780" w:rsidRDefault="00AD5A09" w:rsidP="00AD5A09">
      <w:pPr>
        <w:jc w:val="both"/>
        <w:rPr>
          <w:szCs w:val="22"/>
        </w:rPr>
      </w:pPr>
      <w:r>
        <w:rPr>
          <w:szCs w:val="22"/>
        </w:rPr>
        <w:t>Metabolinis gliukagono klirensas žmonėms yra maždaug 10 ml/kg/min.</w:t>
      </w:r>
    </w:p>
    <w:p w14:paraId="4F00F3C4" w14:textId="77777777" w:rsidR="00AD5A09" w:rsidRDefault="00AD5A09" w:rsidP="00AD5A09">
      <w:pPr>
        <w:rPr>
          <w:szCs w:val="22"/>
        </w:rPr>
      </w:pPr>
    </w:p>
    <w:p w14:paraId="72947CF8" w14:textId="77777777" w:rsidR="00AD5A09" w:rsidRPr="001B1780" w:rsidRDefault="00AD5A09" w:rsidP="00AD5A09">
      <w:pPr>
        <w:rPr>
          <w:szCs w:val="22"/>
        </w:rPr>
      </w:pPr>
    </w:p>
    <w:p w14:paraId="458B1CF8" w14:textId="77777777" w:rsidR="00AD5A09" w:rsidRPr="001B1780" w:rsidRDefault="00AD5A09" w:rsidP="00AD5A09">
      <w:pPr>
        <w:rPr>
          <w:b/>
          <w:szCs w:val="22"/>
        </w:rPr>
      </w:pPr>
      <w:r w:rsidRPr="001B1780">
        <w:rPr>
          <w:b/>
          <w:szCs w:val="22"/>
        </w:rPr>
        <w:t>5.3</w:t>
      </w:r>
      <w:r w:rsidRPr="001B1780">
        <w:rPr>
          <w:b/>
          <w:szCs w:val="22"/>
        </w:rPr>
        <w:tab/>
        <w:t>Ikiklinikinių saugumo tyrimų duomenys</w:t>
      </w:r>
    </w:p>
    <w:p w14:paraId="04E33F12" w14:textId="77777777" w:rsidR="00AD5A09" w:rsidRPr="001B1780" w:rsidRDefault="00AD5A09" w:rsidP="00AD5A09">
      <w:pPr>
        <w:rPr>
          <w:szCs w:val="22"/>
        </w:rPr>
      </w:pPr>
    </w:p>
    <w:p w14:paraId="1CF75B60" w14:textId="77777777" w:rsidR="00AD5A09" w:rsidRDefault="00AD5A09" w:rsidP="00AD5A09">
      <w:pPr>
        <w:rPr>
          <w:szCs w:val="22"/>
        </w:rPr>
      </w:pPr>
      <w:r w:rsidRPr="001B1780">
        <w:rPr>
          <w:szCs w:val="22"/>
        </w:rPr>
        <w:t>Nėra jokių svarbių ikiklinikinių tyrimų duomenų, kurie galėtų būti pateikiami kaip naudinga informacija.</w:t>
      </w:r>
    </w:p>
    <w:p w14:paraId="58793070" w14:textId="77777777" w:rsidR="00AD5A09" w:rsidRDefault="00AD5A09" w:rsidP="00AD5A09">
      <w:pPr>
        <w:rPr>
          <w:szCs w:val="22"/>
        </w:rPr>
      </w:pPr>
    </w:p>
    <w:p w14:paraId="3C442C3A" w14:textId="77777777" w:rsidR="00AD5A09" w:rsidRDefault="00AD5A09" w:rsidP="00AD5A09">
      <w:pPr>
        <w:rPr>
          <w:szCs w:val="22"/>
        </w:rPr>
      </w:pPr>
    </w:p>
    <w:p w14:paraId="1E618A5C" w14:textId="77777777" w:rsidR="00AD5A09" w:rsidRDefault="00AD5A09" w:rsidP="00AD5A09">
      <w:pPr>
        <w:tabs>
          <w:tab w:val="left" w:pos="990"/>
        </w:tabs>
        <w:rPr>
          <w:b/>
          <w:szCs w:val="22"/>
        </w:rPr>
      </w:pPr>
      <w:r>
        <w:rPr>
          <w:b/>
          <w:szCs w:val="22"/>
        </w:rPr>
        <w:t>6.</w:t>
      </w:r>
      <w:r>
        <w:rPr>
          <w:b/>
          <w:szCs w:val="22"/>
        </w:rPr>
        <w:tab/>
        <w:t>FARMACINĖ INFORMACIJA</w:t>
      </w:r>
    </w:p>
    <w:p w14:paraId="1F05A45F" w14:textId="77777777" w:rsidR="00AD5A09" w:rsidRPr="00E338C2" w:rsidRDefault="00AD5A09" w:rsidP="00AD5A09">
      <w:pPr>
        <w:rPr>
          <w:szCs w:val="22"/>
        </w:rPr>
      </w:pPr>
    </w:p>
    <w:p w14:paraId="367F85C9" w14:textId="77777777" w:rsidR="00AD5A09" w:rsidRDefault="00AD5A09" w:rsidP="00AD5A09">
      <w:pPr>
        <w:rPr>
          <w:b/>
          <w:szCs w:val="22"/>
        </w:rPr>
      </w:pPr>
      <w:r>
        <w:rPr>
          <w:b/>
          <w:szCs w:val="22"/>
        </w:rPr>
        <w:t>6.1</w:t>
      </w:r>
      <w:r>
        <w:rPr>
          <w:b/>
          <w:szCs w:val="22"/>
        </w:rPr>
        <w:tab/>
        <w:t>Pagalbinių medžiagų sąrašas</w:t>
      </w:r>
    </w:p>
    <w:p w14:paraId="553C4F7A" w14:textId="77777777" w:rsidR="00AD5A09" w:rsidRDefault="00AD5A09" w:rsidP="00AD5A09">
      <w:pPr>
        <w:rPr>
          <w:szCs w:val="22"/>
        </w:rPr>
      </w:pPr>
    </w:p>
    <w:p w14:paraId="05C1E4E6" w14:textId="77777777" w:rsidR="00AD5A09" w:rsidRDefault="00AD5A09" w:rsidP="00AD5A09">
      <w:pPr>
        <w:rPr>
          <w:szCs w:val="22"/>
        </w:rPr>
      </w:pPr>
      <w:r>
        <w:rPr>
          <w:szCs w:val="22"/>
        </w:rPr>
        <w:t>Laktozė monohidratas</w:t>
      </w:r>
    </w:p>
    <w:p w14:paraId="7A76FC68" w14:textId="77777777" w:rsidR="00AD5A09" w:rsidRDefault="00AD5A09" w:rsidP="00AD5A09">
      <w:pPr>
        <w:rPr>
          <w:szCs w:val="22"/>
        </w:rPr>
      </w:pPr>
      <w:r>
        <w:rPr>
          <w:szCs w:val="22"/>
        </w:rPr>
        <w:t>Vandenilio chlorido rūgštis pH sureguliavimui</w:t>
      </w:r>
    </w:p>
    <w:p w14:paraId="41BE0C1B" w14:textId="77777777" w:rsidR="00AD5A09" w:rsidRDefault="00AD5A09" w:rsidP="00AD5A09">
      <w:pPr>
        <w:rPr>
          <w:szCs w:val="22"/>
        </w:rPr>
      </w:pPr>
      <w:r>
        <w:rPr>
          <w:szCs w:val="22"/>
        </w:rPr>
        <w:t>Natrio hidroksidas pH sureguliavimui</w:t>
      </w:r>
    </w:p>
    <w:p w14:paraId="32E3380F" w14:textId="77777777" w:rsidR="00AD5A09" w:rsidRDefault="00AD5A09" w:rsidP="00AD5A09">
      <w:pPr>
        <w:rPr>
          <w:szCs w:val="22"/>
        </w:rPr>
      </w:pPr>
      <w:r>
        <w:rPr>
          <w:szCs w:val="22"/>
        </w:rPr>
        <w:t>Injekcinis vanduo</w:t>
      </w:r>
    </w:p>
    <w:p w14:paraId="51EA5F88" w14:textId="77777777" w:rsidR="00AD5A09" w:rsidRDefault="00AD5A09" w:rsidP="00AD5A09">
      <w:pPr>
        <w:rPr>
          <w:szCs w:val="22"/>
        </w:rPr>
      </w:pPr>
    </w:p>
    <w:p w14:paraId="275FB435" w14:textId="77777777" w:rsidR="00AD5A09" w:rsidRDefault="00AD5A09" w:rsidP="00AD5A09">
      <w:pPr>
        <w:rPr>
          <w:szCs w:val="22"/>
        </w:rPr>
      </w:pPr>
      <w:r>
        <w:rPr>
          <w:szCs w:val="22"/>
        </w:rPr>
        <w:t>Paruoštame tirpale yra 1 mg/ml gliukagono ir 107 mg/ml laktozės monohidrato.</w:t>
      </w:r>
    </w:p>
    <w:p w14:paraId="1D9119E4" w14:textId="77777777" w:rsidR="00AD5A09" w:rsidRDefault="00AD5A09" w:rsidP="00AD5A09">
      <w:pPr>
        <w:rPr>
          <w:b/>
          <w:szCs w:val="22"/>
        </w:rPr>
      </w:pPr>
    </w:p>
    <w:p w14:paraId="629B01FD" w14:textId="77777777" w:rsidR="00AD5A09" w:rsidRDefault="00AD5A09" w:rsidP="00AD5A09">
      <w:pPr>
        <w:rPr>
          <w:b/>
          <w:szCs w:val="22"/>
        </w:rPr>
      </w:pPr>
      <w:r>
        <w:rPr>
          <w:b/>
          <w:szCs w:val="22"/>
        </w:rPr>
        <w:t>6.2</w:t>
      </w:r>
      <w:r>
        <w:rPr>
          <w:b/>
          <w:szCs w:val="22"/>
        </w:rPr>
        <w:tab/>
        <w:t>Nesuderinamumas</w:t>
      </w:r>
    </w:p>
    <w:p w14:paraId="6FA82FA8" w14:textId="77777777" w:rsidR="00AD5A09" w:rsidRDefault="00AD5A09" w:rsidP="00AD5A09">
      <w:pPr>
        <w:rPr>
          <w:szCs w:val="22"/>
        </w:rPr>
      </w:pPr>
    </w:p>
    <w:p w14:paraId="22393DB0" w14:textId="77777777" w:rsidR="00AD5A09" w:rsidRDefault="00AD5A09" w:rsidP="00AD5A09">
      <w:pPr>
        <w:rPr>
          <w:szCs w:val="22"/>
        </w:rPr>
      </w:pPr>
      <w:r>
        <w:rPr>
          <w:szCs w:val="22"/>
        </w:rPr>
        <w:t>Nėra žinomų su GlucaGen nesuderinamų medžiagų.</w:t>
      </w:r>
    </w:p>
    <w:p w14:paraId="090053F2" w14:textId="77777777" w:rsidR="00AD5A09" w:rsidRDefault="00AD5A09" w:rsidP="00AD5A09">
      <w:pPr>
        <w:rPr>
          <w:szCs w:val="22"/>
        </w:rPr>
      </w:pPr>
    </w:p>
    <w:p w14:paraId="6CA11792" w14:textId="77777777" w:rsidR="00AD5A09" w:rsidRDefault="00AD5A09" w:rsidP="00AD5A09">
      <w:pPr>
        <w:rPr>
          <w:b/>
          <w:szCs w:val="22"/>
        </w:rPr>
      </w:pPr>
      <w:r>
        <w:rPr>
          <w:b/>
          <w:szCs w:val="22"/>
        </w:rPr>
        <w:t>6.3</w:t>
      </w:r>
      <w:r>
        <w:rPr>
          <w:b/>
          <w:szCs w:val="22"/>
        </w:rPr>
        <w:tab/>
        <w:t>Tinkamumo laikas</w:t>
      </w:r>
    </w:p>
    <w:p w14:paraId="7B121FC4" w14:textId="77777777" w:rsidR="00AD5A09" w:rsidRDefault="00AD5A09" w:rsidP="00AD5A09">
      <w:pPr>
        <w:rPr>
          <w:szCs w:val="22"/>
        </w:rPr>
      </w:pPr>
    </w:p>
    <w:p w14:paraId="0159996B" w14:textId="77777777" w:rsidR="00AD5A09" w:rsidRDefault="00AD5A09" w:rsidP="00AD5A09">
      <w:pPr>
        <w:rPr>
          <w:szCs w:val="22"/>
        </w:rPr>
      </w:pPr>
      <w:r w:rsidRPr="0075707E">
        <w:rPr>
          <w:szCs w:val="22"/>
        </w:rPr>
        <w:t>GlucaGen 1 mg:</w:t>
      </w:r>
    </w:p>
    <w:p w14:paraId="655F510C" w14:textId="77777777" w:rsidR="00AD5A09" w:rsidRDefault="00AD5A09" w:rsidP="00AD5A09">
      <w:pPr>
        <w:rPr>
          <w:szCs w:val="22"/>
        </w:rPr>
      </w:pPr>
      <w:r>
        <w:rPr>
          <w:szCs w:val="22"/>
        </w:rPr>
        <w:t>Neištirpinto vaisto tinkamumo laikas yra 3</w:t>
      </w:r>
      <w:r w:rsidRPr="00924EFA">
        <w:rPr>
          <w:szCs w:val="22"/>
        </w:rPr>
        <w:t xml:space="preserve">6 </w:t>
      </w:r>
      <w:r>
        <w:rPr>
          <w:szCs w:val="22"/>
        </w:rPr>
        <w:t>mėnesiai.</w:t>
      </w:r>
    </w:p>
    <w:p w14:paraId="14B51586" w14:textId="77777777" w:rsidR="00AD5A09" w:rsidRDefault="00AD5A09" w:rsidP="00AD5A09">
      <w:pPr>
        <w:rPr>
          <w:szCs w:val="22"/>
        </w:rPr>
      </w:pPr>
    </w:p>
    <w:p w14:paraId="020784A9" w14:textId="77777777" w:rsidR="00AD5A09" w:rsidRDefault="00AD5A09" w:rsidP="00AD5A09">
      <w:pPr>
        <w:rPr>
          <w:szCs w:val="22"/>
        </w:rPr>
      </w:pPr>
      <w:r w:rsidRPr="00BF0EEA">
        <w:rPr>
          <w:szCs w:val="22"/>
        </w:rPr>
        <w:t>GlucaGen HypoKit 1 mg:</w:t>
      </w:r>
    </w:p>
    <w:p w14:paraId="7578E5BD" w14:textId="77777777" w:rsidR="00AD5A09" w:rsidRDefault="00AD5A09" w:rsidP="00AD5A09">
      <w:pPr>
        <w:rPr>
          <w:szCs w:val="22"/>
        </w:rPr>
      </w:pPr>
      <w:r>
        <w:rPr>
          <w:szCs w:val="22"/>
        </w:rPr>
        <w:t>Neištirpinto vaisto tinkamumo laikas yra 3</w:t>
      </w:r>
      <w:r w:rsidRPr="00BF0EEA">
        <w:rPr>
          <w:szCs w:val="22"/>
        </w:rPr>
        <w:t xml:space="preserve">6 </w:t>
      </w:r>
      <w:r>
        <w:rPr>
          <w:szCs w:val="22"/>
        </w:rPr>
        <w:t>mėnesiai.</w:t>
      </w:r>
    </w:p>
    <w:p w14:paraId="3A127328" w14:textId="77777777" w:rsidR="00AD5A09" w:rsidRDefault="00AD5A09" w:rsidP="00AD5A09">
      <w:pPr>
        <w:rPr>
          <w:szCs w:val="22"/>
        </w:rPr>
      </w:pPr>
    </w:p>
    <w:p w14:paraId="70D89ADF" w14:textId="77777777" w:rsidR="00AD5A09" w:rsidRDefault="00AD5A09" w:rsidP="00AD5A09">
      <w:pPr>
        <w:rPr>
          <w:szCs w:val="22"/>
        </w:rPr>
      </w:pPr>
      <w:r>
        <w:rPr>
          <w:szCs w:val="22"/>
        </w:rPr>
        <w:t>Ištirpintas GlucaGen turi būti suvartojamas iš karto po ištirpinimo.</w:t>
      </w:r>
    </w:p>
    <w:p w14:paraId="40BA58F2" w14:textId="77777777" w:rsidR="00AD5A09" w:rsidRDefault="00AD5A09" w:rsidP="00AD5A09">
      <w:pPr>
        <w:rPr>
          <w:szCs w:val="22"/>
        </w:rPr>
      </w:pPr>
    </w:p>
    <w:p w14:paraId="47F3002C" w14:textId="77777777" w:rsidR="00AD5A09" w:rsidRDefault="00AD5A09" w:rsidP="00AD5A09">
      <w:pPr>
        <w:rPr>
          <w:szCs w:val="22"/>
        </w:rPr>
      </w:pPr>
    </w:p>
    <w:p w14:paraId="505A8408" w14:textId="77777777" w:rsidR="00AD5A09" w:rsidRDefault="00AD5A09" w:rsidP="00AD5A09">
      <w:pPr>
        <w:numPr>
          <w:ilvl w:val="1"/>
          <w:numId w:val="11"/>
        </w:numPr>
        <w:tabs>
          <w:tab w:val="clear" w:pos="936"/>
          <w:tab w:val="num" w:pos="1440"/>
        </w:tabs>
        <w:ind w:left="0" w:firstLine="0"/>
        <w:rPr>
          <w:b/>
          <w:szCs w:val="22"/>
        </w:rPr>
      </w:pPr>
      <w:r>
        <w:rPr>
          <w:b/>
          <w:szCs w:val="22"/>
        </w:rPr>
        <w:t>Specialios laikymo sąlygos</w:t>
      </w:r>
    </w:p>
    <w:p w14:paraId="3B87FDE6" w14:textId="77777777" w:rsidR="00AD5A09" w:rsidRDefault="00AD5A09" w:rsidP="00AD5A09"/>
    <w:p w14:paraId="6B2435F8" w14:textId="77777777" w:rsidR="00AD5A09" w:rsidRDefault="00AD5A09" w:rsidP="00AD5A09">
      <w:pPr>
        <w:rPr>
          <w:szCs w:val="22"/>
        </w:rPr>
      </w:pPr>
      <w:r>
        <w:rPr>
          <w:szCs w:val="22"/>
        </w:rPr>
        <w:t>Negalima užšaldyti.</w:t>
      </w:r>
    </w:p>
    <w:p w14:paraId="67376DFE" w14:textId="77777777" w:rsidR="00AD5A09" w:rsidRDefault="00AD5A09" w:rsidP="00AD5A09">
      <w:pPr>
        <w:rPr>
          <w:szCs w:val="22"/>
        </w:rPr>
      </w:pPr>
    </w:p>
    <w:p w14:paraId="54838FB3" w14:textId="77777777" w:rsidR="00AD5A09" w:rsidRDefault="00AD5A09" w:rsidP="00AD5A09">
      <w:pPr>
        <w:rPr>
          <w:szCs w:val="22"/>
        </w:rPr>
      </w:pPr>
      <w:r>
        <w:rPr>
          <w:szCs w:val="22"/>
        </w:rPr>
        <w:t>Jei retais atvejais paruoštame produkte pastebima besiformuojančio gelio požymių (didėja klampumas) ar atsiranda netirpių dalelių, jį reikia sunaikinti.</w:t>
      </w:r>
    </w:p>
    <w:p w14:paraId="562CAB7B" w14:textId="77777777" w:rsidR="00AD5A09" w:rsidRDefault="00AD5A09" w:rsidP="00AD5A09">
      <w:pPr>
        <w:rPr>
          <w:szCs w:val="22"/>
        </w:rPr>
      </w:pPr>
    </w:p>
    <w:p w14:paraId="0ABB6547" w14:textId="77777777" w:rsidR="00AD5A09" w:rsidRDefault="00AD5A09" w:rsidP="00AD5A09">
      <w:pPr>
        <w:rPr>
          <w:szCs w:val="22"/>
        </w:rPr>
      </w:pPr>
      <w:r w:rsidRPr="0075707E">
        <w:rPr>
          <w:szCs w:val="22"/>
        </w:rPr>
        <w:t>GlucaGen 1 mg:</w:t>
      </w:r>
    </w:p>
    <w:p w14:paraId="5229153B" w14:textId="5821AD85" w:rsidR="00AD5A09" w:rsidRDefault="00AD5A09" w:rsidP="00AD5A09">
      <w:pPr>
        <w:rPr>
          <w:szCs w:val="22"/>
        </w:rPr>
      </w:pPr>
      <w:r>
        <w:rPr>
          <w:szCs w:val="22"/>
        </w:rPr>
        <w:t xml:space="preserve">GlucaGen turi būti laikomas 2 °C−8 °C temperatūroje (šaldytuve). Laikyti </w:t>
      </w:r>
      <w:r w:rsidR="009F1594">
        <w:rPr>
          <w:szCs w:val="22"/>
        </w:rPr>
        <w:t xml:space="preserve">gamintojo </w:t>
      </w:r>
      <w:r>
        <w:rPr>
          <w:szCs w:val="22"/>
        </w:rPr>
        <w:t xml:space="preserve">pakuotėje, kad preparatas būtų apsaugotas nuo šviesos. </w:t>
      </w:r>
    </w:p>
    <w:p w14:paraId="0D205A5E" w14:textId="77777777" w:rsidR="00AD5A09" w:rsidRDefault="00AD5A09" w:rsidP="00AD5A09">
      <w:pPr>
        <w:rPr>
          <w:szCs w:val="22"/>
        </w:rPr>
      </w:pPr>
    </w:p>
    <w:p w14:paraId="2D378B23" w14:textId="77777777" w:rsidR="00AD5A09" w:rsidRDefault="00AD5A09" w:rsidP="00AD5A09">
      <w:pPr>
        <w:rPr>
          <w:szCs w:val="22"/>
        </w:rPr>
      </w:pPr>
      <w:r w:rsidRPr="00BF0EEA">
        <w:rPr>
          <w:szCs w:val="22"/>
        </w:rPr>
        <w:t>GlucaGen HypoKit 1 mg:</w:t>
      </w:r>
    </w:p>
    <w:p w14:paraId="46E18007" w14:textId="1F0ABA7C" w:rsidR="00AD5A09" w:rsidRDefault="00AD5A09" w:rsidP="00AD5A09">
      <w:pPr>
        <w:rPr>
          <w:szCs w:val="22"/>
        </w:rPr>
      </w:pPr>
      <w:r>
        <w:rPr>
          <w:szCs w:val="22"/>
        </w:rPr>
        <w:t xml:space="preserve">GlucaGen </w:t>
      </w:r>
      <w:r w:rsidRPr="00BF0EEA">
        <w:rPr>
          <w:szCs w:val="22"/>
        </w:rPr>
        <w:t>HypoKit</w:t>
      </w:r>
      <w:r>
        <w:rPr>
          <w:szCs w:val="22"/>
        </w:rPr>
        <w:t xml:space="preserve"> turi būti laikomas 2 °C−8 °C temperatūroje (šaldytuve). </w:t>
      </w:r>
      <w:r>
        <w:t xml:space="preserve">Kol nurodytas tinkamumo laikas nepraėjo, GlucaGen HypoKit galima laikyti kambario temperatūroje (iki 25 °C) ne ilgiau kaip 18 mėnesių. </w:t>
      </w:r>
      <w:r>
        <w:rPr>
          <w:szCs w:val="22"/>
        </w:rPr>
        <w:t xml:space="preserve">Laikyti </w:t>
      </w:r>
      <w:r w:rsidR="009F1594">
        <w:rPr>
          <w:szCs w:val="22"/>
        </w:rPr>
        <w:t xml:space="preserve">gamintojo </w:t>
      </w:r>
      <w:r>
        <w:rPr>
          <w:szCs w:val="22"/>
        </w:rPr>
        <w:t xml:space="preserve">pakuotėje, kad preparatas būtų apsaugotas nuo šviesos. </w:t>
      </w:r>
    </w:p>
    <w:p w14:paraId="53F95CDD" w14:textId="77777777" w:rsidR="00AD5A09" w:rsidRDefault="00AD5A09" w:rsidP="00AD5A09">
      <w:pPr>
        <w:rPr>
          <w:szCs w:val="22"/>
        </w:rPr>
      </w:pPr>
    </w:p>
    <w:p w14:paraId="206C7FB3" w14:textId="77777777" w:rsidR="00AD5A09" w:rsidRDefault="00AD5A09" w:rsidP="00AD5A09">
      <w:pPr>
        <w:rPr>
          <w:szCs w:val="22"/>
        </w:rPr>
      </w:pPr>
    </w:p>
    <w:p w14:paraId="7D6BC1B4" w14:textId="77777777" w:rsidR="00AD5A09" w:rsidRDefault="00AD5A09" w:rsidP="00AD5A09">
      <w:pPr>
        <w:rPr>
          <w:b/>
          <w:szCs w:val="22"/>
        </w:rPr>
      </w:pPr>
      <w:r>
        <w:rPr>
          <w:b/>
          <w:szCs w:val="22"/>
        </w:rPr>
        <w:t>6.5</w:t>
      </w:r>
      <w:r>
        <w:rPr>
          <w:b/>
          <w:szCs w:val="22"/>
        </w:rPr>
        <w:tab/>
        <w:t>Talpyklės pobūdis ir jos turinys</w:t>
      </w:r>
    </w:p>
    <w:p w14:paraId="29F301C4" w14:textId="77777777" w:rsidR="00AD5A09" w:rsidRDefault="00AD5A09" w:rsidP="00AD5A09">
      <w:pPr>
        <w:rPr>
          <w:szCs w:val="22"/>
        </w:rPr>
      </w:pPr>
    </w:p>
    <w:p w14:paraId="6A977AEA" w14:textId="77777777" w:rsidR="00AD5A09" w:rsidRPr="00E35655" w:rsidRDefault="00AD5A09" w:rsidP="00AD5A09">
      <w:pPr>
        <w:rPr>
          <w:i/>
        </w:rPr>
      </w:pPr>
      <w:r w:rsidRPr="00E35655">
        <w:rPr>
          <w:i/>
        </w:rPr>
        <w:t>GlucaGen talpyklė:</w:t>
      </w:r>
    </w:p>
    <w:p w14:paraId="5053647C" w14:textId="77777777" w:rsidR="00AD5A09" w:rsidRPr="003D52E6" w:rsidRDefault="00AD5A09" w:rsidP="00AD5A09">
      <w:pPr>
        <w:rPr>
          <w:szCs w:val="22"/>
          <w:u w:val="single"/>
        </w:rPr>
      </w:pPr>
    </w:p>
    <w:p w14:paraId="2A42BE18" w14:textId="77777777" w:rsidR="00AD5A09" w:rsidRDefault="003A27F3" w:rsidP="00AD5A09">
      <w:pPr>
        <w:rPr>
          <w:szCs w:val="22"/>
        </w:rPr>
      </w:pPr>
      <w:r>
        <w:rPr>
          <w:szCs w:val="22"/>
        </w:rPr>
        <w:t xml:space="preserve">Flakonas </w:t>
      </w:r>
      <w:r w:rsidR="00AD5A09">
        <w:rPr>
          <w:szCs w:val="22"/>
        </w:rPr>
        <w:t xml:space="preserve">pagamintas iš I </w:t>
      </w:r>
      <w:r w:rsidR="00AD5A09" w:rsidRPr="008B53A3">
        <w:rPr>
          <w:szCs w:val="22"/>
        </w:rPr>
        <w:t>tipo stiklo</w:t>
      </w:r>
      <w:r w:rsidR="00AD5A09">
        <w:rPr>
          <w:szCs w:val="22"/>
        </w:rPr>
        <w:t xml:space="preserve"> pagal Europos farmakopėją</w:t>
      </w:r>
      <w:r w:rsidR="00AD5A09" w:rsidRPr="008B53A3">
        <w:rPr>
          <w:i/>
          <w:szCs w:val="22"/>
        </w:rPr>
        <w:t>,</w:t>
      </w:r>
      <w:r w:rsidR="00AD5A09">
        <w:rPr>
          <w:szCs w:val="22"/>
        </w:rPr>
        <w:t xml:space="preserve"> užkimštas bromobutilo kamščiu ir uždarytas aliuminio dangteliu.</w:t>
      </w:r>
    </w:p>
    <w:p w14:paraId="5D835869" w14:textId="77777777" w:rsidR="00AD5A09" w:rsidRDefault="00AD5A09" w:rsidP="00AD5A09">
      <w:pPr>
        <w:rPr>
          <w:szCs w:val="22"/>
        </w:rPr>
      </w:pPr>
    </w:p>
    <w:p w14:paraId="12E3AF1B" w14:textId="77777777" w:rsidR="00AD5A09" w:rsidRPr="00E35655" w:rsidRDefault="00AD5A09" w:rsidP="00AD5A09">
      <w:pPr>
        <w:rPr>
          <w:i/>
        </w:rPr>
      </w:pPr>
      <w:r w:rsidRPr="00E35655">
        <w:rPr>
          <w:i/>
        </w:rPr>
        <w:t>Tirpiklio talpyklė:</w:t>
      </w:r>
    </w:p>
    <w:p w14:paraId="43C1550F" w14:textId="77777777" w:rsidR="00AD5A09" w:rsidRPr="003D52E6" w:rsidRDefault="00AD5A09" w:rsidP="00AD5A09">
      <w:pPr>
        <w:rPr>
          <w:szCs w:val="22"/>
        </w:rPr>
      </w:pPr>
    </w:p>
    <w:p w14:paraId="6AE8E767" w14:textId="77777777" w:rsidR="00AD5A09" w:rsidRDefault="003A27F3" w:rsidP="00AD5A09">
      <w:pPr>
        <w:rPr>
          <w:szCs w:val="22"/>
        </w:rPr>
      </w:pPr>
      <w:r>
        <w:rPr>
          <w:szCs w:val="22"/>
        </w:rPr>
        <w:t xml:space="preserve">Flakonas </w:t>
      </w:r>
      <w:r w:rsidR="00AD5A09">
        <w:rPr>
          <w:szCs w:val="22"/>
        </w:rPr>
        <w:t xml:space="preserve">pagamintas iš I </w:t>
      </w:r>
      <w:r w:rsidR="00AD5A09" w:rsidRPr="008B53A3">
        <w:rPr>
          <w:szCs w:val="22"/>
        </w:rPr>
        <w:t>tipo stiklo</w:t>
      </w:r>
      <w:r w:rsidR="00AD5A09">
        <w:rPr>
          <w:szCs w:val="22"/>
        </w:rPr>
        <w:t xml:space="preserve"> pagal Europos farmakopėją</w:t>
      </w:r>
      <w:r w:rsidR="00AD5A09" w:rsidRPr="008B53A3">
        <w:rPr>
          <w:i/>
          <w:szCs w:val="22"/>
        </w:rPr>
        <w:t>,</w:t>
      </w:r>
      <w:r w:rsidR="00AD5A09">
        <w:rPr>
          <w:szCs w:val="22"/>
        </w:rPr>
        <w:t xml:space="preserve"> užkimštas bromobutilo kamščiu su teflonu ir uždarytas aliuminio dangteliu arba užpildytas švirkštas, pagamintas iš I tipo</w:t>
      </w:r>
      <w:r w:rsidR="00AD5A09">
        <w:rPr>
          <w:i/>
          <w:szCs w:val="22"/>
        </w:rPr>
        <w:t xml:space="preserve"> </w:t>
      </w:r>
      <w:r w:rsidR="00AD5A09">
        <w:rPr>
          <w:szCs w:val="22"/>
        </w:rPr>
        <w:t>stiklo pagal Europos farmakopėją, užkimštas stūmokliu (bromobutilo gumos) su adata.</w:t>
      </w:r>
    </w:p>
    <w:p w14:paraId="04025B26" w14:textId="77777777" w:rsidR="00AD5A09" w:rsidRDefault="00AD5A09" w:rsidP="00AD5A09">
      <w:pPr>
        <w:rPr>
          <w:szCs w:val="22"/>
        </w:rPr>
      </w:pPr>
    </w:p>
    <w:p w14:paraId="696F76AD" w14:textId="77777777" w:rsidR="00AD5A09" w:rsidRDefault="003A27F3" w:rsidP="00AD5A09">
      <w:pPr>
        <w:rPr>
          <w:szCs w:val="22"/>
        </w:rPr>
      </w:pPr>
      <w:r>
        <w:rPr>
          <w:szCs w:val="22"/>
        </w:rPr>
        <w:t xml:space="preserve">Flakonai </w:t>
      </w:r>
      <w:r w:rsidR="00AD5A09">
        <w:rPr>
          <w:szCs w:val="22"/>
        </w:rPr>
        <w:t>pateikiami su apsauginiu plastikiniu dangteliu, kuris turi būti nuimamas prieš vartojimą.</w:t>
      </w:r>
    </w:p>
    <w:p w14:paraId="7428BBB0" w14:textId="77777777" w:rsidR="00AD5A09" w:rsidRDefault="00AD5A09" w:rsidP="00AD5A09">
      <w:pPr>
        <w:rPr>
          <w:szCs w:val="22"/>
        </w:rPr>
      </w:pPr>
    </w:p>
    <w:p w14:paraId="59B53DE8" w14:textId="77777777" w:rsidR="00AD5A09" w:rsidRPr="00CF3F1F" w:rsidRDefault="00AD5A09" w:rsidP="00AD5A09">
      <w:pPr>
        <w:rPr>
          <w:szCs w:val="22"/>
        </w:rPr>
      </w:pPr>
      <w:r w:rsidRPr="00976D94">
        <w:lastRenderedPageBreak/>
        <w:t>Gali būti tiekiamos ne visų dydžių pakuotės</w:t>
      </w:r>
      <w:r w:rsidRPr="00CF3F1F">
        <w:t>.</w:t>
      </w:r>
    </w:p>
    <w:p w14:paraId="1914C793" w14:textId="77777777" w:rsidR="00AD5A09" w:rsidRDefault="00AD5A09" w:rsidP="00AD5A09">
      <w:pPr>
        <w:rPr>
          <w:szCs w:val="22"/>
        </w:rPr>
      </w:pPr>
    </w:p>
    <w:p w14:paraId="4D390128" w14:textId="77777777" w:rsidR="00AD5A09" w:rsidRDefault="00AD5A09" w:rsidP="00AD5A09">
      <w:pPr>
        <w:rPr>
          <w:b/>
          <w:szCs w:val="22"/>
        </w:rPr>
      </w:pPr>
      <w:r>
        <w:rPr>
          <w:b/>
          <w:szCs w:val="22"/>
        </w:rPr>
        <w:t>6.6</w:t>
      </w:r>
      <w:r>
        <w:rPr>
          <w:b/>
          <w:szCs w:val="22"/>
        </w:rPr>
        <w:tab/>
        <w:t>Specialūs reikalavimai atliekoms tvarkyti ir vaistiniam preparatui ruošti</w:t>
      </w:r>
    </w:p>
    <w:p w14:paraId="1EEE428F" w14:textId="77777777" w:rsidR="00AD5A09" w:rsidRDefault="00AD5A09" w:rsidP="00AD5A09">
      <w:pPr>
        <w:rPr>
          <w:szCs w:val="22"/>
        </w:rPr>
      </w:pPr>
    </w:p>
    <w:p w14:paraId="357C386C" w14:textId="77777777" w:rsidR="00AD5A09" w:rsidRPr="00E35655" w:rsidRDefault="00AD5A09" w:rsidP="00AD5A09">
      <w:pPr>
        <w:rPr>
          <w:b/>
        </w:rPr>
      </w:pPr>
      <w:r w:rsidRPr="00E35655">
        <w:rPr>
          <w:b/>
        </w:rPr>
        <w:t>Paruošimas</w:t>
      </w:r>
    </w:p>
    <w:p w14:paraId="798D6438" w14:textId="77777777" w:rsidR="00AD5A09" w:rsidRDefault="00AD5A09" w:rsidP="00AD5A09">
      <w:pPr>
        <w:rPr>
          <w:szCs w:val="22"/>
        </w:rPr>
      </w:pPr>
    </w:p>
    <w:p w14:paraId="404AA225" w14:textId="77777777" w:rsidR="00AD5A09" w:rsidRDefault="00AD5A09" w:rsidP="00AD5A09">
      <w:pPr>
        <w:rPr>
          <w:szCs w:val="22"/>
        </w:rPr>
      </w:pPr>
      <w:r w:rsidRPr="00CF3F1F">
        <w:rPr>
          <w:szCs w:val="22"/>
          <w:u w:val="single"/>
        </w:rPr>
        <w:t>GlucaGen 1</w:t>
      </w:r>
      <w:r>
        <w:rPr>
          <w:szCs w:val="22"/>
          <w:u w:val="single"/>
        </w:rPr>
        <w:t> </w:t>
      </w:r>
      <w:r w:rsidRPr="00CF3F1F">
        <w:rPr>
          <w:szCs w:val="22"/>
          <w:u w:val="single"/>
        </w:rPr>
        <w:t>mg:</w:t>
      </w:r>
    </w:p>
    <w:p w14:paraId="0A3B2B34" w14:textId="77777777" w:rsidR="00AD5A09" w:rsidRDefault="00AD5A09" w:rsidP="00AD5A09">
      <w:pPr>
        <w:rPr>
          <w:szCs w:val="22"/>
        </w:rPr>
      </w:pPr>
      <w:r>
        <w:rPr>
          <w:szCs w:val="22"/>
        </w:rPr>
        <w:t xml:space="preserve">Įtraukite </w:t>
      </w:r>
      <w:r w:rsidRPr="00CF3F1F">
        <w:rPr>
          <w:szCs w:val="22"/>
        </w:rPr>
        <w:t>1</w:t>
      </w:r>
      <w:r>
        <w:rPr>
          <w:szCs w:val="22"/>
        </w:rPr>
        <w:t>,</w:t>
      </w:r>
      <w:r w:rsidRPr="00CF3F1F">
        <w:rPr>
          <w:szCs w:val="22"/>
        </w:rPr>
        <w:t>1 ml</w:t>
      </w:r>
      <w:r>
        <w:rPr>
          <w:szCs w:val="22"/>
        </w:rPr>
        <w:t xml:space="preserve"> injekcinio vandens į vienkartinį švirkštą</w:t>
      </w:r>
      <w:r w:rsidRPr="00CF3F1F">
        <w:rPr>
          <w:szCs w:val="22"/>
        </w:rPr>
        <w:t>.</w:t>
      </w:r>
      <w:r>
        <w:rPr>
          <w:szCs w:val="22"/>
        </w:rPr>
        <w:t xml:space="preserve"> Suleiskite iš švirkšto injekcinį vandenį į </w:t>
      </w:r>
      <w:r w:rsidR="003A27F3">
        <w:rPr>
          <w:szCs w:val="22"/>
        </w:rPr>
        <w:t xml:space="preserve">flakoną </w:t>
      </w:r>
      <w:r>
        <w:rPr>
          <w:szCs w:val="22"/>
        </w:rPr>
        <w:t xml:space="preserve">su </w:t>
      </w:r>
      <w:r w:rsidRPr="00151159">
        <w:rPr>
          <w:szCs w:val="22"/>
        </w:rPr>
        <w:t>kompaktiniais</w:t>
      </w:r>
      <w:r>
        <w:rPr>
          <w:szCs w:val="22"/>
        </w:rPr>
        <w:t xml:space="preserve"> gliukagono milteliais. </w:t>
      </w:r>
    </w:p>
    <w:p w14:paraId="1AF5217D" w14:textId="77777777" w:rsidR="00AD5A09" w:rsidRDefault="00AD5A09" w:rsidP="00AD5A09">
      <w:pPr>
        <w:rPr>
          <w:szCs w:val="22"/>
        </w:rPr>
      </w:pPr>
      <w:r>
        <w:rPr>
          <w:szCs w:val="22"/>
        </w:rPr>
        <w:t xml:space="preserve">Švelniai pakratykite </w:t>
      </w:r>
      <w:r w:rsidR="003A27F3">
        <w:rPr>
          <w:szCs w:val="22"/>
        </w:rPr>
        <w:t>flakoną</w:t>
      </w:r>
      <w:r>
        <w:rPr>
          <w:szCs w:val="22"/>
        </w:rPr>
        <w:t>, kol gliukagonas visiškai ištirps ir tirpalas taps skaidrus. Ištraukite tirpalą atgal į švirkštą.</w:t>
      </w:r>
    </w:p>
    <w:p w14:paraId="491289B5" w14:textId="77777777" w:rsidR="00AD5A09" w:rsidRDefault="00AD5A09" w:rsidP="00AD5A09">
      <w:pPr>
        <w:rPr>
          <w:szCs w:val="22"/>
        </w:rPr>
      </w:pPr>
    </w:p>
    <w:p w14:paraId="6739C1AA" w14:textId="77777777" w:rsidR="00AD5A09" w:rsidRPr="00A50C32" w:rsidRDefault="00AD5A09" w:rsidP="00AD5A09">
      <w:pPr>
        <w:rPr>
          <w:u w:val="single"/>
        </w:rPr>
      </w:pPr>
      <w:r w:rsidRPr="00924EFA">
        <w:rPr>
          <w:u w:val="single"/>
        </w:rPr>
        <w:t>GlucaGen HypoKit 1 mg:</w:t>
      </w:r>
    </w:p>
    <w:p w14:paraId="2DC77997" w14:textId="77777777" w:rsidR="00AD5A09" w:rsidRDefault="00AD5A09" w:rsidP="00AD5A09">
      <w:pPr>
        <w:rPr>
          <w:szCs w:val="22"/>
        </w:rPr>
      </w:pPr>
      <w:r>
        <w:rPr>
          <w:szCs w:val="22"/>
        </w:rPr>
        <w:t xml:space="preserve">Suleiskite iš švirkšto injekcinį vandenį </w:t>
      </w:r>
      <w:r w:rsidRPr="00CF3F1F">
        <w:rPr>
          <w:szCs w:val="22"/>
        </w:rPr>
        <w:t>(1</w:t>
      </w:r>
      <w:r>
        <w:rPr>
          <w:szCs w:val="22"/>
        </w:rPr>
        <w:t>,</w:t>
      </w:r>
      <w:r w:rsidRPr="00CF3F1F">
        <w:rPr>
          <w:szCs w:val="22"/>
        </w:rPr>
        <w:t xml:space="preserve">1 ml) </w:t>
      </w:r>
      <w:r>
        <w:rPr>
          <w:szCs w:val="22"/>
        </w:rPr>
        <w:t xml:space="preserve">į </w:t>
      </w:r>
      <w:r w:rsidR="003A27F3">
        <w:rPr>
          <w:szCs w:val="22"/>
        </w:rPr>
        <w:t xml:space="preserve">flakoną </w:t>
      </w:r>
      <w:r>
        <w:rPr>
          <w:szCs w:val="22"/>
        </w:rPr>
        <w:t xml:space="preserve">su kompaktiniais gliukagono milteliais. </w:t>
      </w:r>
    </w:p>
    <w:p w14:paraId="58905FBC" w14:textId="77777777" w:rsidR="00AD5A09" w:rsidRDefault="00AD5A09" w:rsidP="00AD5A09">
      <w:pPr>
        <w:rPr>
          <w:szCs w:val="22"/>
        </w:rPr>
      </w:pPr>
      <w:r>
        <w:rPr>
          <w:szCs w:val="22"/>
        </w:rPr>
        <w:t xml:space="preserve">Švelniai pakratykite </w:t>
      </w:r>
      <w:r w:rsidR="003A27F3">
        <w:rPr>
          <w:szCs w:val="22"/>
        </w:rPr>
        <w:t>flakoną</w:t>
      </w:r>
      <w:r>
        <w:rPr>
          <w:szCs w:val="22"/>
        </w:rPr>
        <w:t>, kol gliukagonas visiškai ištirps ir tirpalas taps skaidrus. Ištraukite tirpalą atgal į švirkštą.</w:t>
      </w:r>
    </w:p>
    <w:p w14:paraId="35B58CE2" w14:textId="77777777" w:rsidR="00AD5A09" w:rsidRDefault="00AD5A09" w:rsidP="00AD5A09">
      <w:pPr>
        <w:rPr>
          <w:szCs w:val="22"/>
        </w:rPr>
      </w:pPr>
      <w:r>
        <w:rPr>
          <w:szCs w:val="22"/>
        </w:rPr>
        <w:t>Diagnostinėms procedūroms labiau tinka smulkiau graduotas švirkštas su plonesne adata.</w:t>
      </w:r>
    </w:p>
    <w:p w14:paraId="10EA8EEC" w14:textId="77777777" w:rsidR="00AD5A09" w:rsidRDefault="00AD5A09" w:rsidP="00AD5A09">
      <w:pPr>
        <w:rPr>
          <w:szCs w:val="22"/>
        </w:rPr>
      </w:pPr>
    </w:p>
    <w:p w14:paraId="1179BEE4" w14:textId="77777777" w:rsidR="00AD5A09" w:rsidRDefault="00AD5A09" w:rsidP="00AD5A09">
      <w:pPr>
        <w:rPr>
          <w:szCs w:val="22"/>
        </w:rPr>
      </w:pPr>
      <w:r>
        <w:rPr>
          <w:szCs w:val="22"/>
        </w:rPr>
        <w:t>Paruoštas skaidrus ir bespalvis tirpalas injekcijoms (1 mg (1 TV)/ml) gali būti leidžiamas po oda, į raumenis arba į veną (injekcija).</w:t>
      </w:r>
    </w:p>
    <w:p w14:paraId="069CEB6D" w14:textId="77777777" w:rsidR="00AD5A09" w:rsidRDefault="00AD5A09" w:rsidP="00AD5A09">
      <w:pPr>
        <w:rPr>
          <w:szCs w:val="22"/>
        </w:rPr>
      </w:pPr>
    </w:p>
    <w:p w14:paraId="4D0069B9" w14:textId="77777777" w:rsidR="00AD5A09" w:rsidRDefault="00AD5A09" w:rsidP="00AD5A09">
      <w:pPr>
        <w:rPr>
          <w:szCs w:val="22"/>
        </w:rPr>
      </w:pPr>
      <w:r>
        <w:rPr>
          <w:szCs w:val="22"/>
        </w:rPr>
        <w:t>Nesuvartotą vaistinį preparatą ar atliekas reikia tvarkyti laikantis vietinių reikalavimų.</w:t>
      </w:r>
    </w:p>
    <w:p w14:paraId="23E4AFBB" w14:textId="77777777" w:rsidR="00AD5A09" w:rsidRDefault="00AD5A09" w:rsidP="00AD5A09">
      <w:pPr>
        <w:rPr>
          <w:szCs w:val="22"/>
        </w:rPr>
      </w:pPr>
    </w:p>
    <w:p w14:paraId="17366464" w14:textId="77777777" w:rsidR="00AD5A09" w:rsidRDefault="00AD5A09" w:rsidP="00AD5A09">
      <w:pPr>
        <w:rPr>
          <w:szCs w:val="22"/>
        </w:rPr>
      </w:pPr>
    </w:p>
    <w:p w14:paraId="1CB6006F" w14:textId="77777777" w:rsidR="00AD5A09" w:rsidRDefault="00AD5A09" w:rsidP="00AD5A09">
      <w:pPr>
        <w:tabs>
          <w:tab w:val="left" w:pos="1080"/>
        </w:tabs>
        <w:rPr>
          <w:b/>
          <w:szCs w:val="22"/>
        </w:rPr>
      </w:pPr>
      <w:r>
        <w:rPr>
          <w:b/>
          <w:szCs w:val="22"/>
        </w:rPr>
        <w:t>7.</w:t>
      </w:r>
      <w:r>
        <w:rPr>
          <w:b/>
          <w:szCs w:val="22"/>
        </w:rPr>
        <w:tab/>
        <w:t>REGISTRUOTOJAS</w:t>
      </w:r>
    </w:p>
    <w:p w14:paraId="0D3B6D55" w14:textId="77777777" w:rsidR="00AD5A09" w:rsidRDefault="00AD5A09" w:rsidP="00AD5A09">
      <w:pPr>
        <w:rPr>
          <w:b/>
          <w:szCs w:val="22"/>
        </w:rPr>
      </w:pPr>
    </w:p>
    <w:p w14:paraId="3BDE0289" w14:textId="77777777" w:rsidR="00AD5A09" w:rsidRDefault="00AD5A09" w:rsidP="00AD5A09">
      <w:pPr>
        <w:rPr>
          <w:szCs w:val="22"/>
        </w:rPr>
      </w:pPr>
      <w:r>
        <w:rPr>
          <w:szCs w:val="22"/>
        </w:rPr>
        <w:t>Novo Nordisk A/S</w:t>
      </w:r>
    </w:p>
    <w:p w14:paraId="4F142580" w14:textId="77777777" w:rsidR="00AD5A09" w:rsidRDefault="00AD5A09" w:rsidP="00AD5A09">
      <w:pPr>
        <w:rPr>
          <w:szCs w:val="22"/>
        </w:rPr>
      </w:pPr>
      <w:r w:rsidRPr="00BF0EEA">
        <w:rPr>
          <w:szCs w:val="22"/>
          <w:lang w:val="pt-BR"/>
        </w:rPr>
        <w:t>Novo Allé</w:t>
      </w:r>
    </w:p>
    <w:p w14:paraId="52EF7046" w14:textId="77777777" w:rsidR="00AD5A09" w:rsidRDefault="00AD5A09" w:rsidP="00AD5A09">
      <w:pPr>
        <w:rPr>
          <w:szCs w:val="22"/>
        </w:rPr>
      </w:pPr>
      <w:r>
        <w:rPr>
          <w:szCs w:val="22"/>
        </w:rPr>
        <w:t>DK-2880 Bagsvaerd</w:t>
      </w:r>
    </w:p>
    <w:p w14:paraId="46B2FFED" w14:textId="77777777" w:rsidR="00AD5A09" w:rsidRDefault="00AD5A09" w:rsidP="00AD5A09">
      <w:pPr>
        <w:rPr>
          <w:szCs w:val="22"/>
        </w:rPr>
      </w:pPr>
      <w:r>
        <w:rPr>
          <w:szCs w:val="22"/>
        </w:rPr>
        <w:t>Danija</w:t>
      </w:r>
    </w:p>
    <w:p w14:paraId="5C110069" w14:textId="77777777" w:rsidR="00AD5A09" w:rsidRDefault="00AD5A09" w:rsidP="00AD5A09">
      <w:pPr>
        <w:rPr>
          <w:b/>
          <w:szCs w:val="22"/>
        </w:rPr>
      </w:pPr>
    </w:p>
    <w:p w14:paraId="1349A9C5" w14:textId="77777777" w:rsidR="00AD5A09" w:rsidRDefault="00AD5A09" w:rsidP="00AD5A09">
      <w:pPr>
        <w:rPr>
          <w:b/>
          <w:szCs w:val="22"/>
        </w:rPr>
      </w:pPr>
    </w:p>
    <w:p w14:paraId="0C029415" w14:textId="77777777" w:rsidR="00AD5A09" w:rsidRDefault="00AD5A09" w:rsidP="00AD5A09">
      <w:pPr>
        <w:tabs>
          <w:tab w:val="left" w:pos="1080"/>
        </w:tabs>
        <w:rPr>
          <w:b/>
          <w:szCs w:val="22"/>
        </w:rPr>
      </w:pPr>
      <w:r>
        <w:rPr>
          <w:b/>
          <w:szCs w:val="22"/>
        </w:rPr>
        <w:t>8.</w:t>
      </w:r>
      <w:r>
        <w:rPr>
          <w:b/>
          <w:szCs w:val="22"/>
        </w:rPr>
        <w:tab/>
        <w:t>REGISTRACIJOS PAŽYMĖJIMO NUMERIS</w:t>
      </w:r>
    </w:p>
    <w:p w14:paraId="59F78EDE" w14:textId="77777777" w:rsidR="00AD5A09" w:rsidRDefault="00AD5A09" w:rsidP="00AD5A09">
      <w:pPr>
        <w:rPr>
          <w:b/>
          <w:szCs w:val="22"/>
        </w:rPr>
      </w:pPr>
    </w:p>
    <w:p w14:paraId="0930BF0E" w14:textId="77777777" w:rsidR="00AD5A09" w:rsidRDefault="00AD5A09" w:rsidP="00AD5A09">
      <w:r w:rsidRPr="00CA49EA">
        <w:t>LT/</w:t>
      </w:r>
      <w:r w:rsidRPr="00E83E6A">
        <w:t>1/</w:t>
      </w:r>
      <w:r>
        <w:t>05</w:t>
      </w:r>
      <w:r w:rsidRPr="00E83E6A">
        <w:t>/</w:t>
      </w:r>
      <w:r>
        <w:t>0248</w:t>
      </w:r>
      <w:r w:rsidRPr="00E83E6A">
        <w:t>/</w:t>
      </w:r>
      <w:r>
        <w:t>001</w:t>
      </w:r>
    </w:p>
    <w:p w14:paraId="2E1E3ED9" w14:textId="77777777" w:rsidR="00AD5A09" w:rsidRDefault="00AD5A09" w:rsidP="00AD5A09">
      <w:pPr>
        <w:rPr>
          <w:b/>
          <w:szCs w:val="22"/>
        </w:rPr>
      </w:pPr>
    </w:p>
    <w:p w14:paraId="595DDE9A" w14:textId="77777777" w:rsidR="00AD5A09" w:rsidRDefault="00AD5A09" w:rsidP="00AD5A09">
      <w:pPr>
        <w:rPr>
          <w:b/>
          <w:szCs w:val="22"/>
        </w:rPr>
      </w:pPr>
    </w:p>
    <w:p w14:paraId="013196A3" w14:textId="77777777" w:rsidR="00AD5A09" w:rsidRDefault="00AD5A09" w:rsidP="00AD5A09">
      <w:pPr>
        <w:tabs>
          <w:tab w:val="left" w:pos="1080"/>
        </w:tabs>
        <w:rPr>
          <w:b/>
          <w:szCs w:val="22"/>
        </w:rPr>
      </w:pPr>
      <w:r>
        <w:rPr>
          <w:b/>
          <w:szCs w:val="22"/>
        </w:rPr>
        <w:t>9.</w:t>
      </w:r>
      <w:r>
        <w:rPr>
          <w:b/>
          <w:szCs w:val="22"/>
        </w:rPr>
        <w:tab/>
        <w:t>REGISTRAVIMO/ PERREGISTRAVIMO DATA</w:t>
      </w:r>
    </w:p>
    <w:p w14:paraId="666C92C6" w14:textId="77777777" w:rsidR="00AD5A09" w:rsidRDefault="00AD5A09" w:rsidP="00AD5A09">
      <w:pPr>
        <w:rPr>
          <w:b/>
          <w:szCs w:val="22"/>
        </w:rPr>
      </w:pPr>
    </w:p>
    <w:p w14:paraId="6E47B289" w14:textId="77777777" w:rsidR="00AD5A09" w:rsidRDefault="00AD5A09" w:rsidP="00AD5A09">
      <w:pPr>
        <w:rPr>
          <w:szCs w:val="22"/>
        </w:rPr>
      </w:pPr>
      <w:r>
        <w:t>Registravimo data</w:t>
      </w:r>
      <w:r>
        <w:rPr>
          <w:szCs w:val="22"/>
        </w:rPr>
        <w:t>: 2005 m. birželio 29 d.</w:t>
      </w:r>
    </w:p>
    <w:p w14:paraId="4F9919B2" w14:textId="77777777" w:rsidR="00AD5A09" w:rsidRPr="00270682" w:rsidRDefault="00AD5A09" w:rsidP="00AD5A09">
      <w:pPr>
        <w:rPr>
          <w:szCs w:val="22"/>
        </w:rPr>
      </w:pPr>
      <w:r>
        <w:rPr>
          <w:szCs w:val="22"/>
        </w:rPr>
        <w:t>Paskutinio perregistravimo data: 2007 m. balandžio 12 d.</w:t>
      </w:r>
    </w:p>
    <w:p w14:paraId="3F7B991B" w14:textId="77777777" w:rsidR="00AD5A09" w:rsidRPr="00270682" w:rsidRDefault="00AD5A09" w:rsidP="00AD5A09">
      <w:pPr>
        <w:rPr>
          <w:szCs w:val="22"/>
        </w:rPr>
      </w:pPr>
    </w:p>
    <w:p w14:paraId="03AD79AD" w14:textId="77777777" w:rsidR="00AD5A09" w:rsidRDefault="00AD5A09" w:rsidP="00AD5A09">
      <w:pPr>
        <w:rPr>
          <w:b/>
          <w:szCs w:val="22"/>
        </w:rPr>
      </w:pPr>
    </w:p>
    <w:p w14:paraId="3121A5A9" w14:textId="77777777" w:rsidR="00AD5A09" w:rsidRDefault="00AD5A09" w:rsidP="00AD5A09">
      <w:pPr>
        <w:tabs>
          <w:tab w:val="left" w:pos="1080"/>
        </w:tabs>
        <w:rPr>
          <w:b/>
          <w:szCs w:val="22"/>
        </w:rPr>
      </w:pPr>
      <w:r>
        <w:rPr>
          <w:b/>
          <w:szCs w:val="22"/>
        </w:rPr>
        <w:t>10.</w:t>
      </w:r>
      <w:r>
        <w:rPr>
          <w:b/>
          <w:szCs w:val="22"/>
        </w:rPr>
        <w:tab/>
        <w:t>TEKSTO PERŽIŪROS DATA</w:t>
      </w:r>
    </w:p>
    <w:p w14:paraId="72DD06A1" w14:textId="77777777" w:rsidR="00AD5A09" w:rsidRDefault="00AD5A09" w:rsidP="00AD5A09">
      <w:pPr>
        <w:rPr>
          <w:b/>
          <w:szCs w:val="22"/>
        </w:rPr>
      </w:pPr>
    </w:p>
    <w:p w14:paraId="4EE34A80" w14:textId="4E0385FE" w:rsidR="00AD5A09" w:rsidRDefault="00437BEA" w:rsidP="00AD5A09">
      <w:pPr>
        <w:rPr>
          <w:caps/>
          <w:szCs w:val="22"/>
        </w:rPr>
      </w:pPr>
      <w:r>
        <w:rPr>
          <w:szCs w:val="22"/>
        </w:rPr>
        <w:t>2022 m. gruodžio 2 d.</w:t>
      </w:r>
    </w:p>
    <w:p w14:paraId="2EA38D9C" w14:textId="77777777" w:rsidR="007634E3" w:rsidRDefault="007634E3" w:rsidP="00AD5A09">
      <w:pPr>
        <w:widowControl w:val="0"/>
        <w:ind w:right="-142"/>
      </w:pPr>
    </w:p>
    <w:p w14:paraId="00ADE2C7" w14:textId="3663D307" w:rsidR="00AD5A09" w:rsidRDefault="00AD5A09" w:rsidP="00AD5A09">
      <w:pPr>
        <w:widowControl w:val="0"/>
        <w:ind w:right="-142"/>
      </w:pPr>
      <w:r w:rsidRPr="00C829A1">
        <w:t>Išsami informacija apie šį vaistinį preparatą pateikiama Valstybinės vaistų kontrolės tarnybos prie Lietuvos Respublikos  sveikatos apsaugos ministerijos tinklalapyje http://www.vvkt.lt</w:t>
      </w:r>
    </w:p>
    <w:p w14:paraId="29E18A57" w14:textId="77777777" w:rsidR="00AD5A09" w:rsidRPr="008C56D2" w:rsidRDefault="00AD5A09" w:rsidP="00AD5A09">
      <w:pPr>
        <w:rPr>
          <w:caps/>
          <w:szCs w:val="22"/>
        </w:rPr>
      </w:pPr>
    </w:p>
    <w:p w14:paraId="4C84FF3A" w14:textId="77777777" w:rsidR="00AD5A09" w:rsidRDefault="00AD5A09" w:rsidP="00AD5A09">
      <w:pPr>
        <w:rPr>
          <w:szCs w:val="22"/>
        </w:rPr>
      </w:pPr>
      <w:r>
        <w:rPr>
          <w:szCs w:val="22"/>
        </w:rPr>
        <w:br w:type="page"/>
      </w:r>
    </w:p>
    <w:p w14:paraId="25402E53" w14:textId="77777777" w:rsidR="00AD5A09" w:rsidRDefault="00AD5A09" w:rsidP="00AD5A09">
      <w:pPr>
        <w:rPr>
          <w:szCs w:val="22"/>
        </w:rPr>
      </w:pPr>
    </w:p>
    <w:p w14:paraId="2A3DE4A5" w14:textId="77777777" w:rsidR="00AD5A09" w:rsidRDefault="00AD5A09" w:rsidP="00AD5A09">
      <w:pPr>
        <w:rPr>
          <w:szCs w:val="22"/>
        </w:rPr>
      </w:pPr>
    </w:p>
    <w:p w14:paraId="23795427" w14:textId="77777777" w:rsidR="00AD5A09" w:rsidRDefault="00AD5A09" w:rsidP="00AD5A09">
      <w:pPr>
        <w:rPr>
          <w:szCs w:val="22"/>
        </w:rPr>
      </w:pPr>
    </w:p>
    <w:p w14:paraId="009E1737" w14:textId="77777777" w:rsidR="00AD5A09" w:rsidRDefault="00AD5A09" w:rsidP="00AD5A09">
      <w:pPr>
        <w:rPr>
          <w:szCs w:val="22"/>
        </w:rPr>
      </w:pPr>
    </w:p>
    <w:p w14:paraId="4BED518D" w14:textId="77777777" w:rsidR="00AD5A09" w:rsidRDefault="00AD5A09" w:rsidP="00AD5A09">
      <w:pPr>
        <w:rPr>
          <w:szCs w:val="22"/>
        </w:rPr>
      </w:pPr>
    </w:p>
    <w:p w14:paraId="6A5E6D61" w14:textId="77777777" w:rsidR="00AD5A09" w:rsidRDefault="00AD5A09" w:rsidP="00AD5A09">
      <w:pPr>
        <w:rPr>
          <w:szCs w:val="22"/>
        </w:rPr>
      </w:pPr>
    </w:p>
    <w:p w14:paraId="439721C4" w14:textId="77777777" w:rsidR="00AD5A09" w:rsidRDefault="00AD5A09" w:rsidP="00AD5A09">
      <w:pPr>
        <w:rPr>
          <w:szCs w:val="22"/>
        </w:rPr>
      </w:pPr>
    </w:p>
    <w:p w14:paraId="17F73BE4" w14:textId="77777777" w:rsidR="00AD5A09" w:rsidRDefault="00AD5A09" w:rsidP="00AD5A09">
      <w:pPr>
        <w:rPr>
          <w:szCs w:val="22"/>
        </w:rPr>
      </w:pPr>
    </w:p>
    <w:p w14:paraId="02C14B96" w14:textId="77777777" w:rsidR="00AD5A09" w:rsidRDefault="00AD5A09" w:rsidP="00AD5A09">
      <w:pPr>
        <w:rPr>
          <w:szCs w:val="22"/>
        </w:rPr>
      </w:pPr>
    </w:p>
    <w:p w14:paraId="4C7D5DFB" w14:textId="77777777" w:rsidR="00AD5A09" w:rsidRDefault="00AD5A09" w:rsidP="00AD5A09">
      <w:pPr>
        <w:rPr>
          <w:szCs w:val="22"/>
        </w:rPr>
      </w:pPr>
    </w:p>
    <w:p w14:paraId="008B51A3" w14:textId="77777777" w:rsidR="00AD5A09" w:rsidRDefault="00AD5A09" w:rsidP="00AD5A09">
      <w:pPr>
        <w:rPr>
          <w:szCs w:val="22"/>
        </w:rPr>
      </w:pPr>
    </w:p>
    <w:p w14:paraId="7BC79076" w14:textId="77777777" w:rsidR="00AD5A09" w:rsidRDefault="00AD5A09" w:rsidP="00AD5A09">
      <w:pPr>
        <w:rPr>
          <w:szCs w:val="22"/>
        </w:rPr>
      </w:pPr>
    </w:p>
    <w:p w14:paraId="31FDEC31" w14:textId="77777777" w:rsidR="00AD5A09" w:rsidRDefault="00AD5A09" w:rsidP="00AD5A09">
      <w:pPr>
        <w:rPr>
          <w:b/>
          <w:szCs w:val="22"/>
        </w:rPr>
      </w:pPr>
    </w:p>
    <w:p w14:paraId="755AD369" w14:textId="77777777" w:rsidR="00AD5A09" w:rsidRDefault="00AD5A09" w:rsidP="00AD5A09">
      <w:pPr>
        <w:rPr>
          <w:b/>
          <w:szCs w:val="22"/>
        </w:rPr>
      </w:pPr>
    </w:p>
    <w:p w14:paraId="386D6B84" w14:textId="77777777" w:rsidR="00AD5A09" w:rsidRDefault="00AD5A09" w:rsidP="00AD5A09">
      <w:pPr>
        <w:rPr>
          <w:b/>
          <w:szCs w:val="22"/>
        </w:rPr>
      </w:pPr>
    </w:p>
    <w:p w14:paraId="58C270E8" w14:textId="77777777" w:rsidR="00AD5A09" w:rsidRDefault="00AD5A09" w:rsidP="00AD5A09">
      <w:pPr>
        <w:rPr>
          <w:b/>
          <w:szCs w:val="22"/>
        </w:rPr>
      </w:pPr>
    </w:p>
    <w:p w14:paraId="367258D6" w14:textId="77777777" w:rsidR="00AD5A09" w:rsidRDefault="00AD5A09" w:rsidP="00AD5A09">
      <w:pPr>
        <w:rPr>
          <w:b/>
          <w:szCs w:val="22"/>
        </w:rPr>
      </w:pPr>
    </w:p>
    <w:p w14:paraId="5BC6DA70" w14:textId="77777777" w:rsidR="00AD5A09" w:rsidRDefault="00AD5A09" w:rsidP="00AD5A09">
      <w:pPr>
        <w:rPr>
          <w:b/>
          <w:szCs w:val="22"/>
        </w:rPr>
      </w:pPr>
    </w:p>
    <w:p w14:paraId="76B6EC93" w14:textId="77777777" w:rsidR="00AD5A09" w:rsidRDefault="00AD5A09" w:rsidP="00AD5A09">
      <w:pPr>
        <w:rPr>
          <w:b/>
          <w:szCs w:val="22"/>
        </w:rPr>
      </w:pPr>
    </w:p>
    <w:p w14:paraId="629EC733" w14:textId="77777777" w:rsidR="00AD5A09" w:rsidRDefault="00AD5A09" w:rsidP="00AD5A09">
      <w:pPr>
        <w:rPr>
          <w:b/>
          <w:szCs w:val="22"/>
        </w:rPr>
      </w:pPr>
    </w:p>
    <w:p w14:paraId="004CDCDA" w14:textId="77777777" w:rsidR="00AD5A09" w:rsidRDefault="00AD5A09" w:rsidP="00AD5A09">
      <w:pPr>
        <w:rPr>
          <w:b/>
          <w:szCs w:val="22"/>
        </w:rPr>
      </w:pPr>
    </w:p>
    <w:p w14:paraId="1FC14B33" w14:textId="77777777" w:rsidR="00AD5A09" w:rsidRDefault="00AD5A09" w:rsidP="00AD5A09">
      <w:pPr>
        <w:rPr>
          <w:b/>
          <w:szCs w:val="22"/>
        </w:rPr>
      </w:pPr>
    </w:p>
    <w:p w14:paraId="556E9940" w14:textId="77777777" w:rsidR="00AD5A09" w:rsidRDefault="00AD5A09" w:rsidP="00AD5A09">
      <w:pPr>
        <w:jc w:val="center"/>
        <w:rPr>
          <w:b/>
          <w:szCs w:val="22"/>
        </w:rPr>
      </w:pPr>
      <w:r>
        <w:rPr>
          <w:b/>
          <w:szCs w:val="22"/>
        </w:rPr>
        <w:t>II PRIEDAS</w:t>
      </w:r>
    </w:p>
    <w:p w14:paraId="0EFA1D8B" w14:textId="77777777" w:rsidR="00AD5A09" w:rsidRDefault="00AD5A09" w:rsidP="00AD5A09">
      <w:pPr>
        <w:jc w:val="center"/>
        <w:rPr>
          <w:b/>
          <w:szCs w:val="22"/>
        </w:rPr>
      </w:pPr>
    </w:p>
    <w:p w14:paraId="2C4C298D" w14:textId="77777777" w:rsidR="00AD5A09" w:rsidRDefault="00AD5A09" w:rsidP="00AD5A09">
      <w:pPr>
        <w:jc w:val="center"/>
        <w:rPr>
          <w:b/>
          <w:szCs w:val="22"/>
        </w:rPr>
      </w:pPr>
      <w:r w:rsidRPr="00A50C32">
        <w:rPr>
          <w:b/>
          <w:szCs w:val="22"/>
        </w:rPr>
        <w:t>REGISTRACIJOS SĄLYGOS</w:t>
      </w:r>
    </w:p>
    <w:p w14:paraId="00E2C7B7" w14:textId="77777777" w:rsidR="00AD5A09" w:rsidRDefault="00AD5A09" w:rsidP="00AD5A09">
      <w:pPr>
        <w:rPr>
          <w:b/>
          <w:szCs w:val="22"/>
        </w:rPr>
      </w:pPr>
    </w:p>
    <w:p w14:paraId="17146185" w14:textId="77777777" w:rsidR="00AD5A09" w:rsidRDefault="00AD5A09" w:rsidP="00AD5A09">
      <w:pPr>
        <w:numPr>
          <w:ilvl w:val="0"/>
          <w:numId w:val="12"/>
        </w:numPr>
        <w:tabs>
          <w:tab w:val="clear" w:pos="567"/>
        </w:tabs>
        <w:suppressAutoHyphens w:val="0"/>
        <w:ind w:left="709" w:hanging="709"/>
        <w:rPr>
          <w:b/>
          <w:szCs w:val="22"/>
        </w:rPr>
      </w:pPr>
      <w:r>
        <w:rPr>
          <w:b/>
          <w:szCs w:val="22"/>
        </w:rPr>
        <w:t xml:space="preserve">BIOLOGINĖS VEIKLIOSIOS MEDŽIAGOS GAMINTOJAS IR GAMINTOJAS , ATSAKINGAS UŽ SERIJŲ IŠLEIDIMĄ </w:t>
      </w:r>
    </w:p>
    <w:p w14:paraId="03EDDAFA" w14:textId="77777777" w:rsidR="00AD5A09" w:rsidRDefault="00AD5A09" w:rsidP="00AD5A09">
      <w:pPr>
        <w:rPr>
          <w:b/>
          <w:szCs w:val="22"/>
        </w:rPr>
      </w:pPr>
    </w:p>
    <w:p w14:paraId="56F65584" w14:textId="77777777" w:rsidR="00AD5A09" w:rsidRDefault="00AD5A09" w:rsidP="00AD5A09">
      <w:pPr>
        <w:numPr>
          <w:ilvl w:val="0"/>
          <w:numId w:val="12"/>
        </w:numPr>
        <w:tabs>
          <w:tab w:val="clear" w:pos="567"/>
        </w:tabs>
        <w:suppressAutoHyphens w:val="0"/>
        <w:ind w:left="0" w:firstLine="0"/>
        <w:rPr>
          <w:b/>
          <w:szCs w:val="22"/>
        </w:rPr>
      </w:pPr>
      <w:r w:rsidRPr="00FB4C45">
        <w:rPr>
          <w:b/>
        </w:rPr>
        <w:t>TIEKIMO IR VARTOJIMO SĄLYGOS AR APRIBOJIMAI</w:t>
      </w:r>
      <w:r>
        <w:rPr>
          <w:b/>
          <w:szCs w:val="22"/>
        </w:rPr>
        <w:t xml:space="preserve"> </w:t>
      </w:r>
    </w:p>
    <w:p w14:paraId="433B7CFC" w14:textId="77777777" w:rsidR="00AD5A09" w:rsidRDefault="00AD5A09" w:rsidP="00AD5A09">
      <w:pPr>
        <w:tabs>
          <w:tab w:val="clear" w:pos="567"/>
        </w:tabs>
        <w:suppressAutoHyphens w:val="0"/>
        <w:rPr>
          <w:b/>
          <w:szCs w:val="22"/>
        </w:rPr>
      </w:pPr>
    </w:p>
    <w:p w14:paraId="5C36B167" w14:textId="77777777" w:rsidR="00AD5A09" w:rsidRDefault="00AD5A09" w:rsidP="00AD5A09">
      <w:pPr>
        <w:numPr>
          <w:ilvl w:val="0"/>
          <w:numId w:val="12"/>
        </w:numPr>
        <w:tabs>
          <w:tab w:val="clear" w:pos="567"/>
        </w:tabs>
        <w:suppressAutoHyphens w:val="0"/>
        <w:ind w:left="709" w:hanging="709"/>
        <w:rPr>
          <w:b/>
          <w:szCs w:val="22"/>
        </w:rPr>
      </w:pPr>
      <w:r w:rsidRPr="00FB4C45">
        <w:rPr>
          <w:b/>
        </w:rPr>
        <w:t xml:space="preserve">KITOS SĄLYGOS IR REIKALAVIMAI </w:t>
      </w:r>
      <w:r>
        <w:rPr>
          <w:b/>
        </w:rPr>
        <w:t>REGISTRUOTOJUI</w:t>
      </w:r>
      <w:r>
        <w:rPr>
          <w:b/>
          <w:szCs w:val="22"/>
        </w:rPr>
        <w:t xml:space="preserve"> </w:t>
      </w:r>
    </w:p>
    <w:p w14:paraId="39409ECD" w14:textId="77777777" w:rsidR="00AD5A09" w:rsidRDefault="00AD5A09" w:rsidP="00AD5A09">
      <w:pPr>
        <w:pStyle w:val="Sraopastraipa"/>
        <w:rPr>
          <w:b/>
          <w:szCs w:val="22"/>
        </w:rPr>
      </w:pPr>
    </w:p>
    <w:p w14:paraId="7F18E4E7" w14:textId="77777777" w:rsidR="00AD5A09" w:rsidRPr="00E46F21" w:rsidRDefault="00AD5A09" w:rsidP="00AD5A09">
      <w:pPr>
        <w:pStyle w:val="Sraopastraipa"/>
        <w:tabs>
          <w:tab w:val="clear" w:pos="567"/>
          <w:tab w:val="left" w:pos="0"/>
        </w:tabs>
        <w:ind w:right="567" w:hanging="720"/>
        <w:rPr>
          <w:b/>
        </w:rPr>
      </w:pPr>
      <w:r w:rsidRPr="00E46F21">
        <w:rPr>
          <w:b/>
        </w:rPr>
        <w:t>D.</w:t>
      </w:r>
      <w:r w:rsidRPr="00E46F21">
        <w:rPr>
          <w:b/>
        </w:rPr>
        <w:tab/>
      </w:r>
      <w:r w:rsidRPr="00E46F21">
        <w:rPr>
          <w:b/>
          <w:caps/>
        </w:rPr>
        <w:t>SĄLYGOS AR APRIBOJIMAI SAUGIAM IR VEIKSMINGAM VAISTINIO PREPARATO VARTOJIMUI UŽTIKRINTI</w:t>
      </w:r>
    </w:p>
    <w:p w14:paraId="7912683A" w14:textId="77777777" w:rsidR="00AD5A09" w:rsidRDefault="00AD5A09" w:rsidP="00AD5A09">
      <w:pPr>
        <w:tabs>
          <w:tab w:val="clear" w:pos="567"/>
        </w:tabs>
        <w:suppressAutoHyphens w:val="0"/>
        <w:ind w:left="709"/>
        <w:rPr>
          <w:b/>
          <w:szCs w:val="22"/>
        </w:rPr>
      </w:pPr>
    </w:p>
    <w:p w14:paraId="52357214" w14:textId="77777777" w:rsidR="00AD5A09" w:rsidRDefault="00AD5A09" w:rsidP="00AD5A09">
      <w:pPr>
        <w:tabs>
          <w:tab w:val="clear" w:pos="567"/>
        </w:tabs>
        <w:suppressAutoHyphens w:val="0"/>
        <w:rPr>
          <w:b/>
          <w:szCs w:val="22"/>
        </w:rPr>
      </w:pPr>
    </w:p>
    <w:p w14:paraId="67665097" w14:textId="77777777" w:rsidR="00AD5A09" w:rsidRDefault="00AD5A09" w:rsidP="00AD5A09">
      <w:pPr>
        <w:rPr>
          <w:b/>
          <w:szCs w:val="22"/>
        </w:rPr>
      </w:pPr>
    </w:p>
    <w:p w14:paraId="5B2E9D33" w14:textId="77777777" w:rsidR="00AD5A09" w:rsidRDefault="00AD5A09" w:rsidP="00AD5A09">
      <w:pPr>
        <w:numPr>
          <w:ilvl w:val="0"/>
          <w:numId w:val="13"/>
        </w:numPr>
        <w:tabs>
          <w:tab w:val="clear" w:pos="567"/>
        </w:tabs>
        <w:suppressAutoHyphens w:val="0"/>
        <w:ind w:left="709" w:hanging="709"/>
        <w:rPr>
          <w:b/>
          <w:szCs w:val="22"/>
        </w:rPr>
      </w:pPr>
      <w:r>
        <w:rPr>
          <w:b/>
          <w:szCs w:val="22"/>
        </w:rPr>
        <w:br w:type="page"/>
      </w:r>
      <w:r w:rsidRPr="00C619CD">
        <w:rPr>
          <w:b/>
          <w:szCs w:val="22"/>
        </w:rPr>
        <w:lastRenderedPageBreak/>
        <w:t>BIOLOGINĖS VEIKLIOSIOS MEDŽIAGOS GAMINTOJAS IR GAMINTOJAS , ATSAKINGAS UŽ SERIJ</w:t>
      </w:r>
      <w:r>
        <w:rPr>
          <w:b/>
          <w:szCs w:val="22"/>
        </w:rPr>
        <w:t>Ų</w:t>
      </w:r>
      <w:r w:rsidRPr="00C619CD">
        <w:rPr>
          <w:b/>
          <w:szCs w:val="22"/>
        </w:rPr>
        <w:t xml:space="preserve"> IŠLEIDIMĄ</w:t>
      </w:r>
    </w:p>
    <w:p w14:paraId="2651A065" w14:textId="77777777" w:rsidR="00AD5A09" w:rsidRDefault="00AD5A09" w:rsidP="00AD5A09">
      <w:pPr>
        <w:tabs>
          <w:tab w:val="num" w:pos="0"/>
        </w:tabs>
        <w:rPr>
          <w:b/>
          <w:szCs w:val="22"/>
        </w:rPr>
      </w:pPr>
    </w:p>
    <w:p w14:paraId="248307A1" w14:textId="77777777" w:rsidR="00AD5A09" w:rsidRDefault="00AD5A09" w:rsidP="00AD5A09">
      <w:pPr>
        <w:tabs>
          <w:tab w:val="num" w:pos="0"/>
        </w:tabs>
        <w:rPr>
          <w:szCs w:val="22"/>
          <w:u w:val="single"/>
        </w:rPr>
      </w:pPr>
      <w:r>
        <w:rPr>
          <w:szCs w:val="22"/>
          <w:u w:val="single"/>
        </w:rPr>
        <w:t>Biologinės veikliosios medžiagos gamintojo pavadinimas ir adresas</w:t>
      </w:r>
    </w:p>
    <w:p w14:paraId="51C86329" w14:textId="77777777" w:rsidR="00AD5A09" w:rsidRDefault="00AD5A09" w:rsidP="00AD5A09">
      <w:pPr>
        <w:tabs>
          <w:tab w:val="num" w:pos="0"/>
        </w:tabs>
        <w:rPr>
          <w:b/>
          <w:szCs w:val="22"/>
        </w:rPr>
      </w:pPr>
    </w:p>
    <w:p w14:paraId="0F90F42A" w14:textId="77777777" w:rsidR="00AD5A09" w:rsidRDefault="00AD5A09" w:rsidP="00AD5A09">
      <w:pPr>
        <w:tabs>
          <w:tab w:val="num" w:pos="0"/>
        </w:tabs>
        <w:rPr>
          <w:szCs w:val="22"/>
        </w:rPr>
      </w:pPr>
      <w:r>
        <w:rPr>
          <w:szCs w:val="22"/>
        </w:rPr>
        <w:t>Novo Nordisk A/S</w:t>
      </w:r>
    </w:p>
    <w:p w14:paraId="46F3A1AF" w14:textId="77777777" w:rsidR="00AD5A09" w:rsidRDefault="00AD5A09" w:rsidP="00AD5A09">
      <w:pPr>
        <w:tabs>
          <w:tab w:val="num" w:pos="0"/>
        </w:tabs>
        <w:rPr>
          <w:szCs w:val="22"/>
        </w:rPr>
      </w:pPr>
      <w:r w:rsidRPr="00BF0EEA">
        <w:rPr>
          <w:szCs w:val="22"/>
          <w:lang w:val="pt-BR"/>
        </w:rPr>
        <w:t>Novo Allé</w:t>
      </w:r>
    </w:p>
    <w:p w14:paraId="0B8E99C8" w14:textId="77777777" w:rsidR="00AD5A09" w:rsidRDefault="00AD5A09" w:rsidP="00AD5A09">
      <w:pPr>
        <w:tabs>
          <w:tab w:val="num" w:pos="0"/>
        </w:tabs>
        <w:rPr>
          <w:szCs w:val="22"/>
        </w:rPr>
      </w:pPr>
      <w:r>
        <w:rPr>
          <w:szCs w:val="22"/>
        </w:rPr>
        <w:t>DK-2880 Bagsvaerd</w:t>
      </w:r>
    </w:p>
    <w:p w14:paraId="78AE5403" w14:textId="77777777" w:rsidR="00AD5A09" w:rsidRDefault="00AD5A09" w:rsidP="00AD5A09">
      <w:pPr>
        <w:tabs>
          <w:tab w:val="num" w:pos="0"/>
        </w:tabs>
        <w:rPr>
          <w:szCs w:val="22"/>
        </w:rPr>
      </w:pPr>
      <w:r>
        <w:rPr>
          <w:szCs w:val="22"/>
        </w:rPr>
        <w:t>Danija</w:t>
      </w:r>
    </w:p>
    <w:p w14:paraId="52D9E66F" w14:textId="77777777" w:rsidR="00AD5A09" w:rsidRDefault="00AD5A09" w:rsidP="00AD5A09">
      <w:pPr>
        <w:tabs>
          <w:tab w:val="num" w:pos="0"/>
        </w:tabs>
        <w:rPr>
          <w:b/>
          <w:szCs w:val="22"/>
        </w:rPr>
      </w:pPr>
    </w:p>
    <w:p w14:paraId="0C6A072B" w14:textId="77777777" w:rsidR="00AD5A09" w:rsidRDefault="00AD5A09" w:rsidP="00AD5A09">
      <w:pPr>
        <w:tabs>
          <w:tab w:val="num" w:pos="0"/>
        </w:tabs>
        <w:rPr>
          <w:b/>
          <w:szCs w:val="22"/>
        </w:rPr>
      </w:pPr>
    </w:p>
    <w:p w14:paraId="5AA1C41A" w14:textId="77777777" w:rsidR="00AD5A09" w:rsidRDefault="00AD5A09" w:rsidP="00AD5A09">
      <w:pPr>
        <w:tabs>
          <w:tab w:val="num" w:pos="0"/>
        </w:tabs>
        <w:rPr>
          <w:szCs w:val="22"/>
          <w:u w:val="single"/>
        </w:rPr>
      </w:pPr>
      <w:r>
        <w:rPr>
          <w:szCs w:val="22"/>
          <w:u w:val="single"/>
        </w:rPr>
        <w:t>Gamintojo, atsakingo už serijų išleidimą, pavadinimas ir adresas</w:t>
      </w:r>
    </w:p>
    <w:p w14:paraId="0AECFE3A" w14:textId="77777777" w:rsidR="00AD5A09" w:rsidRDefault="00AD5A09" w:rsidP="00AD5A09">
      <w:pPr>
        <w:tabs>
          <w:tab w:val="num" w:pos="0"/>
        </w:tabs>
        <w:rPr>
          <w:b/>
          <w:szCs w:val="22"/>
        </w:rPr>
      </w:pPr>
    </w:p>
    <w:p w14:paraId="40E1B64F" w14:textId="77777777" w:rsidR="00AD5A09" w:rsidRDefault="00AD5A09" w:rsidP="00AD5A09">
      <w:pPr>
        <w:tabs>
          <w:tab w:val="num" w:pos="0"/>
        </w:tabs>
        <w:rPr>
          <w:szCs w:val="22"/>
        </w:rPr>
      </w:pPr>
      <w:r>
        <w:rPr>
          <w:szCs w:val="22"/>
        </w:rPr>
        <w:t>Novo Nordisk A/S</w:t>
      </w:r>
    </w:p>
    <w:p w14:paraId="2E1BDA3A" w14:textId="77777777" w:rsidR="00AD5A09" w:rsidRDefault="00AD5A09" w:rsidP="00AD5A09">
      <w:pPr>
        <w:tabs>
          <w:tab w:val="num" w:pos="0"/>
        </w:tabs>
        <w:rPr>
          <w:szCs w:val="22"/>
        </w:rPr>
      </w:pPr>
      <w:r w:rsidRPr="00BF0EEA">
        <w:rPr>
          <w:szCs w:val="22"/>
          <w:lang w:val="pt-BR"/>
        </w:rPr>
        <w:t>Novo Allé</w:t>
      </w:r>
    </w:p>
    <w:p w14:paraId="7D8FC1A0" w14:textId="77777777" w:rsidR="00AD5A09" w:rsidRDefault="00AD5A09" w:rsidP="00AD5A09">
      <w:pPr>
        <w:tabs>
          <w:tab w:val="num" w:pos="0"/>
        </w:tabs>
        <w:rPr>
          <w:szCs w:val="22"/>
        </w:rPr>
      </w:pPr>
      <w:r>
        <w:rPr>
          <w:szCs w:val="22"/>
        </w:rPr>
        <w:t>DK-2880 Bagsvaerd</w:t>
      </w:r>
    </w:p>
    <w:p w14:paraId="0F04202C" w14:textId="77777777" w:rsidR="00AD5A09" w:rsidRDefault="00AD5A09" w:rsidP="00AD5A09">
      <w:pPr>
        <w:tabs>
          <w:tab w:val="num" w:pos="0"/>
        </w:tabs>
        <w:rPr>
          <w:szCs w:val="22"/>
        </w:rPr>
      </w:pPr>
      <w:r>
        <w:rPr>
          <w:szCs w:val="22"/>
        </w:rPr>
        <w:t>Danija</w:t>
      </w:r>
    </w:p>
    <w:p w14:paraId="2C52F401" w14:textId="77777777" w:rsidR="00AD5A09" w:rsidRDefault="00AD5A09" w:rsidP="00AD5A09">
      <w:pPr>
        <w:tabs>
          <w:tab w:val="num" w:pos="0"/>
        </w:tabs>
        <w:rPr>
          <w:b/>
          <w:szCs w:val="22"/>
        </w:rPr>
      </w:pPr>
    </w:p>
    <w:p w14:paraId="056790CD" w14:textId="77777777" w:rsidR="00AD5A09" w:rsidRDefault="00AD5A09" w:rsidP="00AD5A09">
      <w:pPr>
        <w:tabs>
          <w:tab w:val="num" w:pos="0"/>
        </w:tabs>
        <w:rPr>
          <w:b/>
          <w:szCs w:val="22"/>
        </w:rPr>
      </w:pPr>
    </w:p>
    <w:p w14:paraId="712AB20E" w14:textId="77777777" w:rsidR="00AD5A09" w:rsidRDefault="00AD5A09" w:rsidP="00AD5A09">
      <w:pPr>
        <w:numPr>
          <w:ilvl w:val="0"/>
          <w:numId w:val="13"/>
        </w:numPr>
        <w:tabs>
          <w:tab w:val="clear" w:pos="567"/>
          <w:tab w:val="clear" w:pos="720"/>
          <w:tab w:val="num" w:pos="0"/>
        </w:tabs>
        <w:suppressAutoHyphens w:val="0"/>
        <w:ind w:left="0" w:firstLine="0"/>
        <w:rPr>
          <w:b/>
          <w:szCs w:val="22"/>
        </w:rPr>
      </w:pPr>
      <w:r w:rsidRPr="00976D94">
        <w:rPr>
          <w:b/>
        </w:rPr>
        <w:t>TIEKIMO IR VARTOJIMO SĄLYGOS AR APRIBOJIMAI</w:t>
      </w:r>
      <w:r>
        <w:rPr>
          <w:b/>
          <w:szCs w:val="22"/>
        </w:rPr>
        <w:t xml:space="preserve"> </w:t>
      </w:r>
    </w:p>
    <w:p w14:paraId="0DFDBC06" w14:textId="77777777" w:rsidR="00AD5A09" w:rsidRDefault="00AD5A09" w:rsidP="00AD5A09">
      <w:pPr>
        <w:tabs>
          <w:tab w:val="num" w:pos="0"/>
        </w:tabs>
        <w:rPr>
          <w:b/>
          <w:szCs w:val="22"/>
        </w:rPr>
      </w:pPr>
    </w:p>
    <w:p w14:paraId="23F6F6DF" w14:textId="1F07474E" w:rsidR="007D7355" w:rsidRDefault="007D7355" w:rsidP="00AD5A09">
      <w:pPr>
        <w:tabs>
          <w:tab w:val="num" w:pos="0"/>
        </w:tabs>
        <w:rPr>
          <w:szCs w:val="22"/>
        </w:rPr>
      </w:pPr>
      <w:r w:rsidRPr="007D7355">
        <w:rPr>
          <w:szCs w:val="22"/>
        </w:rPr>
        <w:t>Receptinis vaistinis preparatas.</w:t>
      </w:r>
    </w:p>
    <w:p w14:paraId="08CE2453" w14:textId="77777777" w:rsidR="00AD5A09" w:rsidRDefault="00AD5A09" w:rsidP="00AD5A09">
      <w:pPr>
        <w:tabs>
          <w:tab w:val="num" w:pos="0"/>
        </w:tabs>
        <w:rPr>
          <w:b/>
          <w:szCs w:val="22"/>
        </w:rPr>
      </w:pPr>
    </w:p>
    <w:p w14:paraId="67544C28" w14:textId="77777777" w:rsidR="00AD5A09" w:rsidRPr="007A0AF4" w:rsidRDefault="00AD5A09" w:rsidP="00AD5A09">
      <w:pPr>
        <w:rPr>
          <w:b/>
        </w:rPr>
      </w:pPr>
      <w:r w:rsidRPr="00AA0C8C">
        <w:rPr>
          <w:b/>
        </w:rPr>
        <w:t>C.</w:t>
      </w:r>
      <w:r w:rsidRPr="00AA0C8C">
        <w:rPr>
          <w:b/>
        </w:rPr>
        <w:tab/>
      </w:r>
      <w:r>
        <w:rPr>
          <w:b/>
        </w:rPr>
        <w:t>KITOS SĄLYGOS IR REIKALAVIMAI REGISTRUOTOJUI</w:t>
      </w:r>
    </w:p>
    <w:p w14:paraId="27FA89BA" w14:textId="77777777" w:rsidR="00AD5A09" w:rsidRPr="00C829A1" w:rsidRDefault="00AD5A09" w:rsidP="00AD5A09">
      <w:pPr>
        <w:tabs>
          <w:tab w:val="num" w:pos="0"/>
        </w:tabs>
      </w:pPr>
    </w:p>
    <w:p w14:paraId="51826D53" w14:textId="77667A7A" w:rsidR="00AD5A09" w:rsidRPr="00437BEA" w:rsidRDefault="00AD5A09" w:rsidP="00437BEA">
      <w:pPr>
        <w:numPr>
          <w:ilvl w:val="0"/>
          <w:numId w:val="17"/>
        </w:numPr>
        <w:spacing w:line="260" w:lineRule="exact"/>
        <w:ind w:right="-1" w:hanging="720"/>
        <w:rPr>
          <w:b/>
          <w:snapToGrid w:val="0"/>
        </w:rPr>
      </w:pPr>
      <w:r w:rsidRPr="00FB4C45">
        <w:rPr>
          <w:b/>
        </w:rPr>
        <w:t>Periodiškai atnaujinami saugumo protokolai</w:t>
      </w:r>
      <w:r w:rsidR="00D9765D">
        <w:rPr>
          <w:b/>
        </w:rPr>
        <w:t xml:space="preserve"> </w:t>
      </w:r>
      <w:r w:rsidR="00D9765D" w:rsidRPr="005D554B">
        <w:rPr>
          <w:b/>
          <w:snapToGrid w:val="0"/>
        </w:rPr>
        <w:t>(PASP)</w:t>
      </w:r>
    </w:p>
    <w:p w14:paraId="13A8F14E" w14:textId="77777777" w:rsidR="00AD5A09" w:rsidRDefault="00AD5A09" w:rsidP="00AD5A09">
      <w:pPr>
        <w:tabs>
          <w:tab w:val="num" w:pos="0"/>
        </w:tabs>
        <w:rPr>
          <w:szCs w:val="22"/>
        </w:rPr>
      </w:pPr>
    </w:p>
    <w:p w14:paraId="1B4760E1" w14:textId="0A34649D" w:rsidR="00D9765D" w:rsidRDefault="00D9765D" w:rsidP="00AD5A09">
      <w:pPr>
        <w:tabs>
          <w:tab w:val="left" w:pos="0"/>
        </w:tabs>
        <w:rPr>
          <w:i/>
        </w:rPr>
      </w:pPr>
      <w:r w:rsidRPr="00D9765D">
        <w:t>Registruotojas šio vaistinio preparato PASP teikia remdamasis Direktyvos 2001/83/EB 107c straipsnio 7 dalyje numatytame Sąjungos referencinių datų sąraše (EURD sąraše), kuris skelbiamas Europos vaistų tinklalapyje, nustatytais reikalavimais.</w:t>
      </w:r>
    </w:p>
    <w:p w14:paraId="0D0F4D6C" w14:textId="77777777" w:rsidR="00AD5A09" w:rsidRDefault="00AD5A09" w:rsidP="00AD5A09">
      <w:pPr>
        <w:tabs>
          <w:tab w:val="left" w:pos="0"/>
        </w:tabs>
        <w:ind w:right="567"/>
        <w:rPr>
          <w:i/>
        </w:rPr>
      </w:pPr>
    </w:p>
    <w:p w14:paraId="1F19F14B" w14:textId="77777777" w:rsidR="00AD5A09" w:rsidRDefault="00AD5A09" w:rsidP="00AD5A09">
      <w:pPr>
        <w:tabs>
          <w:tab w:val="num" w:pos="0"/>
        </w:tabs>
        <w:rPr>
          <w:szCs w:val="22"/>
        </w:rPr>
      </w:pPr>
      <w:r>
        <w:rPr>
          <w:szCs w:val="22"/>
        </w:rPr>
        <w:t xml:space="preserve">Šis </w:t>
      </w:r>
      <w:r>
        <w:t>registruotojas</w:t>
      </w:r>
      <w:r>
        <w:rPr>
          <w:szCs w:val="22"/>
        </w:rPr>
        <w:t xml:space="preserve"> privalo informuoti Europos Komisiją apie patvirtinto medicininio produkto prekybos planus.</w:t>
      </w:r>
    </w:p>
    <w:p w14:paraId="414A818B" w14:textId="77777777" w:rsidR="00AD5A09" w:rsidRDefault="00AD5A09" w:rsidP="00AD5A09">
      <w:pPr>
        <w:tabs>
          <w:tab w:val="num" w:pos="0"/>
        </w:tabs>
        <w:rPr>
          <w:szCs w:val="22"/>
        </w:rPr>
      </w:pPr>
    </w:p>
    <w:p w14:paraId="62588D48" w14:textId="77777777" w:rsidR="00AD5A09" w:rsidRDefault="00AD5A09" w:rsidP="00AD5A09">
      <w:pPr>
        <w:ind w:left="567" w:hanging="567"/>
        <w:rPr>
          <w:b/>
        </w:rPr>
      </w:pPr>
      <w:r w:rsidRPr="00976D94">
        <w:rPr>
          <w:b/>
        </w:rPr>
        <w:t>D.</w:t>
      </w:r>
      <w:r>
        <w:rPr>
          <w:b/>
        </w:rPr>
        <w:tab/>
      </w:r>
      <w:r w:rsidRPr="00976D94">
        <w:rPr>
          <w:b/>
        </w:rPr>
        <w:t>SĄLYGOS AR APRIBOJIMAI SAUGIAM IR VEIKSMINGAM VAISTINIO PREPARATO VARTOJIMUI UŽTIKRINTI</w:t>
      </w:r>
      <w:r>
        <w:rPr>
          <w:b/>
        </w:rPr>
        <w:t xml:space="preserve">  </w:t>
      </w:r>
    </w:p>
    <w:p w14:paraId="7A30F08C" w14:textId="77777777" w:rsidR="00AD5A09" w:rsidRDefault="00AD5A09" w:rsidP="00AD5A09">
      <w:pPr>
        <w:tabs>
          <w:tab w:val="num" w:pos="0"/>
        </w:tabs>
        <w:rPr>
          <w:szCs w:val="22"/>
        </w:rPr>
      </w:pPr>
    </w:p>
    <w:p w14:paraId="4289328E" w14:textId="77777777" w:rsidR="00AD5A09" w:rsidRDefault="00AD5A09" w:rsidP="00AD5A09">
      <w:pPr>
        <w:numPr>
          <w:ilvl w:val="0"/>
          <w:numId w:val="17"/>
        </w:numPr>
        <w:suppressAutoHyphens w:val="0"/>
        <w:spacing w:line="260" w:lineRule="exact"/>
        <w:ind w:right="-1" w:hanging="720"/>
        <w:rPr>
          <w:b/>
        </w:rPr>
      </w:pPr>
      <w:r w:rsidRPr="00FB4C45">
        <w:rPr>
          <w:b/>
        </w:rPr>
        <w:t>Rizikos valdymo planas (RVP)</w:t>
      </w:r>
    </w:p>
    <w:p w14:paraId="246549A1" w14:textId="77777777" w:rsidR="00AD5A09" w:rsidRDefault="00AD5A09" w:rsidP="00AD5A09">
      <w:pPr>
        <w:ind w:left="720" w:right="-1"/>
        <w:rPr>
          <w:b/>
        </w:rPr>
      </w:pPr>
    </w:p>
    <w:p w14:paraId="5CC6695F" w14:textId="77777777" w:rsidR="00AD5A09" w:rsidRDefault="00AD5A09" w:rsidP="00AD5A09">
      <w:pPr>
        <w:tabs>
          <w:tab w:val="left" w:pos="0"/>
        </w:tabs>
      </w:pPr>
      <w:r>
        <w:t>Registruotojas</w:t>
      </w:r>
      <w:r w:rsidRPr="00FB4C45">
        <w:t xml:space="preserve"> atlieka reikalaujamą farmakologinio budrumo veiklą ir veiksmus, kurie išsamiai aprašyti </w:t>
      </w:r>
      <w:r>
        <w:t>registracijos</w:t>
      </w:r>
      <w:r w:rsidRPr="00FB4C45">
        <w:t xml:space="preserve"> bylos 1.8.2 modulyje pateiktame RVP ir suderintose tolesnėse jo versijose.</w:t>
      </w:r>
    </w:p>
    <w:p w14:paraId="42C55115" w14:textId="77777777" w:rsidR="00AD5A09" w:rsidRPr="00924EFA" w:rsidRDefault="00AD5A09" w:rsidP="00AD5A09">
      <w:pPr>
        <w:rPr>
          <w:color w:val="008000"/>
        </w:rPr>
      </w:pPr>
    </w:p>
    <w:p w14:paraId="26C457DD" w14:textId="77777777" w:rsidR="00AD5A09" w:rsidRPr="00BF0EEA" w:rsidRDefault="00AD5A09" w:rsidP="00AD5A09">
      <w:pPr>
        <w:ind w:right="-1"/>
        <w:rPr>
          <w:i/>
        </w:rPr>
      </w:pPr>
      <w:r>
        <w:t>Atnaujintas rizikos valdymo planas turi būti pateiktas</w:t>
      </w:r>
      <w:r w:rsidRPr="00BF0EEA">
        <w:rPr>
          <w:i/>
        </w:rPr>
        <w:t>:</w:t>
      </w:r>
    </w:p>
    <w:p w14:paraId="556B8CD4" w14:textId="26E451DB" w:rsidR="00AD5A09" w:rsidRDefault="00AD5A09" w:rsidP="00AD5A09">
      <w:pPr>
        <w:ind w:left="567" w:hanging="567"/>
        <w:rPr>
          <w:i/>
        </w:rPr>
      </w:pPr>
      <w:r w:rsidRPr="005947BA">
        <w:t>•</w:t>
      </w:r>
      <w:r w:rsidRPr="005947BA">
        <w:tab/>
      </w:r>
      <w:r w:rsidRPr="00C829A1">
        <w:t>pareikalavus Valstybinei vaistų kontrolės tarnybai prie Lietuvos Respublikos sveikatos apsaugos ministerijos</w:t>
      </w:r>
      <w:r>
        <w:t>;</w:t>
      </w:r>
    </w:p>
    <w:p w14:paraId="1A068F2A" w14:textId="77777777" w:rsidR="00AD5A09" w:rsidRDefault="00AD5A09" w:rsidP="00AD5A09">
      <w:pPr>
        <w:ind w:left="567" w:hanging="567"/>
      </w:pPr>
      <w:r w:rsidRPr="005947BA">
        <w:t>•</w:t>
      </w:r>
      <w:r w:rsidRPr="005947BA">
        <w:tab/>
      </w:r>
      <w:r w:rsidRPr="00FB4C45">
        <w:t>kai keičiama rizikos valdymo sistema, ypač gavus naujos informacijos, kuri gali lemti didelį naudos ir rizikos santykio pokytį arba pasiekus svarbų (farmakologinio budrumo ar rizikos mažinimo) etapą.</w:t>
      </w:r>
    </w:p>
    <w:p w14:paraId="08AEF230" w14:textId="77777777" w:rsidR="00AD5A09" w:rsidRPr="00924EFA" w:rsidRDefault="00AD5A09" w:rsidP="00AD5A09">
      <w:pPr>
        <w:ind w:right="-1"/>
      </w:pPr>
    </w:p>
    <w:p w14:paraId="3A8DCA32" w14:textId="77777777" w:rsidR="00AD5A09" w:rsidRPr="00BF0EEA" w:rsidRDefault="00AD5A09" w:rsidP="00AD5A09">
      <w:pPr>
        <w:ind w:right="-1"/>
      </w:pPr>
      <w:r>
        <w:t>Jei</w:t>
      </w:r>
      <w:r w:rsidRPr="00BB2B15">
        <w:t xml:space="preserve"> sutampa </w:t>
      </w:r>
      <w:r>
        <w:t>PASP</w:t>
      </w:r>
      <w:r w:rsidRPr="00BB2B15">
        <w:t xml:space="preserve"> ir atnaujinto </w:t>
      </w:r>
      <w:r>
        <w:t>RVP</w:t>
      </w:r>
      <w:r w:rsidRPr="00BB2B15">
        <w:t xml:space="preserve"> teikimo datos, jie </w:t>
      </w:r>
      <w:r>
        <w:t xml:space="preserve">gali būti </w:t>
      </w:r>
      <w:r w:rsidRPr="00BB2B15">
        <w:t>pateikiami kartu.</w:t>
      </w:r>
    </w:p>
    <w:p w14:paraId="6C92A0D3" w14:textId="77777777" w:rsidR="00AD5A09" w:rsidRPr="00BF0EEA" w:rsidRDefault="00AD5A09" w:rsidP="00AD5A09">
      <w:pPr>
        <w:ind w:right="-1"/>
      </w:pPr>
    </w:p>
    <w:p w14:paraId="5030B57D" w14:textId="202506F1" w:rsidR="00AD5A09" w:rsidRPr="00BF0EEA" w:rsidRDefault="00AD5A09" w:rsidP="00AD5A09">
      <w:pPr>
        <w:ind w:right="-1"/>
      </w:pPr>
      <w:r w:rsidRPr="00BB2B15">
        <w:t xml:space="preserve">Atnaujintas </w:t>
      </w:r>
      <w:r>
        <w:t>RVP</w:t>
      </w:r>
      <w:r w:rsidRPr="00BB2B15">
        <w:t xml:space="preserve"> teikiamas </w:t>
      </w:r>
      <w:r>
        <w:t xml:space="preserve">iki </w:t>
      </w:r>
      <w:r w:rsidRPr="00BB2B15">
        <w:t>{</w:t>
      </w:r>
      <w:r w:rsidRPr="00C829A1">
        <w:rPr>
          <w:i/>
        </w:rPr>
        <w:t>Valstybinės vaistų kontrolės tarnybos prie Lietuvos Respublikos sveikatos apsaugos ministerijos</w:t>
      </w:r>
      <w:r>
        <w:t xml:space="preserve"> nustatytas laikotarpis}</w:t>
      </w:r>
      <w:r w:rsidRPr="00BB2B15">
        <w:t>.</w:t>
      </w:r>
    </w:p>
    <w:p w14:paraId="77AF598B" w14:textId="77777777" w:rsidR="00AD5A09" w:rsidRDefault="00AD5A09" w:rsidP="00AD5A09">
      <w:pPr>
        <w:tabs>
          <w:tab w:val="num" w:pos="0"/>
        </w:tabs>
        <w:rPr>
          <w:szCs w:val="22"/>
        </w:rPr>
      </w:pPr>
    </w:p>
    <w:p w14:paraId="1D0B213C" w14:textId="77777777" w:rsidR="00AD5A09" w:rsidRDefault="00AD5A09" w:rsidP="00AD5A09">
      <w:pPr>
        <w:tabs>
          <w:tab w:val="clear" w:pos="567"/>
          <w:tab w:val="left" w:pos="284"/>
        </w:tabs>
        <w:jc w:val="center"/>
        <w:rPr>
          <w:szCs w:val="22"/>
        </w:rPr>
      </w:pPr>
      <w:r>
        <w:rPr>
          <w:szCs w:val="22"/>
        </w:rPr>
        <w:br w:type="page"/>
      </w:r>
    </w:p>
    <w:p w14:paraId="4F06B876" w14:textId="77777777" w:rsidR="00AD5A09" w:rsidRPr="00E81FF2" w:rsidRDefault="00AD5A09" w:rsidP="00AD5A09">
      <w:pPr>
        <w:jc w:val="center"/>
      </w:pPr>
    </w:p>
    <w:p w14:paraId="4FDF7383" w14:textId="77777777" w:rsidR="00AD5A09" w:rsidRPr="00A50C32" w:rsidRDefault="00AD5A09" w:rsidP="00AD5A09">
      <w:pPr>
        <w:jc w:val="center"/>
      </w:pPr>
      <w:bookmarkStart w:id="1" w:name="_Toc129243134"/>
      <w:bookmarkStart w:id="2" w:name="_Toc129243259"/>
    </w:p>
    <w:p w14:paraId="4A5F50F7" w14:textId="77777777" w:rsidR="00AD5A09" w:rsidRPr="00A50C32" w:rsidRDefault="00AD5A09" w:rsidP="00AD5A09">
      <w:pPr>
        <w:jc w:val="center"/>
      </w:pPr>
    </w:p>
    <w:p w14:paraId="45B1EE8B" w14:textId="77777777" w:rsidR="00AD5A09" w:rsidRPr="00A50C32" w:rsidRDefault="00AD5A09" w:rsidP="00AD5A09">
      <w:pPr>
        <w:jc w:val="center"/>
      </w:pPr>
    </w:p>
    <w:p w14:paraId="56192A07" w14:textId="77777777" w:rsidR="00AD5A09" w:rsidRPr="00A50C32" w:rsidRDefault="00AD5A09" w:rsidP="00AD5A09">
      <w:pPr>
        <w:jc w:val="center"/>
      </w:pPr>
    </w:p>
    <w:p w14:paraId="1E6E3F16" w14:textId="77777777" w:rsidR="00AD5A09" w:rsidRPr="00A50C32" w:rsidRDefault="00AD5A09" w:rsidP="00AD5A09">
      <w:pPr>
        <w:jc w:val="center"/>
      </w:pPr>
    </w:p>
    <w:p w14:paraId="06770217" w14:textId="77777777" w:rsidR="00AD5A09" w:rsidRPr="00A50C32" w:rsidRDefault="00AD5A09" w:rsidP="00AD5A09">
      <w:pPr>
        <w:jc w:val="center"/>
      </w:pPr>
    </w:p>
    <w:p w14:paraId="1E97F0B1" w14:textId="77777777" w:rsidR="00AD5A09" w:rsidRPr="00A50C32" w:rsidRDefault="00AD5A09" w:rsidP="00AD5A09">
      <w:pPr>
        <w:jc w:val="center"/>
      </w:pPr>
    </w:p>
    <w:p w14:paraId="45F982F4" w14:textId="77777777" w:rsidR="00AD5A09" w:rsidRPr="00A50C32" w:rsidRDefault="00AD5A09" w:rsidP="00AD5A09">
      <w:pPr>
        <w:jc w:val="center"/>
      </w:pPr>
    </w:p>
    <w:p w14:paraId="10219D84" w14:textId="77777777" w:rsidR="00AD5A09" w:rsidRPr="00A50C32" w:rsidRDefault="00AD5A09" w:rsidP="00AD5A09">
      <w:pPr>
        <w:jc w:val="center"/>
      </w:pPr>
    </w:p>
    <w:p w14:paraId="74A48061" w14:textId="77777777" w:rsidR="00AD5A09" w:rsidRPr="00A50C32" w:rsidRDefault="00AD5A09" w:rsidP="00AD5A09">
      <w:pPr>
        <w:jc w:val="center"/>
      </w:pPr>
    </w:p>
    <w:p w14:paraId="65DE089D" w14:textId="77777777" w:rsidR="00AD5A09" w:rsidRPr="00A50C32" w:rsidRDefault="00AD5A09" w:rsidP="00AD5A09">
      <w:pPr>
        <w:jc w:val="center"/>
      </w:pPr>
    </w:p>
    <w:p w14:paraId="11FD6726" w14:textId="77777777" w:rsidR="00AD5A09" w:rsidRPr="00A50C32" w:rsidRDefault="00AD5A09" w:rsidP="00AD5A09">
      <w:pPr>
        <w:jc w:val="center"/>
      </w:pPr>
    </w:p>
    <w:p w14:paraId="416AD6CD" w14:textId="77777777" w:rsidR="00AD5A09" w:rsidRPr="00A50C32" w:rsidRDefault="00AD5A09" w:rsidP="00AD5A09">
      <w:pPr>
        <w:jc w:val="center"/>
      </w:pPr>
    </w:p>
    <w:p w14:paraId="3ABF4094" w14:textId="77777777" w:rsidR="00AD5A09" w:rsidRPr="00A50C32" w:rsidRDefault="00AD5A09" w:rsidP="00AD5A09">
      <w:pPr>
        <w:jc w:val="center"/>
      </w:pPr>
    </w:p>
    <w:p w14:paraId="561D39E4" w14:textId="77777777" w:rsidR="00AD5A09" w:rsidRPr="00A50C32" w:rsidRDefault="00AD5A09" w:rsidP="00AD5A09">
      <w:pPr>
        <w:jc w:val="center"/>
      </w:pPr>
    </w:p>
    <w:p w14:paraId="3A42CEA6" w14:textId="77777777" w:rsidR="00AD5A09" w:rsidRPr="00A50C32" w:rsidRDefault="00AD5A09" w:rsidP="00AD5A09">
      <w:pPr>
        <w:jc w:val="center"/>
      </w:pPr>
    </w:p>
    <w:p w14:paraId="2FFE8295" w14:textId="77777777" w:rsidR="00AD5A09" w:rsidRPr="00A50C32" w:rsidRDefault="00AD5A09" w:rsidP="00AD5A09">
      <w:pPr>
        <w:jc w:val="center"/>
      </w:pPr>
    </w:p>
    <w:p w14:paraId="51E46485" w14:textId="77777777" w:rsidR="00AD5A09" w:rsidRPr="00A50C32" w:rsidRDefault="00AD5A09" w:rsidP="00AD5A09">
      <w:pPr>
        <w:jc w:val="center"/>
      </w:pPr>
    </w:p>
    <w:p w14:paraId="41F12CB7" w14:textId="77777777" w:rsidR="00AD5A09" w:rsidRPr="00A50C32" w:rsidRDefault="00AD5A09" w:rsidP="00AD5A09">
      <w:pPr>
        <w:jc w:val="center"/>
      </w:pPr>
    </w:p>
    <w:p w14:paraId="5C4D3F9F" w14:textId="77777777" w:rsidR="00AD5A09" w:rsidRPr="00A50C32" w:rsidRDefault="00AD5A09" w:rsidP="00AD5A09">
      <w:pPr>
        <w:jc w:val="center"/>
      </w:pPr>
    </w:p>
    <w:p w14:paraId="1A8E9A1F" w14:textId="77777777" w:rsidR="00AD5A09" w:rsidRPr="00A50C32" w:rsidRDefault="00AD5A09" w:rsidP="00AD5A09">
      <w:pPr>
        <w:jc w:val="center"/>
      </w:pPr>
    </w:p>
    <w:p w14:paraId="6BBB4531" w14:textId="77777777" w:rsidR="00AD5A09" w:rsidRPr="00A50C32" w:rsidRDefault="00AD5A09" w:rsidP="00AD5A09">
      <w:pPr>
        <w:jc w:val="center"/>
      </w:pPr>
      <w:r w:rsidRPr="00A50C32">
        <w:rPr>
          <w:b/>
        </w:rPr>
        <w:t>III PRIEDAS</w:t>
      </w:r>
      <w:bookmarkEnd w:id="1"/>
      <w:bookmarkEnd w:id="2"/>
    </w:p>
    <w:p w14:paraId="0A5A4FE8" w14:textId="77777777" w:rsidR="00AD5A09" w:rsidRPr="00A50C32" w:rsidRDefault="00AD5A09" w:rsidP="00AD5A09">
      <w:pPr>
        <w:jc w:val="center"/>
        <w:rPr>
          <w:b/>
        </w:rPr>
      </w:pPr>
    </w:p>
    <w:p w14:paraId="45B8285C" w14:textId="77777777" w:rsidR="00AD5A09" w:rsidRPr="00A50C32" w:rsidRDefault="00AD5A09" w:rsidP="00AD5A09">
      <w:pPr>
        <w:jc w:val="center"/>
      </w:pPr>
      <w:bookmarkStart w:id="3" w:name="_Toc129243135"/>
      <w:bookmarkStart w:id="4" w:name="_Toc129243260"/>
      <w:r w:rsidRPr="00A50C32">
        <w:rPr>
          <w:b/>
        </w:rPr>
        <w:t>ŽENKLINIMAS IR PAKUOTĖS LAPELIS</w:t>
      </w:r>
      <w:bookmarkEnd w:id="3"/>
      <w:bookmarkEnd w:id="4"/>
    </w:p>
    <w:p w14:paraId="44F12A49" w14:textId="77777777" w:rsidR="00AD5A09" w:rsidRDefault="00AD5A09" w:rsidP="00AD5A09">
      <w:pPr>
        <w:jc w:val="center"/>
        <w:rPr>
          <w:szCs w:val="22"/>
        </w:rPr>
      </w:pPr>
    </w:p>
    <w:p w14:paraId="72F01CB1" w14:textId="77777777" w:rsidR="00AD5A09" w:rsidRDefault="00AD5A09" w:rsidP="00AD5A09">
      <w:pPr>
        <w:jc w:val="center"/>
        <w:rPr>
          <w:szCs w:val="22"/>
        </w:rPr>
      </w:pPr>
    </w:p>
    <w:p w14:paraId="00899AE8" w14:textId="77777777" w:rsidR="00AD5A09" w:rsidRDefault="00AD5A09" w:rsidP="00AD5A09">
      <w:pPr>
        <w:jc w:val="center"/>
        <w:rPr>
          <w:szCs w:val="22"/>
        </w:rPr>
      </w:pPr>
    </w:p>
    <w:p w14:paraId="3A085946" w14:textId="77777777" w:rsidR="00AD5A09" w:rsidRDefault="00AD5A09" w:rsidP="00AD5A09">
      <w:pPr>
        <w:jc w:val="center"/>
        <w:rPr>
          <w:szCs w:val="22"/>
        </w:rPr>
      </w:pPr>
    </w:p>
    <w:p w14:paraId="6D55A599" w14:textId="77777777" w:rsidR="00AD5A09" w:rsidRDefault="00AD5A09" w:rsidP="00AD5A09">
      <w:pPr>
        <w:jc w:val="center"/>
        <w:rPr>
          <w:szCs w:val="22"/>
        </w:rPr>
      </w:pPr>
    </w:p>
    <w:p w14:paraId="09BEDBB7" w14:textId="77777777" w:rsidR="00AD5A09" w:rsidRDefault="00AD5A09" w:rsidP="00AD5A09">
      <w:pPr>
        <w:jc w:val="center"/>
        <w:rPr>
          <w:szCs w:val="22"/>
        </w:rPr>
      </w:pPr>
    </w:p>
    <w:p w14:paraId="79FFBC24" w14:textId="77777777" w:rsidR="00AD5A09" w:rsidRDefault="00AD5A09" w:rsidP="00AD5A09">
      <w:pPr>
        <w:jc w:val="center"/>
        <w:rPr>
          <w:szCs w:val="22"/>
        </w:rPr>
      </w:pPr>
    </w:p>
    <w:p w14:paraId="62E1A7EA" w14:textId="77777777" w:rsidR="00AD5A09" w:rsidRDefault="00AD5A09" w:rsidP="00AD5A09">
      <w:pPr>
        <w:jc w:val="center"/>
        <w:rPr>
          <w:szCs w:val="22"/>
        </w:rPr>
      </w:pPr>
    </w:p>
    <w:p w14:paraId="05F39926" w14:textId="77777777" w:rsidR="00AD5A09" w:rsidRDefault="00AD5A09" w:rsidP="00AD5A09">
      <w:pPr>
        <w:jc w:val="center"/>
        <w:rPr>
          <w:szCs w:val="22"/>
        </w:rPr>
      </w:pPr>
    </w:p>
    <w:p w14:paraId="6D46F1D0" w14:textId="77777777" w:rsidR="00AD5A09" w:rsidRDefault="00AD5A09" w:rsidP="00AD5A09">
      <w:pPr>
        <w:jc w:val="center"/>
        <w:rPr>
          <w:szCs w:val="22"/>
        </w:rPr>
      </w:pPr>
    </w:p>
    <w:p w14:paraId="55B79C71" w14:textId="77777777" w:rsidR="00AD5A09" w:rsidRDefault="00AD5A09" w:rsidP="00AD5A09">
      <w:pPr>
        <w:jc w:val="center"/>
        <w:rPr>
          <w:szCs w:val="22"/>
        </w:rPr>
      </w:pPr>
    </w:p>
    <w:p w14:paraId="7FF979D5" w14:textId="77777777" w:rsidR="00AD5A09" w:rsidRDefault="00AD5A09" w:rsidP="00AD5A09">
      <w:pPr>
        <w:jc w:val="center"/>
        <w:rPr>
          <w:szCs w:val="22"/>
        </w:rPr>
      </w:pPr>
    </w:p>
    <w:p w14:paraId="20C3D7F7" w14:textId="77777777" w:rsidR="00AD5A09" w:rsidRDefault="00AD5A09" w:rsidP="00AD5A09">
      <w:pPr>
        <w:jc w:val="center"/>
        <w:rPr>
          <w:szCs w:val="22"/>
        </w:rPr>
      </w:pPr>
    </w:p>
    <w:p w14:paraId="1440F4AD" w14:textId="77777777" w:rsidR="00AD5A09" w:rsidRDefault="00AD5A09" w:rsidP="00AD5A09">
      <w:pPr>
        <w:jc w:val="center"/>
        <w:rPr>
          <w:szCs w:val="22"/>
        </w:rPr>
      </w:pPr>
    </w:p>
    <w:p w14:paraId="1AF75170" w14:textId="77777777" w:rsidR="00AD5A09" w:rsidRDefault="00AD5A09" w:rsidP="00AD5A09">
      <w:pPr>
        <w:jc w:val="center"/>
        <w:rPr>
          <w:szCs w:val="22"/>
        </w:rPr>
      </w:pPr>
    </w:p>
    <w:p w14:paraId="1CFBFF32" w14:textId="77777777" w:rsidR="00AD5A09" w:rsidRDefault="00AD5A09" w:rsidP="00AD5A09">
      <w:pPr>
        <w:jc w:val="center"/>
        <w:rPr>
          <w:szCs w:val="22"/>
        </w:rPr>
      </w:pPr>
    </w:p>
    <w:p w14:paraId="0A79DBE9" w14:textId="77777777" w:rsidR="00AD5A09" w:rsidRDefault="00AD5A09" w:rsidP="00AD5A09">
      <w:pPr>
        <w:jc w:val="center"/>
        <w:rPr>
          <w:szCs w:val="22"/>
        </w:rPr>
      </w:pPr>
    </w:p>
    <w:p w14:paraId="7FF63CB4" w14:textId="77777777" w:rsidR="00AD5A09" w:rsidRDefault="00AD5A09" w:rsidP="00AD5A09">
      <w:pPr>
        <w:jc w:val="center"/>
        <w:rPr>
          <w:szCs w:val="22"/>
        </w:rPr>
      </w:pPr>
    </w:p>
    <w:p w14:paraId="2483B509" w14:textId="77777777" w:rsidR="00AD5A09" w:rsidRDefault="00AD5A09" w:rsidP="00AD5A09">
      <w:pPr>
        <w:jc w:val="center"/>
        <w:rPr>
          <w:szCs w:val="22"/>
        </w:rPr>
      </w:pPr>
    </w:p>
    <w:p w14:paraId="6BC4E69E" w14:textId="77777777" w:rsidR="00AD5A09" w:rsidRDefault="00AD5A09" w:rsidP="00AD5A09">
      <w:pPr>
        <w:jc w:val="center"/>
        <w:rPr>
          <w:szCs w:val="22"/>
        </w:rPr>
      </w:pPr>
    </w:p>
    <w:p w14:paraId="7BD03F1E" w14:textId="77777777" w:rsidR="00AD5A09" w:rsidRDefault="00AD5A09" w:rsidP="00AD5A09">
      <w:pPr>
        <w:jc w:val="center"/>
        <w:rPr>
          <w:szCs w:val="22"/>
        </w:rPr>
      </w:pPr>
    </w:p>
    <w:p w14:paraId="7F126EAF" w14:textId="77777777" w:rsidR="00AD5A09" w:rsidRDefault="00AD5A09" w:rsidP="00AD5A09">
      <w:pPr>
        <w:jc w:val="center"/>
        <w:rPr>
          <w:szCs w:val="22"/>
        </w:rPr>
      </w:pPr>
    </w:p>
    <w:p w14:paraId="012D3B78" w14:textId="77777777" w:rsidR="00AD5A09" w:rsidRPr="00A50C32" w:rsidRDefault="00AD5A09" w:rsidP="00AD5A09">
      <w:pPr>
        <w:jc w:val="center"/>
      </w:pPr>
    </w:p>
    <w:p w14:paraId="3F4F22DE" w14:textId="77777777" w:rsidR="00AD5A09" w:rsidRPr="00A50C32" w:rsidRDefault="00AD5A09" w:rsidP="00AD5A09">
      <w:pPr>
        <w:jc w:val="center"/>
      </w:pPr>
    </w:p>
    <w:p w14:paraId="59F961EF" w14:textId="77777777" w:rsidR="00AD5A09" w:rsidRPr="00A50C32" w:rsidRDefault="00AD5A09" w:rsidP="00AD5A09">
      <w:pPr>
        <w:jc w:val="center"/>
      </w:pPr>
    </w:p>
    <w:p w14:paraId="4F2EF779" w14:textId="77777777" w:rsidR="00AD5A09" w:rsidRPr="00A50C32" w:rsidRDefault="00AD5A09" w:rsidP="00AD5A09">
      <w:pPr>
        <w:jc w:val="center"/>
      </w:pPr>
    </w:p>
    <w:p w14:paraId="57D8BB24" w14:textId="77777777" w:rsidR="00AD5A09" w:rsidRPr="00A50C32" w:rsidRDefault="00AD5A09" w:rsidP="00AD5A09">
      <w:pPr>
        <w:jc w:val="center"/>
      </w:pPr>
    </w:p>
    <w:p w14:paraId="30903A48" w14:textId="77777777" w:rsidR="00AD5A09" w:rsidRPr="00A50C32" w:rsidRDefault="00AD5A09" w:rsidP="00AD5A09">
      <w:pPr>
        <w:jc w:val="center"/>
      </w:pPr>
    </w:p>
    <w:p w14:paraId="2818ACB5" w14:textId="77777777" w:rsidR="00AD5A09" w:rsidRPr="00A50C32" w:rsidRDefault="00AD5A09" w:rsidP="00AD5A09">
      <w:pPr>
        <w:jc w:val="center"/>
      </w:pPr>
    </w:p>
    <w:p w14:paraId="55A65958" w14:textId="77777777" w:rsidR="00AD5A09" w:rsidRPr="00A50C32" w:rsidRDefault="00AD5A09" w:rsidP="00AD5A09">
      <w:pPr>
        <w:jc w:val="center"/>
      </w:pPr>
    </w:p>
    <w:p w14:paraId="69BE6AA5" w14:textId="77777777" w:rsidR="00AD5A09" w:rsidRPr="00A50C32" w:rsidRDefault="00AD5A09" w:rsidP="00AD5A09">
      <w:pPr>
        <w:tabs>
          <w:tab w:val="clear" w:pos="567"/>
          <w:tab w:val="left" w:pos="284"/>
        </w:tabs>
        <w:jc w:val="center"/>
        <w:rPr>
          <w:caps/>
        </w:rPr>
      </w:pPr>
    </w:p>
    <w:p w14:paraId="490E2870" w14:textId="77777777" w:rsidR="00AD5A09" w:rsidRPr="00A50C32" w:rsidRDefault="00AD5A09" w:rsidP="00AD5A09">
      <w:pPr>
        <w:tabs>
          <w:tab w:val="clear" w:pos="567"/>
          <w:tab w:val="left" w:pos="284"/>
        </w:tabs>
        <w:jc w:val="center"/>
        <w:rPr>
          <w:caps/>
        </w:rPr>
      </w:pPr>
    </w:p>
    <w:p w14:paraId="3F322B20" w14:textId="77777777" w:rsidR="00AD5A09" w:rsidRPr="00A50C32" w:rsidRDefault="00AD5A09" w:rsidP="00AD5A09">
      <w:pPr>
        <w:tabs>
          <w:tab w:val="clear" w:pos="567"/>
          <w:tab w:val="left" w:pos="284"/>
        </w:tabs>
        <w:jc w:val="center"/>
        <w:rPr>
          <w:caps/>
        </w:rPr>
      </w:pPr>
    </w:p>
    <w:p w14:paraId="02AD4DAF" w14:textId="77777777" w:rsidR="00AD5A09" w:rsidRPr="00A50C32" w:rsidRDefault="00AD5A09" w:rsidP="00AD5A09">
      <w:pPr>
        <w:tabs>
          <w:tab w:val="clear" w:pos="567"/>
          <w:tab w:val="left" w:pos="284"/>
        </w:tabs>
        <w:jc w:val="center"/>
        <w:rPr>
          <w:caps/>
        </w:rPr>
      </w:pPr>
    </w:p>
    <w:p w14:paraId="4D89EAFF" w14:textId="77777777" w:rsidR="00AD5A09" w:rsidRPr="00A50C32" w:rsidRDefault="00AD5A09" w:rsidP="00AD5A09">
      <w:pPr>
        <w:tabs>
          <w:tab w:val="clear" w:pos="567"/>
          <w:tab w:val="left" w:pos="284"/>
        </w:tabs>
        <w:jc w:val="center"/>
        <w:rPr>
          <w:caps/>
        </w:rPr>
      </w:pPr>
    </w:p>
    <w:p w14:paraId="3F0909DD" w14:textId="77777777" w:rsidR="00AD5A09" w:rsidRPr="00A50C32" w:rsidRDefault="00AD5A09" w:rsidP="00AD5A09">
      <w:pPr>
        <w:tabs>
          <w:tab w:val="clear" w:pos="567"/>
          <w:tab w:val="left" w:pos="284"/>
        </w:tabs>
        <w:jc w:val="center"/>
        <w:rPr>
          <w:caps/>
        </w:rPr>
      </w:pPr>
    </w:p>
    <w:p w14:paraId="58CC29DE" w14:textId="77777777" w:rsidR="00AD5A09" w:rsidRPr="00A50C32" w:rsidRDefault="00AD5A09" w:rsidP="00AD5A09">
      <w:pPr>
        <w:tabs>
          <w:tab w:val="clear" w:pos="567"/>
          <w:tab w:val="left" w:pos="284"/>
        </w:tabs>
        <w:jc w:val="center"/>
        <w:rPr>
          <w:caps/>
        </w:rPr>
      </w:pPr>
    </w:p>
    <w:p w14:paraId="2B6F0789" w14:textId="77777777" w:rsidR="00AD5A09" w:rsidRPr="00A50C32" w:rsidRDefault="00AD5A09" w:rsidP="00AD5A09">
      <w:pPr>
        <w:tabs>
          <w:tab w:val="clear" w:pos="567"/>
          <w:tab w:val="left" w:pos="284"/>
        </w:tabs>
        <w:jc w:val="center"/>
        <w:rPr>
          <w:caps/>
        </w:rPr>
      </w:pPr>
    </w:p>
    <w:p w14:paraId="5D80DD19" w14:textId="77777777" w:rsidR="00AD5A09" w:rsidRPr="00A50C32" w:rsidRDefault="00AD5A09" w:rsidP="00AD5A09">
      <w:pPr>
        <w:tabs>
          <w:tab w:val="clear" w:pos="567"/>
          <w:tab w:val="left" w:pos="284"/>
        </w:tabs>
        <w:jc w:val="center"/>
        <w:rPr>
          <w:caps/>
        </w:rPr>
      </w:pPr>
    </w:p>
    <w:p w14:paraId="33AEE91E" w14:textId="77777777" w:rsidR="00AD5A09" w:rsidRPr="00A50C32" w:rsidRDefault="00AD5A09" w:rsidP="00AD5A09">
      <w:pPr>
        <w:tabs>
          <w:tab w:val="clear" w:pos="567"/>
          <w:tab w:val="left" w:pos="284"/>
        </w:tabs>
        <w:jc w:val="center"/>
        <w:rPr>
          <w:caps/>
        </w:rPr>
      </w:pPr>
    </w:p>
    <w:p w14:paraId="5831DFFD" w14:textId="77777777" w:rsidR="00AD5A09" w:rsidRPr="00A50C32" w:rsidRDefault="00AD5A09" w:rsidP="00AD5A09">
      <w:pPr>
        <w:tabs>
          <w:tab w:val="clear" w:pos="567"/>
          <w:tab w:val="left" w:pos="284"/>
        </w:tabs>
        <w:jc w:val="center"/>
        <w:rPr>
          <w:caps/>
        </w:rPr>
      </w:pPr>
    </w:p>
    <w:p w14:paraId="0C6AE0AE" w14:textId="77777777" w:rsidR="00AD5A09" w:rsidRPr="00A50C32" w:rsidRDefault="00AD5A09" w:rsidP="00AD5A09">
      <w:pPr>
        <w:tabs>
          <w:tab w:val="clear" w:pos="567"/>
          <w:tab w:val="left" w:pos="284"/>
        </w:tabs>
        <w:jc w:val="center"/>
        <w:rPr>
          <w:caps/>
        </w:rPr>
      </w:pPr>
    </w:p>
    <w:p w14:paraId="7B3A18AC" w14:textId="77777777" w:rsidR="00AD5A09" w:rsidRPr="00A50C32" w:rsidRDefault="00AD5A09" w:rsidP="00AD5A09">
      <w:pPr>
        <w:tabs>
          <w:tab w:val="clear" w:pos="567"/>
          <w:tab w:val="left" w:pos="284"/>
        </w:tabs>
        <w:jc w:val="center"/>
        <w:rPr>
          <w:caps/>
        </w:rPr>
      </w:pPr>
    </w:p>
    <w:p w14:paraId="7ED177CA" w14:textId="77777777" w:rsidR="00AD5A09" w:rsidRPr="00A50C32" w:rsidRDefault="00AD5A09" w:rsidP="00AD5A09">
      <w:pPr>
        <w:tabs>
          <w:tab w:val="clear" w:pos="567"/>
          <w:tab w:val="left" w:pos="284"/>
        </w:tabs>
        <w:jc w:val="center"/>
        <w:rPr>
          <w:caps/>
        </w:rPr>
      </w:pPr>
    </w:p>
    <w:p w14:paraId="44ED8395" w14:textId="77777777" w:rsidR="00AD5A09" w:rsidRPr="00A50C32" w:rsidRDefault="00AD5A09" w:rsidP="00AD5A09">
      <w:pPr>
        <w:tabs>
          <w:tab w:val="clear" w:pos="567"/>
          <w:tab w:val="left" w:pos="284"/>
        </w:tabs>
        <w:jc w:val="center"/>
        <w:rPr>
          <w:caps/>
        </w:rPr>
      </w:pPr>
    </w:p>
    <w:p w14:paraId="66DDC710" w14:textId="77777777" w:rsidR="00AD5A09" w:rsidRPr="00A50C32" w:rsidRDefault="00AD5A09" w:rsidP="00AD5A09">
      <w:pPr>
        <w:tabs>
          <w:tab w:val="clear" w:pos="567"/>
          <w:tab w:val="left" w:pos="284"/>
        </w:tabs>
        <w:jc w:val="center"/>
        <w:rPr>
          <w:caps/>
        </w:rPr>
      </w:pPr>
    </w:p>
    <w:p w14:paraId="652AAC24" w14:textId="77777777" w:rsidR="00AD5A09" w:rsidRPr="00A50C32" w:rsidRDefault="00AD5A09" w:rsidP="00AD5A09">
      <w:pPr>
        <w:tabs>
          <w:tab w:val="clear" w:pos="567"/>
          <w:tab w:val="left" w:pos="284"/>
        </w:tabs>
        <w:jc w:val="center"/>
        <w:rPr>
          <w:caps/>
        </w:rPr>
      </w:pPr>
    </w:p>
    <w:p w14:paraId="311AE088" w14:textId="77777777" w:rsidR="00AD5A09" w:rsidRPr="00A50C32" w:rsidRDefault="00AD5A09" w:rsidP="00AD5A09">
      <w:pPr>
        <w:tabs>
          <w:tab w:val="clear" w:pos="567"/>
          <w:tab w:val="left" w:pos="284"/>
        </w:tabs>
        <w:jc w:val="center"/>
        <w:rPr>
          <w:caps/>
        </w:rPr>
      </w:pPr>
    </w:p>
    <w:p w14:paraId="6F249A1E" w14:textId="77777777" w:rsidR="00AD5A09" w:rsidRPr="00A50C32" w:rsidRDefault="00AD5A09" w:rsidP="00AD5A09">
      <w:pPr>
        <w:tabs>
          <w:tab w:val="clear" w:pos="567"/>
          <w:tab w:val="left" w:pos="284"/>
        </w:tabs>
        <w:jc w:val="center"/>
        <w:rPr>
          <w:caps/>
        </w:rPr>
      </w:pPr>
    </w:p>
    <w:p w14:paraId="6A39737F" w14:textId="77777777" w:rsidR="00AD5A09" w:rsidRPr="00A50C32" w:rsidRDefault="00AD5A09" w:rsidP="00AD5A09">
      <w:pPr>
        <w:tabs>
          <w:tab w:val="clear" w:pos="567"/>
          <w:tab w:val="left" w:pos="284"/>
        </w:tabs>
        <w:jc w:val="center"/>
        <w:rPr>
          <w:caps/>
        </w:rPr>
      </w:pPr>
    </w:p>
    <w:p w14:paraId="3910C00E" w14:textId="77777777" w:rsidR="00AD5A09" w:rsidRPr="00A50C32" w:rsidRDefault="00AD5A09" w:rsidP="00AD5A09">
      <w:pPr>
        <w:tabs>
          <w:tab w:val="clear" w:pos="567"/>
          <w:tab w:val="left" w:pos="284"/>
        </w:tabs>
        <w:jc w:val="center"/>
        <w:rPr>
          <w:caps/>
        </w:rPr>
      </w:pPr>
    </w:p>
    <w:p w14:paraId="52A4A8A9" w14:textId="77777777" w:rsidR="00AD5A09" w:rsidRPr="00A50C32" w:rsidRDefault="00AD5A09" w:rsidP="00AD5A09">
      <w:pPr>
        <w:tabs>
          <w:tab w:val="clear" w:pos="567"/>
          <w:tab w:val="left" w:pos="284"/>
        </w:tabs>
        <w:jc w:val="center"/>
        <w:rPr>
          <w:caps/>
        </w:rPr>
      </w:pPr>
    </w:p>
    <w:p w14:paraId="11E7317E" w14:textId="77777777" w:rsidR="00AD5A09" w:rsidRPr="00A50C32" w:rsidRDefault="00AD5A09" w:rsidP="00AD5A09">
      <w:pPr>
        <w:tabs>
          <w:tab w:val="clear" w:pos="567"/>
          <w:tab w:val="left" w:pos="284"/>
        </w:tabs>
        <w:jc w:val="center"/>
        <w:rPr>
          <w:caps/>
        </w:rPr>
      </w:pPr>
    </w:p>
    <w:p w14:paraId="6D6256EF" w14:textId="77777777" w:rsidR="00AD5A09" w:rsidRDefault="00AD5A09" w:rsidP="00AD5A09">
      <w:pPr>
        <w:tabs>
          <w:tab w:val="clear" w:pos="567"/>
          <w:tab w:val="left" w:pos="284"/>
        </w:tabs>
        <w:jc w:val="center"/>
        <w:rPr>
          <w:b/>
          <w:caps/>
          <w:szCs w:val="22"/>
        </w:rPr>
      </w:pPr>
      <w:r>
        <w:rPr>
          <w:b/>
          <w:caps/>
          <w:szCs w:val="22"/>
        </w:rPr>
        <w:t xml:space="preserve">A. Ženklinimas </w:t>
      </w:r>
    </w:p>
    <w:p w14:paraId="70ADF673" w14:textId="77777777" w:rsidR="00AD5A09" w:rsidDel="0093221B" w:rsidRDefault="00AD5A09" w:rsidP="00AD5A09">
      <w:pPr>
        <w:ind w:left="360"/>
        <w:jc w:val="center"/>
        <w:rPr>
          <w:b/>
          <w:caps/>
          <w:szCs w:val="22"/>
        </w:rPr>
      </w:pPr>
      <w:r>
        <w:rPr>
          <w:b/>
          <w:caps/>
          <w:szCs w:val="22"/>
        </w:rPr>
        <w:br w:type="page"/>
      </w:r>
    </w:p>
    <w:tbl>
      <w:tblPr>
        <w:tblStyle w:val="Lentelstinklelis"/>
        <w:tblW w:w="0" w:type="auto"/>
        <w:tblLook w:val="01E0" w:firstRow="1" w:lastRow="1" w:firstColumn="1" w:lastColumn="1" w:noHBand="0" w:noVBand="0"/>
      </w:tblPr>
      <w:tblGrid>
        <w:gridCol w:w="9060"/>
      </w:tblGrid>
      <w:tr w:rsidR="00AD5A09" w14:paraId="26592D7A" w14:textId="77777777" w:rsidTr="00FA196D">
        <w:tc>
          <w:tcPr>
            <w:tcW w:w="9287" w:type="dxa"/>
          </w:tcPr>
          <w:p w14:paraId="5CD47BB5" w14:textId="77777777" w:rsidR="00AD5A09" w:rsidRPr="00437BEA" w:rsidRDefault="00AD5A09" w:rsidP="00FA196D">
            <w:pPr>
              <w:rPr>
                <w:b/>
                <w:caps/>
                <w:sz w:val="22"/>
              </w:rPr>
            </w:pPr>
            <w:r w:rsidRPr="00437BEA">
              <w:rPr>
                <w:b/>
                <w:caps/>
              </w:rPr>
              <w:lastRenderedPageBreak/>
              <w:t xml:space="preserve">Informacija ant </w:t>
            </w:r>
            <w:r w:rsidRPr="00437BEA">
              <w:rPr>
                <w:b/>
              </w:rPr>
              <w:t>IŠORINĖS</w:t>
            </w:r>
            <w:r w:rsidRPr="00437BEA">
              <w:t xml:space="preserve"> </w:t>
            </w:r>
            <w:r w:rsidRPr="00437BEA">
              <w:rPr>
                <w:b/>
                <w:caps/>
              </w:rPr>
              <w:t>pakuotės</w:t>
            </w:r>
          </w:p>
          <w:p w14:paraId="5E9AB82D" w14:textId="77777777" w:rsidR="00AD5A09" w:rsidRPr="00437BEA" w:rsidRDefault="00AD5A09" w:rsidP="00FA196D">
            <w:pPr>
              <w:rPr>
                <w:b/>
                <w:caps/>
                <w:sz w:val="22"/>
              </w:rPr>
            </w:pPr>
          </w:p>
          <w:p w14:paraId="709885FD" w14:textId="77777777" w:rsidR="00AD5A09" w:rsidRDefault="00AD5A09" w:rsidP="00FA196D">
            <w:pPr>
              <w:rPr>
                <w:b/>
                <w:caps/>
                <w:szCs w:val="22"/>
              </w:rPr>
            </w:pPr>
            <w:r w:rsidRPr="00437BEA">
              <w:rPr>
                <w:b/>
                <w:caps/>
              </w:rPr>
              <w:t>IŠORINĖ PAKUOTĖ</w:t>
            </w:r>
          </w:p>
        </w:tc>
      </w:tr>
    </w:tbl>
    <w:p w14:paraId="463270D2" w14:textId="77777777" w:rsidR="00AD5A09" w:rsidRDefault="00AD5A09" w:rsidP="00AD5A09">
      <w:pPr>
        <w:ind w:left="567" w:hanging="567"/>
        <w:rPr>
          <w:szCs w:val="22"/>
        </w:rPr>
      </w:pPr>
    </w:p>
    <w:p w14:paraId="181EF76B" w14:textId="77777777" w:rsidR="00AD5A09" w:rsidRDefault="00AD5A09" w:rsidP="00AD5A09">
      <w:pPr>
        <w:ind w:left="567" w:hanging="567"/>
        <w:rPr>
          <w:szCs w:val="22"/>
        </w:rPr>
      </w:pPr>
    </w:p>
    <w:p w14:paraId="77067027"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14:paraId="4D096F6B" w14:textId="77777777" w:rsidR="00AD5A09" w:rsidRDefault="00AD5A09" w:rsidP="00AD5A09">
      <w:pPr>
        <w:ind w:left="567" w:hanging="567"/>
        <w:rPr>
          <w:szCs w:val="22"/>
        </w:rPr>
      </w:pPr>
    </w:p>
    <w:p w14:paraId="7E044165" w14:textId="77777777" w:rsidR="00AD5A09" w:rsidRDefault="00AD5A09" w:rsidP="00AD5A09">
      <w:pPr>
        <w:ind w:left="567" w:hanging="567"/>
        <w:rPr>
          <w:szCs w:val="22"/>
        </w:rPr>
      </w:pPr>
      <w:r w:rsidRPr="00783C88">
        <w:rPr>
          <w:szCs w:val="22"/>
        </w:rPr>
        <w:t xml:space="preserve">GlucaGen HypoKit </w:t>
      </w:r>
    </w:p>
    <w:p w14:paraId="044DC49E" w14:textId="77777777" w:rsidR="00AD5A09" w:rsidRDefault="00AD5A09" w:rsidP="00AD5A09">
      <w:pPr>
        <w:ind w:left="567" w:hanging="567"/>
        <w:rPr>
          <w:szCs w:val="22"/>
        </w:rPr>
      </w:pPr>
      <w:r w:rsidRPr="00783C88">
        <w:rPr>
          <w:szCs w:val="22"/>
        </w:rPr>
        <w:t>1</w:t>
      </w:r>
      <w:r>
        <w:rPr>
          <w:szCs w:val="22"/>
        </w:rPr>
        <w:t> </w:t>
      </w:r>
      <w:r w:rsidRPr="00783C88">
        <w:rPr>
          <w:szCs w:val="22"/>
        </w:rPr>
        <w:t>mg</w:t>
      </w:r>
      <w:r>
        <w:rPr>
          <w:szCs w:val="22"/>
        </w:rPr>
        <w:t xml:space="preserve"> </w:t>
      </w:r>
    </w:p>
    <w:p w14:paraId="367C9DDE" w14:textId="77777777" w:rsidR="00AD5A09" w:rsidRPr="007A0AF4" w:rsidRDefault="00AD5A09" w:rsidP="00AD5A09">
      <w:pPr>
        <w:ind w:left="567" w:hanging="567"/>
        <w:rPr>
          <w:szCs w:val="22"/>
        </w:rPr>
      </w:pPr>
      <w:r>
        <w:rPr>
          <w:szCs w:val="22"/>
        </w:rPr>
        <w:t>M</w:t>
      </w:r>
      <w:r w:rsidRPr="00783C88">
        <w:rPr>
          <w:szCs w:val="22"/>
        </w:rPr>
        <w:t>ilteliai ir tirpiklis injekciniam tirpalui</w:t>
      </w:r>
      <w:r>
        <w:rPr>
          <w:szCs w:val="22"/>
        </w:rPr>
        <w:t xml:space="preserve"> </w:t>
      </w:r>
      <w:r w:rsidRPr="00783C88">
        <w:rPr>
          <w:szCs w:val="22"/>
        </w:rPr>
        <w:t>užpildytame švirkšte</w:t>
      </w:r>
    </w:p>
    <w:p w14:paraId="65C11787" w14:textId="478810DC" w:rsidR="00AD5A09" w:rsidRPr="00417234" w:rsidRDefault="00273310" w:rsidP="00AD5A09">
      <w:pPr>
        <w:ind w:left="567" w:hanging="567"/>
        <w:rPr>
          <w:szCs w:val="22"/>
        </w:rPr>
      </w:pPr>
      <w:r>
        <w:rPr>
          <w:szCs w:val="22"/>
        </w:rPr>
        <w:t>g</w:t>
      </w:r>
      <w:r w:rsidR="00AD5A09" w:rsidRPr="00417234">
        <w:rPr>
          <w:szCs w:val="22"/>
        </w:rPr>
        <w:t>l</w:t>
      </w:r>
      <w:r w:rsidR="00AD5A09">
        <w:rPr>
          <w:szCs w:val="22"/>
        </w:rPr>
        <w:t>i</w:t>
      </w:r>
      <w:r w:rsidR="00AD5A09" w:rsidRPr="00417234">
        <w:rPr>
          <w:szCs w:val="22"/>
        </w:rPr>
        <w:t>u</w:t>
      </w:r>
      <w:r w:rsidR="00AD5A09">
        <w:rPr>
          <w:szCs w:val="22"/>
        </w:rPr>
        <w:t>k</w:t>
      </w:r>
      <w:r w:rsidR="00AD5A09" w:rsidRPr="00417234">
        <w:rPr>
          <w:szCs w:val="22"/>
        </w:rPr>
        <w:t>agon</w:t>
      </w:r>
      <w:r w:rsidR="00AD5A09">
        <w:rPr>
          <w:szCs w:val="22"/>
        </w:rPr>
        <w:t>as</w:t>
      </w:r>
    </w:p>
    <w:p w14:paraId="3BB073A1" w14:textId="77777777" w:rsidR="00AD5A09" w:rsidRDefault="00AD5A09" w:rsidP="00AD5A09">
      <w:pPr>
        <w:ind w:left="567" w:hanging="567"/>
        <w:rPr>
          <w:szCs w:val="22"/>
        </w:rPr>
      </w:pPr>
    </w:p>
    <w:p w14:paraId="7B50BC4E" w14:textId="77777777" w:rsidR="00AD5A09" w:rsidRDefault="00AD5A09" w:rsidP="00AD5A09">
      <w:pPr>
        <w:ind w:left="567" w:hanging="567"/>
        <w:rPr>
          <w:szCs w:val="22"/>
        </w:rPr>
      </w:pPr>
    </w:p>
    <w:p w14:paraId="6354EDDA"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veikliOJI medžiagA ir JOS kiekis</w:t>
      </w:r>
    </w:p>
    <w:p w14:paraId="4C35A53A" w14:textId="77777777" w:rsidR="00AD5A09" w:rsidRDefault="00AD5A09" w:rsidP="00AD5A09">
      <w:pPr>
        <w:rPr>
          <w:szCs w:val="22"/>
        </w:rPr>
      </w:pPr>
    </w:p>
    <w:p w14:paraId="41108487" w14:textId="77777777" w:rsidR="00AD5A09" w:rsidRPr="00ED39E0" w:rsidRDefault="00AD5A09" w:rsidP="00AD5A09">
      <w:pPr>
        <w:rPr>
          <w:b/>
          <w:szCs w:val="22"/>
        </w:rPr>
      </w:pPr>
      <w:r>
        <w:rPr>
          <w:szCs w:val="22"/>
        </w:rPr>
        <w:t xml:space="preserve">Viename </w:t>
      </w:r>
      <w:r w:rsidR="003A27F3">
        <w:rPr>
          <w:szCs w:val="22"/>
        </w:rPr>
        <w:t xml:space="preserve">flakone </w:t>
      </w:r>
      <w:r>
        <w:rPr>
          <w:szCs w:val="22"/>
        </w:rPr>
        <w:t>yra 1 mg (1 TV) gliukagono hidrochlorido pavidalu (rDNR).</w:t>
      </w:r>
    </w:p>
    <w:p w14:paraId="31B8FC72" w14:textId="77777777" w:rsidR="00AD5A09" w:rsidRDefault="00AD5A09" w:rsidP="00AD5A09">
      <w:pPr>
        <w:rPr>
          <w:szCs w:val="22"/>
        </w:rPr>
      </w:pPr>
    </w:p>
    <w:p w14:paraId="20B96D3E" w14:textId="77777777" w:rsidR="00AD5A09" w:rsidRDefault="00AD5A09" w:rsidP="00AD5A09">
      <w:pPr>
        <w:rPr>
          <w:szCs w:val="22"/>
        </w:rPr>
      </w:pPr>
    </w:p>
    <w:p w14:paraId="04A0B679"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pagalbinių medžiagų sąrašas</w:t>
      </w:r>
    </w:p>
    <w:p w14:paraId="2484F65B" w14:textId="77777777" w:rsidR="00AD5A09" w:rsidRDefault="00AD5A09" w:rsidP="00AD5A09">
      <w:pPr>
        <w:ind w:left="567" w:hanging="567"/>
        <w:rPr>
          <w:caps/>
          <w:szCs w:val="22"/>
        </w:rPr>
      </w:pPr>
    </w:p>
    <w:p w14:paraId="1BEBD5F4" w14:textId="77777777" w:rsidR="00AD5A09" w:rsidRPr="007943B1" w:rsidRDefault="00AD5A09" w:rsidP="00AD5A09">
      <w:pPr>
        <w:rPr>
          <w:b/>
          <w:i/>
          <w:szCs w:val="22"/>
        </w:rPr>
      </w:pPr>
      <w:r>
        <w:rPr>
          <w:szCs w:val="22"/>
        </w:rPr>
        <w:t>L</w:t>
      </w:r>
      <w:r w:rsidRPr="007943B1">
        <w:rPr>
          <w:szCs w:val="22"/>
        </w:rPr>
        <w:t xml:space="preserve">aktozė, vandenilio chlorido rūgštis </w:t>
      </w:r>
      <w:r>
        <w:rPr>
          <w:szCs w:val="22"/>
        </w:rPr>
        <w:t xml:space="preserve">ir (arba) </w:t>
      </w:r>
      <w:r w:rsidRPr="007943B1">
        <w:rPr>
          <w:szCs w:val="22"/>
        </w:rPr>
        <w:t>natrio hidroksid</w:t>
      </w:r>
      <w:r>
        <w:rPr>
          <w:szCs w:val="22"/>
        </w:rPr>
        <w:t>as, vanduo tirpinimui (maišymui)</w:t>
      </w:r>
    </w:p>
    <w:p w14:paraId="417BC3C3" w14:textId="77777777" w:rsidR="00AD5A09" w:rsidRPr="00C829A1" w:rsidRDefault="00AD5A09" w:rsidP="00AD5A09">
      <w:pPr>
        <w:ind w:left="567" w:hanging="567"/>
      </w:pPr>
    </w:p>
    <w:p w14:paraId="4411ECAD" w14:textId="77777777" w:rsidR="00AD5A09" w:rsidRPr="00BD29DD" w:rsidRDefault="00AD5A09" w:rsidP="00AD5A09">
      <w:pPr>
        <w:ind w:left="567" w:hanging="567"/>
        <w:rPr>
          <w:i/>
          <w:caps/>
          <w:szCs w:val="22"/>
        </w:rPr>
      </w:pPr>
    </w:p>
    <w:p w14:paraId="7EB184B5"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farmacinė forma ir KIEKIS PAKUOTĖJE</w:t>
      </w:r>
    </w:p>
    <w:p w14:paraId="7B3D081D" w14:textId="77777777" w:rsidR="00AD5A09" w:rsidRDefault="00AD5A09" w:rsidP="00AD5A09">
      <w:pPr>
        <w:rPr>
          <w:szCs w:val="22"/>
        </w:rPr>
      </w:pPr>
    </w:p>
    <w:p w14:paraId="6F6D442E" w14:textId="77777777" w:rsidR="00AD5A09" w:rsidRDefault="003A27F3" w:rsidP="00AD5A09">
      <w:pPr>
        <w:rPr>
          <w:szCs w:val="22"/>
        </w:rPr>
      </w:pPr>
      <w:r>
        <w:rPr>
          <w:szCs w:val="22"/>
        </w:rPr>
        <w:t xml:space="preserve">Flakonas </w:t>
      </w:r>
      <w:r w:rsidR="00AD5A09">
        <w:rPr>
          <w:szCs w:val="22"/>
        </w:rPr>
        <w:t>miltelių:</w:t>
      </w:r>
    </w:p>
    <w:p w14:paraId="4DDD9E75" w14:textId="77777777" w:rsidR="00AD5A09" w:rsidRDefault="00AD5A09" w:rsidP="00AD5A09">
      <w:pPr>
        <w:rPr>
          <w:szCs w:val="22"/>
        </w:rPr>
      </w:pPr>
      <w:r>
        <w:rPr>
          <w:szCs w:val="22"/>
        </w:rPr>
        <w:t>Švirkštas tirpiklio:</w:t>
      </w:r>
    </w:p>
    <w:p w14:paraId="4A14D12F" w14:textId="77777777" w:rsidR="00AD5A09" w:rsidRDefault="00AD5A09" w:rsidP="00AD5A09">
      <w:pPr>
        <w:rPr>
          <w:szCs w:val="22"/>
        </w:rPr>
      </w:pPr>
    </w:p>
    <w:p w14:paraId="1BA9DA62" w14:textId="77777777" w:rsidR="00AD5A09" w:rsidRPr="005F2C27" w:rsidDel="007660DA" w:rsidRDefault="00AD5A09" w:rsidP="00AD5A09">
      <w:pPr>
        <w:rPr>
          <w:szCs w:val="22"/>
        </w:rPr>
      </w:pPr>
      <w:r w:rsidRPr="005F2C27" w:rsidDel="007660DA">
        <w:rPr>
          <w:szCs w:val="22"/>
        </w:rPr>
        <w:t>Milteliai ir tirpiklis injekciniam tirpalui</w:t>
      </w:r>
      <w:r>
        <w:rPr>
          <w:szCs w:val="22"/>
        </w:rPr>
        <w:t xml:space="preserve"> </w:t>
      </w:r>
      <w:r w:rsidRPr="00783C88">
        <w:rPr>
          <w:szCs w:val="22"/>
        </w:rPr>
        <w:t>užpildytame švirkšte</w:t>
      </w:r>
      <w:r w:rsidRPr="005F2C27" w:rsidDel="007660DA">
        <w:rPr>
          <w:szCs w:val="22"/>
        </w:rPr>
        <w:t>.</w:t>
      </w:r>
    </w:p>
    <w:p w14:paraId="5E2BA110" w14:textId="77777777" w:rsidR="00AD5A09" w:rsidRDefault="00AD5A09" w:rsidP="00AD5A09">
      <w:pPr>
        <w:pStyle w:val="Pagrindinistekstas"/>
        <w:spacing w:after="0"/>
      </w:pPr>
    </w:p>
    <w:p w14:paraId="4ACEDD3F" w14:textId="77777777" w:rsidR="00AD5A09" w:rsidRPr="007943B1" w:rsidRDefault="00AD5A09" w:rsidP="00AD5A09">
      <w:pPr>
        <w:pStyle w:val="Pagrindinistekstas"/>
        <w:spacing w:after="0"/>
      </w:pPr>
      <w:r w:rsidRPr="007943B1">
        <w:t>1 mg</w:t>
      </w:r>
    </w:p>
    <w:p w14:paraId="7D0A8C14" w14:textId="77777777" w:rsidR="00AD5A09" w:rsidRDefault="00AD5A09" w:rsidP="00AD5A09">
      <w:pPr>
        <w:ind w:left="567" w:hanging="567"/>
        <w:rPr>
          <w:caps/>
          <w:szCs w:val="22"/>
        </w:rPr>
      </w:pPr>
      <w:r w:rsidRPr="007943B1">
        <w:t>1 ml</w:t>
      </w:r>
    </w:p>
    <w:p w14:paraId="18ACE570" w14:textId="77777777" w:rsidR="00AD5A09" w:rsidRDefault="00AD5A09" w:rsidP="00AD5A09">
      <w:pPr>
        <w:ind w:left="567" w:hanging="567"/>
        <w:outlineLvl w:val="0"/>
        <w:rPr>
          <w:b/>
          <w:caps/>
          <w:szCs w:val="22"/>
        </w:rPr>
      </w:pPr>
    </w:p>
    <w:p w14:paraId="3BEAAB11" w14:textId="77777777" w:rsidR="00AD5A09" w:rsidRDefault="00AD5A09" w:rsidP="00AD5A09">
      <w:pPr>
        <w:ind w:left="567" w:hanging="567"/>
        <w:outlineLvl w:val="0"/>
        <w:rPr>
          <w:b/>
          <w:caps/>
          <w:szCs w:val="22"/>
        </w:rPr>
      </w:pPr>
    </w:p>
    <w:p w14:paraId="34B1798D"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vartojimo METODAS IR būdai</w:t>
      </w:r>
    </w:p>
    <w:p w14:paraId="1790EFEA" w14:textId="77777777" w:rsidR="00AD5A09" w:rsidRDefault="00AD5A09" w:rsidP="00AD5A09">
      <w:pPr>
        <w:ind w:left="567" w:hanging="567"/>
        <w:rPr>
          <w:caps/>
          <w:szCs w:val="22"/>
        </w:rPr>
      </w:pPr>
    </w:p>
    <w:p w14:paraId="2E50A7BF" w14:textId="77777777" w:rsidR="00AD5A09" w:rsidRPr="00B4188C" w:rsidRDefault="00AD5A09" w:rsidP="00AD5A09">
      <w:pPr>
        <w:rPr>
          <w:b/>
          <w:szCs w:val="22"/>
        </w:rPr>
      </w:pPr>
      <w:r w:rsidRPr="0072029E">
        <w:rPr>
          <w:szCs w:val="22"/>
        </w:rPr>
        <w:t>Vartoti po oda ar į raumenis.</w:t>
      </w:r>
    </w:p>
    <w:p w14:paraId="674005A7" w14:textId="77777777" w:rsidR="00AD5A09" w:rsidRPr="00B949EC" w:rsidRDefault="00AD5A09" w:rsidP="00AD5A09">
      <w:pPr>
        <w:ind w:left="567" w:hanging="567"/>
        <w:rPr>
          <w:b/>
          <w:szCs w:val="22"/>
        </w:rPr>
      </w:pPr>
      <w:r w:rsidRPr="007660DA">
        <w:rPr>
          <w:b/>
        </w:rPr>
        <w:t xml:space="preserve">Prieš vartojimą </w:t>
      </w:r>
      <w:r w:rsidRPr="00B949EC">
        <w:rPr>
          <w:b/>
          <w:szCs w:val="22"/>
        </w:rPr>
        <w:t>sumaišykite su tirpikliu.</w:t>
      </w:r>
    </w:p>
    <w:p w14:paraId="1E25CB82" w14:textId="77777777" w:rsidR="00AD5A09" w:rsidRPr="00B949EC" w:rsidRDefault="00AD5A09" w:rsidP="00AD5A09">
      <w:pPr>
        <w:ind w:left="567" w:hanging="567"/>
        <w:rPr>
          <w:b/>
          <w:szCs w:val="22"/>
        </w:rPr>
      </w:pPr>
      <w:r w:rsidRPr="00B949EC">
        <w:rPr>
          <w:b/>
          <w:szCs w:val="22"/>
        </w:rPr>
        <w:t>Sumaišę iškart suvartokite.</w:t>
      </w:r>
    </w:p>
    <w:p w14:paraId="2AFD0D06" w14:textId="1FB36768" w:rsidR="00AD5A09" w:rsidRPr="00437BEA" w:rsidRDefault="009F1594" w:rsidP="00437BEA">
      <w:pPr>
        <w:spacing w:line="260" w:lineRule="exact"/>
        <w:rPr>
          <w:b/>
          <w:bCs/>
          <w:snapToGrid w:val="0"/>
        </w:rPr>
      </w:pPr>
      <w:r w:rsidRPr="00437BEA">
        <w:rPr>
          <w:b/>
          <w:bCs/>
          <w:snapToGrid w:val="0"/>
        </w:rPr>
        <w:t>Prieš vartojimą perskaitykite pakuotės lapelį.</w:t>
      </w:r>
    </w:p>
    <w:p w14:paraId="3E2DF980" w14:textId="49FBA26F" w:rsidR="00AD5A09" w:rsidRPr="00B949EC" w:rsidRDefault="00AD5A09" w:rsidP="009F1594">
      <w:pPr>
        <w:ind w:left="567" w:hanging="567"/>
        <w:rPr>
          <w:b/>
          <w:szCs w:val="22"/>
        </w:rPr>
      </w:pPr>
      <w:r w:rsidRPr="00B949EC">
        <w:rPr>
          <w:b/>
          <w:szCs w:val="22"/>
        </w:rPr>
        <w:t>Nepalikite kitam kartui.</w:t>
      </w:r>
    </w:p>
    <w:p w14:paraId="04C974E0" w14:textId="77777777" w:rsidR="00AD5A09" w:rsidRDefault="00AD5A09" w:rsidP="00AD5A09">
      <w:pPr>
        <w:ind w:left="567" w:hanging="567"/>
        <w:rPr>
          <w:b/>
          <w:szCs w:val="22"/>
        </w:rPr>
      </w:pPr>
      <w:r w:rsidRPr="00B949EC">
        <w:rPr>
          <w:b/>
          <w:szCs w:val="22"/>
        </w:rPr>
        <w:t>Pasilikite</w:t>
      </w:r>
      <w:r w:rsidRPr="007660DA">
        <w:rPr>
          <w:b/>
        </w:rPr>
        <w:t xml:space="preserve"> pakuotės lapelį.</w:t>
      </w:r>
      <w:r w:rsidRPr="00B949EC">
        <w:rPr>
          <w:b/>
          <w:szCs w:val="22"/>
        </w:rPr>
        <w:t xml:space="preserve"> Jums gali</w:t>
      </w:r>
      <w:r>
        <w:rPr>
          <w:b/>
          <w:szCs w:val="22"/>
        </w:rPr>
        <w:t xml:space="preserve"> </w:t>
      </w:r>
      <w:r w:rsidRPr="00B949EC">
        <w:rPr>
          <w:b/>
          <w:szCs w:val="22"/>
        </w:rPr>
        <w:t>jo prireikti.</w:t>
      </w:r>
    </w:p>
    <w:p w14:paraId="3F9572E4" w14:textId="61DAB0B9" w:rsidR="00AD5A09" w:rsidRDefault="00AD5A09" w:rsidP="00AD5A09">
      <w:pPr>
        <w:ind w:left="567" w:hanging="567"/>
        <w:rPr>
          <w:caps/>
          <w:szCs w:val="22"/>
        </w:rPr>
      </w:pPr>
    </w:p>
    <w:p w14:paraId="1DBA99AD" w14:textId="77777777" w:rsidR="00273310" w:rsidRDefault="00273310" w:rsidP="00AD5A09">
      <w:pPr>
        <w:ind w:left="567" w:hanging="567"/>
        <w:rPr>
          <w:caps/>
          <w:szCs w:val="22"/>
        </w:rPr>
      </w:pPr>
    </w:p>
    <w:p w14:paraId="63657389" w14:textId="77777777" w:rsidR="00AD5A09" w:rsidRDefault="00AD5A09" w:rsidP="00AD5A09">
      <w:pPr>
        <w:pBdr>
          <w:top w:val="single" w:sz="4" w:space="1" w:color="auto"/>
          <w:left w:val="single" w:sz="4" w:space="4" w:color="auto"/>
          <w:bottom w:val="single" w:sz="4" w:space="1" w:color="auto"/>
          <w:right w:val="single" w:sz="4" w:space="4" w:color="auto"/>
        </w:pBdr>
        <w:ind w:left="720" w:hanging="720"/>
        <w:outlineLvl w:val="0"/>
        <w:rPr>
          <w:b/>
          <w:caps/>
          <w:szCs w:val="22"/>
        </w:rPr>
      </w:pPr>
      <w:r>
        <w:rPr>
          <w:b/>
          <w:caps/>
          <w:szCs w:val="22"/>
        </w:rPr>
        <w:t>6.</w:t>
      </w:r>
      <w:r>
        <w:rPr>
          <w:b/>
          <w:caps/>
          <w:szCs w:val="22"/>
        </w:rPr>
        <w:tab/>
        <w:t>SPECIALUS Įspėjimas</w:t>
      </w:r>
      <w:r>
        <w:rPr>
          <w:szCs w:val="22"/>
        </w:rPr>
        <w:t xml:space="preserve">, </w:t>
      </w:r>
      <w:r>
        <w:rPr>
          <w:b/>
          <w:szCs w:val="22"/>
        </w:rPr>
        <w:t xml:space="preserve">KAD VAISTINĮ PREPARATĄ BŪTINA LAIKYTI </w:t>
      </w:r>
      <w:r>
        <w:rPr>
          <w:b/>
          <w:caps/>
          <w:szCs w:val="22"/>
        </w:rPr>
        <w:t>vaikams nepastebimoje ir nepasiekiamoje vietoje</w:t>
      </w:r>
    </w:p>
    <w:p w14:paraId="460E3F63" w14:textId="77777777" w:rsidR="00AD5A09" w:rsidRDefault="00AD5A09" w:rsidP="00AD5A09">
      <w:pPr>
        <w:ind w:left="567" w:hanging="567"/>
        <w:rPr>
          <w:b/>
          <w:szCs w:val="22"/>
        </w:rPr>
      </w:pPr>
    </w:p>
    <w:p w14:paraId="2BA29308" w14:textId="77777777" w:rsidR="00AD5A09" w:rsidRPr="007660DA" w:rsidRDefault="00AD5A09" w:rsidP="00AD5A09">
      <w:pPr>
        <w:ind w:left="567" w:hanging="567"/>
        <w:rPr>
          <w:b/>
        </w:rPr>
      </w:pPr>
      <w:r w:rsidRPr="007660DA">
        <w:rPr>
          <w:b/>
        </w:rPr>
        <w:t xml:space="preserve">Laikyti vaikams </w:t>
      </w:r>
      <w:r w:rsidRPr="00B949EC">
        <w:rPr>
          <w:b/>
          <w:szCs w:val="22"/>
        </w:rPr>
        <w:t xml:space="preserve">nepastebimoje ir </w:t>
      </w:r>
      <w:r w:rsidRPr="007660DA">
        <w:rPr>
          <w:b/>
        </w:rPr>
        <w:t>nepasiekiamoje vietoje.</w:t>
      </w:r>
    </w:p>
    <w:p w14:paraId="16EF5A1F" w14:textId="77777777" w:rsidR="00AD5A09" w:rsidRDefault="00AD5A09" w:rsidP="00AD5A09">
      <w:pPr>
        <w:ind w:left="567" w:hanging="567"/>
        <w:rPr>
          <w:szCs w:val="22"/>
        </w:rPr>
      </w:pPr>
    </w:p>
    <w:p w14:paraId="77612449" w14:textId="77777777" w:rsidR="00AD5A09" w:rsidRDefault="00AD5A09" w:rsidP="00AD5A09">
      <w:pPr>
        <w:ind w:left="567" w:hanging="567"/>
        <w:rPr>
          <w:szCs w:val="22"/>
        </w:rPr>
      </w:pPr>
    </w:p>
    <w:p w14:paraId="64B9FA3B"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7.</w:t>
      </w:r>
      <w:r>
        <w:rPr>
          <w:b/>
          <w:caps/>
          <w:szCs w:val="22"/>
        </w:rPr>
        <w:tab/>
        <w:t>kitas (-I) specialus (-ŪS) Įspėjimas (-AI) (jei reikia)</w:t>
      </w:r>
    </w:p>
    <w:p w14:paraId="4DC1910F" w14:textId="77777777" w:rsidR="00AD5A09" w:rsidRDefault="00AD5A09" w:rsidP="00AD5A09">
      <w:pPr>
        <w:ind w:left="567" w:hanging="567"/>
        <w:rPr>
          <w:caps/>
          <w:szCs w:val="22"/>
        </w:rPr>
      </w:pPr>
    </w:p>
    <w:p w14:paraId="15E6CE4F" w14:textId="77777777" w:rsidR="00AD5A09" w:rsidRDefault="00AD5A09" w:rsidP="00AD5A09">
      <w:pPr>
        <w:ind w:left="567" w:hanging="567"/>
        <w:rPr>
          <w:szCs w:val="22"/>
        </w:rPr>
      </w:pPr>
    </w:p>
    <w:p w14:paraId="528568B7" w14:textId="77777777" w:rsidR="00AD5A09" w:rsidRDefault="00AD5A09" w:rsidP="00AD5A09">
      <w:pPr>
        <w:ind w:left="567" w:hanging="567"/>
        <w:rPr>
          <w:caps/>
          <w:szCs w:val="22"/>
        </w:rPr>
      </w:pPr>
    </w:p>
    <w:p w14:paraId="630F2146"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8.</w:t>
      </w:r>
      <w:r>
        <w:rPr>
          <w:b/>
          <w:caps/>
          <w:szCs w:val="22"/>
        </w:rPr>
        <w:tab/>
        <w:t>tinkamumo laikas</w:t>
      </w:r>
    </w:p>
    <w:p w14:paraId="567C70BE" w14:textId="77777777" w:rsidR="00AD5A09" w:rsidRDefault="00AD5A09" w:rsidP="00AD5A09">
      <w:pPr>
        <w:ind w:left="567" w:hanging="567"/>
        <w:rPr>
          <w:szCs w:val="22"/>
        </w:rPr>
      </w:pPr>
    </w:p>
    <w:p w14:paraId="7EFDFB97" w14:textId="77777777" w:rsidR="00AD5A09" w:rsidRDefault="00BF0EEA" w:rsidP="00AD5A09">
      <w:pPr>
        <w:ind w:left="567" w:hanging="567"/>
        <w:outlineLvl w:val="0"/>
        <w:rPr>
          <w:szCs w:val="22"/>
        </w:rPr>
      </w:pPr>
      <w:r>
        <w:rPr>
          <w:szCs w:val="22"/>
        </w:rPr>
        <w:t>EXP</w:t>
      </w:r>
    </w:p>
    <w:p w14:paraId="70A9D680" w14:textId="77777777" w:rsidR="00AD5A09" w:rsidRDefault="00AD5A09" w:rsidP="00AD5A09">
      <w:pPr>
        <w:ind w:left="567" w:hanging="567"/>
        <w:rPr>
          <w:szCs w:val="22"/>
        </w:rPr>
      </w:pPr>
    </w:p>
    <w:p w14:paraId="3E96D613"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9.</w:t>
      </w:r>
      <w:r>
        <w:rPr>
          <w:b/>
          <w:caps/>
          <w:szCs w:val="22"/>
        </w:rPr>
        <w:tab/>
        <w:t>SPECIALIOS laikymo sąlygos</w:t>
      </w:r>
    </w:p>
    <w:p w14:paraId="3B9F6E32" w14:textId="77777777" w:rsidR="00AD5A09" w:rsidRDefault="00AD5A09" w:rsidP="00AD5A09">
      <w:pPr>
        <w:ind w:left="567" w:hanging="567"/>
        <w:rPr>
          <w:szCs w:val="22"/>
        </w:rPr>
      </w:pPr>
    </w:p>
    <w:p w14:paraId="6E533F17" w14:textId="77777777" w:rsidR="00AD5A09" w:rsidRPr="007660DA" w:rsidRDefault="00AD5A09" w:rsidP="00AD5A09">
      <w:pPr>
        <w:rPr>
          <w:b/>
        </w:rPr>
      </w:pPr>
      <w:r w:rsidRPr="007660DA">
        <w:rPr>
          <w:b/>
        </w:rPr>
        <w:t>Laikyti šaldytuve (2 °C</w:t>
      </w:r>
      <w:r w:rsidRPr="00B949EC">
        <w:rPr>
          <w:b/>
          <w:szCs w:val="22"/>
        </w:rPr>
        <w:t>−</w:t>
      </w:r>
      <w:r w:rsidRPr="007660DA">
        <w:rPr>
          <w:b/>
        </w:rPr>
        <w:t>8 °C).</w:t>
      </w:r>
      <w:r w:rsidRPr="00B949EC">
        <w:rPr>
          <w:b/>
          <w:szCs w:val="22"/>
        </w:rPr>
        <w:t xml:space="preserve"> </w:t>
      </w:r>
      <w:r w:rsidRPr="00B949EC">
        <w:rPr>
          <w:b/>
        </w:rPr>
        <w:t xml:space="preserve">Kol nurodytas tinkamumo laikas nepraėjo, </w:t>
      </w:r>
      <w:r w:rsidRPr="00924EFA">
        <w:rPr>
          <w:b/>
        </w:rPr>
        <w:t>GlucaGen HypoKit</w:t>
      </w:r>
      <w:r w:rsidRPr="00B949EC">
        <w:rPr>
          <w:b/>
        </w:rPr>
        <w:t xml:space="preserve"> galima</w:t>
      </w:r>
      <w:r w:rsidRPr="007660DA">
        <w:rPr>
          <w:b/>
        </w:rPr>
        <w:t xml:space="preserve"> laikyti </w:t>
      </w:r>
      <w:r w:rsidRPr="00B949EC">
        <w:rPr>
          <w:b/>
        </w:rPr>
        <w:t>iki 25 °C temperatūroje ne ilgiau kaip 18 mėnesių</w:t>
      </w:r>
      <w:r w:rsidRPr="007660DA">
        <w:rPr>
          <w:b/>
        </w:rPr>
        <w:t>.</w:t>
      </w:r>
    </w:p>
    <w:p w14:paraId="0AA847C6" w14:textId="77777777" w:rsidR="00AD5A09" w:rsidRPr="007660DA" w:rsidRDefault="00AD5A09" w:rsidP="00AD5A09">
      <w:pPr>
        <w:rPr>
          <w:b/>
        </w:rPr>
      </w:pPr>
      <w:r w:rsidRPr="007660DA">
        <w:rPr>
          <w:b/>
        </w:rPr>
        <w:t>Negalima užšaldyti.</w:t>
      </w:r>
    </w:p>
    <w:p w14:paraId="74D6387D" w14:textId="55936659" w:rsidR="00AD5A09" w:rsidRPr="00B949EC" w:rsidRDefault="00AD5A09" w:rsidP="00AD5A09">
      <w:pPr>
        <w:rPr>
          <w:b/>
          <w:szCs w:val="22"/>
        </w:rPr>
      </w:pPr>
      <w:r w:rsidRPr="00B949EC">
        <w:rPr>
          <w:b/>
          <w:szCs w:val="22"/>
        </w:rPr>
        <w:t xml:space="preserve">Laikyti </w:t>
      </w:r>
      <w:r w:rsidR="009F1594" w:rsidRPr="009F1594">
        <w:rPr>
          <w:b/>
          <w:szCs w:val="22"/>
        </w:rPr>
        <w:t xml:space="preserve">gamintojo </w:t>
      </w:r>
      <w:r w:rsidRPr="00B949EC">
        <w:rPr>
          <w:b/>
          <w:szCs w:val="22"/>
        </w:rPr>
        <w:t>pakuotėje.</w:t>
      </w:r>
    </w:p>
    <w:p w14:paraId="59421123" w14:textId="77777777" w:rsidR="00AD5A09" w:rsidRPr="007660DA" w:rsidRDefault="00AD5A09" w:rsidP="00AD5A09"/>
    <w:p w14:paraId="56986420" w14:textId="77777777" w:rsidR="00AD5A09" w:rsidRDefault="00AD5A09" w:rsidP="00AD5A09">
      <w:pPr>
        <w:ind w:left="567" w:hanging="567"/>
        <w:rPr>
          <w:b/>
          <w:szCs w:val="22"/>
        </w:rPr>
      </w:pPr>
    </w:p>
    <w:p w14:paraId="2F45F57F"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10.</w:t>
      </w:r>
      <w:r>
        <w:rPr>
          <w:b/>
          <w:caps/>
          <w:szCs w:val="22"/>
        </w:rPr>
        <w:tab/>
        <w:t>specialios atsargumo priemonės</w:t>
      </w:r>
      <w:r>
        <w:rPr>
          <w:b/>
          <w:szCs w:val="22"/>
        </w:rPr>
        <w:t xml:space="preserve"> DĖL NESUVARTOTO</w:t>
      </w:r>
      <w:r>
        <w:rPr>
          <w:b/>
          <w:caps/>
          <w:szCs w:val="22"/>
        </w:rPr>
        <w:t xml:space="preserve"> VAISTINIO PREPARATO AR JO ATLIEKŲ TVARKYMO</w:t>
      </w:r>
      <w:r>
        <w:rPr>
          <w:caps/>
          <w:szCs w:val="22"/>
        </w:rPr>
        <w:t xml:space="preserve"> </w:t>
      </w:r>
      <w:r>
        <w:rPr>
          <w:b/>
          <w:caps/>
          <w:szCs w:val="22"/>
        </w:rPr>
        <w:t>(jei reikia)</w:t>
      </w:r>
    </w:p>
    <w:p w14:paraId="29E7C2C2" w14:textId="77777777" w:rsidR="00AD5A09" w:rsidRDefault="00AD5A09" w:rsidP="00AD5A09">
      <w:pPr>
        <w:ind w:left="567" w:hanging="567"/>
        <w:rPr>
          <w:caps/>
          <w:szCs w:val="22"/>
        </w:rPr>
      </w:pPr>
    </w:p>
    <w:p w14:paraId="3B275A1A" w14:textId="77777777" w:rsidR="00AD5A09" w:rsidRDefault="00AD5A09" w:rsidP="00AD5A09">
      <w:pPr>
        <w:ind w:left="567" w:hanging="567"/>
        <w:rPr>
          <w:caps/>
          <w:szCs w:val="22"/>
        </w:rPr>
      </w:pPr>
    </w:p>
    <w:p w14:paraId="6FB8782D"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11.</w:t>
      </w:r>
      <w:r>
        <w:rPr>
          <w:b/>
          <w:caps/>
          <w:szCs w:val="22"/>
        </w:rPr>
        <w:tab/>
        <w:t>REGISTRUOTOJO pavadinimas ir adresas</w:t>
      </w:r>
    </w:p>
    <w:p w14:paraId="12E7434C" w14:textId="77777777" w:rsidR="00AD5A09" w:rsidRDefault="00AD5A09" w:rsidP="00AD5A09">
      <w:pPr>
        <w:ind w:left="567" w:hanging="567"/>
        <w:rPr>
          <w:caps/>
          <w:szCs w:val="22"/>
        </w:rPr>
      </w:pPr>
    </w:p>
    <w:p w14:paraId="4D0D7248" w14:textId="77777777" w:rsidR="00AD5A09" w:rsidRDefault="00AD5A09" w:rsidP="00AD5A09">
      <w:pPr>
        <w:rPr>
          <w:szCs w:val="22"/>
        </w:rPr>
      </w:pPr>
      <w:r>
        <w:rPr>
          <w:szCs w:val="22"/>
        </w:rPr>
        <w:t>Novo Nordisk A/S</w:t>
      </w:r>
    </w:p>
    <w:p w14:paraId="17E60C6D" w14:textId="77777777" w:rsidR="00AD5A09" w:rsidRDefault="00AD5A09" w:rsidP="00AD5A09">
      <w:pPr>
        <w:rPr>
          <w:szCs w:val="22"/>
        </w:rPr>
      </w:pPr>
      <w:r w:rsidRPr="00BF0EEA">
        <w:rPr>
          <w:szCs w:val="22"/>
        </w:rPr>
        <w:t>Novo Allé</w:t>
      </w:r>
    </w:p>
    <w:p w14:paraId="6F776406" w14:textId="77777777" w:rsidR="00AD5A09" w:rsidRDefault="00AD5A09" w:rsidP="00AD5A09">
      <w:pPr>
        <w:rPr>
          <w:szCs w:val="22"/>
        </w:rPr>
      </w:pPr>
      <w:r>
        <w:rPr>
          <w:szCs w:val="22"/>
        </w:rPr>
        <w:t>DK-2880 Bagsværd, Danija</w:t>
      </w:r>
    </w:p>
    <w:p w14:paraId="52451D62" w14:textId="77777777" w:rsidR="00AD5A09" w:rsidRDefault="00AD5A09" w:rsidP="00AD5A09">
      <w:pPr>
        <w:ind w:left="567" w:hanging="567"/>
        <w:rPr>
          <w:caps/>
          <w:szCs w:val="22"/>
        </w:rPr>
      </w:pPr>
    </w:p>
    <w:p w14:paraId="40852553" w14:textId="77777777" w:rsidR="00AD5A09" w:rsidRDefault="00AD5A09" w:rsidP="00AD5A09">
      <w:pPr>
        <w:ind w:left="567" w:hanging="567"/>
        <w:rPr>
          <w:caps/>
          <w:szCs w:val="22"/>
        </w:rPr>
      </w:pPr>
    </w:p>
    <w:p w14:paraId="4EF5AA22"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12.</w:t>
      </w:r>
      <w:r>
        <w:rPr>
          <w:b/>
          <w:caps/>
          <w:szCs w:val="22"/>
        </w:rPr>
        <w:tab/>
        <w:t>REGISTRACIJOS PAŽYMĖJIMO numeris</w:t>
      </w:r>
    </w:p>
    <w:p w14:paraId="418CB10B" w14:textId="77777777" w:rsidR="00AD5A09" w:rsidRDefault="00AD5A09" w:rsidP="00AD5A09">
      <w:pPr>
        <w:ind w:left="567" w:hanging="567"/>
        <w:rPr>
          <w:szCs w:val="22"/>
        </w:rPr>
      </w:pPr>
    </w:p>
    <w:p w14:paraId="4D70D2E7" w14:textId="77777777" w:rsidR="00AD5A09" w:rsidRPr="00E83E6A" w:rsidRDefault="00AD5A09" w:rsidP="00AD5A09">
      <w:pPr>
        <w:ind w:left="567" w:hanging="567"/>
      </w:pPr>
      <w:r w:rsidRPr="00CA49EA">
        <w:t>LT/</w:t>
      </w:r>
      <w:r w:rsidRPr="00E83E6A">
        <w:t>1/</w:t>
      </w:r>
      <w:r>
        <w:t>05</w:t>
      </w:r>
      <w:r w:rsidRPr="00E83E6A">
        <w:t>/</w:t>
      </w:r>
      <w:r>
        <w:t>0248</w:t>
      </w:r>
      <w:r w:rsidRPr="00E83E6A">
        <w:t>/</w:t>
      </w:r>
      <w:r>
        <w:t>001</w:t>
      </w:r>
    </w:p>
    <w:p w14:paraId="7C57D4EF" w14:textId="77777777" w:rsidR="00AD5A09" w:rsidRDefault="00AD5A09" w:rsidP="00AD5A09">
      <w:pPr>
        <w:ind w:left="567" w:hanging="567"/>
        <w:rPr>
          <w:szCs w:val="22"/>
          <w:highlight w:val="green"/>
        </w:rPr>
      </w:pPr>
    </w:p>
    <w:p w14:paraId="5090E00A" w14:textId="77777777" w:rsidR="00AD5A09" w:rsidRDefault="00AD5A09" w:rsidP="00AD5A09">
      <w:pPr>
        <w:ind w:left="567" w:hanging="567"/>
        <w:rPr>
          <w:szCs w:val="22"/>
        </w:rPr>
      </w:pPr>
    </w:p>
    <w:p w14:paraId="60EFCC5A"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13.</w:t>
      </w:r>
      <w:r>
        <w:rPr>
          <w:b/>
          <w:caps/>
          <w:szCs w:val="22"/>
        </w:rPr>
        <w:tab/>
        <w:t>serijos numeris</w:t>
      </w:r>
    </w:p>
    <w:p w14:paraId="6A7F8809" w14:textId="77777777" w:rsidR="00AD5A09" w:rsidRDefault="00AD5A09" w:rsidP="00AD5A09">
      <w:pPr>
        <w:ind w:left="567" w:hanging="567"/>
        <w:rPr>
          <w:szCs w:val="22"/>
        </w:rPr>
      </w:pPr>
    </w:p>
    <w:p w14:paraId="3992BE53" w14:textId="77777777" w:rsidR="00AD5A09" w:rsidRDefault="00BF0EEA" w:rsidP="00AD5A09">
      <w:pPr>
        <w:ind w:left="567" w:hanging="567"/>
        <w:rPr>
          <w:szCs w:val="22"/>
        </w:rPr>
      </w:pPr>
      <w:r>
        <w:rPr>
          <w:szCs w:val="22"/>
        </w:rPr>
        <w:t>Lot</w:t>
      </w:r>
    </w:p>
    <w:p w14:paraId="4D9C560F" w14:textId="77777777" w:rsidR="00AD5A09" w:rsidRDefault="00AD5A09" w:rsidP="00AD5A09">
      <w:pPr>
        <w:ind w:left="567" w:hanging="567"/>
        <w:rPr>
          <w:szCs w:val="22"/>
        </w:rPr>
      </w:pPr>
    </w:p>
    <w:p w14:paraId="019E6A79" w14:textId="77777777" w:rsidR="00AD5A09" w:rsidRDefault="00AD5A09" w:rsidP="00AD5A09">
      <w:pPr>
        <w:ind w:left="567" w:hanging="567"/>
        <w:rPr>
          <w:szCs w:val="22"/>
        </w:rPr>
      </w:pPr>
    </w:p>
    <w:p w14:paraId="35676273"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14.</w:t>
      </w:r>
      <w:r>
        <w:rPr>
          <w:b/>
          <w:caps/>
          <w:szCs w:val="22"/>
        </w:rPr>
        <w:tab/>
        <w:t>PARDAVIMO (IŠDAVIMO) tvarka</w:t>
      </w:r>
    </w:p>
    <w:p w14:paraId="5A389BFC" w14:textId="77777777" w:rsidR="00AD5A09" w:rsidRDefault="00AD5A09" w:rsidP="00AD5A09">
      <w:pPr>
        <w:rPr>
          <w:szCs w:val="22"/>
        </w:rPr>
      </w:pPr>
    </w:p>
    <w:p w14:paraId="48C4FF6B" w14:textId="6C81902A" w:rsidR="00AD5A09" w:rsidRPr="009F1594" w:rsidRDefault="007D7355" w:rsidP="00437BEA">
      <w:pPr>
        <w:tabs>
          <w:tab w:val="clear" w:pos="567"/>
          <w:tab w:val="left" w:pos="1296"/>
        </w:tabs>
        <w:rPr>
          <w:noProof w:val="0"/>
          <w:szCs w:val="20"/>
        </w:rPr>
      </w:pPr>
      <w:r>
        <w:t>Receptinis vaistas</w:t>
      </w:r>
    </w:p>
    <w:p w14:paraId="196AA3EE" w14:textId="77777777" w:rsidR="007D7355" w:rsidRDefault="007D7355" w:rsidP="00AD5A09">
      <w:pPr>
        <w:ind w:left="567" w:hanging="567"/>
        <w:rPr>
          <w:szCs w:val="22"/>
        </w:rPr>
      </w:pPr>
    </w:p>
    <w:p w14:paraId="488782CA" w14:textId="77777777" w:rsidR="00AD5A09" w:rsidRDefault="00AD5A09" w:rsidP="00AD5A09">
      <w:pPr>
        <w:ind w:left="567" w:hanging="567"/>
        <w:rPr>
          <w:szCs w:val="22"/>
        </w:rPr>
      </w:pPr>
    </w:p>
    <w:p w14:paraId="11B14DD6"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15.</w:t>
      </w:r>
      <w:r>
        <w:rPr>
          <w:b/>
          <w:caps/>
          <w:szCs w:val="22"/>
        </w:rPr>
        <w:tab/>
        <w:t>vartojimo instrukcijA</w:t>
      </w:r>
    </w:p>
    <w:p w14:paraId="5A03C509" w14:textId="77777777" w:rsidR="00AD5A09" w:rsidRDefault="00AD5A09" w:rsidP="00AD5A09">
      <w:pPr>
        <w:ind w:left="567" w:hanging="567"/>
        <w:rPr>
          <w:szCs w:val="22"/>
        </w:rPr>
      </w:pPr>
    </w:p>
    <w:p w14:paraId="5DAAD03F" w14:textId="77777777" w:rsidR="00AD5A09" w:rsidRPr="00564D3B" w:rsidRDefault="00AD5A09" w:rsidP="00AD5A09">
      <w:pPr>
        <w:rPr>
          <w:szCs w:val="22"/>
        </w:rPr>
      </w:pPr>
    </w:p>
    <w:p w14:paraId="7D03E2E4" w14:textId="77777777" w:rsidR="00AD5A09" w:rsidRPr="00003233" w:rsidRDefault="00AD5A09" w:rsidP="00AD5A09">
      <w:pPr>
        <w:pBdr>
          <w:top w:val="single" w:sz="4" w:space="1" w:color="auto"/>
          <w:left w:val="single" w:sz="4" w:space="4" w:color="auto"/>
          <w:bottom w:val="single" w:sz="4" w:space="1" w:color="auto"/>
          <w:right w:val="single" w:sz="4" w:space="4" w:color="auto"/>
        </w:pBdr>
        <w:rPr>
          <w:b/>
          <w:szCs w:val="22"/>
        </w:rPr>
      </w:pPr>
      <w:r w:rsidRPr="00003233">
        <w:rPr>
          <w:b/>
          <w:szCs w:val="22"/>
        </w:rPr>
        <w:t>16.</w:t>
      </w:r>
      <w:r w:rsidRPr="00003233">
        <w:rPr>
          <w:b/>
          <w:szCs w:val="22"/>
        </w:rPr>
        <w:tab/>
        <w:t>INFORMACIJA BRAILIO RAŠTU</w:t>
      </w:r>
    </w:p>
    <w:p w14:paraId="19243526" w14:textId="77777777" w:rsidR="00AD5A09" w:rsidRPr="00003233" w:rsidRDefault="00AD5A09" w:rsidP="00AD5A09">
      <w:pPr>
        <w:rPr>
          <w:b/>
          <w:szCs w:val="22"/>
        </w:rPr>
      </w:pPr>
    </w:p>
    <w:p w14:paraId="1D17B113" w14:textId="77777777" w:rsidR="00AD5A09" w:rsidRPr="00BF0EEA" w:rsidRDefault="00AD5A09" w:rsidP="00AD5A09">
      <w:pPr>
        <w:rPr>
          <w:szCs w:val="22"/>
        </w:rPr>
      </w:pPr>
      <w:r w:rsidRPr="00BF0EEA">
        <w:rPr>
          <w:szCs w:val="22"/>
        </w:rPr>
        <w:t>glucagen hypokit</w:t>
      </w:r>
    </w:p>
    <w:p w14:paraId="30F0D735" w14:textId="77777777" w:rsidR="00AD5A09" w:rsidRPr="00BF0EEA" w:rsidRDefault="00AD5A09" w:rsidP="00AD5A09">
      <w:pPr>
        <w:rPr>
          <w:szCs w:val="22"/>
        </w:rPr>
      </w:pPr>
    </w:p>
    <w:p w14:paraId="227CD3AA" w14:textId="77777777" w:rsidR="009A2D52" w:rsidRPr="000765AC" w:rsidRDefault="009A2D52" w:rsidP="009A2D52">
      <w:pPr>
        <w:rPr>
          <w:szCs w:val="22"/>
          <w:lang w:val="da-DK"/>
        </w:rPr>
      </w:pPr>
    </w:p>
    <w:p w14:paraId="29D0D835" w14:textId="77777777" w:rsidR="009A2D52" w:rsidRPr="002D19F0" w:rsidRDefault="009A2D52" w:rsidP="009A2D52">
      <w:pPr>
        <w:widowControl w:val="0"/>
        <w:pBdr>
          <w:top w:val="single" w:sz="4" w:space="1" w:color="auto"/>
          <w:left w:val="single" w:sz="4" w:space="4" w:color="auto"/>
          <w:bottom w:val="single" w:sz="4" w:space="1" w:color="auto"/>
          <w:right w:val="single" w:sz="4" w:space="4" w:color="auto"/>
        </w:pBdr>
        <w:tabs>
          <w:tab w:val="clear" w:pos="567"/>
        </w:tabs>
        <w:rPr>
          <w:b/>
          <w:noProof w:val="0"/>
          <w:szCs w:val="22"/>
        </w:rPr>
      </w:pPr>
      <w:r w:rsidRPr="002D19F0">
        <w:rPr>
          <w:b/>
          <w:noProof w:val="0"/>
          <w:szCs w:val="22"/>
        </w:rPr>
        <w:t>17.</w:t>
      </w:r>
      <w:r w:rsidRPr="002D19F0">
        <w:rPr>
          <w:b/>
          <w:noProof w:val="0"/>
          <w:szCs w:val="22"/>
        </w:rPr>
        <w:tab/>
        <w:t>UNIKALUS IDENTIFIKATORIUS – 2D BRŪKŠNINIS KODAS</w:t>
      </w:r>
    </w:p>
    <w:p w14:paraId="4C032C9D" w14:textId="77777777" w:rsidR="009A2D52" w:rsidRPr="002D19F0" w:rsidRDefault="009A2D52" w:rsidP="009A2D52">
      <w:pPr>
        <w:widowControl w:val="0"/>
        <w:tabs>
          <w:tab w:val="clear" w:pos="567"/>
        </w:tabs>
        <w:rPr>
          <w:noProof w:val="0"/>
          <w:szCs w:val="22"/>
          <w:highlight w:val="lightGray"/>
        </w:rPr>
      </w:pPr>
    </w:p>
    <w:p w14:paraId="30D36831" w14:textId="77777777" w:rsidR="009A2D52" w:rsidRPr="002D19F0" w:rsidRDefault="009A2D52" w:rsidP="009A2D52">
      <w:pPr>
        <w:widowControl w:val="0"/>
        <w:tabs>
          <w:tab w:val="clear" w:pos="567"/>
        </w:tabs>
        <w:rPr>
          <w:color w:val="222222"/>
        </w:rPr>
      </w:pPr>
      <w:r w:rsidRPr="002D19F0">
        <w:rPr>
          <w:szCs w:val="20"/>
          <w:highlight w:val="lightGray"/>
          <w:lang w:eastAsia="lt-LT" w:bidi="lt-LT"/>
        </w:rPr>
        <w:t>2D brūkšninis kodas su nurodytu unikaliu identifikatoriumi.</w:t>
      </w:r>
    </w:p>
    <w:p w14:paraId="3950DB85" w14:textId="77777777" w:rsidR="009A2D52" w:rsidRPr="002D19F0" w:rsidRDefault="009A2D52" w:rsidP="009A2D52">
      <w:pPr>
        <w:widowControl w:val="0"/>
        <w:tabs>
          <w:tab w:val="clear" w:pos="567"/>
        </w:tabs>
        <w:rPr>
          <w:noProof w:val="0"/>
          <w:szCs w:val="22"/>
        </w:rPr>
      </w:pPr>
    </w:p>
    <w:p w14:paraId="6E024E3D" w14:textId="77777777" w:rsidR="009A2D52" w:rsidRPr="002D19F0" w:rsidRDefault="009A2D52" w:rsidP="009A2D52">
      <w:pPr>
        <w:widowControl w:val="0"/>
        <w:tabs>
          <w:tab w:val="clear" w:pos="567"/>
        </w:tabs>
        <w:rPr>
          <w:noProof w:val="0"/>
          <w:szCs w:val="22"/>
        </w:rPr>
      </w:pPr>
    </w:p>
    <w:p w14:paraId="69805A97" w14:textId="77777777" w:rsidR="009A2D52" w:rsidRPr="002D19F0" w:rsidRDefault="009A2D52" w:rsidP="009A2D52">
      <w:pPr>
        <w:widowControl w:val="0"/>
        <w:pBdr>
          <w:top w:val="single" w:sz="4" w:space="1" w:color="auto"/>
          <w:left w:val="single" w:sz="4" w:space="4" w:color="auto"/>
          <w:bottom w:val="single" w:sz="4" w:space="1" w:color="auto"/>
          <w:right w:val="single" w:sz="4" w:space="4" w:color="auto"/>
        </w:pBdr>
        <w:tabs>
          <w:tab w:val="clear" w:pos="567"/>
        </w:tabs>
        <w:rPr>
          <w:b/>
          <w:noProof w:val="0"/>
          <w:szCs w:val="22"/>
        </w:rPr>
      </w:pPr>
      <w:r w:rsidRPr="002D19F0">
        <w:rPr>
          <w:b/>
          <w:noProof w:val="0"/>
          <w:szCs w:val="22"/>
        </w:rPr>
        <w:t>18.</w:t>
      </w:r>
      <w:r w:rsidRPr="002D19F0">
        <w:rPr>
          <w:b/>
          <w:noProof w:val="0"/>
          <w:szCs w:val="22"/>
        </w:rPr>
        <w:tab/>
        <w:t>UNIKALUS IDENTIFIKATORIUS – ŽMONĖMS SUPR</w:t>
      </w:r>
      <w:r>
        <w:rPr>
          <w:b/>
          <w:noProof w:val="0"/>
          <w:szCs w:val="22"/>
        </w:rPr>
        <w:t>A</w:t>
      </w:r>
      <w:r w:rsidRPr="002D19F0">
        <w:rPr>
          <w:b/>
          <w:noProof w:val="0"/>
          <w:szCs w:val="22"/>
        </w:rPr>
        <w:t>NTAMI DUOMENYS</w:t>
      </w:r>
    </w:p>
    <w:p w14:paraId="7C204A5D" w14:textId="77777777" w:rsidR="009A2D52" w:rsidRPr="002D19F0" w:rsidRDefault="009A2D52" w:rsidP="009A2D52">
      <w:pPr>
        <w:widowControl w:val="0"/>
        <w:tabs>
          <w:tab w:val="clear" w:pos="567"/>
        </w:tabs>
        <w:rPr>
          <w:noProof w:val="0"/>
          <w:szCs w:val="22"/>
        </w:rPr>
      </w:pPr>
    </w:p>
    <w:p w14:paraId="7DD1C71F" w14:textId="12CA3F00" w:rsidR="009A2D52" w:rsidRPr="002D19F0" w:rsidRDefault="009A2D52" w:rsidP="009A2D52">
      <w:pPr>
        <w:rPr>
          <w:szCs w:val="22"/>
        </w:rPr>
      </w:pPr>
      <w:r w:rsidRPr="002D19F0">
        <w:rPr>
          <w:szCs w:val="22"/>
        </w:rPr>
        <w:t>PC</w:t>
      </w:r>
    </w:p>
    <w:p w14:paraId="73D0DB7B" w14:textId="73DF8E3B" w:rsidR="009A2D52" w:rsidRPr="002D19F0" w:rsidRDefault="009A2D52" w:rsidP="009A2D52">
      <w:pPr>
        <w:rPr>
          <w:szCs w:val="22"/>
        </w:rPr>
      </w:pPr>
      <w:r w:rsidRPr="002D19F0">
        <w:rPr>
          <w:szCs w:val="22"/>
        </w:rPr>
        <w:t>SN</w:t>
      </w:r>
    </w:p>
    <w:p w14:paraId="2E80FB31" w14:textId="62606637" w:rsidR="009A2D52" w:rsidRPr="000765AC" w:rsidRDefault="009A2D52" w:rsidP="009A2D52">
      <w:pPr>
        <w:rPr>
          <w:szCs w:val="22"/>
          <w:lang w:val="da-DK"/>
        </w:rPr>
      </w:pPr>
      <w:r w:rsidRPr="002D19F0">
        <w:rPr>
          <w:szCs w:val="22"/>
        </w:rPr>
        <w:t>NN</w:t>
      </w:r>
    </w:p>
    <w:p w14:paraId="6E0576E9" w14:textId="77777777" w:rsidR="00AD5A09" w:rsidRDefault="00AD5A09" w:rsidP="00AD5A09">
      <w:pPr>
        <w:ind w:left="567" w:hanging="567"/>
        <w:rPr>
          <w:color w:val="0000FF"/>
          <w:szCs w:val="22"/>
        </w:rPr>
      </w:pPr>
    </w:p>
    <w:p w14:paraId="62AFAB9F"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 xml:space="preserve">Minimali informacija ant mažų </w:t>
      </w:r>
      <w:r>
        <w:rPr>
          <w:b/>
          <w:szCs w:val="22"/>
        </w:rPr>
        <w:t>VIDINIŲ</w:t>
      </w:r>
      <w:r>
        <w:rPr>
          <w:szCs w:val="22"/>
        </w:rPr>
        <w:t xml:space="preserve"> </w:t>
      </w:r>
      <w:r>
        <w:rPr>
          <w:b/>
          <w:caps/>
          <w:szCs w:val="22"/>
        </w:rPr>
        <w:t>pakuočių</w:t>
      </w:r>
    </w:p>
    <w:p w14:paraId="0857F105"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p>
    <w:p w14:paraId="30C602C4" w14:textId="77777777" w:rsidR="00AD5A09" w:rsidRDefault="003A27F3"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 xml:space="preserve">Flakono </w:t>
      </w:r>
      <w:r w:rsidR="00AD5A09">
        <w:rPr>
          <w:b/>
          <w:caps/>
          <w:szCs w:val="22"/>
        </w:rPr>
        <w:t>ETIKETĖ</w:t>
      </w:r>
    </w:p>
    <w:p w14:paraId="3764EAA7" w14:textId="77777777" w:rsidR="00AD5A09" w:rsidRDefault="00AD5A09" w:rsidP="00AD5A09">
      <w:pPr>
        <w:ind w:left="567" w:hanging="567"/>
        <w:rPr>
          <w:caps/>
          <w:szCs w:val="22"/>
        </w:rPr>
      </w:pPr>
    </w:p>
    <w:p w14:paraId="358ACD27" w14:textId="77777777" w:rsidR="00AD5A09" w:rsidRDefault="00AD5A09" w:rsidP="00AD5A09">
      <w:pPr>
        <w:ind w:left="567" w:hanging="567"/>
        <w:rPr>
          <w:caps/>
          <w:szCs w:val="22"/>
        </w:rPr>
      </w:pPr>
    </w:p>
    <w:p w14:paraId="28ED2BC2"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 ir vartojimo būdai</w:t>
      </w:r>
    </w:p>
    <w:p w14:paraId="2DB47C1B" w14:textId="77777777" w:rsidR="00AD5A09" w:rsidRDefault="00AD5A09" w:rsidP="00AD5A09">
      <w:pPr>
        <w:ind w:left="567" w:hanging="567"/>
        <w:rPr>
          <w:szCs w:val="22"/>
        </w:rPr>
      </w:pPr>
    </w:p>
    <w:p w14:paraId="0009EE5B" w14:textId="273E44B1" w:rsidR="00AD5A09" w:rsidRDefault="00AD5A09" w:rsidP="00AD5A09">
      <w:pPr>
        <w:ind w:left="567" w:hanging="567"/>
        <w:rPr>
          <w:szCs w:val="22"/>
        </w:rPr>
      </w:pPr>
      <w:r w:rsidRPr="00281446">
        <w:rPr>
          <w:szCs w:val="22"/>
        </w:rPr>
        <w:t>GlucaGen 1</w:t>
      </w:r>
      <w:r>
        <w:rPr>
          <w:szCs w:val="22"/>
        </w:rPr>
        <w:t> </w:t>
      </w:r>
      <w:r w:rsidRPr="00281446">
        <w:rPr>
          <w:szCs w:val="22"/>
        </w:rPr>
        <w:t>mg</w:t>
      </w:r>
    </w:p>
    <w:p w14:paraId="1809C4AB" w14:textId="77777777" w:rsidR="00AD5A09" w:rsidRDefault="00AD5A09" w:rsidP="00AD5A09">
      <w:pPr>
        <w:ind w:left="567" w:hanging="567"/>
        <w:rPr>
          <w:szCs w:val="22"/>
        </w:rPr>
      </w:pPr>
      <w:r w:rsidRPr="00FD5549">
        <w:rPr>
          <w:szCs w:val="22"/>
        </w:rPr>
        <w:t>Gl</w:t>
      </w:r>
      <w:r>
        <w:rPr>
          <w:szCs w:val="22"/>
        </w:rPr>
        <w:t>i</w:t>
      </w:r>
      <w:r w:rsidRPr="00FD5549">
        <w:rPr>
          <w:szCs w:val="22"/>
        </w:rPr>
        <w:t>u</w:t>
      </w:r>
      <w:r>
        <w:rPr>
          <w:szCs w:val="22"/>
        </w:rPr>
        <w:t>k</w:t>
      </w:r>
      <w:r w:rsidRPr="00FD5549">
        <w:rPr>
          <w:szCs w:val="22"/>
        </w:rPr>
        <w:t>agon</w:t>
      </w:r>
      <w:r>
        <w:rPr>
          <w:szCs w:val="22"/>
        </w:rPr>
        <w:t>as hidrochlorido pavidalu</w:t>
      </w:r>
    </w:p>
    <w:p w14:paraId="49CAA306" w14:textId="77777777" w:rsidR="00AD5A09" w:rsidRDefault="00AD5A09" w:rsidP="00AD5A09">
      <w:pPr>
        <w:ind w:left="567" w:hanging="567"/>
        <w:rPr>
          <w:szCs w:val="22"/>
        </w:rPr>
      </w:pPr>
      <w:r>
        <w:rPr>
          <w:szCs w:val="22"/>
        </w:rPr>
        <w:t>Paruošus (sumaišius) vartoti po oda ar į raumenis.</w:t>
      </w:r>
    </w:p>
    <w:p w14:paraId="7DDCE893" w14:textId="77777777" w:rsidR="00AD5A09" w:rsidRDefault="00AD5A09" w:rsidP="00AD5A09">
      <w:pPr>
        <w:ind w:left="567" w:hanging="567"/>
        <w:rPr>
          <w:szCs w:val="22"/>
        </w:rPr>
      </w:pPr>
    </w:p>
    <w:p w14:paraId="1ED33D66" w14:textId="77777777" w:rsidR="00AD5A09" w:rsidRDefault="00AD5A09" w:rsidP="00AD5A09">
      <w:pPr>
        <w:ind w:left="567" w:hanging="567"/>
        <w:rPr>
          <w:szCs w:val="22"/>
        </w:rPr>
      </w:pPr>
    </w:p>
    <w:p w14:paraId="28E73E69"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2.</w:t>
      </w:r>
      <w:r>
        <w:rPr>
          <w:b/>
          <w:szCs w:val="22"/>
        </w:rPr>
        <w:tab/>
      </w:r>
      <w:r>
        <w:rPr>
          <w:b/>
          <w:caps/>
          <w:szCs w:val="22"/>
        </w:rPr>
        <w:t>vartojimo metodas</w:t>
      </w:r>
    </w:p>
    <w:p w14:paraId="4A51F924" w14:textId="77777777" w:rsidR="00AD5A09" w:rsidRDefault="00AD5A09" w:rsidP="00AD5A09">
      <w:pPr>
        <w:ind w:left="567" w:hanging="567"/>
        <w:rPr>
          <w:szCs w:val="22"/>
        </w:rPr>
      </w:pPr>
    </w:p>
    <w:p w14:paraId="45CFC05B" w14:textId="77777777" w:rsidR="00AD5A09" w:rsidRDefault="00AD5A09" w:rsidP="00AD5A09">
      <w:pPr>
        <w:ind w:left="567" w:hanging="567"/>
        <w:rPr>
          <w:szCs w:val="22"/>
        </w:rPr>
      </w:pPr>
    </w:p>
    <w:p w14:paraId="4E133A93"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3.</w:t>
      </w:r>
      <w:r>
        <w:rPr>
          <w:b/>
          <w:szCs w:val="22"/>
        </w:rPr>
        <w:tab/>
      </w:r>
      <w:r>
        <w:rPr>
          <w:b/>
          <w:caps/>
          <w:szCs w:val="22"/>
        </w:rPr>
        <w:t>tinkamumo laikas</w:t>
      </w:r>
    </w:p>
    <w:p w14:paraId="52BAF93C" w14:textId="77777777" w:rsidR="00AD5A09" w:rsidRDefault="00AD5A09" w:rsidP="00AD5A09">
      <w:pPr>
        <w:ind w:left="567" w:hanging="567"/>
        <w:rPr>
          <w:szCs w:val="22"/>
        </w:rPr>
      </w:pPr>
    </w:p>
    <w:p w14:paraId="69F858D9" w14:textId="77777777" w:rsidR="00AD5A09" w:rsidRDefault="00AD5A09" w:rsidP="00AD5A09">
      <w:pPr>
        <w:ind w:left="567" w:hanging="567"/>
        <w:outlineLvl w:val="0"/>
        <w:rPr>
          <w:szCs w:val="22"/>
        </w:rPr>
      </w:pPr>
      <w:r>
        <w:rPr>
          <w:szCs w:val="22"/>
        </w:rPr>
        <w:t>EXP</w:t>
      </w:r>
    </w:p>
    <w:p w14:paraId="777565CE" w14:textId="77777777" w:rsidR="00AD5A09" w:rsidRDefault="00AD5A09" w:rsidP="00AD5A09">
      <w:pPr>
        <w:ind w:left="567" w:hanging="567"/>
        <w:rPr>
          <w:szCs w:val="22"/>
        </w:rPr>
      </w:pPr>
    </w:p>
    <w:p w14:paraId="6DCF7C08" w14:textId="77777777" w:rsidR="00AD5A09" w:rsidRDefault="00AD5A09" w:rsidP="00AD5A09">
      <w:pPr>
        <w:ind w:left="567" w:hanging="567"/>
        <w:rPr>
          <w:szCs w:val="22"/>
        </w:rPr>
      </w:pPr>
    </w:p>
    <w:p w14:paraId="4BD623D6"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serijos numeris</w:t>
      </w:r>
    </w:p>
    <w:p w14:paraId="712995FE" w14:textId="77777777" w:rsidR="00AD5A09" w:rsidRDefault="00AD5A09" w:rsidP="00AD5A09">
      <w:pPr>
        <w:ind w:left="567" w:hanging="567"/>
        <w:rPr>
          <w:szCs w:val="22"/>
        </w:rPr>
      </w:pPr>
    </w:p>
    <w:p w14:paraId="636C1587" w14:textId="77777777" w:rsidR="00AD5A09" w:rsidRDefault="00AD5A09" w:rsidP="00AD5A09">
      <w:pPr>
        <w:ind w:left="567" w:hanging="567"/>
        <w:rPr>
          <w:szCs w:val="22"/>
        </w:rPr>
      </w:pPr>
      <w:r>
        <w:rPr>
          <w:szCs w:val="22"/>
        </w:rPr>
        <w:t>Lot</w:t>
      </w:r>
    </w:p>
    <w:p w14:paraId="4482B761" w14:textId="77777777" w:rsidR="00AD5A09" w:rsidRDefault="00AD5A09" w:rsidP="00AD5A09">
      <w:pPr>
        <w:ind w:left="567" w:hanging="567"/>
        <w:rPr>
          <w:szCs w:val="22"/>
        </w:rPr>
      </w:pPr>
    </w:p>
    <w:p w14:paraId="65C1EE2F" w14:textId="77777777" w:rsidR="00AD5A09" w:rsidRDefault="00AD5A09" w:rsidP="00AD5A09">
      <w:pPr>
        <w:ind w:left="567" w:hanging="567"/>
        <w:rPr>
          <w:szCs w:val="22"/>
        </w:rPr>
      </w:pPr>
    </w:p>
    <w:p w14:paraId="5BDB7B22"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szCs w:val="22"/>
        </w:rPr>
      </w:pPr>
      <w:r>
        <w:rPr>
          <w:b/>
          <w:caps/>
          <w:szCs w:val="22"/>
        </w:rPr>
        <w:t>5.</w:t>
      </w:r>
      <w:r>
        <w:rPr>
          <w:b/>
          <w:caps/>
          <w:szCs w:val="22"/>
        </w:rPr>
        <w:tab/>
        <w:t>kiekis</w:t>
      </w:r>
      <w:r>
        <w:rPr>
          <w:b/>
          <w:szCs w:val="22"/>
        </w:rPr>
        <w:t xml:space="preserve"> (MASĖ, TŪRIS ARBA VIENETAI)</w:t>
      </w:r>
    </w:p>
    <w:p w14:paraId="0E0F9D13" w14:textId="77777777" w:rsidR="00AD5A09" w:rsidRDefault="00AD5A09" w:rsidP="00AD5A09">
      <w:pPr>
        <w:ind w:left="567" w:hanging="567"/>
        <w:rPr>
          <w:szCs w:val="22"/>
        </w:rPr>
      </w:pPr>
    </w:p>
    <w:p w14:paraId="08098D97" w14:textId="77777777" w:rsidR="00AD5A09" w:rsidRDefault="00AD5A09" w:rsidP="00AD5A09">
      <w:pPr>
        <w:rPr>
          <w:szCs w:val="22"/>
        </w:rPr>
      </w:pPr>
      <w:r>
        <w:rPr>
          <w:szCs w:val="22"/>
        </w:rPr>
        <w:t>1 mg</w:t>
      </w:r>
    </w:p>
    <w:p w14:paraId="7189895B" w14:textId="77777777" w:rsidR="00AD5A09" w:rsidRDefault="00AD5A09" w:rsidP="00AD5A09">
      <w:pPr>
        <w:rPr>
          <w:szCs w:val="22"/>
        </w:rPr>
      </w:pPr>
    </w:p>
    <w:p w14:paraId="44676E68" w14:textId="77777777" w:rsidR="00AD5A09" w:rsidRDefault="00AD5A09" w:rsidP="00AD5A09">
      <w:pPr>
        <w:rPr>
          <w:szCs w:val="22"/>
        </w:rPr>
      </w:pPr>
    </w:p>
    <w:p w14:paraId="4F03597B"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szCs w:val="22"/>
        </w:rPr>
      </w:pPr>
      <w:r>
        <w:rPr>
          <w:b/>
          <w:caps/>
          <w:szCs w:val="22"/>
        </w:rPr>
        <w:t>6.</w:t>
      </w:r>
      <w:r>
        <w:rPr>
          <w:b/>
          <w:caps/>
          <w:szCs w:val="22"/>
        </w:rPr>
        <w:tab/>
        <w:t>kita</w:t>
      </w:r>
    </w:p>
    <w:p w14:paraId="4E8CAB62" w14:textId="77777777" w:rsidR="00AD5A09" w:rsidRDefault="00AD5A09" w:rsidP="00AD5A09">
      <w:pPr>
        <w:rPr>
          <w:szCs w:val="22"/>
        </w:rPr>
      </w:pPr>
    </w:p>
    <w:p w14:paraId="0597B76E" w14:textId="77777777" w:rsidR="00AD5A09" w:rsidRDefault="00AD5A09" w:rsidP="00AD5A09">
      <w:pPr>
        <w:rPr>
          <w:szCs w:val="22"/>
        </w:rPr>
      </w:pPr>
      <w:r>
        <w:rPr>
          <w:szCs w:val="22"/>
        </w:rPr>
        <w:t>Novo Nordisk A/S</w:t>
      </w:r>
    </w:p>
    <w:p w14:paraId="2864AEDC"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szCs w:val="22"/>
        </w:rPr>
        <w:br w:type="page"/>
      </w:r>
      <w:r>
        <w:rPr>
          <w:b/>
          <w:caps/>
          <w:szCs w:val="22"/>
        </w:rPr>
        <w:lastRenderedPageBreak/>
        <w:t xml:space="preserve">Minimali informacija ant mažų </w:t>
      </w:r>
      <w:r>
        <w:rPr>
          <w:b/>
          <w:szCs w:val="22"/>
        </w:rPr>
        <w:t>VIDINIŲ</w:t>
      </w:r>
      <w:r>
        <w:rPr>
          <w:szCs w:val="22"/>
        </w:rPr>
        <w:t xml:space="preserve"> </w:t>
      </w:r>
      <w:r>
        <w:rPr>
          <w:b/>
          <w:caps/>
          <w:szCs w:val="22"/>
        </w:rPr>
        <w:t>pakuočių</w:t>
      </w:r>
    </w:p>
    <w:p w14:paraId="3994F4BB"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p>
    <w:p w14:paraId="227D765D"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ŠVIRKŠTO ETIKETĖ</w:t>
      </w:r>
    </w:p>
    <w:p w14:paraId="42328BC0" w14:textId="77777777" w:rsidR="00AD5A09" w:rsidRDefault="00AD5A09" w:rsidP="00AD5A09">
      <w:pPr>
        <w:ind w:left="567" w:hanging="567"/>
        <w:rPr>
          <w:caps/>
          <w:szCs w:val="22"/>
        </w:rPr>
      </w:pPr>
    </w:p>
    <w:p w14:paraId="282826E8" w14:textId="77777777" w:rsidR="00AD5A09" w:rsidRDefault="00AD5A09" w:rsidP="00AD5A09">
      <w:pPr>
        <w:ind w:left="567" w:hanging="567"/>
        <w:rPr>
          <w:caps/>
          <w:szCs w:val="22"/>
        </w:rPr>
      </w:pPr>
    </w:p>
    <w:p w14:paraId="27696A2D"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 ir vartojimo būdai</w:t>
      </w:r>
    </w:p>
    <w:p w14:paraId="121AF64D" w14:textId="77777777" w:rsidR="00AD5A09" w:rsidRDefault="00AD5A09" w:rsidP="00AD5A09">
      <w:pPr>
        <w:ind w:left="567" w:hanging="567"/>
        <w:rPr>
          <w:szCs w:val="22"/>
        </w:rPr>
      </w:pPr>
    </w:p>
    <w:p w14:paraId="2F67930F" w14:textId="77777777" w:rsidR="00AD5A09" w:rsidRDefault="00AD5A09" w:rsidP="00AD5A09">
      <w:pPr>
        <w:ind w:left="567" w:hanging="567"/>
        <w:rPr>
          <w:szCs w:val="22"/>
        </w:rPr>
      </w:pPr>
      <w:r>
        <w:rPr>
          <w:szCs w:val="22"/>
        </w:rPr>
        <w:t>GlucaGen tirpiklis</w:t>
      </w:r>
    </w:p>
    <w:p w14:paraId="33816AEF" w14:textId="77777777" w:rsidR="00AD5A09" w:rsidRDefault="00AD5A09" w:rsidP="00AD5A09">
      <w:pPr>
        <w:ind w:left="567" w:hanging="567"/>
        <w:rPr>
          <w:szCs w:val="22"/>
        </w:rPr>
      </w:pPr>
    </w:p>
    <w:p w14:paraId="06F02D6B" w14:textId="77777777" w:rsidR="00AD5A09" w:rsidRPr="00CF3F1F" w:rsidRDefault="00AD5A09" w:rsidP="00AD5A09">
      <w:pPr>
        <w:tabs>
          <w:tab w:val="clear" w:pos="567"/>
        </w:tabs>
      </w:pPr>
      <w:r>
        <w:t>0,5 </w:t>
      </w:r>
      <w:r w:rsidRPr="00CF3F1F">
        <w:t>ml</w:t>
      </w:r>
    </w:p>
    <w:p w14:paraId="470B0623" w14:textId="77777777" w:rsidR="00AD5A09" w:rsidRDefault="00AD5A09" w:rsidP="00AD5A09">
      <w:pPr>
        <w:ind w:left="567" w:hanging="567"/>
        <w:rPr>
          <w:szCs w:val="22"/>
        </w:rPr>
      </w:pPr>
      <w:r w:rsidRPr="00CF3F1F">
        <w:t>1</w:t>
      </w:r>
      <w:r>
        <w:t> </w:t>
      </w:r>
      <w:r w:rsidRPr="00CF3F1F">
        <w:t>ml</w:t>
      </w:r>
    </w:p>
    <w:p w14:paraId="0CF74343" w14:textId="77777777" w:rsidR="00AD5A09" w:rsidRDefault="00AD5A09" w:rsidP="00AD5A09">
      <w:pPr>
        <w:ind w:left="567" w:hanging="567"/>
        <w:rPr>
          <w:szCs w:val="22"/>
        </w:rPr>
      </w:pPr>
    </w:p>
    <w:p w14:paraId="04DC0CF4"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2.</w:t>
      </w:r>
      <w:r>
        <w:rPr>
          <w:b/>
          <w:szCs w:val="22"/>
        </w:rPr>
        <w:tab/>
      </w:r>
      <w:r>
        <w:rPr>
          <w:b/>
          <w:caps/>
          <w:szCs w:val="22"/>
        </w:rPr>
        <w:t>vartojimo metodas</w:t>
      </w:r>
    </w:p>
    <w:p w14:paraId="08E9952E" w14:textId="77777777" w:rsidR="00AD5A09" w:rsidRDefault="00AD5A09" w:rsidP="00AD5A09">
      <w:pPr>
        <w:ind w:left="567" w:hanging="567"/>
        <w:rPr>
          <w:szCs w:val="22"/>
        </w:rPr>
      </w:pPr>
    </w:p>
    <w:p w14:paraId="040CC375" w14:textId="77777777" w:rsidR="00AD5A09" w:rsidRDefault="00AD5A09" w:rsidP="00AD5A09">
      <w:pPr>
        <w:ind w:left="567" w:hanging="567"/>
        <w:rPr>
          <w:szCs w:val="22"/>
        </w:rPr>
      </w:pPr>
    </w:p>
    <w:p w14:paraId="78B30663"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3.</w:t>
      </w:r>
      <w:r>
        <w:rPr>
          <w:b/>
          <w:szCs w:val="22"/>
        </w:rPr>
        <w:tab/>
      </w:r>
      <w:r>
        <w:rPr>
          <w:b/>
          <w:caps/>
          <w:szCs w:val="22"/>
        </w:rPr>
        <w:t>tinkamumo laikas</w:t>
      </w:r>
    </w:p>
    <w:p w14:paraId="07090E96" w14:textId="77777777" w:rsidR="00AD5A09" w:rsidRDefault="00AD5A09" w:rsidP="00AD5A09">
      <w:pPr>
        <w:ind w:left="567" w:hanging="567"/>
        <w:rPr>
          <w:szCs w:val="22"/>
        </w:rPr>
      </w:pPr>
    </w:p>
    <w:p w14:paraId="01814578" w14:textId="77777777" w:rsidR="00AD5A09" w:rsidRDefault="00AD5A09" w:rsidP="00AD5A09">
      <w:pPr>
        <w:ind w:left="567" w:hanging="567"/>
        <w:outlineLvl w:val="0"/>
        <w:rPr>
          <w:szCs w:val="22"/>
        </w:rPr>
      </w:pPr>
      <w:r>
        <w:rPr>
          <w:szCs w:val="22"/>
        </w:rPr>
        <w:t>EXP</w:t>
      </w:r>
    </w:p>
    <w:p w14:paraId="5752D02E" w14:textId="77777777" w:rsidR="00AD5A09" w:rsidRDefault="00AD5A09" w:rsidP="00AD5A09">
      <w:pPr>
        <w:ind w:left="567" w:hanging="567"/>
        <w:rPr>
          <w:szCs w:val="22"/>
        </w:rPr>
      </w:pPr>
    </w:p>
    <w:p w14:paraId="1F094869" w14:textId="77777777" w:rsidR="00AD5A09" w:rsidRDefault="00AD5A09" w:rsidP="00AD5A09">
      <w:pPr>
        <w:ind w:left="567" w:hanging="567"/>
        <w:rPr>
          <w:szCs w:val="22"/>
        </w:rPr>
      </w:pPr>
    </w:p>
    <w:p w14:paraId="422B9EF7"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serijos numeris</w:t>
      </w:r>
    </w:p>
    <w:p w14:paraId="1E7E33C3" w14:textId="77777777" w:rsidR="00AD5A09" w:rsidRDefault="00AD5A09" w:rsidP="00AD5A09">
      <w:pPr>
        <w:ind w:left="567" w:hanging="567"/>
        <w:rPr>
          <w:szCs w:val="22"/>
        </w:rPr>
      </w:pPr>
    </w:p>
    <w:p w14:paraId="6A9484FF" w14:textId="77777777" w:rsidR="00AD5A09" w:rsidRDefault="00AD5A09" w:rsidP="00AD5A09">
      <w:pPr>
        <w:ind w:left="567" w:hanging="567"/>
        <w:rPr>
          <w:szCs w:val="22"/>
        </w:rPr>
      </w:pPr>
      <w:r>
        <w:rPr>
          <w:szCs w:val="22"/>
        </w:rPr>
        <w:t>Lot</w:t>
      </w:r>
    </w:p>
    <w:p w14:paraId="5EBF1D93" w14:textId="77777777" w:rsidR="00AD5A09" w:rsidRDefault="00AD5A09" w:rsidP="00AD5A09">
      <w:pPr>
        <w:ind w:left="567" w:hanging="567"/>
        <w:rPr>
          <w:szCs w:val="22"/>
        </w:rPr>
      </w:pPr>
    </w:p>
    <w:p w14:paraId="64DE82AB" w14:textId="77777777" w:rsidR="00AD5A09" w:rsidRDefault="00AD5A09" w:rsidP="00AD5A09">
      <w:pPr>
        <w:ind w:left="567" w:hanging="567"/>
        <w:rPr>
          <w:szCs w:val="22"/>
        </w:rPr>
      </w:pPr>
    </w:p>
    <w:p w14:paraId="4747B409"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szCs w:val="22"/>
        </w:rPr>
      </w:pPr>
      <w:r>
        <w:rPr>
          <w:b/>
          <w:caps/>
          <w:szCs w:val="22"/>
        </w:rPr>
        <w:t>5.</w:t>
      </w:r>
      <w:r>
        <w:rPr>
          <w:b/>
          <w:caps/>
          <w:szCs w:val="22"/>
        </w:rPr>
        <w:tab/>
        <w:t>kiekis</w:t>
      </w:r>
      <w:r>
        <w:rPr>
          <w:b/>
          <w:szCs w:val="22"/>
        </w:rPr>
        <w:t xml:space="preserve"> (MASĖ, TŪRIS ARBA VIENETAI)</w:t>
      </w:r>
    </w:p>
    <w:p w14:paraId="24D295E9" w14:textId="77777777" w:rsidR="00AD5A09" w:rsidRDefault="00AD5A09" w:rsidP="00AD5A09">
      <w:pPr>
        <w:ind w:left="567" w:hanging="567"/>
        <w:rPr>
          <w:szCs w:val="22"/>
        </w:rPr>
      </w:pPr>
    </w:p>
    <w:p w14:paraId="3DCDE0EA" w14:textId="77777777" w:rsidR="00AD5A09" w:rsidRDefault="00AD5A09" w:rsidP="00AD5A09">
      <w:pPr>
        <w:rPr>
          <w:szCs w:val="22"/>
        </w:rPr>
      </w:pPr>
      <w:r>
        <w:rPr>
          <w:szCs w:val="22"/>
        </w:rPr>
        <w:t>1 ml</w:t>
      </w:r>
    </w:p>
    <w:p w14:paraId="1E3A3F9C" w14:textId="77777777" w:rsidR="00AD5A09" w:rsidRDefault="00AD5A09" w:rsidP="00AD5A09">
      <w:pPr>
        <w:rPr>
          <w:b/>
          <w:caps/>
          <w:szCs w:val="22"/>
        </w:rPr>
      </w:pPr>
    </w:p>
    <w:p w14:paraId="3BA70BE7" w14:textId="77777777" w:rsidR="00AD5A09" w:rsidRDefault="00AD5A09" w:rsidP="00AD5A09">
      <w:pPr>
        <w:rPr>
          <w:b/>
          <w:caps/>
          <w:szCs w:val="22"/>
        </w:rPr>
      </w:pPr>
    </w:p>
    <w:p w14:paraId="12807AA8" w14:textId="77777777" w:rsidR="00AD5A09" w:rsidRDefault="00AD5A09" w:rsidP="00AD5A09">
      <w:pPr>
        <w:pBdr>
          <w:top w:val="single" w:sz="4" w:space="1" w:color="auto"/>
          <w:left w:val="single" w:sz="4" w:space="4" w:color="auto"/>
          <w:bottom w:val="single" w:sz="4" w:space="1" w:color="auto"/>
          <w:right w:val="single" w:sz="4" w:space="4" w:color="auto"/>
        </w:pBdr>
        <w:ind w:left="567" w:hanging="567"/>
        <w:outlineLvl w:val="0"/>
        <w:rPr>
          <w:b/>
          <w:szCs w:val="22"/>
        </w:rPr>
      </w:pPr>
      <w:r>
        <w:rPr>
          <w:b/>
          <w:caps/>
          <w:szCs w:val="22"/>
        </w:rPr>
        <w:t>6.</w:t>
      </w:r>
      <w:r>
        <w:rPr>
          <w:b/>
          <w:caps/>
          <w:szCs w:val="22"/>
        </w:rPr>
        <w:tab/>
        <w:t>kita</w:t>
      </w:r>
    </w:p>
    <w:p w14:paraId="65EE3B6C" w14:textId="77777777" w:rsidR="00AD5A09" w:rsidRPr="008C56D2" w:rsidRDefault="00AD5A09" w:rsidP="00AD5A09">
      <w:pPr>
        <w:rPr>
          <w:caps/>
          <w:szCs w:val="22"/>
        </w:rPr>
      </w:pPr>
    </w:p>
    <w:p w14:paraId="7F6A8781" w14:textId="77777777" w:rsidR="00AD5A09" w:rsidRDefault="00AD5A09" w:rsidP="00AD5A09">
      <w:pPr>
        <w:rPr>
          <w:caps/>
          <w:szCs w:val="22"/>
        </w:rPr>
      </w:pPr>
      <w:r w:rsidRPr="008C56D2">
        <w:rPr>
          <w:caps/>
          <w:szCs w:val="22"/>
        </w:rPr>
        <w:t>N</w:t>
      </w:r>
      <w:r>
        <w:rPr>
          <w:szCs w:val="22"/>
        </w:rPr>
        <w:t>ovo</w:t>
      </w:r>
      <w:r w:rsidRPr="008C56D2">
        <w:rPr>
          <w:caps/>
          <w:szCs w:val="22"/>
        </w:rPr>
        <w:t xml:space="preserve"> N</w:t>
      </w:r>
      <w:r>
        <w:rPr>
          <w:szCs w:val="22"/>
        </w:rPr>
        <w:t>ordisk</w:t>
      </w:r>
      <w:r w:rsidRPr="008C56D2">
        <w:rPr>
          <w:caps/>
          <w:szCs w:val="22"/>
        </w:rPr>
        <w:t xml:space="preserve"> A/S</w:t>
      </w:r>
    </w:p>
    <w:p w14:paraId="34DD67EF" w14:textId="77777777" w:rsidR="00BF0EEA" w:rsidRDefault="00BF0EEA">
      <w:pPr>
        <w:tabs>
          <w:tab w:val="clear" w:pos="567"/>
        </w:tabs>
        <w:suppressAutoHyphens w:val="0"/>
        <w:spacing w:after="160" w:line="259" w:lineRule="auto"/>
        <w:rPr>
          <w:caps/>
          <w:szCs w:val="22"/>
        </w:rPr>
      </w:pPr>
      <w:r>
        <w:rPr>
          <w:caps/>
          <w:szCs w:val="22"/>
        </w:rPr>
        <w:br w:type="page"/>
      </w:r>
    </w:p>
    <w:p w14:paraId="2CE91045" w14:textId="77777777" w:rsidR="00AD5A09" w:rsidRDefault="00AD5A09" w:rsidP="00AD5A09">
      <w:pPr>
        <w:jc w:val="center"/>
      </w:pPr>
    </w:p>
    <w:p w14:paraId="0421F5BF" w14:textId="77777777" w:rsidR="00AD5A09" w:rsidRDefault="00AD5A09" w:rsidP="00AD5A09">
      <w:pPr>
        <w:jc w:val="center"/>
      </w:pPr>
    </w:p>
    <w:p w14:paraId="25DD4939" w14:textId="77777777" w:rsidR="00AD5A09" w:rsidRDefault="00AD5A09" w:rsidP="00AD5A09">
      <w:pPr>
        <w:jc w:val="center"/>
      </w:pPr>
    </w:p>
    <w:p w14:paraId="354EE952" w14:textId="77777777" w:rsidR="00AD5A09" w:rsidRDefault="00AD5A09" w:rsidP="00AD5A09">
      <w:pPr>
        <w:jc w:val="center"/>
      </w:pPr>
    </w:p>
    <w:p w14:paraId="2F59D1EC" w14:textId="77777777" w:rsidR="00AD5A09" w:rsidRDefault="00AD5A09" w:rsidP="00AD5A09">
      <w:pPr>
        <w:jc w:val="center"/>
      </w:pPr>
    </w:p>
    <w:p w14:paraId="23D70A20" w14:textId="77777777" w:rsidR="00AD5A09" w:rsidRDefault="00AD5A09" w:rsidP="00AD5A09">
      <w:pPr>
        <w:jc w:val="center"/>
      </w:pPr>
    </w:p>
    <w:p w14:paraId="0BAC3ABB" w14:textId="77777777" w:rsidR="00AD5A09" w:rsidRDefault="00AD5A09" w:rsidP="00AD5A09">
      <w:pPr>
        <w:jc w:val="center"/>
      </w:pPr>
    </w:p>
    <w:p w14:paraId="6955C7E3" w14:textId="77777777" w:rsidR="00AD5A09" w:rsidRDefault="00AD5A09" w:rsidP="00AD5A09">
      <w:pPr>
        <w:jc w:val="center"/>
      </w:pPr>
    </w:p>
    <w:p w14:paraId="1AE232E6" w14:textId="77777777" w:rsidR="00AD5A09" w:rsidRDefault="00AD5A09" w:rsidP="00AD5A09">
      <w:pPr>
        <w:jc w:val="center"/>
        <w:rPr>
          <w:b/>
          <w:caps/>
        </w:rPr>
      </w:pPr>
    </w:p>
    <w:p w14:paraId="72C75674" w14:textId="77777777" w:rsidR="00AD5A09" w:rsidRDefault="00AD5A09" w:rsidP="00AD5A09">
      <w:pPr>
        <w:jc w:val="center"/>
        <w:rPr>
          <w:b/>
          <w:caps/>
        </w:rPr>
      </w:pPr>
    </w:p>
    <w:p w14:paraId="644C831E" w14:textId="77777777" w:rsidR="00AD5A09" w:rsidRPr="00BE077C" w:rsidRDefault="00AD5A09" w:rsidP="00AD5A09">
      <w:pPr>
        <w:jc w:val="center"/>
      </w:pPr>
    </w:p>
    <w:p w14:paraId="664F1427" w14:textId="77777777" w:rsidR="00AD5A09" w:rsidRPr="00BE077C" w:rsidRDefault="00AD5A09" w:rsidP="00AD5A09">
      <w:pPr>
        <w:jc w:val="center"/>
      </w:pPr>
    </w:p>
    <w:p w14:paraId="02C4F87C" w14:textId="77777777" w:rsidR="00AD5A09" w:rsidRPr="00BE077C" w:rsidRDefault="00AD5A09" w:rsidP="00AD5A09">
      <w:pPr>
        <w:jc w:val="center"/>
      </w:pPr>
    </w:p>
    <w:p w14:paraId="597D5821" w14:textId="77777777" w:rsidR="00AD5A09" w:rsidRPr="00BE077C" w:rsidRDefault="00AD5A09" w:rsidP="00AD5A09">
      <w:pPr>
        <w:jc w:val="center"/>
      </w:pPr>
    </w:p>
    <w:p w14:paraId="38AAD4D7" w14:textId="77777777" w:rsidR="00AD5A09" w:rsidRPr="00BE077C" w:rsidRDefault="00AD5A09" w:rsidP="00AD5A09">
      <w:pPr>
        <w:jc w:val="center"/>
      </w:pPr>
    </w:p>
    <w:p w14:paraId="0CB40756" w14:textId="77777777" w:rsidR="00AD5A09" w:rsidRPr="00BE077C" w:rsidRDefault="00AD5A09" w:rsidP="00AD5A09">
      <w:pPr>
        <w:jc w:val="center"/>
      </w:pPr>
    </w:p>
    <w:p w14:paraId="718A2FCD" w14:textId="77777777" w:rsidR="00AD5A09" w:rsidRPr="00BE077C" w:rsidRDefault="00AD5A09" w:rsidP="00AD5A09">
      <w:pPr>
        <w:jc w:val="center"/>
      </w:pPr>
    </w:p>
    <w:p w14:paraId="5D58C933" w14:textId="77777777" w:rsidR="00AD5A09" w:rsidRPr="00BE077C" w:rsidRDefault="00AD5A09" w:rsidP="00AD5A09">
      <w:pPr>
        <w:jc w:val="center"/>
      </w:pPr>
    </w:p>
    <w:p w14:paraId="322BA1F0" w14:textId="77777777" w:rsidR="00AD5A09" w:rsidRPr="00BE077C" w:rsidRDefault="00AD5A09" w:rsidP="00AD5A09">
      <w:pPr>
        <w:jc w:val="center"/>
      </w:pPr>
    </w:p>
    <w:p w14:paraId="4EF04A0E" w14:textId="77777777" w:rsidR="00AD5A09" w:rsidRPr="00BE077C" w:rsidRDefault="00AD5A09" w:rsidP="00AD5A09">
      <w:pPr>
        <w:jc w:val="center"/>
      </w:pPr>
    </w:p>
    <w:p w14:paraId="7355DB11" w14:textId="77777777" w:rsidR="00AD5A09" w:rsidRPr="00BE077C" w:rsidRDefault="00AD5A09" w:rsidP="00AD5A09">
      <w:pPr>
        <w:jc w:val="center"/>
      </w:pPr>
    </w:p>
    <w:p w14:paraId="3FC20F2A" w14:textId="77777777" w:rsidR="00AD5A09" w:rsidRPr="00BE077C" w:rsidRDefault="00AD5A09" w:rsidP="00AD5A09">
      <w:pPr>
        <w:jc w:val="center"/>
      </w:pPr>
    </w:p>
    <w:p w14:paraId="12CC9EFE" w14:textId="77777777" w:rsidR="00AD5A09" w:rsidRPr="00BE077C" w:rsidRDefault="00AD5A09" w:rsidP="00AD5A09">
      <w:pPr>
        <w:jc w:val="center"/>
      </w:pPr>
    </w:p>
    <w:p w14:paraId="4EFC3CDB" w14:textId="77777777" w:rsidR="00AD5A09" w:rsidRPr="00BE077C" w:rsidRDefault="00AD5A09" w:rsidP="00AD5A09">
      <w:pPr>
        <w:jc w:val="center"/>
      </w:pPr>
    </w:p>
    <w:p w14:paraId="3DB77B72" w14:textId="77777777" w:rsidR="00AD5A09" w:rsidRPr="00BE077C" w:rsidRDefault="00AD5A09" w:rsidP="00AD5A09">
      <w:pPr>
        <w:jc w:val="center"/>
      </w:pPr>
    </w:p>
    <w:p w14:paraId="43078EBE" w14:textId="77777777" w:rsidR="00AD5A09" w:rsidRPr="00BE077C" w:rsidRDefault="00AD5A09" w:rsidP="00AD5A09">
      <w:pPr>
        <w:jc w:val="center"/>
      </w:pPr>
      <w:r w:rsidRPr="00BE077C">
        <w:rPr>
          <w:b/>
        </w:rPr>
        <w:t>B. PAKUOTĖS LAPELIS</w:t>
      </w:r>
    </w:p>
    <w:p w14:paraId="13FBF00F" w14:textId="77777777" w:rsidR="00AD5A09" w:rsidRPr="00A50C32" w:rsidRDefault="00AD5A09" w:rsidP="00AD5A09">
      <w:r>
        <w:br w:type="page"/>
      </w:r>
    </w:p>
    <w:p w14:paraId="43352B8B" w14:textId="77777777" w:rsidR="00AD5A09" w:rsidRDefault="00AD5A09" w:rsidP="00AD5A09">
      <w:pPr>
        <w:tabs>
          <w:tab w:val="left" w:pos="6521"/>
          <w:tab w:val="center" w:pos="6804"/>
        </w:tabs>
        <w:jc w:val="center"/>
        <w:rPr>
          <w:b/>
          <w:szCs w:val="22"/>
        </w:rPr>
      </w:pPr>
      <w:r>
        <w:rPr>
          <w:b/>
          <w:szCs w:val="22"/>
        </w:rPr>
        <w:lastRenderedPageBreak/>
        <w:t>Pakuotės lapelis: informacija vartotojui</w:t>
      </w:r>
    </w:p>
    <w:p w14:paraId="69D440E5" w14:textId="77777777" w:rsidR="00AD5A09" w:rsidRDefault="00AD5A09" w:rsidP="00AD5A09">
      <w:pPr>
        <w:jc w:val="both"/>
        <w:rPr>
          <w:szCs w:val="22"/>
        </w:rPr>
      </w:pPr>
    </w:p>
    <w:p w14:paraId="0ECA8363" w14:textId="77777777" w:rsidR="00AD5A09" w:rsidRDefault="00AD5A09" w:rsidP="00AD5A09">
      <w:pPr>
        <w:jc w:val="center"/>
        <w:rPr>
          <w:b/>
          <w:bCs/>
        </w:rPr>
      </w:pPr>
      <w:r w:rsidRPr="00704A53">
        <w:rPr>
          <w:b/>
          <w:bCs/>
        </w:rPr>
        <w:t>GlucaGen HypoKit 1 mg</w:t>
      </w:r>
    </w:p>
    <w:p w14:paraId="0A1F198D" w14:textId="77777777" w:rsidR="00AD5A09" w:rsidRPr="00704A53" w:rsidRDefault="00AD5A09" w:rsidP="00AD5A09">
      <w:pPr>
        <w:jc w:val="center"/>
        <w:rPr>
          <w:b/>
        </w:rPr>
      </w:pPr>
      <w:r w:rsidRPr="00704A53">
        <w:rPr>
          <w:b/>
          <w:bCs/>
        </w:rPr>
        <w:t>m</w:t>
      </w:r>
      <w:r w:rsidRPr="00704A53">
        <w:rPr>
          <w:b/>
        </w:rPr>
        <w:t>ilteliai ir tirpiklis injekciniam tirpalui užpildytame švirkšte</w:t>
      </w:r>
    </w:p>
    <w:p w14:paraId="6623EC9E" w14:textId="1ADE05AE" w:rsidR="00AD5A09" w:rsidRPr="00BE077C" w:rsidRDefault="00273310" w:rsidP="00AD5A09">
      <w:pPr>
        <w:pStyle w:val="Antrats"/>
        <w:jc w:val="center"/>
        <w:rPr>
          <w:sz w:val="22"/>
        </w:rPr>
      </w:pPr>
      <w:r>
        <w:rPr>
          <w:sz w:val="22"/>
        </w:rPr>
        <w:t>g</w:t>
      </w:r>
      <w:r w:rsidR="00AD5A09" w:rsidRPr="00BE077C">
        <w:rPr>
          <w:sz w:val="22"/>
        </w:rPr>
        <w:t>liukagonas</w:t>
      </w:r>
    </w:p>
    <w:p w14:paraId="0B3964A9" w14:textId="77777777" w:rsidR="00AD5A09" w:rsidRDefault="00AD5A09" w:rsidP="00AD5A09">
      <w:pPr>
        <w:pStyle w:val="Antrats"/>
        <w:jc w:val="both"/>
        <w:rPr>
          <w:szCs w:val="22"/>
        </w:rPr>
      </w:pPr>
    </w:p>
    <w:p w14:paraId="33D75327" w14:textId="77777777" w:rsidR="00AD5A09" w:rsidRDefault="00AD5A09" w:rsidP="00AD5A09">
      <w:pPr>
        <w:pStyle w:val="Antrats"/>
        <w:jc w:val="both"/>
        <w:rPr>
          <w:szCs w:val="22"/>
        </w:rPr>
      </w:pPr>
    </w:p>
    <w:p w14:paraId="669DDC01" w14:textId="77777777" w:rsidR="00AD5A09" w:rsidRPr="00414B30" w:rsidRDefault="00AD5A09" w:rsidP="00AD5A09">
      <w:pPr>
        <w:pStyle w:val="Antrats"/>
        <w:jc w:val="both"/>
        <w:rPr>
          <w:b/>
          <w:sz w:val="22"/>
        </w:rPr>
      </w:pPr>
      <w:r w:rsidRPr="00414B30">
        <w:rPr>
          <w:b/>
          <w:sz w:val="22"/>
        </w:rPr>
        <w:t>Atidžiai perskaitykite visą šį lapelį, prieš pradėdami vartoti vaistą</w:t>
      </w:r>
      <w:r w:rsidRPr="00B949EC">
        <w:rPr>
          <w:b/>
          <w:sz w:val="22"/>
          <w:szCs w:val="22"/>
        </w:rPr>
        <w:t>, nes jame pateikiama Jums svarbi informacija</w:t>
      </w:r>
      <w:r w:rsidRPr="00414B30">
        <w:rPr>
          <w:b/>
          <w:sz w:val="22"/>
        </w:rPr>
        <w:t>.</w:t>
      </w:r>
    </w:p>
    <w:p w14:paraId="510DEE3A" w14:textId="77777777" w:rsidR="00AD5A09" w:rsidRDefault="00AD5A09" w:rsidP="00AD5A09">
      <w:pPr>
        <w:ind w:left="567" w:hanging="567"/>
      </w:pPr>
      <w:r w:rsidRPr="00382929">
        <w:t>–</w:t>
      </w:r>
      <w:r w:rsidRPr="00382929">
        <w:tab/>
      </w:r>
      <w:r>
        <w:t>Neišmeskite šio lapelio, nes vėl gali prireikti jį perskaityti.</w:t>
      </w:r>
    </w:p>
    <w:p w14:paraId="1E78F513" w14:textId="77777777" w:rsidR="00AD5A09" w:rsidRDefault="00AD5A09" w:rsidP="00AD5A09">
      <w:pPr>
        <w:ind w:left="567" w:hanging="567"/>
      </w:pPr>
      <w:r w:rsidRPr="00382929">
        <w:t>–</w:t>
      </w:r>
      <w:r w:rsidRPr="00382929">
        <w:tab/>
      </w:r>
      <w:r>
        <w:t>Jeigu kiltų daugiau klausimų, kreipkitės į gydytoją, vaistininką arba slaugytoją.</w:t>
      </w:r>
    </w:p>
    <w:p w14:paraId="215E90C1" w14:textId="77777777" w:rsidR="00AD5A09" w:rsidRDefault="00AD5A09" w:rsidP="00AD5A09">
      <w:pPr>
        <w:ind w:left="567" w:hanging="567"/>
      </w:pPr>
      <w:r w:rsidRPr="00382929">
        <w:t>–</w:t>
      </w:r>
      <w:r w:rsidRPr="00382929">
        <w:tab/>
      </w:r>
      <w:r>
        <w:t>Šis vaistas skirtas tik Jums, todėl kitiems žmonėms jo duoti negalima. Vaistas gali jiems pakenkti (net tiems, kurių ligos požymiai yra tokie patys kaip Jūsų).</w:t>
      </w:r>
    </w:p>
    <w:p w14:paraId="43E3EE17" w14:textId="77777777" w:rsidR="00AD5A09" w:rsidRDefault="00AD5A09" w:rsidP="00AD5A09">
      <w:pPr>
        <w:ind w:left="567" w:hanging="567"/>
      </w:pPr>
      <w:r w:rsidRPr="00382929">
        <w:t>–</w:t>
      </w:r>
      <w:r w:rsidRPr="00382929">
        <w:tab/>
      </w:r>
      <w:r>
        <w:t xml:space="preserve">Jeigu pasireiškė šalutinis poveikis </w:t>
      </w:r>
      <w:r w:rsidRPr="00976D94">
        <w:t>(net jeigu jis šiame lapelyje nenurodytas), kreipkitės į</w:t>
      </w:r>
      <w:r>
        <w:t xml:space="preserve"> gydytoją. </w:t>
      </w:r>
      <w:r w:rsidRPr="00D27F86">
        <w:t>Žr. 4 skyrių</w:t>
      </w:r>
      <w:r>
        <w:t>.</w:t>
      </w:r>
    </w:p>
    <w:p w14:paraId="1A31C81E" w14:textId="77777777" w:rsidR="00AD5A09" w:rsidRDefault="00AD5A09" w:rsidP="00AD5A09">
      <w:pPr>
        <w:ind w:left="567" w:hanging="567"/>
      </w:pPr>
    </w:p>
    <w:p w14:paraId="02D6DFA0" w14:textId="77777777" w:rsidR="00AD5A09" w:rsidRPr="00B949EC" w:rsidRDefault="00AD5A09" w:rsidP="00AD5A09">
      <w:pPr>
        <w:pStyle w:val="Antrats"/>
        <w:jc w:val="both"/>
        <w:rPr>
          <w:b/>
          <w:sz w:val="22"/>
          <w:szCs w:val="22"/>
        </w:rPr>
      </w:pPr>
      <w:r w:rsidRPr="00B949EC">
        <w:rPr>
          <w:b/>
          <w:sz w:val="22"/>
          <w:szCs w:val="22"/>
        </w:rPr>
        <w:t>Apie ką rašoma šiame lapelyje?</w:t>
      </w:r>
    </w:p>
    <w:p w14:paraId="084D9D7F" w14:textId="77777777" w:rsidR="00AD5A09" w:rsidRPr="00BE077C" w:rsidRDefault="00AD5A09" w:rsidP="00AD5A09">
      <w:pPr>
        <w:pStyle w:val="Antrats"/>
        <w:jc w:val="both"/>
        <w:rPr>
          <w:sz w:val="22"/>
        </w:rPr>
      </w:pPr>
    </w:p>
    <w:p w14:paraId="249FD699" w14:textId="77777777" w:rsidR="00AD5A09" w:rsidRPr="00414B30" w:rsidRDefault="00AD5A09" w:rsidP="00AD5A09">
      <w:pPr>
        <w:pStyle w:val="Antrats"/>
        <w:jc w:val="both"/>
        <w:rPr>
          <w:sz w:val="22"/>
        </w:rPr>
      </w:pPr>
      <w:r w:rsidRPr="00414B30">
        <w:rPr>
          <w:sz w:val="22"/>
        </w:rPr>
        <w:t>1.</w:t>
      </w:r>
      <w:r w:rsidRPr="00414B30">
        <w:rPr>
          <w:b/>
          <w:sz w:val="22"/>
        </w:rPr>
        <w:tab/>
      </w:r>
      <w:r w:rsidRPr="00414B30">
        <w:rPr>
          <w:sz w:val="22"/>
        </w:rPr>
        <w:t>Kas yra GlucaGen HypoKit ir kam jis vartojamas</w:t>
      </w:r>
    </w:p>
    <w:p w14:paraId="22F884AA" w14:textId="77777777" w:rsidR="00AD5A09" w:rsidRPr="00414B30" w:rsidRDefault="00AD5A09" w:rsidP="00AD5A09">
      <w:pPr>
        <w:pStyle w:val="Antrats"/>
        <w:jc w:val="both"/>
        <w:rPr>
          <w:sz w:val="22"/>
        </w:rPr>
      </w:pPr>
      <w:r w:rsidRPr="00414B30">
        <w:rPr>
          <w:sz w:val="22"/>
        </w:rPr>
        <w:t>2.</w:t>
      </w:r>
      <w:r w:rsidRPr="00414B30">
        <w:rPr>
          <w:sz w:val="22"/>
        </w:rPr>
        <w:tab/>
        <w:t>Kas žinotina prieš vartojant GlucaGen HypoKit</w:t>
      </w:r>
    </w:p>
    <w:p w14:paraId="3306373A" w14:textId="77777777" w:rsidR="00AD5A09" w:rsidRPr="00414B30" w:rsidRDefault="00AD5A09" w:rsidP="00AD5A09">
      <w:pPr>
        <w:pStyle w:val="Antrats"/>
        <w:jc w:val="both"/>
        <w:rPr>
          <w:sz w:val="22"/>
        </w:rPr>
      </w:pPr>
      <w:r w:rsidRPr="00414B30">
        <w:rPr>
          <w:sz w:val="22"/>
        </w:rPr>
        <w:t>3.</w:t>
      </w:r>
      <w:r w:rsidRPr="00414B30">
        <w:rPr>
          <w:sz w:val="22"/>
        </w:rPr>
        <w:tab/>
        <w:t>Kaip vartoti GlucaGen HypoKit</w:t>
      </w:r>
    </w:p>
    <w:p w14:paraId="10817684" w14:textId="77777777" w:rsidR="00AD5A09" w:rsidRPr="00414B30" w:rsidRDefault="00AD5A09" w:rsidP="00AD5A09">
      <w:pPr>
        <w:pStyle w:val="Antrats"/>
        <w:jc w:val="both"/>
        <w:rPr>
          <w:sz w:val="22"/>
        </w:rPr>
      </w:pPr>
      <w:r w:rsidRPr="00414B30">
        <w:rPr>
          <w:sz w:val="22"/>
        </w:rPr>
        <w:t>4.</w:t>
      </w:r>
      <w:r w:rsidRPr="00414B30">
        <w:rPr>
          <w:sz w:val="22"/>
        </w:rPr>
        <w:tab/>
        <w:t>Galimas šalutinis poveikis</w:t>
      </w:r>
    </w:p>
    <w:p w14:paraId="51AC57E4" w14:textId="77777777" w:rsidR="00AD5A09" w:rsidRPr="00414B30" w:rsidRDefault="00AD5A09" w:rsidP="00AD5A09">
      <w:pPr>
        <w:pStyle w:val="Antrats"/>
        <w:jc w:val="both"/>
        <w:rPr>
          <w:sz w:val="22"/>
        </w:rPr>
      </w:pPr>
      <w:r w:rsidRPr="00414B30">
        <w:rPr>
          <w:sz w:val="22"/>
        </w:rPr>
        <w:t>5.</w:t>
      </w:r>
      <w:r w:rsidRPr="00414B30">
        <w:rPr>
          <w:sz w:val="22"/>
        </w:rPr>
        <w:tab/>
        <w:t>Kaip laikyti GlucaGen HypoKit</w:t>
      </w:r>
    </w:p>
    <w:p w14:paraId="5BB4B548" w14:textId="77777777" w:rsidR="00AD5A09" w:rsidRPr="00414B30" w:rsidRDefault="00AD5A09" w:rsidP="00AD5A09">
      <w:pPr>
        <w:pStyle w:val="Antrats"/>
        <w:jc w:val="both"/>
        <w:rPr>
          <w:sz w:val="22"/>
        </w:rPr>
      </w:pPr>
      <w:r w:rsidRPr="00414B30">
        <w:rPr>
          <w:sz w:val="22"/>
        </w:rPr>
        <w:t>6.</w:t>
      </w:r>
      <w:r w:rsidRPr="00414B30">
        <w:rPr>
          <w:sz w:val="22"/>
        </w:rPr>
        <w:tab/>
      </w:r>
      <w:r w:rsidRPr="00B949EC">
        <w:rPr>
          <w:sz w:val="22"/>
          <w:szCs w:val="22"/>
        </w:rPr>
        <w:t>Pakuotės turinys ir kita</w:t>
      </w:r>
      <w:r w:rsidRPr="00414B30">
        <w:rPr>
          <w:sz w:val="22"/>
        </w:rPr>
        <w:t xml:space="preserve"> informacija</w:t>
      </w:r>
    </w:p>
    <w:p w14:paraId="3E9B7F72" w14:textId="77777777" w:rsidR="00AD5A09" w:rsidRPr="00414B30" w:rsidRDefault="00AD5A09" w:rsidP="00AD5A09">
      <w:pPr>
        <w:pStyle w:val="Antrats"/>
        <w:jc w:val="both"/>
        <w:rPr>
          <w:sz w:val="22"/>
        </w:rPr>
      </w:pPr>
      <w:r w:rsidRPr="00414B30">
        <w:rPr>
          <w:sz w:val="22"/>
        </w:rPr>
        <w:t>7.</w:t>
      </w:r>
      <w:r w:rsidRPr="00414B30">
        <w:rPr>
          <w:sz w:val="22"/>
        </w:rPr>
        <w:tab/>
        <w:t>Informacija</w:t>
      </w:r>
      <w:r w:rsidRPr="00B949EC">
        <w:rPr>
          <w:sz w:val="22"/>
          <w:szCs w:val="22"/>
        </w:rPr>
        <w:t>,</w:t>
      </w:r>
      <w:r w:rsidRPr="00414B30">
        <w:rPr>
          <w:sz w:val="22"/>
        </w:rPr>
        <w:t xml:space="preserve"> skirta sveikatos priežiūros specialistams</w:t>
      </w:r>
    </w:p>
    <w:p w14:paraId="6E750EA7" w14:textId="77777777" w:rsidR="00AD5A09" w:rsidRDefault="00AD5A09" w:rsidP="00AD5A09">
      <w:pPr>
        <w:pStyle w:val="Antrats"/>
        <w:jc w:val="both"/>
        <w:rPr>
          <w:szCs w:val="22"/>
        </w:rPr>
      </w:pPr>
    </w:p>
    <w:p w14:paraId="1BC01F7F" w14:textId="77777777" w:rsidR="00AD5A09" w:rsidRDefault="00AD5A09" w:rsidP="00AD5A09">
      <w:pPr>
        <w:jc w:val="both"/>
        <w:rPr>
          <w:b/>
          <w:szCs w:val="22"/>
        </w:rPr>
      </w:pPr>
    </w:p>
    <w:p w14:paraId="3485044F" w14:textId="77777777" w:rsidR="00AD5A09" w:rsidRPr="00512A7A" w:rsidRDefault="00AD5A09" w:rsidP="00AD5A09">
      <w:pPr>
        <w:jc w:val="both"/>
        <w:rPr>
          <w:b/>
          <w:szCs w:val="22"/>
        </w:rPr>
      </w:pPr>
      <w:r w:rsidRPr="00512A7A">
        <w:rPr>
          <w:b/>
          <w:szCs w:val="22"/>
        </w:rPr>
        <w:t>1.</w:t>
      </w:r>
      <w:r w:rsidRPr="00512A7A">
        <w:rPr>
          <w:b/>
          <w:szCs w:val="22"/>
        </w:rPr>
        <w:tab/>
        <w:t xml:space="preserve">Kas yra </w:t>
      </w:r>
      <w:r>
        <w:rPr>
          <w:b/>
          <w:szCs w:val="22"/>
        </w:rPr>
        <w:t>G</w:t>
      </w:r>
      <w:r w:rsidRPr="00512A7A">
        <w:rPr>
          <w:b/>
          <w:szCs w:val="22"/>
        </w:rPr>
        <w:t>luca</w:t>
      </w:r>
      <w:r>
        <w:rPr>
          <w:b/>
          <w:szCs w:val="22"/>
        </w:rPr>
        <w:t>G</w:t>
      </w:r>
      <w:r w:rsidRPr="00512A7A">
        <w:rPr>
          <w:b/>
          <w:szCs w:val="22"/>
        </w:rPr>
        <w:t>en</w:t>
      </w:r>
      <w:r>
        <w:rPr>
          <w:b/>
          <w:szCs w:val="22"/>
        </w:rPr>
        <w:t xml:space="preserve"> H</w:t>
      </w:r>
      <w:r w:rsidRPr="008724A6">
        <w:rPr>
          <w:b/>
          <w:szCs w:val="22"/>
        </w:rPr>
        <w:t>ypo</w:t>
      </w:r>
      <w:r>
        <w:rPr>
          <w:b/>
          <w:szCs w:val="22"/>
        </w:rPr>
        <w:t>K</w:t>
      </w:r>
      <w:r w:rsidRPr="008724A6">
        <w:rPr>
          <w:b/>
          <w:szCs w:val="22"/>
        </w:rPr>
        <w:t xml:space="preserve">it </w:t>
      </w:r>
      <w:r w:rsidRPr="00512A7A">
        <w:rPr>
          <w:b/>
          <w:szCs w:val="22"/>
        </w:rPr>
        <w:t xml:space="preserve">ir </w:t>
      </w:r>
      <w:r>
        <w:rPr>
          <w:b/>
          <w:szCs w:val="22"/>
        </w:rPr>
        <w:t>kam</w:t>
      </w:r>
      <w:r w:rsidRPr="00512A7A">
        <w:rPr>
          <w:b/>
          <w:szCs w:val="22"/>
        </w:rPr>
        <w:t xml:space="preserve"> jis vartojamas</w:t>
      </w:r>
    </w:p>
    <w:p w14:paraId="6E0314E0" w14:textId="77777777" w:rsidR="00AD5A09" w:rsidRDefault="00AD5A09" w:rsidP="00AD5A09">
      <w:pPr>
        <w:jc w:val="both"/>
        <w:rPr>
          <w:szCs w:val="22"/>
        </w:rPr>
      </w:pPr>
    </w:p>
    <w:p w14:paraId="0744CED6" w14:textId="77777777" w:rsidR="00AD5A09" w:rsidRDefault="00AD5A09" w:rsidP="00AD5A09">
      <w:pPr>
        <w:rPr>
          <w:szCs w:val="22"/>
        </w:rPr>
      </w:pPr>
      <w:r w:rsidRPr="00293C73">
        <w:rPr>
          <w:szCs w:val="22"/>
        </w:rPr>
        <w:t xml:space="preserve">GlucaGen HypoKit </w:t>
      </w:r>
      <w:r>
        <w:rPr>
          <w:szCs w:val="22"/>
        </w:rPr>
        <w:t>sudėtyje yra veiklioji medžiaga gliukagonas.</w:t>
      </w:r>
    </w:p>
    <w:p w14:paraId="75BFAC26" w14:textId="77777777" w:rsidR="00AD5A09" w:rsidRDefault="00AD5A09" w:rsidP="00AD5A09">
      <w:pPr>
        <w:rPr>
          <w:szCs w:val="22"/>
        </w:rPr>
      </w:pPr>
    </w:p>
    <w:p w14:paraId="553C27C9" w14:textId="77777777" w:rsidR="00AD5A09" w:rsidRDefault="00AD5A09" w:rsidP="00AD5A09">
      <w:pPr>
        <w:jc w:val="both"/>
        <w:rPr>
          <w:szCs w:val="22"/>
        </w:rPr>
      </w:pPr>
      <w:r w:rsidRPr="00293C73">
        <w:rPr>
          <w:szCs w:val="22"/>
        </w:rPr>
        <w:t xml:space="preserve">GlucaGen </w:t>
      </w:r>
      <w:r w:rsidRPr="00563D41">
        <w:rPr>
          <w:szCs w:val="22"/>
        </w:rPr>
        <w:t>HypoKit</w:t>
      </w:r>
      <w:r w:rsidRPr="00B949EC">
        <w:rPr>
          <w:szCs w:val="22"/>
        </w:rPr>
        <w:t xml:space="preserve"> yra skirtas skubiai vartoti cukriniu diabetu sergantiems vaikams ir suaugusiesiems, kurie vartoja insuliną. Jis vartojamas apalpus (</w:t>
      </w:r>
      <w:r w:rsidRPr="00390C97">
        <w:t>netekus sąmonės</w:t>
      </w:r>
      <w:r w:rsidRPr="00B949EC">
        <w:rPr>
          <w:szCs w:val="22"/>
        </w:rPr>
        <w:t>) dėl labai mažo cukraus kiekio kraujyje.</w:t>
      </w:r>
      <w:r>
        <w:rPr>
          <w:szCs w:val="22"/>
        </w:rPr>
        <w:t xml:space="preserve"> </w:t>
      </w:r>
      <w:r w:rsidRPr="00293C73">
        <w:rPr>
          <w:szCs w:val="22"/>
        </w:rPr>
        <w:t>T</w:t>
      </w:r>
      <w:r>
        <w:rPr>
          <w:szCs w:val="22"/>
        </w:rPr>
        <w:t>ai vadinama sunkia hipoglikemija.</w:t>
      </w:r>
      <w:r w:rsidRPr="00293C73">
        <w:rPr>
          <w:szCs w:val="22"/>
        </w:rPr>
        <w:t xml:space="preserve"> GlucaGen</w:t>
      </w:r>
      <w:r w:rsidRPr="00293C73">
        <w:rPr>
          <w:szCs w:val="22"/>
          <w:vertAlign w:val="superscript"/>
        </w:rPr>
        <w:t xml:space="preserve"> </w:t>
      </w:r>
      <w:r w:rsidRPr="00293C73">
        <w:rPr>
          <w:szCs w:val="22"/>
        </w:rPr>
        <w:t xml:space="preserve">HypoKit </w:t>
      </w:r>
      <w:r>
        <w:rPr>
          <w:szCs w:val="22"/>
        </w:rPr>
        <w:t>vartojamas, kai pacientai negali suvalgyti cukraus.</w:t>
      </w:r>
    </w:p>
    <w:p w14:paraId="7FCF3F21" w14:textId="77777777" w:rsidR="00AD5A09" w:rsidRPr="005950C6" w:rsidRDefault="00AD5A09" w:rsidP="00AD5A09">
      <w:pPr>
        <w:jc w:val="both"/>
        <w:rPr>
          <w:szCs w:val="22"/>
        </w:rPr>
      </w:pPr>
    </w:p>
    <w:p w14:paraId="4CB5D185" w14:textId="77777777" w:rsidR="00AD5A09" w:rsidRDefault="00AD5A09" w:rsidP="00AD5A09">
      <w:pPr>
        <w:rPr>
          <w:szCs w:val="22"/>
        </w:rPr>
      </w:pPr>
      <w:r>
        <w:rPr>
          <w:szCs w:val="22"/>
        </w:rPr>
        <w:t>Gliukagonas yra natūralus hormonas, turintis priešingą veikimo poveikį nei insulinas. Jis skatina glikogeno skilimą kepenyse į gliukozę (cukrų). Gliukozė išskiriama į kraujotaką ir dėl to padidėja cukraus kiekis kraujyje.</w:t>
      </w:r>
    </w:p>
    <w:p w14:paraId="7633B0F5" w14:textId="77777777" w:rsidR="00AD5A09" w:rsidRDefault="00AD5A09" w:rsidP="00AD5A09">
      <w:pPr>
        <w:rPr>
          <w:szCs w:val="22"/>
        </w:rPr>
      </w:pPr>
    </w:p>
    <w:p w14:paraId="38189872" w14:textId="5FC964B1" w:rsidR="00AD5A09" w:rsidRPr="000B4E10" w:rsidRDefault="00AD5A09" w:rsidP="00AD5A09">
      <w:pPr>
        <w:rPr>
          <w:szCs w:val="22"/>
        </w:rPr>
      </w:pPr>
      <w:r w:rsidRPr="00522723">
        <w:rPr>
          <w:b/>
          <w:szCs w:val="22"/>
        </w:rPr>
        <w:t>Sveikatos priežiūros specialistams:</w:t>
      </w:r>
      <w:r w:rsidRPr="00522723">
        <w:t xml:space="preserve"> </w:t>
      </w:r>
      <w:r w:rsidRPr="00522723">
        <w:rPr>
          <w:szCs w:val="22"/>
        </w:rPr>
        <w:t>žr. skyrių</w:t>
      </w:r>
      <w:r w:rsidR="00362B3B" w:rsidRPr="00522723">
        <w:rPr>
          <w:szCs w:val="22"/>
        </w:rPr>
        <w:t xml:space="preserve"> „</w:t>
      </w:r>
      <w:r w:rsidR="00362B3B" w:rsidRPr="00522723">
        <w:rPr>
          <w:caps/>
        </w:rPr>
        <w:t>T</w:t>
      </w:r>
      <w:r w:rsidR="00362B3B" w:rsidRPr="00522723">
        <w:t>oliau pateikta informacija skirta tik sveikatos priežiūros specialistams“</w:t>
      </w:r>
      <w:r w:rsidRPr="00522723">
        <w:rPr>
          <w:szCs w:val="22"/>
        </w:rPr>
        <w:t>.</w:t>
      </w:r>
    </w:p>
    <w:p w14:paraId="229D278E" w14:textId="77777777" w:rsidR="00AD5A09" w:rsidRDefault="00AD5A09" w:rsidP="00AD5A09">
      <w:pPr>
        <w:rPr>
          <w:b/>
        </w:rPr>
      </w:pPr>
    </w:p>
    <w:p w14:paraId="020339C6" w14:textId="77777777" w:rsidR="00AD5A09" w:rsidRDefault="00AD5A09" w:rsidP="00AD5A09">
      <w:pPr>
        <w:rPr>
          <w:szCs w:val="22"/>
        </w:rPr>
      </w:pPr>
    </w:p>
    <w:p w14:paraId="50CC0379" w14:textId="77777777" w:rsidR="00AD5A09" w:rsidRPr="00704A53" w:rsidRDefault="00AD5A09" w:rsidP="00AD5A09">
      <w:pPr>
        <w:rPr>
          <w:b/>
        </w:rPr>
      </w:pPr>
      <w:r w:rsidRPr="00704A53">
        <w:rPr>
          <w:b/>
        </w:rPr>
        <w:t>2.</w:t>
      </w:r>
      <w:r w:rsidRPr="00704A53">
        <w:rPr>
          <w:b/>
        </w:rPr>
        <w:tab/>
        <w:t xml:space="preserve">Kas žinotina prieš vartojant </w:t>
      </w:r>
      <w:r>
        <w:rPr>
          <w:b/>
        </w:rPr>
        <w:t>G</w:t>
      </w:r>
      <w:r w:rsidRPr="00704A53">
        <w:rPr>
          <w:b/>
        </w:rPr>
        <w:t>luca</w:t>
      </w:r>
      <w:r>
        <w:rPr>
          <w:b/>
        </w:rPr>
        <w:t>G</w:t>
      </w:r>
      <w:r w:rsidRPr="00704A53">
        <w:rPr>
          <w:b/>
        </w:rPr>
        <w:t>en</w:t>
      </w:r>
      <w:r>
        <w:rPr>
          <w:b/>
        </w:rPr>
        <w:t xml:space="preserve"> HypoKit</w:t>
      </w:r>
    </w:p>
    <w:p w14:paraId="3DAE08AF" w14:textId="77777777" w:rsidR="00AD5A09" w:rsidRPr="006F1AC0" w:rsidRDefault="00AD5A09" w:rsidP="00AD5A09"/>
    <w:p w14:paraId="588FF63E" w14:textId="77777777" w:rsidR="00AD5A09" w:rsidRDefault="00AD5A09" w:rsidP="00AD5A09">
      <w:pPr>
        <w:rPr>
          <w:b/>
        </w:rPr>
      </w:pPr>
      <w:r>
        <w:rPr>
          <w:b/>
        </w:rPr>
        <w:t>Svarbi informacija</w:t>
      </w:r>
    </w:p>
    <w:p w14:paraId="25E68C1B" w14:textId="77777777" w:rsidR="00AD5A09" w:rsidRDefault="00AD5A09" w:rsidP="00AD5A09">
      <w:pPr>
        <w:rPr>
          <w:b/>
        </w:rPr>
      </w:pPr>
    </w:p>
    <w:p w14:paraId="1899AAA6" w14:textId="77777777" w:rsidR="00AD5A09" w:rsidRDefault="00AD5A09" w:rsidP="00AD5A09">
      <w:pPr>
        <w:ind w:left="567" w:hanging="567"/>
        <w:rPr>
          <w:b/>
        </w:rPr>
      </w:pPr>
      <w:r w:rsidRPr="00F42DD4">
        <w:t>•</w:t>
      </w:r>
      <w:r w:rsidRPr="00F42DD4">
        <w:tab/>
      </w:r>
      <w:r>
        <w:rPr>
          <w:szCs w:val="22"/>
        </w:rPr>
        <w:t>Įsitikinkite, kad Jūsų artimieji, bendradarbiai ir artimi draugai žino apie</w:t>
      </w:r>
      <w:r w:rsidRPr="004B68EF">
        <w:rPr>
          <w:b/>
        </w:rPr>
        <w:t xml:space="preserve"> </w:t>
      </w:r>
      <w:r w:rsidRPr="00B949EC">
        <w:t>GlucaGen HypoKit. Pasakykite jiems, kad jie iškart panaudotų GlucaGen HypoKit, jei</w:t>
      </w:r>
      <w:r w:rsidRPr="00543E0C">
        <w:t xml:space="preserve">gu </w:t>
      </w:r>
      <w:r>
        <w:t>J</w:t>
      </w:r>
      <w:r w:rsidRPr="00B949EC">
        <w:t>ūs apalptumėte (prarastumėte sąmonę).</w:t>
      </w:r>
    </w:p>
    <w:p w14:paraId="5A3456AE" w14:textId="77777777" w:rsidR="00AD5A09" w:rsidRDefault="00AD5A09" w:rsidP="00AD5A09">
      <w:pPr>
        <w:rPr>
          <w:b/>
        </w:rPr>
      </w:pPr>
    </w:p>
    <w:p w14:paraId="24EE29C7" w14:textId="77777777" w:rsidR="00AD5A09" w:rsidRPr="00924EFA" w:rsidRDefault="00AD5A09" w:rsidP="00AD5A09">
      <w:pPr>
        <w:ind w:left="567" w:hanging="567"/>
        <w:rPr>
          <w:color w:val="000000"/>
          <w:szCs w:val="22"/>
        </w:rPr>
      </w:pPr>
      <w:r w:rsidRPr="00F42DD4">
        <w:t>•</w:t>
      </w:r>
      <w:r w:rsidRPr="00F42DD4">
        <w:tab/>
      </w:r>
      <w:r w:rsidRPr="00B949EC">
        <w:t>Parodykite savo šeimos nariams ir kitiems</w:t>
      </w:r>
      <w:r>
        <w:t xml:space="preserve"> asmenims</w:t>
      </w:r>
      <w:r w:rsidRPr="00B949EC">
        <w:t xml:space="preserve">, kur laikote šį rinkinį ir kaip juo naudotis. Jie turi veikti greitai – jeigu </w:t>
      </w:r>
      <w:r>
        <w:t>J</w:t>
      </w:r>
      <w:r w:rsidRPr="00B949EC">
        <w:t>ūs būsite be sąmonės tam tikrą laiką, tai gali būti žalinga. Svarbu, kad jie būtų pamokyti ir žinotų, kaip naudotis</w:t>
      </w:r>
      <w:r>
        <w:rPr>
          <w:b/>
        </w:rPr>
        <w:t xml:space="preserve"> </w:t>
      </w:r>
      <w:r w:rsidRPr="00924EFA">
        <w:rPr>
          <w:color w:val="000000"/>
          <w:szCs w:val="22"/>
        </w:rPr>
        <w:t>GlucaGen</w:t>
      </w:r>
      <w:r w:rsidRPr="00924EFA">
        <w:rPr>
          <w:color w:val="000000"/>
          <w:szCs w:val="22"/>
          <w:vertAlign w:val="superscript"/>
        </w:rPr>
        <w:t xml:space="preserve"> </w:t>
      </w:r>
      <w:r w:rsidRPr="00924EFA">
        <w:rPr>
          <w:color w:val="000000"/>
          <w:szCs w:val="22"/>
        </w:rPr>
        <w:t>HypoKit, kol Jums jo neprireikė.</w:t>
      </w:r>
    </w:p>
    <w:p w14:paraId="5FC58597" w14:textId="77777777" w:rsidR="00AD5A09" w:rsidRDefault="00AD5A09" w:rsidP="00AD5A09"/>
    <w:p w14:paraId="37A2EAF1" w14:textId="77777777" w:rsidR="00AD5A09" w:rsidRPr="00924EFA" w:rsidRDefault="00AD5A09" w:rsidP="00AD5A09">
      <w:pPr>
        <w:ind w:left="567" w:hanging="567"/>
      </w:pPr>
      <w:r w:rsidRPr="00F42DD4">
        <w:lastRenderedPageBreak/>
        <w:t>•</w:t>
      </w:r>
      <w:r w:rsidRPr="00F42DD4">
        <w:tab/>
      </w:r>
      <w:r>
        <w:t xml:space="preserve">Švirkšte nėra </w:t>
      </w:r>
      <w:r w:rsidRPr="00924EFA">
        <w:t xml:space="preserve">GlucaGen. Prieš injekciją švirkšte esantį vandenį reikia sumaišyti su </w:t>
      </w:r>
      <w:r w:rsidR="003A27F3">
        <w:t>flakone</w:t>
      </w:r>
      <w:r w:rsidR="003A27F3" w:rsidRPr="00924EFA">
        <w:t xml:space="preserve"> </w:t>
      </w:r>
      <w:r w:rsidRPr="00924EFA">
        <w:t>esančiais kompaktiniais GlucaGen milteliais.</w:t>
      </w:r>
      <w:r>
        <w:t xml:space="preserve"> Pasakykite šeimos nariams ir kitiems asmenims, kad jie laikytųsi </w:t>
      </w:r>
      <w:r w:rsidRPr="00924EFA">
        <w:t>3</w:t>
      </w:r>
      <w:r>
        <w:t xml:space="preserve"> skyriaus instrukcijų „</w:t>
      </w:r>
      <w:r w:rsidRPr="00390C97">
        <w:t xml:space="preserve">Kaip vartoti </w:t>
      </w:r>
      <w:r w:rsidRPr="00924EFA">
        <w:t xml:space="preserve">GlucaGen </w:t>
      </w:r>
      <w:r w:rsidRPr="00BE077C">
        <w:t>HypoKit“.</w:t>
      </w:r>
    </w:p>
    <w:p w14:paraId="001BE769" w14:textId="77777777" w:rsidR="00AD5A09" w:rsidRDefault="00AD5A09" w:rsidP="00AD5A09">
      <w:pPr>
        <w:ind w:left="567" w:hanging="567"/>
      </w:pPr>
    </w:p>
    <w:p w14:paraId="4989620A" w14:textId="77777777" w:rsidR="00AD5A09" w:rsidRPr="00BF0EEA" w:rsidRDefault="00AD5A09" w:rsidP="00AD5A09">
      <w:pPr>
        <w:ind w:left="567" w:hanging="567"/>
      </w:pPr>
      <w:r w:rsidRPr="00F42DD4">
        <w:t>•</w:t>
      </w:r>
      <w:r w:rsidRPr="00F42DD4">
        <w:tab/>
      </w:r>
      <w:r w:rsidRPr="00BF0EEA">
        <w:t>Sumaišytas nesuvartotas GlucaGen turi būti išmetamas.</w:t>
      </w:r>
    </w:p>
    <w:p w14:paraId="3682EAA2" w14:textId="77777777" w:rsidR="00AD5A09" w:rsidRDefault="00AD5A09" w:rsidP="00AD5A09">
      <w:pPr>
        <w:ind w:left="567" w:hanging="567"/>
      </w:pPr>
    </w:p>
    <w:p w14:paraId="57701846" w14:textId="528CB3B6" w:rsidR="00AD5A09" w:rsidRPr="00B949EC" w:rsidRDefault="00AD5A09" w:rsidP="00AD5A09">
      <w:pPr>
        <w:ind w:left="567" w:hanging="567"/>
      </w:pPr>
      <w:r w:rsidRPr="00F42DD4">
        <w:t>•</w:t>
      </w:r>
      <w:r w:rsidRPr="00F42DD4">
        <w:tab/>
      </w:r>
      <w:r>
        <w:t>Pavartoję</w:t>
      </w:r>
      <w:r>
        <w:rPr>
          <w:b/>
        </w:rPr>
        <w:t xml:space="preserve"> </w:t>
      </w:r>
      <w:r w:rsidRPr="00924EFA">
        <w:rPr>
          <w:color w:val="000000"/>
          <w:szCs w:val="22"/>
        </w:rPr>
        <w:t>GlucaGen HypoKit</w:t>
      </w:r>
      <w:r w:rsidRPr="00BE077C">
        <w:t xml:space="preserve"> </w:t>
      </w:r>
      <w:r>
        <w:t>J</w:t>
      </w:r>
      <w:r w:rsidRPr="00B949EC">
        <w:t>ūs arba kažkas kitas turi apie tai pranešti gydytojui</w:t>
      </w:r>
      <w:r w:rsidRPr="006E5C4D">
        <w:rPr>
          <w:b/>
        </w:rPr>
        <w:t xml:space="preserve"> </w:t>
      </w:r>
      <w:r>
        <w:t>arba kitam sveikatos priežiūros specialistui. Reikia išsiaiškinti, kodėl Jūsų cukrus kraujyje buvo labai žemas ir kaip išvengti, kad tai nepasikartotų.</w:t>
      </w:r>
    </w:p>
    <w:p w14:paraId="026023F4" w14:textId="77777777" w:rsidR="00AD5A09" w:rsidRPr="00924EFA" w:rsidRDefault="00AD5A09" w:rsidP="00AD5A09">
      <w:pPr>
        <w:tabs>
          <w:tab w:val="clear" w:pos="567"/>
        </w:tabs>
        <w:rPr>
          <w:color w:val="000000"/>
          <w:szCs w:val="22"/>
        </w:rPr>
      </w:pPr>
    </w:p>
    <w:p w14:paraId="3D4FF80B" w14:textId="7AD71C3D" w:rsidR="00AD5A09" w:rsidRPr="00704A53" w:rsidRDefault="00AD5A09" w:rsidP="00AD5A09">
      <w:pPr>
        <w:rPr>
          <w:b/>
        </w:rPr>
      </w:pPr>
      <w:r w:rsidRPr="00704A53">
        <w:rPr>
          <w:b/>
        </w:rPr>
        <w:t>GlucaGen</w:t>
      </w:r>
      <w:r w:rsidRPr="00704A53">
        <w:rPr>
          <w:b/>
          <w:bCs/>
        </w:rPr>
        <w:t xml:space="preserve"> </w:t>
      </w:r>
      <w:r>
        <w:rPr>
          <w:b/>
        </w:rPr>
        <w:t>HypoKit</w:t>
      </w:r>
      <w:r w:rsidRPr="00704A53">
        <w:rPr>
          <w:b/>
        </w:rPr>
        <w:t xml:space="preserve"> vartoti </w:t>
      </w:r>
      <w:r w:rsidR="00273310">
        <w:rPr>
          <w:b/>
        </w:rPr>
        <w:t>draudžiama</w:t>
      </w:r>
      <w:r>
        <w:rPr>
          <w:b/>
        </w:rPr>
        <w:t>, jeigu:</w:t>
      </w:r>
    </w:p>
    <w:p w14:paraId="3FEBA4E0" w14:textId="77777777" w:rsidR="00AD5A09" w:rsidRDefault="00AD5A09" w:rsidP="00AD5A09">
      <w:pPr>
        <w:ind w:left="567" w:hanging="567"/>
      </w:pPr>
      <w:r w:rsidRPr="000B4E10">
        <w:t>–</w:t>
      </w:r>
      <w:r w:rsidRPr="000B4E10">
        <w:tab/>
      </w:r>
      <w:r>
        <w:t xml:space="preserve">yra alergija gliukagonui arba </w:t>
      </w:r>
      <w:r w:rsidRPr="00976D94">
        <w:t>bet kuriai pagalbinei šio vaisto medžiagai (jos išvardytos 6 skyriuje)</w:t>
      </w:r>
      <w:r>
        <w:t>;</w:t>
      </w:r>
    </w:p>
    <w:p w14:paraId="4E20FEEA" w14:textId="77777777" w:rsidR="00AD5A09" w:rsidRDefault="00AD5A09" w:rsidP="00AD5A09">
      <w:pPr>
        <w:ind w:left="567" w:hanging="567"/>
      </w:pPr>
      <w:r w:rsidRPr="000B4E10">
        <w:t>–</w:t>
      </w:r>
      <w:r w:rsidRPr="000B4E10">
        <w:tab/>
      </w:r>
      <w:r>
        <w:t>Jums yra nustatytas antinksčių auglys.</w:t>
      </w:r>
    </w:p>
    <w:p w14:paraId="62E0332B" w14:textId="77777777" w:rsidR="00AD5A09" w:rsidRDefault="00AD5A09" w:rsidP="00AD5A09">
      <w:pPr>
        <w:rPr>
          <w:szCs w:val="22"/>
        </w:rPr>
      </w:pPr>
    </w:p>
    <w:p w14:paraId="4E17E27F" w14:textId="2963492C" w:rsidR="00AD5A09" w:rsidRDefault="00AD5A09" w:rsidP="00AD5A09">
      <w:pPr>
        <w:rPr>
          <w:b/>
        </w:rPr>
      </w:pPr>
      <w:r w:rsidRPr="00543E0C">
        <w:t xml:space="preserve">Jeigu tinka bent viena iš išvardytų aplinkybių, </w:t>
      </w:r>
      <w:r w:rsidRPr="00496E2E">
        <w:t>GlucaGen</w:t>
      </w:r>
      <w:r w:rsidRPr="00AE7E78">
        <w:t xml:space="preserve"> </w:t>
      </w:r>
      <w:r w:rsidRPr="00293C73">
        <w:t>HypoKit</w:t>
      </w:r>
      <w:r w:rsidRPr="00543E0C">
        <w:t xml:space="preserve"> </w:t>
      </w:r>
      <w:r>
        <w:t>vartoti</w:t>
      </w:r>
      <w:r w:rsidRPr="00543E0C">
        <w:t xml:space="preserve"> negalima.</w:t>
      </w:r>
    </w:p>
    <w:p w14:paraId="0558EEDE" w14:textId="77777777" w:rsidR="00AD5A09" w:rsidRDefault="00AD5A09" w:rsidP="00AD5A09">
      <w:pPr>
        <w:rPr>
          <w:b/>
        </w:rPr>
      </w:pPr>
    </w:p>
    <w:p w14:paraId="3FD06E20" w14:textId="60FADDF2" w:rsidR="00AD5A09" w:rsidRPr="00A50C32" w:rsidRDefault="00AD5A09" w:rsidP="00AD5A09">
      <w:pPr>
        <w:rPr>
          <w:b/>
        </w:rPr>
      </w:pPr>
      <w:r w:rsidRPr="00A50C32">
        <w:rPr>
          <w:b/>
        </w:rPr>
        <w:t>Įspėjimai ir atsargumo priemonės</w:t>
      </w:r>
    </w:p>
    <w:p w14:paraId="3A1D934C" w14:textId="77777777" w:rsidR="00AD5A09" w:rsidRDefault="00AD5A09" w:rsidP="00AD5A09"/>
    <w:p w14:paraId="1BA8A400" w14:textId="77777777" w:rsidR="00AD5A09" w:rsidRDefault="00AD5A09" w:rsidP="00AD5A09">
      <w:r w:rsidRPr="00976D94">
        <w:t xml:space="preserve">Pasitarkite su gydytoju, vaistininku arba slaugytoja, prieš pradėdami </w:t>
      </w:r>
      <w:r>
        <w:t>vartoti</w:t>
      </w:r>
      <w:r w:rsidRPr="00543E0C">
        <w:t xml:space="preserve"> </w:t>
      </w:r>
      <w:r w:rsidRPr="00496E2E">
        <w:t>GlucaGen</w:t>
      </w:r>
      <w:r w:rsidRPr="00AE7E78">
        <w:t xml:space="preserve"> </w:t>
      </w:r>
      <w:r w:rsidRPr="00293C73">
        <w:t>HypoKit</w:t>
      </w:r>
      <w:r>
        <w:t>.</w:t>
      </w:r>
    </w:p>
    <w:p w14:paraId="2FA8623A" w14:textId="77777777" w:rsidR="00AD5A09" w:rsidRDefault="00AD5A09" w:rsidP="00AD5A09">
      <w:pPr>
        <w:rPr>
          <w:b/>
        </w:rPr>
      </w:pPr>
    </w:p>
    <w:p w14:paraId="69CD16D2" w14:textId="77777777" w:rsidR="00AD5A09" w:rsidRPr="00903D6B" w:rsidRDefault="00AD5A09" w:rsidP="00AD5A09">
      <w:pPr>
        <w:rPr>
          <w:b/>
          <w:szCs w:val="22"/>
        </w:rPr>
      </w:pPr>
      <w:r w:rsidRPr="00903D6B">
        <w:rPr>
          <w:b/>
          <w:szCs w:val="22"/>
        </w:rPr>
        <w:t>GlucaGen bus nepakankamai efektyvus</w:t>
      </w:r>
      <w:r>
        <w:rPr>
          <w:b/>
          <w:szCs w:val="22"/>
        </w:rPr>
        <w:t>, jeigu</w:t>
      </w:r>
      <w:r w:rsidRPr="00903D6B">
        <w:rPr>
          <w:b/>
          <w:szCs w:val="22"/>
        </w:rPr>
        <w:t>:</w:t>
      </w:r>
    </w:p>
    <w:p w14:paraId="7BF168A0" w14:textId="77777777" w:rsidR="00AD5A09" w:rsidRDefault="00AD5A09" w:rsidP="00AD5A09">
      <w:pPr>
        <w:ind w:left="567" w:hanging="567"/>
      </w:pPr>
      <w:r w:rsidRPr="00903D6B">
        <w:t>•</w:t>
      </w:r>
      <w:r w:rsidRPr="00903D6B">
        <w:tab/>
      </w:r>
      <w:r>
        <w:t xml:space="preserve">Jūs </w:t>
      </w:r>
      <w:r w:rsidRPr="00390C97">
        <w:t>badavote ilgesnį laiką</w:t>
      </w:r>
      <w:r w:rsidRPr="00284104">
        <w:t>;</w:t>
      </w:r>
    </w:p>
    <w:p w14:paraId="7747C95E" w14:textId="77777777" w:rsidR="00AD5A09" w:rsidRDefault="00AD5A09" w:rsidP="00AD5A09">
      <w:pPr>
        <w:ind w:left="567" w:hanging="567"/>
      </w:pPr>
      <w:r w:rsidRPr="00903D6B">
        <w:t>•</w:t>
      </w:r>
      <w:r w:rsidRPr="00903D6B">
        <w:tab/>
      </w:r>
      <w:r>
        <w:t xml:space="preserve">Jums yra </w:t>
      </w:r>
      <w:r w:rsidRPr="00390C97">
        <w:t>žemas adrenalino kiekis</w:t>
      </w:r>
      <w:r>
        <w:t>;</w:t>
      </w:r>
    </w:p>
    <w:p w14:paraId="1805161C" w14:textId="77777777" w:rsidR="00AD5A09" w:rsidRDefault="00AD5A09" w:rsidP="00AD5A09">
      <w:pPr>
        <w:ind w:left="567" w:hanging="567"/>
      </w:pPr>
      <w:r w:rsidRPr="00903D6B">
        <w:t>•</w:t>
      </w:r>
      <w:r w:rsidRPr="00903D6B">
        <w:tab/>
      </w:r>
      <w:r>
        <w:t>Jūsų cukrus kraujyje yra žemas dėl gausaus</w:t>
      </w:r>
      <w:r w:rsidRPr="00390C97">
        <w:t xml:space="preserve"> alkoholio</w:t>
      </w:r>
      <w:r>
        <w:t xml:space="preserve"> vartojimo;</w:t>
      </w:r>
    </w:p>
    <w:p w14:paraId="162DE67F" w14:textId="77777777" w:rsidR="00AD5A09" w:rsidRDefault="00AD5A09" w:rsidP="00AD5A09">
      <w:pPr>
        <w:ind w:left="567" w:hanging="567"/>
      </w:pPr>
      <w:r w:rsidRPr="00903D6B">
        <w:t>•</w:t>
      </w:r>
      <w:r w:rsidRPr="00903D6B">
        <w:tab/>
      </w:r>
      <w:r>
        <w:t xml:space="preserve">Jums yra </w:t>
      </w:r>
      <w:r w:rsidRPr="00390C97">
        <w:t>gliukagoną arba insuliną gaminantis auglys</w:t>
      </w:r>
      <w:r>
        <w:t>.</w:t>
      </w:r>
    </w:p>
    <w:p w14:paraId="79F0640F" w14:textId="77777777" w:rsidR="00AD5A09" w:rsidRDefault="00AD5A09" w:rsidP="00AD5A09">
      <w:pPr>
        <w:ind w:left="567" w:hanging="567"/>
      </w:pPr>
    </w:p>
    <w:p w14:paraId="163B900F" w14:textId="77777777" w:rsidR="00AD5A09" w:rsidRDefault="00AD5A09" w:rsidP="00AD5A09">
      <w:pPr>
        <w:ind w:left="567" w:hanging="567"/>
      </w:pPr>
      <w:r>
        <w:t xml:space="preserve">Jeigu Jums </w:t>
      </w:r>
      <w:r w:rsidRPr="00543E0C">
        <w:t>tinka bent viena iš išvardytų aplinkybių,</w:t>
      </w:r>
      <w:r>
        <w:t xml:space="preserve"> </w:t>
      </w:r>
      <w:r w:rsidRPr="00B949EC">
        <w:t>pasi</w:t>
      </w:r>
      <w:r>
        <w:t>tarkite</w:t>
      </w:r>
      <w:r w:rsidRPr="00390C97">
        <w:t xml:space="preserve"> su gydytoju</w:t>
      </w:r>
      <w:r>
        <w:t xml:space="preserve"> ar vaistininku</w:t>
      </w:r>
      <w:r w:rsidRPr="00284104">
        <w:t>.</w:t>
      </w:r>
    </w:p>
    <w:p w14:paraId="061245A0" w14:textId="77777777" w:rsidR="00AD5A09" w:rsidRDefault="00AD5A09" w:rsidP="00AD5A09">
      <w:pPr>
        <w:ind w:left="567" w:hanging="567"/>
      </w:pPr>
    </w:p>
    <w:p w14:paraId="0605CB1E" w14:textId="77777777" w:rsidR="00AD5A09" w:rsidRDefault="00AD5A09" w:rsidP="00AD5A09">
      <w:pPr>
        <w:rPr>
          <w:b/>
        </w:rPr>
      </w:pPr>
      <w:r w:rsidRPr="00704A53">
        <w:rPr>
          <w:b/>
        </w:rPr>
        <w:t>Kit</w:t>
      </w:r>
      <w:r>
        <w:rPr>
          <w:b/>
        </w:rPr>
        <w:t>i</w:t>
      </w:r>
      <w:r w:rsidRPr="00390C97">
        <w:rPr>
          <w:b/>
        </w:rPr>
        <w:t xml:space="preserve"> vaistai </w:t>
      </w:r>
      <w:r>
        <w:rPr>
          <w:b/>
        </w:rPr>
        <w:t>ir</w:t>
      </w:r>
      <w:r w:rsidRPr="00390C97">
        <w:rPr>
          <w:b/>
        </w:rPr>
        <w:t xml:space="preserve"> GlucaGen</w:t>
      </w:r>
    </w:p>
    <w:p w14:paraId="274DF606" w14:textId="77777777" w:rsidR="00AD5A09" w:rsidRPr="00390C97" w:rsidRDefault="00AD5A09" w:rsidP="00AD5A09">
      <w:pPr>
        <w:rPr>
          <w:b/>
        </w:rPr>
      </w:pPr>
    </w:p>
    <w:p w14:paraId="74E3F987" w14:textId="77777777" w:rsidR="00AD5A09" w:rsidRDefault="00AD5A09" w:rsidP="00AD5A09">
      <w:r>
        <w:t xml:space="preserve">Šie vaistai gali daryti įtaką GlucaGen </w:t>
      </w:r>
      <w:r w:rsidRPr="00293C73">
        <w:t>HypoKit</w:t>
      </w:r>
      <w:r>
        <w:t xml:space="preserve"> veikimui:</w:t>
      </w:r>
    </w:p>
    <w:p w14:paraId="68E89678" w14:textId="77777777" w:rsidR="00AD5A09" w:rsidRDefault="00AD5A09" w:rsidP="00AD5A09">
      <w:pPr>
        <w:ind w:left="567" w:hanging="567"/>
        <w:rPr>
          <w:szCs w:val="22"/>
        </w:rPr>
      </w:pPr>
      <w:r w:rsidRPr="00903D6B">
        <w:t>•</w:t>
      </w:r>
      <w:r w:rsidRPr="00903D6B">
        <w:tab/>
      </w:r>
      <w:r w:rsidRPr="00390C97">
        <w:t>insulinas</w:t>
      </w:r>
      <w:r w:rsidRPr="00EF0FD7">
        <w:rPr>
          <w:bCs/>
          <w:szCs w:val="22"/>
        </w:rPr>
        <w:t xml:space="preserve">, </w:t>
      </w:r>
      <w:r w:rsidRPr="00B949EC">
        <w:rPr>
          <w:szCs w:val="22"/>
        </w:rPr>
        <w:t>vartojamas cukriniam diabetui gydyti</w:t>
      </w:r>
      <w:r w:rsidRPr="00903D6B">
        <w:rPr>
          <w:szCs w:val="22"/>
        </w:rPr>
        <w:t>;</w:t>
      </w:r>
    </w:p>
    <w:p w14:paraId="3DE15F1F" w14:textId="77777777" w:rsidR="00AD5A09" w:rsidRDefault="00AD5A09" w:rsidP="00AD5A09">
      <w:pPr>
        <w:ind w:left="567" w:hanging="567"/>
      </w:pPr>
      <w:r w:rsidRPr="00903D6B">
        <w:t>•</w:t>
      </w:r>
      <w:r w:rsidRPr="00903D6B">
        <w:tab/>
      </w:r>
      <w:r w:rsidRPr="00390C97">
        <w:t>indometacinas</w:t>
      </w:r>
      <w:r>
        <w:t>, vartojamas sąnarių skausmui ir sustingimui gydyti.</w:t>
      </w:r>
    </w:p>
    <w:p w14:paraId="0A0B06D3" w14:textId="77777777" w:rsidR="00AD5A09" w:rsidRDefault="00AD5A09" w:rsidP="00AD5A09">
      <w:pPr>
        <w:ind w:left="567" w:hanging="567"/>
      </w:pPr>
    </w:p>
    <w:p w14:paraId="641188F8" w14:textId="77777777" w:rsidR="00AD5A09" w:rsidRDefault="00AD5A09" w:rsidP="00AD5A09">
      <w:pPr>
        <w:ind w:left="567" w:hanging="567"/>
      </w:pPr>
      <w:r>
        <w:t xml:space="preserve">GlucaGen </w:t>
      </w:r>
      <w:r w:rsidRPr="00293C73">
        <w:t>HypoKit</w:t>
      </w:r>
      <w:r>
        <w:t xml:space="preserve"> gali daryti įtaką šių vaistų veikimui:</w:t>
      </w:r>
    </w:p>
    <w:p w14:paraId="0FC07467" w14:textId="77777777" w:rsidR="00AD5A09" w:rsidRDefault="00AD5A09" w:rsidP="00AD5A09">
      <w:pPr>
        <w:ind w:left="567" w:hanging="567"/>
      </w:pPr>
      <w:r w:rsidRPr="00BB37A7">
        <w:t>•</w:t>
      </w:r>
      <w:r w:rsidRPr="00BB37A7">
        <w:tab/>
      </w:r>
      <w:r w:rsidRPr="00B949EC">
        <w:t>varfarino,</w:t>
      </w:r>
      <w:r>
        <w:rPr>
          <w:b/>
        </w:rPr>
        <w:t xml:space="preserve"> </w:t>
      </w:r>
      <w:r w:rsidRPr="00B949EC">
        <w:t>vartojamo siekiant išvengti kraujo krešulių.</w:t>
      </w:r>
      <w:r>
        <w:t xml:space="preserve"> GlucaGen gali sustiprinti varfarino kraujo krešumą mažinantį efektą;</w:t>
      </w:r>
    </w:p>
    <w:p w14:paraId="653E52E1" w14:textId="13217943" w:rsidR="00AD5A09" w:rsidRDefault="00AD5A09" w:rsidP="00AD5A09">
      <w:pPr>
        <w:ind w:left="567" w:hanging="567"/>
      </w:pPr>
      <w:r w:rsidRPr="00BB37A7">
        <w:t>•</w:t>
      </w:r>
      <w:r w:rsidRPr="00BB37A7">
        <w:tab/>
      </w:r>
      <w:r w:rsidRPr="00924EFA">
        <w:rPr>
          <w:szCs w:val="22"/>
        </w:rPr>
        <w:t xml:space="preserve">beta adrenoblokatorių, vartojamų aukštam kraujospūdžiui ir nereguliariam širdies plakimui gydyti. </w:t>
      </w:r>
      <w:r w:rsidRPr="00BF0EEA">
        <w:rPr>
          <w:szCs w:val="22"/>
        </w:rPr>
        <w:t>GlucaGen HypoKit gali padidinti kraujospūdį ir pulsą, tik tai truktų trumpai.</w:t>
      </w:r>
    </w:p>
    <w:p w14:paraId="22FE7C2C" w14:textId="77777777" w:rsidR="00AD5A09" w:rsidRDefault="00AD5A09" w:rsidP="00AD5A09">
      <w:pPr>
        <w:ind w:left="567" w:hanging="567"/>
      </w:pPr>
    </w:p>
    <w:p w14:paraId="17EE762F" w14:textId="77777777" w:rsidR="00AD5A09" w:rsidRDefault="00AD5A09" w:rsidP="00AD5A09">
      <w:pPr>
        <w:rPr>
          <w:szCs w:val="22"/>
          <w:lang w:eastAsia="da-DK"/>
        </w:rPr>
      </w:pPr>
      <w:r>
        <w:rPr>
          <w:szCs w:val="22"/>
          <w:lang w:eastAsia="da-DK"/>
        </w:rPr>
        <w:t xml:space="preserve">Jeigu kuri nors iš išvardytų aplinkybių Jums tinka (arba dėl to nesate tikri), pasakykite gydytojui ar vaistininkui prieš vartodami </w:t>
      </w:r>
      <w:r w:rsidRPr="00AE7E78">
        <w:rPr>
          <w:szCs w:val="22"/>
          <w:lang w:eastAsia="da-DK"/>
        </w:rPr>
        <w:t>GlucaGen Hypokit.</w:t>
      </w:r>
    </w:p>
    <w:p w14:paraId="3238A684" w14:textId="77777777" w:rsidR="00AD5A09" w:rsidRDefault="00AD5A09" w:rsidP="00AD5A09">
      <w:pPr>
        <w:rPr>
          <w:szCs w:val="22"/>
          <w:lang w:eastAsia="da-DK"/>
        </w:rPr>
      </w:pPr>
    </w:p>
    <w:p w14:paraId="4258EDB2" w14:textId="77777777" w:rsidR="00AD5A09" w:rsidRDefault="00AD5A09" w:rsidP="00AD5A09">
      <w:r w:rsidRPr="00976D94">
        <w:t xml:space="preserve">Jeigu vartojate ar neseniai vartojote kitų vaistų arba dėl to nesate tikri, apie tai </w:t>
      </w:r>
      <w:r w:rsidRPr="00D160A6">
        <w:rPr>
          <w:b/>
        </w:rPr>
        <w:t>pasakykite gydytojui arba vaistininkui</w:t>
      </w:r>
      <w:r w:rsidRPr="00027A86">
        <w:rPr>
          <w:b/>
        </w:rPr>
        <w:t>.</w:t>
      </w:r>
    </w:p>
    <w:p w14:paraId="68A39409" w14:textId="77777777" w:rsidR="00AD5A09" w:rsidRDefault="00AD5A09" w:rsidP="00AD5A09">
      <w:pPr>
        <w:rPr>
          <w:szCs w:val="22"/>
        </w:rPr>
      </w:pPr>
    </w:p>
    <w:p w14:paraId="66731D52" w14:textId="77777777" w:rsidR="00AD5A09" w:rsidRPr="00704A53" w:rsidRDefault="00AD5A09" w:rsidP="00AD5A09">
      <w:pPr>
        <w:rPr>
          <w:b/>
        </w:rPr>
      </w:pPr>
      <w:r w:rsidRPr="00704A53">
        <w:rPr>
          <w:b/>
        </w:rPr>
        <w:t>Nėštumas ir žindymo laikotarpis</w:t>
      </w:r>
    </w:p>
    <w:p w14:paraId="6938BCE3" w14:textId="77777777" w:rsidR="00AD5A09" w:rsidRDefault="00AD5A09" w:rsidP="00AD5A09"/>
    <w:p w14:paraId="40B33219" w14:textId="0635CBD8" w:rsidR="00AD5A09" w:rsidRDefault="00AD5A09" w:rsidP="00AD5A09">
      <w:pPr>
        <w:rPr>
          <w:szCs w:val="22"/>
        </w:rPr>
      </w:pPr>
      <w:r w:rsidRPr="00976D94">
        <w:t xml:space="preserve">Jeigu </w:t>
      </w:r>
      <w:r>
        <w:t xml:space="preserve">Jūsų cukrus kraujyje labai žemas, kai </w:t>
      </w:r>
      <w:r w:rsidRPr="00976D94">
        <w:t xml:space="preserve">esate nėščia, žindote kūdikį, manote, kad galbūt esate nėščia arba planuojate pastoti, </w:t>
      </w:r>
      <w:r>
        <w:t xml:space="preserve">galite vartoti </w:t>
      </w:r>
      <w:r w:rsidRPr="004D401E">
        <w:t>GlucaGen HypoKit</w:t>
      </w:r>
      <w:r>
        <w:t>.</w:t>
      </w:r>
    </w:p>
    <w:p w14:paraId="3595B68F" w14:textId="77777777" w:rsidR="00AD5A09" w:rsidRDefault="00AD5A09" w:rsidP="00AD5A09">
      <w:pPr>
        <w:rPr>
          <w:szCs w:val="22"/>
        </w:rPr>
      </w:pPr>
    </w:p>
    <w:p w14:paraId="4B895EBF" w14:textId="77777777" w:rsidR="00AD5A09" w:rsidRDefault="00AD5A09" w:rsidP="00AD5A09">
      <w:pPr>
        <w:rPr>
          <w:szCs w:val="22"/>
        </w:rPr>
      </w:pPr>
      <w:r>
        <w:rPr>
          <w:szCs w:val="22"/>
        </w:rPr>
        <w:t>Prieš vartojant bet kokį vaistą, būtina pasitarti su gydytoju arba vaistininku, jeigu esate nėščia.</w:t>
      </w:r>
    </w:p>
    <w:p w14:paraId="70049435" w14:textId="77777777" w:rsidR="00AD5A09" w:rsidRDefault="00AD5A09" w:rsidP="00AD5A09">
      <w:pPr>
        <w:rPr>
          <w:szCs w:val="22"/>
        </w:rPr>
      </w:pPr>
    </w:p>
    <w:p w14:paraId="7AB6B8C0" w14:textId="77777777" w:rsidR="00AD5A09" w:rsidRPr="00704A53" w:rsidRDefault="00AD5A09" w:rsidP="00AD5A09">
      <w:pPr>
        <w:rPr>
          <w:b/>
        </w:rPr>
      </w:pPr>
      <w:r w:rsidRPr="00704A53">
        <w:rPr>
          <w:b/>
        </w:rPr>
        <w:t>Vairavimas ir mechanizmų valdymas</w:t>
      </w:r>
    </w:p>
    <w:p w14:paraId="4EDA958F" w14:textId="77777777" w:rsidR="00AD5A09" w:rsidRDefault="00AD5A09" w:rsidP="00AD5A09">
      <w:pPr>
        <w:rPr>
          <w:szCs w:val="22"/>
        </w:rPr>
      </w:pPr>
    </w:p>
    <w:p w14:paraId="32A879DF" w14:textId="58D9E267" w:rsidR="00AD5A09" w:rsidRDefault="00AD5A09" w:rsidP="00AD5A09">
      <w:pPr>
        <w:rPr>
          <w:szCs w:val="22"/>
        </w:rPr>
      </w:pPr>
      <w:r>
        <w:rPr>
          <w:szCs w:val="22"/>
        </w:rPr>
        <w:lastRenderedPageBreak/>
        <w:t>Prieš vairuodami arba valdydami įrankius ar mechanizmus palaukite, kol praeis labai mažo cukraus kiekio kraujyje poveikis.</w:t>
      </w:r>
    </w:p>
    <w:p w14:paraId="04584193" w14:textId="4E32C306" w:rsidR="00AD5A09" w:rsidRDefault="00AD5A09" w:rsidP="00AD5A09">
      <w:pPr>
        <w:rPr>
          <w:b/>
          <w:szCs w:val="22"/>
        </w:rPr>
      </w:pPr>
    </w:p>
    <w:p w14:paraId="2A193D9B" w14:textId="4989DC6E" w:rsidR="00522723" w:rsidRPr="00522723" w:rsidRDefault="00522723" w:rsidP="00522723">
      <w:pPr>
        <w:rPr>
          <w:b/>
          <w:szCs w:val="22"/>
        </w:rPr>
      </w:pPr>
      <w:r w:rsidRPr="00966EEB">
        <w:rPr>
          <w:b/>
          <w:szCs w:val="22"/>
        </w:rPr>
        <w:t xml:space="preserve">GlucaGen </w:t>
      </w:r>
      <w:r w:rsidRPr="00522723">
        <w:rPr>
          <w:b/>
          <w:szCs w:val="22"/>
        </w:rPr>
        <w:t>sudėtyje yra natrio</w:t>
      </w:r>
    </w:p>
    <w:p w14:paraId="0C70A602" w14:textId="38831B5C" w:rsidR="00522723" w:rsidRPr="00966EEB" w:rsidRDefault="008313A6" w:rsidP="00522723">
      <w:pPr>
        <w:rPr>
          <w:bCs/>
          <w:szCs w:val="22"/>
        </w:rPr>
      </w:pPr>
      <w:r>
        <w:rPr>
          <w:bCs/>
          <w:szCs w:val="22"/>
        </w:rPr>
        <w:t xml:space="preserve">Didžiausioje </w:t>
      </w:r>
      <w:r w:rsidR="00522723" w:rsidRPr="00966EEB">
        <w:rPr>
          <w:bCs/>
          <w:szCs w:val="22"/>
        </w:rPr>
        <w:t xml:space="preserve">GlucaGen </w:t>
      </w:r>
      <w:r>
        <w:rPr>
          <w:bCs/>
          <w:szCs w:val="22"/>
        </w:rPr>
        <w:t>dozėje (2 </w:t>
      </w:r>
      <w:r w:rsidR="00522723" w:rsidRPr="00966EEB">
        <w:rPr>
          <w:bCs/>
          <w:szCs w:val="22"/>
        </w:rPr>
        <w:t>ml</w:t>
      </w:r>
      <w:r>
        <w:rPr>
          <w:bCs/>
          <w:szCs w:val="22"/>
        </w:rPr>
        <w:t>)</w:t>
      </w:r>
      <w:r w:rsidR="00522723" w:rsidRPr="00966EEB">
        <w:rPr>
          <w:bCs/>
          <w:szCs w:val="22"/>
        </w:rPr>
        <w:t xml:space="preserve"> yra mažiau kaip 1</w:t>
      </w:r>
      <w:r w:rsidR="008E09BF">
        <w:rPr>
          <w:bCs/>
          <w:szCs w:val="22"/>
        </w:rPr>
        <w:t> </w:t>
      </w:r>
      <w:r w:rsidR="00522723" w:rsidRPr="00966EEB">
        <w:rPr>
          <w:bCs/>
          <w:szCs w:val="22"/>
        </w:rPr>
        <w:t>mmol (23</w:t>
      </w:r>
      <w:r w:rsidR="008E09BF">
        <w:rPr>
          <w:bCs/>
          <w:szCs w:val="22"/>
        </w:rPr>
        <w:t> </w:t>
      </w:r>
      <w:r w:rsidR="00522723" w:rsidRPr="00966EEB">
        <w:rPr>
          <w:bCs/>
          <w:szCs w:val="22"/>
        </w:rPr>
        <w:t>mg) natrio, t.y. jis beveik neturi reikšmės.</w:t>
      </w:r>
    </w:p>
    <w:p w14:paraId="48D8448C" w14:textId="77777777" w:rsidR="00AD5A09" w:rsidRDefault="00AD5A09" w:rsidP="00AD5A09">
      <w:pPr>
        <w:rPr>
          <w:szCs w:val="22"/>
        </w:rPr>
      </w:pPr>
    </w:p>
    <w:p w14:paraId="2BCA85C7" w14:textId="77777777" w:rsidR="00AD5A09" w:rsidRPr="00704A53" w:rsidRDefault="00AD5A09" w:rsidP="00AD5A09">
      <w:pPr>
        <w:rPr>
          <w:b/>
        </w:rPr>
      </w:pPr>
      <w:r w:rsidRPr="00704A53">
        <w:rPr>
          <w:b/>
        </w:rPr>
        <w:t>3.</w:t>
      </w:r>
      <w:r w:rsidRPr="00704A53">
        <w:rPr>
          <w:b/>
        </w:rPr>
        <w:tab/>
        <w:t xml:space="preserve">Kaip vartoti </w:t>
      </w:r>
      <w:r>
        <w:rPr>
          <w:b/>
        </w:rPr>
        <w:t>G</w:t>
      </w:r>
      <w:r w:rsidRPr="00704A53">
        <w:rPr>
          <w:b/>
        </w:rPr>
        <w:t>luca</w:t>
      </w:r>
      <w:r>
        <w:rPr>
          <w:b/>
        </w:rPr>
        <w:t>G</w:t>
      </w:r>
      <w:r w:rsidRPr="00704A53">
        <w:rPr>
          <w:b/>
        </w:rPr>
        <w:t>en</w:t>
      </w:r>
      <w:r>
        <w:rPr>
          <w:b/>
        </w:rPr>
        <w:t xml:space="preserve"> HypoKit</w:t>
      </w:r>
    </w:p>
    <w:p w14:paraId="137AF1BF" w14:textId="77777777" w:rsidR="00AD5A09" w:rsidRDefault="00AD5A09" w:rsidP="00AD5A09">
      <w:pPr>
        <w:rPr>
          <w:b/>
          <w:szCs w:val="22"/>
        </w:rPr>
      </w:pPr>
    </w:p>
    <w:p w14:paraId="6E98E6AE" w14:textId="77777777" w:rsidR="00AD5A09" w:rsidRDefault="00AD5A09" w:rsidP="00AD5A09">
      <w:r w:rsidRPr="00976D94">
        <w:t>Visada vartokite šį vaistą tiksliai kaip aprašyta šiame lapelyje arba kaip nurodė gydytojas.</w:t>
      </w:r>
      <w:r>
        <w:t xml:space="preserve"> </w:t>
      </w:r>
      <w:r w:rsidRPr="00976D94">
        <w:t>Jeigu abejojate, kreipkitės į gydytoją arba vaistininką</w:t>
      </w:r>
      <w:r>
        <w:t>.</w:t>
      </w:r>
    </w:p>
    <w:p w14:paraId="7AD6872F" w14:textId="77777777" w:rsidR="00AD5A09" w:rsidRDefault="00AD5A09" w:rsidP="00AD5A09">
      <w:pPr>
        <w:rPr>
          <w:b/>
          <w:szCs w:val="22"/>
        </w:rPr>
      </w:pPr>
    </w:p>
    <w:p w14:paraId="130D1E86" w14:textId="77777777" w:rsidR="00AD5A09" w:rsidRDefault="00AD5A09" w:rsidP="00AD5A09">
      <w:pPr>
        <w:rPr>
          <w:b/>
          <w:szCs w:val="22"/>
        </w:rPr>
      </w:pPr>
      <w:r>
        <w:rPr>
          <w:b/>
          <w:szCs w:val="22"/>
        </w:rPr>
        <w:t>Tirpalo injekcijai paruošimas ir leidimas</w:t>
      </w:r>
    </w:p>
    <w:p w14:paraId="7958A550" w14:textId="77777777" w:rsidR="00AD5A09" w:rsidRDefault="00AD5A09" w:rsidP="00AD5A09">
      <w:pPr>
        <w:rPr>
          <w:b/>
          <w:szCs w:val="22"/>
        </w:rPr>
      </w:pPr>
    </w:p>
    <w:p w14:paraId="58CAD576" w14:textId="77777777" w:rsidR="00AD5A09" w:rsidRDefault="00AD5A09" w:rsidP="00AD5A09">
      <w:pPr>
        <w:rPr>
          <w:b/>
          <w:szCs w:val="22"/>
        </w:rPr>
      </w:pPr>
      <w:r>
        <w:rPr>
          <w:szCs w:val="22"/>
          <w:lang w:eastAsia="lt-LT"/>
        </w:rPr>
        <w:drawing>
          <wp:inline distT="0" distB="0" distL="0" distR="0" wp14:anchorId="283895CB" wp14:editId="1DD76730">
            <wp:extent cx="961390" cy="727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727075"/>
                    </a:xfrm>
                    <a:prstGeom prst="rect">
                      <a:avLst/>
                    </a:prstGeom>
                    <a:noFill/>
                    <a:ln>
                      <a:noFill/>
                    </a:ln>
                  </pic:spPr>
                </pic:pic>
              </a:graphicData>
            </a:graphic>
          </wp:inline>
        </w:drawing>
      </w:r>
    </w:p>
    <w:p w14:paraId="786C032E" w14:textId="77777777" w:rsidR="00AD5A09" w:rsidRPr="007825BA" w:rsidRDefault="00AD5A09" w:rsidP="00AD5A09">
      <w:pPr>
        <w:rPr>
          <w:i/>
          <w:szCs w:val="22"/>
        </w:rPr>
      </w:pPr>
    </w:p>
    <w:p w14:paraId="62C2EA74" w14:textId="77777777" w:rsidR="00AD5A09" w:rsidRDefault="00AD5A09" w:rsidP="00AD5A09">
      <w:pPr>
        <w:tabs>
          <w:tab w:val="clear" w:pos="567"/>
          <w:tab w:val="left" w:pos="540"/>
        </w:tabs>
        <w:ind w:left="540" w:hanging="540"/>
        <w:rPr>
          <w:szCs w:val="22"/>
        </w:rPr>
      </w:pPr>
      <w:r>
        <w:rPr>
          <w:szCs w:val="22"/>
        </w:rPr>
        <w:t>1.</w:t>
      </w:r>
      <w:r>
        <w:rPr>
          <w:szCs w:val="22"/>
        </w:rPr>
        <w:tab/>
        <w:t xml:space="preserve">Nuimkite plastikinį dangtelį nuo </w:t>
      </w:r>
      <w:r w:rsidR="003A27F3">
        <w:rPr>
          <w:szCs w:val="22"/>
        </w:rPr>
        <w:t>flakono</w:t>
      </w:r>
      <w:r>
        <w:rPr>
          <w:szCs w:val="22"/>
        </w:rPr>
        <w:t xml:space="preserve">. Nuimkite adatos dangtelį nuo švirkšto. Nenuimkite plastikinio </w:t>
      </w:r>
      <w:r w:rsidRPr="0080644F">
        <w:rPr>
          <w:szCs w:val="22"/>
        </w:rPr>
        <w:t>stabdiklio</w:t>
      </w:r>
      <w:r>
        <w:rPr>
          <w:szCs w:val="22"/>
        </w:rPr>
        <w:t xml:space="preserve"> nuo švirkšto. Adata pradurkite guminį </w:t>
      </w:r>
      <w:r w:rsidR="003A27F3">
        <w:rPr>
          <w:szCs w:val="22"/>
        </w:rPr>
        <w:t xml:space="preserve">flakono </w:t>
      </w:r>
      <w:r>
        <w:rPr>
          <w:szCs w:val="22"/>
        </w:rPr>
        <w:t xml:space="preserve">su GlucaGen kamštį (pažymėtame skrituliuke) ir suleiskite visą švirkšte esantį skystį į </w:t>
      </w:r>
      <w:r w:rsidR="003A27F3">
        <w:rPr>
          <w:szCs w:val="22"/>
        </w:rPr>
        <w:t>flakoną</w:t>
      </w:r>
      <w:r>
        <w:rPr>
          <w:szCs w:val="22"/>
        </w:rPr>
        <w:t>.</w:t>
      </w:r>
    </w:p>
    <w:p w14:paraId="6AA94FF6" w14:textId="77777777" w:rsidR="00AD5A09" w:rsidRDefault="00AD5A09" w:rsidP="00AD5A09">
      <w:pPr>
        <w:ind w:left="270" w:hanging="270"/>
        <w:rPr>
          <w:szCs w:val="22"/>
        </w:rPr>
      </w:pPr>
    </w:p>
    <w:p w14:paraId="7C6D78D0" w14:textId="77777777" w:rsidR="00AD5A09" w:rsidRPr="007825BA" w:rsidRDefault="00AD5A09" w:rsidP="00AD5A09">
      <w:pPr>
        <w:ind w:left="270" w:hanging="270"/>
        <w:rPr>
          <w:i/>
          <w:szCs w:val="22"/>
        </w:rPr>
      </w:pPr>
      <w:r>
        <w:rPr>
          <w:szCs w:val="22"/>
          <w:lang w:eastAsia="lt-LT"/>
        </w:rPr>
        <w:drawing>
          <wp:inline distT="0" distB="0" distL="0" distR="0" wp14:anchorId="6B9E5921" wp14:editId="34CE25C6">
            <wp:extent cx="1017270" cy="727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727075"/>
                    </a:xfrm>
                    <a:prstGeom prst="rect">
                      <a:avLst/>
                    </a:prstGeom>
                    <a:noFill/>
                    <a:ln>
                      <a:noFill/>
                    </a:ln>
                  </pic:spPr>
                </pic:pic>
              </a:graphicData>
            </a:graphic>
          </wp:inline>
        </w:drawing>
      </w:r>
    </w:p>
    <w:p w14:paraId="0EC0CBB6" w14:textId="77777777" w:rsidR="00AD5A09" w:rsidRDefault="00AD5A09" w:rsidP="00AD5A09">
      <w:pPr>
        <w:ind w:left="270" w:hanging="270"/>
        <w:rPr>
          <w:szCs w:val="22"/>
        </w:rPr>
      </w:pPr>
    </w:p>
    <w:p w14:paraId="1553BA3F" w14:textId="77777777" w:rsidR="00AD5A09" w:rsidRDefault="00AD5A09" w:rsidP="00AD5A09">
      <w:pPr>
        <w:tabs>
          <w:tab w:val="clear" w:pos="567"/>
          <w:tab w:val="left" w:pos="540"/>
        </w:tabs>
        <w:ind w:left="540" w:hanging="540"/>
        <w:rPr>
          <w:szCs w:val="22"/>
        </w:rPr>
      </w:pPr>
      <w:r>
        <w:rPr>
          <w:szCs w:val="22"/>
        </w:rPr>
        <w:t>2.</w:t>
      </w:r>
      <w:r>
        <w:rPr>
          <w:szCs w:val="22"/>
        </w:rPr>
        <w:tab/>
        <w:t xml:space="preserve">Neištraukdami švirkšto adatos švelniai pakratykite </w:t>
      </w:r>
      <w:r w:rsidR="003A27F3">
        <w:rPr>
          <w:szCs w:val="22"/>
        </w:rPr>
        <w:t xml:space="preserve">flakoną </w:t>
      </w:r>
      <w:r>
        <w:rPr>
          <w:szCs w:val="22"/>
        </w:rPr>
        <w:t>tol, kol GlucaGen milteliai visiškai ištirps ir tirpalas taps skaidrus.</w:t>
      </w:r>
    </w:p>
    <w:p w14:paraId="481CAE0C" w14:textId="77777777" w:rsidR="00AD5A09" w:rsidRDefault="00AD5A09" w:rsidP="00AD5A09">
      <w:pPr>
        <w:ind w:left="270" w:hanging="270"/>
        <w:rPr>
          <w:szCs w:val="22"/>
        </w:rPr>
      </w:pPr>
    </w:p>
    <w:p w14:paraId="0F4DCDD1" w14:textId="77777777" w:rsidR="00AD5A09" w:rsidRPr="007825BA" w:rsidRDefault="00AD5A09" w:rsidP="00AD5A09">
      <w:pPr>
        <w:ind w:left="270" w:hanging="270"/>
        <w:rPr>
          <w:i/>
          <w:szCs w:val="22"/>
        </w:rPr>
      </w:pPr>
      <w:r>
        <w:rPr>
          <w:szCs w:val="22"/>
          <w:lang w:eastAsia="lt-LT"/>
        </w:rPr>
        <w:drawing>
          <wp:inline distT="0" distB="0" distL="0" distR="0" wp14:anchorId="638BEE3A" wp14:editId="0A3F03FC">
            <wp:extent cx="989330" cy="7270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330" cy="727075"/>
                    </a:xfrm>
                    <a:prstGeom prst="rect">
                      <a:avLst/>
                    </a:prstGeom>
                    <a:noFill/>
                    <a:ln>
                      <a:noFill/>
                    </a:ln>
                  </pic:spPr>
                </pic:pic>
              </a:graphicData>
            </a:graphic>
          </wp:inline>
        </w:drawing>
      </w:r>
    </w:p>
    <w:p w14:paraId="36DD7B08" w14:textId="77777777" w:rsidR="00AD5A09" w:rsidRDefault="00AD5A09" w:rsidP="00AD5A09">
      <w:pPr>
        <w:ind w:left="270" w:hanging="270"/>
        <w:rPr>
          <w:szCs w:val="22"/>
        </w:rPr>
      </w:pPr>
    </w:p>
    <w:p w14:paraId="69C5ACE8" w14:textId="77777777" w:rsidR="00AD5A09" w:rsidRDefault="00AD5A09" w:rsidP="00AD5A09">
      <w:pPr>
        <w:tabs>
          <w:tab w:val="clear" w:pos="567"/>
          <w:tab w:val="left" w:pos="540"/>
        </w:tabs>
        <w:ind w:left="540" w:hanging="540"/>
        <w:rPr>
          <w:szCs w:val="22"/>
        </w:rPr>
      </w:pPr>
      <w:r>
        <w:rPr>
          <w:szCs w:val="22"/>
        </w:rPr>
        <w:t>3.</w:t>
      </w:r>
      <w:r>
        <w:rPr>
          <w:szCs w:val="22"/>
        </w:rPr>
        <w:tab/>
        <w:t xml:space="preserve">Įsitikinkite, kad švirkšto stūmoklis yra visiškai sustumtas į švirkštą. Laikydami adatą skystyje, lėtai sutraukite visą </w:t>
      </w:r>
      <w:r w:rsidR="003A27F3">
        <w:rPr>
          <w:szCs w:val="22"/>
        </w:rPr>
        <w:t xml:space="preserve">flakono </w:t>
      </w:r>
      <w:r>
        <w:rPr>
          <w:szCs w:val="22"/>
        </w:rPr>
        <w:t>turinį atgal į švirkštą. Neištraukite stūmoklio iš švirkšto. Iš švirkšto svarbu pašalinti oro burbulus:</w:t>
      </w:r>
    </w:p>
    <w:p w14:paraId="5F8739AA" w14:textId="77777777" w:rsidR="00AD5A09" w:rsidRDefault="00AD5A09" w:rsidP="00AD5A09">
      <w:pPr>
        <w:ind w:left="567" w:hanging="567"/>
      </w:pPr>
      <w:r w:rsidRPr="00660807">
        <w:t>•</w:t>
      </w:r>
      <w:r w:rsidRPr="00660807">
        <w:tab/>
      </w:r>
      <w:r>
        <w:t>sprigtelėkite per švirkštą pirštu, laikydami adatą nukreiptą į viršų</w:t>
      </w:r>
    </w:p>
    <w:p w14:paraId="61BC127C" w14:textId="77777777" w:rsidR="00AD5A09" w:rsidRDefault="00AD5A09" w:rsidP="00AD5A09">
      <w:pPr>
        <w:ind w:left="567" w:hanging="567"/>
      </w:pPr>
      <w:r w:rsidRPr="00660807">
        <w:t>•</w:t>
      </w:r>
      <w:r w:rsidRPr="00660807">
        <w:tab/>
      </w:r>
      <w:r>
        <w:t>šiek tiek paspauskite stūmoklį, kol išleisite visus švirkšto viršuje susirinkusius oro burbulus.</w:t>
      </w:r>
    </w:p>
    <w:p w14:paraId="071E1630" w14:textId="77777777" w:rsidR="00AD5A09" w:rsidRDefault="00AD5A09" w:rsidP="00AD5A09"/>
    <w:p w14:paraId="2845DB92" w14:textId="77777777" w:rsidR="00AD5A09" w:rsidRDefault="00AD5A09" w:rsidP="00AD5A09">
      <w:pPr>
        <w:rPr>
          <w:szCs w:val="22"/>
        </w:rPr>
      </w:pPr>
      <w:r>
        <w:t>Stūmoklį spauskite tol, kol nustatysite dozę, kurią reikia suleisti. Tuo metu šiek tiek skysčio ištekės iš švirkšto.</w:t>
      </w:r>
    </w:p>
    <w:p w14:paraId="1B05495B" w14:textId="77777777" w:rsidR="00AD5A09" w:rsidRDefault="00AD5A09" w:rsidP="00AD5A09">
      <w:pPr>
        <w:rPr>
          <w:szCs w:val="22"/>
        </w:rPr>
      </w:pPr>
    </w:p>
    <w:p w14:paraId="34DBEF51" w14:textId="77777777" w:rsidR="00AD5A09" w:rsidRPr="00BE077C" w:rsidRDefault="00AD5A09" w:rsidP="00AD5A09">
      <w:pPr>
        <w:rPr>
          <w:b/>
        </w:rPr>
      </w:pPr>
      <w:r w:rsidRPr="00BF0EEA">
        <w:t>Žr.</w:t>
      </w:r>
      <w:r w:rsidRPr="00880584">
        <w:rPr>
          <w:b/>
          <w:szCs w:val="22"/>
        </w:rPr>
        <w:t xml:space="preserve"> </w:t>
      </w:r>
      <w:r w:rsidRPr="00880584">
        <w:rPr>
          <w:szCs w:val="22"/>
        </w:rPr>
        <w:t>žemiau</w:t>
      </w:r>
      <w:r w:rsidRPr="00410F9C">
        <w:rPr>
          <w:bCs/>
          <w:szCs w:val="22"/>
        </w:rPr>
        <w:t>,</w:t>
      </w:r>
      <w:r>
        <w:rPr>
          <w:b/>
          <w:szCs w:val="22"/>
        </w:rPr>
        <w:t xml:space="preserve"> </w:t>
      </w:r>
      <w:r w:rsidRPr="00BE077C">
        <w:t xml:space="preserve">„Kokią dozę </w:t>
      </w:r>
      <w:r>
        <w:rPr>
          <w:szCs w:val="22"/>
        </w:rPr>
        <w:t>leisti</w:t>
      </w:r>
      <w:r w:rsidRPr="00BE077C">
        <w:t>“</w:t>
      </w:r>
    </w:p>
    <w:p w14:paraId="7478C64C" w14:textId="77777777" w:rsidR="00AD5A09" w:rsidRDefault="00AD5A09" w:rsidP="00AD5A09">
      <w:pPr>
        <w:rPr>
          <w:szCs w:val="22"/>
        </w:rPr>
      </w:pPr>
    </w:p>
    <w:p w14:paraId="585C4393" w14:textId="77777777" w:rsidR="00AD5A09" w:rsidRPr="007825BA" w:rsidRDefault="00AD5A09" w:rsidP="00AD5A09">
      <w:pPr>
        <w:tabs>
          <w:tab w:val="clear" w:pos="567"/>
        </w:tabs>
        <w:rPr>
          <w:i/>
          <w:szCs w:val="22"/>
        </w:rPr>
      </w:pPr>
      <w:r>
        <w:rPr>
          <w:szCs w:val="22"/>
          <w:lang w:eastAsia="lt-LT"/>
        </w:rPr>
        <w:drawing>
          <wp:inline distT="0" distB="0" distL="0" distR="0" wp14:anchorId="2E889704" wp14:editId="49163E55">
            <wp:extent cx="989330" cy="7270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727075"/>
                    </a:xfrm>
                    <a:prstGeom prst="rect">
                      <a:avLst/>
                    </a:prstGeom>
                    <a:noFill/>
                    <a:ln>
                      <a:noFill/>
                    </a:ln>
                  </pic:spPr>
                </pic:pic>
              </a:graphicData>
            </a:graphic>
          </wp:inline>
        </w:drawing>
      </w:r>
    </w:p>
    <w:p w14:paraId="669942E1" w14:textId="77777777" w:rsidR="00AD5A09" w:rsidRDefault="00AD5A09" w:rsidP="00AD5A09">
      <w:pPr>
        <w:tabs>
          <w:tab w:val="clear" w:pos="567"/>
        </w:tabs>
        <w:rPr>
          <w:szCs w:val="22"/>
        </w:rPr>
      </w:pPr>
    </w:p>
    <w:p w14:paraId="20A7A1D5" w14:textId="77777777" w:rsidR="00AD5A09" w:rsidRDefault="00AD5A09" w:rsidP="00AD5A09">
      <w:pPr>
        <w:rPr>
          <w:szCs w:val="22"/>
        </w:rPr>
      </w:pPr>
      <w:r>
        <w:rPr>
          <w:szCs w:val="22"/>
        </w:rPr>
        <w:t>4.</w:t>
      </w:r>
      <w:r>
        <w:rPr>
          <w:szCs w:val="22"/>
        </w:rPr>
        <w:tab/>
        <w:t>Suleiskite dozę į poodį ar raumenis.</w:t>
      </w:r>
    </w:p>
    <w:p w14:paraId="59F83807" w14:textId="77777777" w:rsidR="00AD5A09" w:rsidRDefault="00AD5A09" w:rsidP="00AD5A09">
      <w:pPr>
        <w:rPr>
          <w:szCs w:val="22"/>
        </w:rPr>
      </w:pPr>
    </w:p>
    <w:p w14:paraId="228A419B" w14:textId="77777777" w:rsidR="00AD5A09" w:rsidRPr="00BF0EEA" w:rsidRDefault="00AD5A09" w:rsidP="00AD5A09">
      <w:pPr>
        <w:rPr>
          <w:szCs w:val="22"/>
        </w:rPr>
      </w:pPr>
      <w:r w:rsidRPr="00BF0EEA">
        <w:rPr>
          <w:szCs w:val="22"/>
        </w:rPr>
        <w:t xml:space="preserve">5. </w:t>
      </w:r>
      <w:r w:rsidRPr="00BF0EEA">
        <w:rPr>
          <w:szCs w:val="22"/>
        </w:rPr>
        <w:tab/>
        <w:t>Paverskite sąmonę praradusį asmenį ant šono, kad neužspringtų.</w:t>
      </w:r>
    </w:p>
    <w:p w14:paraId="2D03A1B7" w14:textId="77777777" w:rsidR="00AD5A09" w:rsidRPr="00BF0EEA" w:rsidRDefault="00AD5A09" w:rsidP="00AD5A09">
      <w:pPr>
        <w:rPr>
          <w:szCs w:val="22"/>
        </w:rPr>
      </w:pPr>
    </w:p>
    <w:p w14:paraId="7F5FAB1D" w14:textId="39CF6774" w:rsidR="00AD5A09" w:rsidRDefault="00AD5A09" w:rsidP="00AD5A09">
      <w:pPr>
        <w:ind w:left="567" w:hanging="567"/>
        <w:rPr>
          <w:szCs w:val="22"/>
        </w:rPr>
      </w:pPr>
      <w:r w:rsidRPr="004275BD">
        <w:rPr>
          <w:szCs w:val="22"/>
        </w:rPr>
        <w:t>6.</w:t>
      </w:r>
      <w:r w:rsidRPr="004275BD">
        <w:rPr>
          <w:szCs w:val="22"/>
        </w:rPr>
        <w:tab/>
      </w:r>
      <w:r>
        <w:rPr>
          <w:szCs w:val="22"/>
        </w:rPr>
        <w:t>Duokite asmeniui</w:t>
      </w:r>
      <w:r w:rsidRPr="00F17F46">
        <w:t xml:space="preserve"> daug cukraus </w:t>
      </w:r>
      <w:r>
        <w:rPr>
          <w:szCs w:val="22"/>
        </w:rPr>
        <w:t>turintį užkandį: saldainį, sausainį ar vaisių sulčių, kai tik jis atgauna sąmonę</w:t>
      </w:r>
      <w:r w:rsidRPr="00F17F46">
        <w:t xml:space="preserve"> ir </w:t>
      </w:r>
      <w:r>
        <w:rPr>
          <w:szCs w:val="22"/>
        </w:rPr>
        <w:t>gali ryti. Daug cukraus turintis užkandis neleis vėl pernelyg sumažėti cukraus kiekiui kraujyje.</w:t>
      </w:r>
    </w:p>
    <w:p w14:paraId="14347C3C" w14:textId="77777777" w:rsidR="00AD5A09" w:rsidRDefault="00AD5A09" w:rsidP="00AD5A09">
      <w:pPr>
        <w:rPr>
          <w:szCs w:val="22"/>
        </w:rPr>
      </w:pPr>
    </w:p>
    <w:p w14:paraId="3C8ED7A6" w14:textId="77777777" w:rsidR="00AD5A09" w:rsidRDefault="00AD5A09" w:rsidP="00AD5A09">
      <w:pPr>
        <w:rPr>
          <w:szCs w:val="22"/>
        </w:rPr>
      </w:pPr>
      <w:r>
        <w:t>Pavartoję</w:t>
      </w:r>
      <w:r>
        <w:rPr>
          <w:b/>
        </w:rPr>
        <w:t xml:space="preserve"> </w:t>
      </w:r>
      <w:r w:rsidRPr="00924EFA">
        <w:rPr>
          <w:color w:val="000000"/>
          <w:szCs w:val="22"/>
        </w:rPr>
        <w:t>GlucaGen HypoKit</w:t>
      </w:r>
      <w:r w:rsidRPr="00BE077C">
        <w:t xml:space="preserve"> </w:t>
      </w:r>
      <w:r w:rsidRPr="00660807">
        <w:t>J</w:t>
      </w:r>
      <w:r w:rsidRPr="00F17F46">
        <w:t>ūs arba kažkas kitas turi apie tai pranešti gydytojui</w:t>
      </w:r>
      <w:r w:rsidRPr="006E5C4D">
        <w:rPr>
          <w:b/>
        </w:rPr>
        <w:t xml:space="preserve"> </w:t>
      </w:r>
      <w:r>
        <w:t>arba kitam sveikatos priežiūros specialistui. Reikia išsiaiškinti, kodėl Jūsų cukrus kraujyje buvo labai žemas ir kaip išvengti, kad tai nepasikartotų</w:t>
      </w:r>
      <w:r w:rsidRPr="00924EFA">
        <w:t>.</w:t>
      </w:r>
    </w:p>
    <w:p w14:paraId="4EF3CA94" w14:textId="77777777" w:rsidR="00AD5A09" w:rsidRDefault="00AD5A09" w:rsidP="00AD5A09">
      <w:pPr>
        <w:rPr>
          <w:szCs w:val="22"/>
        </w:rPr>
      </w:pPr>
    </w:p>
    <w:p w14:paraId="79AF7058" w14:textId="77777777" w:rsidR="00AD5A09" w:rsidRPr="009A19E1" w:rsidRDefault="00AD5A09" w:rsidP="00AD5A09">
      <w:pPr>
        <w:rPr>
          <w:b/>
          <w:szCs w:val="22"/>
        </w:rPr>
      </w:pPr>
      <w:r w:rsidRPr="009A19E1">
        <w:rPr>
          <w:b/>
          <w:szCs w:val="22"/>
        </w:rPr>
        <w:t xml:space="preserve">Kokią dozę </w:t>
      </w:r>
      <w:r>
        <w:rPr>
          <w:b/>
          <w:szCs w:val="22"/>
        </w:rPr>
        <w:t>leisti</w:t>
      </w:r>
    </w:p>
    <w:p w14:paraId="5A75E557" w14:textId="77777777" w:rsidR="00AD5A09" w:rsidRDefault="00AD5A09" w:rsidP="00AD5A09">
      <w:pPr>
        <w:rPr>
          <w:szCs w:val="22"/>
        </w:rPr>
      </w:pPr>
    </w:p>
    <w:p w14:paraId="77EC20BB" w14:textId="77777777" w:rsidR="00AD5A09" w:rsidRDefault="00AD5A09" w:rsidP="00AD5A09">
      <w:pPr>
        <w:rPr>
          <w:szCs w:val="22"/>
        </w:rPr>
      </w:pPr>
      <w:r>
        <w:rPr>
          <w:szCs w:val="22"/>
        </w:rPr>
        <w:t>Rekomenduojamos šios dozės:</w:t>
      </w:r>
    </w:p>
    <w:p w14:paraId="38B095E1" w14:textId="77777777" w:rsidR="00AD5A09" w:rsidRDefault="00AD5A09" w:rsidP="00AD5A09">
      <w:pPr>
        <w:rPr>
          <w:szCs w:val="22"/>
        </w:rPr>
      </w:pPr>
    </w:p>
    <w:p w14:paraId="69729A99" w14:textId="77777777" w:rsidR="00AD5A09" w:rsidRPr="006200AB" w:rsidRDefault="00AD5A09" w:rsidP="00AD5A09">
      <w:pPr>
        <w:ind w:left="567" w:hanging="567"/>
        <w:rPr>
          <w:szCs w:val="22"/>
        </w:rPr>
      </w:pPr>
      <w:r w:rsidRPr="006200AB">
        <w:t>•</w:t>
      </w:r>
      <w:r w:rsidRPr="006200AB">
        <w:tab/>
      </w:r>
      <w:r w:rsidRPr="006200AB">
        <w:rPr>
          <w:b/>
        </w:rPr>
        <w:t>Suaugusie</w:t>
      </w:r>
      <w:r>
        <w:rPr>
          <w:b/>
        </w:rPr>
        <w:t>sie</w:t>
      </w:r>
      <w:r w:rsidRPr="006200AB">
        <w:rPr>
          <w:b/>
        </w:rPr>
        <w:t xml:space="preserve">ms: </w:t>
      </w:r>
      <w:r>
        <w:rPr>
          <w:szCs w:val="22"/>
        </w:rPr>
        <w:t>suleiskite</w:t>
      </w:r>
      <w:r w:rsidRPr="006200AB">
        <w:rPr>
          <w:szCs w:val="22"/>
        </w:rPr>
        <w:t xml:space="preserve"> visą </w:t>
      </w:r>
      <w:r>
        <w:rPr>
          <w:szCs w:val="22"/>
        </w:rPr>
        <w:t>vaistą</w:t>
      </w:r>
      <w:r w:rsidRPr="006200AB">
        <w:rPr>
          <w:szCs w:val="22"/>
        </w:rPr>
        <w:t xml:space="preserve"> (1 ml)</w:t>
      </w:r>
      <w:r>
        <w:rPr>
          <w:szCs w:val="22"/>
        </w:rPr>
        <w:t xml:space="preserve"> </w:t>
      </w:r>
      <w:r w:rsidRPr="00924EFA">
        <w:t>–</w:t>
      </w:r>
      <w:r w:rsidRPr="006200AB">
        <w:rPr>
          <w:szCs w:val="22"/>
        </w:rPr>
        <w:t xml:space="preserve"> ant švirkšto pažymėta 1.</w:t>
      </w:r>
    </w:p>
    <w:p w14:paraId="6CA1D2D2" w14:textId="64C0A567" w:rsidR="00AD5A09" w:rsidRDefault="00AD5A09" w:rsidP="00AD5A09">
      <w:pPr>
        <w:tabs>
          <w:tab w:val="clear" w:pos="567"/>
          <w:tab w:val="left" w:pos="0"/>
        </w:tabs>
        <w:ind w:left="567" w:hanging="567"/>
      </w:pPr>
      <w:r w:rsidRPr="006200AB">
        <w:t>•</w:t>
      </w:r>
      <w:r w:rsidRPr="006200AB">
        <w:tab/>
      </w:r>
      <w:r w:rsidRPr="00B949EC">
        <w:rPr>
          <w:b/>
        </w:rPr>
        <w:t>Vaikams, jaunesniems nei</w:t>
      </w:r>
      <w:r w:rsidRPr="00924EFA">
        <w:rPr>
          <w:b/>
        </w:rPr>
        <w:t xml:space="preserve"> 8 metų amžiaus, arba vaikams, vyresniems nei 8 metų amžiaus, sveriantiems mažiau nei 25 kg:</w:t>
      </w:r>
      <w:r>
        <w:t xml:space="preserve"> suleiskite</w:t>
      </w:r>
      <w:r w:rsidRPr="006200AB">
        <w:t xml:space="preserve"> pusę </w:t>
      </w:r>
      <w:r>
        <w:t>vaisto</w:t>
      </w:r>
      <w:r w:rsidRPr="006200AB">
        <w:t xml:space="preserve"> </w:t>
      </w:r>
      <w:r w:rsidRPr="0042386A">
        <w:t>(</w:t>
      </w:r>
      <w:r>
        <w:t>0,5</w:t>
      </w:r>
      <w:r w:rsidRPr="0042386A">
        <w:t> ml)</w:t>
      </w:r>
      <w:r w:rsidRPr="00924EFA">
        <w:t xml:space="preserve"> – </w:t>
      </w:r>
      <w:r w:rsidRPr="006200AB">
        <w:t xml:space="preserve">ant švirkšto pažymėta </w:t>
      </w:r>
      <w:r>
        <w:t>0,5.</w:t>
      </w:r>
    </w:p>
    <w:p w14:paraId="1721AA11" w14:textId="77777777" w:rsidR="00AD5A09" w:rsidRDefault="00AD5A09" w:rsidP="00AD5A09">
      <w:pPr>
        <w:tabs>
          <w:tab w:val="clear" w:pos="567"/>
          <w:tab w:val="left" w:pos="0"/>
        </w:tabs>
        <w:ind w:left="567" w:hanging="567"/>
        <w:rPr>
          <w:szCs w:val="22"/>
        </w:rPr>
      </w:pPr>
      <w:r w:rsidRPr="006200AB">
        <w:t>•</w:t>
      </w:r>
      <w:r w:rsidRPr="006200AB">
        <w:tab/>
      </w:r>
      <w:r w:rsidRPr="00496E2E">
        <w:rPr>
          <w:b/>
        </w:rPr>
        <w:t xml:space="preserve">Vaikams, </w:t>
      </w:r>
      <w:r>
        <w:rPr>
          <w:b/>
        </w:rPr>
        <w:t>vyresniems</w:t>
      </w:r>
      <w:r w:rsidRPr="00496E2E">
        <w:rPr>
          <w:b/>
        </w:rPr>
        <w:t xml:space="preserve"> nei</w:t>
      </w:r>
      <w:r w:rsidRPr="00924EFA">
        <w:rPr>
          <w:b/>
        </w:rPr>
        <w:t xml:space="preserve"> 8 metų amžiaus, arba vaikams, jaunesniems nei 8 metų amžiaus, sveriantiems daugiau nei 25 kg:</w:t>
      </w:r>
      <w:r>
        <w:t xml:space="preserve"> suleiskite</w:t>
      </w:r>
      <w:r w:rsidRPr="006200AB">
        <w:t xml:space="preserve"> </w:t>
      </w:r>
      <w:r>
        <w:t xml:space="preserve">visą </w:t>
      </w:r>
      <w:r>
        <w:rPr>
          <w:szCs w:val="22"/>
        </w:rPr>
        <w:t>vaistą</w:t>
      </w:r>
      <w:r w:rsidRPr="006200AB">
        <w:rPr>
          <w:szCs w:val="22"/>
        </w:rPr>
        <w:t xml:space="preserve"> (1 ml)</w:t>
      </w:r>
      <w:r>
        <w:rPr>
          <w:szCs w:val="22"/>
        </w:rPr>
        <w:t xml:space="preserve"> </w:t>
      </w:r>
      <w:r w:rsidRPr="00924EFA">
        <w:t>–</w:t>
      </w:r>
      <w:r w:rsidRPr="006200AB">
        <w:rPr>
          <w:szCs w:val="22"/>
        </w:rPr>
        <w:t xml:space="preserve"> ant švirkšto pažymėta 1.</w:t>
      </w:r>
    </w:p>
    <w:p w14:paraId="018617AF" w14:textId="77777777" w:rsidR="00AD5A09" w:rsidRDefault="00AD5A09" w:rsidP="00AD5A09">
      <w:pPr>
        <w:ind w:left="567" w:hanging="567"/>
      </w:pPr>
    </w:p>
    <w:p w14:paraId="10474F52" w14:textId="4D965F92" w:rsidR="00AD5A09" w:rsidRPr="006E5C4D" w:rsidRDefault="00AD5A09" w:rsidP="00AD5A09">
      <w:pPr>
        <w:rPr>
          <w:b/>
        </w:rPr>
      </w:pPr>
      <w:r w:rsidRPr="00B949EC">
        <w:rPr>
          <w:b/>
          <w:bCs/>
        </w:rPr>
        <w:t>Ką daryti</w:t>
      </w:r>
      <w:r>
        <w:rPr>
          <w:bCs/>
        </w:rPr>
        <w:t xml:space="preserve"> </w:t>
      </w:r>
      <w:r>
        <w:rPr>
          <w:b/>
        </w:rPr>
        <w:t>p</w:t>
      </w:r>
      <w:r w:rsidRPr="006E5C4D">
        <w:rPr>
          <w:b/>
        </w:rPr>
        <w:t>avartojus</w:t>
      </w:r>
      <w:r w:rsidRPr="00F17F46">
        <w:rPr>
          <w:b/>
        </w:rPr>
        <w:t xml:space="preserve"> per didelę GlucaGen dozę</w:t>
      </w:r>
    </w:p>
    <w:p w14:paraId="1ABABFDB" w14:textId="77777777" w:rsidR="00AD5A09" w:rsidRPr="00704A53" w:rsidRDefault="00AD5A09" w:rsidP="00AD5A09">
      <w:pPr>
        <w:rPr>
          <w:b/>
        </w:rPr>
      </w:pPr>
    </w:p>
    <w:p w14:paraId="095EE2FB" w14:textId="77777777" w:rsidR="00AD5A09" w:rsidRDefault="00AD5A09" w:rsidP="00AD5A09">
      <w:pPr>
        <w:rPr>
          <w:szCs w:val="22"/>
        </w:rPr>
      </w:pPr>
      <w:r>
        <w:rPr>
          <w:szCs w:val="22"/>
        </w:rPr>
        <w:t>Per daug</w:t>
      </w:r>
      <w:r w:rsidRPr="00CF3F1F">
        <w:rPr>
          <w:szCs w:val="22"/>
        </w:rPr>
        <w:t xml:space="preserve"> GlucaGen </w:t>
      </w:r>
      <w:r>
        <w:rPr>
          <w:szCs w:val="22"/>
        </w:rPr>
        <w:t>gali sukelti pykinimą ir šleikštulį (vėmimą)</w:t>
      </w:r>
      <w:r w:rsidRPr="00CF3F1F">
        <w:rPr>
          <w:szCs w:val="22"/>
        </w:rPr>
        <w:t xml:space="preserve">. </w:t>
      </w:r>
      <w:r>
        <w:rPr>
          <w:szCs w:val="22"/>
        </w:rPr>
        <w:t>Ypatingo gydymo dažniausiai nereikia.</w:t>
      </w:r>
    </w:p>
    <w:p w14:paraId="18366BAC" w14:textId="77777777" w:rsidR="00AD5A09" w:rsidRDefault="00AD5A09" w:rsidP="00AD5A09">
      <w:pPr>
        <w:rPr>
          <w:szCs w:val="22"/>
        </w:rPr>
      </w:pPr>
    </w:p>
    <w:p w14:paraId="7ACD7551" w14:textId="77777777" w:rsidR="00AD5A09" w:rsidRDefault="00AD5A09" w:rsidP="00AD5A09">
      <w:pPr>
        <w:rPr>
          <w:szCs w:val="22"/>
        </w:rPr>
      </w:pPr>
    </w:p>
    <w:p w14:paraId="371AA617" w14:textId="77777777" w:rsidR="00AD5A09" w:rsidRPr="00704A53" w:rsidRDefault="00AD5A09" w:rsidP="00AD5A09">
      <w:pPr>
        <w:rPr>
          <w:b/>
        </w:rPr>
      </w:pPr>
      <w:r w:rsidRPr="00704A53">
        <w:rPr>
          <w:b/>
        </w:rPr>
        <w:t>4.</w:t>
      </w:r>
      <w:r w:rsidRPr="00704A53">
        <w:rPr>
          <w:b/>
        </w:rPr>
        <w:tab/>
        <w:t>Galimas šalutinis poveikis</w:t>
      </w:r>
    </w:p>
    <w:p w14:paraId="146293C1" w14:textId="77777777" w:rsidR="00AD5A09" w:rsidRPr="0042137E" w:rsidRDefault="00AD5A09" w:rsidP="00AD5A09"/>
    <w:p w14:paraId="24CB0CF6" w14:textId="77777777" w:rsidR="00AD5A09" w:rsidRPr="00CF3F1F" w:rsidRDefault="00AD5A09" w:rsidP="00AD5A09">
      <w:pPr>
        <w:rPr>
          <w:szCs w:val="22"/>
        </w:rPr>
      </w:pPr>
      <w:r>
        <w:rPr>
          <w:szCs w:val="22"/>
        </w:rPr>
        <w:t>Šis vaistas, kaip ir visi kiti, gali sukelti šalutinį poveikį, nors jis pasireiškia ne visiems žmonėms. Šis vaistas gali sukelti šį šalutinį poveikį:</w:t>
      </w:r>
    </w:p>
    <w:p w14:paraId="1CBCF589" w14:textId="77777777" w:rsidR="00AD5A09" w:rsidRDefault="00AD5A09" w:rsidP="00AD5A09">
      <w:pPr>
        <w:rPr>
          <w:szCs w:val="22"/>
        </w:rPr>
      </w:pPr>
    </w:p>
    <w:p w14:paraId="18245D24" w14:textId="77777777" w:rsidR="00AD5A09" w:rsidRPr="00B24857" w:rsidRDefault="00AD5A09" w:rsidP="00AD5A09">
      <w:pPr>
        <w:rPr>
          <w:b/>
          <w:szCs w:val="22"/>
        </w:rPr>
      </w:pPr>
      <w:r>
        <w:rPr>
          <w:b/>
          <w:szCs w:val="22"/>
        </w:rPr>
        <w:t>Nedelsdami pasakykite gydytojui, jeigu pastebite kurį nors iš šių sunkių šalutinių poveikių:</w:t>
      </w:r>
    </w:p>
    <w:p w14:paraId="4615F5C9" w14:textId="77777777" w:rsidR="00AD5A09" w:rsidRDefault="00AD5A09" w:rsidP="00AD5A09">
      <w:pPr>
        <w:rPr>
          <w:szCs w:val="22"/>
        </w:rPr>
      </w:pPr>
    </w:p>
    <w:p w14:paraId="033A78DA" w14:textId="36084342" w:rsidR="00425728" w:rsidRPr="00425728" w:rsidRDefault="00425728" w:rsidP="00AD5A09">
      <w:pPr>
        <w:rPr>
          <w:szCs w:val="22"/>
        </w:rPr>
      </w:pPr>
      <w:r w:rsidRPr="005D554B">
        <w:rPr>
          <w:b/>
          <w:bCs/>
          <w:snapToGrid w:val="0"/>
          <w:szCs w:val="22"/>
        </w:rPr>
        <w:t xml:space="preserve">Labai dažni šalutinio poveikio reiškiniai </w:t>
      </w:r>
      <w:r w:rsidRPr="00437BEA">
        <w:rPr>
          <w:snapToGrid w:val="0"/>
          <w:szCs w:val="22"/>
        </w:rPr>
        <w:t>(gali pasireikšti ne rečiau kaip 1 iš 10 asmenų):</w:t>
      </w:r>
    </w:p>
    <w:p w14:paraId="61BE29D8" w14:textId="77777777" w:rsidR="00AD5A09" w:rsidRDefault="00AD5A09" w:rsidP="00AD5A09">
      <w:pPr>
        <w:ind w:left="567" w:hanging="567"/>
      </w:pPr>
      <w:r w:rsidRPr="003357DE">
        <w:t>•</w:t>
      </w:r>
      <w:r w:rsidRPr="003357DE">
        <w:tab/>
      </w:r>
      <w:r w:rsidRPr="00B949EC">
        <w:t>alerginė</w:t>
      </w:r>
      <w:r w:rsidRPr="00F17F46">
        <w:t xml:space="preserve"> reakcija</w:t>
      </w:r>
      <w:r w:rsidRPr="003357DE">
        <w:rPr>
          <w:b/>
        </w:rPr>
        <w:t xml:space="preserve"> </w:t>
      </w:r>
      <w:r>
        <w:t>– jos požymiai gali būti švokštimas, prakaitavimas, dažnas širdies plakimas, bėrimas, patinęs veidas ir kolapsas.</w:t>
      </w:r>
    </w:p>
    <w:p w14:paraId="57582A1F" w14:textId="77777777" w:rsidR="00AD5A09" w:rsidRDefault="00AD5A09" w:rsidP="00AD5A09">
      <w:pPr>
        <w:ind w:left="567" w:hanging="567"/>
      </w:pPr>
      <w:r w:rsidRPr="003357DE">
        <w:t>►</w:t>
      </w:r>
      <w:r w:rsidRPr="003357DE">
        <w:tab/>
      </w:r>
      <w:r w:rsidRPr="003357DE">
        <w:rPr>
          <w:b/>
        </w:rPr>
        <w:t>Nedels</w:t>
      </w:r>
      <w:r>
        <w:rPr>
          <w:b/>
        </w:rPr>
        <w:t>dami</w:t>
      </w:r>
      <w:r w:rsidRPr="003357DE">
        <w:rPr>
          <w:b/>
        </w:rPr>
        <w:t xml:space="preserve"> susisiekite su gydytoju</w:t>
      </w:r>
      <w:r w:rsidRPr="00F17F46">
        <w:t>,</w:t>
      </w:r>
      <w:r>
        <w:t xml:space="preserve"> jeigu pastebite kurį nors iš aprašytų sunkių šalutinių poveikių.</w:t>
      </w:r>
    </w:p>
    <w:p w14:paraId="6C54BB41" w14:textId="77777777" w:rsidR="00AD5A09" w:rsidRDefault="00AD5A09" w:rsidP="00AD5A09">
      <w:pPr>
        <w:ind w:left="567" w:hanging="567"/>
        <w:rPr>
          <w:b/>
        </w:rPr>
      </w:pPr>
    </w:p>
    <w:p w14:paraId="09A09E35" w14:textId="77777777" w:rsidR="00AD5A09" w:rsidRDefault="00AD5A09" w:rsidP="00AD5A09">
      <w:pPr>
        <w:ind w:left="567" w:hanging="567"/>
        <w:rPr>
          <w:b/>
        </w:rPr>
      </w:pPr>
      <w:r>
        <w:rPr>
          <w:b/>
        </w:rPr>
        <w:t>Kiti šalutiniai poveikiai</w:t>
      </w:r>
    </w:p>
    <w:p w14:paraId="2F3BFC78" w14:textId="03E80ED1" w:rsidR="00425728" w:rsidRDefault="00425728" w:rsidP="00AD5A09">
      <w:pPr>
        <w:ind w:left="567" w:hanging="567"/>
      </w:pPr>
      <w:r w:rsidRPr="005D554B">
        <w:rPr>
          <w:b/>
          <w:bCs/>
          <w:snapToGrid w:val="0"/>
          <w:szCs w:val="22"/>
        </w:rPr>
        <w:t>Dažni šalutinio poveikio reiškiniai</w:t>
      </w:r>
      <w:r w:rsidRPr="00437BEA">
        <w:rPr>
          <w:snapToGrid w:val="0"/>
          <w:szCs w:val="22"/>
        </w:rPr>
        <w:t xml:space="preserve"> (gali pasireikšti rečiau kaip 1 iš 10 asmenų):</w:t>
      </w:r>
    </w:p>
    <w:p w14:paraId="09DEE14C" w14:textId="77777777" w:rsidR="00AD5A09" w:rsidRDefault="00AD5A09" w:rsidP="00AD5A09">
      <w:pPr>
        <w:ind w:left="567" w:hanging="567"/>
      </w:pPr>
      <w:r w:rsidRPr="001E6B80">
        <w:t>•</w:t>
      </w:r>
      <w:r w:rsidRPr="001E6B80">
        <w:tab/>
      </w:r>
      <w:r>
        <w:t>jaučiamas šleikštulys (pykinimas).</w:t>
      </w:r>
    </w:p>
    <w:p w14:paraId="4675CC4B" w14:textId="77777777" w:rsidR="00AD5A09" w:rsidRDefault="00AD5A09" w:rsidP="00AD5A09">
      <w:pPr>
        <w:ind w:left="567" w:hanging="567"/>
      </w:pPr>
    </w:p>
    <w:p w14:paraId="6E44D93E" w14:textId="537AA41C" w:rsidR="00425728" w:rsidRPr="00425728" w:rsidRDefault="00425728" w:rsidP="00AD5A09">
      <w:pPr>
        <w:ind w:left="567" w:hanging="567"/>
        <w:rPr>
          <w:bCs/>
        </w:rPr>
      </w:pPr>
      <w:r w:rsidRPr="00425728">
        <w:rPr>
          <w:b/>
        </w:rPr>
        <w:t xml:space="preserve">Nedažni šalutinio poveikio reiškiniai </w:t>
      </w:r>
      <w:r w:rsidRPr="00437BEA">
        <w:rPr>
          <w:bCs/>
        </w:rPr>
        <w:t>(gali pasireikšti rečiau kaip 1 iš 100 asmenų):</w:t>
      </w:r>
    </w:p>
    <w:p w14:paraId="03BB4B86" w14:textId="77777777" w:rsidR="00AD5A09" w:rsidRDefault="00AD5A09" w:rsidP="00AD5A09">
      <w:pPr>
        <w:ind w:left="567" w:hanging="567"/>
      </w:pPr>
      <w:r w:rsidRPr="00425728">
        <w:rPr>
          <w:bCs/>
        </w:rPr>
        <w:t>•</w:t>
      </w:r>
      <w:r w:rsidRPr="001E6B80">
        <w:tab/>
      </w:r>
      <w:r>
        <w:t>vėmimas.</w:t>
      </w:r>
    </w:p>
    <w:p w14:paraId="434CFAF1" w14:textId="77777777" w:rsidR="00AD5A09" w:rsidRDefault="00AD5A09" w:rsidP="00AD5A09">
      <w:pPr>
        <w:ind w:left="567" w:hanging="567"/>
      </w:pPr>
    </w:p>
    <w:p w14:paraId="3620437B" w14:textId="2D2401F8" w:rsidR="00425728" w:rsidRDefault="00425728" w:rsidP="00437BEA">
      <w:r w:rsidRPr="005D554B">
        <w:rPr>
          <w:b/>
          <w:bCs/>
          <w:snapToGrid w:val="0"/>
          <w:szCs w:val="22"/>
        </w:rPr>
        <w:t xml:space="preserve">Reti šalutinio poveikio reiškiniai </w:t>
      </w:r>
      <w:r w:rsidRPr="00437BEA">
        <w:rPr>
          <w:snapToGrid w:val="0"/>
          <w:szCs w:val="22"/>
        </w:rPr>
        <w:t xml:space="preserve">(gali pasireikšti rečiau kaip 1 iš 1 000 asmenų): </w:t>
      </w:r>
    </w:p>
    <w:p w14:paraId="739A4719" w14:textId="77777777" w:rsidR="00AD5A09" w:rsidRDefault="00AD5A09" w:rsidP="00AD5A09">
      <w:pPr>
        <w:ind w:left="567" w:hanging="567"/>
      </w:pPr>
      <w:r w:rsidRPr="001E6B80">
        <w:t>•</w:t>
      </w:r>
      <w:r w:rsidRPr="001E6B80">
        <w:tab/>
      </w:r>
      <w:r>
        <w:t>skrandžio (pilvo) skausmas.</w:t>
      </w:r>
    </w:p>
    <w:p w14:paraId="00A68E7C" w14:textId="022B4DA3" w:rsidR="00AD5A09" w:rsidRDefault="00AD5A09" w:rsidP="00AD5A09">
      <w:pPr>
        <w:rPr>
          <w:szCs w:val="22"/>
        </w:rPr>
      </w:pPr>
    </w:p>
    <w:p w14:paraId="524E07DB" w14:textId="693DDF67" w:rsidR="00253B36" w:rsidRDefault="00253B36" w:rsidP="00AD5A09">
      <w:pPr>
        <w:rPr>
          <w:b/>
          <w:bCs/>
          <w:snapToGrid w:val="0"/>
          <w:szCs w:val="22"/>
        </w:rPr>
      </w:pPr>
      <w:r>
        <w:rPr>
          <w:b/>
          <w:bCs/>
          <w:snapToGrid w:val="0"/>
          <w:szCs w:val="22"/>
        </w:rPr>
        <w:t>D</w:t>
      </w:r>
      <w:r w:rsidRPr="005D554B">
        <w:rPr>
          <w:b/>
          <w:bCs/>
          <w:snapToGrid w:val="0"/>
          <w:szCs w:val="22"/>
        </w:rPr>
        <w:t>ažnis nežinomas</w:t>
      </w:r>
      <w:r w:rsidRPr="00437BEA">
        <w:rPr>
          <w:snapToGrid w:val="0"/>
          <w:szCs w:val="22"/>
        </w:rPr>
        <w:t xml:space="preserve"> (negali būti apskaičiuotas pagal turimus duomenis):</w:t>
      </w:r>
    </w:p>
    <w:p w14:paraId="2B965F3A" w14:textId="1B9B0DD9" w:rsidR="00253B36" w:rsidRDefault="00253B36" w:rsidP="00253B36">
      <w:pPr>
        <w:ind w:left="567" w:hanging="567"/>
      </w:pPr>
      <w:r w:rsidRPr="001E6B80">
        <w:t>•</w:t>
      </w:r>
      <w:r w:rsidRPr="001E6B80">
        <w:tab/>
      </w:r>
      <w:r>
        <w:rPr>
          <w:szCs w:val="22"/>
        </w:rPr>
        <w:t>injekcijos vietos reakcijos</w:t>
      </w:r>
      <w:r>
        <w:t>.</w:t>
      </w:r>
    </w:p>
    <w:p w14:paraId="05B05D6B" w14:textId="77777777" w:rsidR="00253B36" w:rsidRDefault="00253B36" w:rsidP="00AD5A09">
      <w:pPr>
        <w:rPr>
          <w:szCs w:val="22"/>
        </w:rPr>
      </w:pPr>
    </w:p>
    <w:p w14:paraId="10B4DD07" w14:textId="77777777" w:rsidR="00AD5A09" w:rsidRDefault="00AD5A09" w:rsidP="00AD5A09">
      <w:pPr>
        <w:ind w:left="567" w:hanging="567"/>
      </w:pPr>
      <w:r w:rsidRPr="001E6B80">
        <w:t>►</w:t>
      </w:r>
      <w:r w:rsidRPr="001E6B80">
        <w:tab/>
      </w:r>
      <w:r w:rsidRPr="00B949EC">
        <w:rPr>
          <w:b/>
        </w:rPr>
        <w:t xml:space="preserve">Jeigu pasireiškė </w:t>
      </w:r>
      <w:r w:rsidRPr="00F17F46">
        <w:rPr>
          <w:b/>
        </w:rPr>
        <w:t>šalutinis poveikis</w:t>
      </w:r>
      <w:r>
        <w:t xml:space="preserve"> </w:t>
      </w:r>
      <w:r w:rsidRPr="00976D94">
        <w:t>(net jeigu jis šiame lapelyje nenurodytas), kreipkitės į</w:t>
      </w:r>
      <w:r>
        <w:t xml:space="preserve"> gydytoją.</w:t>
      </w:r>
    </w:p>
    <w:p w14:paraId="05900EF1" w14:textId="77777777" w:rsidR="00AD5A09" w:rsidRDefault="00AD5A09" w:rsidP="00AD5A09">
      <w:pPr>
        <w:ind w:left="567" w:hanging="567"/>
      </w:pPr>
    </w:p>
    <w:p w14:paraId="0299F7C7" w14:textId="77777777" w:rsidR="00AD5A09" w:rsidRDefault="00AD5A09" w:rsidP="00AD5A09">
      <w:pPr>
        <w:rPr>
          <w:b/>
        </w:rPr>
      </w:pPr>
      <w:r w:rsidRPr="00976D94">
        <w:rPr>
          <w:b/>
        </w:rPr>
        <w:t>Pranešimas apie šalutinį poveikį</w:t>
      </w:r>
    </w:p>
    <w:p w14:paraId="47ED8EEF" w14:textId="2BC0AEE7" w:rsidR="00AD5A09" w:rsidRDefault="00425728" w:rsidP="00AD5A09">
      <w:pPr>
        <w:numPr>
          <w:ilvl w:val="12"/>
          <w:numId w:val="0"/>
        </w:numPr>
        <w:tabs>
          <w:tab w:val="clear" w:pos="567"/>
        </w:tabs>
        <w:ind w:right="-2"/>
      </w:pPr>
      <w:r w:rsidRPr="00425728">
        <w:t xml:space="preserve">Jeigu pasireiškė šalutinis poveikis, įskaitant šiame lapelyje nenurodytą, pasakykite gydytojui. Pranešimą apie šalutinį poveikį galite pateikti šiais būdais: tiesiogiai užpildant formą internetu </w:t>
      </w:r>
      <w:r w:rsidRPr="00425728">
        <w:lastRenderedPageBreak/>
        <w:t xml:space="preserve">Valstybinės vaistų kontrolės tarnybos prie Lietuvos Respublikos sveikatos apsaugos ministerijos Vaistinių preparatų informacinėje sistemoje </w:t>
      </w:r>
      <w:hyperlink r:id="rId13" w:history="1">
        <w:r w:rsidR="00165BDA" w:rsidRPr="005D554B">
          <w:rPr>
            <w:snapToGrid w:val="0"/>
            <w:color w:val="0000FF"/>
            <w:u w:val="single"/>
          </w:rPr>
          <w:t>https://vapris.vvkt.lt/vvkt-web/public/nrv</w:t>
        </w:r>
      </w:hyperlink>
      <w:r w:rsidR="00165BDA" w:rsidRPr="005D554B">
        <w:rPr>
          <w:snapToGrid w:val="0"/>
        </w:rPr>
        <w:t xml:space="preserve"> arba užpildant Paciento pranešimo apie įtariamą nepageidaujamą reakciją (ĮNR) formą, kuri skelbiama </w:t>
      </w:r>
      <w:hyperlink r:id="rId14" w:history="1">
        <w:r w:rsidR="00165BDA" w:rsidRPr="005D554B">
          <w:rPr>
            <w:snapToGrid w:val="0"/>
            <w:color w:val="0000FF"/>
            <w:u w:val="single"/>
          </w:rPr>
          <w:t>https://www.vvkt.lt/index.php?4004286486</w:t>
        </w:r>
      </w:hyperlink>
      <w:r w:rsidRPr="00425728">
        <w:t>, ir atsiunčiant elektroniniu paštu (adresu NepageidaujamaR@vvkt.lt) arba nemokamu telefonu 8 800 73 568. Pranešdami apie šalutinį poveikį galite mums padėti gauti daugiau informacijos apie šio vaisto saugumą.</w:t>
      </w:r>
    </w:p>
    <w:p w14:paraId="7F915304" w14:textId="77777777" w:rsidR="00AD5A09" w:rsidRDefault="00AD5A09" w:rsidP="00AD5A09">
      <w:pPr>
        <w:rPr>
          <w:szCs w:val="22"/>
        </w:rPr>
      </w:pPr>
    </w:p>
    <w:p w14:paraId="052ACBC0" w14:textId="77777777" w:rsidR="00AD5A09" w:rsidRPr="00704A53" w:rsidRDefault="00AD5A09" w:rsidP="00AD5A09">
      <w:pPr>
        <w:rPr>
          <w:b/>
        </w:rPr>
      </w:pPr>
      <w:r w:rsidRPr="00704A53">
        <w:rPr>
          <w:b/>
        </w:rPr>
        <w:t>5.</w:t>
      </w:r>
      <w:r w:rsidRPr="00704A53">
        <w:rPr>
          <w:b/>
        </w:rPr>
        <w:tab/>
        <w:t xml:space="preserve">Kaip laikyti </w:t>
      </w:r>
      <w:r>
        <w:rPr>
          <w:b/>
        </w:rPr>
        <w:t>G</w:t>
      </w:r>
      <w:r w:rsidRPr="00704A53">
        <w:rPr>
          <w:b/>
        </w:rPr>
        <w:t>luca</w:t>
      </w:r>
      <w:r>
        <w:rPr>
          <w:b/>
        </w:rPr>
        <w:t>G</w:t>
      </w:r>
      <w:r w:rsidRPr="00704A53">
        <w:rPr>
          <w:b/>
        </w:rPr>
        <w:t>en</w:t>
      </w:r>
      <w:r w:rsidRPr="00553D94">
        <w:rPr>
          <w:b/>
          <w:szCs w:val="22"/>
        </w:rPr>
        <w:t xml:space="preserve"> </w:t>
      </w:r>
      <w:r>
        <w:rPr>
          <w:b/>
          <w:szCs w:val="22"/>
        </w:rPr>
        <w:t>HypoKit</w:t>
      </w:r>
    </w:p>
    <w:p w14:paraId="55D72BA3" w14:textId="77777777" w:rsidR="00AD5A09" w:rsidRPr="005953CB" w:rsidRDefault="00AD5A09" w:rsidP="00AD5A09"/>
    <w:p w14:paraId="3AB1F078" w14:textId="77777777" w:rsidR="00AD5A09" w:rsidRDefault="00AD5A09" w:rsidP="00AD5A09">
      <w:pPr>
        <w:ind w:left="567" w:hanging="567"/>
      </w:pPr>
      <w:r w:rsidRPr="001E6B80">
        <w:t>•</w:t>
      </w:r>
      <w:r w:rsidRPr="001E6B80">
        <w:tab/>
      </w:r>
      <w:r w:rsidRPr="00976D94">
        <w:t>Šį vaistą laikykite</w:t>
      </w:r>
      <w:r>
        <w:t xml:space="preserve"> vaikams nepastebimoje ir nepasiekiamoje vietoje.</w:t>
      </w:r>
    </w:p>
    <w:p w14:paraId="576306C8" w14:textId="77777777" w:rsidR="00AD5A09" w:rsidRDefault="00AD5A09" w:rsidP="00AD5A09">
      <w:pPr>
        <w:ind w:left="567" w:hanging="567"/>
      </w:pPr>
      <w:r w:rsidRPr="001E6B80">
        <w:t>•</w:t>
      </w:r>
      <w:r w:rsidRPr="001E6B80">
        <w:tab/>
      </w:r>
      <w:r>
        <w:t>Laikyti:</w:t>
      </w:r>
    </w:p>
    <w:p w14:paraId="0D0802AC" w14:textId="77777777" w:rsidR="00AD5A09" w:rsidRDefault="00AD5A09" w:rsidP="00AD5A09">
      <w:pPr>
        <w:ind w:left="1134" w:hanging="567"/>
      </w:pPr>
      <w:r w:rsidRPr="00A50C32">
        <w:t>–</w:t>
      </w:r>
      <w:r w:rsidRPr="00A50C32">
        <w:tab/>
      </w:r>
      <w:r w:rsidRPr="0045570A">
        <w:rPr>
          <w:b/>
        </w:rPr>
        <w:t>šaldytuve</w:t>
      </w:r>
      <w:r>
        <w:t xml:space="preserve"> (2 °C−8 °C) </w:t>
      </w:r>
      <w:r w:rsidRPr="0045570A">
        <w:rPr>
          <w:b/>
        </w:rPr>
        <w:t>arba</w:t>
      </w:r>
    </w:p>
    <w:p w14:paraId="075B3610" w14:textId="77777777" w:rsidR="00AD5A09" w:rsidRDefault="00AD5A09" w:rsidP="00AD5A09">
      <w:pPr>
        <w:ind w:left="1134" w:hanging="567"/>
      </w:pPr>
      <w:r w:rsidRPr="00A50C32">
        <w:t>–</w:t>
      </w:r>
      <w:r w:rsidRPr="00A50C32">
        <w:tab/>
      </w:r>
      <w:r w:rsidRPr="0045570A">
        <w:rPr>
          <w:b/>
        </w:rPr>
        <w:t>kambario temperatūroje</w:t>
      </w:r>
      <w:r>
        <w:t xml:space="preserve"> (iki 25</w:t>
      </w:r>
      <w:r w:rsidR="00FA196D">
        <w:t xml:space="preserve"> </w:t>
      </w:r>
      <w:r>
        <w:t>°C) ne ilgiau kaip 18 mėnesių, kol nurodytas tinkamumo laikas nepraėjo.</w:t>
      </w:r>
    </w:p>
    <w:p w14:paraId="5135B26B" w14:textId="701C27D3" w:rsidR="00AD5A09" w:rsidRDefault="00AD5A09" w:rsidP="00AD5A09">
      <w:pPr>
        <w:ind w:left="567" w:hanging="567"/>
      </w:pPr>
      <w:r w:rsidRPr="0045570A">
        <w:t>•</w:t>
      </w:r>
      <w:r w:rsidRPr="0045570A">
        <w:tab/>
      </w:r>
      <w:r>
        <w:t xml:space="preserve">Laikyti </w:t>
      </w:r>
      <w:r w:rsidR="006048DD">
        <w:t xml:space="preserve">gamintojo </w:t>
      </w:r>
      <w:r>
        <w:t xml:space="preserve">pakuotėje, kad </w:t>
      </w:r>
      <w:r w:rsidR="006048DD" w:rsidRPr="00AF5468">
        <w:t>vaistas</w:t>
      </w:r>
      <w:r w:rsidR="006048DD">
        <w:t xml:space="preserve"> </w:t>
      </w:r>
      <w:r>
        <w:t>būtų apsaugotas nuo šviesos.</w:t>
      </w:r>
    </w:p>
    <w:p w14:paraId="140A8BF7" w14:textId="77777777" w:rsidR="00AD5A09" w:rsidRDefault="00AD5A09" w:rsidP="00AD5A09">
      <w:pPr>
        <w:ind w:left="567" w:hanging="567"/>
      </w:pPr>
      <w:r w:rsidRPr="0045570A">
        <w:t>•</w:t>
      </w:r>
      <w:r w:rsidRPr="0045570A">
        <w:tab/>
      </w:r>
      <w:r>
        <w:t>Negalima užšaldyti, tai gali pakenkti preparatui.</w:t>
      </w:r>
    </w:p>
    <w:p w14:paraId="73A83514" w14:textId="77777777" w:rsidR="00AD5A09" w:rsidRDefault="00AD5A09" w:rsidP="00AD5A09">
      <w:pPr>
        <w:ind w:left="567" w:hanging="567"/>
      </w:pPr>
      <w:r w:rsidRPr="0045570A">
        <w:t>•</w:t>
      </w:r>
      <w:r w:rsidRPr="0045570A">
        <w:tab/>
      </w:r>
      <w:r>
        <w:t>Preparatą vartokite iš karto po sumaišymo – nepasilikite vėlesniam naudojimui.</w:t>
      </w:r>
    </w:p>
    <w:p w14:paraId="170942DE" w14:textId="77777777" w:rsidR="00AD5A09" w:rsidRDefault="00AD5A09" w:rsidP="00AD5A09">
      <w:pPr>
        <w:ind w:left="567" w:hanging="567"/>
        <w:rPr>
          <w:szCs w:val="22"/>
        </w:rPr>
      </w:pPr>
      <w:r w:rsidRPr="0045570A">
        <w:t>•</w:t>
      </w:r>
      <w:r w:rsidRPr="0045570A">
        <w:tab/>
      </w:r>
      <w:r>
        <w:rPr>
          <w:szCs w:val="22"/>
        </w:rPr>
        <w:t xml:space="preserve">Ant dėžutės ar </w:t>
      </w:r>
      <w:r w:rsidR="003A27F3">
        <w:rPr>
          <w:szCs w:val="22"/>
        </w:rPr>
        <w:t xml:space="preserve">flakono </w:t>
      </w:r>
      <w:r>
        <w:rPr>
          <w:szCs w:val="22"/>
        </w:rPr>
        <w:t xml:space="preserve">po „EXP“ nurodytam tinkamumo laikui pasibaigus, šio vaisto vartoti negalima. Vaistas tinkamas vartoti iki paskutinės nurodyto mėnesio dienos. </w:t>
      </w:r>
    </w:p>
    <w:p w14:paraId="59570933" w14:textId="77777777" w:rsidR="00AD5A09" w:rsidRDefault="00AD5A09" w:rsidP="00AD5A09">
      <w:pPr>
        <w:ind w:left="567" w:hanging="567"/>
      </w:pPr>
      <w:r w:rsidRPr="0045570A">
        <w:t>•</w:t>
      </w:r>
      <w:r w:rsidRPr="0045570A">
        <w:tab/>
      </w:r>
      <w:r>
        <w:t>Sumaišyto tirpalo nevartokite, jeigu jis pasidaro želė pavidalo arba milteliai gerai neištirpo.</w:t>
      </w:r>
    </w:p>
    <w:p w14:paraId="7B08DF76" w14:textId="77777777" w:rsidR="00AD5A09" w:rsidRDefault="00AD5A09" w:rsidP="00AD5A09">
      <w:pPr>
        <w:ind w:left="567" w:hanging="567"/>
      </w:pPr>
      <w:r w:rsidRPr="007A469C">
        <w:t>•</w:t>
      </w:r>
      <w:r w:rsidRPr="007A469C">
        <w:tab/>
      </w:r>
      <w:r>
        <w:t>Nevartokite, jei plastikinis dangtelis netvirtai uždengtas arba jo išvis nėra – grąžinkite vaistą į vaistinę, kurioje pirkote.</w:t>
      </w:r>
    </w:p>
    <w:p w14:paraId="1E71AE53" w14:textId="77777777" w:rsidR="00AD5A09" w:rsidRDefault="00AD5A09" w:rsidP="00AD5A09">
      <w:pPr>
        <w:ind w:left="567" w:hanging="567"/>
      </w:pPr>
      <w:r w:rsidRPr="00FE2B87">
        <w:t>•</w:t>
      </w:r>
      <w:r w:rsidRPr="00FE2B87">
        <w:tab/>
      </w:r>
      <w:r>
        <w:t xml:space="preserve">Vaistų negalima išmesti į kanalizaciją arba su buitinėmis atliekomis. Kaip išmesti nereikalingus vaistus, klauskite vaistininko. </w:t>
      </w:r>
      <w:r w:rsidRPr="00976D94">
        <w:t>Šios priemonės padės apsaugoti aplinką</w:t>
      </w:r>
      <w:r>
        <w:t>.</w:t>
      </w:r>
    </w:p>
    <w:p w14:paraId="0A3974C1" w14:textId="77777777" w:rsidR="00AD5A09" w:rsidRDefault="00AD5A09" w:rsidP="00AD5A09">
      <w:pPr>
        <w:rPr>
          <w:szCs w:val="22"/>
        </w:rPr>
      </w:pPr>
    </w:p>
    <w:p w14:paraId="5940D858" w14:textId="77777777" w:rsidR="00AD5A09" w:rsidRDefault="00AD5A09" w:rsidP="00AD5A09">
      <w:pPr>
        <w:rPr>
          <w:szCs w:val="22"/>
        </w:rPr>
      </w:pPr>
    </w:p>
    <w:p w14:paraId="27B885B5" w14:textId="77777777" w:rsidR="00AD5A09" w:rsidRPr="00085684" w:rsidRDefault="00AD5A09" w:rsidP="00AD5A09">
      <w:pPr>
        <w:rPr>
          <w:b/>
          <w:szCs w:val="22"/>
        </w:rPr>
      </w:pPr>
      <w:r w:rsidRPr="00085684">
        <w:rPr>
          <w:b/>
          <w:szCs w:val="22"/>
        </w:rPr>
        <w:t>6.</w:t>
      </w:r>
      <w:r w:rsidRPr="00085684">
        <w:rPr>
          <w:b/>
          <w:szCs w:val="22"/>
        </w:rPr>
        <w:tab/>
      </w:r>
      <w:r>
        <w:rPr>
          <w:b/>
          <w:szCs w:val="22"/>
        </w:rPr>
        <w:t xml:space="preserve">Pakuotės turinys ir </w:t>
      </w:r>
      <w:r w:rsidRPr="00085684">
        <w:rPr>
          <w:b/>
          <w:szCs w:val="22"/>
        </w:rPr>
        <w:t>kita informacija</w:t>
      </w:r>
    </w:p>
    <w:p w14:paraId="6CEE2D25" w14:textId="77777777" w:rsidR="00AD5A09" w:rsidRDefault="00AD5A09" w:rsidP="00AD5A09">
      <w:pPr>
        <w:rPr>
          <w:szCs w:val="22"/>
        </w:rPr>
      </w:pPr>
    </w:p>
    <w:p w14:paraId="0846CDB8" w14:textId="0330B448" w:rsidR="00AD5A09" w:rsidRPr="007A469C" w:rsidRDefault="00AD5A09" w:rsidP="00AD5A09">
      <w:pPr>
        <w:rPr>
          <w:b/>
          <w:szCs w:val="22"/>
        </w:rPr>
      </w:pPr>
      <w:r w:rsidRPr="007A469C">
        <w:rPr>
          <w:b/>
          <w:szCs w:val="22"/>
        </w:rPr>
        <w:t>GlucaGen</w:t>
      </w:r>
      <w:r w:rsidRPr="007A469C">
        <w:rPr>
          <w:b/>
          <w:bCs/>
          <w:szCs w:val="22"/>
        </w:rPr>
        <w:t xml:space="preserve"> HypoKit </w:t>
      </w:r>
      <w:r w:rsidR="006048DD" w:rsidRPr="005D554B">
        <w:rPr>
          <w:b/>
          <w:bCs/>
          <w:snapToGrid w:val="0"/>
          <w:szCs w:val="28"/>
          <w:lang w:eastAsia="x-none"/>
        </w:rPr>
        <w:t>sudėtis</w:t>
      </w:r>
    </w:p>
    <w:p w14:paraId="1F4EC744" w14:textId="77777777" w:rsidR="00AD5A09" w:rsidRDefault="00AD5A09" w:rsidP="00AD5A09">
      <w:pPr>
        <w:rPr>
          <w:b/>
          <w:szCs w:val="22"/>
          <w:u w:val="single"/>
        </w:rPr>
      </w:pPr>
    </w:p>
    <w:p w14:paraId="2C3F30C1" w14:textId="77777777" w:rsidR="00AD5A09" w:rsidRDefault="00AD5A09" w:rsidP="00AD5A09">
      <w:pPr>
        <w:ind w:left="567" w:hanging="567"/>
        <w:rPr>
          <w:szCs w:val="22"/>
        </w:rPr>
      </w:pPr>
      <w:r w:rsidRPr="007A469C">
        <w:t>•</w:t>
      </w:r>
      <w:r w:rsidRPr="007A469C">
        <w:tab/>
      </w:r>
      <w:r w:rsidRPr="00942848">
        <w:t>Veiklioji medžiaga yra gliukagon</w:t>
      </w:r>
      <w:r>
        <w:t>as</w:t>
      </w:r>
      <w:r w:rsidRPr="00942848">
        <w:t xml:space="preserve"> </w:t>
      </w:r>
      <w:r>
        <w:rPr>
          <w:szCs w:val="22"/>
        </w:rPr>
        <w:t xml:space="preserve">1 mg </w:t>
      </w:r>
      <w:r w:rsidRPr="00942848">
        <w:t>hidrochlorid</w:t>
      </w:r>
      <w:r>
        <w:t xml:space="preserve">o pavidalu, gaminamas iš mielių </w:t>
      </w:r>
      <w:r>
        <w:rPr>
          <w:szCs w:val="22"/>
        </w:rPr>
        <w:t>rekombinantinės DNR technologijos būdu.</w:t>
      </w:r>
    </w:p>
    <w:p w14:paraId="0F3E26AC" w14:textId="77777777" w:rsidR="00AD5A09" w:rsidRPr="00942848" w:rsidRDefault="00AD5A09" w:rsidP="00AD5A09">
      <w:pPr>
        <w:ind w:left="567" w:hanging="567"/>
      </w:pPr>
      <w:r w:rsidRPr="007A469C">
        <w:t>•</w:t>
      </w:r>
      <w:r w:rsidRPr="007A469C">
        <w:tab/>
      </w:r>
      <w:r w:rsidRPr="00942848">
        <w:t>Pagalbinės medžiagos yra laktozė monohidratas, injekcinis vanduo, vandenilio chlorido rūgštis ir/ar natrio hidroksidas (pH sureguliavimui).</w:t>
      </w:r>
    </w:p>
    <w:p w14:paraId="5E5E3DB2" w14:textId="77777777" w:rsidR="00AD5A09" w:rsidRDefault="00AD5A09" w:rsidP="00AD5A09">
      <w:pPr>
        <w:jc w:val="both"/>
        <w:rPr>
          <w:szCs w:val="22"/>
        </w:rPr>
      </w:pPr>
    </w:p>
    <w:p w14:paraId="6071ABC1" w14:textId="77777777" w:rsidR="00AD5A09" w:rsidRPr="00704A53" w:rsidRDefault="00AD5A09" w:rsidP="00AD5A09">
      <w:pPr>
        <w:rPr>
          <w:b/>
        </w:rPr>
      </w:pPr>
      <w:r w:rsidRPr="00704A53">
        <w:rPr>
          <w:b/>
        </w:rPr>
        <w:t xml:space="preserve">GlucaGen </w:t>
      </w:r>
      <w:r w:rsidRPr="00704A53">
        <w:rPr>
          <w:b/>
          <w:bCs/>
        </w:rPr>
        <w:t>HypoKit</w:t>
      </w:r>
      <w:r>
        <w:rPr>
          <w:b/>
          <w:bCs/>
        </w:rPr>
        <w:t xml:space="preserve"> išvaizda</w:t>
      </w:r>
      <w:r w:rsidRPr="00704A53">
        <w:rPr>
          <w:b/>
        </w:rPr>
        <w:t xml:space="preserve"> ir </w:t>
      </w:r>
      <w:r>
        <w:rPr>
          <w:b/>
        </w:rPr>
        <w:t>kiekis</w:t>
      </w:r>
      <w:r w:rsidRPr="00704A53">
        <w:rPr>
          <w:b/>
        </w:rPr>
        <w:t xml:space="preserve"> pakuotė</w:t>
      </w:r>
      <w:r>
        <w:rPr>
          <w:b/>
        </w:rPr>
        <w:t>je</w:t>
      </w:r>
    </w:p>
    <w:p w14:paraId="03D70001" w14:textId="77777777" w:rsidR="00AD5A09" w:rsidRPr="00942848" w:rsidRDefault="00AD5A09" w:rsidP="00AD5A09"/>
    <w:p w14:paraId="6A27E7A0" w14:textId="77777777" w:rsidR="00AD5A09" w:rsidRDefault="00AD5A09" w:rsidP="00AD5A09">
      <w:pPr>
        <w:rPr>
          <w:szCs w:val="22"/>
        </w:rPr>
      </w:pPr>
      <w:r>
        <w:rPr>
          <w:szCs w:val="22"/>
        </w:rPr>
        <w:t xml:space="preserve">GlucaGen yra sterilūs, balti gliukagono milteliai, supakuoti į </w:t>
      </w:r>
      <w:r w:rsidR="003A27F3">
        <w:rPr>
          <w:szCs w:val="22"/>
        </w:rPr>
        <w:t>flakoną</w:t>
      </w:r>
      <w:r>
        <w:rPr>
          <w:szCs w:val="22"/>
        </w:rPr>
        <w:t>. Kartu tiekiamas tirpiklis vienkartiniame švirkšte. Milteliai yra kompaktiški. Sumaišytame tirpale yra 1 mg/ml gliukagono.</w:t>
      </w:r>
    </w:p>
    <w:p w14:paraId="17EDC6FC" w14:textId="77777777" w:rsidR="00AD5A09" w:rsidRDefault="00AD5A09" w:rsidP="00AD5A09">
      <w:pPr>
        <w:rPr>
          <w:szCs w:val="22"/>
        </w:rPr>
      </w:pPr>
    </w:p>
    <w:p w14:paraId="17F76D91" w14:textId="77777777" w:rsidR="00AD5A09" w:rsidRPr="00704A53" w:rsidRDefault="00AD5A09" w:rsidP="00AD5A09">
      <w:pPr>
        <w:rPr>
          <w:b/>
        </w:rPr>
      </w:pPr>
      <w:r>
        <w:rPr>
          <w:b/>
        </w:rPr>
        <w:t>Registruotojas</w:t>
      </w:r>
      <w:r w:rsidRPr="00704A53">
        <w:rPr>
          <w:b/>
        </w:rPr>
        <w:t xml:space="preserve"> ir gamintojas</w:t>
      </w:r>
    </w:p>
    <w:p w14:paraId="0A331A1D" w14:textId="77777777" w:rsidR="00AD5A09" w:rsidRDefault="00AD5A09" w:rsidP="00AD5A09">
      <w:pPr>
        <w:rPr>
          <w:szCs w:val="22"/>
        </w:rPr>
      </w:pPr>
    </w:p>
    <w:p w14:paraId="657D741E" w14:textId="77777777" w:rsidR="00AD5A09" w:rsidRDefault="00AD5A09" w:rsidP="00AD5A09">
      <w:pPr>
        <w:rPr>
          <w:szCs w:val="22"/>
        </w:rPr>
      </w:pPr>
      <w:r>
        <w:rPr>
          <w:szCs w:val="22"/>
        </w:rPr>
        <w:t>Novo Nordisk A/S</w:t>
      </w:r>
    </w:p>
    <w:p w14:paraId="18DC9BD6" w14:textId="77777777" w:rsidR="00AD5A09" w:rsidRDefault="00AD5A09" w:rsidP="00AD5A09">
      <w:pPr>
        <w:rPr>
          <w:szCs w:val="22"/>
        </w:rPr>
      </w:pPr>
      <w:r w:rsidRPr="00924EFA">
        <w:rPr>
          <w:szCs w:val="22"/>
        </w:rPr>
        <w:t>Novo Allé</w:t>
      </w:r>
    </w:p>
    <w:p w14:paraId="62531AA9" w14:textId="77777777" w:rsidR="00AD5A09" w:rsidRDefault="00AD5A09" w:rsidP="00AD5A09">
      <w:pPr>
        <w:rPr>
          <w:szCs w:val="22"/>
        </w:rPr>
      </w:pPr>
      <w:r>
        <w:rPr>
          <w:szCs w:val="22"/>
        </w:rPr>
        <w:t>DK-2880 Bagsværd, Danija</w:t>
      </w:r>
    </w:p>
    <w:p w14:paraId="2932AEE5" w14:textId="77777777" w:rsidR="006D1A90" w:rsidRDefault="006D1A90" w:rsidP="00AD5A09">
      <w:pPr>
        <w:rPr>
          <w:szCs w:val="22"/>
        </w:rPr>
      </w:pPr>
    </w:p>
    <w:p w14:paraId="2BD524F4" w14:textId="489DDC19" w:rsidR="006C2173" w:rsidRPr="005D554B" w:rsidRDefault="006C2173" w:rsidP="006C2173">
      <w:pPr>
        <w:numPr>
          <w:ilvl w:val="12"/>
          <w:numId w:val="0"/>
        </w:numPr>
        <w:spacing w:line="260" w:lineRule="exact"/>
        <w:ind w:right="-2"/>
        <w:rPr>
          <w:snapToGrid w:val="0"/>
        </w:rPr>
      </w:pPr>
      <w:r w:rsidRPr="005D554B">
        <w:rPr>
          <w:b/>
          <w:snapToGrid w:val="0"/>
        </w:rPr>
        <w:t>Šis vaistas Europos ekonominės erdvės valstybėse narėse ir Jungtinėje Karalystėje (Šiaurės Airijoje) registruotas tokiais pavadinimais:</w:t>
      </w:r>
    </w:p>
    <w:p w14:paraId="2AF776B0" w14:textId="5FB9B6A0" w:rsidR="006C2173" w:rsidRPr="005D554B" w:rsidRDefault="00AE340A" w:rsidP="00437BEA">
      <w:pPr>
        <w:tabs>
          <w:tab w:val="clear" w:pos="567"/>
          <w:tab w:val="left" w:pos="0"/>
        </w:tabs>
        <w:spacing w:line="260" w:lineRule="exact"/>
        <w:rPr>
          <w:snapToGrid w:val="0"/>
        </w:rPr>
      </w:pPr>
      <w:bookmarkStart w:id="5" w:name="_Hlk119790676"/>
      <w:r>
        <w:rPr>
          <w:snapToGrid w:val="0"/>
        </w:rPr>
        <w:t xml:space="preserve">Austrija, Belgija, Bulgarija, Kroatija, Kipras, Čekijos </w:t>
      </w:r>
      <w:r w:rsidR="00215F46">
        <w:rPr>
          <w:snapToGrid w:val="0"/>
        </w:rPr>
        <w:t>R</w:t>
      </w:r>
      <w:r>
        <w:rPr>
          <w:snapToGrid w:val="0"/>
        </w:rPr>
        <w:t xml:space="preserve">espublika, Danija, Estija, Suomija, Prancūzija, </w:t>
      </w:r>
      <w:r w:rsidR="007F252E">
        <w:rPr>
          <w:snapToGrid w:val="0"/>
        </w:rPr>
        <w:t>Vokietija, Graikija, Vengrija, Islan</w:t>
      </w:r>
      <w:r w:rsidR="0087316D">
        <w:rPr>
          <w:snapToGrid w:val="0"/>
        </w:rPr>
        <w:t xml:space="preserve">dija, Airija, Italija, Latvija, Lietuva, Liuksemburgas, Malta, Nyderlandai, Portugalija, Slovakija, Slovėnija, Ispanija, </w:t>
      </w:r>
      <w:r w:rsidR="0087316D">
        <w:rPr>
          <w:iCs/>
          <w:szCs w:val="22"/>
        </w:rPr>
        <w:t>Jungtinė Karalystė (Šiaurės Airija)</w:t>
      </w:r>
      <w:r w:rsidR="0087316D">
        <w:rPr>
          <w:snapToGrid w:val="0"/>
        </w:rPr>
        <w:t>:</w:t>
      </w:r>
      <w:r w:rsidR="006C2173" w:rsidRPr="005D554B">
        <w:rPr>
          <w:snapToGrid w:val="0"/>
        </w:rPr>
        <w:t xml:space="preserve"> </w:t>
      </w:r>
      <w:r w:rsidR="00FC24C2" w:rsidRPr="00437BEA">
        <w:t>GlucaGen</w:t>
      </w:r>
    </w:p>
    <w:p w14:paraId="04AA63EC" w14:textId="77777777" w:rsidR="00215F46" w:rsidRDefault="00215F46" w:rsidP="006C2173">
      <w:pPr>
        <w:spacing w:line="260" w:lineRule="exact"/>
        <w:ind w:left="567" w:hanging="567"/>
        <w:rPr>
          <w:iCs/>
          <w:szCs w:val="22"/>
        </w:rPr>
      </w:pPr>
    </w:p>
    <w:p w14:paraId="729113CD" w14:textId="6B750E16" w:rsidR="006C2173" w:rsidRPr="005D554B" w:rsidRDefault="0087316D" w:rsidP="006C2173">
      <w:pPr>
        <w:spacing w:line="260" w:lineRule="exact"/>
        <w:ind w:left="567" w:hanging="567"/>
        <w:rPr>
          <w:snapToGrid w:val="0"/>
        </w:rPr>
      </w:pPr>
      <w:r>
        <w:rPr>
          <w:iCs/>
          <w:szCs w:val="22"/>
        </w:rPr>
        <w:t>Norvegija</w:t>
      </w:r>
      <w:r>
        <w:rPr>
          <w:snapToGrid w:val="0"/>
        </w:rPr>
        <w:t xml:space="preserve"> ir Švedija:</w:t>
      </w:r>
      <w:r w:rsidR="006C2173" w:rsidRPr="005D554B">
        <w:rPr>
          <w:snapToGrid w:val="0"/>
        </w:rPr>
        <w:t xml:space="preserve"> </w:t>
      </w:r>
      <w:r w:rsidR="00FC24C2" w:rsidRPr="00437BEA">
        <w:t>Glucagon Novo Nordisk</w:t>
      </w:r>
    </w:p>
    <w:bookmarkEnd w:id="5"/>
    <w:p w14:paraId="186C5771" w14:textId="4BF3C6AB" w:rsidR="00AD5A09" w:rsidRDefault="00AD5A09" w:rsidP="00AD5A09"/>
    <w:p w14:paraId="621971D9" w14:textId="77777777" w:rsidR="006C2173" w:rsidRDefault="006C2173" w:rsidP="00AD5A09"/>
    <w:p w14:paraId="0F635223" w14:textId="1F0F9598" w:rsidR="006D1A90" w:rsidRPr="00EF0FD7" w:rsidRDefault="006D1A90" w:rsidP="006D1A90">
      <w:pPr>
        <w:rPr>
          <w:b/>
        </w:rPr>
      </w:pPr>
      <w:r w:rsidRPr="00EF0FD7">
        <w:rPr>
          <w:b/>
        </w:rPr>
        <w:t>Šis pakuotės lapelis paskutinį kartą peržiūrėtas</w:t>
      </w:r>
      <w:r w:rsidR="00437BEA">
        <w:rPr>
          <w:b/>
        </w:rPr>
        <w:t xml:space="preserve"> 2022-12-02.</w:t>
      </w:r>
    </w:p>
    <w:p w14:paraId="7052B226" w14:textId="77777777" w:rsidR="006D1A90" w:rsidRDefault="006D1A90" w:rsidP="006D1A90"/>
    <w:p w14:paraId="2F8946CE" w14:textId="1C6464D8" w:rsidR="00AD5A09" w:rsidRDefault="006D1A90" w:rsidP="006D1A90">
      <w:r>
        <w:lastRenderedPageBreak/>
        <w:t xml:space="preserve">Išsami informacija apie šį vaistą pateikiama Valstybinės vaistų kontrolės tarnybos prie Lietuvos Respublikos sveikatos apsaugos ministerijos tinklalapyje </w:t>
      </w:r>
      <w:hyperlink r:id="rId15" w:history="1">
        <w:r w:rsidRPr="00771E8F">
          <w:rPr>
            <w:rStyle w:val="Hipersaitas"/>
            <w:rFonts w:ascii="Times New Roman" w:hAnsi="Times New Roman"/>
            <w:sz w:val="22"/>
          </w:rPr>
          <w:t>http://www.vvkt.lt/</w:t>
        </w:r>
      </w:hyperlink>
      <w:r w:rsidR="00E25CD2">
        <w:rPr>
          <w:rStyle w:val="Hipersaitas"/>
          <w:rFonts w:ascii="Times New Roman" w:hAnsi="Times New Roman"/>
          <w:sz w:val="22"/>
        </w:rPr>
        <w:t>.</w:t>
      </w:r>
    </w:p>
    <w:p w14:paraId="406E0EFF" w14:textId="77777777" w:rsidR="006D1A90" w:rsidRDefault="006D1A90" w:rsidP="006D1A90"/>
    <w:p w14:paraId="59423563" w14:textId="77777777" w:rsidR="006D1A90" w:rsidRDefault="006D1A90" w:rsidP="006D1A90"/>
    <w:p w14:paraId="5C06EE41" w14:textId="77777777" w:rsidR="006D1A90" w:rsidRDefault="006D1A90" w:rsidP="006D1A90"/>
    <w:p w14:paraId="10EF24E8" w14:textId="77777777" w:rsidR="006D1A90" w:rsidRDefault="006D1A90" w:rsidP="006D1A90"/>
    <w:p w14:paraId="4167A455" w14:textId="69BBCA6C" w:rsidR="00AD5A09" w:rsidRPr="00414B30" w:rsidRDefault="006D1A90" w:rsidP="00AD5A09">
      <w:pPr>
        <w:pStyle w:val="Antrats"/>
        <w:jc w:val="both"/>
        <w:rPr>
          <w:b/>
          <w:caps/>
          <w:sz w:val="22"/>
        </w:rPr>
      </w:pPr>
      <w:r w:rsidRPr="006D1A90">
        <w:rPr>
          <w:b/>
          <w:caps/>
          <w:sz w:val="22"/>
        </w:rPr>
        <w:t>T</w:t>
      </w:r>
      <w:r w:rsidRPr="006D1A90">
        <w:rPr>
          <w:b/>
          <w:sz w:val="22"/>
        </w:rPr>
        <w:t>oliau pateikta informacija skirta tik svei</w:t>
      </w:r>
      <w:r>
        <w:rPr>
          <w:b/>
          <w:sz w:val="22"/>
        </w:rPr>
        <w:t xml:space="preserve">katos priežiūros specialistams </w:t>
      </w:r>
    </w:p>
    <w:p w14:paraId="401838BB" w14:textId="77777777" w:rsidR="00AD5A09" w:rsidRDefault="00AD5A09" w:rsidP="00AD5A09"/>
    <w:p w14:paraId="7C452E54" w14:textId="77777777" w:rsidR="00AD5A09" w:rsidRDefault="00AD5A09" w:rsidP="00AD5A09">
      <w:pPr>
        <w:rPr>
          <w:szCs w:val="22"/>
        </w:rPr>
      </w:pPr>
      <w:r>
        <w:rPr>
          <w:szCs w:val="22"/>
        </w:rPr>
        <w:t>Sveikatos priežiūros specialistai, prieš skaitydami žemiau pateiktą informacija, turi perskaityti visą pakuotės lapelį.</w:t>
      </w:r>
    </w:p>
    <w:p w14:paraId="050F48E7" w14:textId="77777777" w:rsidR="00AD5A09" w:rsidRDefault="00AD5A09" w:rsidP="00AD5A09">
      <w:pPr>
        <w:rPr>
          <w:szCs w:val="22"/>
        </w:rPr>
      </w:pPr>
    </w:p>
    <w:p w14:paraId="366C671D" w14:textId="77777777" w:rsidR="00AD5A09" w:rsidRDefault="00AD5A09" w:rsidP="00AD5A09">
      <w:pPr>
        <w:rPr>
          <w:b/>
          <w:szCs w:val="22"/>
        </w:rPr>
      </w:pPr>
      <w:r>
        <w:rPr>
          <w:b/>
        </w:rPr>
        <w:t>Dėl GlucaGen nestabilumo tirpale šis preparatas turi būti suvartojamas iškart po ištirpinimo, jo</w:t>
      </w:r>
      <w:r w:rsidRPr="00F028EA">
        <w:rPr>
          <w:b/>
          <w:szCs w:val="22"/>
        </w:rPr>
        <w:t xml:space="preserve"> negalima skirti intraveninės infuzijos būdu.</w:t>
      </w:r>
    </w:p>
    <w:p w14:paraId="77BC88EA" w14:textId="77777777" w:rsidR="00AD5A09" w:rsidRDefault="00AD5A09" w:rsidP="00AD5A09">
      <w:pPr>
        <w:rPr>
          <w:b/>
          <w:szCs w:val="22"/>
        </w:rPr>
      </w:pPr>
    </w:p>
    <w:p w14:paraId="16DD80DB" w14:textId="77777777" w:rsidR="00AD5A09" w:rsidRPr="00B949EC" w:rsidRDefault="00AD5A09" w:rsidP="00AD5A09">
      <w:pPr>
        <w:rPr>
          <w:szCs w:val="22"/>
        </w:rPr>
      </w:pPr>
      <w:r>
        <w:rPr>
          <w:szCs w:val="22"/>
        </w:rPr>
        <w:t>Nemėginkite uždėti dangtelio ant panaudoto švirkšto adatos. Panaudotą švirkštą padėkite į oranžinę dėžutę ir pirmai progai pasitaikius panaudotą adatą išmeskite į talpyklę aštrioms atliekoms</w:t>
      </w:r>
      <w:r w:rsidRPr="00AF4312">
        <w:rPr>
          <w:szCs w:val="22"/>
        </w:rPr>
        <w:t>.</w:t>
      </w:r>
    </w:p>
    <w:p w14:paraId="4AA5112C" w14:textId="77777777" w:rsidR="00AD5A09" w:rsidRDefault="00AD5A09" w:rsidP="00AD5A09">
      <w:pPr>
        <w:rPr>
          <w:b/>
          <w:szCs w:val="22"/>
        </w:rPr>
      </w:pPr>
    </w:p>
    <w:p w14:paraId="3990A6FE" w14:textId="77777777" w:rsidR="00AD5A09" w:rsidRPr="000A5798" w:rsidRDefault="00AD5A09" w:rsidP="00AD5A09">
      <w:pPr>
        <w:rPr>
          <w:b/>
          <w:szCs w:val="22"/>
        </w:rPr>
      </w:pPr>
      <w:r w:rsidRPr="000A5798">
        <w:rPr>
          <w:b/>
          <w:szCs w:val="22"/>
        </w:rPr>
        <w:t>Sunkios hipoglikemijos gydymas</w:t>
      </w:r>
    </w:p>
    <w:p w14:paraId="7D632839" w14:textId="77777777" w:rsidR="00AD5A09" w:rsidRDefault="00AD5A09" w:rsidP="00AD5A09">
      <w:pPr>
        <w:tabs>
          <w:tab w:val="left" w:pos="0"/>
        </w:tabs>
        <w:rPr>
          <w:szCs w:val="22"/>
        </w:rPr>
      </w:pPr>
      <w:r>
        <w:rPr>
          <w:szCs w:val="22"/>
        </w:rPr>
        <w:t xml:space="preserve">Suleiskite po oda arba į raumenis. Jei pacientas per 10 min. </w:t>
      </w:r>
      <w:r w:rsidRPr="00C66F59">
        <w:rPr>
          <w:szCs w:val="22"/>
        </w:rPr>
        <w:t xml:space="preserve">neatgavo sąmonės, būtina </w:t>
      </w:r>
      <w:r>
        <w:rPr>
          <w:szCs w:val="22"/>
        </w:rPr>
        <w:t>suleisti</w:t>
      </w:r>
      <w:r w:rsidRPr="00C66F59">
        <w:rPr>
          <w:szCs w:val="22"/>
        </w:rPr>
        <w:t xml:space="preserve"> gliukozės į veną. Atgavusiam sąmonę pacientui tuojau duokite suvalgyti angliavandenių.</w:t>
      </w:r>
      <w:r>
        <w:rPr>
          <w:szCs w:val="22"/>
        </w:rPr>
        <w:t xml:space="preserve"> Tai padės atstatyti glikogeno atsargas kepenyse ir išvengti hipoglikemijos pasikartojimo.</w:t>
      </w:r>
    </w:p>
    <w:p w14:paraId="600B1D9F" w14:textId="77777777" w:rsidR="00AD5A09" w:rsidRDefault="00AD5A09" w:rsidP="00AD5A09">
      <w:pPr>
        <w:rPr>
          <w:szCs w:val="22"/>
        </w:rPr>
      </w:pPr>
    </w:p>
    <w:p w14:paraId="257C53F9" w14:textId="77777777" w:rsidR="00AD5A09" w:rsidRDefault="00AD5A09" w:rsidP="00AD5A09">
      <w:pPr>
        <w:rPr>
          <w:b/>
          <w:szCs w:val="22"/>
        </w:rPr>
      </w:pPr>
      <w:r>
        <w:rPr>
          <w:b/>
          <w:szCs w:val="22"/>
        </w:rPr>
        <w:t>Diagnostinės procedūros</w:t>
      </w:r>
    </w:p>
    <w:p w14:paraId="2DAE50EC" w14:textId="33EAA164" w:rsidR="00AD5A09" w:rsidRDefault="00AD5A09" w:rsidP="00AD5A09">
      <w:pPr>
        <w:rPr>
          <w:szCs w:val="22"/>
        </w:rPr>
      </w:pPr>
      <w:r>
        <w:rPr>
          <w:szCs w:val="22"/>
        </w:rPr>
        <w:t>Pasibaigus procedūrai pacientui duokite suvalgyti angliavandenių, jei tai leidžia diagnostinė procedūra. Atminkite, kad GlucaGen veikimas yra priešingas nei insulino. Atsargumo priemonių turi būti imtasi, kai GlucaGen, kaip pagalbinis vaistas, skiriamas pacientams, sergantiems cukriniu diabetu, kuriems daroma endoskopija ar radiografijos procedūra ar pacientams, sergantiems širdies ligomis.</w:t>
      </w:r>
    </w:p>
    <w:p w14:paraId="136342EE" w14:textId="77777777" w:rsidR="00AD5A09" w:rsidRDefault="00AD5A09" w:rsidP="00AD5A09">
      <w:pPr>
        <w:rPr>
          <w:b/>
          <w:szCs w:val="22"/>
        </w:rPr>
      </w:pPr>
    </w:p>
    <w:p w14:paraId="620B6C17" w14:textId="77777777" w:rsidR="00AD5A09" w:rsidRPr="00AE5988" w:rsidRDefault="00AD5A09" w:rsidP="00AD5A09">
      <w:pPr>
        <w:rPr>
          <w:szCs w:val="22"/>
        </w:rPr>
      </w:pPr>
      <w:r w:rsidRPr="00AE5988">
        <w:rPr>
          <w:szCs w:val="22"/>
        </w:rPr>
        <w:t>Atkreipkite dėmesį, jog diagnostinėms procedūroms gali labiau tikti plonesne adata ir smulkesnės gradacijos švirkštas.</w:t>
      </w:r>
    </w:p>
    <w:p w14:paraId="6B3EA112" w14:textId="77777777" w:rsidR="00AD5A09" w:rsidRDefault="00AD5A09" w:rsidP="00AD5A09">
      <w:pPr>
        <w:rPr>
          <w:b/>
          <w:szCs w:val="22"/>
        </w:rPr>
      </w:pPr>
    </w:p>
    <w:p w14:paraId="5CB60CE6" w14:textId="77777777" w:rsidR="00AD5A09" w:rsidRPr="00AE5988" w:rsidRDefault="00AD5A09" w:rsidP="00AD5A09">
      <w:pPr>
        <w:rPr>
          <w:szCs w:val="22"/>
        </w:rPr>
      </w:pPr>
      <w:r w:rsidRPr="00AE5988">
        <w:rPr>
          <w:szCs w:val="22"/>
        </w:rPr>
        <w:t>Virškin</w:t>
      </w:r>
      <w:r>
        <w:rPr>
          <w:szCs w:val="22"/>
        </w:rPr>
        <w:t>i</w:t>
      </w:r>
      <w:r w:rsidRPr="00AE5988">
        <w:rPr>
          <w:szCs w:val="22"/>
        </w:rPr>
        <w:t>mo trakto ištyrimas:</w:t>
      </w:r>
    </w:p>
    <w:p w14:paraId="4F19B9FB" w14:textId="77777777" w:rsidR="00AD5A09" w:rsidRDefault="00AD5A09" w:rsidP="00AD5A09">
      <w:pPr>
        <w:rPr>
          <w:szCs w:val="22"/>
        </w:rPr>
      </w:pPr>
      <w:r>
        <w:rPr>
          <w:szCs w:val="22"/>
        </w:rPr>
        <w:t>Dozė svyruoja nuo 0,2 iki 2 mg, priklausomai nuo naudojamos diagnostinės technikos ir vartojimo būdo. Diagnostinė dozė, norint atpalaiduoti skrandį, dvylikapirštės žarnos stormenį, dvylikapirštę ir plonąsias žarnas yra 0,2−0,5 mg,</w:t>
      </w:r>
      <w:r w:rsidRPr="00494B1B">
        <w:rPr>
          <w:szCs w:val="22"/>
        </w:rPr>
        <w:t xml:space="preserve"> </w:t>
      </w:r>
      <w:r>
        <w:rPr>
          <w:szCs w:val="22"/>
        </w:rPr>
        <w:t>leidžiant į veną, arba 1 mg, leidžiant į raumenis.</w:t>
      </w:r>
      <w:r w:rsidRPr="001D367A">
        <w:rPr>
          <w:szCs w:val="22"/>
        </w:rPr>
        <w:t xml:space="preserve"> </w:t>
      </w:r>
      <w:r>
        <w:rPr>
          <w:szCs w:val="22"/>
        </w:rPr>
        <w:t>Dozė, kai reikia atpalaiduoti storąsias žarnas, yra 0,5</w:t>
      </w:r>
      <w:r>
        <w:t>–</w:t>
      </w:r>
      <w:r>
        <w:rPr>
          <w:szCs w:val="22"/>
        </w:rPr>
        <w:t>0,75 mg, leidžiant į veną, arba 1−2 mg, leidžiant į raumenis. Po 0,2</w:t>
      </w:r>
      <w:r>
        <w:t>–</w:t>
      </w:r>
      <w:r>
        <w:rPr>
          <w:szCs w:val="22"/>
        </w:rPr>
        <w:t>0,5 mg injekcijos į veną poveikis pasireiškia po vienos minutės ir tęsiasi 5</w:t>
      </w:r>
      <w:r>
        <w:t>–</w:t>
      </w:r>
      <w:r>
        <w:rPr>
          <w:szCs w:val="22"/>
        </w:rPr>
        <w:t>20 minučių. Po 1</w:t>
      </w:r>
      <w:r>
        <w:rPr>
          <w:szCs w:val="22"/>
        </w:rPr>
        <w:noBreakHyphen/>
        <w:t>2 mg injekcijos į raumenis poveikis pasireiškia per 5</w:t>
      </w:r>
      <w:r>
        <w:t>–</w:t>
      </w:r>
      <w:r>
        <w:rPr>
          <w:szCs w:val="22"/>
        </w:rPr>
        <w:t>15 minučių ir tęsiasi apytiksliai 10</w:t>
      </w:r>
      <w:r>
        <w:t>–</w:t>
      </w:r>
      <w:r>
        <w:rPr>
          <w:szCs w:val="22"/>
        </w:rPr>
        <w:t>40 minučių.</w:t>
      </w:r>
    </w:p>
    <w:p w14:paraId="2900B7A3" w14:textId="77777777" w:rsidR="00AD5A09" w:rsidRDefault="00AD5A09" w:rsidP="00AD5A09">
      <w:pPr>
        <w:rPr>
          <w:szCs w:val="22"/>
        </w:rPr>
      </w:pPr>
    </w:p>
    <w:p w14:paraId="1B91BFCF" w14:textId="77777777" w:rsidR="00AD5A09" w:rsidRPr="00AE5988" w:rsidRDefault="00AD5A09" w:rsidP="00AD5A09">
      <w:pPr>
        <w:rPr>
          <w:b/>
          <w:szCs w:val="22"/>
        </w:rPr>
      </w:pPr>
      <w:r w:rsidRPr="00AE5988">
        <w:rPr>
          <w:b/>
          <w:szCs w:val="22"/>
        </w:rPr>
        <w:t>Galimi šalutiniai poveikiai vartojant vaistą diagnostinėms procedūroms</w:t>
      </w:r>
    </w:p>
    <w:p w14:paraId="417828A3" w14:textId="77777777" w:rsidR="00AD5A09" w:rsidRDefault="00AD5A09" w:rsidP="00AD5A09">
      <w:pPr>
        <w:rPr>
          <w:szCs w:val="22"/>
        </w:rPr>
      </w:pPr>
    </w:p>
    <w:p w14:paraId="39BBD726" w14:textId="77777777" w:rsidR="00AD5A09" w:rsidRDefault="00AD5A09" w:rsidP="00AD5A09">
      <w:pPr>
        <w:rPr>
          <w:szCs w:val="22"/>
        </w:rPr>
      </w:pPr>
      <w:r>
        <w:rPr>
          <w:szCs w:val="22"/>
        </w:rPr>
        <w:t>Kraujospūdžio pasikeitimai, pagreitėjęs širdies plakimas, hipoglikemija ir hipoglikeminė koma.</w:t>
      </w:r>
    </w:p>
    <w:p w14:paraId="76398FCA" w14:textId="77777777" w:rsidR="00BF0EEA" w:rsidRDefault="00BF0EEA" w:rsidP="00BF0EEA">
      <w:pPr>
        <w:rPr>
          <w:b/>
        </w:rPr>
      </w:pPr>
    </w:p>
    <w:p w14:paraId="194E210F" w14:textId="77777777" w:rsidR="00BF0EEA" w:rsidRDefault="00BF0EEA" w:rsidP="00BF0EEA">
      <w:pPr>
        <w:rPr>
          <w:b/>
        </w:rPr>
      </w:pPr>
      <w:bookmarkStart w:id="6" w:name="_GoBack"/>
      <w:bookmarkEnd w:id="6"/>
    </w:p>
    <w:p w14:paraId="7156C10A" w14:textId="7E177996" w:rsidR="00876205" w:rsidRDefault="00876205"/>
    <w:sectPr w:rsidR="00876205" w:rsidSect="00437BEA">
      <w:headerReference w:type="default" r:id="rId16"/>
      <w:footerReference w:type="defaul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4A71D" w14:textId="77777777" w:rsidR="00987402" w:rsidRDefault="00987402">
      <w:r>
        <w:separator/>
      </w:r>
    </w:p>
  </w:endnote>
  <w:endnote w:type="continuationSeparator" w:id="0">
    <w:p w14:paraId="3ECB1D1A" w14:textId="77777777" w:rsidR="00987402" w:rsidRDefault="009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9BEF" w14:textId="77777777" w:rsidR="00362B3B" w:rsidRPr="00A50C32" w:rsidRDefault="00362B3B" w:rsidP="00FA196D">
    <w:pPr>
      <w:pStyle w:val="Porat"/>
      <w:tabs>
        <w:tab w:val="clear" w:pos="4819"/>
        <w:tab w:val="clear" w:pos="9638"/>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A946F" w14:textId="77777777" w:rsidR="00987402" w:rsidRDefault="00987402">
      <w:r>
        <w:separator/>
      </w:r>
    </w:p>
  </w:footnote>
  <w:footnote w:type="continuationSeparator" w:id="0">
    <w:p w14:paraId="625274B9" w14:textId="77777777" w:rsidR="00987402" w:rsidRDefault="0098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586C" w14:textId="77777777" w:rsidR="00362B3B" w:rsidRDefault="00362B3B" w:rsidP="00FA196D">
    <w:pPr>
      <w:pStyle w:val="Antrats"/>
      <w:tabs>
        <w:tab w:val="clear" w:pos="4819"/>
        <w:tab w:val="clear" w:pos="9638"/>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FE5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4A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6EA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C36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D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ECB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07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984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46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61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784F7D"/>
    <w:multiLevelType w:val="multilevel"/>
    <w:tmpl w:val="44E6A8E2"/>
    <w:lvl w:ilvl="0">
      <w:start w:val="6"/>
      <w:numFmt w:val="decimal"/>
      <w:lvlText w:val="%1"/>
      <w:lvlJc w:val="left"/>
      <w:pPr>
        <w:tabs>
          <w:tab w:val="num" w:pos="396"/>
        </w:tabs>
        <w:ind w:left="396" w:hanging="396"/>
      </w:pPr>
      <w:rPr>
        <w:rFonts w:cs="Times New Roman" w:hint="default"/>
      </w:rPr>
    </w:lvl>
    <w:lvl w:ilvl="1">
      <w:start w:val="4"/>
      <w:numFmt w:val="decimal"/>
      <w:lvlText w:val="%1.%2"/>
      <w:lvlJc w:val="left"/>
      <w:pPr>
        <w:tabs>
          <w:tab w:val="num" w:pos="936"/>
        </w:tabs>
        <w:ind w:left="936" w:hanging="396"/>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13" w15:restartNumberingAfterBreak="0">
    <w:nsid w:val="467529C2"/>
    <w:multiLevelType w:val="hybridMultilevel"/>
    <w:tmpl w:val="31BA0088"/>
    <w:lvl w:ilvl="0" w:tplc="04090015">
      <w:start w:val="1"/>
      <w:numFmt w:val="upperLetter"/>
      <w:lvlText w:val="%1."/>
      <w:lvlJc w:val="left"/>
      <w:pPr>
        <w:tabs>
          <w:tab w:val="num" w:pos="720"/>
        </w:tabs>
        <w:ind w:left="720" w:hanging="360"/>
      </w:pPr>
      <w:rPr>
        <w:rFonts w:cs="Times New Roman" w:hint="default"/>
      </w:rPr>
    </w:lvl>
    <w:lvl w:ilvl="1" w:tplc="E12297A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104838"/>
    <w:multiLevelType w:val="hybridMultilevel"/>
    <w:tmpl w:val="ABECFD50"/>
    <w:lvl w:ilvl="0" w:tplc="94365DCA">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E7E38"/>
    <w:multiLevelType w:val="hybridMultilevel"/>
    <w:tmpl w:val="F3FCCBD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12"/>
  </w:num>
  <w:num w:numId="12">
    <w:abstractNumId w:val="16"/>
  </w:num>
  <w:num w:numId="13">
    <w:abstractNumId w:val="13"/>
  </w:num>
  <w:num w:numId="14">
    <w:abstractNumId w:val="14"/>
  </w:num>
  <w:num w:numId="15">
    <w:abstractNumId w:val="1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7A"/>
    <w:rsid w:val="00011159"/>
    <w:rsid w:val="00016572"/>
    <w:rsid w:val="000B757A"/>
    <w:rsid w:val="00151683"/>
    <w:rsid w:val="00165BDA"/>
    <w:rsid w:val="001C0069"/>
    <w:rsid w:val="00202079"/>
    <w:rsid w:val="00215F46"/>
    <w:rsid w:val="00234201"/>
    <w:rsid w:val="00253B36"/>
    <w:rsid w:val="00273310"/>
    <w:rsid w:val="003108A8"/>
    <w:rsid w:val="003221D8"/>
    <w:rsid w:val="00323892"/>
    <w:rsid w:val="0033170E"/>
    <w:rsid w:val="00362B3B"/>
    <w:rsid w:val="003A27F3"/>
    <w:rsid w:val="003F0A5C"/>
    <w:rsid w:val="00410F9C"/>
    <w:rsid w:val="00422A76"/>
    <w:rsid w:val="00425728"/>
    <w:rsid w:val="00437BEA"/>
    <w:rsid w:val="00456086"/>
    <w:rsid w:val="0047496F"/>
    <w:rsid w:val="004B22FC"/>
    <w:rsid w:val="00522723"/>
    <w:rsid w:val="00560417"/>
    <w:rsid w:val="005A487A"/>
    <w:rsid w:val="006048DD"/>
    <w:rsid w:val="006074F8"/>
    <w:rsid w:val="00630B95"/>
    <w:rsid w:val="006762A4"/>
    <w:rsid w:val="006A7F16"/>
    <w:rsid w:val="006C2173"/>
    <w:rsid w:val="006D1A90"/>
    <w:rsid w:val="00706B55"/>
    <w:rsid w:val="00755FD8"/>
    <w:rsid w:val="00762123"/>
    <w:rsid w:val="007634E3"/>
    <w:rsid w:val="007D7355"/>
    <w:rsid w:val="007F252E"/>
    <w:rsid w:val="008313A6"/>
    <w:rsid w:val="0087316D"/>
    <w:rsid w:val="00876205"/>
    <w:rsid w:val="008E09BF"/>
    <w:rsid w:val="00966EEB"/>
    <w:rsid w:val="00987402"/>
    <w:rsid w:val="009A2D52"/>
    <w:rsid w:val="009F1594"/>
    <w:rsid w:val="00A60747"/>
    <w:rsid w:val="00AD5A09"/>
    <w:rsid w:val="00AE340A"/>
    <w:rsid w:val="00BF0EEA"/>
    <w:rsid w:val="00C00D18"/>
    <w:rsid w:val="00CC004B"/>
    <w:rsid w:val="00CF5D15"/>
    <w:rsid w:val="00D9765D"/>
    <w:rsid w:val="00DF5DB7"/>
    <w:rsid w:val="00E02970"/>
    <w:rsid w:val="00E20E88"/>
    <w:rsid w:val="00E25CD2"/>
    <w:rsid w:val="00EF0FD7"/>
    <w:rsid w:val="00F12927"/>
    <w:rsid w:val="00F50FE6"/>
    <w:rsid w:val="00F82C35"/>
    <w:rsid w:val="00FA196D"/>
    <w:rsid w:val="00FC0DA9"/>
    <w:rsid w:val="00FC24C2"/>
    <w:rsid w:val="00FC4D8A"/>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A71557"/>
  <w15:docId w15:val="{CDA78F46-525D-4C7A-9966-945B9879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5A09"/>
    <w:pPr>
      <w:tabs>
        <w:tab w:val="left" w:pos="567"/>
      </w:tabs>
      <w:suppressAutoHyphens/>
      <w:spacing w:after="0" w:line="240" w:lineRule="auto"/>
    </w:pPr>
    <w:rPr>
      <w:rFonts w:ascii="Times New Roman" w:eastAsia="Times New Roman" w:hAnsi="Times New Roman" w:cs="Times New Roman"/>
      <w:noProof/>
      <w:szCs w:val="24"/>
    </w:rPr>
  </w:style>
  <w:style w:type="paragraph" w:styleId="Antrat1">
    <w:name w:val="heading 1"/>
    <w:basedOn w:val="prastasis"/>
    <w:next w:val="prastasis"/>
    <w:link w:val="Antrat1Diagrama"/>
    <w:uiPriority w:val="9"/>
    <w:qFormat/>
    <w:rsid w:val="00AD5A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qFormat/>
    <w:rsid w:val="00AD5A09"/>
    <w:pPr>
      <w:keepNext/>
      <w:spacing w:before="240" w:after="60"/>
      <w:outlineLvl w:val="1"/>
    </w:pPr>
    <w:rPr>
      <w:b/>
      <w:bCs/>
      <w:iCs/>
      <w:szCs w:val="28"/>
    </w:rPr>
  </w:style>
  <w:style w:type="paragraph" w:styleId="Antrat3">
    <w:name w:val="heading 3"/>
    <w:basedOn w:val="prastasis"/>
    <w:next w:val="prastasis"/>
    <w:link w:val="Antrat3Diagrama"/>
    <w:qFormat/>
    <w:rsid w:val="00AD5A09"/>
    <w:pPr>
      <w:keepNext/>
      <w:spacing w:before="240" w:after="60"/>
      <w:outlineLvl w:val="2"/>
    </w:pPr>
    <w:rPr>
      <w:b/>
      <w:bCs/>
      <w:i/>
      <w:szCs w:val="26"/>
    </w:rPr>
  </w:style>
  <w:style w:type="paragraph" w:styleId="Antrat4">
    <w:name w:val="heading 4"/>
    <w:basedOn w:val="prastasis"/>
    <w:next w:val="prastasis"/>
    <w:link w:val="Antrat4Diagrama"/>
    <w:qFormat/>
    <w:rsid w:val="00AD5A09"/>
    <w:pPr>
      <w:keepNext/>
      <w:outlineLvl w:val="3"/>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A09"/>
    <w:rPr>
      <w:rFonts w:asciiTheme="majorHAnsi" w:eastAsiaTheme="majorEastAsia" w:hAnsiTheme="majorHAnsi" w:cstheme="majorBidi"/>
      <w:b/>
      <w:bCs/>
      <w:noProof/>
      <w:color w:val="2E74B5" w:themeColor="accent1" w:themeShade="BF"/>
      <w:sz w:val="28"/>
      <w:szCs w:val="28"/>
    </w:rPr>
  </w:style>
  <w:style w:type="character" w:customStyle="1" w:styleId="Antrat2Diagrama">
    <w:name w:val="Antraštė 2 Diagrama"/>
    <w:basedOn w:val="Numatytasispastraiposriftas"/>
    <w:link w:val="Antrat2"/>
    <w:rsid w:val="00AD5A09"/>
    <w:rPr>
      <w:rFonts w:ascii="Times New Roman" w:eastAsia="Times New Roman" w:hAnsi="Times New Roman" w:cs="Times New Roman"/>
      <w:b/>
      <w:bCs/>
      <w:iCs/>
      <w:noProof/>
      <w:szCs w:val="28"/>
    </w:rPr>
  </w:style>
  <w:style w:type="character" w:customStyle="1" w:styleId="Antrat3Diagrama">
    <w:name w:val="Antraštė 3 Diagrama"/>
    <w:basedOn w:val="Numatytasispastraiposriftas"/>
    <w:link w:val="Antrat3"/>
    <w:rsid w:val="00AD5A09"/>
    <w:rPr>
      <w:rFonts w:ascii="Times New Roman" w:eastAsia="Times New Roman" w:hAnsi="Times New Roman" w:cs="Times New Roman"/>
      <w:b/>
      <w:bCs/>
      <w:i/>
      <w:noProof/>
      <w:szCs w:val="26"/>
    </w:rPr>
  </w:style>
  <w:style w:type="character" w:customStyle="1" w:styleId="Antrat4Diagrama">
    <w:name w:val="Antraštė 4 Diagrama"/>
    <w:basedOn w:val="Numatytasispastraiposriftas"/>
    <w:link w:val="Antrat4"/>
    <w:rsid w:val="00AD5A09"/>
    <w:rPr>
      <w:rFonts w:ascii="Times New Roman" w:eastAsia="Times New Roman" w:hAnsi="Times New Roman" w:cs="Times New Roman"/>
      <w:noProof/>
      <w:sz w:val="28"/>
      <w:szCs w:val="24"/>
    </w:rPr>
  </w:style>
  <w:style w:type="paragraph" w:styleId="Antrats">
    <w:name w:val="header"/>
    <w:basedOn w:val="prastasis"/>
    <w:link w:val="AntratsDiagrama"/>
    <w:rsid w:val="00AD5A09"/>
    <w:pPr>
      <w:tabs>
        <w:tab w:val="center" w:pos="4819"/>
        <w:tab w:val="right" w:pos="9638"/>
      </w:tabs>
    </w:pPr>
    <w:rPr>
      <w:sz w:val="18"/>
    </w:rPr>
  </w:style>
  <w:style w:type="character" w:customStyle="1" w:styleId="AntratsDiagrama">
    <w:name w:val="Antraštės Diagrama"/>
    <w:basedOn w:val="Numatytasispastraiposriftas"/>
    <w:link w:val="Antrats"/>
    <w:rsid w:val="00AD5A09"/>
    <w:rPr>
      <w:rFonts w:ascii="Times New Roman" w:eastAsia="Times New Roman" w:hAnsi="Times New Roman" w:cs="Times New Roman"/>
      <w:noProof/>
      <w:sz w:val="18"/>
      <w:szCs w:val="24"/>
    </w:rPr>
  </w:style>
  <w:style w:type="paragraph" w:styleId="Porat">
    <w:name w:val="footer"/>
    <w:basedOn w:val="prastasis"/>
    <w:link w:val="PoratDiagrama"/>
    <w:rsid w:val="00AD5A09"/>
    <w:pPr>
      <w:tabs>
        <w:tab w:val="center" w:pos="4819"/>
        <w:tab w:val="right" w:pos="9638"/>
      </w:tabs>
    </w:pPr>
    <w:rPr>
      <w:sz w:val="16"/>
    </w:rPr>
  </w:style>
  <w:style w:type="character" w:customStyle="1" w:styleId="PoratDiagrama">
    <w:name w:val="Poraštė Diagrama"/>
    <w:basedOn w:val="Numatytasispastraiposriftas"/>
    <w:link w:val="Porat"/>
    <w:rsid w:val="00AD5A09"/>
    <w:rPr>
      <w:rFonts w:ascii="Times New Roman" w:eastAsia="Times New Roman" w:hAnsi="Times New Roman" w:cs="Times New Roman"/>
      <w:noProof/>
      <w:sz w:val="16"/>
      <w:szCs w:val="24"/>
    </w:rPr>
  </w:style>
  <w:style w:type="character" w:styleId="Hipersaitas">
    <w:name w:val="Hyperlink"/>
    <w:basedOn w:val="Numatytasispastraiposriftas"/>
    <w:semiHidden/>
    <w:rsid w:val="00AD5A09"/>
    <w:rPr>
      <w:rFonts w:ascii="Verdana" w:hAnsi="Verdana"/>
      <w:color w:val="0000FF"/>
      <w:sz w:val="20"/>
      <w:u w:val="single"/>
    </w:rPr>
  </w:style>
  <w:style w:type="paragraph" w:styleId="prastasiniatinklio">
    <w:name w:val="Normal (Web)"/>
    <w:basedOn w:val="prastasis"/>
    <w:semiHidden/>
    <w:rsid w:val="00AD5A09"/>
  </w:style>
  <w:style w:type="table" w:styleId="Lentelstinklelis">
    <w:name w:val="Table Grid"/>
    <w:basedOn w:val="prastojilentel"/>
    <w:rsid w:val="00AD5A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D5A09"/>
    <w:pPr>
      <w:tabs>
        <w:tab w:val="clear" w:pos="567"/>
      </w:tabs>
      <w:suppressAutoHyphens w:val="0"/>
      <w:spacing w:after="120"/>
    </w:pPr>
    <w:rPr>
      <w:szCs w:val="20"/>
      <w:lang w:eastAsia="lt-LT"/>
    </w:rPr>
  </w:style>
  <w:style w:type="character" w:customStyle="1" w:styleId="PagrindinistekstasDiagrama">
    <w:name w:val="Pagrindinis tekstas Diagrama"/>
    <w:basedOn w:val="Numatytasispastraiposriftas"/>
    <w:link w:val="Pagrindinistekstas"/>
    <w:rsid w:val="00AD5A09"/>
    <w:rPr>
      <w:rFonts w:ascii="Times New Roman" w:eastAsia="Times New Roman" w:hAnsi="Times New Roman" w:cs="Times New Roman"/>
      <w:noProof/>
      <w:szCs w:val="20"/>
      <w:lang w:eastAsia="lt-LT"/>
    </w:rPr>
  </w:style>
  <w:style w:type="paragraph" w:customStyle="1" w:styleId="BTEMEASMCA">
    <w:name w:val="BT EMEA_SMCA"/>
    <w:basedOn w:val="prastasis"/>
    <w:link w:val="BTEMEASMCAChar"/>
    <w:autoRedefine/>
    <w:rsid w:val="00AD5A09"/>
    <w:pPr>
      <w:tabs>
        <w:tab w:val="clear" w:pos="567"/>
      </w:tabs>
      <w:suppressAutoHyphens w:val="0"/>
    </w:pPr>
    <w:rPr>
      <w:rFonts w:eastAsia="Arial Unicode MS"/>
      <w:szCs w:val="22"/>
    </w:rPr>
  </w:style>
  <w:style w:type="paragraph" w:customStyle="1" w:styleId="TTEMEASMCA">
    <w:name w:val="TT EMEA_SMCA"/>
    <w:basedOn w:val="Antrat1"/>
    <w:link w:val="TTEMEASMCAChar"/>
    <w:autoRedefine/>
    <w:rsid w:val="00AD5A09"/>
    <w:pPr>
      <w:keepNext w:val="0"/>
      <w:spacing w:before="0"/>
      <w:ind w:left="567" w:hanging="567"/>
      <w:jc w:val="center"/>
    </w:pPr>
    <w:rPr>
      <w:bCs w:val="0"/>
      <w:caps/>
      <w:sz w:val="22"/>
      <w:szCs w:val="22"/>
      <w:lang w:val="en-US"/>
    </w:rPr>
  </w:style>
  <w:style w:type="character" w:customStyle="1" w:styleId="TTEMEASMCAChar">
    <w:name w:val="TT EMEA_SMCA Char"/>
    <w:basedOn w:val="Numatytasispastraiposriftas"/>
    <w:link w:val="TTEMEASMCA"/>
    <w:locked/>
    <w:rsid w:val="00AD5A09"/>
    <w:rPr>
      <w:rFonts w:asciiTheme="majorHAnsi" w:eastAsiaTheme="majorEastAsia" w:hAnsiTheme="majorHAnsi" w:cstheme="majorBidi"/>
      <w:b/>
      <w:caps/>
      <w:noProof/>
      <w:color w:val="2E74B5" w:themeColor="accent1" w:themeShade="BF"/>
      <w:lang w:val="en-US"/>
    </w:rPr>
  </w:style>
  <w:style w:type="character" w:customStyle="1" w:styleId="BTEMEASMCAChar">
    <w:name w:val="BT EMEA_SMCA Char"/>
    <w:basedOn w:val="Numatytasispastraiposriftas"/>
    <w:link w:val="BTEMEASMCA"/>
    <w:locked/>
    <w:rsid w:val="00AD5A09"/>
    <w:rPr>
      <w:rFonts w:ascii="Times New Roman" w:eastAsia="Arial Unicode MS" w:hAnsi="Times New Roman" w:cs="Times New Roman"/>
      <w:noProof/>
    </w:rPr>
  </w:style>
  <w:style w:type="paragraph" w:styleId="Debesliotekstas">
    <w:name w:val="Balloon Text"/>
    <w:basedOn w:val="prastasis"/>
    <w:link w:val="DebesliotekstasDiagrama"/>
    <w:uiPriority w:val="99"/>
    <w:semiHidden/>
    <w:unhideWhenUsed/>
    <w:rsid w:val="00AD5A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A09"/>
    <w:rPr>
      <w:rFonts w:ascii="Tahoma" w:eastAsia="Times New Roman" w:hAnsi="Tahoma" w:cs="Tahoma"/>
      <w:noProof/>
      <w:sz w:val="16"/>
      <w:szCs w:val="16"/>
    </w:rPr>
  </w:style>
  <w:style w:type="character" w:styleId="Komentaronuoroda">
    <w:name w:val="annotation reference"/>
    <w:basedOn w:val="Numatytasispastraiposriftas"/>
    <w:uiPriority w:val="99"/>
    <w:semiHidden/>
    <w:unhideWhenUsed/>
    <w:rsid w:val="00AD5A09"/>
    <w:rPr>
      <w:sz w:val="16"/>
      <w:szCs w:val="16"/>
    </w:rPr>
  </w:style>
  <w:style w:type="paragraph" w:styleId="Komentarotekstas">
    <w:name w:val="annotation text"/>
    <w:basedOn w:val="prastasis"/>
    <w:link w:val="KomentarotekstasDiagrama"/>
    <w:uiPriority w:val="99"/>
    <w:unhideWhenUsed/>
    <w:rsid w:val="00AD5A09"/>
    <w:rPr>
      <w:sz w:val="20"/>
      <w:szCs w:val="20"/>
    </w:rPr>
  </w:style>
  <w:style w:type="character" w:customStyle="1" w:styleId="KomentarotekstasDiagrama">
    <w:name w:val="Komentaro tekstas Diagrama"/>
    <w:basedOn w:val="Numatytasispastraiposriftas"/>
    <w:link w:val="Komentarotekstas"/>
    <w:uiPriority w:val="99"/>
    <w:rsid w:val="00AD5A09"/>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sid w:val="00AD5A09"/>
    <w:rPr>
      <w:b/>
      <w:bCs/>
    </w:rPr>
  </w:style>
  <w:style w:type="character" w:customStyle="1" w:styleId="KomentarotemaDiagrama">
    <w:name w:val="Komentaro tema Diagrama"/>
    <w:basedOn w:val="KomentarotekstasDiagrama"/>
    <w:link w:val="Komentarotema"/>
    <w:uiPriority w:val="99"/>
    <w:semiHidden/>
    <w:rsid w:val="00AD5A09"/>
    <w:rPr>
      <w:rFonts w:ascii="Times New Roman" w:eastAsia="Times New Roman" w:hAnsi="Times New Roman" w:cs="Times New Roman"/>
      <w:b/>
      <w:bCs/>
      <w:noProof/>
      <w:sz w:val="20"/>
      <w:szCs w:val="20"/>
    </w:rPr>
  </w:style>
  <w:style w:type="paragraph" w:customStyle="1" w:styleId="AHeader1">
    <w:name w:val="AHeader 1"/>
    <w:basedOn w:val="prastasis"/>
    <w:rsid w:val="00AD5A09"/>
    <w:pPr>
      <w:numPr>
        <w:numId w:val="15"/>
      </w:numPr>
      <w:tabs>
        <w:tab w:val="clear" w:pos="567"/>
      </w:tabs>
      <w:spacing w:after="120"/>
    </w:pPr>
    <w:rPr>
      <w:rFonts w:ascii="Arial" w:hAnsi="Arial" w:cs="Arial"/>
      <w:b/>
      <w:bCs/>
      <w:sz w:val="24"/>
      <w:lang w:val="en-GB"/>
    </w:rPr>
  </w:style>
  <w:style w:type="paragraph" w:customStyle="1" w:styleId="AHeader2">
    <w:name w:val="AHeader 2"/>
    <w:basedOn w:val="AHeader1"/>
    <w:rsid w:val="00AD5A09"/>
    <w:pPr>
      <w:numPr>
        <w:ilvl w:val="1"/>
      </w:numPr>
      <w:tabs>
        <w:tab w:val="clear" w:pos="709"/>
        <w:tab w:val="num" w:pos="360"/>
      </w:tabs>
    </w:pPr>
    <w:rPr>
      <w:sz w:val="22"/>
    </w:rPr>
  </w:style>
  <w:style w:type="paragraph" w:customStyle="1" w:styleId="AHeader3">
    <w:name w:val="AHeader 3"/>
    <w:basedOn w:val="AHeader2"/>
    <w:rsid w:val="00AD5A09"/>
    <w:pPr>
      <w:numPr>
        <w:ilvl w:val="2"/>
      </w:numPr>
      <w:tabs>
        <w:tab w:val="clear" w:pos="1276"/>
        <w:tab w:val="num" w:pos="360"/>
      </w:tabs>
    </w:pPr>
  </w:style>
  <w:style w:type="paragraph" w:customStyle="1" w:styleId="AHeader2abc">
    <w:name w:val="AHeader 2 abc"/>
    <w:basedOn w:val="AHeader3"/>
    <w:rsid w:val="00AD5A09"/>
    <w:pPr>
      <w:numPr>
        <w:ilvl w:val="3"/>
      </w:numPr>
      <w:tabs>
        <w:tab w:val="clear" w:pos="1276"/>
        <w:tab w:val="num" w:pos="360"/>
      </w:tabs>
      <w:jc w:val="both"/>
    </w:pPr>
    <w:rPr>
      <w:b w:val="0"/>
      <w:bCs w:val="0"/>
    </w:rPr>
  </w:style>
  <w:style w:type="paragraph" w:customStyle="1" w:styleId="AHeader3abc">
    <w:name w:val="AHeader 3 abc"/>
    <w:basedOn w:val="AHeader2abc"/>
    <w:rsid w:val="00AD5A09"/>
    <w:pPr>
      <w:numPr>
        <w:ilvl w:val="4"/>
      </w:numPr>
      <w:tabs>
        <w:tab w:val="clear" w:pos="1701"/>
        <w:tab w:val="num" w:pos="360"/>
      </w:tabs>
    </w:pPr>
  </w:style>
  <w:style w:type="paragraph" w:styleId="Sraopastraipa">
    <w:name w:val="List Paragraph"/>
    <w:basedOn w:val="prastasis"/>
    <w:uiPriority w:val="34"/>
    <w:qFormat/>
    <w:rsid w:val="00AD5A09"/>
    <w:pPr>
      <w:ind w:left="720"/>
      <w:contextualSpacing/>
    </w:pPr>
  </w:style>
  <w:style w:type="character" w:styleId="Puslapionumeris">
    <w:name w:val="page number"/>
    <w:basedOn w:val="Numatytasispastraiposriftas"/>
    <w:rsid w:val="00AD5A09"/>
    <w:rPr>
      <w:rFonts w:cs="Times New Roman"/>
    </w:rPr>
  </w:style>
  <w:style w:type="paragraph" w:styleId="Pataisymai">
    <w:name w:val="Revision"/>
    <w:hidden/>
    <w:uiPriority w:val="99"/>
    <w:semiHidden/>
    <w:rsid w:val="00AD5A09"/>
    <w:pPr>
      <w:spacing w:after="0" w:line="240" w:lineRule="auto"/>
    </w:pPr>
    <w:rPr>
      <w:rFonts w:ascii="Times New Roman" w:eastAsia="Times New Roman" w:hAnsi="Times New Roman" w:cs="Times New Roman"/>
      <w:noProof/>
      <w:szCs w:val="24"/>
    </w:rPr>
  </w:style>
  <w:style w:type="character" w:customStyle="1" w:styleId="rynqvb">
    <w:name w:val="rynqvb"/>
    <w:basedOn w:val="Numatytasispastraiposriftas"/>
    <w:rsid w:val="00C00D18"/>
  </w:style>
  <w:style w:type="character" w:customStyle="1" w:styleId="hwtze">
    <w:name w:val="hwtze"/>
    <w:basedOn w:val="Numatytasispastraiposriftas"/>
    <w:rsid w:val="00011159"/>
  </w:style>
  <w:style w:type="paragraph" w:customStyle="1" w:styleId="Default">
    <w:name w:val="Default"/>
    <w:rsid w:val="005A48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Numatytasispastraiposriftas"/>
    <w:uiPriority w:val="99"/>
    <w:semiHidden/>
    <w:unhideWhenUsed/>
    <w:rsid w:val="00D9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6112">
      <w:bodyDiv w:val="1"/>
      <w:marLeft w:val="0"/>
      <w:marRight w:val="0"/>
      <w:marTop w:val="0"/>
      <w:marBottom w:val="0"/>
      <w:divBdr>
        <w:top w:val="none" w:sz="0" w:space="0" w:color="auto"/>
        <w:left w:val="none" w:sz="0" w:space="0" w:color="auto"/>
        <w:bottom w:val="none" w:sz="0" w:space="0" w:color="auto"/>
        <w:right w:val="none" w:sz="0" w:space="0" w:color="auto"/>
      </w:divBdr>
    </w:div>
    <w:div w:id="12104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C3AC-C10C-45ED-8AD5-7799D318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23388</Words>
  <Characters>13332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cp:lastPrinted>2017-12-07T07:55:00Z</cp:lastPrinted>
  <dcterms:created xsi:type="dcterms:W3CDTF">2022-12-22T14:37:00Z</dcterms:created>
  <dcterms:modified xsi:type="dcterms:W3CDTF">2022-12-22T14:39:00Z</dcterms:modified>
</cp:coreProperties>
</file>