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D0D" w:rsidRDefault="00D93D0D" w:rsidP="00D93D0D">
      <w:pPr>
        <w:tabs>
          <w:tab w:val="left" w:pos="6521"/>
          <w:tab w:val="center" w:pos="6804"/>
        </w:tabs>
        <w:jc w:val="center"/>
        <w:rPr>
          <w:b/>
          <w:szCs w:val="22"/>
        </w:rPr>
      </w:pPr>
      <w:r>
        <w:rPr>
          <w:b/>
          <w:szCs w:val="22"/>
        </w:rPr>
        <w:t>Pakuotės lapelis: informacija vartotojui</w:t>
      </w:r>
    </w:p>
    <w:p w:rsidR="00D93D0D" w:rsidRDefault="00D93D0D" w:rsidP="00D93D0D">
      <w:pPr>
        <w:jc w:val="both"/>
        <w:rPr>
          <w:szCs w:val="22"/>
        </w:rPr>
      </w:pPr>
    </w:p>
    <w:p w:rsidR="00D93D0D" w:rsidRDefault="00D93D0D" w:rsidP="00D93D0D">
      <w:pPr>
        <w:jc w:val="center"/>
        <w:rPr>
          <w:b/>
          <w:bCs/>
        </w:rPr>
      </w:pPr>
      <w:r w:rsidRPr="00704A53">
        <w:rPr>
          <w:b/>
          <w:bCs/>
        </w:rPr>
        <w:t>GlucaGen HypoKit 1 mg</w:t>
      </w:r>
    </w:p>
    <w:p w:rsidR="00D93D0D" w:rsidRPr="00704A53" w:rsidRDefault="00D93D0D" w:rsidP="00D93D0D">
      <w:pPr>
        <w:jc w:val="center"/>
        <w:rPr>
          <w:b/>
        </w:rPr>
      </w:pPr>
      <w:r w:rsidRPr="00704A53">
        <w:rPr>
          <w:b/>
          <w:bCs/>
        </w:rPr>
        <w:t>m</w:t>
      </w:r>
      <w:r w:rsidRPr="00704A53">
        <w:rPr>
          <w:b/>
        </w:rPr>
        <w:t>ilteliai ir tirpiklis injekciniam tirpalui užpildytame švirkšte</w:t>
      </w:r>
    </w:p>
    <w:p w:rsidR="00D93D0D" w:rsidRPr="00BE077C" w:rsidRDefault="00D93D0D" w:rsidP="00D93D0D">
      <w:pPr>
        <w:pStyle w:val="Antrats"/>
        <w:jc w:val="center"/>
        <w:rPr>
          <w:sz w:val="22"/>
        </w:rPr>
      </w:pPr>
      <w:r>
        <w:rPr>
          <w:sz w:val="22"/>
        </w:rPr>
        <w:t>g</w:t>
      </w:r>
      <w:r w:rsidRPr="00BE077C">
        <w:rPr>
          <w:sz w:val="22"/>
        </w:rPr>
        <w:t>liukagonas</w:t>
      </w:r>
    </w:p>
    <w:p w:rsidR="00D93D0D" w:rsidRDefault="00D93D0D" w:rsidP="00D93D0D">
      <w:pPr>
        <w:pStyle w:val="Antrats"/>
        <w:jc w:val="both"/>
        <w:rPr>
          <w:szCs w:val="22"/>
        </w:rPr>
      </w:pPr>
    </w:p>
    <w:p w:rsidR="00D93D0D" w:rsidRDefault="00D93D0D" w:rsidP="00D93D0D">
      <w:pPr>
        <w:pStyle w:val="Antrats"/>
        <w:jc w:val="both"/>
        <w:rPr>
          <w:szCs w:val="22"/>
        </w:rPr>
      </w:pPr>
    </w:p>
    <w:p w:rsidR="00D93D0D" w:rsidRPr="00414B30" w:rsidRDefault="00D93D0D" w:rsidP="00D93D0D">
      <w:pPr>
        <w:pStyle w:val="Antrats"/>
        <w:jc w:val="both"/>
        <w:rPr>
          <w:b/>
          <w:sz w:val="22"/>
        </w:rPr>
      </w:pPr>
      <w:r w:rsidRPr="00414B30">
        <w:rPr>
          <w:b/>
          <w:sz w:val="22"/>
        </w:rPr>
        <w:t>Atidžiai perskaitykite visą šį lapelį, prieš pradėdami vartoti vaistą</w:t>
      </w:r>
      <w:r w:rsidRPr="00B949EC">
        <w:rPr>
          <w:b/>
          <w:sz w:val="22"/>
          <w:szCs w:val="22"/>
        </w:rPr>
        <w:t>, nes jame pateikiama Jums svarbi informacija</w:t>
      </w:r>
      <w:r w:rsidRPr="00414B30">
        <w:rPr>
          <w:b/>
          <w:sz w:val="22"/>
        </w:rPr>
        <w:t>.</w:t>
      </w:r>
    </w:p>
    <w:p w:rsidR="00D93D0D" w:rsidRDefault="00D93D0D" w:rsidP="00D93D0D">
      <w:pPr>
        <w:ind w:left="567" w:hanging="567"/>
      </w:pPr>
      <w:r w:rsidRPr="00382929">
        <w:t>–</w:t>
      </w:r>
      <w:r w:rsidRPr="00382929">
        <w:tab/>
      </w:r>
      <w:r>
        <w:t>Neišmeskite šio lapelio, nes vėl gali prireikti jį perskaityti.</w:t>
      </w:r>
    </w:p>
    <w:p w:rsidR="00D93D0D" w:rsidRDefault="00D93D0D" w:rsidP="00D93D0D">
      <w:pPr>
        <w:ind w:left="567" w:hanging="567"/>
      </w:pPr>
      <w:r w:rsidRPr="00382929">
        <w:t>–</w:t>
      </w:r>
      <w:r w:rsidRPr="00382929">
        <w:tab/>
      </w:r>
      <w:r>
        <w:t>Jeigu kiltų daugiau klausimų, kreipkitės į gydytoją, vaistininką arba slaugytoją.</w:t>
      </w:r>
    </w:p>
    <w:p w:rsidR="00D93D0D" w:rsidRDefault="00D93D0D" w:rsidP="00D93D0D">
      <w:pPr>
        <w:ind w:left="567" w:hanging="567"/>
      </w:pPr>
      <w:r w:rsidRPr="00382929">
        <w:t>–</w:t>
      </w:r>
      <w:r w:rsidRPr="00382929">
        <w:tab/>
      </w:r>
      <w:r>
        <w:t>Šis vaistas skirtas tik Jums, todėl kitiems žmonėms jo duoti negalima. Vaistas gali jiems pakenkti (net tiems, kurių ligos požymiai yra tokie patys kaip Jūsų).</w:t>
      </w:r>
    </w:p>
    <w:p w:rsidR="00D93D0D" w:rsidRDefault="00D93D0D" w:rsidP="00D93D0D">
      <w:pPr>
        <w:ind w:left="567" w:hanging="567"/>
      </w:pPr>
      <w:r w:rsidRPr="00382929">
        <w:t>–</w:t>
      </w:r>
      <w:r w:rsidRPr="00382929">
        <w:tab/>
      </w:r>
      <w:r>
        <w:t xml:space="preserve">Jeigu pasireiškė šalutinis poveikis </w:t>
      </w:r>
      <w:r w:rsidRPr="00976D94">
        <w:t>(net jeigu jis šiame lapelyje nenurodytas), kreipkitės į</w:t>
      </w:r>
      <w:r>
        <w:t xml:space="preserve"> gydytoją. </w:t>
      </w:r>
      <w:r w:rsidRPr="00D27F86">
        <w:t>Žr. 4 skyrių</w:t>
      </w:r>
      <w:r>
        <w:t>.</w:t>
      </w:r>
    </w:p>
    <w:p w:rsidR="00D93D0D" w:rsidRDefault="00D93D0D" w:rsidP="00D93D0D">
      <w:pPr>
        <w:ind w:left="567" w:hanging="567"/>
      </w:pPr>
    </w:p>
    <w:p w:rsidR="00D93D0D" w:rsidRPr="00B949EC" w:rsidRDefault="00D93D0D" w:rsidP="00D93D0D">
      <w:pPr>
        <w:pStyle w:val="Antrats"/>
        <w:jc w:val="both"/>
        <w:rPr>
          <w:b/>
          <w:sz w:val="22"/>
          <w:szCs w:val="22"/>
        </w:rPr>
      </w:pPr>
      <w:r w:rsidRPr="00B949EC">
        <w:rPr>
          <w:b/>
          <w:sz w:val="22"/>
          <w:szCs w:val="22"/>
        </w:rPr>
        <w:t>Apie ką rašoma šiame lapelyje?</w:t>
      </w:r>
    </w:p>
    <w:p w:rsidR="00D93D0D" w:rsidRPr="00BE077C" w:rsidRDefault="00D93D0D" w:rsidP="00D93D0D">
      <w:pPr>
        <w:pStyle w:val="Antrats"/>
        <w:jc w:val="both"/>
        <w:rPr>
          <w:sz w:val="22"/>
        </w:rPr>
      </w:pPr>
    </w:p>
    <w:p w:rsidR="00D93D0D" w:rsidRPr="00414B30" w:rsidRDefault="00D93D0D" w:rsidP="00D93D0D">
      <w:pPr>
        <w:pStyle w:val="Antrats"/>
        <w:jc w:val="both"/>
        <w:rPr>
          <w:sz w:val="22"/>
        </w:rPr>
      </w:pPr>
      <w:r w:rsidRPr="00414B30">
        <w:rPr>
          <w:sz w:val="22"/>
        </w:rPr>
        <w:t>1.</w:t>
      </w:r>
      <w:r w:rsidRPr="00414B30">
        <w:rPr>
          <w:b/>
          <w:sz w:val="22"/>
        </w:rPr>
        <w:tab/>
      </w:r>
      <w:r w:rsidRPr="00414B30">
        <w:rPr>
          <w:sz w:val="22"/>
        </w:rPr>
        <w:t>Kas yra GlucaGen HypoKit ir kam jis vartojamas</w:t>
      </w:r>
    </w:p>
    <w:p w:rsidR="00D93D0D" w:rsidRPr="00414B30" w:rsidRDefault="00D93D0D" w:rsidP="00D93D0D">
      <w:pPr>
        <w:pStyle w:val="Antrats"/>
        <w:jc w:val="both"/>
        <w:rPr>
          <w:sz w:val="22"/>
        </w:rPr>
      </w:pPr>
      <w:r w:rsidRPr="00414B30">
        <w:rPr>
          <w:sz w:val="22"/>
        </w:rPr>
        <w:t>2.</w:t>
      </w:r>
      <w:r w:rsidRPr="00414B30">
        <w:rPr>
          <w:sz w:val="22"/>
        </w:rPr>
        <w:tab/>
        <w:t>Kas žinotina prieš vartojant GlucaGen HypoKit</w:t>
      </w:r>
    </w:p>
    <w:p w:rsidR="00D93D0D" w:rsidRPr="00414B30" w:rsidRDefault="00D93D0D" w:rsidP="00D93D0D">
      <w:pPr>
        <w:pStyle w:val="Antrats"/>
        <w:jc w:val="both"/>
        <w:rPr>
          <w:sz w:val="22"/>
        </w:rPr>
      </w:pPr>
      <w:r w:rsidRPr="00414B30">
        <w:rPr>
          <w:sz w:val="22"/>
        </w:rPr>
        <w:t>3.</w:t>
      </w:r>
      <w:r w:rsidRPr="00414B30">
        <w:rPr>
          <w:sz w:val="22"/>
        </w:rPr>
        <w:tab/>
        <w:t>Kaip vartoti GlucaGen HypoKit</w:t>
      </w:r>
    </w:p>
    <w:p w:rsidR="00D93D0D" w:rsidRPr="00414B30" w:rsidRDefault="00D93D0D" w:rsidP="00D93D0D">
      <w:pPr>
        <w:pStyle w:val="Antrats"/>
        <w:jc w:val="both"/>
        <w:rPr>
          <w:sz w:val="22"/>
        </w:rPr>
      </w:pPr>
      <w:r w:rsidRPr="00414B30">
        <w:rPr>
          <w:sz w:val="22"/>
        </w:rPr>
        <w:t>4.</w:t>
      </w:r>
      <w:r w:rsidRPr="00414B30">
        <w:rPr>
          <w:sz w:val="22"/>
        </w:rPr>
        <w:tab/>
        <w:t>Galimas šalutinis poveikis</w:t>
      </w:r>
    </w:p>
    <w:p w:rsidR="00D93D0D" w:rsidRPr="00414B30" w:rsidRDefault="00D93D0D" w:rsidP="00D93D0D">
      <w:pPr>
        <w:pStyle w:val="Antrats"/>
        <w:jc w:val="both"/>
        <w:rPr>
          <w:sz w:val="22"/>
        </w:rPr>
      </w:pPr>
      <w:r w:rsidRPr="00414B30">
        <w:rPr>
          <w:sz w:val="22"/>
        </w:rPr>
        <w:t>5.</w:t>
      </w:r>
      <w:r w:rsidRPr="00414B30">
        <w:rPr>
          <w:sz w:val="22"/>
        </w:rPr>
        <w:tab/>
        <w:t>Kaip laikyti GlucaGen HypoKit</w:t>
      </w:r>
    </w:p>
    <w:p w:rsidR="00D93D0D" w:rsidRPr="00414B30" w:rsidRDefault="00D93D0D" w:rsidP="00D93D0D">
      <w:pPr>
        <w:pStyle w:val="Antrats"/>
        <w:jc w:val="both"/>
        <w:rPr>
          <w:sz w:val="22"/>
        </w:rPr>
      </w:pPr>
      <w:r w:rsidRPr="00414B30">
        <w:rPr>
          <w:sz w:val="22"/>
        </w:rPr>
        <w:t>6.</w:t>
      </w:r>
      <w:r w:rsidRPr="00414B30">
        <w:rPr>
          <w:sz w:val="22"/>
        </w:rPr>
        <w:tab/>
      </w:r>
      <w:r w:rsidRPr="00B949EC">
        <w:rPr>
          <w:sz w:val="22"/>
          <w:szCs w:val="22"/>
        </w:rPr>
        <w:t>Pakuotės turinys ir kita</w:t>
      </w:r>
      <w:r w:rsidRPr="00414B30">
        <w:rPr>
          <w:sz w:val="22"/>
        </w:rPr>
        <w:t xml:space="preserve"> informacija</w:t>
      </w:r>
    </w:p>
    <w:p w:rsidR="00D93D0D" w:rsidRPr="00414B30" w:rsidRDefault="00D93D0D" w:rsidP="00D93D0D">
      <w:pPr>
        <w:pStyle w:val="Antrats"/>
        <w:jc w:val="both"/>
        <w:rPr>
          <w:sz w:val="22"/>
        </w:rPr>
      </w:pPr>
      <w:r w:rsidRPr="00414B30">
        <w:rPr>
          <w:sz w:val="22"/>
        </w:rPr>
        <w:t>7.</w:t>
      </w:r>
      <w:r w:rsidRPr="00414B30">
        <w:rPr>
          <w:sz w:val="22"/>
        </w:rPr>
        <w:tab/>
        <w:t>Informacija</w:t>
      </w:r>
      <w:r w:rsidRPr="00B949EC">
        <w:rPr>
          <w:sz w:val="22"/>
          <w:szCs w:val="22"/>
        </w:rPr>
        <w:t>,</w:t>
      </w:r>
      <w:r w:rsidRPr="00414B30">
        <w:rPr>
          <w:sz w:val="22"/>
        </w:rPr>
        <w:t xml:space="preserve"> skirta sveikatos priežiūros specialistams</w:t>
      </w:r>
    </w:p>
    <w:p w:rsidR="00D93D0D" w:rsidRDefault="00D93D0D" w:rsidP="00D93D0D">
      <w:pPr>
        <w:pStyle w:val="Antrats"/>
        <w:jc w:val="both"/>
        <w:rPr>
          <w:szCs w:val="22"/>
        </w:rPr>
      </w:pPr>
    </w:p>
    <w:p w:rsidR="00D93D0D" w:rsidRDefault="00D93D0D" w:rsidP="00D93D0D">
      <w:pPr>
        <w:jc w:val="both"/>
        <w:rPr>
          <w:b/>
          <w:szCs w:val="22"/>
        </w:rPr>
      </w:pPr>
    </w:p>
    <w:p w:rsidR="00D93D0D" w:rsidRPr="00512A7A" w:rsidRDefault="00D93D0D" w:rsidP="00D93D0D">
      <w:pPr>
        <w:jc w:val="both"/>
        <w:rPr>
          <w:b/>
          <w:szCs w:val="22"/>
        </w:rPr>
      </w:pPr>
      <w:r w:rsidRPr="00512A7A">
        <w:rPr>
          <w:b/>
          <w:szCs w:val="22"/>
        </w:rPr>
        <w:t>1.</w:t>
      </w:r>
      <w:r w:rsidRPr="00512A7A">
        <w:rPr>
          <w:b/>
          <w:szCs w:val="22"/>
        </w:rPr>
        <w:tab/>
        <w:t xml:space="preserve">Kas yra </w:t>
      </w:r>
      <w:r>
        <w:rPr>
          <w:b/>
          <w:szCs w:val="22"/>
        </w:rPr>
        <w:t>G</w:t>
      </w:r>
      <w:r w:rsidRPr="00512A7A">
        <w:rPr>
          <w:b/>
          <w:szCs w:val="22"/>
        </w:rPr>
        <w:t>luca</w:t>
      </w:r>
      <w:r>
        <w:rPr>
          <w:b/>
          <w:szCs w:val="22"/>
        </w:rPr>
        <w:t>G</w:t>
      </w:r>
      <w:r w:rsidRPr="00512A7A">
        <w:rPr>
          <w:b/>
          <w:szCs w:val="22"/>
        </w:rPr>
        <w:t>en</w:t>
      </w:r>
      <w:r>
        <w:rPr>
          <w:b/>
          <w:szCs w:val="22"/>
        </w:rPr>
        <w:t xml:space="preserve"> H</w:t>
      </w:r>
      <w:r w:rsidRPr="008724A6">
        <w:rPr>
          <w:b/>
          <w:szCs w:val="22"/>
        </w:rPr>
        <w:t>ypo</w:t>
      </w:r>
      <w:r>
        <w:rPr>
          <w:b/>
          <w:szCs w:val="22"/>
        </w:rPr>
        <w:t>K</w:t>
      </w:r>
      <w:r w:rsidRPr="008724A6">
        <w:rPr>
          <w:b/>
          <w:szCs w:val="22"/>
        </w:rPr>
        <w:t xml:space="preserve">it </w:t>
      </w:r>
      <w:r w:rsidRPr="00512A7A">
        <w:rPr>
          <w:b/>
          <w:szCs w:val="22"/>
        </w:rPr>
        <w:t xml:space="preserve">ir </w:t>
      </w:r>
      <w:r>
        <w:rPr>
          <w:b/>
          <w:szCs w:val="22"/>
        </w:rPr>
        <w:t>kam</w:t>
      </w:r>
      <w:r w:rsidRPr="00512A7A">
        <w:rPr>
          <w:b/>
          <w:szCs w:val="22"/>
        </w:rPr>
        <w:t xml:space="preserve"> jis vartojamas</w:t>
      </w:r>
    </w:p>
    <w:p w:rsidR="00D93D0D" w:rsidRDefault="00D93D0D" w:rsidP="00D93D0D">
      <w:pPr>
        <w:jc w:val="both"/>
        <w:rPr>
          <w:szCs w:val="22"/>
        </w:rPr>
      </w:pPr>
    </w:p>
    <w:p w:rsidR="00D93D0D" w:rsidRDefault="00D93D0D" w:rsidP="00D93D0D">
      <w:pPr>
        <w:rPr>
          <w:szCs w:val="22"/>
        </w:rPr>
      </w:pPr>
      <w:r w:rsidRPr="00293C73">
        <w:rPr>
          <w:szCs w:val="22"/>
        </w:rPr>
        <w:t xml:space="preserve">GlucaGen HypoKit </w:t>
      </w:r>
      <w:r>
        <w:rPr>
          <w:szCs w:val="22"/>
        </w:rPr>
        <w:t>sudėtyje yra veiklioji medžiaga gliukagonas.</w:t>
      </w:r>
    </w:p>
    <w:p w:rsidR="00D93D0D" w:rsidRDefault="00D93D0D" w:rsidP="00D93D0D">
      <w:pPr>
        <w:rPr>
          <w:szCs w:val="22"/>
        </w:rPr>
      </w:pPr>
    </w:p>
    <w:p w:rsidR="00D93D0D" w:rsidRDefault="00D93D0D" w:rsidP="00D93D0D">
      <w:pPr>
        <w:jc w:val="both"/>
        <w:rPr>
          <w:szCs w:val="22"/>
        </w:rPr>
      </w:pPr>
      <w:r w:rsidRPr="00293C73">
        <w:rPr>
          <w:szCs w:val="22"/>
        </w:rPr>
        <w:t xml:space="preserve">GlucaGen </w:t>
      </w:r>
      <w:r w:rsidRPr="00563D41">
        <w:rPr>
          <w:szCs w:val="22"/>
        </w:rPr>
        <w:t>HypoKit</w:t>
      </w:r>
      <w:r w:rsidRPr="00B949EC">
        <w:rPr>
          <w:szCs w:val="22"/>
        </w:rPr>
        <w:t xml:space="preserve"> yra skirtas skubiai vartoti cukriniu diabetu sergantiems vaikams ir suaugusiesiems, kurie vartoja insuliną. Jis vartojamas apalpus (</w:t>
      </w:r>
      <w:r w:rsidRPr="00390C97">
        <w:t>netekus sąmonės</w:t>
      </w:r>
      <w:r w:rsidRPr="00B949EC">
        <w:rPr>
          <w:szCs w:val="22"/>
        </w:rPr>
        <w:t>) dėl labai mažo cukraus kiekio kraujyje.</w:t>
      </w:r>
      <w:r>
        <w:rPr>
          <w:szCs w:val="22"/>
        </w:rPr>
        <w:t xml:space="preserve"> </w:t>
      </w:r>
      <w:r w:rsidRPr="00293C73">
        <w:rPr>
          <w:szCs w:val="22"/>
        </w:rPr>
        <w:t>T</w:t>
      </w:r>
      <w:r>
        <w:rPr>
          <w:szCs w:val="22"/>
        </w:rPr>
        <w:t>ai vadinama sunkia hipoglikemija.</w:t>
      </w:r>
      <w:r w:rsidRPr="00293C73">
        <w:rPr>
          <w:szCs w:val="22"/>
        </w:rPr>
        <w:t xml:space="preserve"> GlucaGen</w:t>
      </w:r>
      <w:r w:rsidRPr="00293C73">
        <w:rPr>
          <w:szCs w:val="22"/>
          <w:vertAlign w:val="superscript"/>
        </w:rPr>
        <w:t xml:space="preserve"> </w:t>
      </w:r>
      <w:r w:rsidRPr="00293C73">
        <w:rPr>
          <w:szCs w:val="22"/>
        </w:rPr>
        <w:t xml:space="preserve">HypoKit </w:t>
      </w:r>
      <w:r>
        <w:rPr>
          <w:szCs w:val="22"/>
        </w:rPr>
        <w:t>vartojamas, kai pacientai negali suvalgyti cukraus.</w:t>
      </w:r>
    </w:p>
    <w:p w:rsidR="00D93D0D" w:rsidRPr="005950C6" w:rsidRDefault="00D93D0D" w:rsidP="00D93D0D">
      <w:pPr>
        <w:jc w:val="both"/>
        <w:rPr>
          <w:szCs w:val="22"/>
        </w:rPr>
      </w:pPr>
    </w:p>
    <w:p w:rsidR="00D93D0D" w:rsidRDefault="00D93D0D" w:rsidP="00D93D0D">
      <w:pPr>
        <w:rPr>
          <w:szCs w:val="22"/>
        </w:rPr>
      </w:pPr>
      <w:r>
        <w:rPr>
          <w:szCs w:val="22"/>
        </w:rPr>
        <w:t>Gliukagonas yra natūralus hormonas, turintis priešingą veikimo poveikį nei insulinas. Jis skatina glikogeno skilimą kepenyse į gliukozę (cukrų). Gliukozė išskiriama į kraujotaką ir dėl to padidėja cukraus kiekis kraujyje.</w:t>
      </w:r>
    </w:p>
    <w:p w:rsidR="00D93D0D" w:rsidRDefault="00D93D0D" w:rsidP="00D93D0D">
      <w:pPr>
        <w:rPr>
          <w:szCs w:val="22"/>
        </w:rPr>
      </w:pPr>
    </w:p>
    <w:p w:rsidR="00D93D0D" w:rsidRPr="000B4E10" w:rsidRDefault="00D93D0D" w:rsidP="00D93D0D">
      <w:pPr>
        <w:rPr>
          <w:szCs w:val="22"/>
        </w:rPr>
      </w:pPr>
      <w:r w:rsidRPr="00522723">
        <w:rPr>
          <w:b/>
          <w:szCs w:val="22"/>
        </w:rPr>
        <w:t>Sveikatos priežiūros specialistams:</w:t>
      </w:r>
      <w:r w:rsidRPr="00522723">
        <w:t xml:space="preserve"> </w:t>
      </w:r>
      <w:r w:rsidRPr="00522723">
        <w:rPr>
          <w:szCs w:val="22"/>
        </w:rPr>
        <w:t>žr. skyrių „</w:t>
      </w:r>
      <w:r w:rsidRPr="00522723">
        <w:rPr>
          <w:caps/>
        </w:rPr>
        <w:t>T</w:t>
      </w:r>
      <w:r w:rsidRPr="00522723">
        <w:t>oliau pateikta informacija skirta tik sveikatos priežiūros specialistams“</w:t>
      </w:r>
      <w:r w:rsidRPr="00522723">
        <w:rPr>
          <w:szCs w:val="22"/>
        </w:rPr>
        <w:t>.</w:t>
      </w:r>
    </w:p>
    <w:p w:rsidR="00D93D0D" w:rsidRDefault="00D93D0D" w:rsidP="00D93D0D">
      <w:pPr>
        <w:rPr>
          <w:b/>
        </w:rPr>
      </w:pPr>
    </w:p>
    <w:p w:rsidR="00D93D0D" w:rsidRDefault="00D93D0D" w:rsidP="00D93D0D">
      <w:pPr>
        <w:rPr>
          <w:szCs w:val="22"/>
        </w:rPr>
      </w:pPr>
    </w:p>
    <w:p w:rsidR="00D93D0D" w:rsidRPr="00704A53" w:rsidRDefault="00D93D0D" w:rsidP="00D93D0D">
      <w:pPr>
        <w:rPr>
          <w:b/>
        </w:rPr>
      </w:pPr>
      <w:r w:rsidRPr="00704A53">
        <w:rPr>
          <w:b/>
        </w:rPr>
        <w:t>2.</w:t>
      </w:r>
      <w:r w:rsidRPr="00704A53">
        <w:rPr>
          <w:b/>
        </w:rPr>
        <w:tab/>
        <w:t xml:space="preserve">Kas žinotina prieš vartojant </w:t>
      </w:r>
      <w:r>
        <w:rPr>
          <w:b/>
        </w:rPr>
        <w:t>G</w:t>
      </w:r>
      <w:r w:rsidRPr="00704A53">
        <w:rPr>
          <w:b/>
        </w:rPr>
        <w:t>luca</w:t>
      </w:r>
      <w:r>
        <w:rPr>
          <w:b/>
        </w:rPr>
        <w:t>G</w:t>
      </w:r>
      <w:r w:rsidRPr="00704A53">
        <w:rPr>
          <w:b/>
        </w:rPr>
        <w:t>en</w:t>
      </w:r>
      <w:r>
        <w:rPr>
          <w:b/>
        </w:rPr>
        <w:t xml:space="preserve"> HypoKit</w:t>
      </w:r>
    </w:p>
    <w:p w:rsidR="00D93D0D" w:rsidRPr="006F1AC0" w:rsidRDefault="00D93D0D" w:rsidP="00D93D0D"/>
    <w:p w:rsidR="00D93D0D" w:rsidRDefault="00D93D0D" w:rsidP="00D93D0D">
      <w:pPr>
        <w:rPr>
          <w:b/>
        </w:rPr>
      </w:pPr>
      <w:r>
        <w:rPr>
          <w:b/>
        </w:rPr>
        <w:t>Svarbi informacija</w:t>
      </w:r>
    </w:p>
    <w:p w:rsidR="00D93D0D" w:rsidRDefault="00D93D0D" w:rsidP="00D93D0D">
      <w:pPr>
        <w:rPr>
          <w:b/>
        </w:rPr>
      </w:pPr>
    </w:p>
    <w:p w:rsidR="00D93D0D" w:rsidRDefault="00D93D0D" w:rsidP="00D93D0D">
      <w:pPr>
        <w:ind w:left="567" w:hanging="567"/>
        <w:rPr>
          <w:b/>
        </w:rPr>
      </w:pPr>
      <w:r w:rsidRPr="00F42DD4">
        <w:t>•</w:t>
      </w:r>
      <w:r w:rsidRPr="00F42DD4">
        <w:tab/>
      </w:r>
      <w:r>
        <w:rPr>
          <w:szCs w:val="22"/>
        </w:rPr>
        <w:t>Įsitikinkite, kad Jūsų artimieji, bendradarbiai ir artimi draugai žino apie</w:t>
      </w:r>
      <w:r w:rsidRPr="004B68EF">
        <w:rPr>
          <w:b/>
        </w:rPr>
        <w:t xml:space="preserve"> </w:t>
      </w:r>
      <w:r w:rsidRPr="00B949EC">
        <w:t>GlucaGen HypoKit. Pasakykite jiems, kad jie iškart panaudotų GlucaGen HypoKit, jei</w:t>
      </w:r>
      <w:r w:rsidRPr="00543E0C">
        <w:t xml:space="preserve">gu </w:t>
      </w:r>
      <w:r>
        <w:t>J</w:t>
      </w:r>
      <w:r w:rsidRPr="00B949EC">
        <w:t>ūs apalptumėte (prarastumėte sąmonę).</w:t>
      </w:r>
    </w:p>
    <w:p w:rsidR="00D93D0D" w:rsidRDefault="00D93D0D" w:rsidP="00D93D0D">
      <w:pPr>
        <w:rPr>
          <w:b/>
        </w:rPr>
      </w:pPr>
    </w:p>
    <w:p w:rsidR="00D93D0D" w:rsidRPr="00924EFA" w:rsidRDefault="00D93D0D" w:rsidP="00D93D0D">
      <w:pPr>
        <w:ind w:left="567" w:hanging="567"/>
        <w:rPr>
          <w:color w:val="000000"/>
          <w:szCs w:val="22"/>
        </w:rPr>
      </w:pPr>
      <w:r w:rsidRPr="00F42DD4">
        <w:t>•</w:t>
      </w:r>
      <w:r w:rsidRPr="00F42DD4">
        <w:tab/>
      </w:r>
      <w:r w:rsidRPr="00B949EC">
        <w:t>Parodykite savo šeimos nariams ir kitiems</w:t>
      </w:r>
      <w:r>
        <w:t xml:space="preserve"> asmenims</w:t>
      </w:r>
      <w:r w:rsidRPr="00B949EC">
        <w:t xml:space="preserve">, kur laikote šį rinkinį ir kaip juo naudotis. Jie turi veikti greitai – jeigu </w:t>
      </w:r>
      <w:r>
        <w:t>J</w:t>
      </w:r>
      <w:r w:rsidRPr="00B949EC">
        <w:t>ūs būsite be sąmonės tam tikrą laiką, tai gali būti žalinga. Svarbu, kad jie būtų pamokyti ir žinotų, kaip naudotis</w:t>
      </w:r>
      <w:r>
        <w:rPr>
          <w:b/>
        </w:rPr>
        <w:t xml:space="preserve"> </w:t>
      </w:r>
      <w:r w:rsidRPr="00924EFA">
        <w:rPr>
          <w:color w:val="000000"/>
          <w:szCs w:val="22"/>
        </w:rPr>
        <w:t>GlucaGen</w:t>
      </w:r>
      <w:r w:rsidRPr="00924EFA">
        <w:rPr>
          <w:color w:val="000000"/>
          <w:szCs w:val="22"/>
          <w:vertAlign w:val="superscript"/>
        </w:rPr>
        <w:t xml:space="preserve"> </w:t>
      </w:r>
      <w:r w:rsidRPr="00924EFA">
        <w:rPr>
          <w:color w:val="000000"/>
          <w:szCs w:val="22"/>
        </w:rPr>
        <w:t>HypoKit, kol Jums jo neprireikė.</w:t>
      </w:r>
    </w:p>
    <w:p w:rsidR="00D93D0D" w:rsidRDefault="00D93D0D" w:rsidP="00D93D0D"/>
    <w:p w:rsidR="00D93D0D" w:rsidRPr="00924EFA" w:rsidRDefault="00D93D0D" w:rsidP="00D93D0D">
      <w:pPr>
        <w:ind w:left="567" w:hanging="567"/>
      </w:pPr>
      <w:r w:rsidRPr="00F42DD4">
        <w:lastRenderedPageBreak/>
        <w:t>•</w:t>
      </w:r>
      <w:r w:rsidRPr="00F42DD4">
        <w:tab/>
      </w:r>
      <w:r>
        <w:t xml:space="preserve">Švirkšte nėra </w:t>
      </w:r>
      <w:r w:rsidRPr="00924EFA">
        <w:t xml:space="preserve">GlucaGen. Prieš injekciją švirkšte esantį vandenį reikia sumaišyti su </w:t>
      </w:r>
      <w:r>
        <w:t>flakone</w:t>
      </w:r>
      <w:r w:rsidRPr="00924EFA">
        <w:t xml:space="preserve"> esančiais kompaktiniais GlucaGen milteliais.</w:t>
      </w:r>
      <w:r>
        <w:t xml:space="preserve"> Pasakykite šeimos nariams ir kitiems asmenims, kad jie laikytųsi </w:t>
      </w:r>
      <w:r w:rsidRPr="00924EFA">
        <w:t>3</w:t>
      </w:r>
      <w:r>
        <w:t xml:space="preserve"> skyriaus instrukcijų „</w:t>
      </w:r>
      <w:r w:rsidRPr="00390C97">
        <w:t xml:space="preserve">Kaip vartoti </w:t>
      </w:r>
      <w:r w:rsidRPr="00924EFA">
        <w:t xml:space="preserve">GlucaGen </w:t>
      </w:r>
      <w:r w:rsidRPr="00BE077C">
        <w:t>HypoKit“.</w:t>
      </w:r>
    </w:p>
    <w:p w:rsidR="00D93D0D" w:rsidRDefault="00D93D0D" w:rsidP="00D93D0D">
      <w:pPr>
        <w:ind w:left="567" w:hanging="567"/>
      </w:pPr>
    </w:p>
    <w:p w:rsidR="00D93D0D" w:rsidRPr="00BF0EEA" w:rsidRDefault="00D93D0D" w:rsidP="00D93D0D">
      <w:pPr>
        <w:ind w:left="567" w:hanging="567"/>
      </w:pPr>
      <w:r w:rsidRPr="00F42DD4">
        <w:t>•</w:t>
      </w:r>
      <w:r w:rsidRPr="00F42DD4">
        <w:tab/>
      </w:r>
      <w:r w:rsidRPr="00BF0EEA">
        <w:t>Sumaišytas nesuvartotas GlucaGen turi būti išmetamas.</w:t>
      </w:r>
    </w:p>
    <w:p w:rsidR="00D93D0D" w:rsidRDefault="00D93D0D" w:rsidP="00D93D0D">
      <w:pPr>
        <w:ind w:left="567" w:hanging="567"/>
      </w:pPr>
    </w:p>
    <w:p w:rsidR="00D93D0D" w:rsidRPr="00B949EC" w:rsidRDefault="00D93D0D" w:rsidP="00D93D0D">
      <w:pPr>
        <w:ind w:left="567" w:hanging="567"/>
      </w:pPr>
      <w:r w:rsidRPr="00F42DD4">
        <w:t>•</w:t>
      </w:r>
      <w:r w:rsidRPr="00F42DD4">
        <w:tab/>
      </w:r>
      <w:r>
        <w:t>Pavartoję</w:t>
      </w:r>
      <w:r>
        <w:rPr>
          <w:b/>
        </w:rPr>
        <w:t xml:space="preserve"> </w:t>
      </w:r>
      <w:r w:rsidRPr="00924EFA">
        <w:rPr>
          <w:color w:val="000000"/>
          <w:szCs w:val="22"/>
        </w:rPr>
        <w:t>GlucaGen HypoKit</w:t>
      </w:r>
      <w:r w:rsidRPr="00BE077C">
        <w:t xml:space="preserve"> </w:t>
      </w:r>
      <w:r>
        <w:t>J</w:t>
      </w:r>
      <w:r w:rsidRPr="00B949EC">
        <w:t>ūs arba kažkas kitas turi apie tai pranešti gydytojui</w:t>
      </w:r>
      <w:r w:rsidRPr="006E5C4D">
        <w:rPr>
          <w:b/>
        </w:rPr>
        <w:t xml:space="preserve"> </w:t>
      </w:r>
      <w:r>
        <w:t>arba kitam sveikatos priežiūros specialistui. Reikia išsiaiškinti, kodėl Jūsų cukrus kraujyje buvo labai žemas ir kaip išvengti, kad tai nepasikartotų.</w:t>
      </w:r>
    </w:p>
    <w:p w:rsidR="00D93D0D" w:rsidRPr="00924EFA" w:rsidRDefault="00D93D0D" w:rsidP="00D93D0D">
      <w:pPr>
        <w:tabs>
          <w:tab w:val="clear" w:pos="567"/>
        </w:tabs>
        <w:rPr>
          <w:color w:val="000000"/>
          <w:szCs w:val="22"/>
        </w:rPr>
      </w:pPr>
    </w:p>
    <w:p w:rsidR="00D93D0D" w:rsidRPr="00704A53" w:rsidRDefault="00D93D0D" w:rsidP="00D93D0D">
      <w:pPr>
        <w:rPr>
          <w:b/>
        </w:rPr>
      </w:pPr>
      <w:r w:rsidRPr="00704A53">
        <w:rPr>
          <w:b/>
        </w:rPr>
        <w:t>GlucaGen</w:t>
      </w:r>
      <w:r w:rsidRPr="00704A53">
        <w:rPr>
          <w:b/>
          <w:bCs/>
        </w:rPr>
        <w:t xml:space="preserve"> </w:t>
      </w:r>
      <w:r>
        <w:rPr>
          <w:b/>
        </w:rPr>
        <w:t>HypoKit</w:t>
      </w:r>
      <w:r w:rsidRPr="00704A53">
        <w:rPr>
          <w:b/>
        </w:rPr>
        <w:t xml:space="preserve"> vartoti </w:t>
      </w:r>
      <w:r>
        <w:rPr>
          <w:b/>
        </w:rPr>
        <w:t>draudžiama, jeigu:</w:t>
      </w:r>
    </w:p>
    <w:p w:rsidR="00D93D0D" w:rsidRDefault="00D93D0D" w:rsidP="00D93D0D">
      <w:pPr>
        <w:ind w:left="567" w:hanging="567"/>
      </w:pPr>
      <w:r w:rsidRPr="000B4E10">
        <w:t>–</w:t>
      </w:r>
      <w:r w:rsidRPr="000B4E10">
        <w:tab/>
      </w:r>
      <w:r>
        <w:t xml:space="preserve">yra alergija gliukagonui arba </w:t>
      </w:r>
      <w:r w:rsidRPr="00976D94">
        <w:t>bet kuriai pagalbinei šio vaisto medžiagai (jos išvardytos 6 skyriuje)</w:t>
      </w:r>
      <w:r>
        <w:t>;</w:t>
      </w:r>
    </w:p>
    <w:p w:rsidR="00D93D0D" w:rsidRDefault="00D93D0D" w:rsidP="00D93D0D">
      <w:pPr>
        <w:ind w:left="567" w:hanging="567"/>
      </w:pPr>
      <w:r w:rsidRPr="000B4E10">
        <w:t>–</w:t>
      </w:r>
      <w:r w:rsidRPr="000B4E10">
        <w:tab/>
      </w:r>
      <w:r>
        <w:t>Jums yra nustatytas antinksčių auglys.</w:t>
      </w:r>
    </w:p>
    <w:p w:rsidR="00D93D0D" w:rsidRDefault="00D93D0D" w:rsidP="00D93D0D">
      <w:pPr>
        <w:rPr>
          <w:szCs w:val="22"/>
        </w:rPr>
      </w:pPr>
    </w:p>
    <w:p w:rsidR="00D93D0D" w:rsidRDefault="00D93D0D" w:rsidP="00D93D0D">
      <w:pPr>
        <w:rPr>
          <w:b/>
        </w:rPr>
      </w:pPr>
      <w:r w:rsidRPr="00543E0C">
        <w:t xml:space="preserve">Jeigu tinka bent viena iš išvardytų aplinkybių, </w:t>
      </w:r>
      <w:r w:rsidRPr="00496E2E">
        <w:t>GlucaGen</w:t>
      </w:r>
      <w:r w:rsidRPr="00AE7E78">
        <w:t xml:space="preserve"> </w:t>
      </w:r>
      <w:r w:rsidRPr="00293C73">
        <w:t>HypoKit</w:t>
      </w:r>
      <w:r w:rsidRPr="00543E0C">
        <w:t xml:space="preserve"> </w:t>
      </w:r>
      <w:r>
        <w:t>vartoti</w:t>
      </w:r>
      <w:r w:rsidRPr="00543E0C">
        <w:t xml:space="preserve"> negalima.</w:t>
      </w:r>
    </w:p>
    <w:p w:rsidR="00D93D0D" w:rsidRDefault="00D93D0D" w:rsidP="00D93D0D">
      <w:pPr>
        <w:rPr>
          <w:b/>
        </w:rPr>
      </w:pPr>
    </w:p>
    <w:p w:rsidR="00D93D0D" w:rsidRPr="00A50C32" w:rsidRDefault="00D93D0D" w:rsidP="00D93D0D">
      <w:pPr>
        <w:rPr>
          <w:b/>
        </w:rPr>
      </w:pPr>
      <w:r w:rsidRPr="00A50C32">
        <w:rPr>
          <w:b/>
        </w:rPr>
        <w:t>Įspėjimai ir atsargumo priemonės</w:t>
      </w:r>
    </w:p>
    <w:p w:rsidR="00D93D0D" w:rsidRDefault="00D93D0D" w:rsidP="00D93D0D"/>
    <w:p w:rsidR="00D93D0D" w:rsidRDefault="00D93D0D" w:rsidP="00D93D0D">
      <w:r w:rsidRPr="00976D94">
        <w:t xml:space="preserve">Pasitarkite su gydytoju, vaistininku arba slaugytoja, prieš pradėdami </w:t>
      </w:r>
      <w:r>
        <w:t>vartoti</w:t>
      </w:r>
      <w:r w:rsidRPr="00543E0C">
        <w:t xml:space="preserve"> </w:t>
      </w:r>
      <w:r w:rsidRPr="00496E2E">
        <w:t>GlucaGen</w:t>
      </w:r>
      <w:r w:rsidRPr="00AE7E78">
        <w:t xml:space="preserve"> </w:t>
      </w:r>
      <w:r w:rsidRPr="00293C73">
        <w:t>HypoKit</w:t>
      </w:r>
      <w:r>
        <w:t>.</w:t>
      </w:r>
    </w:p>
    <w:p w:rsidR="00D93D0D" w:rsidRDefault="00D93D0D" w:rsidP="00D93D0D">
      <w:pPr>
        <w:rPr>
          <w:b/>
        </w:rPr>
      </w:pPr>
    </w:p>
    <w:p w:rsidR="00D93D0D" w:rsidRPr="00903D6B" w:rsidRDefault="00D93D0D" w:rsidP="00D93D0D">
      <w:pPr>
        <w:rPr>
          <w:b/>
          <w:szCs w:val="22"/>
        </w:rPr>
      </w:pPr>
      <w:r w:rsidRPr="00903D6B">
        <w:rPr>
          <w:b/>
          <w:szCs w:val="22"/>
        </w:rPr>
        <w:t>GlucaGen bus nepakankamai efektyvus</w:t>
      </w:r>
      <w:r>
        <w:rPr>
          <w:b/>
          <w:szCs w:val="22"/>
        </w:rPr>
        <w:t>, jeigu</w:t>
      </w:r>
      <w:r w:rsidRPr="00903D6B">
        <w:rPr>
          <w:b/>
          <w:szCs w:val="22"/>
        </w:rPr>
        <w:t>:</w:t>
      </w:r>
    </w:p>
    <w:p w:rsidR="00D93D0D" w:rsidRDefault="00D93D0D" w:rsidP="00D93D0D">
      <w:pPr>
        <w:ind w:left="567" w:hanging="567"/>
      </w:pPr>
      <w:r w:rsidRPr="00903D6B">
        <w:t>•</w:t>
      </w:r>
      <w:r w:rsidRPr="00903D6B">
        <w:tab/>
      </w:r>
      <w:r>
        <w:t xml:space="preserve">Jūs </w:t>
      </w:r>
      <w:r w:rsidRPr="00390C97">
        <w:t>badavote ilgesnį laiką</w:t>
      </w:r>
      <w:r w:rsidRPr="00284104">
        <w:t>;</w:t>
      </w:r>
    </w:p>
    <w:p w:rsidR="00D93D0D" w:rsidRDefault="00D93D0D" w:rsidP="00D93D0D">
      <w:pPr>
        <w:ind w:left="567" w:hanging="567"/>
      </w:pPr>
      <w:r w:rsidRPr="00903D6B">
        <w:t>•</w:t>
      </w:r>
      <w:r w:rsidRPr="00903D6B">
        <w:tab/>
      </w:r>
      <w:r>
        <w:t xml:space="preserve">Jums yra </w:t>
      </w:r>
      <w:r w:rsidRPr="00390C97">
        <w:t>žemas adrenalino kiekis</w:t>
      </w:r>
      <w:r>
        <w:t>;</w:t>
      </w:r>
    </w:p>
    <w:p w:rsidR="00D93D0D" w:rsidRDefault="00D93D0D" w:rsidP="00D93D0D">
      <w:pPr>
        <w:ind w:left="567" w:hanging="567"/>
      </w:pPr>
      <w:r w:rsidRPr="00903D6B">
        <w:t>•</w:t>
      </w:r>
      <w:r w:rsidRPr="00903D6B">
        <w:tab/>
      </w:r>
      <w:r>
        <w:t>Jūsų cukrus kraujyje yra žemas dėl gausaus</w:t>
      </w:r>
      <w:r w:rsidRPr="00390C97">
        <w:t xml:space="preserve"> alkoholio</w:t>
      </w:r>
      <w:r>
        <w:t xml:space="preserve"> vartojimo;</w:t>
      </w:r>
    </w:p>
    <w:p w:rsidR="00D93D0D" w:rsidRDefault="00D93D0D" w:rsidP="00D93D0D">
      <w:pPr>
        <w:ind w:left="567" w:hanging="567"/>
      </w:pPr>
      <w:r w:rsidRPr="00903D6B">
        <w:t>•</w:t>
      </w:r>
      <w:r w:rsidRPr="00903D6B">
        <w:tab/>
      </w:r>
      <w:r>
        <w:t xml:space="preserve">Jums yra </w:t>
      </w:r>
      <w:r w:rsidRPr="00390C97">
        <w:t>gliukagoną arba insuliną gaminantis auglys</w:t>
      </w:r>
      <w:r>
        <w:t>.</w:t>
      </w:r>
    </w:p>
    <w:p w:rsidR="00D93D0D" w:rsidRDefault="00D93D0D" w:rsidP="00D93D0D">
      <w:pPr>
        <w:ind w:left="567" w:hanging="567"/>
      </w:pPr>
    </w:p>
    <w:p w:rsidR="00D93D0D" w:rsidRDefault="00D93D0D" w:rsidP="00D93D0D">
      <w:pPr>
        <w:ind w:left="567" w:hanging="567"/>
      </w:pPr>
      <w:r>
        <w:t xml:space="preserve">Jeigu Jums </w:t>
      </w:r>
      <w:r w:rsidRPr="00543E0C">
        <w:t>tinka bent viena iš išvardytų aplinkybių,</w:t>
      </w:r>
      <w:r>
        <w:t xml:space="preserve"> </w:t>
      </w:r>
      <w:r w:rsidRPr="00B949EC">
        <w:t>pasi</w:t>
      </w:r>
      <w:r>
        <w:t>tarkite</w:t>
      </w:r>
      <w:r w:rsidRPr="00390C97">
        <w:t xml:space="preserve"> su gydytoju</w:t>
      </w:r>
      <w:r>
        <w:t xml:space="preserve"> ar vaistininku</w:t>
      </w:r>
      <w:r w:rsidRPr="00284104">
        <w:t>.</w:t>
      </w:r>
    </w:p>
    <w:p w:rsidR="00D93D0D" w:rsidRDefault="00D93D0D" w:rsidP="00D93D0D">
      <w:pPr>
        <w:ind w:left="567" w:hanging="567"/>
      </w:pPr>
    </w:p>
    <w:p w:rsidR="00D93D0D" w:rsidRDefault="00D93D0D" w:rsidP="00D93D0D">
      <w:pPr>
        <w:rPr>
          <w:b/>
        </w:rPr>
      </w:pPr>
      <w:r w:rsidRPr="00704A53">
        <w:rPr>
          <w:b/>
        </w:rPr>
        <w:t>Kit</w:t>
      </w:r>
      <w:r>
        <w:rPr>
          <w:b/>
        </w:rPr>
        <w:t>i</w:t>
      </w:r>
      <w:r w:rsidRPr="00390C97">
        <w:rPr>
          <w:b/>
        </w:rPr>
        <w:t xml:space="preserve"> vaistai </w:t>
      </w:r>
      <w:r>
        <w:rPr>
          <w:b/>
        </w:rPr>
        <w:t>ir</w:t>
      </w:r>
      <w:r w:rsidRPr="00390C97">
        <w:rPr>
          <w:b/>
        </w:rPr>
        <w:t xml:space="preserve"> GlucaGen</w:t>
      </w:r>
    </w:p>
    <w:p w:rsidR="00D93D0D" w:rsidRPr="00390C97" w:rsidRDefault="00D93D0D" w:rsidP="00D93D0D">
      <w:pPr>
        <w:rPr>
          <w:b/>
        </w:rPr>
      </w:pPr>
    </w:p>
    <w:p w:rsidR="00D93D0D" w:rsidRDefault="00D93D0D" w:rsidP="00D93D0D">
      <w:r>
        <w:t xml:space="preserve">Šie vaistai gali daryti įtaką GlucaGen </w:t>
      </w:r>
      <w:r w:rsidRPr="00293C73">
        <w:t>HypoKit</w:t>
      </w:r>
      <w:r>
        <w:t xml:space="preserve"> veikimui:</w:t>
      </w:r>
    </w:p>
    <w:p w:rsidR="00D93D0D" w:rsidRDefault="00D93D0D" w:rsidP="00D93D0D">
      <w:pPr>
        <w:ind w:left="567" w:hanging="567"/>
        <w:rPr>
          <w:szCs w:val="22"/>
        </w:rPr>
      </w:pPr>
      <w:r w:rsidRPr="00903D6B">
        <w:t>•</w:t>
      </w:r>
      <w:r w:rsidRPr="00903D6B">
        <w:tab/>
      </w:r>
      <w:r w:rsidRPr="00390C97">
        <w:t>insulinas</w:t>
      </w:r>
      <w:r w:rsidRPr="00EF0FD7">
        <w:rPr>
          <w:bCs/>
          <w:szCs w:val="22"/>
        </w:rPr>
        <w:t xml:space="preserve">, </w:t>
      </w:r>
      <w:r w:rsidRPr="00B949EC">
        <w:rPr>
          <w:szCs w:val="22"/>
        </w:rPr>
        <w:t>vartojamas cukriniam diabetui gydyti</w:t>
      </w:r>
      <w:r w:rsidRPr="00903D6B">
        <w:rPr>
          <w:szCs w:val="22"/>
        </w:rPr>
        <w:t>;</w:t>
      </w:r>
    </w:p>
    <w:p w:rsidR="00D93D0D" w:rsidRDefault="00D93D0D" w:rsidP="00D93D0D">
      <w:pPr>
        <w:ind w:left="567" w:hanging="567"/>
      </w:pPr>
      <w:r w:rsidRPr="00903D6B">
        <w:t>•</w:t>
      </w:r>
      <w:r w:rsidRPr="00903D6B">
        <w:tab/>
      </w:r>
      <w:r w:rsidRPr="00390C97">
        <w:t>indometacinas</w:t>
      </w:r>
      <w:r>
        <w:t>, vartojamas sąnarių skausmui ir sustingimui gydyti.</w:t>
      </w:r>
    </w:p>
    <w:p w:rsidR="00D93D0D" w:rsidRDefault="00D93D0D" w:rsidP="00D93D0D">
      <w:pPr>
        <w:ind w:left="567" w:hanging="567"/>
      </w:pPr>
    </w:p>
    <w:p w:rsidR="00D93D0D" w:rsidRDefault="00D93D0D" w:rsidP="00D93D0D">
      <w:pPr>
        <w:ind w:left="567" w:hanging="567"/>
      </w:pPr>
      <w:r>
        <w:t xml:space="preserve">GlucaGen </w:t>
      </w:r>
      <w:r w:rsidRPr="00293C73">
        <w:t>HypoKit</w:t>
      </w:r>
      <w:r>
        <w:t xml:space="preserve"> gali daryti įtaką šių vaistų veikimui:</w:t>
      </w:r>
    </w:p>
    <w:p w:rsidR="00D93D0D" w:rsidRDefault="00D93D0D" w:rsidP="00D93D0D">
      <w:pPr>
        <w:ind w:left="567" w:hanging="567"/>
      </w:pPr>
      <w:r w:rsidRPr="00BB37A7">
        <w:t>•</w:t>
      </w:r>
      <w:r w:rsidRPr="00BB37A7">
        <w:tab/>
      </w:r>
      <w:r w:rsidRPr="00B949EC">
        <w:t>varfarino,</w:t>
      </w:r>
      <w:r>
        <w:rPr>
          <w:b/>
        </w:rPr>
        <w:t xml:space="preserve"> </w:t>
      </w:r>
      <w:r w:rsidRPr="00B949EC">
        <w:t>vartojamo siekiant išvengti kraujo krešulių.</w:t>
      </w:r>
      <w:r>
        <w:t xml:space="preserve"> GlucaGen gali sustiprinti varfarino kraujo krešumą mažinantį efektą;</w:t>
      </w:r>
    </w:p>
    <w:p w:rsidR="00D93D0D" w:rsidRDefault="00D93D0D" w:rsidP="00D93D0D">
      <w:pPr>
        <w:ind w:left="567" w:hanging="567"/>
      </w:pPr>
      <w:r w:rsidRPr="00BB37A7">
        <w:t>•</w:t>
      </w:r>
      <w:r w:rsidRPr="00BB37A7">
        <w:tab/>
      </w:r>
      <w:r w:rsidRPr="00924EFA">
        <w:rPr>
          <w:szCs w:val="22"/>
        </w:rPr>
        <w:t xml:space="preserve">beta adrenoblokatorių, vartojamų aukštam kraujospūdžiui ir nereguliariam širdies plakimui gydyti. </w:t>
      </w:r>
      <w:r w:rsidRPr="00BF0EEA">
        <w:rPr>
          <w:szCs w:val="22"/>
        </w:rPr>
        <w:t>GlucaGen HypoKit gali padidinti kraujospūdį ir pulsą, tik tai truktų trumpai.</w:t>
      </w:r>
    </w:p>
    <w:p w:rsidR="00D93D0D" w:rsidRDefault="00D93D0D" w:rsidP="00D93D0D">
      <w:pPr>
        <w:ind w:left="567" w:hanging="567"/>
      </w:pPr>
    </w:p>
    <w:p w:rsidR="00D93D0D" w:rsidRDefault="00D93D0D" w:rsidP="00D93D0D">
      <w:pPr>
        <w:rPr>
          <w:szCs w:val="22"/>
          <w:lang w:eastAsia="da-DK"/>
        </w:rPr>
      </w:pPr>
      <w:r>
        <w:rPr>
          <w:szCs w:val="22"/>
          <w:lang w:eastAsia="da-DK"/>
        </w:rPr>
        <w:t xml:space="preserve">Jeigu kuri nors iš išvardytų aplinkybių Jums tinka (arba dėl to nesate tikri), pasakykite gydytojui ar vaistininkui prieš vartodami </w:t>
      </w:r>
      <w:r w:rsidRPr="00AE7E78">
        <w:rPr>
          <w:szCs w:val="22"/>
          <w:lang w:eastAsia="da-DK"/>
        </w:rPr>
        <w:t>GlucaGen Hypokit.</w:t>
      </w:r>
    </w:p>
    <w:p w:rsidR="00D93D0D" w:rsidRDefault="00D93D0D" w:rsidP="00D93D0D">
      <w:pPr>
        <w:rPr>
          <w:szCs w:val="22"/>
          <w:lang w:eastAsia="da-DK"/>
        </w:rPr>
      </w:pPr>
    </w:p>
    <w:p w:rsidR="00D93D0D" w:rsidRDefault="00D93D0D" w:rsidP="00D93D0D">
      <w:r w:rsidRPr="00976D94">
        <w:t xml:space="preserve">Jeigu vartojate ar neseniai vartojote kitų vaistų arba dėl to nesate tikri, apie tai </w:t>
      </w:r>
      <w:r w:rsidRPr="00D160A6">
        <w:rPr>
          <w:b/>
        </w:rPr>
        <w:t>pasakykite gydytojui arba vaistininkui</w:t>
      </w:r>
      <w:r w:rsidRPr="00027A86">
        <w:rPr>
          <w:b/>
        </w:rPr>
        <w:t>.</w:t>
      </w:r>
    </w:p>
    <w:p w:rsidR="00D93D0D" w:rsidRDefault="00D93D0D" w:rsidP="00D93D0D">
      <w:pPr>
        <w:rPr>
          <w:szCs w:val="22"/>
        </w:rPr>
      </w:pPr>
    </w:p>
    <w:p w:rsidR="00D93D0D" w:rsidRPr="00704A53" w:rsidRDefault="00D93D0D" w:rsidP="00D93D0D">
      <w:pPr>
        <w:rPr>
          <w:b/>
        </w:rPr>
      </w:pPr>
      <w:r w:rsidRPr="00704A53">
        <w:rPr>
          <w:b/>
        </w:rPr>
        <w:t>Nėštumas ir žindymo laikotarpis</w:t>
      </w:r>
    </w:p>
    <w:p w:rsidR="00D93D0D" w:rsidRDefault="00D93D0D" w:rsidP="00D93D0D"/>
    <w:p w:rsidR="00D93D0D" w:rsidRDefault="00D93D0D" w:rsidP="00D93D0D">
      <w:pPr>
        <w:rPr>
          <w:szCs w:val="22"/>
        </w:rPr>
      </w:pPr>
      <w:r w:rsidRPr="00976D94">
        <w:t xml:space="preserve">Jeigu </w:t>
      </w:r>
      <w:r>
        <w:t xml:space="preserve">Jūsų cukrus kraujyje labai žemas, kai </w:t>
      </w:r>
      <w:r w:rsidRPr="00976D94">
        <w:t xml:space="preserve">esate nėščia, žindote kūdikį, manote, kad galbūt esate nėščia arba planuojate pastoti, </w:t>
      </w:r>
      <w:r>
        <w:t xml:space="preserve">galite vartoti </w:t>
      </w:r>
      <w:r w:rsidRPr="004D401E">
        <w:t>GlucaGen HypoKit</w:t>
      </w:r>
      <w:r>
        <w:t>.</w:t>
      </w:r>
    </w:p>
    <w:p w:rsidR="00D93D0D" w:rsidRDefault="00D93D0D" w:rsidP="00D93D0D">
      <w:pPr>
        <w:rPr>
          <w:szCs w:val="22"/>
        </w:rPr>
      </w:pPr>
    </w:p>
    <w:p w:rsidR="00D93D0D" w:rsidRDefault="00D93D0D" w:rsidP="00D93D0D">
      <w:pPr>
        <w:rPr>
          <w:szCs w:val="22"/>
        </w:rPr>
      </w:pPr>
      <w:r>
        <w:rPr>
          <w:szCs w:val="22"/>
        </w:rPr>
        <w:t>Prieš vartojant bet kokį vaistą, būtina pasitarti su gydytoju arba vaistininku, jeigu esate nėščia.</w:t>
      </w:r>
    </w:p>
    <w:p w:rsidR="00D93D0D" w:rsidRDefault="00D93D0D" w:rsidP="00D93D0D">
      <w:pPr>
        <w:rPr>
          <w:szCs w:val="22"/>
        </w:rPr>
      </w:pPr>
    </w:p>
    <w:p w:rsidR="00D93D0D" w:rsidRPr="00704A53" w:rsidRDefault="00D93D0D" w:rsidP="00D93D0D">
      <w:pPr>
        <w:rPr>
          <w:b/>
        </w:rPr>
      </w:pPr>
      <w:r w:rsidRPr="00704A53">
        <w:rPr>
          <w:b/>
        </w:rPr>
        <w:t>Vairavimas ir mechanizmų valdymas</w:t>
      </w:r>
    </w:p>
    <w:p w:rsidR="00D93D0D" w:rsidRDefault="00D93D0D" w:rsidP="00D93D0D">
      <w:pPr>
        <w:rPr>
          <w:szCs w:val="22"/>
        </w:rPr>
      </w:pPr>
    </w:p>
    <w:p w:rsidR="00D93D0D" w:rsidRDefault="00D93D0D" w:rsidP="00D93D0D">
      <w:pPr>
        <w:rPr>
          <w:szCs w:val="22"/>
        </w:rPr>
      </w:pPr>
      <w:r>
        <w:rPr>
          <w:szCs w:val="22"/>
        </w:rPr>
        <w:lastRenderedPageBreak/>
        <w:t>Prieš vairuodami arba valdydami įrankius ar mechanizmus palaukite, kol praeis labai mažo cukraus kiekio kraujyje poveikis.</w:t>
      </w:r>
    </w:p>
    <w:p w:rsidR="00D93D0D" w:rsidRDefault="00D93D0D" w:rsidP="00D93D0D">
      <w:pPr>
        <w:rPr>
          <w:b/>
          <w:szCs w:val="22"/>
        </w:rPr>
      </w:pPr>
    </w:p>
    <w:p w:rsidR="00D93D0D" w:rsidRPr="00522723" w:rsidRDefault="00D93D0D" w:rsidP="00D93D0D">
      <w:pPr>
        <w:rPr>
          <w:b/>
          <w:szCs w:val="22"/>
        </w:rPr>
      </w:pPr>
      <w:r w:rsidRPr="00966EEB">
        <w:rPr>
          <w:b/>
          <w:szCs w:val="22"/>
        </w:rPr>
        <w:t xml:space="preserve">GlucaGen </w:t>
      </w:r>
      <w:r w:rsidRPr="00522723">
        <w:rPr>
          <w:b/>
          <w:szCs w:val="22"/>
        </w:rPr>
        <w:t>sudėtyje yra natrio</w:t>
      </w:r>
    </w:p>
    <w:p w:rsidR="00D93D0D" w:rsidRPr="00966EEB" w:rsidRDefault="00D93D0D" w:rsidP="00D93D0D">
      <w:pPr>
        <w:rPr>
          <w:bCs/>
          <w:szCs w:val="22"/>
        </w:rPr>
      </w:pPr>
      <w:r>
        <w:rPr>
          <w:bCs/>
          <w:szCs w:val="22"/>
        </w:rPr>
        <w:t xml:space="preserve">Didžiausioje </w:t>
      </w:r>
      <w:r w:rsidRPr="00966EEB">
        <w:rPr>
          <w:bCs/>
          <w:szCs w:val="22"/>
        </w:rPr>
        <w:t xml:space="preserve">GlucaGen </w:t>
      </w:r>
      <w:r>
        <w:rPr>
          <w:bCs/>
          <w:szCs w:val="22"/>
        </w:rPr>
        <w:t>dozėje (2 </w:t>
      </w:r>
      <w:r w:rsidRPr="00966EEB">
        <w:rPr>
          <w:bCs/>
          <w:szCs w:val="22"/>
        </w:rPr>
        <w:t>ml</w:t>
      </w:r>
      <w:r>
        <w:rPr>
          <w:bCs/>
          <w:szCs w:val="22"/>
        </w:rPr>
        <w:t>)</w:t>
      </w:r>
      <w:r w:rsidRPr="00966EEB">
        <w:rPr>
          <w:bCs/>
          <w:szCs w:val="22"/>
        </w:rPr>
        <w:t xml:space="preserve"> yra mažiau kaip 1</w:t>
      </w:r>
      <w:r>
        <w:rPr>
          <w:bCs/>
          <w:szCs w:val="22"/>
        </w:rPr>
        <w:t> </w:t>
      </w:r>
      <w:r w:rsidRPr="00966EEB">
        <w:rPr>
          <w:bCs/>
          <w:szCs w:val="22"/>
        </w:rPr>
        <w:t>mmol (23</w:t>
      </w:r>
      <w:r>
        <w:rPr>
          <w:bCs/>
          <w:szCs w:val="22"/>
        </w:rPr>
        <w:t> </w:t>
      </w:r>
      <w:r w:rsidRPr="00966EEB">
        <w:rPr>
          <w:bCs/>
          <w:szCs w:val="22"/>
        </w:rPr>
        <w:t>mg) natrio, t.y. jis beveik neturi reikšmės.</w:t>
      </w:r>
    </w:p>
    <w:p w:rsidR="00D93D0D" w:rsidRDefault="00D93D0D" w:rsidP="00D93D0D">
      <w:pPr>
        <w:rPr>
          <w:szCs w:val="22"/>
        </w:rPr>
      </w:pPr>
    </w:p>
    <w:p w:rsidR="00D93D0D" w:rsidRPr="00704A53" w:rsidRDefault="00D93D0D" w:rsidP="00D93D0D">
      <w:pPr>
        <w:rPr>
          <w:b/>
        </w:rPr>
      </w:pPr>
      <w:r w:rsidRPr="00704A53">
        <w:rPr>
          <w:b/>
        </w:rPr>
        <w:t>3.</w:t>
      </w:r>
      <w:r w:rsidRPr="00704A53">
        <w:rPr>
          <w:b/>
        </w:rPr>
        <w:tab/>
        <w:t xml:space="preserve">Kaip vartoti </w:t>
      </w:r>
      <w:r>
        <w:rPr>
          <w:b/>
        </w:rPr>
        <w:t>G</w:t>
      </w:r>
      <w:r w:rsidRPr="00704A53">
        <w:rPr>
          <w:b/>
        </w:rPr>
        <w:t>luca</w:t>
      </w:r>
      <w:r>
        <w:rPr>
          <w:b/>
        </w:rPr>
        <w:t>G</w:t>
      </w:r>
      <w:r w:rsidRPr="00704A53">
        <w:rPr>
          <w:b/>
        </w:rPr>
        <w:t>en</w:t>
      </w:r>
      <w:r>
        <w:rPr>
          <w:b/>
        </w:rPr>
        <w:t xml:space="preserve"> HypoKit</w:t>
      </w:r>
    </w:p>
    <w:p w:rsidR="00D93D0D" w:rsidRDefault="00D93D0D" w:rsidP="00D93D0D">
      <w:pPr>
        <w:rPr>
          <w:b/>
          <w:szCs w:val="22"/>
        </w:rPr>
      </w:pPr>
    </w:p>
    <w:p w:rsidR="00D93D0D" w:rsidRDefault="00D93D0D" w:rsidP="00D93D0D">
      <w:r w:rsidRPr="00976D94">
        <w:t>Visada vartokite šį vaistą tiksliai kaip aprašyta šiame lapelyje arba kaip nurodė gydytojas.</w:t>
      </w:r>
      <w:r>
        <w:t xml:space="preserve"> </w:t>
      </w:r>
      <w:r w:rsidRPr="00976D94">
        <w:t>Jeigu abejojate, kreipkitės į gydytoją arba vaistininką</w:t>
      </w:r>
      <w:r>
        <w:t>.</w:t>
      </w:r>
    </w:p>
    <w:p w:rsidR="00D93D0D" w:rsidRDefault="00D93D0D" w:rsidP="00D93D0D">
      <w:pPr>
        <w:rPr>
          <w:b/>
          <w:szCs w:val="22"/>
        </w:rPr>
      </w:pPr>
    </w:p>
    <w:p w:rsidR="00D93D0D" w:rsidRDefault="00D93D0D" w:rsidP="00D93D0D">
      <w:pPr>
        <w:rPr>
          <w:b/>
          <w:szCs w:val="22"/>
        </w:rPr>
      </w:pPr>
      <w:r>
        <w:rPr>
          <w:b/>
          <w:szCs w:val="22"/>
        </w:rPr>
        <w:t>Tirpalo injekcijai paruošimas ir leidimas</w:t>
      </w:r>
    </w:p>
    <w:p w:rsidR="00D93D0D" w:rsidRDefault="00D93D0D" w:rsidP="00D93D0D">
      <w:pPr>
        <w:rPr>
          <w:b/>
          <w:szCs w:val="22"/>
        </w:rPr>
      </w:pPr>
    </w:p>
    <w:p w:rsidR="00D93D0D" w:rsidRDefault="00D93D0D" w:rsidP="00D93D0D">
      <w:pPr>
        <w:rPr>
          <w:b/>
          <w:szCs w:val="22"/>
        </w:rPr>
      </w:pPr>
      <w:r>
        <w:rPr>
          <w:szCs w:val="22"/>
          <w:lang w:eastAsia="lt-LT"/>
        </w:rPr>
        <w:drawing>
          <wp:inline distT="0" distB="0" distL="0" distR="0" wp14:anchorId="7BC35D06" wp14:editId="10D4AD5D">
            <wp:extent cx="961390" cy="727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1390" cy="727075"/>
                    </a:xfrm>
                    <a:prstGeom prst="rect">
                      <a:avLst/>
                    </a:prstGeom>
                    <a:noFill/>
                    <a:ln>
                      <a:noFill/>
                    </a:ln>
                  </pic:spPr>
                </pic:pic>
              </a:graphicData>
            </a:graphic>
          </wp:inline>
        </w:drawing>
      </w:r>
    </w:p>
    <w:p w:rsidR="00D93D0D" w:rsidRPr="007825BA" w:rsidRDefault="00D93D0D" w:rsidP="00D93D0D">
      <w:pPr>
        <w:rPr>
          <w:i/>
          <w:szCs w:val="22"/>
        </w:rPr>
      </w:pPr>
    </w:p>
    <w:p w:rsidR="00D93D0D" w:rsidRDefault="00D93D0D" w:rsidP="00D93D0D">
      <w:pPr>
        <w:tabs>
          <w:tab w:val="clear" w:pos="567"/>
          <w:tab w:val="left" w:pos="540"/>
        </w:tabs>
        <w:ind w:left="540" w:hanging="540"/>
        <w:rPr>
          <w:szCs w:val="22"/>
        </w:rPr>
      </w:pPr>
      <w:r>
        <w:rPr>
          <w:szCs w:val="22"/>
        </w:rPr>
        <w:t>1.</w:t>
      </w:r>
      <w:r>
        <w:rPr>
          <w:szCs w:val="22"/>
        </w:rPr>
        <w:tab/>
        <w:t xml:space="preserve">Nuimkite plastikinį dangtelį nuo flakono. Nuimkite adatos dangtelį nuo švirkšto. Nenuimkite plastikinio </w:t>
      </w:r>
      <w:r w:rsidRPr="0080644F">
        <w:rPr>
          <w:szCs w:val="22"/>
        </w:rPr>
        <w:t>stabdiklio</w:t>
      </w:r>
      <w:r>
        <w:rPr>
          <w:szCs w:val="22"/>
        </w:rPr>
        <w:t xml:space="preserve"> nuo švirkšto. Adata pradurkite guminį flakono su GlucaGen kamštį (pažymėtame skrituliuke) ir suleiskite visą švirkšte esantį skystį į flakoną.</w:t>
      </w:r>
    </w:p>
    <w:p w:rsidR="00D93D0D" w:rsidRDefault="00D93D0D" w:rsidP="00D93D0D">
      <w:pPr>
        <w:ind w:left="270" w:hanging="270"/>
        <w:rPr>
          <w:szCs w:val="22"/>
        </w:rPr>
      </w:pPr>
    </w:p>
    <w:p w:rsidR="00D93D0D" w:rsidRPr="007825BA" w:rsidRDefault="00D93D0D" w:rsidP="00D93D0D">
      <w:pPr>
        <w:ind w:left="270" w:hanging="270"/>
        <w:rPr>
          <w:i/>
          <w:szCs w:val="22"/>
        </w:rPr>
      </w:pPr>
      <w:r>
        <w:rPr>
          <w:szCs w:val="22"/>
          <w:lang w:eastAsia="lt-LT"/>
        </w:rPr>
        <w:drawing>
          <wp:inline distT="0" distB="0" distL="0" distR="0" wp14:anchorId="4A0B77C4" wp14:editId="34FE6FC6">
            <wp:extent cx="1017270" cy="727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7270" cy="727075"/>
                    </a:xfrm>
                    <a:prstGeom prst="rect">
                      <a:avLst/>
                    </a:prstGeom>
                    <a:noFill/>
                    <a:ln>
                      <a:noFill/>
                    </a:ln>
                  </pic:spPr>
                </pic:pic>
              </a:graphicData>
            </a:graphic>
          </wp:inline>
        </w:drawing>
      </w:r>
    </w:p>
    <w:p w:rsidR="00D93D0D" w:rsidRDefault="00D93D0D" w:rsidP="00D93D0D">
      <w:pPr>
        <w:ind w:left="270" w:hanging="270"/>
        <w:rPr>
          <w:szCs w:val="22"/>
        </w:rPr>
      </w:pPr>
    </w:p>
    <w:p w:rsidR="00D93D0D" w:rsidRDefault="00D93D0D" w:rsidP="00D93D0D">
      <w:pPr>
        <w:tabs>
          <w:tab w:val="clear" w:pos="567"/>
          <w:tab w:val="left" w:pos="540"/>
        </w:tabs>
        <w:ind w:left="540" w:hanging="540"/>
        <w:rPr>
          <w:szCs w:val="22"/>
        </w:rPr>
      </w:pPr>
      <w:r>
        <w:rPr>
          <w:szCs w:val="22"/>
        </w:rPr>
        <w:t>2.</w:t>
      </w:r>
      <w:r>
        <w:rPr>
          <w:szCs w:val="22"/>
        </w:rPr>
        <w:tab/>
        <w:t>Neištraukdami švirkšto adatos švelniai pakratykite flakoną tol, kol GlucaGen milteliai visiškai ištirps ir tirpalas taps skaidrus.</w:t>
      </w:r>
    </w:p>
    <w:p w:rsidR="00D93D0D" w:rsidRDefault="00D93D0D" w:rsidP="00D93D0D">
      <w:pPr>
        <w:ind w:left="270" w:hanging="270"/>
        <w:rPr>
          <w:szCs w:val="22"/>
        </w:rPr>
      </w:pPr>
    </w:p>
    <w:p w:rsidR="00D93D0D" w:rsidRPr="007825BA" w:rsidRDefault="00D93D0D" w:rsidP="00D93D0D">
      <w:pPr>
        <w:ind w:left="270" w:hanging="270"/>
        <w:rPr>
          <w:i/>
          <w:szCs w:val="22"/>
        </w:rPr>
      </w:pPr>
      <w:r>
        <w:rPr>
          <w:szCs w:val="22"/>
          <w:lang w:eastAsia="lt-LT"/>
        </w:rPr>
        <w:drawing>
          <wp:inline distT="0" distB="0" distL="0" distR="0" wp14:anchorId="2012C30B" wp14:editId="0AD134BF">
            <wp:extent cx="989330" cy="72707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9330" cy="727075"/>
                    </a:xfrm>
                    <a:prstGeom prst="rect">
                      <a:avLst/>
                    </a:prstGeom>
                    <a:noFill/>
                    <a:ln>
                      <a:noFill/>
                    </a:ln>
                  </pic:spPr>
                </pic:pic>
              </a:graphicData>
            </a:graphic>
          </wp:inline>
        </w:drawing>
      </w:r>
    </w:p>
    <w:p w:rsidR="00D93D0D" w:rsidRDefault="00D93D0D" w:rsidP="00D93D0D">
      <w:pPr>
        <w:ind w:left="270" w:hanging="270"/>
        <w:rPr>
          <w:szCs w:val="22"/>
        </w:rPr>
      </w:pPr>
    </w:p>
    <w:p w:rsidR="00D93D0D" w:rsidRDefault="00D93D0D" w:rsidP="00D93D0D">
      <w:pPr>
        <w:tabs>
          <w:tab w:val="clear" w:pos="567"/>
          <w:tab w:val="left" w:pos="540"/>
        </w:tabs>
        <w:ind w:left="540" w:hanging="540"/>
        <w:rPr>
          <w:szCs w:val="22"/>
        </w:rPr>
      </w:pPr>
      <w:r>
        <w:rPr>
          <w:szCs w:val="22"/>
        </w:rPr>
        <w:t>3.</w:t>
      </w:r>
      <w:r>
        <w:rPr>
          <w:szCs w:val="22"/>
        </w:rPr>
        <w:tab/>
        <w:t>Įsitikinkite, kad švirkšto stūmoklis yra visiškai sustumtas į švirkštą. Laikydami adatą skystyje, lėtai sutraukite visą flakono turinį atgal į švirkštą. Neištraukite stūmoklio iš švirkšto. Iš švirkšto svarbu pašalinti oro burbulus:</w:t>
      </w:r>
    </w:p>
    <w:p w:rsidR="00D93D0D" w:rsidRDefault="00D93D0D" w:rsidP="00D93D0D">
      <w:pPr>
        <w:ind w:left="567" w:hanging="567"/>
      </w:pPr>
      <w:r w:rsidRPr="00660807">
        <w:t>•</w:t>
      </w:r>
      <w:r w:rsidRPr="00660807">
        <w:tab/>
      </w:r>
      <w:r>
        <w:t>sprigtelėkite per švirkštą pirštu, laikydami adatą nukreiptą į viršų</w:t>
      </w:r>
    </w:p>
    <w:p w:rsidR="00D93D0D" w:rsidRDefault="00D93D0D" w:rsidP="00D93D0D">
      <w:pPr>
        <w:ind w:left="567" w:hanging="567"/>
      </w:pPr>
      <w:r w:rsidRPr="00660807">
        <w:t>•</w:t>
      </w:r>
      <w:r w:rsidRPr="00660807">
        <w:tab/>
      </w:r>
      <w:r>
        <w:t>šiek tiek paspauskite stūmoklį, kol išleisite visus švirkšto viršuje susirinkusius oro burbulus.</w:t>
      </w:r>
    </w:p>
    <w:p w:rsidR="00D93D0D" w:rsidRDefault="00D93D0D" w:rsidP="00D93D0D"/>
    <w:p w:rsidR="00D93D0D" w:rsidRDefault="00D93D0D" w:rsidP="00D93D0D">
      <w:pPr>
        <w:rPr>
          <w:szCs w:val="22"/>
        </w:rPr>
      </w:pPr>
      <w:r>
        <w:t>Stūmoklį spauskite tol, kol nustatysite dozę, kurią reikia suleisti. Tuo metu šiek tiek skysčio ištekės iš švirkšto.</w:t>
      </w:r>
    </w:p>
    <w:p w:rsidR="00D93D0D" w:rsidRDefault="00D93D0D" w:rsidP="00D93D0D">
      <w:pPr>
        <w:rPr>
          <w:szCs w:val="22"/>
        </w:rPr>
      </w:pPr>
    </w:p>
    <w:p w:rsidR="00D93D0D" w:rsidRPr="00BE077C" w:rsidRDefault="00D93D0D" w:rsidP="00D93D0D">
      <w:pPr>
        <w:rPr>
          <w:b/>
        </w:rPr>
      </w:pPr>
      <w:r w:rsidRPr="00BF0EEA">
        <w:t>Žr.</w:t>
      </w:r>
      <w:r w:rsidRPr="00880584">
        <w:rPr>
          <w:b/>
          <w:szCs w:val="22"/>
        </w:rPr>
        <w:t xml:space="preserve"> </w:t>
      </w:r>
      <w:r w:rsidRPr="00880584">
        <w:rPr>
          <w:szCs w:val="22"/>
        </w:rPr>
        <w:t>žemiau</w:t>
      </w:r>
      <w:r w:rsidRPr="00410F9C">
        <w:rPr>
          <w:bCs/>
          <w:szCs w:val="22"/>
        </w:rPr>
        <w:t>,</w:t>
      </w:r>
      <w:r>
        <w:rPr>
          <w:b/>
          <w:szCs w:val="22"/>
        </w:rPr>
        <w:t xml:space="preserve"> </w:t>
      </w:r>
      <w:r w:rsidRPr="00BE077C">
        <w:t xml:space="preserve">„Kokią dozę </w:t>
      </w:r>
      <w:r>
        <w:rPr>
          <w:szCs w:val="22"/>
        </w:rPr>
        <w:t>leisti</w:t>
      </w:r>
      <w:r w:rsidRPr="00BE077C">
        <w:t>“</w:t>
      </w:r>
    </w:p>
    <w:p w:rsidR="00D93D0D" w:rsidRDefault="00D93D0D" w:rsidP="00D93D0D">
      <w:pPr>
        <w:rPr>
          <w:szCs w:val="22"/>
        </w:rPr>
      </w:pPr>
    </w:p>
    <w:p w:rsidR="00D93D0D" w:rsidRPr="007825BA" w:rsidRDefault="00D93D0D" w:rsidP="00D93D0D">
      <w:pPr>
        <w:tabs>
          <w:tab w:val="clear" w:pos="567"/>
        </w:tabs>
        <w:rPr>
          <w:i/>
          <w:szCs w:val="22"/>
        </w:rPr>
      </w:pPr>
      <w:r>
        <w:rPr>
          <w:szCs w:val="22"/>
          <w:lang w:eastAsia="lt-LT"/>
        </w:rPr>
        <w:drawing>
          <wp:inline distT="0" distB="0" distL="0" distR="0" wp14:anchorId="16E13C43" wp14:editId="59D184A5">
            <wp:extent cx="989330" cy="7270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9330" cy="727075"/>
                    </a:xfrm>
                    <a:prstGeom prst="rect">
                      <a:avLst/>
                    </a:prstGeom>
                    <a:noFill/>
                    <a:ln>
                      <a:noFill/>
                    </a:ln>
                  </pic:spPr>
                </pic:pic>
              </a:graphicData>
            </a:graphic>
          </wp:inline>
        </w:drawing>
      </w:r>
    </w:p>
    <w:p w:rsidR="00D93D0D" w:rsidRDefault="00D93D0D" w:rsidP="00D93D0D">
      <w:pPr>
        <w:tabs>
          <w:tab w:val="clear" w:pos="567"/>
        </w:tabs>
        <w:rPr>
          <w:szCs w:val="22"/>
        </w:rPr>
      </w:pPr>
    </w:p>
    <w:p w:rsidR="00D93D0D" w:rsidRDefault="00D93D0D" w:rsidP="00D93D0D">
      <w:pPr>
        <w:rPr>
          <w:szCs w:val="22"/>
        </w:rPr>
      </w:pPr>
      <w:r>
        <w:rPr>
          <w:szCs w:val="22"/>
        </w:rPr>
        <w:t>4.</w:t>
      </w:r>
      <w:r>
        <w:rPr>
          <w:szCs w:val="22"/>
        </w:rPr>
        <w:tab/>
        <w:t>Suleiskite dozę į poodį ar raumenis.</w:t>
      </w:r>
    </w:p>
    <w:p w:rsidR="00D93D0D" w:rsidRDefault="00D93D0D" w:rsidP="00D93D0D">
      <w:pPr>
        <w:rPr>
          <w:szCs w:val="22"/>
        </w:rPr>
      </w:pPr>
    </w:p>
    <w:p w:rsidR="00D93D0D" w:rsidRPr="00BF0EEA" w:rsidRDefault="00D93D0D" w:rsidP="00D93D0D">
      <w:pPr>
        <w:rPr>
          <w:szCs w:val="22"/>
        </w:rPr>
      </w:pPr>
      <w:r w:rsidRPr="00BF0EEA">
        <w:rPr>
          <w:szCs w:val="22"/>
        </w:rPr>
        <w:t xml:space="preserve">5. </w:t>
      </w:r>
      <w:r w:rsidRPr="00BF0EEA">
        <w:rPr>
          <w:szCs w:val="22"/>
        </w:rPr>
        <w:tab/>
        <w:t>Paverskite sąmonę praradusį asmenį ant šono, kad neužspringtų.</w:t>
      </w:r>
    </w:p>
    <w:p w:rsidR="00D93D0D" w:rsidRPr="00BF0EEA" w:rsidRDefault="00D93D0D" w:rsidP="00D93D0D">
      <w:pPr>
        <w:rPr>
          <w:szCs w:val="22"/>
        </w:rPr>
      </w:pPr>
    </w:p>
    <w:p w:rsidR="00D93D0D" w:rsidRDefault="00D93D0D" w:rsidP="00D93D0D">
      <w:pPr>
        <w:ind w:left="567" w:hanging="567"/>
        <w:rPr>
          <w:szCs w:val="22"/>
        </w:rPr>
      </w:pPr>
      <w:r w:rsidRPr="004275BD">
        <w:rPr>
          <w:szCs w:val="22"/>
        </w:rPr>
        <w:t>6.</w:t>
      </w:r>
      <w:r w:rsidRPr="004275BD">
        <w:rPr>
          <w:szCs w:val="22"/>
        </w:rPr>
        <w:tab/>
      </w:r>
      <w:r>
        <w:rPr>
          <w:szCs w:val="22"/>
        </w:rPr>
        <w:t>Duokite asmeniui</w:t>
      </w:r>
      <w:r w:rsidRPr="00F17F46">
        <w:t xml:space="preserve"> daug cukraus </w:t>
      </w:r>
      <w:r>
        <w:rPr>
          <w:szCs w:val="22"/>
        </w:rPr>
        <w:t>turintį užkandį: saldainį, sausainį ar vaisių sulčių, kai tik jis atgauna sąmonę</w:t>
      </w:r>
      <w:r w:rsidRPr="00F17F46">
        <w:t xml:space="preserve"> ir </w:t>
      </w:r>
      <w:r>
        <w:rPr>
          <w:szCs w:val="22"/>
        </w:rPr>
        <w:t>gali ryti. Daug cukraus turintis užkandis neleis vėl pernelyg sumažėti cukraus kiekiui kraujyje.</w:t>
      </w:r>
    </w:p>
    <w:p w:rsidR="00D93D0D" w:rsidRDefault="00D93D0D" w:rsidP="00D93D0D">
      <w:pPr>
        <w:rPr>
          <w:szCs w:val="22"/>
        </w:rPr>
      </w:pPr>
    </w:p>
    <w:p w:rsidR="00D93D0D" w:rsidRDefault="00D93D0D" w:rsidP="00D93D0D">
      <w:pPr>
        <w:rPr>
          <w:szCs w:val="22"/>
        </w:rPr>
      </w:pPr>
      <w:r>
        <w:t>Pavartoję</w:t>
      </w:r>
      <w:r>
        <w:rPr>
          <w:b/>
        </w:rPr>
        <w:t xml:space="preserve"> </w:t>
      </w:r>
      <w:r w:rsidRPr="00924EFA">
        <w:rPr>
          <w:color w:val="000000"/>
          <w:szCs w:val="22"/>
        </w:rPr>
        <w:t>GlucaGen HypoKit</w:t>
      </w:r>
      <w:r w:rsidRPr="00BE077C">
        <w:t xml:space="preserve"> </w:t>
      </w:r>
      <w:r w:rsidRPr="00660807">
        <w:t>J</w:t>
      </w:r>
      <w:r w:rsidRPr="00F17F46">
        <w:t>ūs arba kažkas kitas turi apie tai pranešti gydytojui</w:t>
      </w:r>
      <w:r w:rsidRPr="006E5C4D">
        <w:rPr>
          <w:b/>
        </w:rPr>
        <w:t xml:space="preserve"> </w:t>
      </w:r>
      <w:r>
        <w:t>arba kitam sveikatos priežiūros specialistui. Reikia išsiaiškinti, kodėl Jūsų cukrus kraujyje buvo labai žemas ir kaip išvengti, kad tai nepasikartotų</w:t>
      </w:r>
      <w:r w:rsidRPr="00924EFA">
        <w:t>.</w:t>
      </w:r>
    </w:p>
    <w:p w:rsidR="00D93D0D" w:rsidRDefault="00D93D0D" w:rsidP="00D93D0D">
      <w:pPr>
        <w:rPr>
          <w:szCs w:val="22"/>
        </w:rPr>
      </w:pPr>
    </w:p>
    <w:p w:rsidR="00D93D0D" w:rsidRPr="009A19E1" w:rsidRDefault="00D93D0D" w:rsidP="00D93D0D">
      <w:pPr>
        <w:rPr>
          <w:b/>
          <w:szCs w:val="22"/>
        </w:rPr>
      </w:pPr>
      <w:r w:rsidRPr="009A19E1">
        <w:rPr>
          <w:b/>
          <w:szCs w:val="22"/>
        </w:rPr>
        <w:t xml:space="preserve">Kokią dozę </w:t>
      </w:r>
      <w:r>
        <w:rPr>
          <w:b/>
          <w:szCs w:val="22"/>
        </w:rPr>
        <w:t>leisti</w:t>
      </w:r>
    </w:p>
    <w:p w:rsidR="00D93D0D" w:rsidRDefault="00D93D0D" w:rsidP="00D93D0D">
      <w:pPr>
        <w:rPr>
          <w:szCs w:val="22"/>
        </w:rPr>
      </w:pPr>
    </w:p>
    <w:p w:rsidR="00D93D0D" w:rsidRDefault="00D93D0D" w:rsidP="00D93D0D">
      <w:pPr>
        <w:rPr>
          <w:szCs w:val="22"/>
        </w:rPr>
      </w:pPr>
      <w:r>
        <w:rPr>
          <w:szCs w:val="22"/>
        </w:rPr>
        <w:t>Rekomenduojamos šios dozės:</w:t>
      </w:r>
    </w:p>
    <w:p w:rsidR="00D93D0D" w:rsidRDefault="00D93D0D" w:rsidP="00D93D0D">
      <w:pPr>
        <w:rPr>
          <w:szCs w:val="22"/>
        </w:rPr>
      </w:pPr>
    </w:p>
    <w:p w:rsidR="00D93D0D" w:rsidRPr="006200AB" w:rsidRDefault="00D93D0D" w:rsidP="00D93D0D">
      <w:pPr>
        <w:ind w:left="567" w:hanging="567"/>
        <w:rPr>
          <w:szCs w:val="22"/>
        </w:rPr>
      </w:pPr>
      <w:r w:rsidRPr="006200AB">
        <w:t>•</w:t>
      </w:r>
      <w:r w:rsidRPr="006200AB">
        <w:tab/>
      </w:r>
      <w:r w:rsidRPr="006200AB">
        <w:rPr>
          <w:b/>
        </w:rPr>
        <w:t>Suaugusie</w:t>
      </w:r>
      <w:r>
        <w:rPr>
          <w:b/>
        </w:rPr>
        <w:t>sie</w:t>
      </w:r>
      <w:r w:rsidRPr="006200AB">
        <w:rPr>
          <w:b/>
        </w:rPr>
        <w:t xml:space="preserve">ms: </w:t>
      </w:r>
      <w:r>
        <w:rPr>
          <w:szCs w:val="22"/>
        </w:rPr>
        <w:t>suleiskite</w:t>
      </w:r>
      <w:r w:rsidRPr="006200AB">
        <w:rPr>
          <w:szCs w:val="22"/>
        </w:rPr>
        <w:t xml:space="preserve"> visą </w:t>
      </w:r>
      <w:r>
        <w:rPr>
          <w:szCs w:val="22"/>
        </w:rPr>
        <w:t>vaistą</w:t>
      </w:r>
      <w:r w:rsidRPr="006200AB">
        <w:rPr>
          <w:szCs w:val="22"/>
        </w:rPr>
        <w:t xml:space="preserve"> (1 ml)</w:t>
      </w:r>
      <w:r>
        <w:rPr>
          <w:szCs w:val="22"/>
        </w:rPr>
        <w:t xml:space="preserve"> </w:t>
      </w:r>
      <w:r w:rsidRPr="00924EFA">
        <w:t>–</w:t>
      </w:r>
      <w:r w:rsidRPr="006200AB">
        <w:rPr>
          <w:szCs w:val="22"/>
        </w:rPr>
        <w:t xml:space="preserve"> ant švirkšto pažymėta 1.</w:t>
      </w:r>
    </w:p>
    <w:p w:rsidR="00D93D0D" w:rsidRDefault="00D93D0D" w:rsidP="00D93D0D">
      <w:pPr>
        <w:tabs>
          <w:tab w:val="clear" w:pos="567"/>
          <w:tab w:val="left" w:pos="0"/>
        </w:tabs>
        <w:ind w:left="567" w:hanging="567"/>
      </w:pPr>
      <w:r w:rsidRPr="006200AB">
        <w:t>•</w:t>
      </w:r>
      <w:r w:rsidRPr="006200AB">
        <w:tab/>
      </w:r>
      <w:r w:rsidRPr="00B949EC">
        <w:rPr>
          <w:b/>
        </w:rPr>
        <w:t>Vaikams, jaunesniems nei</w:t>
      </w:r>
      <w:r w:rsidRPr="00924EFA">
        <w:rPr>
          <w:b/>
        </w:rPr>
        <w:t xml:space="preserve"> 8 metų amžiaus, arba vaikams, vyresniems nei 8 metų amžiaus, sveriantiems mažiau nei 25 kg:</w:t>
      </w:r>
      <w:r>
        <w:t xml:space="preserve"> suleiskite</w:t>
      </w:r>
      <w:r w:rsidRPr="006200AB">
        <w:t xml:space="preserve"> pusę </w:t>
      </w:r>
      <w:r>
        <w:t>vaisto</w:t>
      </w:r>
      <w:r w:rsidRPr="006200AB">
        <w:t xml:space="preserve"> </w:t>
      </w:r>
      <w:r w:rsidRPr="0042386A">
        <w:t>(</w:t>
      </w:r>
      <w:r>
        <w:t>0,5</w:t>
      </w:r>
      <w:r w:rsidRPr="0042386A">
        <w:t> ml)</w:t>
      </w:r>
      <w:r w:rsidRPr="00924EFA">
        <w:t xml:space="preserve"> – </w:t>
      </w:r>
      <w:r w:rsidRPr="006200AB">
        <w:t xml:space="preserve">ant švirkšto pažymėta </w:t>
      </w:r>
      <w:r>
        <w:t>0,5.</w:t>
      </w:r>
    </w:p>
    <w:p w:rsidR="00D93D0D" w:rsidRDefault="00D93D0D" w:rsidP="00D93D0D">
      <w:pPr>
        <w:tabs>
          <w:tab w:val="clear" w:pos="567"/>
          <w:tab w:val="left" w:pos="0"/>
        </w:tabs>
        <w:ind w:left="567" w:hanging="567"/>
        <w:rPr>
          <w:szCs w:val="22"/>
        </w:rPr>
      </w:pPr>
      <w:r w:rsidRPr="006200AB">
        <w:t>•</w:t>
      </w:r>
      <w:r w:rsidRPr="006200AB">
        <w:tab/>
      </w:r>
      <w:r w:rsidRPr="00496E2E">
        <w:rPr>
          <w:b/>
        </w:rPr>
        <w:t xml:space="preserve">Vaikams, </w:t>
      </w:r>
      <w:r>
        <w:rPr>
          <w:b/>
        </w:rPr>
        <w:t>vyresniems</w:t>
      </w:r>
      <w:r w:rsidRPr="00496E2E">
        <w:rPr>
          <w:b/>
        </w:rPr>
        <w:t xml:space="preserve"> nei</w:t>
      </w:r>
      <w:r w:rsidRPr="00924EFA">
        <w:rPr>
          <w:b/>
        </w:rPr>
        <w:t xml:space="preserve"> 8 metų amžiaus, arba vaikams, jaunesniems nei 8 metų amžiaus, sveriantiems daugiau nei 25 kg:</w:t>
      </w:r>
      <w:r>
        <w:t xml:space="preserve"> suleiskite</w:t>
      </w:r>
      <w:r w:rsidRPr="006200AB">
        <w:t xml:space="preserve"> </w:t>
      </w:r>
      <w:r>
        <w:t xml:space="preserve">visą </w:t>
      </w:r>
      <w:r>
        <w:rPr>
          <w:szCs w:val="22"/>
        </w:rPr>
        <w:t>vaistą</w:t>
      </w:r>
      <w:r w:rsidRPr="006200AB">
        <w:rPr>
          <w:szCs w:val="22"/>
        </w:rPr>
        <w:t xml:space="preserve"> (1 ml)</w:t>
      </w:r>
      <w:r>
        <w:rPr>
          <w:szCs w:val="22"/>
        </w:rPr>
        <w:t xml:space="preserve"> </w:t>
      </w:r>
      <w:r w:rsidRPr="00924EFA">
        <w:t>–</w:t>
      </w:r>
      <w:r w:rsidRPr="006200AB">
        <w:rPr>
          <w:szCs w:val="22"/>
        </w:rPr>
        <w:t xml:space="preserve"> ant švirkšto pažymėta 1.</w:t>
      </w:r>
    </w:p>
    <w:p w:rsidR="00D93D0D" w:rsidRDefault="00D93D0D" w:rsidP="00D93D0D">
      <w:pPr>
        <w:ind w:left="567" w:hanging="567"/>
      </w:pPr>
    </w:p>
    <w:p w:rsidR="00D93D0D" w:rsidRPr="006E5C4D" w:rsidRDefault="00D93D0D" w:rsidP="00D93D0D">
      <w:pPr>
        <w:rPr>
          <w:b/>
        </w:rPr>
      </w:pPr>
      <w:r w:rsidRPr="00B949EC">
        <w:rPr>
          <w:b/>
          <w:bCs/>
        </w:rPr>
        <w:t>Ką daryti</w:t>
      </w:r>
      <w:r>
        <w:rPr>
          <w:bCs/>
        </w:rPr>
        <w:t xml:space="preserve"> </w:t>
      </w:r>
      <w:r>
        <w:rPr>
          <w:b/>
        </w:rPr>
        <w:t>p</w:t>
      </w:r>
      <w:r w:rsidRPr="006E5C4D">
        <w:rPr>
          <w:b/>
        </w:rPr>
        <w:t>avartojus</w:t>
      </w:r>
      <w:r w:rsidRPr="00F17F46">
        <w:rPr>
          <w:b/>
        </w:rPr>
        <w:t xml:space="preserve"> per didelę GlucaGen dozę</w:t>
      </w:r>
    </w:p>
    <w:p w:rsidR="00D93D0D" w:rsidRPr="00704A53" w:rsidRDefault="00D93D0D" w:rsidP="00D93D0D">
      <w:pPr>
        <w:rPr>
          <w:b/>
        </w:rPr>
      </w:pPr>
    </w:p>
    <w:p w:rsidR="00D93D0D" w:rsidRDefault="00D93D0D" w:rsidP="00D93D0D">
      <w:pPr>
        <w:rPr>
          <w:szCs w:val="22"/>
        </w:rPr>
      </w:pPr>
      <w:r>
        <w:rPr>
          <w:szCs w:val="22"/>
        </w:rPr>
        <w:t>Per daug</w:t>
      </w:r>
      <w:r w:rsidRPr="00CF3F1F">
        <w:rPr>
          <w:szCs w:val="22"/>
        </w:rPr>
        <w:t xml:space="preserve"> GlucaGen </w:t>
      </w:r>
      <w:r>
        <w:rPr>
          <w:szCs w:val="22"/>
        </w:rPr>
        <w:t>gali sukelti pykinimą ir šleikštulį (vėmimą)</w:t>
      </w:r>
      <w:r w:rsidRPr="00CF3F1F">
        <w:rPr>
          <w:szCs w:val="22"/>
        </w:rPr>
        <w:t xml:space="preserve">. </w:t>
      </w:r>
      <w:r>
        <w:rPr>
          <w:szCs w:val="22"/>
        </w:rPr>
        <w:t>Ypatingo gydymo dažniausiai nereikia.</w:t>
      </w:r>
    </w:p>
    <w:p w:rsidR="00D93D0D" w:rsidRDefault="00D93D0D" w:rsidP="00D93D0D">
      <w:pPr>
        <w:rPr>
          <w:szCs w:val="22"/>
        </w:rPr>
      </w:pPr>
    </w:p>
    <w:p w:rsidR="00D93D0D" w:rsidRDefault="00D93D0D" w:rsidP="00D93D0D">
      <w:pPr>
        <w:rPr>
          <w:szCs w:val="22"/>
        </w:rPr>
      </w:pPr>
    </w:p>
    <w:p w:rsidR="00D93D0D" w:rsidRPr="00704A53" w:rsidRDefault="00D93D0D" w:rsidP="00D93D0D">
      <w:pPr>
        <w:rPr>
          <w:b/>
        </w:rPr>
      </w:pPr>
      <w:r w:rsidRPr="00704A53">
        <w:rPr>
          <w:b/>
        </w:rPr>
        <w:t>4.</w:t>
      </w:r>
      <w:r w:rsidRPr="00704A53">
        <w:rPr>
          <w:b/>
        </w:rPr>
        <w:tab/>
        <w:t>Galimas šalutinis poveikis</w:t>
      </w:r>
    </w:p>
    <w:p w:rsidR="00D93D0D" w:rsidRPr="0042137E" w:rsidRDefault="00D93D0D" w:rsidP="00D93D0D"/>
    <w:p w:rsidR="00D93D0D" w:rsidRPr="00CF3F1F" w:rsidRDefault="00D93D0D" w:rsidP="00D93D0D">
      <w:pPr>
        <w:rPr>
          <w:szCs w:val="22"/>
        </w:rPr>
      </w:pPr>
      <w:r>
        <w:rPr>
          <w:szCs w:val="22"/>
        </w:rPr>
        <w:t>Šis vaistas, kaip ir visi kiti, gali sukelti šalutinį poveikį, nors jis pasireiškia ne visiems žmonėms. Šis vaistas gali sukelti šį šalutinį poveikį:</w:t>
      </w:r>
    </w:p>
    <w:p w:rsidR="00D93D0D" w:rsidRDefault="00D93D0D" w:rsidP="00D93D0D">
      <w:pPr>
        <w:rPr>
          <w:szCs w:val="22"/>
        </w:rPr>
      </w:pPr>
    </w:p>
    <w:p w:rsidR="00D93D0D" w:rsidRPr="00B24857" w:rsidRDefault="00D93D0D" w:rsidP="00D93D0D">
      <w:pPr>
        <w:rPr>
          <w:b/>
          <w:szCs w:val="22"/>
        </w:rPr>
      </w:pPr>
      <w:r>
        <w:rPr>
          <w:b/>
          <w:szCs w:val="22"/>
        </w:rPr>
        <w:t>Nedelsdami pasakykite gydytojui, jeigu pastebite kurį nors iš šių sunkių šalutinių poveikių:</w:t>
      </w:r>
    </w:p>
    <w:p w:rsidR="00D93D0D" w:rsidRDefault="00D93D0D" w:rsidP="00D93D0D">
      <w:pPr>
        <w:rPr>
          <w:szCs w:val="22"/>
        </w:rPr>
      </w:pPr>
    </w:p>
    <w:p w:rsidR="00D93D0D" w:rsidRPr="00425728" w:rsidRDefault="00D93D0D" w:rsidP="00D93D0D">
      <w:pPr>
        <w:rPr>
          <w:szCs w:val="22"/>
        </w:rPr>
      </w:pPr>
      <w:r w:rsidRPr="005D554B">
        <w:rPr>
          <w:b/>
          <w:bCs/>
          <w:snapToGrid w:val="0"/>
          <w:szCs w:val="22"/>
        </w:rPr>
        <w:t xml:space="preserve">Labai dažni šalutinio poveikio reiškiniai </w:t>
      </w:r>
      <w:r w:rsidRPr="00437BEA">
        <w:rPr>
          <w:snapToGrid w:val="0"/>
          <w:szCs w:val="22"/>
        </w:rPr>
        <w:t>(gali pasireikšti ne rečiau kaip 1 iš 10 asmenų):</w:t>
      </w:r>
    </w:p>
    <w:p w:rsidR="00D93D0D" w:rsidRDefault="00D93D0D" w:rsidP="00D93D0D">
      <w:pPr>
        <w:ind w:left="567" w:hanging="567"/>
      </w:pPr>
      <w:r w:rsidRPr="003357DE">
        <w:t>•</w:t>
      </w:r>
      <w:r w:rsidRPr="003357DE">
        <w:tab/>
      </w:r>
      <w:r w:rsidRPr="00B949EC">
        <w:t>alerginė</w:t>
      </w:r>
      <w:r w:rsidRPr="00F17F46">
        <w:t xml:space="preserve"> reakcija</w:t>
      </w:r>
      <w:r w:rsidRPr="003357DE">
        <w:rPr>
          <w:b/>
        </w:rPr>
        <w:t xml:space="preserve"> </w:t>
      </w:r>
      <w:r>
        <w:t>– jos požymiai gali būti švokštimas, prakaitavimas, dažnas širdies plakimas, bėrimas, patinęs veidas ir kolapsas.</w:t>
      </w:r>
    </w:p>
    <w:p w:rsidR="00D93D0D" w:rsidRDefault="00D93D0D" w:rsidP="00D93D0D">
      <w:pPr>
        <w:ind w:left="567" w:hanging="567"/>
      </w:pPr>
      <w:r w:rsidRPr="003357DE">
        <w:t>►</w:t>
      </w:r>
      <w:r w:rsidRPr="003357DE">
        <w:tab/>
      </w:r>
      <w:r w:rsidRPr="003357DE">
        <w:rPr>
          <w:b/>
        </w:rPr>
        <w:t>Nedels</w:t>
      </w:r>
      <w:r>
        <w:rPr>
          <w:b/>
        </w:rPr>
        <w:t>dami</w:t>
      </w:r>
      <w:r w:rsidRPr="003357DE">
        <w:rPr>
          <w:b/>
        </w:rPr>
        <w:t xml:space="preserve"> susisiekite su gydytoju</w:t>
      </w:r>
      <w:r w:rsidRPr="00F17F46">
        <w:t>,</w:t>
      </w:r>
      <w:r>
        <w:t xml:space="preserve"> jeigu pastebite kurį nors iš aprašytų sunkių šalutinių poveikių.</w:t>
      </w:r>
    </w:p>
    <w:p w:rsidR="00D93D0D" w:rsidRDefault="00D93D0D" w:rsidP="00D93D0D">
      <w:pPr>
        <w:ind w:left="567" w:hanging="567"/>
        <w:rPr>
          <w:b/>
        </w:rPr>
      </w:pPr>
    </w:p>
    <w:p w:rsidR="00D93D0D" w:rsidRDefault="00D93D0D" w:rsidP="00D93D0D">
      <w:pPr>
        <w:ind w:left="567" w:hanging="567"/>
        <w:rPr>
          <w:b/>
        </w:rPr>
      </w:pPr>
      <w:r>
        <w:rPr>
          <w:b/>
        </w:rPr>
        <w:t>Kiti šalutiniai poveikiai</w:t>
      </w:r>
    </w:p>
    <w:p w:rsidR="00D93D0D" w:rsidRDefault="00D93D0D" w:rsidP="00D93D0D">
      <w:pPr>
        <w:ind w:left="567" w:hanging="567"/>
      </w:pPr>
      <w:r w:rsidRPr="005D554B">
        <w:rPr>
          <w:b/>
          <w:bCs/>
          <w:snapToGrid w:val="0"/>
          <w:szCs w:val="22"/>
        </w:rPr>
        <w:t>Dažni šalutinio poveikio reiškiniai</w:t>
      </w:r>
      <w:r w:rsidRPr="00437BEA">
        <w:rPr>
          <w:snapToGrid w:val="0"/>
          <w:szCs w:val="22"/>
        </w:rPr>
        <w:t xml:space="preserve"> (gali pasireikšti rečiau kaip 1 iš 10 asmenų):</w:t>
      </w:r>
    </w:p>
    <w:p w:rsidR="00D93D0D" w:rsidRDefault="00D93D0D" w:rsidP="00D93D0D">
      <w:pPr>
        <w:ind w:left="567" w:hanging="567"/>
      </w:pPr>
      <w:r w:rsidRPr="001E6B80">
        <w:t>•</w:t>
      </w:r>
      <w:r w:rsidRPr="001E6B80">
        <w:tab/>
      </w:r>
      <w:r>
        <w:t>jaučiamas šleikštulys (pykinimas).</w:t>
      </w:r>
    </w:p>
    <w:p w:rsidR="00D93D0D" w:rsidRDefault="00D93D0D" w:rsidP="00D93D0D">
      <w:pPr>
        <w:ind w:left="567" w:hanging="567"/>
      </w:pPr>
    </w:p>
    <w:p w:rsidR="00D93D0D" w:rsidRPr="00425728" w:rsidRDefault="00D93D0D" w:rsidP="00D93D0D">
      <w:pPr>
        <w:ind w:left="567" w:hanging="567"/>
        <w:rPr>
          <w:bCs/>
        </w:rPr>
      </w:pPr>
      <w:r w:rsidRPr="00425728">
        <w:rPr>
          <w:b/>
        </w:rPr>
        <w:t xml:space="preserve">Nedažni šalutinio poveikio reiškiniai </w:t>
      </w:r>
      <w:r w:rsidRPr="00437BEA">
        <w:rPr>
          <w:bCs/>
        </w:rPr>
        <w:t>(gali pasireikšti rečiau kaip 1 iš 100 asmenų):</w:t>
      </w:r>
    </w:p>
    <w:p w:rsidR="00D93D0D" w:rsidRDefault="00D93D0D" w:rsidP="00D93D0D">
      <w:pPr>
        <w:ind w:left="567" w:hanging="567"/>
      </w:pPr>
      <w:r w:rsidRPr="00425728">
        <w:rPr>
          <w:bCs/>
        </w:rPr>
        <w:t>•</w:t>
      </w:r>
      <w:r w:rsidRPr="001E6B80">
        <w:tab/>
      </w:r>
      <w:r>
        <w:t>vėmimas.</w:t>
      </w:r>
    </w:p>
    <w:p w:rsidR="00D93D0D" w:rsidRDefault="00D93D0D" w:rsidP="00D93D0D">
      <w:pPr>
        <w:ind w:left="567" w:hanging="567"/>
      </w:pPr>
    </w:p>
    <w:p w:rsidR="00D93D0D" w:rsidRDefault="00D93D0D" w:rsidP="00D93D0D">
      <w:r w:rsidRPr="005D554B">
        <w:rPr>
          <w:b/>
          <w:bCs/>
          <w:snapToGrid w:val="0"/>
          <w:szCs w:val="22"/>
        </w:rPr>
        <w:t xml:space="preserve">Reti šalutinio poveikio reiškiniai </w:t>
      </w:r>
      <w:r w:rsidRPr="00437BEA">
        <w:rPr>
          <w:snapToGrid w:val="0"/>
          <w:szCs w:val="22"/>
        </w:rPr>
        <w:t xml:space="preserve">(gali pasireikšti rečiau kaip 1 iš 1 000 asmenų): </w:t>
      </w:r>
    </w:p>
    <w:p w:rsidR="00D93D0D" w:rsidRDefault="00D93D0D" w:rsidP="00D93D0D">
      <w:pPr>
        <w:ind w:left="567" w:hanging="567"/>
      </w:pPr>
      <w:r w:rsidRPr="001E6B80">
        <w:t>•</w:t>
      </w:r>
      <w:r w:rsidRPr="001E6B80">
        <w:tab/>
      </w:r>
      <w:r>
        <w:t>skrandžio (pilvo) skausmas.</w:t>
      </w:r>
    </w:p>
    <w:p w:rsidR="00D93D0D" w:rsidRDefault="00D93D0D" w:rsidP="00D93D0D">
      <w:pPr>
        <w:rPr>
          <w:szCs w:val="22"/>
        </w:rPr>
      </w:pPr>
    </w:p>
    <w:p w:rsidR="00D93D0D" w:rsidRDefault="00D93D0D" w:rsidP="00D93D0D">
      <w:pPr>
        <w:rPr>
          <w:b/>
          <w:bCs/>
          <w:snapToGrid w:val="0"/>
          <w:szCs w:val="22"/>
        </w:rPr>
      </w:pPr>
      <w:r>
        <w:rPr>
          <w:b/>
          <w:bCs/>
          <w:snapToGrid w:val="0"/>
          <w:szCs w:val="22"/>
        </w:rPr>
        <w:t>D</w:t>
      </w:r>
      <w:r w:rsidRPr="005D554B">
        <w:rPr>
          <w:b/>
          <w:bCs/>
          <w:snapToGrid w:val="0"/>
          <w:szCs w:val="22"/>
        </w:rPr>
        <w:t>ažnis nežinomas</w:t>
      </w:r>
      <w:r w:rsidRPr="00437BEA">
        <w:rPr>
          <w:snapToGrid w:val="0"/>
          <w:szCs w:val="22"/>
        </w:rPr>
        <w:t xml:space="preserve"> (negali būti apskaičiuotas pagal turimus duomenis):</w:t>
      </w:r>
    </w:p>
    <w:p w:rsidR="00D93D0D" w:rsidRDefault="00D93D0D" w:rsidP="00D93D0D">
      <w:pPr>
        <w:ind w:left="567" w:hanging="567"/>
      </w:pPr>
      <w:r w:rsidRPr="001E6B80">
        <w:t>•</w:t>
      </w:r>
      <w:r w:rsidRPr="001E6B80">
        <w:tab/>
      </w:r>
      <w:r>
        <w:rPr>
          <w:szCs w:val="22"/>
        </w:rPr>
        <w:t>injekcijos vietos reakcijos</w:t>
      </w:r>
      <w:r>
        <w:t>.</w:t>
      </w:r>
    </w:p>
    <w:p w:rsidR="00D93D0D" w:rsidRDefault="00D93D0D" w:rsidP="00D93D0D">
      <w:pPr>
        <w:rPr>
          <w:szCs w:val="22"/>
        </w:rPr>
      </w:pPr>
    </w:p>
    <w:p w:rsidR="00D93D0D" w:rsidRDefault="00D93D0D" w:rsidP="00D93D0D">
      <w:pPr>
        <w:ind w:left="567" w:hanging="567"/>
      </w:pPr>
      <w:r w:rsidRPr="001E6B80">
        <w:t>►</w:t>
      </w:r>
      <w:r w:rsidRPr="001E6B80">
        <w:tab/>
      </w:r>
      <w:r w:rsidRPr="00B949EC">
        <w:rPr>
          <w:b/>
        </w:rPr>
        <w:t xml:space="preserve">Jeigu pasireiškė </w:t>
      </w:r>
      <w:r w:rsidRPr="00F17F46">
        <w:rPr>
          <w:b/>
        </w:rPr>
        <w:t>šalutinis poveikis</w:t>
      </w:r>
      <w:r>
        <w:t xml:space="preserve"> </w:t>
      </w:r>
      <w:r w:rsidRPr="00976D94">
        <w:t>(net jeigu jis šiame lapelyje nenurodytas), kreipkitės į</w:t>
      </w:r>
      <w:r>
        <w:t xml:space="preserve"> gydytoją.</w:t>
      </w:r>
    </w:p>
    <w:p w:rsidR="00D93D0D" w:rsidRDefault="00D93D0D" w:rsidP="00D93D0D">
      <w:pPr>
        <w:ind w:left="567" w:hanging="567"/>
      </w:pPr>
    </w:p>
    <w:p w:rsidR="00D93D0D" w:rsidRDefault="00D93D0D" w:rsidP="00D93D0D">
      <w:pPr>
        <w:rPr>
          <w:b/>
        </w:rPr>
      </w:pPr>
      <w:r w:rsidRPr="00976D94">
        <w:rPr>
          <w:b/>
        </w:rPr>
        <w:t>Pranešimas apie šalutinį poveikį</w:t>
      </w:r>
    </w:p>
    <w:p w:rsidR="00D93D0D" w:rsidRDefault="00D93D0D" w:rsidP="00D93D0D">
      <w:pPr>
        <w:numPr>
          <w:ilvl w:val="12"/>
          <w:numId w:val="0"/>
        </w:numPr>
        <w:tabs>
          <w:tab w:val="clear" w:pos="567"/>
        </w:tabs>
        <w:ind w:right="-2"/>
      </w:pPr>
      <w:r w:rsidRPr="00425728">
        <w:t xml:space="preserve">Jeigu pasireiškė šalutinis poveikis, įskaitant šiame lapelyje nenurodytą, pasakykite gydytojui. Pranešimą apie šalutinį poveikį galite pateikti šiais būdais: tiesiogiai užpildant formą internetu </w:t>
      </w:r>
      <w:r w:rsidRPr="00425728">
        <w:lastRenderedPageBreak/>
        <w:t xml:space="preserve">Valstybinės vaistų kontrolės tarnybos prie Lietuvos Respublikos sveikatos apsaugos ministerijos Vaistinių preparatų informacinėje sistemoje </w:t>
      </w:r>
      <w:hyperlink r:id="rId8"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9" w:history="1">
        <w:r w:rsidRPr="005D554B">
          <w:rPr>
            <w:snapToGrid w:val="0"/>
            <w:color w:val="0000FF"/>
            <w:u w:val="single"/>
          </w:rPr>
          <w:t>https://www.vvkt.lt/index.php?4004286486</w:t>
        </w:r>
      </w:hyperlink>
      <w:r w:rsidRPr="00425728">
        <w:t>, ir atsiunčiant elektroniniu paštu (adresu NepageidaujamaR@vvkt.lt) arba nemokamu telefonu 8 800 73 568. Pranešdami apie šalutinį poveikį galite mums padėti gauti daugiau informacijos apie šio vaisto saugumą.</w:t>
      </w:r>
    </w:p>
    <w:p w:rsidR="00D93D0D" w:rsidRDefault="00D93D0D" w:rsidP="00D93D0D">
      <w:pPr>
        <w:rPr>
          <w:szCs w:val="22"/>
        </w:rPr>
      </w:pPr>
    </w:p>
    <w:p w:rsidR="00D93D0D" w:rsidRPr="00704A53" w:rsidRDefault="00D93D0D" w:rsidP="00D93D0D">
      <w:pPr>
        <w:rPr>
          <w:b/>
        </w:rPr>
      </w:pPr>
      <w:r w:rsidRPr="00704A53">
        <w:rPr>
          <w:b/>
        </w:rPr>
        <w:t>5.</w:t>
      </w:r>
      <w:r w:rsidRPr="00704A53">
        <w:rPr>
          <w:b/>
        </w:rPr>
        <w:tab/>
        <w:t xml:space="preserve">Kaip laikyti </w:t>
      </w:r>
      <w:r>
        <w:rPr>
          <w:b/>
        </w:rPr>
        <w:t>G</w:t>
      </w:r>
      <w:r w:rsidRPr="00704A53">
        <w:rPr>
          <w:b/>
        </w:rPr>
        <w:t>luca</w:t>
      </w:r>
      <w:r>
        <w:rPr>
          <w:b/>
        </w:rPr>
        <w:t>G</w:t>
      </w:r>
      <w:r w:rsidRPr="00704A53">
        <w:rPr>
          <w:b/>
        </w:rPr>
        <w:t>en</w:t>
      </w:r>
      <w:r w:rsidRPr="00553D94">
        <w:rPr>
          <w:b/>
          <w:szCs w:val="22"/>
        </w:rPr>
        <w:t xml:space="preserve"> </w:t>
      </w:r>
      <w:r>
        <w:rPr>
          <w:b/>
          <w:szCs w:val="22"/>
        </w:rPr>
        <w:t>HypoKit</w:t>
      </w:r>
    </w:p>
    <w:p w:rsidR="00D93D0D" w:rsidRPr="005953CB" w:rsidRDefault="00D93D0D" w:rsidP="00D93D0D"/>
    <w:p w:rsidR="00D93D0D" w:rsidRDefault="00D93D0D" w:rsidP="00D93D0D">
      <w:pPr>
        <w:ind w:left="567" w:hanging="567"/>
      </w:pPr>
      <w:r w:rsidRPr="001E6B80">
        <w:t>•</w:t>
      </w:r>
      <w:r w:rsidRPr="001E6B80">
        <w:tab/>
      </w:r>
      <w:r w:rsidRPr="00976D94">
        <w:t>Šį vaistą laikykite</w:t>
      </w:r>
      <w:r>
        <w:t xml:space="preserve"> vaikams nepastebimoje ir nepasiekiamoje vietoje.</w:t>
      </w:r>
    </w:p>
    <w:p w:rsidR="00D93D0D" w:rsidRDefault="00D93D0D" w:rsidP="00D93D0D">
      <w:pPr>
        <w:ind w:left="567" w:hanging="567"/>
      </w:pPr>
      <w:r w:rsidRPr="001E6B80">
        <w:t>•</w:t>
      </w:r>
      <w:r w:rsidRPr="001E6B80">
        <w:tab/>
      </w:r>
      <w:r>
        <w:t>Laikyti:</w:t>
      </w:r>
    </w:p>
    <w:p w:rsidR="00D93D0D" w:rsidRDefault="00D93D0D" w:rsidP="00D93D0D">
      <w:pPr>
        <w:ind w:left="1134" w:hanging="567"/>
      </w:pPr>
      <w:r w:rsidRPr="00A50C32">
        <w:t>–</w:t>
      </w:r>
      <w:r w:rsidRPr="00A50C32">
        <w:tab/>
      </w:r>
      <w:r w:rsidRPr="0045570A">
        <w:rPr>
          <w:b/>
        </w:rPr>
        <w:t>šaldytuve</w:t>
      </w:r>
      <w:r>
        <w:t xml:space="preserve"> (2 °C−8 °C) </w:t>
      </w:r>
      <w:r w:rsidRPr="0045570A">
        <w:rPr>
          <w:b/>
        </w:rPr>
        <w:t>arba</w:t>
      </w:r>
    </w:p>
    <w:p w:rsidR="00D93D0D" w:rsidRDefault="00D93D0D" w:rsidP="00D93D0D">
      <w:pPr>
        <w:ind w:left="1134" w:hanging="567"/>
      </w:pPr>
      <w:r w:rsidRPr="00A50C32">
        <w:t>–</w:t>
      </w:r>
      <w:r w:rsidRPr="00A50C32">
        <w:tab/>
      </w:r>
      <w:r w:rsidRPr="0045570A">
        <w:rPr>
          <w:b/>
        </w:rPr>
        <w:t>kambario temperatūroje</w:t>
      </w:r>
      <w:r>
        <w:t xml:space="preserve"> (iki 25 °C) ne ilgiau kaip 18 mėnesių, kol nurodytas tinkamumo laikas nepraėjo.</w:t>
      </w:r>
    </w:p>
    <w:p w:rsidR="00D93D0D" w:rsidRDefault="00D93D0D" w:rsidP="00D93D0D">
      <w:pPr>
        <w:ind w:left="567" w:hanging="567"/>
      </w:pPr>
      <w:r w:rsidRPr="0045570A">
        <w:t>•</w:t>
      </w:r>
      <w:r w:rsidRPr="0045570A">
        <w:tab/>
      </w:r>
      <w:r>
        <w:t xml:space="preserve">Laikyti gamintojo pakuotėje, kad </w:t>
      </w:r>
      <w:r w:rsidRPr="00AF5468">
        <w:t>vaistas</w:t>
      </w:r>
      <w:r>
        <w:t xml:space="preserve"> būtų apsaugotas nuo šviesos.</w:t>
      </w:r>
    </w:p>
    <w:p w:rsidR="00D93D0D" w:rsidRDefault="00D93D0D" w:rsidP="00D93D0D">
      <w:pPr>
        <w:ind w:left="567" w:hanging="567"/>
      </w:pPr>
      <w:r w:rsidRPr="0045570A">
        <w:t>•</w:t>
      </w:r>
      <w:r w:rsidRPr="0045570A">
        <w:tab/>
      </w:r>
      <w:r>
        <w:t>Negalima užšaldyti, tai gali pakenkti preparatui.</w:t>
      </w:r>
    </w:p>
    <w:p w:rsidR="00D93D0D" w:rsidRDefault="00D93D0D" w:rsidP="00D93D0D">
      <w:pPr>
        <w:ind w:left="567" w:hanging="567"/>
      </w:pPr>
      <w:r w:rsidRPr="0045570A">
        <w:t>•</w:t>
      </w:r>
      <w:r w:rsidRPr="0045570A">
        <w:tab/>
      </w:r>
      <w:r>
        <w:t>Preparatą vartokite iš karto po sumaišymo – nepasilikite vėlesniam naudojimui.</w:t>
      </w:r>
    </w:p>
    <w:p w:rsidR="00D93D0D" w:rsidRDefault="00D93D0D" w:rsidP="00D93D0D">
      <w:pPr>
        <w:ind w:left="567" w:hanging="567"/>
        <w:rPr>
          <w:szCs w:val="22"/>
        </w:rPr>
      </w:pPr>
      <w:r w:rsidRPr="0045570A">
        <w:t>•</w:t>
      </w:r>
      <w:r w:rsidRPr="0045570A">
        <w:tab/>
      </w:r>
      <w:r>
        <w:rPr>
          <w:szCs w:val="22"/>
        </w:rPr>
        <w:t xml:space="preserve">Ant dėžutės ar flakono po „EXP“ nurodytam tinkamumo laikui pasibaigus, šio vaisto vartoti negalima. Vaistas tinkamas vartoti iki paskutinės nurodyto mėnesio dienos. </w:t>
      </w:r>
    </w:p>
    <w:p w:rsidR="00D93D0D" w:rsidRDefault="00D93D0D" w:rsidP="00D93D0D">
      <w:pPr>
        <w:ind w:left="567" w:hanging="567"/>
      </w:pPr>
      <w:r w:rsidRPr="0045570A">
        <w:t>•</w:t>
      </w:r>
      <w:r w:rsidRPr="0045570A">
        <w:tab/>
      </w:r>
      <w:r>
        <w:t>Sumaišyto tirpalo nevartokite, jeigu jis pasidaro želė pavidalo arba milteliai gerai neištirpo.</w:t>
      </w:r>
    </w:p>
    <w:p w:rsidR="00D93D0D" w:rsidRDefault="00D93D0D" w:rsidP="00D93D0D">
      <w:pPr>
        <w:ind w:left="567" w:hanging="567"/>
      </w:pPr>
      <w:r w:rsidRPr="007A469C">
        <w:t>•</w:t>
      </w:r>
      <w:r w:rsidRPr="007A469C">
        <w:tab/>
      </w:r>
      <w:r>
        <w:t>Nevartokite, jei plastikinis dangtelis netvirtai uždengtas arba jo išvis nėra – grąžinkite vaistą į vaistinę, kurioje pirkote.</w:t>
      </w:r>
    </w:p>
    <w:p w:rsidR="00D93D0D" w:rsidRDefault="00D93D0D" w:rsidP="00D93D0D">
      <w:pPr>
        <w:ind w:left="567" w:hanging="567"/>
      </w:pPr>
      <w:r w:rsidRPr="00FE2B87">
        <w:t>•</w:t>
      </w:r>
      <w:r w:rsidRPr="00FE2B87">
        <w:tab/>
      </w:r>
      <w:r>
        <w:t xml:space="preserve">Vaistų negalima išmesti į kanalizaciją arba su buitinėmis atliekomis. Kaip išmesti nereikalingus vaistus, klauskite vaistininko. </w:t>
      </w:r>
      <w:r w:rsidRPr="00976D94">
        <w:t>Šios priemonės padės apsaugoti aplinką</w:t>
      </w:r>
      <w:r>
        <w:t>.</w:t>
      </w:r>
    </w:p>
    <w:p w:rsidR="00D93D0D" w:rsidRDefault="00D93D0D" w:rsidP="00D93D0D">
      <w:pPr>
        <w:rPr>
          <w:szCs w:val="22"/>
        </w:rPr>
      </w:pPr>
    </w:p>
    <w:p w:rsidR="00D93D0D" w:rsidRDefault="00D93D0D" w:rsidP="00D93D0D">
      <w:pPr>
        <w:rPr>
          <w:szCs w:val="22"/>
        </w:rPr>
      </w:pPr>
    </w:p>
    <w:p w:rsidR="00D93D0D" w:rsidRPr="00085684" w:rsidRDefault="00D93D0D" w:rsidP="00D93D0D">
      <w:pPr>
        <w:rPr>
          <w:b/>
          <w:szCs w:val="22"/>
        </w:rPr>
      </w:pPr>
      <w:r w:rsidRPr="00085684">
        <w:rPr>
          <w:b/>
          <w:szCs w:val="22"/>
        </w:rPr>
        <w:t>6.</w:t>
      </w:r>
      <w:r w:rsidRPr="00085684">
        <w:rPr>
          <w:b/>
          <w:szCs w:val="22"/>
        </w:rPr>
        <w:tab/>
      </w:r>
      <w:r>
        <w:rPr>
          <w:b/>
          <w:szCs w:val="22"/>
        </w:rPr>
        <w:t xml:space="preserve">Pakuotės turinys ir </w:t>
      </w:r>
      <w:r w:rsidRPr="00085684">
        <w:rPr>
          <w:b/>
          <w:szCs w:val="22"/>
        </w:rPr>
        <w:t>kita informacija</w:t>
      </w:r>
    </w:p>
    <w:p w:rsidR="00D93D0D" w:rsidRDefault="00D93D0D" w:rsidP="00D93D0D">
      <w:pPr>
        <w:rPr>
          <w:szCs w:val="22"/>
        </w:rPr>
      </w:pPr>
    </w:p>
    <w:p w:rsidR="00D93D0D" w:rsidRPr="007A469C" w:rsidRDefault="00D93D0D" w:rsidP="00D93D0D">
      <w:pPr>
        <w:rPr>
          <w:b/>
          <w:szCs w:val="22"/>
        </w:rPr>
      </w:pPr>
      <w:r w:rsidRPr="007A469C">
        <w:rPr>
          <w:b/>
          <w:szCs w:val="22"/>
        </w:rPr>
        <w:t>GlucaGen</w:t>
      </w:r>
      <w:r w:rsidRPr="007A469C">
        <w:rPr>
          <w:b/>
          <w:bCs/>
          <w:szCs w:val="22"/>
        </w:rPr>
        <w:t xml:space="preserve"> HypoKit </w:t>
      </w:r>
      <w:r w:rsidRPr="005D554B">
        <w:rPr>
          <w:b/>
          <w:bCs/>
          <w:snapToGrid w:val="0"/>
          <w:szCs w:val="28"/>
          <w:lang w:eastAsia="x-none"/>
        </w:rPr>
        <w:t>sudėtis</w:t>
      </w:r>
    </w:p>
    <w:p w:rsidR="00D93D0D" w:rsidRDefault="00D93D0D" w:rsidP="00D93D0D">
      <w:pPr>
        <w:rPr>
          <w:b/>
          <w:szCs w:val="22"/>
          <w:u w:val="single"/>
        </w:rPr>
      </w:pPr>
    </w:p>
    <w:p w:rsidR="00D93D0D" w:rsidRDefault="00D93D0D" w:rsidP="00D93D0D">
      <w:pPr>
        <w:ind w:left="567" w:hanging="567"/>
        <w:rPr>
          <w:szCs w:val="22"/>
        </w:rPr>
      </w:pPr>
      <w:r w:rsidRPr="007A469C">
        <w:t>•</w:t>
      </w:r>
      <w:r w:rsidRPr="007A469C">
        <w:tab/>
      </w:r>
      <w:r w:rsidRPr="00942848">
        <w:t>Veiklioji medžiaga yra gliukagon</w:t>
      </w:r>
      <w:r>
        <w:t>as</w:t>
      </w:r>
      <w:r w:rsidRPr="00942848">
        <w:t xml:space="preserve"> </w:t>
      </w:r>
      <w:r>
        <w:rPr>
          <w:szCs w:val="22"/>
        </w:rPr>
        <w:t xml:space="preserve">1 mg </w:t>
      </w:r>
      <w:r w:rsidRPr="00942848">
        <w:t>hidrochlorid</w:t>
      </w:r>
      <w:r>
        <w:t xml:space="preserve">o pavidalu, gaminamas iš mielių </w:t>
      </w:r>
      <w:r>
        <w:rPr>
          <w:szCs w:val="22"/>
        </w:rPr>
        <w:t>rekombinantinės DNR technologijos būdu.</w:t>
      </w:r>
    </w:p>
    <w:p w:rsidR="00D93D0D" w:rsidRPr="00942848" w:rsidRDefault="00D93D0D" w:rsidP="00D93D0D">
      <w:pPr>
        <w:ind w:left="567" w:hanging="567"/>
      </w:pPr>
      <w:r w:rsidRPr="007A469C">
        <w:t>•</w:t>
      </w:r>
      <w:r w:rsidRPr="007A469C">
        <w:tab/>
      </w:r>
      <w:r w:rsidRPr="00942848">
        <w:t>Pagalbinės medžiagos yra laktozė monohidratas, injekcinis vanduo, vandenilio chlorido rūgštis ir/ar natrio hidroksidas (pH sureguliavimui).</w:t>
      </w:r>
    </w:p>
    <w:p w:rsidR="00D93D0D" w:rsidRDefault="00D93D0D" w:rsidP="00D93D0D">
      <w:pPr>
        <w:jc w:val="both"/>
        <w:rPr>
          <w:szCs w:val="22"/>
        </w:rPr>
      </w:pPr>
    </w:p>
    <w:p w:rsidR="00D93D0D" w:rsidRPr="00704A53" w:rsidRDefault="00D93D0D" w:rsidP="00D93D0D">
      <w:pPr>
        <w:rPr>
          <w:b/>
        </w:rPr>
      </w:pPr>
      <w:r w:rsidRPr="00704A53">
        <w:rPr>
          <w:b/>
        </w:rPr>
        <w:t xml:space="preserve">GlucaGen </w:t>
      </w:r>
      <w:r w:rsidRPr="00704A53">
        <w:rPr>
          <w:b/>
          <w:bCs/>
        </w:rPr>
        <w:t>HypoKit</w:t>
      </w:r>
      <w:r>
        <w:rPr>
          <w:b/>
          <w:bCs/>
        </w:rPr>
        <w:t xml:space="preserve"> išvaizda</w:t>
      </w:r>
      <w:r w:rsidRPr="00704A53">
        <w:rPr>
          <w:b/>
        </w:rPr>
        <w:t xml:space="preserve"> ir </w:t>
      </w:r>
      <w:r>
        <w:rPr>
          <w:b/>
        </w:rPr>
        <w:t>kiekis</w:t>
      </w:r>
      <w:r w:rsidRPr="00704A53">
        <w:rPr>
          <w:b/>
        </w:rPr>
        <w:t xml:space="preserve"> pakuotė</w:t>
      </w:r>
      <w:r>
        <w:rPr>
          <w:b/>
        </w:rPr>
        <w:t>je</w:t>
      </w:r>
    </w:p>
    <w:p w:rsidR="00D93D0D" w:rsidRPr="00942848" w:rsidRDefault="00D93D0D" w:rsidP="00D93D0D"/>
    <w:p w:rsidR="00D93D0D" w:rsidRDefault="00D93D0D" w:rsidP="00D93D0D">
      <w:pPr>
        <w:rPr>
          <w:szCs w:val="22"/>
        </w:rPr>
      </w:pPr>
      <w:r>
        <w:rPr>
          <w:szCs w:val="22"/>
        </w:rPr>
        <w:t>GlucaGen yra sterilūs, balti gliukagono milteliai, supakuoti į flakoną. Kartu tiekiamas tirpiklis vienkartiniame švirkšte. Milteliai yra kompaktiški. Sumaišytame tirpale yra 1 mg/ml gliukagono.</w:t>
      </w:r>
    </w:p>
    <w:p w:rsidR="00D93D0D" w:rsidRDefault="00D93D0D" w:rsidP="00D93D0D">
      <w:pPr>
        <w:rPr>
          <w:szCs w:val="22"/>
        </w:rPr>
      </w:pPr>
    </w:p>
    <w:p w:rsidR="00D93D0D" w:rsidRPr="00704A53" w:rsidRDefault="00D93D0D" w:rsidP="00D93D0D">
      <w:pPr>
        <w:rPr>
          <w:b/>
        </w:rPr>
      </w:pPr>
      <w:r>
        <w:rPr>
          <w:b/>
        </w:rPr>
        <w:t>Registruotojas</w:t>
      </w:r>
      <w:r w:rsidRPr="00704A53">
        <w:rPr>
          <w:b/>
        </w:rPr>
        <w:t xml:space="preserve"> ir gamintojas</w:t>
      </w:r>
    </w:p>
    <w:p w:rsidR="00D93D0D" w:rsidRDefault="00D93D0D" w:rsidP="00D93D0D">
      <w:pPr>
        <w:rPr>
          <w:szCs w:val="22"/>
        </w:rPr>
      </w:pPr>
    </w:p>
    <w:p w:rsidR="00D93D0D" w:rsidRDefault="00D93D0D" w:rsidP="00D93D0D">
      <w:pPr>
        <w:rPr>
          <w:szCs w:val="22"/>
        </w:rPr>
      </w:pPr>
      <w:r>
        <w:rPr>
          <w:szCs w:val="22"/>
        </w:rPr>
        <w:t>Novo Nordisk A/S</w:t>
      </w:r>
    </w:p>
    <w:p w:rsidR="00D93D0D" w:rsidRDefault="00D93D0D" w:rsidP="00D93D0D">
      <w:pPr>
        <w:rPr>
          <w:szCs w:val="22"/>
        </w:rPr>
      </w:pPr>
      <w:r w:rsidRPr="00924EFA">
        <w:rPr>
          <w:szCs w:val="22"/>
        </w:rPr>
        <w:t>Novo Allé</w:t>
      </w:r>
    </w:p>
    <w:p w:rsidR="00D93D0D" w:rsidRDefault="00D93D0D" w:rsidP="00D93D0D">
      <w:pPr>
        <w:rPr>
          <w:szCs w:val="22"/>
        </w:rPr>
      </w:pPr>
      <w:r>
        <w:rPr>
          <w:szCs w:val="22"/>
        </w:rPr>
        <w:t>DK-2880 Bagsværd, Danija</w:t>
      </w:r>
    </w:p>
    <w:p w:rsidR="00D93D0D" w:rsidRDefault="00D93D0D" w:rsidP="00D93D0D">
      <w:pPr>
        <w:rPr>
          <w:szCs w:val="22"/>
        </w:rPr>
      </w:pPr>
    </w:p>
    <w:p w:rsidR="00D93D0D" w:rsidRPr="005D554B" w:rsidRDefault="00D93D0D" w:rsidP="00D93D0D">
      <w:pPr>
        <w:numPr>
          <w:ilvl w:val="12"/>
          <w:numId w:val="0"/>
        </w:numPr>
        <w:spacing w:line="260" w:lineRule="exact"/>
        <w:ind w:right="-2"/>
        <w:rPr>
          <w:snapToGrid w:val="0"/>
        </w:rPr>
      </w:pPr>
      <w:r w:rsidRPr="005D554B">
        <w:rPr>
          <w:b/>
          <w:snapToGrid w:val="0"/>
        </w:rPr>
        <w:t>Šis vaistas Europos ekonominės erdvės valstybėse narėse ir Jungtinėje Karalystėje (Šiaurės Airijoje) registruotas tokiais pavadinimais:</w:t>
      </w:r>
    </w:p>
    <w:p w:rsidR="00D93D0D" w:rsidRPr="005D554B" w:rsidRDefault="00D93D0D" w:rsidP="00D93D0D">
      <w:pPr>
        <w:tabs>
          <w:tab w:val="clear" w:pos="567"/>
          <w:tab w:val="left" w:pos="0"/>
        </w:tabs>
        <w:spacing w:line="260" w:lineRule="exact"/>
        <w:rPr>
          <w:snapToGrid w:val="0"/>
        </w:rPr>
      </w:pPr>
      <w:bookmarkStart w:id="0" w:name="_Hlk119790676"/>
      <w:r>
        <w:rPr>
          <w:snapToGrid w:val="0"/>
        </w:rPr>
        <w:t xml:space="preserve">Austrija, Belgija, Bulgarija, Kroatija, Kipras, Čekijos Respublika, Danija, Estija, Suomija, Prancūzija, Vokietija, Graikija, Vengrija, Islandija, Airija, Italija, Latvija, Lietuva, Liuksemburgas, Malta, Nyderlandai, Portugalija, Slovakija, Slovėnija, Ispanija, </w:t>
      </w:r>
      <w:r>
        <w:rPr>
          <w:iCs/>
          <w:szCs w:val="22"/>
        </w:rPr>
        <w:t>Jungtinė Karalystė (Šiaurės Airija)</w:t>
      </w:r>
      <w:r>
        <w:rPr>
          <w:snapToGrid w:val="0"/>
        </w:rPr>
        <w:t>:</w:t>
      </w:r>
      <w:r w:rsidRPr="005D554B">
        <w:rPr>
          <w:snapToGrid w:val="0"/>
        </w:rPr>
        <w:t xml:space="preserve"> </w:t>
      </w:r>
      <w:r w:rsidRPr="00437BEA">
        <w:t>GlucaGen</w:t>
      </w:r>
    </w:p>
    <w:p w:rsidR="00D93D0D" w:rsidRDefault="00D93D0D" w:rsidP="00D93D0D">
      <w:pPr>
        <w:spacing w:line="260" w:lineRule="exact"/>
        <w:ind w:left="567" w:hanging="567"/>
        <w:rPr>
          <w:iCs/>
          <w:szCs w:val="22"/>
        </w:rPr>
      </w:pPr>
    </w:p>
    <w:p w:rsidR="00D93D0D" w:rsidRPr="005D554B" w:rsidRDefault="00D93D0D" w:rsidP="00D93D0D">
      <w:pPr>
        <w:spacing w:line="260" w:lineRule="exact"/>
        <w:ind w:left="567" w:hanging="567"/>
        <w:rPr>
          <w:snapToGrid w:val="0"/>
        </w:rPr>
      </w:pPr>
      <w:r>
        <w:rPr>
          <w:iCs/>
          <w:szCs w:val="22"/>
        </w:rPr>
        <w:t>Norvegija</w:t>
      </w:r>
      <w:r>
        <w:rPr>
          <w:snapToGrid w:val="0"/>
        </w:rPr>
        <w:t xml:space="preserve"> ir Švedija:</w:t>
      </w:r>
      <w:r w:rsidRPr="005D554B">
        <w:rPr>
          <w:snapToGrid w:val="0"/>
        </w:rPr>
        <w:t xml:space="preserve"> </w:t>
      </w:r>
      <w:r w:rsidRPr="00437BEA">
        <w:t>Glucagon Novo Nordisk</w:t>
      </w:r>
    </w:p>
    <w:bookmarkEnd w:id="0"/>
    <w:p w:rsidR="00D93D0D" w:rsidRDefault="00D93D0D" w:rsidP="00D93D0D"/>
    <w:p w:rsidR="00D93D0D" w:rsidRDefault="00D93D0D" w:rsidP="00D93D0D"/>
    <w:p w:rsidR="00D93D0D" w:rsidRPr="00EF0FD7" w:rsidRDefault="00D93D0D" w:rsidP="00D93D0D">
      <w:pPr>
        <w:rPr>
          <w:b/>
        </w:rPr>
      </w:pPr>
      <w:r w:rsidRPr="00EF0FD7">
        <w:rPr>
          <w:b/>
        </w:rPr>
        <w:t>Šis pakuotės lapelis paskutinį kartą peržiūrėtas</w:t>
      </w:r>
      <w:r>
        <w:rPr>
          <w:b/>
        </w:rPr>
        <w:t xml:space="preserve"> 2022-12-02.</w:t>
      </w:r>
    </w:p>
    <w:p w:rsidR="00D93D0D" w:rsidRDefault="00D93D0D" w:rsidP="00D93D0D"/>
    <w:p w:rsidR="00D93D0D" w:rsidRDefault="00D93D0D" w:rsidP="00D93D0D">
      <w:r>
        <w:lastRenderedPageBreak/>
        <w:t xml:space="preserve">Išsami informacija apie šį vaistą pateikiama Valstybinės vaistų kontrolės tarnybos prie Lietuvos Respublikos sveikatos apsaugos ministerijos tinklalapyje </w:t>
      </w:r>
      <w:hyperlink r:id="rId10" w:history="1">
        <w:r w:rsidRPr="00771E8F">
          <w:rPr>
            <w:rStyle w:val="Hipersaitas"/>
          </w:rPr>
          <w:t>http://www.vvkt.lt/</w:t>
        </w:r>
      </w:hyperlink>
      <w:r>
        <w:rPr>
          <w:rStyle w:val="Hipersaitas"/>
        </w:rPr>
        <w:t>.</w:t>
      </w:r>
    </w:p>
    <w:p w:rsidR="00D93D0D" w:rsidRDefault="00D93D0D" w:rsidP="00D93D0D"/>
    <w:p w:rsidR="00D93D0D" w:rsidRDefault="00D93D0D" w:rsidP="00D93D0D"/>
    <w:p w:rsidR="00D93D0D" w:rsidRDefault="00D93D0D" w:rsidP="00D93D0D"/>
    <w:p w:rsidR="00D93D0D" w:rsidRDefault="00D93D0D" w:rsidP="00D93D0D"/>
    <w:p w:rsidR="00D93D0D" w:rsidRPr="00414B30" w:rsidRDefault="00D93D0D" w:rsidP="00D93D0D">
      <w:pPr>
        <w:pStyle w:val="Antrats"/>
        <w:jc w:val="both"/>
        <w:rPr>
          <w:b/>
          <w:caps/>
          <w:sz w:val="22"/>
        </w:rPr>
      </w:pPr>
      <w:r w:rsidRPr="006D1A90">
        <w:rPr>
          <w:b/>
          <w:caps/>
          <w:sz w:val="22"/>
        </w:rPr>
        <w:t>T</w:t>
      </w:r>
      <w:r w:rsidRPr="006D1A90">
        <w:rPr>
          <w:b/>
          <w:sz w:val="22"/>
        </w:rPr>
        <w:t>oliau pateikta informacija skirta tik svei</w:t>
      </w:r>
      <w:r>
        <w:rPr>
          <w:b/>
          <w:sz w:val="22"/>
        </w:rPr>
        <w:t xml:space="preserve">katos priežiūros specialistams </w:t>
      </w:r>
    </w:p>
    <w:p w:rsidR="00D93D0D" w:rsidRDefault="00D93D0D" w:rsidP="00D93D0D"/>
    <w:p w:rsidR="00D93D0D" w:rsidRDefault="00D93D0D" w:rsidP="00D93D0D">
      <w:pPr>
        <w:rPr>
          <w:szCs w:val="22"/>
        </w:rPr>
      </w:pPr>
      <w:r>
        <w:rPr>
          <w:szCs w:val="22"/>
        </w:rPr>
        <w:t>Sveikatos priežiūros specialistai, prieš skaitydami žemiau pateiktą informacija, turi perskaityti visą pakuotės lapelį.</w:t>
      </w:r>
    </w:p>
    <w:p w:rsidR="00D93D0D" w:rsidRDefault="00D93D0D" w:rsidP="00D93D0D">
      <w:pPr>
        <w:rPr>
          <w:szCs w:val="22"/>
        </w:rPr>
      </w:pPr>
    </w:p>
    <w:p w:rsidR="00D93D0D" w:rsidRDefault="00D93D0D" w:rsidP="00D93D0D">
      <w:pPr>
        <w:rPr>
          <w:b/>
          <w:szCs w:val="22"/>
        </w:rPr>
      </w:pPr>
      <w:r>
        <w:rPr>
          <w:b/>
        </w:rPr>
        <w:t>Dėl GlucaGen nestabilumo tirpale šis preparatas turi būti suvartojamas iškart po ištirpinimo, jo</w:t>
      </w:r>
      <w:r w:rsidRPr="00F028EA">
        <w:rPr>
          <w:b/>
          <w:szCs w:val="22"/>
        </w:rPr>
        <w:t xml:space="preserve"> negalima skirti intraveninės infuzijos būdu.</w:t>
      </w:r>
    </w:p>
    <w:p w:rsidR="00D93D0D" w:rsidRDefault="00D93D0D" w:rsidP="00D93D0D">
      <w:pPr>
        <w:rPr>
          <w:b/>
          <w:szCs w:val="22"/>
        </w:rPr>
      </w:pPr>
    </w:p>
    <w:p w:rsidR="00D93D0D" w:rsidRPr="00B949EC" w:rsidRDefault="00D93D0D" w:rsidP="00D93D0D">
      <w:pPr>
        <w:rPr>
          <w:szCs w:val="22"/>
        </w:rPr>
      </w:pPr>
      <w:r>
        <w:rPr>
          <w:szCs w:val="22"/>
        </w:rPr>
        <w:t>Nemėginkite uždėti dangtelio ant panaudoto švirkšto adatos. Panaudotą švirkštą padėkite į oranžinę dėžutę ir pirmai progai pasitaikius panaudotą adatą išmeskite į talpyklę aštrioms atliekoms</w:t>
      </w:r>
      <w:r w:rsidRPr="00AF4312">
        <w:rPr>
          <w:szCs w:val="22"/>
        </w:rPr>
        <w:t>.</w:t>
      </w:r>
    </w:p>
    <w:p w:rsidR="00D93D0D" w:rsidRDefault="00D93D0D" w:rsidP="00D93D0D">
      <w:pPr>
        <w:rPr>
          <w:b/>
          <w:szCs w:val="22"/>
        </w:rPr>
      </w:pPr>
    </w:p>
    <w:p w:rsidR="00D93D0D" w:rsidRPr="000A5798" w:rsidRDefault="00D93D0D" w:rsidP="00D93D0D">
      <w:pPr>
        <w:rPr>
          <w:b/>
          <w:szCs w:val="22"/>
        </w:rPr>
      </w:pPr>
      <w:r w:rsidRPr="000A5798">
        <w:rPr>
          <w:b/>
          <w:szCs w:val="22"/>
        </w:rPr>
        <w:t>Sunkios hipoglikemijos gydymas</w:t>
      </w:r>
    </w:p>
    <w:p w:rsidR="00D93D0D" w:rsidRDefault="00D93D0D" w:rsidP="00D93D0D">
      <w:pPr>
        <w:tabs>
          <w:tab w:val="left" w:pos="0"/>
        </w:tabs>
        <w:rPr>
          <w:szCs w:val="22"/>
        </w:rPr>
      </w:pPr>
      <w:r>
        <w:rPr>
          <w:szCs w:val="22"/>
        </w:rPr>
        <w:t xml:space="preserve">Suleiskite po oda arba į raumenis. Jei pacientas per 10 min. </w:t>
      </w:r>
      <w:r w:rsidRPr="00C66F59">
        <w:rPr>
          <w:szCs w:val="22"/>
        </w:rPr>
        <w:t xml:space="preserve">neatgavo sąmonės, būtina </w:t>
      </w:r>
      <w:r>
        <w:rPr>
          <w:szCs w:val="22"/>
        </w:rPr>
        <w:t>suleisti</w:t>
      </w:r>
      <w:r w:rsidRPr="00C66F59">
        <w:rPr>
          <w:szCs w:val="22"/>
        </w:rPr>
        <w:t xml:space="preserve"> gliukozės į veną. Atgavusiam sąmonę pacientui tuojau duokite suvalgyti angliavandenių.</w:t>
      </w:r>
      <w:r>
        <w:rPr>
          <w:szCs w:val="22"/>
        </w:rPr>
        <w:t xml:space="preserve"> Tai padės atstatyti glikogeno atsargas kepenyse ir išvengti hipoglikemijos pasikartojimo.</w:t>
      </w:r>
    </w:p>
    <w:p w:rsidR="00D93D0D" w:rsidRDefault="00D93D0D" w:rsidP="00D93D0D">
      <w:pPr>
        <w:rPr>
          <w:szCs w:val="22"/>
        </w:rPr>
      </w:pPr>
    </w:p>
    <w:p w:rsidR="00D93D0D" w:rsidRDefault="00D93D0D" w:rsidP="00D93D0D">
      <w:pPr>
        <w:rPr>
          <w:b/>
          <w:szCs w:val="22"/>
        </w:rPr>
      </w:pPr>
      <w:r>
        <w:rPr>
          <w:b/>
          <w:szCs w:val="22"/>
        </w:rPr>
        <w:t>Diagnostinės procedūros</w:t>
      </w:r>
    </w:p>
    <w:p w:rsidR="00D93D0D" w:rsidRDefault="00D93D0D" w:rsidP="00D93D0D">
      <w:pPr>
        <w:rPr>
          <w:szCs w:val="22"/>
        </w:rPr>
      </w:pPr>
      <w:r>
        <w:rPr>
          <w:szCs w:val="22"/>
        </w:rPr>
        <w:t>Pasibaigus procedūrai pacientui duokite suvalgyti angliavandenių, jei tai leidžia diagnostinė procedūra. Atminkite, kad GlucaGen veikimas yra priešingas nei insulino. Atsargumo priemonių turi būti imtasi, kai GlucaGen, kaip pagalbinis vaistas, skiriamas pacientams, sergantiems cukriniu diabetu, kuriems daroma endoskopija ar radiografijos procedūra ar pacientams, sergantiems širdies ligomis.</w:t>
      </w:r>
    </w:p>
    <w:p w:rsidR="00D93D0D" w:rsidRDefault="00D93D0D" w:rsidP="00D93D0D">
      <w:pPr>
        <w:rPr>
          <w:b/>
          <w:szCs w:val="22"/>
        </w:rPr>
      </w:pPr>
    </w:p>
    <w:p w:rsidR="00D93D0D" w:rsidRPr="00AE5988" w:rsidRDefault="00D93D0D" w:rsidP="00D93D0D">
      <w:pPr>
        <w:rPr>
          <w:szCs w:val="22"/>
        </w:rPr>
      </w:pPr>
      <w:r w:rsidRPr="00AE5988">
        <w:rPr>
          <w:szCs w:val="22"/>
        </w:rPr>
        <w:t>Atkreipkite dėmesį, jog diagnostinėms procedūroms gali labiau tikti plonesne adata ir smulkesnės gradacijos švirkštas.</w:t>
      </w:r>
    </w:p>
    <w:p w:rsidR="00D93D0D" w:rsidRDefault="00D93D0D" w:rsidP="00D93D0D">
      <w:pPr>
        <w:rPr>
          <w:b/>
          <w:szCs w:val="22"/>
        </w:rPr>
      </w:pPr>
    </w:p>
    <w:p w:rsidR="00D93D0D" w:rsidRPr="00AE5988" w:rsidRDefault="00D93D0D" w:rsidP="00D93D0D">
      <w:pPr>
        <w:rPr>
          <w:szCs w:val="22"/>
        </w:rPr>
      </w:pPr>
      <w:r w:rsidRPr="00AE5988">
        <w:rPr>
          <w:szCs w:val="22"/>
        </w:rPr>
        <w:t>Virškin</w:t>
      </w:r>
      <w:r>
        <w:rPr>
          <w:szCs w:val="22"/>
        </w:rPr>
        <w:t>i</w:t>
      </w:r>
      <w:r w:rsidRPr="00AE5988">
        <w:rPr>
          <w:szCs w:val="22"/>
        </w:rPr>
        <w:t>mo trakto ištyrimas:</w:t>
      </w:r>
    </w:p>
    <w:p w:rsidR="00D93D0D" w:rsidRDefault="00D93D0D" w:rsidP="00D93D0D">
      <w:pPr>
        <w:rPr>
          <w:szCs w:val="22"/>
        </w:rPr>
      </w:pPr>
      <w:r>
        <w:rPr>
          <w:szCs w:val="22"/>
        </w:rPr>
        <w:t>Dozė svyruoja nuo 0,2 iki 2 mg, priklausomai nuo naudojamos diagnostinės technikos ir vartojimo būdo. Diagnostinė dozė, norint atpalaiduoti skrandį, dvylikapirštės žarnos stormenį, dvylikapirštę ir plonąsias žarnas yra 0,2−0,5 mg,</w:t>
      </w:r>
      <w:r w:rsidRPr="00494B1B">
        <w:rPr>
          <w:szCs w:val="22"/>
        </w:rPr>
        <w:t xml:space="preserve"> </w:t>
      </w:r>
      <w:r>
        <w:rPr>
          <w:szCs w:val="22"/>
        </w:rPr>
        <w:t>leidžiant į veną, arba 1 mg, leidžiant į raumenis.</w:t>
      </w:r>
      <w:r w:rsidRPr="001D367A">
        <w:rPr>
          <w:szCs w:val="22"/>
        </w:rPr>
        <w:t xml:space="preserve"> </w:t>
      </w:r>
      <w:r>
        <w:rPr>
          <w:szCs w:val="22"/>
        </w:rPr>
        <w:t>Dozė, kai reikia atpalaiduoti storąsias žarnas, yra 0,5</w:t>
      </w:r>
      <w:r>
        <w:t>–</w:t>
      </w:r>
      <w:r>
        <w:rPr>
          <w:szCs w:val="22"/>
        </w:rPr>
        <w:t>0,75 mg, leidžiant į veną, arba 1−2 mg, leidžiant į raumenis. Po 0,2</w:t>
      </w:r>
      <w:r>
        <w:t>–</w:t>
      </w:r>
      <w:r>
        <w:rPr>
          <w:szCs w:val="22"/>
        </w:rPr>
        <w:t>0,5 mg injekcijos į veną poveikis pasireiškia po vienos minutės ir tęsiasi 5</w:t>
      </w:r>
      <w:r>
        <w:t>–</w:t>
      </w:r>
      <w:r>
        <w:rPr>
          <w:szCs w:val="22"/>
        </w:rPr>
        <w:t>20 minučių. Po 1</w:t>
      </w:r>
      <w:r>
        <w:rPr>
          <w:szCs w:val="22"/>
        </w:rPr>
        <w:noBreakHyphen/>
        <w:t>2 mg injekcijos į raumenis poveikis pasireiškia per 5</w:t>
      </w:r>
      <w:r>
        <w:t>–</w:t>
      </w:r>
      <w:r>
        <w:rPr>
          <w:szCs w:val="22"/>
        </w:rPr>
        <w:t>15 minučių ir tęsiasi apytiksliai 10</w:t>
      </w:r>
      <w:r>
        <w:t>–</w:t>
      </w:r>
      <w:r>
        <w:rPr>
          <w:szCs w:val="22"/>
        </w:rPr>
        <w:t>40 minučių.</w:t>
      </w:r>
    </w:p>
    <w:p w:rsidR="00D93D0D" w:rsidRDefault="00D93D0D" w:rsidP="00D93D0D">
      <w:pPr>
        <w:rPr>
          <w:szCs w:val="22"/>
        </w:rPr>
      </w:pPr>
    </w:p>
    <w:p w:rsidR="00D93D0D" w:rsidRPr="00AE5988" w:rsidRDefault="00D93D0D" w:rsidP="00D93D0D">
      <w:pPr>
        <w:rPr>
          <w:b/>
          <w:szCs w:val="22"/>
        </w:rPr>
      </w:pPr>
      <w:r w:rsidRPr="00AE5988">
        <w:rPr>
          <w:b/>
          <w:szCs w:val="22"/>
        </w:rPr>
        <w:t>Galimi šalutiniai poveikiai vartojant vaistą diagnostinėms procedūroms</w:t>
      </w:r>
    </w:p>
    <w:p w:rsidR="00D93D0D" w:rsidRDefault="00D93D0D" w:rsidP="00D93D0D">
      <w:pPr>
        <w:rPr>
          <w:szCs w:val="22"/>
        </w:rPr>
      </w:pPr>
    </w:p>
    <w:p w:rsidR="00D93D0D" w:rsidRDefault="00D93D0D" w:rsidP="00D93D0D">
      <w:pPr>
        <w:rPr>
          <w:szCs w:val="22"/>
        </w:rPr>
      </w:pPr>
      <w:r>
        <w:rPr>
          <w:szCs w:val="22"/>
        </w:rPr>
        <w:t>Kraujospūdžio pasikeitimai, pagreitėjęs širdies plakimas, hipoglikemija ir hipoglikeminė koma.</w:t>
      </w:r>
    </w:p>
    <w:p w:rsidR="00D93D0D" w:rsidRDefault="00D93D0D" w:rsidP="00D93D0D">
      <w:pPr>
        <w:rPr>
          <w:b/>
        </w:rPr>
      </w:pPr>
    </w:p>
    <w:p w:rsidR="00D93D0D" w:rsidRDefault="00D93D0D" w:rsidP="00D93D0D">
      <w:pPr>
        <w:rPr>
          <w:b/>
        </w:rPr>
      </w:pPr>
    </w:p>
    <w:p w:rsidR="009041DB" w:rsidRDefault="009041DB">
      <w:bookmarkStart w:id="1" w:name="_GoBack"/>
      <w:bookmarkEnd w:id="1"/>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0D"/>
    <w:rsid w:val="00234094"/>
    <w:rsid w:val="002A211A"/>
    <w:rsid w:val="00344695"/>
    <w:rsid w:val="00356AB3"/>
    <w:rsid w:val="004216A4"/>
    <w:rsid w:val="005311B8"/>
    <w:rsid w:val="006860E9"/>
    <w:rsid w:val="009041DB"/>
    <w:rsid w:val="00975D35"/>
    <w:rsid w:val="00D9054B"/>
    <w:rsid w:val="00D93D0D"/>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93CE1-B6B2-46E1-A713-ABCC2A7F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3D0D"/>
    <w:pPr>
      <w:tabs>
        <w:tab w:val="left" w:pos="567"/>
      </w:tabs>
      <w:suppressAutoHyphens/>
      <w:spacing w:after="0" w:line="240" w:lineRule="auto"/>
    </w:pPr>
    <w:rPr>
      <w:rFonts w:ascii="Times New Roman" w:hAnsi="Times New Roman" w:cs="Times New Roman"/>
      <w:noProo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93D0D"/>
    <w:pPr>
      <w:tabs>
        <w:tab w:val="center" w:pos="4819"/>
        <w:tab w:val="right" w:pos="9638"/>
      </w:tabs>
    </w:pPr>
    <w:rPr>
      <w:sz w:val="18"/>
    </w:rPr>
  </w:style>
  <w:style w:type="character" w:customStyle="1" w:styleId="AntratsDiagrama">
    <w:name w:val="Antraštės Diagrama"/>
    <w:basedOn w:val="Numatytasispastraiposriftas"/>
    <w:link w:val="Antrats"/>
    <w:rsid w:val="00D93D0D"/>
    <w:rPr>
      <w:rFonts w:ascii="Times New Roman" w:hAnsi="Times New Roman" w:cs="Times New Roman"/>
      <w:noProof/>
      <w:sz w:val="18"/>
      <w:szCs w:val="24"/>
    </w:rPr>
  </w:style>
  <w:style w:type="character" w:styleId="Hipersaitas">
    <w:name w:val="Hyperlink"/>
    <w:basedOn w:val="Numatytasispastraiposriftas"/>
    <w:semiHidden/>
    <w:rsid w:val="00D93D0D"/>
    <w:rPr>
      <w:rFonts w:ascii="Verdana" w:hAnsi="Verdana"/>
      <w:color w:val="0000FF"/>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www.vvkt.lt/" TargetMode="External"/><Relationship Id="rId4" Type="http://schemas.openxmlformats.org/officeDocument/2006/relationships/image" Target="media/image1.png"/><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9012</Words>
  <Characters>5138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2022-12-22T14:38:00Z</dcterms:created>
  <dcterms:modified xsi:type="dcterms:W3CDTF">2022-12-22T14:39:00Z</dcterms:modified>
</cp:coreProperties>
</file>