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6C" w:rsidRPr="00C56EDE" w:rsidRDefault="0052686C" w:rsidP="0052686C">
      <w:pPr>
        <w:jc w:val="center"/>
        <w:rPr>
          <w:b/>
          <w:bCs/>
          <w:sz w:val="22"/>
          <w:szCs w:val="22"/>
        </w:rPr>
      </w:pPr>
      <w:bookmarkStart w:id="0" w:name="_Toc129243263"/>
      <w:bookmarkStart w:id="1" w:name="_Toc129243138"/>
      <w:r w:rsidRPr="00C56EDE">
        <w:rPr>
          <w:b/>
          <w:bCs/>
          <w:sz w:val="22"/>
          <w:szCs w:val="22"/>
        </w:rPr>
        <w:t>Pakuotės lapelis: informacija pacientui</w:t>
      </w:r>
    </w:p>
    <w:bookmarkEnd w:id="0"/>
    <w:bookmarkEnd w:id="1"/>
    <w:p w:rsidR="0052686C" w:rsidRPr="00C56EDE" w:rsidRDefault="0052686C" w:rsidP="0052686C">
      <w:pPr>
        <w:pStyle w:val="TTEMEASMCA"/>
        <w:rPr>
          <w:rFonts w:ascii="Times New Roman" w:hAnsi="Times New Roman" w:cs="Times New Roman"/>
          <w:lang w:val="pt-BR"/>
        </w:rPr>
      </w:pPr>
    </w:p>
    <w:p w:rsidR="0052686C" w:rsidRPr="00C56EDE" w:rsidRDefault="0052686C" w:rsidP="0052686C">
      <w:pPr>
        <w:pStyle w:val="BTbeEMEASMCA"/>
        <w:rPr>
          <w:rFonts w:ascii="Times New Roman" w:hAnsi="Times New Roman" w:cs="Times New Roman"/>
        </w:rPr>
      </w:pPr>
      <w:r w:rsidRPr="00C56EDE">
        <w:rPr>
          <w:rFonts w:ascii="Times New Roman" w:hAnsi="Times New Roman" w:cs="Times New Roman"/>
        </w:rPr>
        <w:t>DIAPREL MR 30 mg modifikuoto atpalaidavimo tabletės</w:t>
      </w:r>
    </w:p>
    <w:p w:rsidR="0052686C" w:rsidRPr="00C56EDE" w:rsidRDefault="0052686C" w:rsidP="0052686C">
      <w:pPr>
        <w:jc w:val="center"/>
        <w:rPr>
          <w:sz w:val="22"/>
          <w:szCs w:val="22"/>
        </w:rPr>
      </w:pPr>
      <w:r w:rsidRPr="00C56EDE">
        <w:rPr>
          <w:sz w:val="22"/>
          <w:szCs w:val="22"/>
        </w:rPr>
        <w:t>Gliklazidas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bEMEASMCA"/>
        <w:rPr>
          <w:rFonts w:ascii="Times New Roman" w:hAnsi="Times New Roman" w:cs="Times New Roman"/>
        </w:rPr>
      </w:pPr>
      <w:r w:rsidRPr="00C56EDE">
        <w:rPr>
          <w:rFonts w:ascii="Times New Roman" w:hAnsi="Times New Roman" w:cs="Times New Roman"/>
        </w:rPr>
        <w:t>Atidžiai perskaitykite visą šį lapelį, prieš pradėdami vartoti vaistą</w:t>
      </w:r>
      <w:r w:rsidRPr="00C56EDE">
        <w:rPr>
          <w:rFonts w:ascii="Times New Roman" w:hAnsi="Times New Roman" w:cs="Times New Roman"/>
          <w:color w:val="000000"/>
        </w:rPr>
        <w:t>, nes jame pateikiama Jums svarbi informacija</w:t>
      </w:r>
      <w:r w:rsidRPr="00C56EDE">
        <w:rPr>
          <w:rFonts w:ascii="Times New Roman" w:hAnsi="Times New Roman" w:cs="Times New Roman"/>
        </w:rPr>
        <w:t>.</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Neišmeskite šio lapelio, nes vėl gali prireikti jį perskaityti.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kiltų daugiau klausimų, kreipkitės į gydytoją arba vaistininką.</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Šis vaistas skirtas tik Jums, todėl kitiems žmonėms jo duoti negalima. Vaistas gali jiems pakenkti (net tiems, kurių ligos požymiai yra tokie patys kaip Jūsų).</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pasireiškė šalutinis poveikis</w:t>
      </w:r>
      <w:r w:rsidRPr="00C56EDE">
        <w:rPr>
          <w:rFonts w:ascii="Times New Roman" w:hAnsi="Times New Roman" w:cs="Times New Roman"/>
          <w:color w:val="000000"/>
        </w:rPr>
        <w:t xml:space="preserve"> </w:t>
      </w:r>
      <w:r w:rsidRPr="00C56EDE">
        <w:rPr>
          <w:rFonts w:ascii="Times New Roman" w:hAnsi="Times New Roman" w:cs="Times New Roman"/>
        </w:rPr>
        <w:t>(net jeigu jis šiame lapelyje nenurodytas), kreipkitės į gydytoją arba vaistininką. Žr. 4 skyrių.</w:t>
      </w:r>
    </w:p>
    <w:p w:rsidR="0052686C" w:rsidRPr="00C56EDE" w:rsidRDefault="0052686C" w:rsidP="0052686C">
      <w:pPr>
        <w:pStyle w:val="BTEMEASMCA"/>
        <w:tabs>
          <w:tab w:val="num" w:pos="567"/>
        </w:tabs>
        <w:ind w:left="567" w:hanging="567"/>
        <w:rPr>
          <w:rFonts w:ascii="Times New Roman" w:hAnsi="Times New Roman" w:cs="Times New Roman"/>
        </w:rPr>
      </w:pPr>
    </w:p>
    <w:p w:rsidR="0052686C" w:rsidRPr="00C56EDE" w:rsidRDefault="0052686C" w:rsidP="0052686C">
      <w:pPr>
        <w:pStyle w:val="BTEMEASMCA"/>
        <w:rPr>
          <w:rFonts w:ascii="Times New Roman" w:hAnsi="Times New Roman" w:cs="Times New Roman"/>
          <w:b/>
          <w:color w:val="000000"/>
        </w:rPr>
      </w:pPr>
      <w:r w:rsidRPr="00C56EDE">
        <w:rPr>
          <w:rFonts w:ascii="Times New Roman" w:hAnsi="Times New Roman" w:cs="Times New Roman"/>
          <w:b/>
        </w:rPr>
        <w:t>Apie ką rašoma šiame lapelyje</w:t>
      </w:r>
      <w:r w:rsidRPr="00C56EDE">
        <w:rPr>
          <w:rFonts w:ascii="Times New Roman" w:hAnsi="Times New Roman" w:cs="Times New Roman"/>
          <w:b/>
          <w:color w:val="000000"/>
        </w:rPr>
        <w:t>?</w:t>
      </w:r>
    </w:p>
    <w:p w:rsidR="0052686C" w:rsidRPr="00C56EDE" w:rsidRDefault="0052686C" w:rsidP="0052686C">
      <w:pPr>
        <w:pStyle w:val="BTEMEASMCA"/>
        <w:rPr>
          <w:rFonts w:ascii="Times New Roman" w:hAnsi="Times New Roman" w:cs="Times New Roman"/>
          <w:color w:val="000000"/>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1.</w:t>
      </w:r>
      <w:r w:rsidRPr="00C56EDE">
        <w:rPr>
          <w:rFonts w:ascii="Times New Roman" w:hAnsi="Times New Roman" w:cs="Times New Roman"/>
        </w:rPr>
        <w:tab/>
        <w:t>Kas yra DIAPREL MR 30 mg ir kam jis vartojamas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2.</w:t>
      </w:r>
      <w:r w:rsidRPr="00C56EDE">
        <w:rPr>
          <w:rFonts w:ascii="Times New Roman" w:hAnsi="Times New Roman" w:cs="Times New Roman"/>
        </w:rPr>
        <w:tab/>
        <w:t>Kas žinotina prieš vartojant DIAPREL MR 30 mg</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3.</w:t>
      </w:r>
      <w:r w:rsidRPr="00C56EDE">
        <w:rPr>
          <w:rFonts w:ascii="Times New Roman" w:hAnsi="Times New Roman" w:cs="Times New Roman"/>
        </w:rPr>
        <w:tab/>
        <w:t>Kaip vartoti DIAPREL MR 30 mg</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4.</w:t>
      </w:r>
      <w:r w:rsidRPr="00C56EDE">
        <w:rPr>
          <w:rFonts w:ascii="Times New Roman" w:hAnsi="Times New Roman" w:cs="Times New Roman"/>
        </w:rPr>
        <w:tab/>
        <w:t>Galimas šalutinis poveikis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5.</w:t>
      </w:r>
      <w:r w:rsidRPr="00C56EDE">
        <w:rPr>
          <w:rFonts w:ascii="Times New Roman" w:hAnsi="Times New Roman" w:cs="Times New Roman"/>
        </w:rPr>
        <w:tab/>
        <w:t>Kaip laikyti DIAPREL MR 30 mg</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6.</w:t>
      </w:r>
      <w:r w:rsidRPr="00C56EDE">
        <w:rPr>
          <w:rFonts w:ascii="Times New Roman" w:hAnsi="Times New Roman" w:cs="Times New Roman"/>
        </w:rPr>
        <w:tab/>
        <w:t>Pakuotės turinys ir kita informacija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2" w:name="_Toc129243264"/>
      <w:bookmarkStart w:id="3" w:name="_Toc129243139"/>
      <w:r w:rsidRPr="00C56EDE">
        <w:t>1.</w:t>
      </w:r>
      <w:r w:rsidRPr="00C56EDE">
        <w:tab/>
        <w:t>Kas yra DIAPREL MR 30 MG ir kam jis vartojamas</w:t>
      </w:r>
      <w:bookmarkEnd w:id="2"/>
      <w:bookmarkEnd w:id="3"/>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DIAPREL MR 30 mg yra vaistinis preparatas, mažinantis gliukozės koncentraciją kraujyje (sulfonilkarbamido grupės geriamasis vaistinis preparatas nuo cukrinio diabeto).</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DIAPREL MR 30 mg vartojamas tam tikroms suaugusiųjų diabeto formoms (II tipo cukriniam diabetui) gydyti, kai  dieta, fizinis aktyvumas ir vien tik svorio mažėjimas nedaro pakankamo poveikio, siekiant palaikyti tinkamą gliukozės koncentraciją kraujyje. </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4" w:name="_Toc129243265"/>
      <w:bookmarkStart w:id="5" w:name="_Toc129243140"/>
      <w:r w:rsidRPr="00C56EDE">
        <w:t>2.</w:t>
      </w:r>
      <w:r w:rsidRPr="00C56EDE">
        <w:tab/>
        <w:t xml:space="preserve">Kas žinotina prieš vartojant </w:t>
      </w:r>
      <w:bookmarkEnd w:id="4"/>
      <w:bookmarkEnd w:id="5"/>
      <w:r w:rsidRPr="00C56EDE">
        <w:t>DIAPREL MR 30 MG</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DIAPREL MR 30 mg vartoti negalima:</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yra alergija gliklazidui arba bet kuriai pagalbinei šio vaisto medžiagai (jos išvardytos 6 skyriuje), kitiems šios (sulfonilkarbamido) grupės preparatams arba kitiems panašiems preparatams (gliukozės koncentraciją kraujyje mažinantiems sulfonamidams);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sergate nuo insulino priklausomu diabetu (I tipo);</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Jūsų šlapime yra ketoninių kūnų ir gliukozės (tai gali reikšti, kad sergate diabetine ketoacidoze), jeigu yra diabetinė prieškominė būklė arba koma;</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sergate sunkia inkstų arba kepenų liga;</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vartojate vaistinius preparatus grybelinėms infekcijoms gydyti (mikonazolą, žr. skyrių „Kitų vaistų vartojimas“);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žindote kūdikį (žr. skyrių „Nėštumas ir žindymo laikotarpis“).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Įspėjimai ir atsargumo priemonės</w:t>
      </w:r>
    </w:p>
    <w:p w:rsidR="0052686C" w:rsidRPr="00C56EDE" w:rsidRDefault="0052686C" w:rsidP="0052686C">
      <w:pPr>
        <w:pStyle w:val="PI-3EMEASMCA"/>
        <w:rPr>
          <w:b w:val="0"/>
        </w:rPr>
      </w:pPr>
      <w:r w:rsidRPr="00C56EDE">
        <w:rPr>
          <w:b w:val="0"/>
        </w:rPr>
        <w:t>Pasitarkite su savo gydytoju prieš pradėdami vartoti DIAPREL MR 30 mg.</w:t>
      </w:r>
    </w:p>
    <w:p w:rsidR="0052686C" w:rsidRPr="00C56EDE" w:rsidRDefault="0052686C" w:rsidP="0052686C">
      <w:pPr>
        <w:pStyle w:val="PI-3EMEASMCA"/>
        <w:rPr>
          <w:b w:val="0"/>
        </w:rPr>
      </w:pPr>
    </w:p>
    <w:p w:rsidR="0052686C" w:rsidRPr="00C56EDE" w:rsidRDefault="0052686C" w:rsidP="0052686C">
      <w:pPr>
        <w:pStyle w:val="PI-3EMEASMCA"/>
        <w:rPr>
          <w:b w:val="0"/>
        </w:rPr>
      </w:pPr>
      <w:r w:rsidRPr="00C56EDE">
        <w:rPr>
          <w:b w:val="0"/>
        </w:rPr>
        <w:t>Laikykitės Jums paskirto gydymo plano, kad pasiektumėte tinkamą gliukozės koncentraciją kraujyje. Tai reiškia, kad turite ne tik reguliariai vartoti tabletes, bet ir laikytis dietos, mankštintis ir, jeigu reikia, mažinti kūno svorį.</w:t>
      </w:r>
    </w:p>
    <w:p w:rsidR="0052686C" w:rsidRPr="00C56EDE" w:rsidRDefault="0052686C" w:rsidP="0052686C">
      <w:pPr>
        <w:pStyle w:val="PI-3EMEASMCA"/>
        <w:rPr>
          <w:b w:val="0"/>
        </w:rPr>
      </w:pPr>
    </w:p>
    <w:p w:rsidR="0052686C" w:rsidRPr="00C56EDE" w:rsidRDefault="0052686C" w:rsidP="0052686C">
      <w:pPr>
        <w:pStyle w:val="PI-3EMEASMCA"/>
        <w:rPr>
          <w:b w:val="0"/>
        </w:rPr>
      </w:pPr>
      <w:r w:rsidRPr="00C56EDE">
        <w:rPr>
          <w:b w:val="0"/>
        </w:rPr>
        <w:t>Gydant gliklazidu, būtina nuolat tikrinti Jūsų gliukozės koncentraciją kraujyje (ir galbūt šlapime) bei glikuotą hemoglobiną (HbAlc).</w:t>
      </w:r>
    </w:p>
    <w:p w:rsidR="0052686C" w:rsidRPr="00C56EDE" w:rsidRDefault="0052686C" w:rsidP="0052686C">
      <w:pPr>
        <w:pStyle w:val="PI-3EMEASMCA"/>
        <w:rPr>
          <w:b w:val="0"/>
        </w:rPr>
      </w:pPr>
    </w:p>
    <w:p w:rsidR="0052686C" w:rsidRPr="00C56EDE" w:rsidRDefault="0052686C" w:rsidP="0052686C">
      <w:pPr>
        <w:pStyle w:val="PI-3EMEASMCA"/>
        <w:rPr>
          <w:b w:val="0"/>
        </w:rPr>
      </w:pPr>
      <w:r w:rsidRPr="00C56EDE">
        <w:rPr>
          <w:b w:val="0"/>
        </w:rPr>
        <w:t>Pirmosiomis gydymo savaitėmis gali padidėti sumažėjusios gliukozės koncentracijos kraujyje (hipoglikemijos) rizika. Todėl būtina atidi medicininė priežiūra.</w:t>
      </w:r>
    </w:p>
    <w:p w:rsidR="0052686C" w:rsidRPr="00C56EDE" w:rsidRDefault="0052686C" w:rsidP="0052686C">
      <w:pPr>
        <w:pStyle w:val="PI-3EMEASMCA"/>
        <w:rPr>
          <w:b w:val="0"/>
        </w:rPr>
      </w:pPr>
    </w:p>
    <w:p w:rsidR="0052686C" w:rsidRPr="00C56EDE" w:rsidRDefault="0052686C" w:rsidP="0052686C">
      <w:pPr>
        <w:pStyle w:val="PI-3EMEASMCA"/>
        <w:rPr>
          <w:b w:val="0"/>
        </w:rPr>
      </w:pPr>
      <w:r w:rsidRPr="00C56EDE">
        <w:rPr>
          <w:b w:val="0"/>
        </w:rPr>
        <w:t>Sumažėjusi gliukozės koncentracija kraujyje (hipoglikemija) gali atsirasti: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Jūs nereguliariai maitinatės ir praleidžiate valgį;</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badaujate;</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blogai maitinatės;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pakeitėte dietą;</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padidinote savo fizinę veiklą, o angliavandenių vartojimas neatitinka šio krūvio padidėjimo;</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vartojate alkoholį, ypač jei tai darydami praleidžiate valgį;</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 xml:space="preserve">jei kartu vartojate kitus vaistinius preparatus arba natūralius vaistus; </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vartojate gliklazidą didelėmis dozėmis;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sergate tam tikrais dėl hormonų poveikio atsirandančiais sutrikimais (skydliaukės, hipofizės liaukos arba antinksčių žievės veiklos sutrikimais);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gerokai susilpnėjusi inkstų arba kepenų funkcija.</w:t>
      </w:r>
    </w:p>
    <w:p w:rsidR="0052686C" w:rsidRPr="00C56EDE" w:rsidRDefault="0052686C" w:rsidP="0052686C">
      <w:pPr>
        <w:pStyle w:val="BT-EMEASMCA"/>
        <w:tabs>
          <w:tab w:val="clear" w:pos="360"/>
          <w:tab w:val="clear" w:pos="720"/>
        </w:tabs>
        <w:ind w:left="567"/>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Jeigu Jums sumažėjo gliukozės koncentracija, gali atsirasti tokių simptomų:</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galvos skausmas, stiprus alkis, pykinimas, vėmimas, nuovargis, miego sutrikimai, susijaudinimas, agresija, dėmesio koncentracijos stoka, sumažėjęs dėmesingumas ir sulėtėjusios reakcijos, depresija, minčių susipainiojimas, regos ir kalbos sutrikimai, tremoras, jutimų sutrikimai, galvos svaigimas ir bejėgiškumo jausmas.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Be to, gali pasireikšti šie požymiai: prakaitavimas, odos lipnumas, nerimas, greitas ir nereguliarus širdies plakimas, kraujo spaudimo padidėjimas, staigus skausmas krūtinėje, galintis plisti į šalia esančias sritis (krūtinės angina).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 gliukozės koncentracija ir toliau mažėja, Jums gali pasireikšti didelis minčių susipainiojimas (delyras), prasidėti traukuliai, savikontrolės praradimas, Jūsų alsavimas gali tapti paviršutiniškas, širdis imti plakti rečiau, Jūs galite prarasti sąmonę.</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 greitai pavartosite ko nors saldaus, pvz., gliukozės tabletę, cukraus gabalėlį, saldžių sulčių, saldžios arbatos, dažniausiai sumažėjusios gliukozės koncentracijos kraujyje simptomai išnyks labai greitai.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Todėl turėtumėte visada su savimi nešiotis ko nors saldaus (gliukozės tablečių, cukraus gabalėlių). Prisiminkite, kad dirbtiniai saldikliai yra neveiksmingi. Jei cukrus nepadeda arba jei simptomai atsinaujino, kreipkitės į savo gydytoją arba artimiausią gydymo įstaigą.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Sumažėjusios gliukozės koncentracijos kraujyje simptomai gali būti nepastebimi, ne tokie akivaizdūs, gali vystytis labai lėtai arba Jūs galite laiku nepastebėti gliukozės koncentracijos kraujyje sumažėjimo. Taip gali nutikti, jei esate vyresnio amžiaus ir vartojate tam tikrus vaistinius preparatus (pvz., veikiančius centrinę nervų sistemą ir beta blokatorius).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 patiriate stresą (pvz., nelaimingi atsitikimai, operacijos, karščiavimas ir pan.), Jūsų gydytojas laikinai gali pakeisti gydymą insulinu.</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Jeigu gliklazidas nepakankamai mažina gliukozės koncentraciją kraujyje, jei gydytojo paskirtas gydymas Jums netinka, jeigu Jūs vartojate jonažolių (</w:t>
      </w:r>
      <w:r w:rsidRPr="00C56EDE">
        <w:rPr>
          <w:rFonts w:ascii="Times New Roman" w:hAnsi="Times New Roman" w:cs="Times New Roman"/>
          <w:i/>
        </w:rPr>
        <w:t>Hypericum perforatum</w:t>
      </w:r>
      <w:r w:rsidRPr="00C56EDE">
        <w:rPr>
          <w:rFonts w:ascii="Times New Roman" w:hAnsi="Times New Roman" w:cs="Times New Roman"/>
        </w:rPr>
        <w:t>) preparatus (žr. skyrių „Kiti vaistai ir DIAPREL MR 30 mg“), arba jei patiriate stresą, gali atsirasti didelės gliukozės koncentracijos kraujyje (hiperglikemijos) simptomų. Tai gali būtii troškulys, padažnėjęs šlapinimasis, burnos sausumas, odos sausumas, niežėjimas, odos infekcijos ir vangumas.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 atsirado tokių simptomų, kreipkitės į savo gydytoją arba vaistininką.</w:t>
      </w:r>
    </w:p>
    <w:p w:rsidR="0052686C" w:rsidRPr="00C56EDE" w:rsidRDefault="0052686C" w:rsidP="0052686C">
      <w:pPr>
        <w:tabs>
          <w:tab w:val="left" w:pos="0"/>
        </w:tabs>
        <w:ind w:right="-2"/>
        <w:rPr>
          <w:color w:val="000000"/>
          <w:sz w:val="22"/>
          <w:szCs w:val="22"/>
        </w:rPr>
      </w:pPr>
    </w:p>
    <w:p w:rsidR="0052686C" w:rsidRPr="00C56EDE" w:rsidRDefault="0052686C" w:rsidP="0052686C">
      <w:pPr>
        <w:tabs>
          <w:tab w:val="left" w:pos="567"/>
        </w:tabs>
        <w:rPr>
          <w:sz w:val="22"/>
          <w:szCs w:val="22"/>
        </w:rPr>
      </w:pPr>
      <w:r w:rsidRPr="00C56EDE">
        <w:rPr>
          <w:sz w:val="22"/>
          <w:szCs w:val="22"/>
        </w:rPr>
        <w:t>Gliklazdidą vartojant kartu su fluorochinolonais vadinamų antibiotikų grupės vaistais, ypač senyviems pacientams, gali pasireikšti gliukozės koncentracijų kraujyje sutrikimas (būti išmatuojamos pernelyg mažos arba pernelyg didelės gliukozės koncentracijos kraujyje). Šiuo atveju gydytojas primins Jums, kaip svarbu stebėti gliukozės koncentracijas kraujyje.</w:t>
      </w:r>
    </w:p>
    <w:p w:rsidR="0052686C" w:rsidRPr="00C56EDE" w:rsidRDefault="0052686C" w:rsidP="0052686C">
      <w:pPr>
        <w:pStyle w:val="BT-EMEASMCA"/>
        <w:rPr>
          <w:rFonts w:ascii="Times New Roman" w:hAnsi="Times New Roman" w:cs="Times New Roman"/>
        </w:rPr>
      </w:pPr>
    </w:p>
    <w:p w:rsidR="0052686C" w:rsidRDefault="0052686C" w:rsidP="0052686C">
      <w:pPr>
        <w:pStyle w:val="BT-EMEASMCA"/>
        <w:rPr>
          <w:rFonts w:ascii="Times New Roman" w:hAnsi="Times New Roman" w:cs="Times New Roman"/>
        </w:rPr>
      </w:pPr>
      <w:r w:rsidRPr="00C56EDE">
        <w:rPr>
          <w:rFonts w:ascii="Times New Roman" w:hAnsi="Times New Roman" w:cs="Times New Roman"/>
        </w:rPr>
        <w:t>Jeigu Jūsų šeimos nariams arba Jums nustatytas įgimtas gliukozės-6-fosfatdehidrogenazės (angl. G6PD) nepakankamumas (raudonųjų kraujo kūnelių anomalija), gali sumažėti hemoglobino koncentracija ir pasireikšti raudonųjų kraujo kūnelių irimas (hemolizinė anemija). Prieš pradėdami vartoti šį vaistinį preparatą, pasitarkite su gydytoju.</w:t>
      </w:r>
    </w:p>
    <w:p w:rsidR="0052686C"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Pr>
          <w:rFonts w:ascii="Times New Roman" w:hAnsi="Times New Roman" w:cs="Times New Roman"/>
        </w:rPr>
        <w:lastRenderedPageBreak/>
        <w:t>Pacientams, sergantiems porfirija (paveldimi genetiniai sutrikimai, kai organizme kaupiasi porfirinai ar porfirinų pirmtakai), buvo aprašyti ūminės porfirijos atvejai, vartojant sulfonilkarbamido vaistus.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Vaikai ir paaugliai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Dėl duomenų stokos DIAPREL MR 30 mg nerekomenduojama vartoti vaikams ir paaugliams iki 18 metų amžiaus.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Kiti vaistai ir DIAPREL MR 30 mg</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Jeigu vartojate ar neseniai vartojote kitų vaistų arba dėl to nesate tikri, apie tai pasakykite gydytojui arba vaistininkui. </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Gliklazido gliukozės koncentracijos kraujyje mažinimo poveikis gali sustiprėti ir atsirasti mažos gliukozės koncentracijos kraujyje požymių, kai vartojami šie vaistiniai preparatai: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kiti preparatai didelei gliukozės koncentracijai kraujyje mažinti (geriamieji vaistiniai preparatai nuo diabeto, GLP-1 receptorių agonistai arba insulinas);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antibiotikai (pvz., sulfonamidai, klaritromicinas);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aukštam kraujo spaudimui arba širdies nepakankamumui gydyti (beta blokatoriai, AKF inhibitoriai, pvz., kaptoprilis, enalaprilis);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grybelinėms infekcijoms gydyti (mikonazolas, flukonazolas);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skrandžio ir dvylikapirštės žarnos opoms gydyti (H2 receptorių antagonistai);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depresijai gydyti (monoaminoksidazės inhibitoriai);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nuo skausmo arba uždegimo (fenilbutazonas, ibuprofenas);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kuriuose yra alkoholio.</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Gliklazido gliukozės koncentracijos kraujyje mažinimo poveikis gali būti sutrikdytas, o gliukozės koncentracija kraujyje gali padidėti, jeigu vartojami šie vaistiniai preparatai: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centrinės nervų sistemos sutrikimams gydyti (chlorpromazinas);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uždegimui mažinti (kortikosteroidai);</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astmai gydyti arba vartojami gimdymo metu (vartojamas į veną salbutamolis , ritodrinas ir terbutalinas);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krūtų sutrikimams, stipriems mėnesinių kraujavimams ir endometriozei gydyti (danazolas);</w:t>
      </w:r>
    </w:p>
    <w:p w:rsidR="0052686C" w:rsidRPr="00C56EDE" w:rsidRDefault="0052686C" w:rsidP="0052686C">
      <w:pPr>
        <w:pStyle w:val="BT-EMEASMCA"/>
        <w:numPr>
          <w:ilvl w:val="0"/>
          <w:numId w:val="1"/>
        </w:numPr>
        <w:tabs>
          <w:tab w:val="clear" w:pos="720"/>
          <w:tab w:val="num" w:pos="567"/>
        </w:tabs>
        <w:ind w:left="567" w:hanging="567"/>
        <w:rPr>
          <w:rFonts w:ascii="Times New Roman" w:hAnsi="Times New Roman" w:cs="Times New Roman"/>
        </w:rPr>
      </w:pPr>
      <w:r w:rsidRPr="00C56EDE">
        <w:rPr>
          <w:rFonts w:ascii="Times New Roman" w:hAnsi="Times New Roman" w:cs="Times New Roman"/>
          <w:color w:val="000000"/>
        </w:rPr>
        <w:t>jonažolių (</w:t>
      </w:r>
      <w:r w:rsidRPr="00C56EDE">
        <w:rPr>
          <w:rFonts w:ascii="Times New Roman" w:hAnsi="Times New Roman" w:cs="Times New Roman"/>
          <w:i/>
          <w:color w:val="000000"/>
        </w:rPr>
        <w:t>Hypericum perforatum</w:t>
      </w:r>
      <w:r w:rsidRPr="00C56EDE">
        <w:rPr>
          <w:rFonts w:ascii="Times New Roman" w:hAnsi="Times New Roman" w:cs="Times New Roman"/>
          <w:color w:val="000000"/>
        </w:rPr>
        <w:t>) preparatai skirti lengviems ar vidutinio sunkumo depresijos epizodams gydyti.</w:t>
      </w:r>
    </w:p>
    <w:p w:rsidR="0052686C" w:rsidRPr="00C56EDE" w:rsidRDefault="0052686C" w:rsidP="0052686C">
      <w:pPr>
        <w:pStyle w:val="BTEMEASMCA"/>
        <w:rPr>
          <w:rFonts w:ascii="Times New Roman" w:hAnsi="Times New Roman" w:cs="Times New Roman"/>
        </w:rPr>
      </w:pPr>
    </w:p>
    <w:p w:rsidR="0052686C" w:rsidRPr="00C56EDE" w:rsidRDefault="0052686C" w:rsidP="0052686C">
      <w:pPr>
        <w:tabs>
          <w:tab w:val="left" w:pos="567"/>
        </w:tabs>
        <w:rPr>
          <w:sz w:val="22"/>
          <w:szCs w:val="22"/>
        </w:rPr>
      </w:pPr>
      <w:r w:rsidRPr="00C56EDE">
        <w:rPr>
          <w:sz w:val="22"/>
          <w:szCs w:val="22"/>
        </w:rPr>
        <w:t xml:space="preserve">DIAPREL MR </w:t>
      </w:r>
      <w:r w:rsidRPr="00C56EDE">
        <w:rPr>
          <w:color w:val="000000"/>
          <w:sz w:val="22"/>
          <w:szCs w:val="22"/>
        </w:rPr>
        <w:t>30 mg modifikuoto atpalaidavimo tabletes</w:t>
      </w:r>
      <w:r w:rsidRPr="00C56EDE">
        <w:rPr>
          <w:sz w:val="22"/>
          <w:szCs w:val="22"/>
        </w:rPr>
        <w:t xml:space="preserve"> vartojant kartu su fluorochinolonais vadinamų antibiotikų grupės vaistais, ypač senyviems pacientams, gali pasireikšti gliukozės koncentracijų kraujyje sutrikimas (būti išmatuojamos pernelyg mažos arba pernelyg didelės gliukozės koncentracijos kraujyje).</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DIAPREL MR 30 mg gali sustiprinti vaistinių preparatų, mažinančių kraujo krešėjimą (varfarino), poveikį.</w:t>
      </w:r>
    </w:p>
    <w:p w:rsidR="0052686C" w:rsidRPr="00C56EDE" w:rsidRDefault="0052686C" w:rsidP="0052686C">
      <w:pPr>
        <w:rPr>
          <w:color w:val="000000"/>
          <w:sz w:val="22"/>
          <w:szCs w:val="22"/>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Prieš pradėdami vartoti kitų vaistų, pasitarkite su gydytoju. Jei vykstate į ligoninę, pasakykite medicinos personalui, kad vartojate DIAPREL MR 30 mg.</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Debesliotekstas"/>
        <w:rPr>
          <w:rFonts w:ascii="Times New Roman" w:hAnsi="Times New Roman" w:cs="Times New Roman"/>
          <w:b/>
          <w:sz w:val="22"/>
          <w:szCs w:val="22"/>
        </w:rPr>
      </w:pPr>
      <w:r w:rsidRPr="00C56EDE">
        <w:rPr>
          <w:rFonts w:ascii="Times New Roman" w:hAnsi="Times New Roman" w:cs="Times New Roman"/>
          <w:b/>
          <w:sz w:val="22"/>
          <w:szCs w:val="22"/>
        </w:rPr>
        <w:t>DIAPREL MR 30 mg vartojimas su maistu, gėrimais ir alkoholiu</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DIAPREL MR 30 mg galima vartoti su maistu ir nealkoholiniais gėrimais.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Nerekomenduojama vartoti alkoholio, nes tai gali nenuspėjamai pakeisti Jūsų diabeto kontrolę.</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Nėštumas ir žindymo laikotarpis</w:t>
      </w:r>
    </w:p>
    <w:p w:rsidR="0052686C" w:rsidRPr="00C56EDE" w:rsidRDefault="0052686C" w:rsidP="0052686C">
      <w:pPr>
        <w:pStyle w:val="PI-3EMEASMCA"/>
        <w:rPr>
          <w:b w:val="0"/>
        </w:rPr>
      </w:pPr>
      <w:r w:rsidRPr="00C56EDE">
        <w:rPr>
          <w:b w:val="0"/>
        </w:rPr>
        <w:t>DIAPREL MR 30 mg nėštumo metu vartoti nerekomenduojama. Jeigu esate nėščia, manote, kad galbūt esate nėščia arba planuojate pastoti, tai prieš vartodama šį vaistą, pasitarkite su savo gydytoju.</w:t>
      </w:r>
    </w:p>
    <w:p w:rsidR="0052686C" w:rsidRPr="00C56EDE" w:rsidRDefault="0052686C" w:rsidP="0052686C">
      <w:pPr>
        <w:pStyle w:val="PI-3EMEASMCA"/>
        <w:rPr>
          <w:b w:val="0"/>
        </w:rPr>
      </w:pPr>
    </w:p>
    <w:p w:rsidR="0052686C" w:rsidRPr="00C56EDE" w:rsidRDefault="0052686C" w:rsidP="0052686C">
      <w:pPr>
        <w:pStyle w:val="PI-3EMEASMCA"/>
        <w:rPr>
          <w:b w:val="0"/>
        </w:rPr>
      </w:pPr>
      <w:r w:rsidRPr="00C56EDE">
        <w:rPr>
          <w:b w:val="0"/>
        </w:rPr>
        <w:t>DIAPREL MR 30 mg žindymo laikotarpiu vartoti negalima.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Vairavimas ir mechanizmų valdymas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lastRenderedPageBreak/>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 Pasitarkite su gydytoju, jei Jums vairuojant buvo:</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dažnų sumažėjusios gliukozės koncentracijos kraujyje (hipoglikemijos) epizodų; </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keli nepastebimų sumažėjusios gliukozės koncentracijos kraujyje (hipoglikemijos) požymių epizodai.</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6" w:name="_Toc129243266"/>
      <w:bookmarkStart w:id="7" w:name="_Toc129243141"/>
      <w:r w:rsidRPr="00C56EDE">
        <w:t>3.</w:t>
      </w:r>
      <w:r w:rsidRPr="00C56EDE">
        <w:tab/>
        <w:t xml:space="preserve">Kaip vartoti </w:t>
      </w:r>
      <w:bookmarkEnd w:id="6"/>
      <w:bookmarkEnd w:id="7"/>
      <w:r w:rsidRPr="00C56EDE">
        <w:t>DIAPREL MR 30 mg</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Debesliotekstas"/>
        <w:rPr>
          <w:rFonts w:ascii="Times New Roman" w:hAnsi="Times New Roman" w:cs="Times New Roman"/>
          <w:b/>
          <w:sz w:val="22"/>
          <w:szCs w:val="22"/>
        </w:rPr>
      </w:pPr>
      <w:r w:rsidRPr="00C56EDE">
        <w:rPr>
          <w:rFonts w:ascii="Times New Roman" w:hAnsi="Times New Roman" w:cs="Times New Roman"/>
          <w:b/>
          <w:sz w:val="22"/>
          <w:szCs w:val="22"/>
        </w:rPr>
        <w:t>Dozavimas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Visada vartokite šį vaistą tiksliai, kaip nurodė gydytojas arba vaistininkas. Jeigu abejojate, kreipkitės į gydytoją arba vaistininką.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Dozę nustato gydytojas, atsižvelgdamas į gliukozės koncentraciją Jūsų kraujyje ir galbūt šlapime.</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Gliklazido dozę gali tekti keisti, jei pasikeitė išoriniai veiksniai (pvz., sumažėjo svoris, pasikeitė gyvenimo būdas, patiriate stresą) arba gliukozės koncentracija kraujyje. </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Rekomenduojama paros dozė yra nuo vienos iki keturių tablečių (daugiausia 120 mg), kurios geriamos per pusryčius. Dozė priklauso nuo atsako į gydymą.</w:t>
      </w:r>
    </w:p>
    <w:p w:rsidR="0052686C" w:rsidRPr="00C56EDE" w:rsidRDefault="0052686C" w:rsidP="0052686C">
      <w:pPr>
        <w:tabs>
          <w:tab w:val="left" w:pos="567"/>
        </w:tabs>
        <w:jc w:val="both"/>
        <w:rPr>
          <w:sz w:val="22"/>
          <w:szCs w:val="22"/>
        </w:rPr>
      </w:pPr>
      <w:r w:rsidRPr="00C56EDE">
        <w:rPr>
          <w:sz w:val="22"/>
          <w:szCs w:val="22"/>
        </w:rPr>
        <w:t>Diamicron 30 mg skirtas vartoti išgeriant. Išgerkite Jums skirtą tabletę (-es) pusryčiaudami (geriausia tuo pačiu metu kiekvieną dieną), užgerdami stikline vandens. Nurykite tabletes nekramtydami.</w:t>
      </w:r>
    </w:p>
    <w:p w:rsidR="0052686C" w:rsidRPr="00C56EDE" w:rsidRDefault="0052686C" w:rsidP="0052686C">
      <w:pPr>
        <w:tabs>
          <w:tab w:val="left" w:pos="567"/>
        </w:tabs>
        <w:jc w:val="both"/>
        <w:rPr>
          <w:i/>
          <w:sz w:val="22"/>
          <w:szCs w:val="22"/>
        </w:rPr>
      </w:pPr>
      <w:r w:rsidRPr="00C56EDE">
        <w:rPr>
          <w:sz w:val="22"/>
          <w:szCs w:val="22"/>
        </w:rPr>
        <w:t>Išgėrus tabletę (-es) visada reikia pavalgyti.</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Jei kartu su DIAPREL MR 30 mg vartojamas metforminas, alfa gliukozidazės inhibitorius, </w:t>
      </w:r>
      <w:r w:rsidRPr="00C56EDE">
        <w:rPr>
          <w:rFonts w:ascii="Times New Roman" w:hAnsi="Times New Roman" w:cs="Times New Roman"/>
          <w:color w:val="000000"/>
        </w:rPr>
        <w:t>tiazolidinedionas,</w:t>
      </w:r>
      <w:r w:rsidRPr="00C56EDE">
        <w:rPr>
          <w:rFonts w:ascii="Times New Roman" w:hAnsi="Times New Roman" w:cs="Times New Roman"/>
        </w:rPr>
        <w:t xml:space="preserve"> </w:t>
      </w:r>
      <w:r w:rsidRPr="00C56EDE">
        <w:rPr>
          <w:rFonts w:ascii="Times New Roman" w:hAnsi="Times New Roman" w:cs="Times New Roman"/>
          <w:color w:val="000000"/>
        </w:rPr>
        <w:t>dipeptidil-peptidazės-4 inhibitorius,</w:t>
      </w:r>
      <w:r w:rsidRPr="00C56EDE">
        <w:rPr>
          <w:rFonts w:ascii="Times New Roman" w:hAnsi="Times New Roman" w:cs="Times New Roman"/>
        </w:rPr>
        <w:t xml:space="preserve"> į gliukagoną panašus peptido-1 (GLP-1) receptorių agonistas arba insulinas, gydytojas nustatys Jums tinkamą kiekvieno vaistinio preparato dozę. </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Jeigu pastebėjote, kad jūsų cukraus koncentracija kraujyje yra didelė, tačiau vartojate vaisto taip, kaip paskirta, jums reikia kreiptis į gydytoją ar vaistininką.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Debesliotekstas"/>
        <w:rPr>
          <w:rFonts w:ascii="Times New Roman" w:hAnsi="Times New Roman" w:cs="Times New Roman"/>
          <w:b/>
          <w:sz w:val="22"/>
          <w:szCs w:val="22"/>
        </w:rPr>
      </w:pPr>
      <w:r w:rsidRPr="00C56EDE">
        <w:rPr>
          <w:rFonts w:ascii="Times New Roman" w:hAnsi="Times New Roman" w:cs="Times New Roman"/>
          <w:b/>
          <w:sz w:val="22"/>
          <w:szCs w:val="22"/>
        </w:rPr>
        <w:t>Pavartojus per didelę DIAPREL MR 30 mg dozę</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 išgėrėte per daug tablečių, nedelsdami kreipkitės į gydytoją arba artimiausią greitosios medicininės pagalbos skyrių. Perdozavimo požymiai yra tokie pat kaip ir sumažėjusios gliukozės koncentracijos kraujyje (hipoglikemijos) simptomai, kurie aprašyti 2 skyriuje.</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Simptomus galima palengvinti nedelsiant po sotaus užkandžio arba valgio suvalgius cukraus (4–6 gabalėlius) arba išgėrus saldžių gėrimų. Jei pacientas prarado sąmonę, nedelsdami praneškite gydytojui ir iškvieskite greitąją pagalbą. Taip pat reikėtų elgtis, jei kas nors, pvz., vaikas, netyčia pavartotų vaistinio preparato.</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Sąmonę praradusiems pacientams negalima duoti maisto arba gerti.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Reikia užtikrinti, kad informuotas asmuo atsitikus nelaimei visada galėtų iškviesti gydytoją.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Debesliotekstas"/>
        <w:rPr>
          <w:rFonts w:ascii="Times New Roman" w:hAnsi="Times New Roman" w:cs="Times New Roman"/>
          <w:b/>
          <w:sz w:val="22"/>
          <w:szCs w:val="22"/>
        </w:rPr>
      </w:pPr>
      <w:r w:rsidRPr="00C56EDE">
        <w:rPr>
          <w:rFonts w:ascii="Times New Roman" w:hAnsi="Times New Roman" w:cs="Times New Roman"/>
          <w:b/>
          <w:sz w:val="22"/>
          <w:szCs w:val="22"/>
        </w:rPr>
        <w:t>Pamiršus pavartoti DIAPREL MR 30 mg</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Kad gydymo poveikis būtų geresnis, vaistinį preparatą svarbu vartoti kiekvieną dieną,.</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Tačiau, jei pamiršote išgerti DIAPREL MR 30 mg, kitą dozę vartokite įprastu metu.</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Negalima vartoti dvigubos dozės norint kompensuoti praleistą dozę.</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Nustojus vartoti DIAPREL MR 30 mg</w:t>
      </w:r>
    </w:p>
    <w:p w:rsidR="0052686C" w:rsidRPr="00C56EDE" w:rsidRDefault="0052686C" w:rsidP="0052686C">
      <w:pPr>
        <w:pStyle w:val="PI-3EMEASMCA"/>
        <w:rPr>
          <w:b w:val="0"/>
        </w:rPr>
      </w:pPr>
      <w:r w:rsidRPr="00C56EDE">
        <w:rPr>
          <w:b w:val="0"/>
        </w:rPr>
        <w:t>Kadangi gydymas nuo diabeto dažniausiai yra ilgalaikis, turėtumėte pasitarti su gydytoju prieš nutraukdami šio vaistinio preparato vartojimą. Gydymo nutraukimas gali sukelti gliukozės koncentracijos kraujyje padidėjimą (hiperglikemiją), kuris padidina diabeto komplikacijų išsivystymo riziką.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Jeigu kiltų daugiau klausimų dėl šio vaisto vartojimo, kreipkitės į gydytoją arba vaistininką.</w:t>
      </w:r>
    </w:p>
    <w:p w:rsidR="0052686C"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8" w:name="_Toc129243267"/>
      <w:bookmarkStart w:id="9" w:name="_Toc129243142"/>
      <w:r w:rsidRPr="00C56EDE">
        <w:t>4.</w:t>
      </w:r>
      <w:r w:rsidRPr="00C56EDE">
        <w:tab/>
        <w:t>Galimas šalutinis poveikis</w:t>
      </w:r>
      <w:bookmarkEnd w:id="8"/>
      <w:bookmarkEnd w:id="9"/>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lastRenderedPageBreak/>
        <w:t>Šis vaistas, kaip ir visi kiti vaistai, gali sukelti šalutinį poveikį, nors jis pasireiškia ne visiems žmonėms.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Dažniausiai pasireiškęs šalutinis poveikis buvo sumažėjusi gliukozės koncentracija kraujyje (hipoglikemija). Jos simptomai aprašyti poskyryje „Įspėjimai ir atsargumo priemonės“.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u w:val="single"/>
        </w:rPr>
      </w:pPr>
      <w:r w:rsidRPr="00C56EDE">
        <w:rPr>
          <w:rFonts w:ascii="Times New Roman" w:hAnsi="Times New Roman" w:cs="Times New Roman"/>
          <w:u w:val="single"/>
        </w:rPr>
        <w:t>Kepenų sutrikimai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Buvo pavienių pranešimų apie kepenų veiklos sutrikimą, dėl kurio pagelto oda ir akys. Jei tai pasireiškė Jums, nedelsdami kreipkitės į gydytoją. Dažniausiai simptomai išnyksta, nustojus vartoti vaistinį preparatą. Jūsų gydytojas nuspręs, kada nutraukti gydymą.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u w:val="single"/>
        </w:rPr>
      </w:pPr>
      <w:r w:rsidRPr="00C56EDE">
        <w:rPr>
          <w:rFonts w:ascii="Times New Roman" w:hAnsi="Times New Roman" w:cs="Times New Roman"/>
          <w:u w:val="single"/>
        </w:rPr>
        <w:t>Odos sutrikimai</w:t>
      </w:r>
    </w:p>
    <w:p w:rsidR="0052686C" w:rsidRDefault="0052686C" w:rsidP="0052686C">
      <w:pPr>
        <w:pStyle w:val="BTEMEASMCA"/>
        <w:rPr>
          <w:rFonts w:ascii="Times New Roman" w:hAnsi="Times New Roman" w:cs="Times New Roman"/>
        </w:rPr>
      </w:pPr>
      <w:r w:rsidRPr="00C56EDE">
        <w:rPr>
          <w:rFonts w:ascii="Times New Roman" w:hAnsi="Times New Roman" w:cs="Times New Roman"/>
        </w:rPr>
        <w:t>Yra duomenų apie odos reakcijas, pvz., bėrimą,</w:t>
      </w:r>
      <w:r>
        <w:rPr>
          <w:rFonts w:ascii="Times New Roman" w:hAnsi="Times New Roman" w:cs="Times New Roman"/>
        </w:rPr>
        <w:t xml:space="preserve"> paraudimą,</w:t>
      </w:r>
      <w:r w:rsidRPr="00C56EDE">
        <w:rPr>
          <w:rFonts w:ascii="Times New Roman" w:hAnsi="Times New Roman" w:cs="Times New Roman"/>
        </w:rPr>
        <w:t xml:space="preserve"> niežulį, </w:t>
      </w:r>
      <w:r>
        <w:rPr>
          <w:rFonts w:ascii="Times New Roman" w:hAnsi="Times New Roman" w:cs="Times New Roman"/>
        </w:rPr>
        <w:t xml:space="preserve">pūsles, </w:t>
      </w:r>
      <w:r w:rsidRPr="00C56EDE">
        <w:rPr>
          <w:rFonts w:ascii="Times New Roman" w:hAnsi="Times New Roman" w:cs="Times New Roman"/>
        </w:rPr>
        <w:t>dilgėlinę, angioedemą (greitas audinių, tokių kaip akių vokų, veido, lūpų, liežuvio arba gerklės, tinimas, kuris gali sukelti sunkumą kvėpuojant). Bėrimas gali progresuoti iki plačiai išplitusių odos pūslelių arba odos lupimosi.</w:t>
      </w:r>
    </w:p>
    <w:p w:rsidR="0052686C" w:rsidRPr="00F3653C" w:rsidRDefault="0052686C" w:rsidP="0052686C">
      <w:pPr>
        <w:pStyle w:val="BTEMEASMCA"/>
        <w:rPr>
          <w:rFonts w:ascii="Times New Roman" w:hAnsi="Times New Roman" w:cs="Times New Roman"/>
        </w:rPr>
      </w:pPr>
      <w:r>
        <w:rPr>
          <w:rFonts w:ascii="Times New Roman" w:hAnsi="Times New Roman" w:cs="Times New Roman"/>
        </w:rPr>
        <w:t xml:space="preserve">Jeigu Jums tai pasireiškė, nustokite vartoti DIAPREL MR </w:t>
      </w:r>
      <w:r>
        <w:rPr>
          <w:rFonts w:ascii="Times New Roman" w:hAnsi="Times New Roman" w:cs="Times New Roman"/>
          <w:lang w:val="en-US"/>
        </w:rPr>
        <w:t xml:space="preserve">30 mg, nedelsiant kreipkitės į gydytoją ir pasakykite jam, kad vartojate šį vaistą. </w:t>
      </w:r>
    </w:p>
    <w:p w:rsidR="0052686C" w:rsidRPr="00C56EDE" w:rsidRDefault="0052686C" w:rsidP="0052686C">
      <w:pPr>
        <w:tabs>
          <w:tab w:val="left" w:pos="567"/>
        </w:tabs>
        <w:rPr>
          <w:sz w:val="22"/>
          <w:szCs w:val="22"/>
        </w:rPr>
      </w:pPr>
      <w:r w:rsidRPr="00C56EDE">
        <w:rPr>
          <w:color w:val="000000"/>
          <w:sz w:val="22"/>
          <w:szCs w:val="22"/>
        </w:rPr>
        <w:t>Pavieniais atvejais buvo pranešta apie sunkias padidėjusio jautrumo reakcijas (bėrimą su eozinofilija ir sisteminiais simptomais, kuris angliškai vadinamas</w:t>
      </w:r>
      <w:r w:rsidRPr="00C56EDE">
        <w:rPr>
          <w:i/>
          <w:color w:val="000000"/>
          <w:sz w:val="22"/>
          <w:szCs w:val="22"/>
        </w:rPr>
        <w:t xml:space="preserve"> DRESS</w:t>
      </w:r>
      <w:r w:rsidRPr="00C56EDE">
        <w:rPr>
          <w:color w:val="000000"/>
          <w:sz w:val="22"/>
          <w:szCs w:val="22"/>
        </w:rPr>
        <w:t>): iš pradžių pasireiškia į gripą panašūs simptomai ir veido bėrimas, vėliau bėrimas išplinta ir pakyla kūno temperatūra.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u w:val="single"/>
        </w:rPr>
      </w:pPr>
      <w:r w:rsidRPr="00C56EDE">
        <w:rPr>
          <w:rFonts w:ascii="Times New Roman" w:hAnsi="Times New Roman" w:cs="Times New Roman"/>
          <w:u w:val="single"/>
        </w:rPr>
        <w:t>Kraujo sutrikimai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Kraujo ląstelių skaičiaus sumažėjimas (pvz., trombocitų, raudonųjų ir baltųjų kraujo ląstelių), kuris gali sukelti blyškumą, kraujavimo pailgėjimą, mėlynes, taip pat yra pranešimų apie gerklės skausmą ir karščiavimą. Dažniausiai šie simptomai išnyksta nutraukus gydymą.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u w:val="single"/>
        </w:rPr>
      </w:pPr>
      <w:r w:rsidRPr="00C56EDE">
        <w:rPr>
          <w:rFonts w:ascii="Times New Roman" w:hAnsi="Times New Roman" w:cs="Times New Roman"/>
          <w:u w:val="single"/>
        </w:rPr>
        <w:t>Virškinimo sutrikimai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Pilvo skausmai, pykinimas, vėmimas, skrandžio veiklos sutrikimas, viduriavimas ir vidurių užkietėjimas. Šie poveikiai susilpnėja, jei DIAPREL MR 30 mg vartojama valgio metu, kaip rekomenduojama.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u w:val="single"/>
        </w:rPr>
      </w:pPr>
      <w:r w:rsidRPr="00C56EDE">
        <w:rPr>
          <w:rFonts w:ascii="Times New Roman" w:hAnsi="Times New Roman" w:cs="Times New Roman"/>
          <w:u w:val="single"/>
        </w:rPr>
        <w:t>Akių sutrikimai</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Laikinai gali sutrikti Jūsų regėjimas, ypač gydymo pradžioje. Šis poveikis atsiranda dėl gliukozės koncentracijos kraujyje pokyčių.</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Kaip ir gydant kitokiais sulfonilkarbamido dariniais buvo stebimi šie nepageidaujami poveikiai: kraujo ląstelių kiekio pokyčiai ir kraujagyslių sienelių alerginis uždegimas, </w:t>
      </w:r>
      <w:r w:rsidRPr="00C56EDE">
        <w:rPr>
          <w:rFonts w:ascii="Times New Roman" w:hAnsi="Times New Roman" w:cs="Times New Roman"/>
          <w:color w:val="000000"/>
        </w:rPr>
        <w:t>natrio koncentracijos sumažėjimas kraujyje (hiponatremija),</w:t>
      </w:r>
      <w:r w:rsidRPr="00C56EDE">
        <w:rPr>
          <w:rFonts w:ascii="Times New Roman" w:hAnsi="Times New Roman" w:cs="Times New Roman"/>
        </w:rPr>
        <w:t xml:space="preserve"> kepenų pažaidos simptomai (pvz., gelta), kurie išnyko nutraukus gydymą sulfonilkarbamido preparatais, bet pavieniais atvejais tai gali sukelti gyvybei pavojingą kepenų nepakankamumą. </w:t>
      </w:r>
    </w:p>
    <w:p w:rsidR="0052686C" w:rsidRPr="00C56EDE" w:rsidRDefault="0052686C" w:rsidP="0052686C">
      <w:pPr>
        <w:pStyle w:val="BTEMEASMCA"/>
        <w:rPr>
          <w:rFonts w:ascii="Times New Roman" w:hAnsi="Times New Roman" w:cs="Times New Roman"/>
        </w:rPr>
      </w:pPr>
    </w:p>
    <w:p w:rsidR="0052686C" w:rsidRPr="00C56EDE" w:rsidRDefault="0052686C" w:rsidP="0052686C">
      <w:pPr>
        <w:rPr>
          <w:b/>
          <w:sz w:val="22"/>
          <w:szCs w:val="22"/>
        </w:rPr>
      </w:pPr>
      <w:r w:rsidRPr="00C56EDE">
        <w:rPr>
          <w:b/>
          <w:sz w:val="22"/>
          <w:szCs w:val="22"/>
        </w:rPr>
        <w:t>Pranešimas apie šalutinį poveikį</w:t>
      </w:r>
    </w:p>
    <w:p w:rsidR="0052686C" w:rsidRPr="00C56EDE" w:rsidRDefault="0052686C" w:rsidP="0052686C">
      <w:pPr>
        <w:ind w:right="-449"/>
        <w:rPr>
          <w:b/>
          <w:color w:val="000000"/>
          <w:sz w:val="22"/>
          <w:szCs w:val="22"/>
        </w:rPr>
      </w:pPr>
      <w:r w:rsidRPr="00C56EDE">
        <w:rPr>
          <w:color w:val="000000"/>
          <w:sz w:val="22"/>
          <w:szCs w:val="22"/>
        </w:rPr>
        <w:t>Jeigu pasireiškė šalutinis poveikis, įskaitant šiame lapelyje nenurodytą, pasakykite gydytojui arba vaistininkui.</w:t>
      </w:r>
      <w:r w:rsidRPr="00C56EDE">
        <w:rPr>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C56EDE">
          <w:rPr>
            <w:rStyle w:val="Hipersaitas"/>
            <w:rFonts w:eastAsia="SimSun"/>
            <w:sz w:val="22"/>
            <w:szCs w:val="22"/>
          </w:rPr>
          <w:t>www.vvkt.lt</w:t>
        </w:r>
      </w:hyperlink>
      <w:r w:rsidRPr="00C56EDE">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56EDE">
          <w:rPr>
            <w:rStyle w:val="Hipersaitas"/>
            <w:rFonts w:eastAsia="SimSun"/>
            <w:sz w:val="22"/>
            <w:szCs w:val="22"/>
          </w:rPr>
          <w:t>NepageidaujamaR@vvkt.lt</w:t>
        </w:r>
      </w:hyperlink>
      <w:r w:rsidRPr="00C56EDE">
        <w:rPr>
          <w:sz w:val="22"/>
          <w:szCs w:val="22"/>
        </w:rPr>
        <w:t xml:space="preserve">, taip pat per Valstybinės vaistų kontrolės tarnybos prie Lietuvos Respublikos sveikatos apsaugos ministerijos interneto svetainę (adresu </w:t>
      </w:r>
      <w:hyperlink r:id="rId7" w:history="1">
        <w:r w:rsidRPr="00C56EDE">
          <w:rPr>
            <w:rStyle w:val="Hipersaitas"/>
            <w:rFonts w:eastAsia="SimSun"/>
            <w:sz w:val="22"/>
            <w:szCs w:val="22"/>
          </w:rPr>
          <w:t>http://www.vvkt.lt</w:t>
        </w:r>
      </w:hyperlink>
      <w:r w:rsidRPr="00C56EDE">
        <w:rPr>
          <w:sz w:val="22"/>
          <w:szCs w:val="22"/>
        </w:rPr>
        <w:t>). Pranešdami apie šalutinį poveikį galite mums padėti gauti daugiau informacijos apie šio vaisto saugumą.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10" w:name="_Toc129243268"/>
      <w:bookmarkStart w:id="11" w:name="_Toc129243143"/>
      <w:r w:rsidRPr="00C56EDE">
        <w:lastRenderedPageBreak/>
        <w:t>5.</w:t>
      </w:r>
      <w:r w:rsidRPr="00C56EDE">
        <w:tab/>
        <w:t>Kaip laikyti</w:t>
      </w:r>
      <w:bookmarkEnd w:id="10"/>
      <w:bookmarkEnd w:id="11"/>
      <w:r w:rsidRPr="00C56EDE">
        <w:t xml:space="preserve"> DIAPREL MR 30 mg</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Laikyti vaikams nepastebimoje ir nepasiekiamoje vietoje.</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Ant dėžutės ir lizdinės plokštelės po „Tinka iki“ nurodytam tinkamumo laikui pasibaigus, šio vaisto vartoti negalima. Vaistas tinkamas vartoti iki paskutinės nurodyto mėnesio dienos.</w:t>
      </w:r>
    </w:p>
    <w:p w:rsidR="0052686C" w:rsidRPr="00C56EDE" w:rsidRDefault="0052686C" w:rsidP="0052686C">
      <w:pPr>
        <w:pStyle w:val="BTEMEASMCA"/>
        <w:rPr>
          <w:rFonts w:ascii="Times New Roman" w:hAnsi="Times New Roman" w:cs="Times New Roman"/>
        </w:rPr>
      </w:pPr>
    </w:p>
    <w:p w:rsidR="0052686C" w:rsidRPr="00C56EDE" w:rsidRDefault="0052686C" w:rsidP="0052686C">
      <w:pPr>
        <w:rPr>
          <w:noProof/>
          <w:sz w:val="22"/>
          <w:szCs w:val="22"/>
        </w:rPr>
      </w:pPr>
      <w:r w:rsidRPr="00C56EDE">
        <w:rPr>
          <w:noProof/>
          <w:sz w:val="22"/>
          <w:szCs w:val="22"/>
        </w:rPr>
        <w:t>Šiam vaistiniam preparatui specialių laikymo sąlygų nereikia.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Vaistų negalima išpilti į kanalizaciją arba išmesti su buitinėmis atliekomis. Kaip tvarkyti nereikalingus vaistus, klauskite vaistininko. Šios priemonės padės apsaugoti aplinką.</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1EMEASMCA"/>
      </w:pPr>
      <w:bookmarkStart w:id="12" w:name="_Toc129243269"/>
      <w:bookmarkStart w:id="13" w:name="_Toc129243144"/>
      <w:r w:rsidRPr="00C56EDE">
        <w:t>6.</w:t>
      </w:r>
      <w:r w:rsidRPr="00C56EDE">
        <w:tab/>
        <w:t>Pakuotės turinys ir kita informacija</w:t>
      </w:r>
      <w:bookmarkEnd w:id="12"/>
      <w:bookmarkEnd w:id="13"/>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DIAPREL MR 30 mg sudėtis</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Veiklioji medžiaga yra gliklazidas. Vienoje modifikuoto atpalaidavimo tabletėje yra 30 mg gliklazido.</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Pagalbinės medžiagos yra kalcio-vandenilio fosfatas dihidratas, maltodekstrinas, hipromeliozė, magnio stearatas, koloidinis bevandenis silicio dioksidas.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DIAPREL MR 30 mg išvaizda ir kiekis pakuotėje</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DIAPREL MR 30 mg yra baltos, pailgos modifikuoto atpalaidavimo tabletės su įspaudais abiejose pusėse: vienoje pusėje – „DIA 30“, kitoje – </w:t>
      </w:r>
      <w:r w:rsidRPr="00C56EDE">
        <w:rPr>
          <w:rFonts w:ascii="Times New Roman" w:hAnsi="Times New Roman" w:cs="Times New Roman"/>
          <w:lang w:eastAsia="lt-LT"/>
        </w:rPr>
        <w:drawing>
          <wp:inline distT="0" distB="0" distL="0" distR="0" wp14:anchorId="27758AFB" wp14:editId="63618C5C">
            <wp:extent cx="276225" cy="152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b="25484"/>
                    <a:stretch>
                      <a:fillRect/>
                    </a:stretch>
                  </pic:blipFill>
                  <pic:spPr bwMode="auto">
                    <a:xfrm>
                      <a:off x="0" y="0"/>
                      <a:ext cx="276225" cy="152400"/>
                    </a:xfrm>
                    <a:prstGeom prst="rect">
                      <a:avLst/>
                    </a:prstGeom>
                    <a:noFill/>
                    <a:ln>
                      <a:noFill/>
                    </a:ln>
                  </pic:spPr>
                </pic:pic>
              </a:graphicData>
            </a:graphic>
          </wp:inline>
        </w:drawing>
      </w:r>
      <w:r w:rsidRPr="00C56EDE">
        <w:rPr>
          <w:rFonts w:ascii="Times New Roman" w:hAnsi="Times New Roman" w:cs="Times New Roman"/>
        </w:rPr>
        <w:t>.</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 xml:space="preserve">Tabletės tiekiamos lizdinėmis plokštelėmis, supakuotomis į kartono dėžutes po 7, 10, 14, 20, 28, 30, 56, 60, 84, 90, 100, </w:t>
      </w:r>
      <w:r>
        <w:rPr>
          <w:rFonts w:ascii="Times New Roman" w:hAnsi="Times New Roman" w:cs="Times New Roman"/>
        </w:rPr>
        <w:t xml:space="preserve">100 (dalomoji pakuotė), </w:t>
      </w:r>
      <w:r w:rsidRPr="00C56EDE">
        <w:rPr>
          <w:rFonts w:ascii="Times New Roman" w:hAnsi="Times New Roman" w:cs="Times New Roman"/>
        </w:rPr>
        <w:t>112, 120, 180 ar 500 tablečių.</w:t>
      </w: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Gali būti tiekiamos ne visų dydžių pakuotės.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PI-3EMEASMCA"/>
      </w:pPr>
      <w:r w:rsidRPr="00C56EDE">
        <w:t>Registruotojas ir gamintojas</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Registruotojas</w:t>
      </w:r>
    </w:p>
    <w:p w:rsidR="0052686C" w:rsidRPr="00C56EDE" w:rsidRDefault="0052686C" w:rsidP="0052686C">
      <w:pPr>
        <w:keepNext/>
        <w:keepLines/>
        <w:rPr>
          <w:sz w:val="22"/>
          <w:szCs w:val="22"/>
        </w:rPr>
      </w:pPr>
      <w:r w:rsidRPr="00C56EDE">
        <w:rPr>
          <w:sz w:val="22"/>
          <w:szCs w:val="22"/>
        </w:rPr>
        <w:t>Les Laboratoires Servier</w:t>
      </w:r>
    </w:p>
    <w:p w:rsidR="0052686C" w:rsidRPr="00C56EDE" w:rsidRDefault="0052686C" w:rsidP="0052686C">
      <w:pPr>
        <w:keepNext/>
        <w:keepLines/>
        <w:rPr>
          <w:sz w:val="22"/>
          <w:szCs w:val="22"/>
          <w:lang w:val="fr-FR"/>
        </w:rPr>
      </w:pPr>
      <w:r w:rsidRPr="00C56EDE">
        <w:rPr>
          <w:sz w:val="22"/>
          <w:szCs w:val="22"/>
          <w:lang w:val="fr-FR"/>
        </w:rPr>
        <w:t xml:space="preserve">50, rue Carnot </w:t>
      </w:r>
    </w:p>
    <w:p w:rsidR="0052686C" w:rsidRPr="00C56EDE" w:rsidRDefault="0052686C" w:rsidP="0052686C">
      <w:pPr>
        <w:keepNext/>
        <w:keepLines/>
        <w:rPr>
          <w:sz w:val="22"/>
          <w:szCs w:val="22"/>
          <w:lang w:val="fr-FR"/>
        </w:rPr>
      </w:pPr>
      <w:r w:rsidRPr="00C56EDE">
        <w:rPr>
          <w:sz w:val="22"/>
          <w:szCs w:val="22"/>
          <w:lang w:val="fr-FR" w:eastAsia="bg-BG"/>
        </w:rPr>
        <w:t xml:space="preserve">92284 Suresnes cedex </w:t>
      </w:r>
    </w:p>
    <w:p w:rsidR="0052686C" w:rsidRPr="00C56EDE" w:rsidRDefault="0052686C" w:rsidP="0052686C">
      <w:pPr>
        <w:keepNext/>
        <w:keepLines/>
        <w:rPr>
          <w:sz w:val="22"/>
          <w:szCs w:val="22"/>
          <w:lang w:val="fr-FR"/>
        </w:rPr>
      </w:pPr>
      <w:r w:rsidRPr="00C56EDE">
        <w:rPr>
          <w:sz w:val="22"/>
          <w:szCs w:val="22"/>
          <w:lang w:val="fr-FR"/>
        </w:rPr>
        <w:t>Prancūzija</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Gamintojas</w:t>
      </w:r>
    </w:p>
    <w:p w:rsidR="0052686C" w:rsidRPr="00C56EDE" w:rsidRDefault="0052686C" w:rsidP="0052686C">
      <w:pPr>
        <w:numPr>
          <w:ilvl w:val="12"/>
          <w:numId w:val="0"/>
        </w:numPr>
        <w:ind w:right="-2"/>
        <w:jc w:val="both"/>
        <w:rPr>
          <w:sz w:val="22"/>
          <w:szCs w:val="22"/>
        </w:rPr>
      </w:pPr>
      <w:r w:rsidRPr="00C56EDE">
        <w:rPr>
          <w:sz w:val="22"/>
          <w:szCs w:val="22"/>
        </w:rPr>
        <w:t>Les Laboratoires Servier Industrie</w:t>
      </w:r>
    </w:p>
    <w:p w:rsidR="0052686C" w:rsidRPr="00C56EDE" w:rsidRDefault="0052686C" w:rsidP="0052686C">
      <w:pPr>
        <w:numPr>
          <w:ilvl w:val="12"/>
          <w:numId w:val="0"/>
        </w:numPr>
        <w:ind w:right="-2"/>
        <w:jc w:val="both"/>
        <w:rPr>
          <w:sz w:val="22"/>
          <w:szCs w:val="22"/>
        </w:rPr>
      </w:pPr>
      <w:r w:rsidRPr="00C56EDE">
        <w:rPr>
          <w:sz w:val="22"/>
          <w:szCs w:val="22"/>
        </w:rPr>
        <w:t>905 route de Saran</w:t>
      </w:r>
    </w:p>
    <w:p w:rsidR="0052686C" w:rsidRPr="00C56EDE" w:rsidRDefault="0052686C" w:rsidP="0052686C">
      <w:pPr>
        <w:numPr>
          <w:ilvl w:val="12"/>
          <w:numId w:val="0"/>
        </w:numPr>
        <w:ind w:right="-2"/>
        <w:jc w:val="both"/>
        <w:rPr>
          <w:sz w:val="22"/>
          <w:szCs w:val="22"/>
        </w:rPr>
      </w:pPr>
      <w:r w:rsidRPr="00C56EDE">
        <w:rPr>
          <w:sz w:val="22"/>
          <w:szCs w:val="22"/>
        </w:rPr>
        <w:t>45520 Gidy</w:t>
      </w:r>
    </w:p>
    <w:p w:rsidR="0052686C" w:rsidRPr="00C56EDE" w:rsidRDefault="0052686C" w:rsidP="0052686C">
      <w:pPr>
        <w:numPr>
          <w:ilvl w:val="12"/>
          <w:numId w:val="0"/>
        </w:numPr>
        <w:ind w:right="-2"/>
        <w:jc w:val="both"/>
        <w:rPr>
          <w:sz w:val="22"/>
          <w:szCs w:val="22"/>
        </w:rPr>
      </w:pPr>
      <w:r w:rsidRPr="00C56EDE">
        <w:rPr>
          <w:sz w:val="22"/>
          <w:szCs w:val="22"/>
        </w:rPr>
        <w:t>Prancūzija</w:t>
      </w:r>
    </w:p>
    <w:p w:rsidR="0052686C" w:rsidRPr="00C56EDE" w:rsidRDefault="0052686C" w:rsidP="0052686C">
      <w:pPr>
        <w:numPr>
          <w:ilvl w:val="12"/>
          <w:numId w:val="0"/>
        </w:numPr>
        <w:ind w:right="-2"/>
        <w:jc w:val="both"/>
        <w:rPr>
          <w:sz w:val="22"/>
          <w:szCs w:val="22"/>
        </w:rPr>
      </w:pPr>
    </w:p>
    <w:p w:rsidR="0052686C" w:rsidRPr="00C56EDE" w:rsidRDefault="0052686C" w:rsidP="0052686C">
      <w:pPr>
        <w:numPr>
          <w:ilvl w:val="12"/>
          <w:numId w:val="0"/>
        </w:numPr>
        <w:ind w:right="-2"/>
        <w:jc w:val="both"/>
        <w:rPr>
          <w:sz w:val="22"/>
          <w:szCs w:val="22"/>
        </w:rPr>
      </w:pPr>
      <w:r w:rsidRPr="00C56EDE">
        <w:rPr>
          <w:sz w:val="22"/>
          <w:szCs w:val="22"/>
        </w:rPr>
        <w:t>arba</w:t>
      </w:r>
    </w:p>
    <w:p w:rsidR="0052686C" w:rsidRPr="00C56EDE" w:rsidRDefault="0052686C" w:rsidP="0052686C">
      <w:pPr>
        <w:pStyle w:val="EMEAEnBodyText"/>
        <w:tabs>
          <w:tab w:val="left" w:pos="567"/>
        </w:tabs>
        <w:spacing w:before="0" w:after="0" w:line="260" w:lineRule="exact"/>
        <w:rPr>
          <w:szCs w:val="22"/>
          <w:lang w:val="lt-LT"/>
        </w:rPr>
      </w:pPr>
    </w:p>
    <w:p w:rsidR="0052686C" w:rsidRPr="00C56EDE" w:rsidRDefault="0052686C" w:rsidP="0052686C">
      <w:pPr>
        <w:pStyle w:val="EMEAEnBodyText"/>
        <w:tabs>
          <w:tab w:val="left" w:pos="567"/>
        </w:tabs>
        <w:spacing w:before="0" w:after="0" w:line="260" w:lineRule="exact"/>
        <w:rPr>
          <w:szCs w:val="22"/>
          <w:lang w:val="lt-LT"/>
        </w:rPr>
      </w:pPr>
      <w:r w:rsidRPr="00C56EDE">
        <w:rPr>
          <w:szCs w:val="22"/>
          <w:lang w:val="lt-LT"/>
        </w:rPr>
        <w:t>Servier Industries Limited</w:t>
      </w:r>
    </w:p>
    <w:p w:rsidR="0052686C" w:rsidRPr="00C56EDE" w:rsidRDefault="0052686C" w:rsidP="0052686C">
      <w:pPr>
        <w:jc w:val="both"/>
        <w:rPr>
          <w:sz w:val="22"/>
          <w:szCs w:val="22"/>
        </w:rPr>
      </w:pPr>
      <w:r w:rsidRPr="00C56EDE">
        <w:rPr>
          <w:sz w:val="22"/>
          <w:szCs w:val="22"/>
        </w:rPr>
        <w:t xml:space="preserve">Gorey Road </w:t>
      </w:r>
    </w:p>
    <w:p w:rsidR="0052686C" w:rsidRPr="00C56EDE" w:rsidRDefault="0052686C" w:rsidP="0052686C">
      <w:pPr>
        <w:jc w:val="both"/>
        <w:rPr>
          <w:sz w:val="22"/>
          <w:szCs w:val="22"/>
        </w:rPr>
      </w:pPr>
      <w:r w:rsidRPr="00C56EDE">
        <w:rPr>
          <w:sz w:val="22"/>
          <w:szCs w:val="22"/>
        </w:rPr>
        <w:t>Arklow - Co. Wicklow</w:t>
      </w:r>
    </w:p>
    <w:p w:rsidR="0052686C" w:rsidRPr="00C56EDE" w:rsidRDefault="0052686C" w:rsidP="0052686C">
      <w:pPr>
        <w:jc w:val="both"/>
        <w:rPr>
          <w:sz w:val="22"/>
          <w:szCs w:val="22"/>
        </w:rPr>
      </w:pPr>
      <w:r w:rsidRPr="00C56EDE">
        <w:rPr>
          <w:sz w:val="22"/>
          <w:szCs w:val="22"/>
        </w:rPr>
        <w:t>Airija</w:t>
      </w:r>
    </w:p>
    <w:p w:rsidR="0052686C" w:rsidRPr="00C56EDE" w:rsidRDefault="0052686C" w:rsidP="0052686C">
      <w:pPr>
        <w:jc w:val="both"/>
        <w:rPr>
          <w:sz w:val="22"/>
          <w:szCs w:val="22"/>
        </w:rPr>
      </w:pPr>
    </w:p>
    <w:p w:rsidR="0052686C" w:rsidRPr="00C56EDE" w:rsidRDefault="0052686C" w:rsidP="0052686C">
      <w:pPr>
        <w:tabs>
          <w:tab w:val="left" w:pos="473"/>
        </w:tabs>
        <w:ind w:left="473" w:hanging="473"/>
        <w:rPr>
          <w:sz w:val="22"/>
          <w:szCs w:val="22"/>
        </w:rPr>
      </w:pPr>
      <w:r w:rsidRPr="00C56EDE">
        <w:rPr>
          <w:sz w:val="22"/>
          <w:szCs w:val="22"/>
        </w:rPr>
        <w:t>arba</w:t>
      </w:r>
    </w:p>
    <w:p w:rsidR="0052686C" w:rsidRPr="00C56EDE" w:rsidRDefault="0052686C" w:rsidP="0052686C">
      <w:pPr>
        <w:tabs>
          <w:tab w:val="left" w:pos="473"/>
        </w:tabs>
        <w:ind w:left="473" w:hanging="473"/>
        <w:rPr>
          <w:b/>
          <w:bCs/>
          <w:sz w:val="22"/>
          <w:szCs w:val="22"/>
        </w:rPr>
      </w:pPr>
    </w:p>
    <w:p w:rsidR="0052686C" w:rsidRPr="00C56EDE" w:rsidRDefault="0052686C" w:rsidP="0052686C">
      <w:pPr>
        <w:tabs>
          <w:tab w:val="left" w:pos="2700"/>
        </w:tabs>
        <w:ind w:left="709" w:hanging="709"/>
        <w:jc w:val="both"/>
        <w:rPr>
          <w:sz w:val="22"/>
          <w:szCs w:val="22"/>
        </w:rPr>
      </w:pPr>
      <w:r w:rsidRPr="00C56EDE">
        <w:rPr>
          <w:sz w:val="22"/>
          <w:szCs w:val="22"/>
        </w:rPr>
        <w:t xml:space="preserve">ANPHARM Przedsiebiorstwo Farmaceutyczne S.A. </w:t>
      </w:r>
    </w:p>
    <w:p w:rsidR="0052686C" w:rsidRPr="00C56EDE" w:rsidRDefault="0052686C" w:rsidP="0052686C">
      <w:pPr>
        <w:numPr>
          <w:ilvl w:val="12"/>
          <w:numId w:val="0"/>
        </w:numPr>
        <w:ind w:right="-2"/>
        <w:jc w:val="both"/>
        <w:rPr>
          <w:sz w:val="22"/>
          <w:szCs w:val="22"/>
        </w:rPr>
      </w:pPr>
      <w:r w:rsidRPr="00C56EDE">
        <w:rPr>
          <w:sz w:val="22"/>
          <w:szCs w:val="22"/>
        </w:rPr>
        <w:t>03-236 Warszawa</w:t>
      </w:r>
    </w:p>
    <w:p w:rsidR="0052686C" w:rsidRPr="00C56EDE" w:rsidRDefault="0052686C" w:rsidP="0052686C">
      <w:pPr>
        <w:numPr>
          <w:ilvl w:val="12"/>
          <w:numId w:val="0"/>
        </w:numPr>
        <w:ind w:right="-2"/>
        <w:jc w:val="both"/>
        <w:rPr>
          <w:sz w:val="22"/>
          <w:szCs w:val="22"/>
        </w:rPr>
      </w:pPr>
      <w:r w:rsidRPr="00C56EDE">
        <w:rPr>
          <w:sz w:val="22"/>
          <w:szCs w:val="22"/>
        </w:rPr>
        <w:t>ul. Annopol 6B</w:t>
      </w:r>
    </w:p>
    <w:p w:rsidR="0052686C" w:rsidRPr="00C56EDE" w:rsidRDefault="0052686C" w:rsidP="0052686C">
      <w:pPr>
        <w:numPr>
          <w:ilvl w:val="12"/>
          <w:numId w:val="0"/>
        </w:numPr>
        <w:ind w:right="-2"/>
        <w:jc w:val="both"/>
        <w:rPr>
          <w:sz w:val="22"/>
          <w:szCs w:val="22"/>
        </w:rPr>
      </w:pPr>
      <w:r w:rsidRPr="00C56EDE">
        <w:rPr>
          <w:sz w:val="22"/>
          <w:szCs w:val="22"/>
        </w:rPr>
        <w:t>Lenkija</w:t>
      </w:r>
    </w:p>
    <w:p w:rsidR="0052686C" w:rsidRPr="00DE6131" w:rsidRDefault="0052686C" w:rsidP="0052686C">
      <w:pPr>
        <w:pStyle w:val="BTEMEASMCA"/>
        <w:rPr>
          <w:rFonts w:ascii="Times New Roman" w:hAnsi="Times New Roman" w:cs="Times New Roman"/>
        </w:rPr>
      </w:pPr>
    </w:p>
    <w:p w:rsidR="0052686C" w:rsidRPr="00C56EDE" w:rsidRDefault="0052686C" w:rsidP="0052686C">
      <w:pPr>
        <w:rPr>
          <w:sz w:val="22"/>
          <w:szCs w:val="22"/>
        </w:rPr>
      </w:pPr>
      <w:r w:rsidRPr="00C56EDE">
        <w:rPr>
          <w:sz w:val="22"/>
          <w:szCs w:val="22"/>
        </w:rPr>
        <w:t>Jeigu apie šį vaistą norite sužinoti daugiau, kreipkitės į vietinį registruotojo atstovą.</w:t>
      </w:r>
    </w:p>
    <w:p w:rsidR="0052686C" w:rsidRPr="00C56EDE" w:rsidRDefault="0052686C" w:rsidP="0052686C">
      <w:pPr>
        <w:numPr>
          <w:ilvl w:val="12"/>
          <w:numId w:val="0"/>
        </w:numPr>
        <w:ind w:right="-2"/>
        <w:rPr>
          <w:sz w:val="22"/>
          <w:szCs w:val="22"/>
        </w:rPr>
      </w:pPr>
    </w:p>
    <w:p w:rsidR="0052686C" w:rsidRPr="00C56EDE" w:rsidRDefault="0052686C" w:rsidP="0052686C">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UAB “SERVIER PHARMA”</w:t>
      </w:r>
    </w:p>
    <w:p w:rsidR="0052686C" w:rsidRPr="00C56EDE" w:rsidRDefault="0052686C" w:rsidP="0052686C">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lastRenderedPageBreak/>
        <w:t>Konstitucijos pr. 7</w:t>
      </w:r>
    </w:p>
    <w:p w:rsidR="0052686C" w:rsidRPr="00C56EDE" w:rsidRDefault="0052686C" w:rsidP="0052686C">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LT-09308 Vilnius</w:t>
      </w:r>
    </w:p>
    <w:p w:rsidR="0052686C" w:rsidRPr="00C56EDE" w:rsidRDefault="0052686C" w:rsidP="0052686C">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 xml:space="preserve">Tel. </w:t>
      </w:r>
      <w:r w:rsidRPr="00C56EDE">
        <w:rPr>
          <w:rFonts w:ascii="Times New Roman" w:hAnsi="Times New Roman"/>
          <w:b w:val="0"/>
          <w:color w:val="auto"/>
          <w:szCs w:val="22"/>
          <w:lang w:val="lt-LT"/>
        </w:rPr>
        <w:sym w:font="Symbol" w:char="002B"/>
      </w:r>
      <w:r w:rsidRPr="00C56EDE">
        <w:rPr>
          <w:rFonts w:ascii="Times New Roman" w:hAnsi="Times New Roman"/>
          <w:b w:val="0"/>
          <w:color w:val="auto"/>
          <w:szCs w:val="22"/>
          <w:lang w:val="lt-LT"/>
        </w:rPr>
        <w:t xml:space="preserve">370 (5) 2 63 86 28 </w:t>
      </w: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r w:rsidRPr="00C56EDE">
        <w:rPr>
          <w:rFonts w:ascii="Times New Roman" w:hAnsi="Times New Roman" w:cs="Times New Roman"/>
        </w:rPr>
        <w:t>Šis vaistas EEE valstybėse narėse registruotas tokiais pavadinimais:</w:t>
      </w:r>
    </w:p>
    <w:tbl>
      <w:tblPr>
        <w:tblW w:w="7725" w:type="dxa"/>
        <w:tblInd w:w="567" w:type="dxa"/>
        <w:tblCellMar>
          <w:left w:w="70" w:type="dxa"/>
          <w:right w:w="70" w:type="dxa"/>
        </w:tblCellMar>
        <w:tblLook w:val="0000" w:firstRow="0" w:lastRow="0" w:firstColumn="0" w:lastColumn="0" w:noHBand="0" w:noVBand="0"/>
      </w:tblPr>
      <w:tblGrid>
        <w:gridCol w:w="2197"/>
        <w:gridCol w:w="5528"/>
      </w:tblGrid>
      <w:tr w:rsidR="0052686C" w:rsidRPr="00C56EDE" w:rsidTr="001F399B">
        <w:tc>
          <w:tcPr>
            <w:tcW w:w="2197" w:type="dxa"/>
          </w:tcPr>
          <w:p w:rsidR="0052686C" w:rsidRPr="00C56EDE" w:rsidRDefault="0052686C" w:rsidP="001F399B">
            <w:pPr>
              <w:jc w:val="both"/>
              <w:rPr>
                <w:sz w:val="22"/>
                <w:szCs w:val="22"/>
              </w:rPr>
            </w:pPr>
            <w:r w:rsidRPr="00C56EDE">
              <w:rPr>
                <w:noProof/>
                <w:sz w:val="22"/>
                <w:szCs w:val="22"/>
              </w:rPr>
              <w:t>Austrija</w:t>
            </w:r>
          </w:p>
        </w:tc>
        <w:tc>
          <w:tcPr>
            <w:tcW w:w="5528" w:type="dxa"/>
          </w:tcPr>
          <w:p w:rsidR="0052686C" w:rsidRPr="00C56EDE" w:rsidRDefault="0052686C" w:rsidP="001F399B">
            <w:pPr>
              <w:jc w:val="both"/>
              <w:rPr>
                <w:sz w:val="22"/>
                <w:szCs w:val="22"/>
              </w:rPr>
            </w:pPr>
            <w:r w:rsidRPr="00C56EDE">
              <w:rPr>
                <w:sz w:val="22"/>
                <w:szCs w:val="22"/>
              </w:rPr>
              <w:t>DIAMICRON® MR 30 mg</w:t>
            </w:r>
          </w:p>
        </w:tc>
      </w:tr>
      <w:tr w:rsidR="0052686C" w:rsidRPr="00C56EDE" w:rsidTr="001F399B">
        <w:tc>
          <w:tcPr>
            <w:tcW w:w="2197" w:type="dxa"/>
          </w:tcPr>
          <w:p w:rsidR="0052686C" w:rsidRPr="00C56EDE" w:rsidRDefault="0052686C" w:rsidP="001F399B">
            <w:pPr>
              <w:jc w:val="both"/>
              <w:rPr>
                <w:sz w:val="22"/>
                <w:szCs w:val="22"/>
              </w:rPr>
            </w:pPr>
            <w:r w:rsidRPr="00C56EDE">
              <w:rPr>
                <w:noProof/>
                <w:sz w:val="22"/>
                <w:szCs w:val="22"/>
              </w:rPr>
              <w:t>Belgija</w:t>
            </w:r>
          </w:p>
        </w:tc>
        <w:tc>
          <w:tcPr>
            <w:tcW w:w="5528" w:type="dxa"/>
          </w:tcPr>
          <w:p w:rsidR="0052686C" w:rsidRPr="00C56EDE" w:rsidRDefault="0052686C" w:rsidP="001F399B">
            <w:pPr>
              <w:jc w:val="both"/>
              <w:rPr>
                <w:sz w:val="22"/>
                <w:szCs w:val="22"/>
              </w:rPr>
            </w:pPr>
            <w:r w:rsidRPr="00C56EDE">
              <w:rPr>
                <w:sz w:val="22"/>
                <w:szCs w:val="22"/>
              </w:rPr>
              <w:t>UNI DIAMICRON®</w:t>
            </w:r>
          </w:p>
        </w:tc>
      </w:tr>
      <w:tr w:rsidR="0052686C" w:rsidRPr="00C56EDE" w:rsidTr="001F399B">
        <w:tc>
          <w:tcPr>
            <w:tcW w:w="2197" w:type="dxa"/>
          </w:tcPr>
          <w:p w:rsidR="0052686C" w:rsidRPr="00C56EDE" w:rsidRDefault="0052686C" w:rsidP="001F399B">
            <w:pPr>
              <w:jc w:val="both"/>
              <w:rPr>
                <w:sz w:val="22"/>
                <w:szCs w:val="22"/>
              </w:rPr>
            </w:pPr>
            <w:r w:rsidRPr="00C56EDE">
              <w:rPr>
                <w:noProof/>
                <w:sz w:val="22"/>
                <w:szCs w:val="22"/>
              </w:rPr>
              <w:t>Kipras</w:t>
            </w:r>
          </w:p>
        </w:tc>
        <w:tc>
          <w:tcPr>
            <w:tcW w:w="5528" w:type="dxa"/>
          </w:tcPr>
          <w:p w:rsidR="0052686C" w:rsidRPr="00C56EDE" w:rsidRDefault="0052686C" w:rsidP="001F399B">
            <w:pPr>
              <w:jc w:val="both"/>
              <w:rPr>
                <w:sz w:val="22"/>
                <w:szCs w:val="22"/>
              </w:rPr>
            </w:pPr>
            <w:r w:rsidRPr="00C56EDE">
              <w:rPr>
                <w:sz w:val="22"/>
                <w:szCs w:val="22"/>
              </w:rPr>
              <w:t>DIAMICRON® MR 30 mg</w:t>
            </w:r>
          </w:p>
        </w:tc>
      </w:tr>
      <w:tr w:rsidR="0052686C" w:rsidRPr="00C56EDE" w:rsidTr="001F399B">
        <w:tc>
          <w:tcPr>
            <w:tcW w:w="2197" w:type="dxa"/>
          </w:tcPr>
          <w:p w:rsidR="0052686C" w:rsidRPr="00C56EDE" w:rsidRDefault="0052686C" w:rsidP="001F399B">
            <w:pPr>
              <w:jc w:val="both"/>
              <w:rPr>
                <w:sz w:val="22"/>
                <w:szCs w:val="22"/>
              </w:rPr>
            </w:pPr>
            <w:r w:rsidRPr="00C56EDE">
              <w:rPr>
                <w:noProof/>
                <w:sz w:val="22"/>
                <w:szCs w:val="22"/>
              </w:rPr>
              <w:t>Čekija</w:t>
            </w:r>
          </w:p>
        </w:tc>
        <w:tc>
          <w:tcPr>
            <w:tcW w:w="5528" w:type="dxa"/>
          </w:tcPr>
          <w:p w:rsidR="0052686C" w:rsidRPr="00C56EDE" w:rsidRDefault="0052686C" w:rsidP="001F399B">
            <w:pPr>
              <w:jc w:val="both"/>
              <w:rPr>
                <w:sz w:val="22"/>
                <w:szCs w:val="22"/>
              </w:rPr>
            </w:pPr>
            <w:r w:rsidRPr="00C56EDE">
              <w:rPr>
                <w:sz w:val="22"/>
                <w:szCs w:val="22"/>
              </w:rPr>
              <w:t>DIAPREL® MR</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Danija</w:t>
            </w:r>
          </w:p>
        </w:tc>
        <w:tc>
          <w:tcPr>
            <w:tcW w:w="5528" w:type="dxa"/>
          </w:tcPr>
          <w:p w:rsidR="0052686C" w:rsidRPr="00C56EDE" w:rsidRDefault="0052686C" w:rsidP="001F399B">
            <w:pPr>
              <w:jc w:val="both"/>
              <w:rPr>
                <w:sz w:val="22"/>
                <w:szCs w:val="22"/>
              </w:rPr>
            </w:pPr>
            <w:r w:rsidRPr="00C56EDE">
              <w:rPr>
                <w:sz w:val="22"/>
                <w:szCs w:val="22"/>
              </w:rPr>
              <w:t>DIAMICRON UNO®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 xml:space="preserve">Estija </w:t>
            </w:r>
          </w:p>
        </w:tc>
        <w:tc>
          <w:tcPr>
            <w:tcW w:w="5528" w:type="dxa"/>
          </w:tcPr>
          <w:p w:rsidR="0052686C" w:rsidRPr="00C56EDE" w:rsidRDefault="0052686C" w:rsidP="001F399B">
            <w:pPr>
              <w:jc w:val="both"/>
              <w:rPr>
                <w:sz w:val="22"/>
                <w:szCs w:val="22"/>
              </w:rPr>
            </w:pPr>
            <w:r w:rsidRPr="00C56EDE">
              <w:rPr>
                <w:sz w:val="22"/>
                <w:szCs w:val="22"/>
              </w:rPr>
              <w:t>DIAPREL® MR</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Prancūzija</w:t>
            </w:r>
          </w:p>
        </w:tc>
        <w:tc>
          <w:tcPr>
            <w:tcW w:w="5528" w:type="dxa"/>
          </w:tcPr>
          <w:p w:rsidR="0052686C" w:rsidRPr="00C56EDE" w:rsidRDefault="0052686C" w:rsidP="001F399B">
            <w:pPr>
              <w:jc w:val="both"/>
              <w:rPr>
                <w:sz w:val="22"/>
                <w:szCs w:val="22"/>
              </w:rPr>
            </w:pPr>
            <w:r w:rsidRPr="00C56EDE">
              <w:rPr>
                <w:sz w:val="22"/>
                <w:szCs w:val="22"/>
              </w:rPr>
              <w:t>DIAMICRON®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Graikija</w:t>
            </w:r>
          </w:p>
          <w:p w:rsidR="0052686C" w:rsidRPr="00C56EDE" w:rsidRDefault="0052686C" w:rsidP="001F399B">
            <w:pPr>
              <w:jc w:val="both"/>
              <w:rPr>
                <w:sz w:val="22"/>
                <w:szCs w:val="22"/>
              </w:rPr>
            </w:pPr>
            <w:r w:rsidRPr="00C56EDE">
              <w:rPr>
                <w:sz w:val="22"/>
                <w:szCs w:val="22"/>
              </w:rPr>
              <w:t>Vengrija</w:t>
            </w:r>
          </w:p>
        </w:tc>
        <w:tc>
          <w:tcPr>
            <w:tcW w:w="5528" w:type="dxa"/>
          </w:tcPr>
          <w:p w:rsidR="0052686C" w:rsidRPr="00C56EDE" w:rsidRDefault="0052686C" w:rsidP="001F399B">
            <w:pPr>
              <w:jc w:val="both"/>
              <w:rPr>
                <w:sz w:val="22"/>
                <w:szCs w:val="22"/>
              </w:rPr>
            </w:pPr>
            <w:r w:rsidRPr="00C56EDE">
              <w:rPr>
                <w:sz w:val="22"/>
                <w:szCs w:val="22"/>
              </w:rPr>
              <w:t>DIAMICRON® MR</w:t>
            </w:r>
          </w:p>
          <w:p w:rsidR="0052686C" w:rsidRPr="00C56EDE" w:rsidRDefault="0052686C" w:rsidP="001F399B">
            <w:pPr>
              <w:jc w:val="both"/>
              <w:rPr>
                <w:sz w:val="22"/>
                <w:szCs w:val="22"/>
              </w:rPr>
            </w:pPr>
            <w:r w:rsidRPr="00C56EDE">
              <w:rPr>
                <w:sz w:val="22"/>
                <w:szCs w:val="22"/>
              </w:rPr>
              <w:t>DIAPREL® MR</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Islandija</w:t>
            </w:r>
          </w:p>
        </w:tc>
        <w:tc>
          <w:tcPr>
            <w:tcW w:w="5528" w:type="dxa"/>
          </w:tcPr>
          <w:p w:rsidR="0052686C" w:rsidRPr="00C56EDE" w:rsidRDefault="0052686C" w:rsidP="001F399B">
            <w:pPr>
              <w:jc w:val="both"/>
              <w:rPr>
                <w:sz w:val="22"/>
                <w:szCs w:val="22"/>
              </w:rPr>
            </w:pPr>
            <w:r w:rsidRPr="00C56EDE">
              <w:rPr>
                <w:sz w:val="22"/>
                <w:szCs w:val="22"/>
              </w:rPr>
              <w:t>DIAMICRON UNO®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Airija</w:t>
            </w:r>
          </w:p>
        </w:tc>
        <w:tc>
          <w:tcPr>
            <w:tcW w:w="5528" w:type="dxa"/>
          </w:tcPr>
          <w:p w:rsidR="0052686C" w:rsidRPr="00C56EDE" w:rsidRDefault="0052686C" w:rsidP="001F399B">
            <w:pPr>
              <w:jc w:val="both"/>
              <w:rPr>
                <w:sz w:val="22"/>
                <w:szCs w:val="22"/>
              </w:rPr>
            </w:pPr>
            <w:r w:rsidRPr="00C56EDE">
              <w:rPr>
                <w:sz w:val="22"/>
                <w:szCs w:val="22"/>
              </w:rPr>
              <w:t>DIAMICRON MR®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Italija</w:t>
            </w:r>
          </w:p>
        </w:tc>
        <w:tc>
          <w:tcPr>
            <w:tcW w:w="5528" w:type="dxa"/>
          </w:tcPr>
          <w:p w:rsidR="0052686C" w:rsidRPr="00C56EDE" w:rsidRDefault="0052686C" w:rsidP="001F399B">
            <w:pPr>
              <w:jc w:val="both"/>
              <w:rPr>
                <w:sz w:val="22"/>
                <w:szCs w:val="22"/>
              </w:rPr>
            </w:pPr>
            <w:r w:rsidRPr="00C56EDE">
              <w:rPr>
                <w:sz w:val="22"/>
                <w:szCs w:val="22"/>
              </w:rPr>
              <w:t xml:space="preserve">DIAMICRON® 30 mg </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Lietuva</w:t>
            </w:r>
          </w:p>
        </w:tc>
        <w:tc>
          <w:tcPr>
            <w:tcW w:w="5528" w:type="dxa"/>
          </w:tcPr>
          <w:p w:rsidR="0052686C" w:rsidRPr="00C56EDE" w:rsidRDefault="0052686C" w:rsidP="001F399B">
            <w:pPr>
              <w:jc w:val="both"/>
              <w:rPr>
                <w:sz w:val="22"/>
                <w:szCs w:val="22"/>
              </w:rPr>
            </w:pPr>
            <w:r w:rsidRPr="00C56EDE">
              <w:rPr>
                <w:sz w:val="22"/>
                <w:szCs w:val="22"/>
              </w:rPr>
              <w:t>DIAPREL® MR modifikuoto atpalaidavimo tabletės</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Liuksemburgas</w:t>
            </w:r>
          </w:p>
        </w:tc>
        <w:tc>
          <w:tcPr>
            <w:tcW w:w="5528" w:type="dxa"/>
          </w:tcPr>
          <w:p w:rsidR="0052686C" w:rsidRPr="00C56EDE" w:rsidRDefault="0052686C" w:rsidP="001F399B">
            <w:pPr>
              <w:jc w:val="both"/>
              <w:rPr>
                <w:sz w:val="22"/>
                <w:szCs w:val="22"/>
              </w:rPr>
            </w:pPr>
            <w:r w:rsidRPr="00C56EDE">
              <w:rPr>
                <w:sz w:val="22"/>
                <w:szCs w:val="22"/>
              </w:rPr>
              <w:t xml:space="preserve">DIAMICRON® 30 mg </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Olandija</w:t>
            </w:r>
          </w:p>
        </w:tc>
        <w:tc>
          <w:tcPr>
            <w:tcW w:w="5528" w:type="dxa"/>
          </w:tcPr>
          <w:p w:rsidR="0052686C" w:rsidRPr="00C56EDE" w:rsidRDefault="0052686C" w:rsidP="001F399B">
            <w:pPr>
              <w:jc w:val="both"/>
              <w:rPr>
                <w:sz w:val="22"/>
                <w:szCs w:val="22"/>
              </w:rPr>
            </w:pPr>
            <w:r w:rsidRPr="00C56EDE">
              <w:rPr>
                <w:sz w:val="22"/>
                <w:szCs w:val="22"/>
              </w:rPr>
              <w:t xml:space="preserve">DIAMICRON® MR </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Lenkija</w:t>
            </w:r>
          </w:p>
        </w:tc>
        <w:tc>
          <w:tcPr>
            <w:tcW w:w="5528" w:type="dxa"/>
          </w:tcPr>
          <w:p w:rsidR="0052686C" w:rsidRPr="00DE6131" w:rsidRDefault="0052686C" w:rsidP="001F399B">
            <w:pPr>
              <w:jc w:val="both"/>
              <w:rPr>
                <w:b/>
                <w:sz w:val="22"/>
                <w:szCs w:val="22"/>
              </w:rPr>
            </w:pPr>
            <w:r w:rsidRPr="00C56EDE">
              <w:rPr>
                <w:rStyle w:val="Grietas"/>
                <w:sz w:val="22"/>
                <w:szCs w:val="22"/>
              </w:rPr>
              <w:t>DIAMICRON</w:t>
            </w:r>
            <w:r w:rsidRPr="00DE6131">
              <w:rPr>
                <w:b/>
                <w:sz w:val="22"/>
                <w:szCs w:val="22"/>
              </w:rPr>
              <w:t>®</w:t>
            </w:r>
            <w:r w:rsidRPr="00DE6131">
              <w:rPr>
                <w:rStyle w:val="Grietas"/>
                <w:sz w:val="22"/>
                <w:szCs w:val="22"/>
              </w:rPr>
              <w:t xml:space="preserve">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Portugalija</w:t>
            </w:r>
          </w:p>
        </w:tc>
        <w:tc>
          <w:tcPr>
            <w:tcW w:w="5528" w:type="dxa"/>
          </w:tcPr>
          <w:p w:rsidR="0052686C" w:rsidRPr="00C56EDE" w:rsidRDefault="0052686C" w:rsidP="001F399B">
            <w:pPr>
              <w:jc w:val="both"/>
              <w:rPr>
                <w:sz w:val="22"/>
                <w:szCs w:val="22"/>
              </w:rPr>
            </w:pPr>
            <w:r w:rsidRPr="00C56EDE">
              <w:rPr>
                <w:sz w:val="22"/>
                <w:szCs w:val="22"/>
              </w:rPr>
              <w:t xml:space="preserve">DIAMICRON® LM 30 mg </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 xml:space="preserve">Slovakija </w:t>
            </w:r>
          </w:p>
        </w:tc>
        <w:tc>
          <w:tcPr>
            <w:tcW w:w="5528" w:type="dxa"/>
          </w:tcPr>
          <w:p w:rsidR="0052686C" w:rsidRPr="00C56EDE" w:rsidRDefault="0052686C" w:rsidP="001F399B">
            <w:pPr>
              <w:jc w:val="both"/>
              <w:rPr>
                <w:sz w:val="22"/>
                <w:szCs w:val="22"/>
              </w:rPr>
            </w:pPr>
            <w:r w:rsidRPr="00C56EDE">
              <w:rPr>
                <w:sz w:val="22"/>
                <w:szCs w:val="22"/>
              </w:rPr>
              <w:t>DIAPREL® MR</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 xml:space="preserve">Slovėnija </w:t>
            </w:r>
          </w:p>
        </w:tc>
        <w:tc>
          <w:tcPr>
            <w:tcW w:w="5528" w:type="dxa"/>
          </w:tcPr>
          <w:p w:rsidR="0052686C" w:rsidRPr="00C56EDE" w:rsidRDefault="0052686C" w:rsidP="001F399B">
            <w:pPr>
              <w:jc w:val="both"/>
              <w:rPr>
                <w:sz w:val="22"/>
                <w:szCs w:val="22"/>
              </w:rPr>
            </w:pPr>
            <w:r w:rsidRPr="00C56EDE">
              <w:rPr>
                <w:sz w:val="22"/>
                <w:szCs w:val="22"/>
              </w:rPr>
              <w:t>DIAPREL® MR</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Ispanija</w:t>
            </w:r>
          </w:p>
        </w:tc>
        <w:tc>
          <w:tcPr>
            <w:tcW w:w="5528" w:type="dxa"/>
          </w:tcPr>
          <w:p w:rsidR="0052686C" w:rsidRPr="00C56EDE" w:rsidRDefault="0052686C" w:rsidP="001F399B">
            <w:pPr>
              <w:jc w:val="both"/>
              <w:rPr>
                <w:sz w:val="22"/>
                <w:szCs w:val="22"/>
              </w:rPr>
            </w:pPr>
            <w:r w:rsidRPr="00C56EDE">
              <w:rPr>
                <w:sz w:val="22"/>
                <w:szCs w:val="22"/>
              </w:rPr>
              <w:t>DIAMICRON 30 mg</w:t>
            </w:r>
          </w:p>
        </w:tc>
      </w:tr>
      <w:tr w:rsidR="0052686C" w:rsidRPr="00C56EDE" w:rsidTr="001F399B">
        <w:tc>
          <w:tcPr>
            <w:tcW w:w="2197" w:type="dxa"/>
          </w:tcPr>
          <w:p w:rsidR="0052686C" w:rsidRPr="00C56EDE" w:rsidRDefault="0052686C" w:rsidP="001F399B">
            <w:pPr>
              <w:jc w:val="both"/>
              <w:rPr>
                <w:sz w:val="22"/>
                <w:szCs w:val="22"/>
              </w:rPr>
            </w:pPr>
            <w:r w:rsidRPr="00C56EDE">
              <w:rPr>
                <w:sz w:val="22"/>
                <w:szCs w:val="22"/>
              </w:rPr>
              <w:t>Jungtinė Karalystė</w:t>
            </w:r>
          </w:p>
        </w:tc>
        <w:tc>
          <w:tcPr>
            <w:tcW w:w="5528" w:type="dxa"/>
          </w:tcPr>
          <w:p w:rsidR="0052686C" w:rsidRPr="00C56EDE" w:rsidRDefault="0052686C" w:rsidP="001F399B">
            <w:pPr>
              <w:jc w:val="both"/>
              <w:rPr>
                <w:sz w:val="22"/>
                <w:szCs w:val="22"/>
              </w:rPr>
            </w:pPr>
            <w:r w:rsidRPr="00C56EDE">
              <w:rPr>
                <w:sz w:val="22"/>
                <w:szCs w:val="22"/>
              </w:rPr>
              <w:t xml:space="preserve">DIAMICRON® 30 mg MR </w:t>
            </w:r>
          </w:p>
        </w:tc>
      </w:tr>
    </w:tbl>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EMEASMCA"/>
        <w:rPr>
          <w:rFonts w:ascii="Times New Roman" w:hAnsi="Times New Roman" w:cs="Times New Roman"/>
        </w:rPr>
      </w:pPr>
    </w:p>
    <w:p w:rsidR="0052686C" w:rsidRPr="00C56EDE" w:rsidRDefault="0052686C" w:rsidP="0052686C">
      <w:pPr>
        <w:pStyle w:val="BTbEMEASMCA"/>
        <w:rPr>
          <w:rFonts w:ascii="Times New Roman" w:hAnsi="Times New Roman" w:cs="Times New Roman"/>
        </w:rPr>
      </w:pPr>
      <w:r w:rsidRPr="00C56EDE">
        <w:rPr>
          <w:rFonts w:ascii="Times New Roman" w:hAnsi="Times New Roman" w:cs="Times New Roman"/>
        </w:rPr>
        <w:t>Šis pakuotės lapelis paskutinį kartą peržiūrėtas</w:t>
      </w:r>
      <w:r>
        <w:rPr>
          <w:rFonts w:ascii="Times New Roman" w:hAnsi="Times New Roman" w:cs="Times New Roman"/>
        </w:rPr>
        <w:t xml:space="preserve"> 2020-03-23.</w:t>
      </w:r>
    </w:p>
    <w:p w:rsidR="0052686C" w:rsidRPr="00C56EDE" w:rsidRDefault="0052686C" w:rsidP="0052686C">
      <w:pPr>
        <w:pStyle w:val="BTbEMEASMCA"/>
        <w:rPr>
          <w:rFonts w:ascii="Times New Roman" w:hAnsi="Times New Roman" w:cs="Times New Roman"/>
        </w:rPr>
      </w:pPr>
    </w:p>
    <w:p w:rsidR="0052686C" w:rsidRPr="00C56EDE" w:rsidRDefault="0052686C" w:rsidP="0052686C">
      <w:pPr>
        <w:rPr>
          <w:sz w:val="22"/>
          <w:szCs w:val="22"/>
        </w:rPr>
      </w:pPr>
      <w:r w:rsidRPr="00C56EDE">
        <w:rPr>
          <w:sz w:val="22"/>
          <w:szCs w:val="22"/>
        </w:rPr>
        <w:t>Išsami informacija apie šį vaistą pateikiama Valstybinės vaistų kontrolės tarnybos prie Lietuvos Respublikos sveikatos apsaugos ministerijos tinklalapyje</w:t>
      </w:r>
      <w:r w:rsidRPr="00C56EDE">
        <w:rPr>
          <w:i/>
          <w:sz w:val="22"/>
          <w:szCs w:val="22"/>
        </w:rPr>
        <w:t xml:space="preserve"> </w:t>
      </w:r>
      <w:hyperlink r:id="rId9" w:history="1">
        <w:r w:rsidRPr="00C56EDE">
          <w:rPr>
            <w:rStyle w:val="Hipersaitas"/>
            <w:rFonts w:eastAsia="SimSun"/>
            <w:sz w:val="22"/>
            <w:szCs w:val="22"/>
          </w:rPr>
          <w:t>http://www.vvkt.lt/</w:t>
        </w:r>
      </w:hyperlink>
      <w:r w:rsidRPr="00C56EDE">
        <w:rPr>
          <w:sz w:val="22"/>
          <w:szCs w:val="22"/>
        </w:rPr>
        <w:t>.</w:t>
      </w:r>
    </w:p>
    <w:p w:rsidR="0052686C" w:rsidRPr="00C56EDE" w:rsidRDefault="0052686C" w:rsidP="0052686C">
      <w:pPr>
        <w:rPr>
          <w:sz w:val="22"/>
          <w:szCs w:val="22"/>
        </w:rPr>
      </w:pPr>
    </w:p>
    <w:p w:rsidR="0052686C" w:rsidRPr="00C56EDE" w:rsidRDefault="0052686C" w:rsidP="0052686C">
      <w:pPr>
        <w:rPr>
          <w:sz w:val="22"/>
          <w:szCs w:val="22"/>
          <w:highlight w:val="yellow"/>
        </w:rPr>
      </w:pPr>
    </w:p>
    <w:p w:rsidR="0052686C" w:rsidRPr="00C56EDE" w:rsidRDefault="0052686C" w:rsidP="0052686C">
      <w:pPr>
        <w:rPr>
          <w:sz w:val="22"/>
          <w:szCs w:val="22"/>
        </w:rPr>
      </w:pPr>
    </w:p>
    <w:p w:rsidR="002348ED" w:rsidRDefault="002348ED">
      <w:bookmarkStart w:id="14" w:name="_GoBack"/>
      <w:bookmarkEnd w:id="14"/>
    </w:p>
    <w:sectPr w:rsidR="002348ED" w:rsidSect="005D4A62">
      <w:pgSz w:w="11906" w:h="16838"/>
      <w:pgMar w:top="1079"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C4F8E"/>
    <w:multiLevelType w:val="hybridMultilevel"/>
    <w:tmpl w:val="655268FE"/>
    <w:lvl w:ilvl="0" w:tplc="609CCD4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6C"/>
    <w:rsid w:val="002348ED"/>
    <w:rsid w:val="00526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81362-03FB-4BCE-B91C-EC33247E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86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268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268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686C"/>
    <w:rPr>
      <w:color w:val="0000FF"/>
      <w:u w:val="single"/>
    </w:rPr>
  </w:style>
  <w:style w:type="paragraph" w:styleId="Paantrat">
    <w:name w:val="Subtitle"/>
    <w:basedOn w:val="prastasis"/>
    <w:link w:val="PaantratDiagrama"/>
    <w:qFormat/>
    <w:rsid w:val="0052686C"/>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rsid w:val="0052686C"/>
    <w:rPr>
      <w:rFonts w:ascii="TimesNewRoman,Bold" w:eastAsia="Times New Roman" w:hAnsi="TimesNewRoman,Bold" w:cs="Times New Roman"/>
      <w:b/>
      <w:color w:val="000000"/>
      <w:szCs w:val="20"/>
      <w:lang w:val="en-US" w:eastAsia="lt-LT"/>
    </w:rPr>
  </w:style>
  <w:style w:type="paragraph" w:styleId="Debesliotekstas">
    <w:name w:val="Balloon Text"/>
    <w:basedOn w:val="prastasis"/>
    <w:link w:val="DebesliotekstasDiagrama"/>
    <w:semiHidden/>
    <w:rsid w:val="0052686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2686C"/>
    <w:rPr>
      <w:rFonts w:ascii="Tahoma" w:eastAsia="Times New Roman" w:hAnsi="Tahoma" w:cs="Tahoma"/>
      <w:sz w:val="16"/>
      <w:szCs w:val="16"/>
    </w:rPr>
  </w:style>
  <w:style w:type="paragraph" w:customStyle="1" w:styleId="PI-1EMEASMCA">
    <w:name w:val="PI-1 EMEA_SMCA"/>
    <w:basedOn w:val="Antrat2"/>
    <w:autoRedefine/>
    <w:rsid w:val="0052686C"/>
    <w:pPr>
      <w:keepLines w:val="0"/>
      <w:tabs>
        <w:tab w:val="left" w:pos="567"/>
        <w:tab w:val="left" w:pos="1620"/>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52686C"/>
    <w:rPr>
      <w:noProof/>
    </w:rPr>
  </w:style>
  <w:style w:type="paragraph" w:customStyle="1" w:styleId="BTEMEASMCA">
    <w:name w:val="BT EMEA_SMCA"/>
    <w:basedOn w:val="prastasis"/>
    <w:link w:val="BTEMEASMCAChar"/>
    <w:autoRedefine/>
    <w:rsid w:val="0052686C"/>
    <w:rPr>
      <w:rFonts w:asciiTheme="minorHAnsi" w:eastAsiaTheme="minorHAnsi" w:hAnsiTheme="minorHAnsi" w:cstheme="minorBidi"/>
      <w:noProof/>
      <w:sz w:val="22"/>
      <w:szCs w:val="22"/>
    </w:rPr>
  </w:style>
  <w:style w:type="character" w:customStyle="1" w:styleId="TTEMEASMCAChar">
    <w:name w:val="TT EMEA_SMCA Char"/>
    <w:link w:val="TTEMEASMCA"/>
    <w:locked/>
    <w:rsid w:val="0052686C"/>
    <w:rPr>
      <w:b/>
      <w:caps/>
    </w:rPr>
  </w:style>
  <w:style w:type="paragraph" w:customStyle="1" w:styleId="TTEMEASMCA">
    <w:name w:val="TT EMEA_SMCA"/>
    <w:basedOn w:val="Antrat1"/>
    <w:link w:val="TTEMEASMCAChar"/>
    <w:autoRedefine/>
    <w:rsid w:val="0052686C"/>
    <w:pPr>
      <w:keepNext w:val="0"/>
      <w:keepLines w:val="0"/>
      <w:tabs>
        <w:tab w:val="left" w:pos="567"/>
      </w:tabs>
      <w:spacing w:before="0"/>
      <w:jc w:val="center"/>
    </w:pPr>
    <w:rPr>
      <w:rFonts w:asciiTheme="minorHAnsi" w:eastAsiaTheme="minorHAnsi" w:hAnsiTheme="minorHAnsi" w:cstheme="minorBidi"/>
      <w:b/>
      <w:caps/>
      <w:color w:val="auto"/>
      <w:sz w:val="22"/>
      <w:szCs w:val="22"/>
    </w:rPr>
  </w:style>
  <w:style w:type="paragraph" w:customStyle="1" w:styleId="BT-EMEASMCA">
    <w:name w:val="BT- EMEA_SMCA"/>
    <w:basedOn w:val="BTEMEASMCA"/>
    <w:autoRedefine/>
    <w:rsid w:val="0052686C"/>
    <w:pPr>
      <w:tabs>
        <w:tab w:val="num" w:pos="360"/>
        <w:tab w:val="num" w:pos="720"/>
      </w:tabs>
    </w:pPr>
  </w:style>
  <w:style w:type="paragraph" w:customStyle="1" w:styleId="PI-3EMEASMCA">
    <w:name w:val="PI-3 EMEA_SMCA"/>
    <w:basedOn w:val="prastasis"/>
    <w:autoRedefine/>
    <w:rsid w:val="0052686C"/>
    <w:pPr>
      <w:spacing w:line="220" w:lineRule="exact"/>
    </w:pPr>
    <w:rPr>
      <w:b/>
      <w:bCs/>
      <w:sz w:val="22"/>
      <w:szCs w:val="22"/>
    </w:rPr>
  </w:style>
  <w:style w:type="paragraph" w:customStyle="1" w:styleId="BTbEMEASMCA">
    <w:name w:val="BT(b) EMEA_SMCA"/>
    <w:basedOn w:val="BTEMEASMCA"/>
    <w:autoRedefine/>
    <w:rsid w:val="0052686C"/>
    <w:rPr>
      <w:b/>
    </w:rPr>
  </w:style>
  <w:style w:type="paragraph" w:customStyle="1" w:styleId="BTbeEMEASMCA">
    <w:name w:val="BT(be) EMEA_SMCA"/>
    <w:basedOn w:val="BTEMEASMCA"/>
    <w:autoRedefine/>
    <w:rsid w:val="0052686C"/>
    <w:pPr>
      <w:jc w:val="center"/>
    </w:pPr>
    <w:rPr>
      <w:b/>
    </w:rPr>
  </w:style>
  <w:style w:type="paragraph" w:customStyle="1" w:styleId="EMEAEnBodyText">
    <w:name w:val="EMEA En Body Text"/>
    <w:basedOn w:val="prastasis"/>
    <w:rsid w:val="0052686C"/>
    <w:pPr>
      <w:spacing w:before="120" w:after="120"/>
      <w:jc w:val="both"/>
    </w:pPr>
    <w:rPr>
      <w:sz w:val="22"/>
      <w:szCs w:val="20"/>
      <w:lang w:val="en-US"/>
    </w:rPr>
  </w:style>
  <w:style w:type="character" w:styleId="Grietas">
    <w:name w:val="Strong"/>
    <w:qFormat/>
    <w:rsid w:val="0052686C"/>
    <w:rPr>
      <w:b/>
      <w:bCs/>
    </w:rPr>
  </w:style>
  <w:style w:type="character" w:customStyle="1" w:styleId="Antrat2Diagrama">
    <w:name w:val="Antraštė 2 Diagrama"/>
    <w:basedOn w:val="Numatytasispastraiposriftas"/>
    <w:link w:val="Antrat2"/>
    <w:uiPriority w:val="9"/>
    <w:semiHidden/>
    <w:rsid w:val="0052686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268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12501</Words>
  <Characters>7126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2020-03-23T11:22:00Z</dcterms:created>
  <dcterms:modified xsi:type="dcterms:W3CDTF">2020-03-23T11:22:00Z</dcterms:modified>
</cp:coreProperties>
</file>