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295E4"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043D0FB8"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3590A8B0"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09A42D2D"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7A65C487"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2D315D30"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59D0D4E0"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3B83786E"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3DAFF2BF"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22005A9C"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02A0E89E"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7208B5FC"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533A746B"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0490FE9F"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4984D3C2"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07BC8396"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6610B741"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2A53276F"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531C999A"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0B3D7F57"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514AF0A4"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42FE9AB8"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3C826833"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71E440D2"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r w:rsidRPr="004C5B03">
        <w:rPr>
          <w:rFonts w:asciiTheme="majorBidi" w:hAnsiTheme="majorBidi" w:cstheme="majorBidi"/>
          <w:b/>
          <w:szCs w:val="22"/>
          <w:lang w:val="lt-LT" w:bidi="he-IL"/>
        </w:rPr>
        <w:t>I PRIEDAS</w:t>
      </w:r>
    </w:p>
    <w:p w14:paraId="5C979F64"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3FCA96C5"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r w:rsidRPr="004C5B03">
        <w:rPr>
          <w:rFonts w:asciiTheme="majorBidi" w:hAnsiTheme="majorBidi" w:cstheme="majorBidi"/>
          <w:b/>
          <w:szCs w:val="22"/>
          <w:lang w:val="lt-LT" w:bidi="he-IL"/>
        </w:rPr>
        <w:t>PREPARATO CHARAKTERISTIKŲ SANTRAUKA</w:t>
      </w:r>
    </w:p>
    <w:p w14:paraId="5A06DC6E"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r w:rsidRPr="004C5B03">
        <w:rPr>
          <w:rFonts w:asciiTheme="majorBidi" w:hAnsiTheme="majorBidi" w:cstheme="majorBidi"/>
          <w:szCs w:val="22"/>
          <w:lang w:val="lt-LT" w:bidi="he-IL"/>
        </w:rPr>
        <w:br w:type="page"/>
      </w:r>
    </w:p>
    <w:p w14:paraId="5443522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5B2CAF4" w14:textId="77777777" w:rsidR="004C5B03" w:rsidRPr="004C5B03" w:rsidRDefault="004C5B03" w:rsidP="004C5B03">
      <w:pPr>
        <w:numPr>
          <w:ilvl w:val="0"/>
          <w:numId w:val="14"/>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VAISTINIO PREPARATO PAVADINIMAS</w:t>
      </w:r>
    </w:p>
    <w:p w14:paraId="2720BBF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DD8F8CF"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plėvele dengtos tabletės</w:t>
      </w:r>
    </w:p>
    <w:p w14:paraId="77CDE88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15D656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707A6EF" w14:textId="77777777" w:rsidR="004C5B03" w:rsidRPr="004C5B03" w:rsidRDefault="004C5B03" w:rsidP="004C5B03">
      <w:pPr>
        <w:numPr>
          <w:ilvl w:val="0"/>
          <w:numId w:val="14"/>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KOKYBINĖ IR KIEKYBINĖ SUDĖTIS</w:t>
      </w:r>
    </w:p>
    <w:p w14:paraId="2B9C177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E3CCE4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Vienoje raudona plėvele dengtoje tabletėje yra:</w:t>
      </w:r>
    </w:p>
    <w:p w14:paraId="1DC24D6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 mg estradiolio (estradiolio hemihidrato pavidalu).</w:t>
      </w:r>
    </w:p>
    <w:p w14:paraId="4220AA4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A307C24" w14:textId="77777777" w:rsidR="004C5B03" w:rsidRPr="004C5B03" w:rsidRDefault="004C5B03" w:rsidP="004C5B03">
      <w:pPr>
        <w:tabs>
          <w:tab w:val="clear" w:pos="567"/>
        </w:tabs>
        <w:suppressAutoHyphens w:val="0"/>
        <w:rPr>
          <w:rFonts w:asciiTheme="majorBidi" w:hAnsiTheme="majorBidi" w:cstheme="majorBidi"/>
          <w:vanish/>
          <w:szCs w:val="22"/>
          <w:lang w:val="lt-LT" w:bidi="he-IL"/>
        </w:rPr>
      </w:pPr>
    </w:p>
    <w:p w14:paraId="31176CF0"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Vienoje balta plėvele dengtoje tabletėje yra:</w:t>
      </w:r>
    </w:p>
    <w:p w14:paraId="6ABAF06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 mg estradiolio (estradiolio hemihidrato pavidalu) ir 1 mg noretisterono acetato.</w:t>
      </w:r>
    </w:p>
    <w:p w14:paraId="20A5889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976F024" w14:textId="3EB0CCDE" w:rsidR="004C5B03" w:rsidRPr="004C5B03" w:rsidRDefault="004C5B03" w:rsidP="004C5B03">
      <w:pPr>
        <w:tabs>
          <w:tab w:val="clear" w:pos="567"/>
        </w:tabs>
        <w:suppressAutoHyphens w:val="0"/>
        <w:rPr>
          <w:rFonts w:asciiTheme="majorBidi" w:hAnsiTheme="majorBidi" w:cstheme="majorBidi"/>
          <w:szCs w:val="22"/>
          <w:lang w:val="lt-LT" w:bidi="he-IL"/>
        </w:rPr>
      </w:pPr>
      <w:r w:rsidRPr="006E2C36">
        <w:rPr>
          <w:rFonts w:asciiTheme="majorBidi" w:hAnsiTheme="majorBidi" w:cstheme="majorBidi"/>
          <w:szCs w:val="22"/>
          <w:u w:val="single"/>
          <w:lang w:val="lt-LT" w:bidi="he-IL"/>
        </w:rPr>
        <w:t>Pagalbinė medžiaga, kurios poveikis žinomas</w:t>
      </w:r>
      <w:r w:rsidR="0050320D">
        <w:rPr>
          <w:rFonts w:asciiTheme="majorBidi" w:hAnsiTheme="majorBidi" w:cstheme="majorBidi"/>
          <w:szCs w:val="22"/>
          <w:lang w:val="lt-LT" w:bidi="he-IL"/>
        </w:rPr>
        <w:t>:</w:t>
      </w:r>
    </w:p>
    <w:p w14:paraId="32E7474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Kiekvienoje raudona plėvele dengtoje tabletėje yra 37,3 mg laktozės monohidrato.</w:t>
      </w:r>
    </w:p>
    <w:p w14:paraId="6DA66374"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Kiekvienoje baltoje plėvele dengtoje tabletėje yra 36,8 mg laktozės monohidrato.</w:t>
      </w:r>
    </w:p>
    <w:p w14:paraId="2342523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25942ED"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Visos pagalbinės medžiagos išvardytos 6.1 skyriuje.</w:t>
      </w:r>
    </w:p>
    <w:p w14:paraId="75695F5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67BF70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CC1BB90" w14:textId="77777777" w:rsidR="004C5B03" w:rsidRPr="004C5B03" w:rsidRDefault="004C5B03" w:rsidP="004C5B03">
      <w:pPr>
        <w:numPr>
          <w:ilvl w:val="0"/>
          <w:numId w:val="14"/>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FARMACINĖ FORMA</w:t>
      </w:r>
    </w:p>
    <w:p w14:paraId="6F45573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2305D0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Plėvele dengta tabletė.</w:t>
      </w:r>
    </w:p>
    <w:p w14:paraId="246ECE3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9E9A53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Abipus išgaubtos raudona plėvele dengtos tabletės, ant kurių įspaustas užrašas NOVO 2</w:t>
      </w:r>
      <w:r w:rsidRPr="004C5B03">
        <w:rPr>
          <w:rFonts w:asciiTheme="majorBidi" w:hAnsiTheme="majorBidi" w:cstheme="majorBidi"/>
          <w:szCs w:val="22"/>
          <w:lang w:val="lt-LT" w:bidi="he-IL"/>
        </w:rPr>
        <w:sym w:font="Symbol" w:char="F038"/>
      </w:r>
      <w:r w:rsidRPr="004C5B03">
        <w:rPr>
          <w:rFonts w:asciiTheme="majorBidi" w:hAnsiTheme="majorBidi" w:cstheme="majorBidi"/>
          <w:szCs w:val="22"/>
          <w:lang w:val="lt-LT" w:bidi="he-IL"/>
        </w:rPr>
        <w:t>2. Tablečių skersmuo – 6 mm.</w:t>
      </w:r>
    </w:p>
    <w:p w14:paraId="2374004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43B80B5"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Abipus išgaubtos balta plėvele dengtos tabletės, ant kurių įspaustas užrašas NOVO 2</w:t>
      </w:r>
      <w:r w:rsidRPr="004C5B03">
        <w:rPr>
          <w:rFonts w:asciiTheme="majorBidi" w:hAnsiTheme="majorBidi" w:cstheme="majorBidi"/>
          <w:szCs w:val="22"/>
          <w:lang w:val="lt-LT" w:bidi="he-IL"/>
        </w:rPr>
        <w:sym w:font="Symbol" w:char="F038"/>
      </w:r>
      <w:r w:rsidRPr="004C5B03">
        <w:rPr>
          <w:rFonts w:asciiTheme="majorBidi" w:hAnsiTheme="majorBidi" w:cstheme="majorBidi"/>
          <w:szCs w:val="22"/>
          <w:lang w:val="lt-LT" w:bidi="he-IL"/>
        </w:rPr>
        <w:t>3. Tablečių skersmuo – 6 mm.</w:t>
      </w:r>
    </w:p>
    <w:p w14:paraId="69C55C3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36FC09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13C1815" w14:textId="77777777" w:rsidR="004C5B03" w:rsidRPr="004C5B03" w:rsidRDefault="004C5B03" w:rsidP="004C5B03">
      <w:pPr>
        <w:numPr>
          <w:ilvl w:val="0"/>
          <w:numId w:val="14"/>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KLINIKINĖ INFORMACIJA</w:t>
      </w:r>
    </w:p>
    <w:p w14:paraId="79748C1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72EF326" w14:textId="77777777" w:rsidR="004C5B03" w:rsidRPr="004C5B03" w:rsidRDefault="004C5B03" w:rsidP="004C5B03">
      <w:pPr>
        <w:numPr>
          <w:ilvl w:val="1"/>
          <w:numId w:val="14"/>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Terapinės indikacijos</w:t>
      </w:r>
    </w:p>
    <w:p w14:paraId="2F32BF0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8D6B77F" w14:textId="1FB04368"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Pakaitinės hormonų terapijos (PHT) vaistinis preparatas estrogenų trūkumo simptomams šalinti, skiriamas moterims po menopauzės, kurioms praėjo mažiausiai 6</w:t>
      </w:r>
      <w:r w:rsidR="006A7A75">
        <w:rPr>
          <w:rFonts w:asciiTheme="majorBidi" w:hAnsiTheme="majorBidi" w:cstheme="majorBidi"/>
          <w:szCs w:val="22"/>
          <w:lang w:val="lt-LT" w:bidi="he-IL"/>
        </w:rPr>
        <w:t> </w:t>
      </w:r>
      <w:r w:rsidRPr="004C5B03">
        <w:rPr>
          <w:rFonts w:asciiTheme="majorBidi" w:hAnsiTheme="majorBidi" w:cstheme="majorBidi"/>
          <w:szCs w:val="22"/>
          <w:lang w:val="lt-LT" w:bidi="he-IL"/>
        </w:rPr>
        <w:t>mėn. po paskutinių mėnesinių.</w:t>
      </w:r>
    </w:p>
    <w:p w14:paraId="704A6211"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0A12BB2"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Osteoporozės profilaktika moterims po menopauzės, kurioms yra padidėjusi kaulų lūžių rizika ateityje dėl osteoporozės, jei jos netoleruoja kitų vaistinių preparatų, skirtų osteoporozės profilaktikai arba tie vaistiniai preparatai joms yra kontraindikuotini (taip pat žr. 4.4 skyrių).</w:t>
      </w:r>
    </w:p>
    <w:p w14:paraId="72163FE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A9D6A1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Nėra pakankamai duomenų apie vyresnių nei 65 metų moterų gydymą šiuo vaistiniu preparatu.</w:t>
      </w:r>
    </w:p>
    <w:p w14:paraId="63FBB59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A735041" w14:textId="77777777" w:rsidR="004C5B03" w:rsidRPr="004C5B03" w:rsidRDefault="004C5B03" w:rsidP="004C5B03">
      <w:pPr>
        <w:numPr>
          <w:ilvl w:val="1"/>
          <w:numId w:val="14"/>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Dozavimas ir vartojimo metodas</w:t>
      </w:r>
    </w:p>
    <w:p w14:paraId="44DAAFFF"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149E9013" w14:textId="295EFB02"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yra nepertraukiamos ciklinės PHT vaistinis preparatas, vartojamas per burną. Estrogenų vartojama nuolat. Progestagenų pridedama 12</w:t>
      </w:r>
      <w:r w:rsidR="006A7A75">
        <w:rPr>
          <w:rFonts w:asciiTheme="majorBidi" w:hAnsiTheme="majorBidi" w:cstheme="majorBidi"/>
          <w:szCs w:val="22"/>
          <w:lang w:val="lt-LT" w:bidi="he-IL"/>
        </w:rPr>
        <w:t> </w:t>
      </w:r>
      <w:r w:rsidRPr="004C5B03">
        <w:rPr>
          <w:rFonts w:asciiTheme="majorBidi" w:hAnsiTheme="majorBidi" w:cstheme="majorBidi"/>
          <w:szCs w:val="22"/>
          <w:lang w:val="lt-LT" w:bidi="he-IL"/>
        </w:rPr>
        <w:t>dienų kiekvieno 28</w:t>
      </w:r>
      <w:r w:rsidR="006A7A75">
        <w:rPr>
          <w:rFonts w:asciiTheme="majorBidi" w:hAnsiTheme="majorBidi" w:cstheme="majorBidi"/>
          <w:szCs w:val="22"/>
          <w:lang w:val="lt-LT" w:bidi="he-IL"/>
        </w:rPr>
        <w:t> </w:t>
      </w:r>
      <w:r w:rsidRPr="004C5B03">
        <w:rPr>
          <w:rFonts w:asciiTheme="majorBidi" w:hAnsiTheme="majorBidi" w:cstheme="majorBidi"/>
          <w:szCs w:val="22"/>
          <w:lang w:val="lt-LT" w:bidi="he-IL"/>
        </w:rPr>
        <w:t>dienų ciklo laikotarpiu, cikliškai.</w:t>
      </w:r>
    </w:p>
    <w:p w14:paraId="2209D27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DDCD7FB" w14:textId="41A076A9"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Vartojama po vieną tabletę per parą tokia tvarka: tabletės, kurių sudėtyje yra tik estrogenų (raudona plėvele dengtos tabletės) vartojamos 16</w:t>
      </w:r>
      <w:r w:rsidR="006A7A75">
        <w:rPr>
          <w:rFonts w:asciiTheme="majorBidi" w:hAnsiTheme="majorBidi" w:cstheme="majorBidi"/>
          <w:szCs w:val="22"/>
          <w:lang w:val="lt-LT" w:bidi="he-IL"/>
        </w:rPr>
        <w:t> </w:t>
      </w:r>
      <w:r w:rsidRPr="004C5B03">
        <w:rPr>
          <w:rFonts w:asciiTheme="majorBidi" w:hAnsiTheme="majorBidi" w:cstheme="majorBidi"/>
          <w:szCs w:val="22"/>
          <w:lang w:val="lt-LT" w:bidi="he-IL"/>
        </w:rPr>
        <w:t>dienų, kitas 12</w:t>
      </w:r>
      <w:r w:rsidR="006A7A75">
        <w:rPr>
          <w:rFonts w:asciiTheme="majorBidi" w:hAnsiTheme="majorBidi" w:cstheme="majorBidi"/>
          <w:szCs w:val="22"/>
          <w:lang w:val="lt-LT" w:bidi="he-IL"/>
        </w:rPr>
        <w:t> </w:t>
      </w:r>
      <w:r w:rsidRPr="004C5B03">
        <w:rPr>
          <w:rFonts w:asciiTheme="majorBidi" w:hAnsiTheme="majorBidi" w:cstheme="majorBidi"/>
          <w:szCs w:val="22"/>
          <w:lang w:val="lt-LT" w:bidi="he-IL"/>
        </w:rPr>
        <w:t>dienų geriamos tabletės, kurių sudėtyje yra estrogenų ir progestagenų (balta plėvele dengtos tabletės).</w:t>
      </w:r>
    </w:p>
    <w:p w14:paraId="4C56987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123F6C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lastRenderedPageBreak/>
        <w:t>Išgėrus paskutinę baltą tabletę, gydymas tęsiamas, kitą dieną geriant pirmąją raudoną tabletę iš naujos pakuotės. Naujo gydymo ciklo pradžioje paprastai prasideda į menstruacijas panašus kraujavimas.</w:t>
      </w:r>
    </w:p>
    <w:p w14:paraId="4BC0140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2CE210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Moterims nevartojančioms kito PHT vaistinio preparato arba pereinančioms nuo nepertraukiamos kombinuotos PHT vaistinio preparato, gydymą Novofem</w:t>
      </w:r>
      <w:r w:rsidRPr="004C5B03">
        <w:rPr>
          <w:rFonts w:asciiTheme="majorBidi" w:hAnsiTheme="majorBidi" w:cstheme="majorBidi"/>
          <w:i/>
          <w:szCs w:val="22"/>
          <w:lang w:val="lt-LT" w:bidi="he-IL"/>
        </w:rPr>
        <w:t xml:space="preserve"> </w:t>
      </w:r>
      <w:r w:rsidRPr="004C5B03">
        <w:rPr>
          <w:rFonts w:asciiTheme="majorBidi" w:hAnsiTheme="majorBidi" w:cstheme="majorBidi"/>
          <w:szCs w:val="22"/>
          <w:lang w:val="lt-LT" w:bidi="he-IL"/>
        </w:rPr>
        <w:t>galima pradėti vartoti bet kurią pacientei tinkamą dieną. Jei Novofem pradedama vartoti po ciklinės PHT vaistinio preparato, gydymas pradedamas kitą dieną, pabaigus senąją pakuotę.</w:t>
      </w:r>
    </w:p>
    <w:p w14:paraId="58D6998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BCCDDE2"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Pradiniam bei tolesniam pomenopauzinių simptomų gydymui būtina skirti mažiausią veiksmingą vaistinio preparato dozę, parenkant mažiausią įmanomą gydymo trukmę (taip pat žr. 4.4 skyrių).</w:t>
      </w:r>
    </w:p>
    <w:p w14:paraId="3D68FB0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F72D970"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 3 mėnesius vartojus vaistinio preparato nesulaukiama pakankamo vaistinio preparato poveikio, jį reikėtų pakeisti kitu kombinuotos PHT vaistiniu preparatu su didesne hormonų doze.</w:t>
      </w:r>
    </w:p>
    <w:p w14:paraId="740C89B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00CC871"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 pacientė pamiršo išgerti vieną tabletę, ją reikia išgerti kuo greičiau 12 valandų bėgyje. Jei praėjo daugiau nei 12 valandų, tabletę reikia išmesti. Praleidus vaistinio preparato dozę, gali padidėti kraujavimo arba tepančių išskyrų iš lyties organų tikimybė.</w:t>
      </w:r>
    </w:p>
    <w:p w14:paraId="2572541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E11DE2A" w14:textId="77777777" w:rsidR="004C5B03" w:rsidRPr="004C5B03" w:rsidRDefault="004C5B03" w:rsidP="004C5B03">
      <w:pPr>
        <w:numPr>
          <w:ilvl w:val="1"/>
          <w:numId w:val="14"/>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Kontraindikacijos</w:t>
      </w:r>
    </w:p>
    <w:p w14:paraId="7E84ADD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30F4231" w14:textId="35358800"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Nustatytas, praeityje buvęs arba įtariamas krūties vėžys.</w:t>
      </w:r>
    </w:p>
    <w:p w14:paraId="3B6B2725" w14:textId="19FC781C"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Nustatytas, praeityje buvęs arba įtariamas nuo estrogenų priklausomas piktybinis navikas, pvz., endometriumo vėžys.</w:t>
      </w:r>
    </w:p>
    <w:p w14:paraId="18C98C03" w14:textId="484C81A1"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Neaiškios kilmės kraujavimas iš lyties organų.</w:t>
      </w:r>
    </w:p>
    <w:p w14:paraId="070D1334" w14:textId="7290C795"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Negydyta endometriumo hiperplazija.</w:t>
      </w:r>
    </w:p>
    <w:p w14:paraId="1BA669A4" w14:textId="02ED696D"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Buvusios arba esamos venų tromboembolinės ligos (pvz., giliųjų venų trombozė, plaučių tromboembolija).</w:t>
      </w:r>
    </w:p>
    <w:p w14:paraId="5A2F7173" w14:textId="2D7F84D9"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Nustatyti trombofiliniai sutrikimai (pvz., C baltymo, S baltymo arba antitrombino trūkumas (žr. 4.4 skyrių)).</w:t>
      </w:r>
    </w:p>
    <w:p w14:paraId="69201D72" w14:textId="0B2C1B95"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Esamos arba buvusios tromboembolinės arterijų ligos (pvz., krūtinės angina, miokardo infarktas).</w:t>
      </w:r>
    </w:p>
    <w:p w14:paraId="101681FF" w14:textId="22A61EEF"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Ūminė kepenų liga arba praeityje buvusios kepenų ligos, jei kepenų funkciniai rodikliai tebėra pakitę.</w:t>
      </w:r>
    </w:p>
    <w:p w14:paraId="4A85D679" w14:textId="6C22C3C7"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Žinomas padidėjęs jautrumas veikliajai vaistinio preparato medžiagai arba bet kuriai iš pagalbinių medžiagų.</w:t>
      </w:r>
    </w:p>
    <w:p w14:paraId="0B81BAB3" w14:textId="60421FBB" w:rsidR="004C5B03" w:rsidRPr="004C5B03" w:rsidRDefault="004C5B03" w:rsidP="004C5B03">
      <w:pPr>
        <w:ind w:left="567" w:hanging="567"/>
        <w:rPr>
          <w:lang w:val="lt-LT" w:bidi="he-IL"/>
        </w:rPr>
      </w:pPr>
      <w:r w:rsidRPr="005265C0">
        <w:rPr>
          <w:lang w:val="pt-BR"/>
        </w:rPr>
        <w:t>–</w:t>
      </w:r>
      <w:r w:rsidRPr="005265C0">
        <w:rPr>
          <w:lang w:val="pt-BR"/>
        </w:rPr>
        <w:tab/>
      </w:r>
      <w:r w:rsidRPr="004C5B03">
        <w:rPr>
          <w:lang w:val="lt-LT" w:bidi="he-IL"/>
        </w:rPr>
        <w:t>Porfirija.</w:t>
      </w:r>
    </w:p>
    <w:p w14:paraId="0AE4173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B5C00BB"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4.4</w:t>
      </w:r>
      <w:r w:rsidRPr="004C5B03">
        <w:rPr>
          <w:rFonts w:asciiTheme="majorBidi" w:hAnsiTheme="majorBidi" w:cstheme="majorBidi"/>
          <w:b/>
          <w:szCs w:val="22"/>
          <w:lang w:val="lt-LT" w:bidi="he-IL"/>
        </w:rPr>
        <w:tab/>
        <w:t>Specialūs įspėjimai ir atsargumo priemonės</w:t>
      </w:r>
    </w:p>
    <w:p w14:paraId="4394FF0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6082AA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Gydant pomenopauzinius simptomus, PHT turi būti skiriama tik tuo atveju, jei šie simptomai neigiamai veikia moters gyvenimo kokybę. Visais atvejais būtina ne rečiau kaip kasmet išsamiai įvertinti vaistinio preparato teigiamą poveikį bei riziką; PHT turi būti taikoma tik tol, kol teigiamas vaistinio preparato poveikis viršija riziką.</w:t>
      </w:r>
    </w:p>
    <w:p w14:paraId="4259E9B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E68EF0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Surinkta nedaug duomenų apie PHT keliamą riziką gydant ankstyvą menopauzę. Absoliuti rizika jaunesnėms moterims yra nedidelė, todėl naudos ir rizikos balansas šioms moterims gali būti palankesnis nei vyresnio amžiaus moterims.</w:t>
      </w:r>
    </w:p>
    <w:p w14:paraId="6AA67A3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FAB834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u w:val="single"/>
          <w:lang w:val="lt-LT" w:bidi="he-IL"/>
        </w:rPr>
        <w:t>Pacientės ištyrimas prieš skiriant vaistinio preparato ir tolesnis jos stebėjimas</w:t>
      </w:r>
    </w:p>
    <w:p w14:paraId="41D8C2F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3BD4F95"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Prieš pradedant vartoti arba pakartotinai skiriant PHT vaistinio preparato, būtina surinkti išsamią pacientės bei jos šeimos anamnezę. Fizinį tyrimą (įskaitant dubens organų ir krūtų) reikia atlikti, atsižvelgiant į anamnezės duomenis, vaistinio preparato vartojimo kontraindikacijas bei specialius įspėjimus. Gydymo laikotarpiu rekomenduojama reguliariai tikrinti pacientę; apžiūrų dažnis ir tyrimų apimtis nustatoma individualiai. Moterims reikia paaiškinti, apie kokius pokyčius krūtyse būtina </w:t>
      </w:r>
      <w:r w:rsidRPr="004C5B03">
        <w:rPr>
          <w:rFonts w:asciiTheme="majorBidi" w:hAnsiTheme="majorBidi" w:cstheme="majorBidi"/>
          <w:szCs w:val="22"/>
          <w:lang w:val="lt-LT" w:bidi="he-IL"/>
        </w:rPr>
        <w:lastRenderedPageBreak/>
        <w:t>pranešti gydytojui arba slaugytojai (žr. žemiau „Krūties vėžys“). Kiti tyrimai, įskaitant vaizdinės diagnostikos tyrimus, t.y. mamografiją, kiekvienu atveju turi būti atliekami remiantis įprastinėmis medicininės patikros rekomendacijomis bei atsižvelgiant į klinikinę pacientės būklę.</w:t>
      </w:r>
    </w:p>
    <w:p w14:paraId="00A2E1A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3B73A9B"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u w:val="single"/>
          <w:lang w:val="lt-LT" w:bidi="he-IL"/>
        </w:rPr>
        <w:t>Būklės, kai būtina papildoma pacientės priežiūra</w:t>
      </w:r>
    </w:p>
    <w:p w14:paraId="2750009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3343DC4"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Pacientę reikia stebėti ypač atidžiai, jei ji serga ar sirgo kai kuriomis ligomis ir /arba jos pasunkėjo nėštumo laikotarpiu arba anksčiau taikant gydymą hormonais. Būtina žinoti, jog vartojant Novofem gali atsinaujinti arba pasunkėti šios ligos:</w:t>
      </w:r>
    </w:p>
    <w:p w14:paraId="463261A1"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5D84258" w14:textId="01273E34" w:rsidR="004C5B03" w:rsidRPr="004C5B03" w:rsidRDefault="004C5B03" w:rsidP="004C5B03">
      <w:pPr>
        <w:ind w:left="567" w:hanging="567"/>
        <w:rPr>
          <w:lang w:val="lt-LT" w:bidi="he-IL"/>
        </w:rPr>
      </w:pPr>
      <w:r w:rsidRPr="005265C0">
        <w:rPr>
          <w:lang w:val="es-ES"/>
        </w:rPr>
        <w:t>–</w:t>
      </w:r>
      <w:r w:rsidRPr="005265C0">
        <w:rPr>
          <w:lang w:val="es-ES"/>
        </w:rPr>
        <w:tab/>
      </w:r>
      <w:r w:rsidRPr="004C5B03">
        <w:rPr>
          <w:lang w:val="lt-LT" w:bidi="he-IL"/>
        </w:rPr>
        <w:t>Lejomioma (gimdos fibromos) arba endometriozė.</w:t>
      </w:r>
    </w:p>
    <w:p w14:paraId="2475F02E" w14:textId="1D8EAA91"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Tromboembolinių ligų rizikos veiksniai (žr. žemiau).</w:t>
      </w:r>
    </w:p>
    <w:p w14:paraId="5B8BCFC1" w14:textId="747ED688"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Nuo estrogenų priklausomų navikų rizikos veiksniai, pvz., pirmojo laipsnio krūties vėžio paveldimumas.</w:t>
      </w:r>
    </w:p>
    <w:p w14:paraId="1DADFE0D" w14:textId="2E4D2BDE"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Hipertenzija.</w:t>
      </w:r>
    </w:p>
    <w:p w14:paraId="36F7F185" w14:textId="3B4B5A5A"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Kepenų ligos (pvz., kepenų adenoma).</w:t>
      </w:r>
    </w:p>
    <w:p w14:paraId="60F94904" w14:textId="2F63405A"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Cukrinis diabetas, su kraujagyslių pažeidimu arba be jo.</w:t>
      </w:r>
    </w:p>
    <w:p w14:paraId="56730627" w14:textId="15B28DD1"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Cholelitiazė.</w:t>
      </w:r>
    </w:p>
    <w:p w14:paraId="15BFEEFF" w14:textId="146C0133"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Migrena arba (stiprūs) galvos skausmai.</w:t>
      </w:r>
    </w:p>
    <w:p w14:paraId="7F406488" w14:textId="7E0196E4"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Sisteminė raudonoji vilkligė.</w:t>
      </w:r>
    </w:p>
    <w:p w14:paraId="645DA293" w14:textId="7E6D4239" w:rsidR="004C5B03" w:rsidRPr="004C5B03" w:rsidRDefault="004C5B03" w:rsidP="004C5B03">
      <w:pPr>
        <w:ind w:left="567" w:hanging="567"/>
        <w:rPr>
          <w:lang w:val="lt-LT" w:bidi="he-IL"/>
        </w:rPr>
      </w:pPr>
      <w:r w:rsidRPr="006E2C36">
        <w:rPr>
          <w:lang w:val="lt-LT"/>
        </w:rPr>
        <w:t>–</w:t>
      </w:r>
      <w:r w:rsidRPr="006E2C36">
        <w:rPr>
          <w:lang w:val="lt-LT"/>
        </w:rPr>
        <w:tab/>
      </w:r>
      <w:r w:rsidRPr="004C5B03">
        <w:rPr>
          <w:lang w:val="lt-LT" w:bidi="he-IL"/>
        </w:rPr>
        <w:t>Praeityje diagnozuota endometriumo hiperplazija (žr. žemiau).</w:t>
      </w:r>
    </w:p>
    <w:p w14:paraId="7732D444" w14:textId="4D97AC1F"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Epilepsija.</w:t>
      </w:r>
    </w:p>
    <w:p w14:paraId="74061FFF" w14:textId="43D3808E"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Bronchinė astma.</w:t>
      </w:r>
    </w:p>
    <w:p w14:paraId="2A067E09" w14:textId="7017EBD3"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Otosklerozė.</w:t>
      </w:r>
    </w:p>
    <w:p w14:paraId="561DF79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6B0FB6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u w:val="single"/>
          <w:lang w:val="lt-LT" w:bidi="he-IL"/>
        </w:rPr>
        <w:t>Atvejai, kai būtina nedelsiant nutraukti vaistinio preparato vartojimą:</w:t>
      </w:r>
    </w:p>
    <w:p w14:paraId="5EAA8A0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F7EB51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Gydymą reikia nutraukti, jei atsiranda bet kuri iš vaistinio preparato vartojimo kontraindikacijų, bei šiais atvejais:</w:t>
      </w:r>
    </w:p>
    <w:p w14:paraId="4AF61F2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F16E9CC" w14:textId="6D56CD02"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 xml:space="preserve">Atsiradus geltai arba sutrikus kepenų funkcijai. </w:t>
      </w:r>
    </w:p>
    <w:p w14:paraId="0D1418E5" w14:textId="47CD643A"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Labai padidėjus kraujospūdžiui.</w:t>
      </w:r>
    </w:p>
    <w:p w14:paraId="570BBE3D" w14:textId="4542AF0C"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Atsiradus migreniniams galvos skausmams.</w:t>
      </w:r>
    </w:p>
    <w:p w14:paraId="788E1B13" w14:textId="497F4C5D"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Pastojus.</w:t>
      </w:r>
    </w:p>
    <w:p w14:paraId="7EB19DD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F011758"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Endometriumo hiperplazija ir karcinoma</w:t>
      </w:r>
    </w:p>
    <w:p w14:paraId="67E98DD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5F46414"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Moterims, kurioms gimda nepašalinta, ilgesnį laiką vartojant vien estrogenų, padidėja endometriumo hiperplazijos ir karcinomos rizika. Nustatyta, kad tik estrogenų preparatus vartojančioms moterims rizika susirgti endometriumo vėžiu, priklausomai nuo gydymo trukmės ir estrogenų dozės, yra nuo 2 iki 12 kartų didesnė nei nevartojančioms moterims (žr. 4.8 skyrių). Nutraukus gydymą, ši rizika gali išlikti padidėjusi mažiausiai 10 metų.</w:t>
      </w:r>
    </w:p>
    <w:p w14:paraId="0BB0125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CBD04A5"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Moterims, kurioms nepašalinta gimda, cikliškai pridėjus progestageno mažiausiai 12 dienų per mėnesį/28 dienų ciklą arba vartojant nepertraukiamą sudėtinę estrogenų</w:t>
      </w:r>
      <w:r w:rsidRPr="004C5B03">
        <w:rPr>
          <w:rFonts w:asciiTheme="majorBidi" w:hAnsiTheme="majorBidi" w:cstheme="majorBidi"/>
          <w:szCs w:val="22"/>
          <w:lang w:val="lt-LT" w:bidi="he-IL"/>
        </w:rPr>
        <w:noBreakHyphen/>
        <w:t xml:space="preserve">progestagenų terapiją, rizika, susijusi su vien estrogenų vartojimu, nepadidėja. </w:t>
      </w:r>
    </w:p>
    <w:p w14:paraId="7A683B1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BB05CB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Pirmaisiais gydymo mėnesiais gali prasidėti kraujavimas arba atsirasti tepančių išskyrų iš lyties organų. Jeigu kraujavimas arba tepančios išskyros iš genitalijų tęsiasi ilgiau nei kelis pirmuosius gydymo mėnesius, atsiranda jau kurį laiką vartojant vaistinio preparato arba nepraeina net ir nutraukus vaistinio preparato vartojimą, būtina nustatyti šio reiškinio priežastį ir, jei būtina, atlikti endometriumo biopsiją, kad būtų atmesta endometriumo karcinomos diagnozė.</w:t>
      </w:r>
    </w:p>
    <w:p w14:paraId="07E2A81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D571D46"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Krūties vėžys</w:t>
      </w:r>
    </w:p>
    <w:p w14:paraId="320AD2A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43F6046" w14:textId="2D760F85" w:rsidR="004C5B03" w:rsidRPr="004C5B03" w:rsidRDefault="00F87BD9" w:rsidP="004C5B03">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lastRenderedPageBreak/>
        <w:t>Iš bendrų įrodymų matyti, kad</w:t>
      </w:r>
      <w:r w:rsidR="004C5B03" w:rsidRPr="004C5B03">
        <w:rPr>
          <w:rFonts w:asciiTheme="majorBidi" w:hAnsiTheme="majorBidi" w:cstheme="majorBidi"/>
          <w:szCs w:val="22"/>
          <w:lang w:val="lt-LT" w:bidi="he-IL"/>
        </w:rPr>
        <w:t xml:space="preserve"> moterims, vartojančioms sudėtin</w:t>
      </w:r>
      <w:r>
        <w:rPr>
          <w:rFonts w:asciiTheme="majorBidi" w:hAnsiTheme="majorBidi" w:cstheme="majorBidi"/>
          <w:szCs w:val="22"/>
          <w:lang w:val="lt-LT" w:bidi="he-IL"/>
        </w:rPr>
        <w:t>ius</w:t>
      </w:r>
      <w:r w:rsidR="004C5B03" w:rsidRPr="004C5B03">
        <w:rPr>
          <w:rFonts w:asciiTheme="majorBidi" w:hAnsiTheme="majorBidi" w:cstheme="majorBidi"/>
          <w:szCs w:val="22"/>
          <w:lang w:val="lt-LT" w:bidi="he-IL"/>
        </w:rPr>
        <w:t xml:space="preserve"> PHT</w:t>
      </w:r>
      <w:r>
        <w:rPr>
          <w:rFonts w:asciiTheme="majorBidi" w:hAnsiTheme="majorBidi" w:cstheme="majorBidi"/>
          <w:szCs w:val="22"/>
          <w:lang w:val="lt-LT" w:bidi="he-IL"/>
        </w:rPr>
        <w:t xml:space="preserve"> preparatus su estrogeno ir progestageno deriniu arba PHT preparatus su vienu estrogenu, kyla didesnė krūties vėžio rizika, kuri priklauso </w:t>
      </w:r>
      <w:r w:rsidR="004C5B03" w:rsidRPr="004C5B03">
        <w:rPr>
          <w:rFonts w:asciiTheme="majorBidi" w:hAnsiTheme="majorBidi" w:cstheme="majorBidi"/>
          <w:szCs w:val="22"/>
          <w:lang w:val="lt-LT" w:bidi="he-IL"/>
        </w:rPr>
        <w:t xml:space="preserve"> nuo PHT </w:t>
      </w:r>
      <w:r>
        <w:rPr>
          <w:rFonts w:asciiTheme="majorBidi" w:hAnsiTheme="majorBidi" w:cstheme="majorBidi"/>
          <w:szCs w:val="22"/>
          <w:lang w:val="lt-LT" w:bidi="he-IL"/>
        </w:rPr>
        <w:t xml:space="preserve">preparatų </w:t>
      </w:r>
      <w:r w:rsidR="004C5B03" w:rsidRPr="004C5B03">
        <w:rPr>
          <w:rFonts w:asciiTheme="majorBidi" w:hAnsiTheme="majorBidi" w:cstheme="majorBidi"/>
          <w:szCs w:val="22"/>
          <w:lang w:val="lt-LT" w:bidi="he-IL"/>
        </w:rPr>
        <w:t>vartojimo trukmės.</w:t>
      </w:r>
    </w:p>
    <w:p w14:paraId="6E5D4BF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C37800C" w14:textId="43F50098" w:rsidR="004C5B03" w:rsidRPr="004C5B03" w:rsidRDefault="00DC5FF7" w:rsidP="004C5B03">
      <w:pPr>
        <w:tabs>
          <w:tab w:val="clear" w:pos="567"/>
        </w:tabs>
        <w:suppressAutoHyphens w:val="0"/>
        <w:rPr>
          <w:rFonts w:asciiTheme="majorBidi" w:hAnsiTheme="majorBidi" w:cstheme="majorBidi"/>
          <w:szCs w:val="22"/>
          <w:lang w:val="lt-LT" w:bidi="he-IL"/>
        </w:rPr>
      </w:pPr>
      <w:r w:rsidRPr="009A5B9C">
        <w:rPr>
          <w:rFonts w:asciiTheme="majorBidi" w:hAnsiTheme="majorBidi" w:cstheme="majorBidi"/>
          <w:szCs w:val="22"/>
          <w:lang w:val="lt-LT" w:bidi="he-IL"/>
        </w:rPr>
        <w:t>Atlikus atsitiktini</w:t>
      </w:r>
      <w:r>
        <w:rPr>
          <w:rFonts w:asciiTheme="majorBidi" w:hAnsiTheme="majorBidi" w:cstheme="majorBidi"/>
          <w:szCs w:val="22"/>
          <w:lang w:val="lt-LT" w:bidi="he-IL"/>
        </w:rPr>
        <w:t>ų imčių</w:t>
      </w:r>
      <w:r w:rsidR="004C5B03" w:rsidRPr="004C5B03">
        <w:rPr>
          <w:rFonts w:asciiTheme="majorBidi" w:hAnsiTheme="majorBidi" w:cstheme="majorBidi"/>
          <w:szCs w:val="22"/>
          <w:lang w:val="lt-LT" w:bidi="he-IL"/>
        </w:rPr>
        <w:t>, placebu kontroliuojam</w:t>
      </w:r>
      <w:r>
        <w:rPr>
          <w:rFonts w:asciiTheme="majorBidi" w:hAnsiTheme="majorBidi" w:cstheme="majorBidi"/>
          <w:szCs w:val="22"/>
          <w:lang w:val="lt-LT" w:bidi="he-IL"/>
        </w:rPr>
        <w:t>ą</w:t>
      </w:r>
      <w:r w:rsidR="004C5B03" w:rsidRPr="004C5B03">
        <w:rPr>
          <w:rFonts w:asciiTheme="majorBidi" w:hAnsiTheme="majorBidi" w:cstheme="majorBidi"/>
          <w:szCs w:val="22"/>
          <w:lang w:val="lt-LT" w:bidi="he-IL"/>
        </w:rPr>
        <w:t xml:space="preserve"> tyrim</w:t>
      </w:r>
      <w:r>
        <w:rPr>
          <w:rFonts w:asciiTheme="majorBidi" w:hAnsiTheme="majorBidi" w:cstheme="majorBidi"/>
          <w:szCs w:val="22"/>
          <w:lang w:val="lt-LT" w:bidi="he-IL"/>
        </w:rPr>
        <w:t xml:space="preserve">ą </w:t>
      </w:r>
      <w:r w:rsidRPr="004C5B03">
        <w:rPr>
          <w:rFonts w:asciiTheme="majorBidi" w:hAnsiTheme="majorBidi" w:cstheme="majorBidi"/>
          <w:szCs w:val="22"/>
          <w:lang w:val="lt-LT" w:bidi="he-IL"/>
        </w:rPr>
        <w:t>WHI</w:t>
      </w:r>
      <w:r>
        <w:rPr>
          <w:rFonts w:asciiTheme="majorBidi" w:hAnsiTheme="majorBidi" w:cstheme="majorBidi"/>
          <w:szCs w:val="22"/>
          <w:lang w:val="lt-LT" w:bidi="he-IL"/>
        </w:rPr>
        <w:t xml:space="preserve"> (</w:t>
      </w:r>
      <w:r w:rsidR="004C5B03" w:rsidRPr="004C5B03">
        <w:rPr>
          <w:rFonts w:asciiTheme="majorBidi" w:hAnsiTheme="majorBidi" w:cstheme="majorBidi"/>
          <w:szCs w:val="22"/>
          <w:lang w:val="lt-LT" w:bidi="he-IL"/>
        </w:rPr>
        <w:t xml:space="preserve">Moterų </w:t>
      </w:r>
      <w:r>
        <w:rPr>
          <w:rFonts w:asciiTheme="majorBidi" w:hAnsiTheme="majorBidi" w:cstheme="majorBidi"/>
          <w:szCs w:val="22"/>
          <w:lang w:val="lt-LT" w:bidi="he-IL"/>
        </w:rPr>
        <w:t>s</w:t>
      </w:r>
      <w:r w:rsidR="004C5B03" w:rsidRPr="004C5B03">
        <w:rPr>
          <w:rFonts w:asciiTheme="majorBidi" w:hAnsiTheme="majorBidi" w:cstheme="majorBidi"/>
          <w:szCs w:val="22"/>
          <w:lang w:val="lt-LT" w:bidi="he-IL"/>
        </w:rPr>
        <w:t xml:space="preserve">veikatos </w:t>
      </w:r>
      <w:r>
        <w:rPr>
          <w:rFonts w:asciiTheme="majorBidi" w:hAnsiTheme="majorBidi" w:cstheme="majorBidi"/>
          <w:szCs w:val="22"/>
          <w:lang w:val="lt-LT" w:bidi="he-IL"/>
        </w:rPr>
        <w:t>i</w:t>
      </w:r>
      <w:r w:rsidR="004C5B03" w:rsidRPr="004C5B03">
        <w:rPr>
          <w:rFonts w:asciiTheme="majorBidi" w:hAnsiTheme="majorBidi" w:cstheme="majorBidi"/>
          <w:szCs w:val="22"/>
          <w:lang w:val="lt-LT" w:bidi="he-IL"/>
        </w:rPr>
        <w:t>niciatyvos tyrim</w:t>
      </w:r>
      <w:r>
        <w:rPr>
          <w:rFonts w:asciiTheme="majorBidi" w:hAnsiTheme="majorBidi" w:cstheme="majorBidi"/>
          <w:szCs w:val="22"/>
          <w:lang w:val="lt-LT" w:bidi="he-IL"/>
        </w:rPr>
        <w:t xml:space="preserve">as, angl. </w:t>
      </w:r>
      <w:r w:rsidRPr="009A5B9C">
        <w:rPr>
          <w:rFonts w:asciiTheme="majorBidi" w:hAnsiTheme="majorBidi" w:cstheme="majorBidi"/>
          <w:i/>
          <w:iCs/>
          <w:szCs w:val="22"/>
          <w:lang w:val="lt-LT" w:bidi="he-IL"/>
        </w:rPr>
        <w:t>Women‘s Health Initiative</w:t>
      </w:r>
      <w:r w:rsidR="004C5B03"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ir prospektyvinių</w:t>
      </w:r>
      <w:r w:rsidRPr="004C5B03">
        <w:rPr>
          <w:rFonts w:asciiTheme="majorBidi" w:hAnsiTheme="majorBidi" w:cstheme="majorBidi"/>
          <w:szCs w:val="22"/>
          <w:lang w:val="lt-LT" w:bidi="he-IL"/>
        </w:rPr>
        <w:t xml:space="preserve"> </w:t>
      </w:r>
      <w:r w:rsidR="004C5B03" w:rsidRPr="004C5B03">
        <w:rPr>
          <w:rFonts w:asciiTheme="majorBidi" w:hAnsiTheme="majorBidi" w:cstheme="majorBidi"/>
          <w:szCs w:val="22"/>
          <w:lang w:val="lt-LT" w:bidi="he-IL"/>
        </w:rPr>
        <w:t xml:space="preserve">epidemiologinių tyrimų </w:t>
      </w:r>
      <w:r>
        <w:rPr>
          <w:rFonts w:asciiTheme="majorBidi" w:hAnsiTheme="majorBidi" w:cstheme="majorBidi"/>
          <w:szCs w:val="22"/>
          <w:lang w:val="lt-LT" w:bidi="he-IL"/>
        </w:rPr>
        <w:t xml:space="preserve">metaanalizę, patvirtinta, kad sudėtinius PHT preparatus su estrogeno ir progestageno deriniu </w:t>
      </w:r>
      <w:r w:rsidRPr="004C5B03">
        <w:rPr>
          <w:rFonts w:asciiTheme="majorBidi" w:hAnsiTheme="majorBidi" w:cstheme="majorBidi"/>
          <w:szCs w:val="22"/>
          <w:lang w:val="lt-LT" w:bidi="he-IL"/>
        </w:rPr>
        <w:t>vartojančioms moterims</w:t>
      </w:r>
      <w:r>
        <w:rPr>
          <w:rFonts w:asciiTheme="majorBidi" w:hAnsiTheme="majorBidi" w:cstheme="majorBidi"/>
          <w:szCs w:val="22"/>
          <w:lang w:val="lt-LT" w:bidi="he-IL"/>
        </w:rPr>
        <w:t xml:space="preserve"> kyla didesnė</w:t>
      </w:r>
      <w:r w:rsidR="004C5B03" w:rsidRPr="004C5B03">
        <w:rPr>
          <w:rFonts w:asciiTheme="majorBidi" w:hAnsiTheme="majorBidi" w:cstheme="majorBidi"/>
          <w:szCs w:val="22"/>
          <w:lang w:val="lt-LT" w:bidi="he-IL"/>
        </w:rPr>
        <w:t xml:space="preserve"> krūties vėžio rizik</w:t>
      </w:r>
      <w:r>
        <w:rPr>
          <w:rFonts w:asciiTheme="majorBidi" w:hAnsiTheme="majorBidi" w:cstheme="majorBidi"/>
          <w:szCs w:val="22"/>
          <w:lang w:val="lt-LT" w:bidi="he-IL"/>
        </w:rPr>
        <w:t>a</w:t>
      </w:r>
      <w:r w:rsidR="004C5B03" w:rsidRPr="004C5B03">
        <w:rPr>
          <w:rFonts w:asciiTheme="majorBidi" w:hAnsiTheme="majorBidi" w:cstheme="majorBidi"/>
          <w:szCs w:val="22"/>
          <w:lang w:val="lt-LT" w:bidi="he-IL"/>
        </w:rPr>
        <w:t xml:space="preserve">, kuri išryškėja </w:t>
      </w:r>
      <w:r>
        <w:rPr>
          <w:rFonts w:asciiTheme="majorBidi" w:hAnsiTheme="majorBidi" w:cstheme="majorBidi"/>
          <w:szCs w:val="22"/>
          <w:lang w:val="lt-LT" w:bidi="he-IL"/>
        </w:rPr>
        <w:t xml:space="preserve">po </w:t>
      </w:r>
      <w:r w:rsidR="004C5B03" w:rsidRPr="004C5B03">
        <w:rPr>
          <w:rFonts w:asciiTheme="majorBidi" w:hAnsiTheme="majorBidi" w:cstheme="majorBidi"/>
          <w:szCs w:val="22"/>
          <w:lang w:val="lt-LT" w:bidi="he-IL"/>
        </w:rPr>
        <w:t>maždaug 3</w:t>
      </w:r>
      <w:r>
        <w:rPr>
          <w:rFonts w:asciiTheme="majorBidi" w:hAnsiTheme="majorBidi" w:cstheme="majorBidi"/>
          <w:szCs w:val="22"/>
          <w:lang w:val="lt-LT" w:bidi="he-IL"/>
        </w:rPr>
        <w:t xml:space="preserve"> (1-4)</w:t>
      </w:r>
      <w:r w:rsidR="001D6AB8">
        <w:rPr>
          <w:rFonts w:asciiTheme="majorBidi" w:hAnsiTheme="majorBidi" w:cstheme="majorBidi"/>
          <w:szCs w:val="22"/>
          <w:lang w:val="lt-LT" w:bidi="he-IL"/>
        </w:rPr>
        <w:t> </w:t>
      </w:r>
      <w:r w:rsidR="004C5B03" w:rsidRPr="004C5B03">
        <w:rPr>
          <w:rFonts w:asciiTheme="majorBidi" w:hAnsiTheme="majorBidi" w:cstheme="majorBidi"/>
          <w:szCs w:val="22"/>
          <w:lang w:val="lt-LT" w:bidi="he-IL"/>
        </w:rPr>
        <w:t>metų (žr. 4.8 skyrių).</w:t>
      </w:r>
    </w:p>
    <w:p w14:paraId="48380D0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9586FA8" w14:textId="04403159" w:rsidR="004C5B03" w:rsidRPr="004C5B03" w:rsidRDefault="00DC5FF7" w:rsidP="004C5B03">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Didelės apimties metaanalizė atskleidė, kad </w:t>
      </w:r>
      <w:r w:rsidR="004C5B03" w:rsidRPr="004C5B03">
        <w:rPr>
          <w:rFonts w:asciiTheme="majorBidi" w:hAnsiTheme="majorBidi" w:cstheme="majorBidi"/>
          <w:szCs w:val="22"/>
          <w:lang w:val="lt-LT" w:bidi="he-IL"/>
        </w:rPr>
        <w:t xml:space="preserve"> nutraukus</w:t>
      </w:r>
      <w:r>
        <w:rPr>
          <w:rFonts w:asciiTheme="majorBidi" w:hAnsiTheme="majorBidi" w:cstheme="majorBidi"/>
          <w:szCs w:val="22"/>
          <w:lang w:val="lt-LT" w:bidi="he-IL"/>
        </w:rPr>
        <w:t xml:space="preserve"> gydymą, padidėjusi rizika ilgainiui sumažės, o laikas, per kurį rizika sumažėja iki </w:t>
      </w:r>
      <w:r w:rsidR="004C5B03" w:rsidRPr="004C5B03">
        <w:rPr>
          <w:rFonts w:asciiTheme="majorBidi" w:hAnsiTheme="majorBidi" w:cstheme="majorBidi"/>
          <w:szCs w:val="22"/>
          <w:lang w:val="lt-LT" w:bidi="he-IL"/>
        </w:rPr>
        <w:t>pradin</w:t>
      </w:r>
      <w:r>
        <w:rPr>
          <w:rFonts w:asciiTheme="majorBidi" w:hAnsiTheme="majorBidi" w:cstheme="majorBidi"/>
          <w:szCs w:val="22"/>
          <w:lang w:val="lt-LT" w:bidi="he-IL"/>
        </w:rPr>
        <w:t>io</w:t>
      </w:r>
      <w:r w:rsidR="004C5B03" w:rsidRPr="004C5B03">
        <w:rPr>
          <w:rFonts w:asciiTheme="majorBidi" w:hAnsiTheme="majorBidi" w:cstheme="majorBidi"/>
          <w:szCs w:val="22"/>
          <w:lang w:val="lt-LT" w:bidi="he-IL"/>
        </w:rPr>
        <w:t xml:space="preserve"> lygį</w:t>
      </w:r>
      <w:r>
        <w:rPr>
          <w:rFonts w:asciiTheme="majorBidi" w:hAnsiTheme="majorBidi" w:cstheme="majorBidi"/>
          <w:szCs w:val="22"/>
          <w:lang w:val="lt-LT" w:bidi="he-IL"/>
        </w:rPr>
        <w:t xml:space="preserve">io, priklauso nuo anksčiau taikytos PHT trukmės. Jeigu PHT taikyta daugiau kaip </w:t>
      </w:r>
      <w:r w:rsidR="004C5B03" w:rsidRPr="004C5B03">
        <w:rPr>
          <w:rFonts w:asciiTheme="majorBidi" w:hAnsiTheme="majorBidi" w:cstheme="majorBidi"/>
          <w:szCs w:val="22"/>
          <w:lang w:val="lt-LT" w:bidi="he-IL"/>
        </w:rPr>
        <w:t xml:space="preserve"> 5 metus</w:t>
      </w:r>
      <w:r>
        <w:rPr>
          <w:rFonts w:asciiTheme="majorBidi" w:hAnsiTheme="majorBidi" w:cstheme="majorBidi"/>
          <w:szCs w:val="22"/>
          <w:lang w:val="lt-LT" w:bidi="he-IL"/>
        </w:rPr>
        <w:t>, tokia rizika gali išlikti 10 metų ir ilgiau</w:t>
      </w:r>
      <w:r w:rsidR="004C5B03" w:rsidRPr="004C5B03">
        <w:rPr>
          <w:rFonts w:asciiTheme="majorBidi" w:hAnsiTheme="majorBidi" w:cstheme="majorBidi"/>
          <w:szCs w:val="22"/>
          <w:lang w:val="lt-LT" w:bidi="he-IL"/>
        </w:rPr>
        <w:t>.</w:t>
      </w:r>
    </w:p>
    <w:p w14:paraId="40C036A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8FD8E7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PHT, ypač kombinuotas gydymas estrogenais-progestagenais, didina mamografinį krūties tankį, o tai gali turėti neigiamos įtakos, atliekant radiologinę krūties vėžio diagnostiką.</w:t>
      </w:r>
    </w:p>
    <w:p w14:paraId="224F575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8D6F5A7"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Kiaušidžių vėžys</w:t>
      </w:r>
    </w:p>
    <w:p w14:paraId="499AFF54"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p>
    <w:p w14:paraId="5A42166D"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Kiaušidžių vėžiu sergama  daug rečiau nei krūties vėžys.  Epidemiologiniai didelės metaanalizės duomenys leidžia manyti, kad moterims, kurios vartoja PHT preparatų su vienu estrogenu arba sudėtinių PHT preparatų, kuriuose yra estrogeno ir progesterono, rizika, kuri pasireiškia per 5 šių preparatų vartojimo metus, būna šiek tiek didesnė ir ji, nustojus vartoti minėtų preparatų, per laiką sumažėja.</w:t>
      </w:r>
    </w:p>
    <w:p w14:paraId="3463366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Kai kurie kiti tyrimai, įskaitant MSI tyrimą, leidžia manyti, kad sudėtinių PHT preparatų vartojimas gali būti susijęs su panašia arba šiek tiek mažesne rizika(žr. 4.8 skyrių).</w:t>
      </w:r>
    </w:p>
    <w:p w14:paraId="5D2BE3D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7D08CB0" w14:textId="77777777" w:rsidR="004C5B03" w:rsidRPr="00DC5FF7" w:rsidRDefault="004C5B03" w:rsidP="004C5B03">
      <w:pPr>
        <w:tabs>
          <w:tab w:val="clear" w:pos="567"/>
        </w:tabs>
        <w:suppressAutoHyphens w:val="0"/>
        <w:rPr>
          <w:rFonts w:asciiTheme="majorBidi" w:hAnsiTheme="majorBidi" w:cstheme="majorBidi"/>
          <w:szCs w:val="22"/>
          <w:lang w:val="lt-LT" w:bidi="he-IL"/>
        </w:rPr>
      </w:pPr>
      <w:r w:rsidRPr="00DC5FF7">
        <w:rPr>
          <w:rFonts w:asciiTheme="majorBidi" w:hAnsiTheme="majorBidi" w:cstheme="majorBidi"/>
          <w:szCs w:val="22"/>
          <w:u w:val="single"/>
          <w:lang w:val="lt-LT" w:bidi="he-IL"/>
        </w:rPr>
        <w:t>Venų tromboembolija</w:t>
      </w:r>
    </w:p>
    <w:p w14:paraId="16B2371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DF96B6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Vartojant PHT, rizika susirgti venų tromboembolija (VTE), t.y. giliųjų venų tromboze arba plaučių embolija padidėja nuo 1,3 iki 3 kartų. Tikimybė pasireikšti šioms ligoms per pirmuosius PHT vartojimo metus yra didesnė, nei vėliau (žr. 4.8 skyrių).</w:t>
      </w:r>
    </w:p>
    <w:p w14:paraId="749AA27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B578AB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Rizika susirgti VTE pacientėms su trombofiline būkle yra didesnė ir PHT šią riziką gali dar labiau padidinti. Todėl tokioms pacientėms PHT vartoti negalima (žr. 4.3 skyrių).</w:t>
      </w:r>
    </w:p>
    <w:p w14:paraId="1871867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63F6F8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Žinoma, kad VTE rizikos veiksniai yra estrogenų vartojimas, vyresnis amžius, didelės apimties chirurginė intervencija, ilgalaikė imobilizacija, nutukimas (KMI &gt; 30 kg/m</w:t>
      </w:r>
      <w:r w:rsidRPr="004C5B03">
        <w:rPr>
          <w:rFonts w:asciiTheme="majorBidi" w:hAnsiTheme="majorBidi" w:cstheme="majorBidi"/>
          <w:szCs w:val="22"/>
          <w:vertAlign w:val="superscript"/>
          <w:lang w:val="lt-LT" w:bidi="he-IL"/>
        </w:rPr>
        <w:t>2</w:t>
      </w:r>
      <w:r w:rsidRPr="004C5B03">
        <w:rPr>
          <w:rFonts w:asciiTheme="majorBidi" w:hAnsiTheme="majorBidi" w:cstheme="majorBidi"/>
          <w:szCs w:val="22"/>
          <w:lang w:val="lt-LT" w:bidi="he-IL"/>
        </w:rPr>
        <w:t>), nėštumas/pogimdinis laikotarpis, sisteminė raudonoji vilkligė (SRV) bei vėžys. Nėra bendros nuostatos apie galimą varikozinių venų įtaką VTE atsiradimui.</w:t>
      </w:r>
    </w:p>
    <w:p w14:paraId="5AA7272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996B09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Kaip ir visiems pacientams, pooperaciniu laikotarpiu būtina apsvarstyti galimybę imtis profilaktinių priemonių prieš galimas pooperacines tromboembolines venų komplikacijas. Jeigu planuojama chirurginė intervencija, po kurios numatoma ilgalaikė imobilizacija, likus 4 - 6 savaitėms iki numatomos operacijos rekomenduojama laikinai nutraukti PHT. Vėl pradėti gydymą galima tik tuomet, kai pacientė galės laisvai vaikščioti. </w:t>
      </w:r>
    </w:p>
    <w:p w14:paraId="0501FA3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7E7A8AD"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Moterims, nesirgusioms VTE, tačiau turinčioms pirmos eilės giminaičių sirgusių tromboembolija jauname amžiuje, gali būti pasiūlyta išsitirti dėl VTE, tačiau tik po to, kai bus išsamiai aptartas tyrimo ribotumas (galima pastebėti tik dalį trombofilinių pakitimų).</w:t>
      </w:r>
    </w:p>
    <w:p w14:paraId="4D3ED94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F21555F"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Jeigu nustatytas toks pat trombofilinis defektas, dėl kurio kiti šeimos nariai serga tromboembolija, arba, jeigu defektas yra „sunkus“ (t.y. antitrombino, S baltymo ar C baltymo trūkumas arba keleto šių elementų trūkumas), PHT vartoti negalima.</w:t>
      </w:r>
    </w:p>
    <w:p w14:paraId="3CD517A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5F8F1C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lastRenderedPageBreak/>
        <w:t>Reikia atidžiai įvertinti PHT skyrimo naudos ir rizikos santykį moterims, kurios nuolat vartoja antikoaguliacinius vaistus.</w:t>
      </w:r>
    </w:p>
    <w:p w14:paraId="4A603B2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8CA3B8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 VTE atsiranda pradėjus gydymą, vaistinio preparato vartojimą reikia nutraukti. Pacientes reikia įspėti, kad jeigu jos pajunta tromboembolinėms komplikacijoms būdingus simptomus (pvz., skausmingas kojų patinimas, staigus skausmas krūtinėje, dusulys), būtina nedelsiant kreiptis į savo gydytoją.</w:t>
      </w:r>
    </w:p>
    <w:p w14:paraId="315AAD9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EC35EBC"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Vainikinių arterijų liga (VAL)</w:t>
      </w:r>
    </w:p>
    <w:p w14:paraId="2816586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C4AE01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Randomizuotų kontroliuojamų tyrimų duomenimis negalima nustatyti, ar moterys, vartojančios sudėtinę estrogenų-progestagenų arba tik estrogenų PHT, nepriklausomai, ar jos serga VAL, ar ne, yra apsaugotos nuo miokardo infarkto. </w:t>
      </w:r>
    </w:p>
    <w:p w14:paraId="5F84407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FAA6C0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Vartojant sudėtinę estrogenų-progestagenų PHT, santykinė rizika susirgti VAL šiek tiek padidėja. Kadangi VAL bendra bazinė rizika labai priklauso nuo amžiaus, sveikoms moterims, kurioms turėtų greitai prasidėti menopauzė, papildomų VAL atvejų, dėl estrogenų-progestagenų vartojimo, pasitaiko labai retai. Tačiau, tokių atvejų padaugėja žymiai vyresniame amžiuje.</w:t>
      </w:r>
    </w:p>
    <w:p w14:paraId="77FFFF7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2F97DC9"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Išeminis insultas</w:t>
      </w:r>
    </w:p>
    <w:p w14:paraId="285B48FC"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p>
    <w:p w14:paraId="510BB18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Vartojant sudėtinę estrogenų-progestagenų ir vien estrogenų terapiją, išeminio insulto rizika padidėja 1,5 karto. Santykinė rizika nepriklauso nuo amžiaus ar laiko nuo menopauzės. Tačiau, kadangi insulto bazinė rizika labai piklauso nuo amžiaus, moterims, vartojančioms PHT, bendra rizika susirgti išeminiu insultu didėja su amžiumi (žr. 4.8 skyrių).</w:t>
      </w:r>
    </w:p>
    <w:p w14:paraId="48A67AE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5C60194"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Hipotiroidizmas</w:t>
      </w:r>
    </w:p>
    <w:p w14:paraId="50BC58BD" w14:textId="6EB5DA7B"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Pacientėms, kurioms paskirtas skydliaukės hormonų pakaitinis gydymas, reikia reguliariai tirti skydliaukės veiklą PHT vartojimo metu, tam, kad įsitikinti, jog skydliaukės hormonai yra normos ribose.</w:t>
      </w:r>
    </w:p>
    <w:p w14:paraId="7B16EAE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93E8F43"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Kitos būklės</w:t>
      </w:r>
    </w:p>
    <w:p w14:paraId="300AD42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A7AD68F"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Estrogenai gali skatinti skysčių kaupimąsi organizme, todėl pacientes, kurių sutrikusi širdies arba inkstų veikla, reikia atidžiai stebėti. </w:t>
      </w:r>
    </w:p>
    <w:p w14:paraId="4585EA5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D7CD763" w14:textId="2E88599C" w:rsid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Moteris, kurioms nustatyta hipertrigliceridemija, estrogenų terapijos arba PHT metu būtina atidžiai stebėti, kadangi žinoma retų atvejų, kai dėl estrogenų smarkiai padidėjo trigliceridų koncentracija kraujo plazmoje, o tai sukėlė pankreatitą.</w:t>
      </w:r>
    </w:p>
    <w:p w14:paraId="3FE26F71" w14:textId="6CDA1D9C" w:rsidR="00F62B8C" w:rsidRDefault="00F62B8C" w:rsidP="004C5B03">
      <w:pPr>
        <w:tabs>
          <w:tab w:val="clear" w:pos="567"/>
        </w:tabs>
        <w:suppressAutoHyphens w:val="0"/>
        <w:rPr>
          <w:rFonts w:asciiTheme="majorBidi" w:hAnsiTheme="majorBidi" w:cstheme="majorBidi"/>
          <w:szCs w:val="22"/>
          <w:lang w:val="lt-LT" w:bidi="he-IL"/>
        </w:rPr>
      </w:pPr>
    </w:p>
    <w:p w14:paraId="7F1B4A72" w14:textId="0A242215" w:rsidR="00F62B8C" w:rsidRPr="006E2C36" w:rsidRDefault="00A401F7" w:rsidP="00A401F7">
      <w:pPr>
        <w:rPr>
          <w:lang w:val="lt-LT"/>
        </w:rPr>
      </w:pPr>
      <w:r w:rsidRPr="00A401F7">
        <w:rPr>
          <w:lang w:val="lt-LT"/>
        </w:rPr>
        <w:t>Egzogeniniai estrogenai gali sukelti arba pasunkinti paveldimos arba įgytos angioedemos simptomus.</w:t>
      </w:r>
    </w:p>
    <w:p w14:paraId="795FD67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CB47E55"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Estrogenai didina skydliaukės hormonus surišančio globulino koncentraciją, o tai savo ruožtu didina cirkuliuojančio bendro skydliaukės hormono koncentraciją, nustatomą atliekant su proteinu surišto jodo tyrimą, T4 (nustatomą frakcionavimo arba radioimuninės analizės metodu) arba T3 (nustatomą radioimuninės analizės metodu) koncentraciją. T3 įsisavinimas sumažėja; tai rodo padidėjusi skydliaukės hormonus surišančio globulino koncentracija. Nesurištų T3 ir T4 koncentracija nepakinta. Gali padidėti ir kitų surišančiųjų baltymų, t. y. kortikosteroidus surišančio globulino, lytinius hormonus surišančio globulino koncentracija kraujo serume, todėl atitinkamai padidėja kortikosteroidų ir lytinių hormonų koncentracija kraujyje. Nesurištų arba biologiškai aktyvių hormonų koncentracija nepakinta. Gali padidėti kitų plazmos baltymų (angiotenzino/renino substrato, alfa-I-antitripsino ir ceruloplazmino) koncentracija.</w:t>
      </w:r>
    </w:p>
    <w:p w14:paraId="635F65B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BBCD6A9" w14:textId="2924A0D6" w:rsidR="0011675D"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lastRenderedPageBreak/>
        <w:t>PHT nepagerina kognityvinės (pažintinės) funkcijos. Kai kurie duomenys leidžia manyti apie galimą padidėjusią demencijos riziką moterims, kurios nepertraukiamą sudėtinę arba tik estrogenų terapiją pradėjo vartoti būdamos vyresnės nei 65 metų amžiaus.</w:t>
      </w:r>
    </w:p>
    <w:p w14:paraId="288A112E" w14:textId="77777777" w:rsidR="004F1857" w:rsidRDefault="004F1857" w:rsidP="004F1857">
      <w:pPr>
        <w:tabs>
          <w:tab w:val="clear" w:pos="567"/>
        </w:tabs>
        <w:suppressAutoHyphens w:val="0"/>
        <w:rPr>
          <w:rFonts w:asciiTheme="majorBidi" w:hAnsiTheme="majorBidi" w:cstheme="majorBidi"/>
          <w:szCs w:val="22"/>
          <w:u w:val="single"/>
          <w:lang w:val="lt-LT" w:bidi="he-IL"/>
        </w:rPr>
      </w:pPr>
    </w:p>
    <w:p w14:paraId="79CF3E23" w14:textId="15604029" w:rsidR="004F1857" w:rsidRPr="00331AA7" w:rsidRDefault="004F1857" w:rsidP="004F1857">
      <w:pPr>
        <w:tabs>
          <w:tab w:val="clear" w:pos="567"/>
        </w:tabs>
        <w:suppressAutoHyphens w:val="0"/>
        <w:rPr>
          <w:rFonts w:asciiTheme="majorBidi" w:hAnsiTheme="majorBidi" w:cstheme="majorBidi"/>
          <w:szCs w:val="22"/>
          <w:u w:val="single"/>
          <w:lang w:val="lt-LT" w:bidi="he-IL"/>
        </w:rPr>
      </w:pPr>
      <w:r w:rsidRPr="00331AA7">
        <w:rPr>
          <w:rFonts w:asciiTheme="majorBidi" w:hAnsiTheme="majorBidi" w:cstheme="majorBidi"/>
          <w:szCs w:val="22"/>
          <w:u w:val="single"/>
          <w:lang w:val="lt-LT" w:bidi="he-IL"/>
        </w:rPr>
        <w:t xml:space="preserve">ALT </w:t>
      </w:r>
      <w:r w:rsidRPr="0070125C">
        <w:rPr>
          <w:noProof w:val="0"/>
          <w:szCs w:val="22"/>
          <w:u w:val="single"/>
          <w:lang w:val="lt-LT"/>
        </w:rPr>
        <w:t>aktyvumo</w:t>
      </w:r>
      <w:r w:rsidRPr="00AC65AA">
        <w:rPr>
          <w:noProof w:val="0"/>
          <w:szCs w:val="22"/>
          <w:u w:val="single"/>
          <w:lang w:val="lt-LT"/>
        </w:rPr>
        <w:t xml:space="preserve"> </w:t>
      </w:r>
      <w:r w:rsidRPr="00331AA7">
        <w:rPr>
          <w:rFonts w:asciiTheme="majorBidi" w:hAnsiTheme="majorBidi" w:cstheme="majorBidi"/>
          <w:szCs w:val="22"/>
          <w:u w:val="single"/>
          <w:lang w:val="lt-LT" w:bidi="he-IL"/>
        </w:rPr>
        <w:t>padidėjimas</w:t>
      </w:r>
    </w:p>
    <w:p w14:paraId="1E8FB748" w14:textId="77777777" w:rsidR="004F1857" w:rsidRDefault="004F1857" w:rsidP="004F1857">
      <w:pPr>
        <w:tabs>
          <w:tab w:val="clear" w:pos="567"/>
        </w:tabs>
        <w:suppressAutoHyphens w:val="0"/>
        <w:rPr>
          <w:rFonts w:asciiTheme="majorBidi" w:hAnsiTheme="majorBidi" w:cstheme="majorBidi"/>
          <w:szCs w:val="22"/>
          <w:lang w:val="lt-LT" w:bidi="he-IL"/>
        </w:rPr>
      </w:pPr>
    </w:p>
    <w:p w14:paraId="0A7714A9" w14:textId="6793C569" w:rsidR="004F1857" w:rsidRDefault="004F1857" w:rsidP="004F1857">
      <w:pPr>
        <w:tabs>
          <w:tab w:val="clear" w:pos="567"/>
        </w:tabs>
        <w:suppressAutoHyphens w:val="0"/>
        <w:rPr>
          <w:rFonts w:asciiTheme="majorBidi" w:hAnsiTheme="majorBidi" w:cstheme="majorBidi"/>
          <w:szCs w:val="22"/>
          <w:lang w:val="lt-LT" w:bidi="he-IL"/>
        </w:rPr>
      </w:pPr>
      <w:r>
        <w:rPr>
          <w:lang w:val="lt-LT"/>
        </w:rPr>
        <w:t>K</w:t>
      </w:r>
      <w:r w:rsidRPr="00331AA7">
        <w:rPr>
          <w:lang w:val="lt-LT"/>
        </w:rPr>
        <w:t>linikiniu</w:t>
      </w:r>
      <w:r>
        <w:rPr>
          <w:lang w:val="lt-LT"/>
        </w:rPr>
        <w:t>o</w:t>
      </w:r>
      <w:r w:rsidRPr="00331AA7">
        <w:rPr>
          <w:lang w:val="lt-LT"/>
        </w:rPr>
        <w:t>s</w:t>
      </w:r>
      <w:r>
        <w:rPr>
          <w:lang w:val="lt-LT"/>
        </w:rPr>
        <w:t>e</w:t>
      </w:r>
      <w:r w:rsidRPr="00331AA7">
        <w:rPr>
          <w:lang w:val="lt-LT"/>
        </w:rPr>
        <w:t xml:space="preserve"> tyrimu</w:t>
      </w:r>
      <w:r>
        <w:rPr>
          <w:lang w:val="lt-LT"/>
        </w:rPr>
        <w:t>o</w:t>
      </w:r>
      <w:r w:rsidRPr="00331AA7">
        <w:rPr>
          <w:lang w:val="lt-LT"/>
        </w:rPr>
        <w:t>s</w:t>
      </w:r>
      <w:r>
        <w:rPr>
          <w:lang w:val="lt-LT"/>
        </w:rPr>
        <w:t>e</w:t>
      </w:r>
      <w:r w:rsidRPr="00331AA7">
        <w:rPr>
          <w:lang w:val="lt-LT"/>
        </w:rPr>
        <w:t xml:space="preserve"> su pacientėmis, gyd</w:t>
      </w:r>
      <w:r>
        <w:rPr>
          <w:lang w:val="lt-LT"/>
        </w:rPr>
        <w:t>yt</w:t>
      </w:r>
      <w:r w:rsidRPr="00331AA7">
        <w:rPr>
          <w:lang w:val="lt-LT"/>
        </w:rPr>
        <w:t>omis nuo hepatito</w:t>
      </w:r>
      <w:r>
        <w:rPr>
          <w:lang w:val="lt-LT"/>
        </w:rPr>
        <w:t> </w:t>
      </w:r>
      <w:r w:rsidRPr="00331AA7">
        <w:rPr>
          <w:lang w:val="lt-LT"/>
        </w:rPr>
        <w:t xml:space="preserve">C viruso (HCV) infekcijų </w:t>
      </w:r>
      <w:r w:rsidRPr="000E2A1A">
        <w:rPr>
          <w:rStyle w:val="rynqvb"/>
          <w:lang w:val="lt-LT"/>
        </w:rPr>
        <w:t xml:space="preserve">kombinuotu vaistinių preparatų </w:t>
      </w:r>
      <w:r w:rsidR="00B66040">
        <w:rPr>
          <w:lang w:val="lt-LT"/>
        </w:rPr>
        <w:t>ombitasviro, paritapreviro</w:t>
      </w:r>
      <w:r>
        <w:rPr>
          <w:lang w:val="lt-LT"/>
        </w:rPr>
        <w:t xml:space="preserve">, </w:t>
      </w:r>
      <w:r w:rsidR="00B66040">
        <w:rPr>
          <w:lang w:val="lt-LT"/>
        </w:rPr>
        <w:t>ritonaviro</w:t>
      </w:r>
      <w:r w:rsidRPr="00331AA7">
        <w:rPr>
          <w:lang w:val="lt-LT"/>
        </w:rPr>
        <w:t xml:space="preserve"> su dasabuviru arba be jo</w:t>
      </w:r>
      <w:r w:rsidR="00B66040">
        <w:rPr>
          <w:lang w:val="lt-LT"/>
        </w:rPr>
        <w:t xml:space="preserve"> deriniu</w:t>
      </w:r>
      <w:r w:rsidRPr="00331AA7">
        <w:rPr>
          <w:lang w:val="lt-LT"/>
        </w:rPr>
        <w:t xml:space="preserve">, </w:t>
      </w:r>
      <w:bookmarkStart w:id="0" w:name="_Hlk94545009"/>
      <w:r w:rsidRPr="00331AA7">
        <w:rPr>
          <w:lang w:val="lt-LT"/>
        </w:rPr>
        <w:t xml:space="preserve">moterims, vartojusioms vaistinius preparatus, kurių sudėtyje yra etinilestradiolo, pvz., sudėtinius hormoninius kontraceptikus (SHK), </w:t>
      </w:r>
      <w:bookmarkEnd w:id="0"/>
      <w:r w:rsidRPr="00331AA7">
        <w:rPr>
          <w:lang w:val="lt-LT"/>
        </w:rPr>
        <w:t xml:space="preserve">ALT </w:t>
      </w:r>
      <w:r>
        <w:rPr>
          <w:noProof w:val="0"/>
          <w:szCs w:val="22"/>
          <w:lang w:val="lt-LT"/>
        </w:rPr>
        <w:t>aktyvumo</w:t>
      </w:r>
      <w:r w:rsidRPr="00AC65AA">
        <w:rPr>
          <w:noProof w:val="0"/>
          <w:szCs w:val="22"/>
          <w:lang w:val="lt-LT"/>
        </w:rPr>
        <w:t xml:space="preserve"> </w:t>
      </w:r>
      <w:r w:rsidRPr="000E2A1A">
        <w:rPr>
          <w:rStyle w:val="rynqvb"/>
          <w:lang w:val="lt-LT"/>
        </w:rPr>
        <w:t>padidėjimas daugiau nei 5 kartus viršijo viršutinę normos ribą (VNR)</w:t>
      </w:r>
      <w:bookmarkStart w:id="1" w:name="_Hlk94545073"/>
      <w:r w:rsidRPr="00331AA7">
        <w:rPr>
          <w:lang w:val="lt-LT"/>
        </w:rPr>
        <w:t xml:space="preserve"> žymiai dažniau</w:t>
      </w:r>
      <w:bookmarkEnd w:id="1"/>
      <w:r w:rsidRPr="00331AA7">
        <w:rPr>
          <w:lang w:val="lt-LT"/>
        </w:rPr>
        <w:t>. Be to, tiriant pacientes, gydytas</w:t>
      </w:r>
      <w:r w:rsidR="00B66040">
        <w:rPr>
          <w:lang w:val="lt-LT"/>
        </w:rPr>
        <w:t xml:space="preserve"> glekapreviru/</w:t>
      </w:r>
      <w:r w:rsidRPr="00331AA7">
        <w:rPr>
          <w:lang w:val="lt-LT"/>
        </w:rPr>
        <w:t xml:space="preserve">pibrentasviru, ALT </w:t>
      </w:r>
      <w:r>
        <w:rPr>
          <w:noProof w:val="0"/>
          <w:szCs w:val="22"/>
          <w:lang w:val="lt-LT"/>
        </w:rPr>
        <w:t>aktyvumo</w:t>
      </w:r>
      <w:r w:rsidRPr="00AC65AA">
        <w:rPr>
          <w:noProof w:val="0"/>
          <w:szCs w:val="22"/>
          <w:lang w:val="lt-LT"/>
        </w:rPr>
        <w:t xml:space="preserve"> </w:t>
      </w:r>
      <w:r w:rsidRPr="00331AA7">
        <w:rPr>
          <w:lang w:val="lt-LT"/>
        </w:rPr>
        <w:t>padidėjimas buvo pastebėtas moterims, vartojusioms vaist</w:t>
      </w:r>
      <w:r>
        <w:rPr>
          <w:lang w:val="lt-LT"/>
        </w:rPr>
        <w:t>ini</w:t>
      </w:r>
      <w:r w:rsidRPr="00331AA7">
        <w:rPr>
          <w:lang w:val="lt-LT"/>
        </w:rPr>
        <w:t>us</w:t>
      </w:r>
      <w:r>
        <w:rPr>
          <w:lang w:val="lt-LT"/>
        </w:rPr>
        <w:t xml:space="preserve"> preparatus</w:t>
      </w:r>
      <w:r w:rsidRPr="00331AA7">
        <w:rPr>
          <w:lang w:val="lt-LT"/>
        </w:rPr>
        <w:t xml:space="preserve">, kurių sudėtyje yra etinilestradiolo, pvz., SHK. </w:t>
      </w:r>
      <w:r w:rsidRPr="000E2A1A">
        <w:rPr>
          <w:rStyle w:val="rynqvb"/>
          <w:lang w:val="lt-LT"/>
        </w:rPr>
        <w:t xml:space="preserve">Moterims, </w:t>
      </w:r>
      <w:r w:rsidRPr="00EF6355">
        <w:rPr>
          <w:noProof w:val="0"/>
          <w:szCs w:val="22"/>
          <w:lang w:val="lt-LT"/>
        </w:rPr>
        <w:t>vartojusioms vaistini</w:t>
      </w:r>
      <w:r>
        <w:rPr>
          <w:noProof w:val="0"/>
          <w:szCs w:val="22"/>
          <w:lang w:val="lt-LT"/>
        </w:rPr>
        <w:t>ų</w:t>
      </w:r>
      <w:r w:rsidRPr="00EF6355">
        <w:rPr>
          <w:noProof w:val="0"/>
          <w:szCs w:val="22"/>
          <w:lang w:val="lt-LT"/>
        </w:rPr>
        <w:t xml:space="preserve"> preparat</w:t>
      </w:r>
      <w:r>
        <w:rPr>
          <w:noProof w:val="0"/>
          <w:szCs w:val="22"/>
          <w:lang w:val="lt-LT"/>
        </w:rPr>
        <w:t>ų</w:t>
      </w:r>
      <w:r w:rsidRPr="000E2A1A">
        <w:rPr>
          <w:rStyle w:val="rynqvb"/>
          <w:lang w:val="lt-LT"/>
        </w:rPr>
        <w:t>, kuri</w:t>
      </w:r>
      <w:r>
        <w:rPr>
          <w:rStyle w:val="rynqvb"/>
          <w:lang w:val="lt-LT"/>
        </w:rPr>
        <w:t xml:space="preserve">ų sudėtyje </w:t>
      </w:r>
      <w:r w:rsidRPr="000E2A1A">
        <w:rPr>
          <w:szCs w:val="22"/>
          <w:lang w:val="lt-LT"/>
        </w:rPr>
        <w:t>buvo kitų nei etinilestradiolis estrogenų,</w:t>
      </w:r>
      <w:r w:rsidRPr="000E2A1A">
        <w:rPr>
          <w:rStyle w:val="rynqvb"/>
          <w:lang w:val="lt-LT"/>
        </w:rPr>
        <w:t xml:space="preserve"> pvz., estradiolis, ALT aktyvumo padidėjimo dažnis buvo panašus kaip ir nevartojusiųjų jokių estrogenų. Vis dėlto, atsižvelgiant į nedidelį šių kitų estrogenų vartojusių moterų skaičių, skirti jų kartu su kombinuotu vaistinių preparatų </w:t>
      </w:r>
      <w:r w:rsidR="00B66040">
        <w:rPr>
          <w:noProof w:val="0"/>
          <w:szCs w:val="22"/>
          <w:lang w:val="lt-LT"/>
        </w:rPr>
        <w:t>ombitasviro</w:t>
      </w:r>
      <w:r>
        <w:rPr>
          <w:noProof w:val="0"/>
          <w:szCs w:val="22"/>
          <w:lang w:val="lt-LT"/>
        </w:rPr>
        <w:t>,</w:t>
      </w:r>
      <w:r w:rsidR="00B66040">
        <w:rPr>
          <w:noProof w:val="0"/>
          <w:szCs w:val="22"/>
          <w:lang w:val="lt-LT"/>
        </w:rPr>
        <w:t xml:space="preserve"> paritapreviro</w:t>
      </w:r>
      <w:r>
        <w:rPr>
          <w:noProof w:val="0"/>
          <w:szCs w:val="22"/>
          <w:lang w:val="lt-LT"/>
        </w:rPr>
        <w:t xml:space="preserve">, </w:t>
      </w:r>
      <w:r w:rsidR="00B66040">
        <w:rPr>
          <w:noProof w:val="0"/>
          <w:szCs w:val="22"/>
          <w:lang w:val="lt-LT"/>
        </w:rPr>
        <w:t>ritonaviro</w:t>
      </w:r>
      <w:r w:rsidRPr="00AC65AA">
        <w:rPr>
          <w:noProof w:val="0"/>
          <w:szCs w:val="22"/>
          <w:lang w:val="lt-LT"/>
        </w:rPr>
        <w:t xml:space="preserve"> su dasabuviru </w:t>
      </w:r>
      <w:r>
        <w:rPr>
          <w:noProof w:val="0"/>
          <w:szCs w:val="22"/>
          <w:lang w:val="lt-LT"/>
        </w:rPr>
        <w:t>arba</w:t>
      </w:r>
      <w:r w:rsidRPr="00AC65AA">
        <w:rPr>
          <w:noProof w:val="0"/>
          <w:szCs w:val="22"/>
          <w:lang w:val="lt-LT"/>
        </w:rPr>
        <w:t xml:space="preserve"> be jo</w:t>
      </w:r>
      <w:r w:rsidRPr="000E2A1A">
        <w:rPr>
          <w:rStyle w:val="rynqvb"/>
          <w:lang w:val="lt-LT"/>
        </w:rPr>
        <w:t>, ir taip pat su glekapreviro,</w:t>
      </w:r>
      <w:r w:rsidR="00B66040" w:rsidRPr="000E2A1A">
        <w:rPr>
          <w:rStyle w:val="rynqvb"/>
          <w:lang w:val="lt-LT"/>
        </w:rPr>
        <w:t xml:space="preserve"> pibrentasviro deriniu</w:t>
      </w:r>
      <w:r w:rsidRPr="000E2A1A">
        <w:rPr>
          <w:rStyle w:val="rynqvb"/>
          <w:lang w:val="lt-LT"/>
        </w:rPr>
        <w:t xml:space="preserve"> reikia atsargiai</w:t>
      </w:r>
      <w:r w:rsidRPr="00331AA7">
        <w:rPr>
          <w:lang w:val="lt-LT"/>
        </w:rPr>
        <w:t>. Žr. 4.5 skyrių.</w:t>
      </w:r>
    </w:p>
    <w:p w14:paraId="3974B41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D2DCD6B" w14:textId="7DAB7D2B"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w:t>
      </w:r>
      <w:r w:rsidR="0036363D">
        <w:rPr>
          <w:rFonts w:asciiTheme="majorBidi" w:hAnsiTheme="majorBidi" w:cstheme="majorBidi"/>
          <w:szCs w:val="22"/>
          <w:lang w:val="lt-LT" w:bidi="he-IL"/>
        </w:rPr>
        <w:t xml:space="preserve"> tabletės</w:t>
      </w:r>
      <w:r w:rsidRPr="004C5B03">
        <w:rPr>
          <w:rFonts w:asciiTheme="majorBidi" w:hAnsiTheme="majorBidi" w:cstheme="majorBidi"/>
          <w:szCs w:val="22"/>
          <w:lang w:val="lt-LT" w:bidi="he-IL"/>
        </w:rPr>
        <w:t xml:space="preserve"> sudėtyje yra laktozės. Pacientės</w:t>
      </w:r>
      <w:r w:rsidR="0036363D">
        <w:rPr>
          <w:rFonts w:asciiTheme="majorBidi" w:hAnsiTheme="majorBidi" w:cstheme="majorBidi"/>
          <w:szCs w:val="22"/>
          <w:lang w:val="lt-LT" w:bidi="he-IL"/>
        </w:rPr>
        <w:t>, kurioms nustatyti reti</w:t>
      </w:r>
      <w:r w:rsidRPr="004C5B03">
        <w:rPr>
          <w:rFonts w:asciiTheme="majorBidi" w:hAnsiTheme="majorBidi" w:cstheme="majorBidi"/>
          <w:szCs w:val="22"/>
          <w:lang w:val="lt-LT" w:bidi="he-IL"/>
        </w:rPr>
        <w:t xml:space="preserve"> paveldim</w:t>
      </w:r>
      <w:r w:rsidR="0036363D">
        <w:rPr>
          <w:rFonts w:asciiTheme="majorBidi" w:hAnsiTheme="majorBidi" w:cstheme="majorBidi"/>
          <w:szCs w:val="22"/>
          <w:lang w:val="lt-LT" w:bidi="he-IL"/>
        </w:rPr>
        <w:t xml:space="preserve">i </w:t>
      </w:r>
      <w:r w:rsidR="0036363D" w:rsidRPr="00E1504E">
        <w:rPr>
          <w:rFonts w:asciiTheme="majorBidi" w:hAnsiTheme="majorBidi" w:cstheme="majorBidi"/>
          <w:lang w:val="lt-LT"/>
        </w:rPr>
        <w:t xml:space="preserve">sutrikimai - </w:t>
      </w:r>
      <w:r w:rsidRPr="004C5B03">
        <w:rPr>
          <w:rFonts w:asciiTheme="majorBidi" w:hAnsiTheme="majorBidi" w:cstheme="majorBidi"/>
          <w:szCs w:val="22"/>
          <w:lang w:val="lt-LT" w:bidi="he-IL"/>
        </w:rPr>
        <w:t xml:space="preserve"> galaktozės netoleravim</w:t>
      </w:r>
      <w:r w:rsidR="0036363D">
        <w:rPr>
          <w:rFonts w:asciiTheme="majorBidi" w:hAnsiTheme="majorBidi" w:cstheme="majorBidi"/>
          <w:szCs w:val="22"/>
          <w:lang w:val="lt-LT" w:bidi="he-IL"/>
        </w:rPr>
        <w:t xml:space="preserve">as, visiškas </w:t>
      </w:r>
      <w:r w:rsidR="0036363D" w:rsidRPr="00E1504E">
        <w:rPr>
          <w:rFonts w:asciiTheme="majorBidi" w:hAnsiTheme="majorBidi" w:cstheme="majorBidi"/>
          <w:lang w:val="lt-LT"/>
        </w:rPr>
        <w:t>laktazės stygius</w:t>
      </w:r>
      <w:r w:rsidR="0036363D">
        <w:rPr>
          <w:rFonts w:asciiTheme="majorBidi" w:hAnsiTheme="majorBidi" w:cstheme="majorBidi"/>
          <w:lang w:val="lt-LT"/>
        </w:rPr>
        <w:t xml:space="preserve"> arba</w:t>
      </w:r>
      <w:r w:rsidRPr="004C5B03">
        <w:rPr>
          <w:rFonts w:asciiTheme="majorBidi" w:hAnsiTheme="majorBidi" w:cstheme="majorBidi"/>
          <w:szCs w:val="22"/>
          <w:lang w:val="lt-LT" w:bidi="he-IL"/>
        </w:rPr>
        <w:t xml:space="preserve"> gliukozės-galaktozės bloga absorbcija neturėtų vartoti šio vaistinio preparato.</w:t>
      </w:r>
    </w:p>
    <w:p w14:paraId="712E4D6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85C1F7E"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4.5</w:t>
      </w:r>
      <w:r w:rsidRPr="004C5B03">
        <w:rPr>
          <w:rFonts w:asciiTheme="majorBidi" w:hAnsiTheme="majorBidi" w:cstheme="majorBidi"/>
          <w:b/>
          <w:szCs w:val="22"/>
          <w:lang w:val="lt-LT" w:bidi="he-IL"/>
        </w:rPr>
        <w:tab/>
        <w:t>Sąveika su kitais vaistiniais preparatais ir kitokia sąveika</w:t>
      </w:r>
    </w:p>
    <w:p w14:paraId="2130EBB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CD03F4B"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Estrogenų ir progestagenų metabolizmas gali suintensyvėti, kartu vartojant preparatų, kurie indukuoja vaistinius preparatus metabolizuojančius fermentus, ypač citochromą P45</w:t>
      </w:r>
      <w:r w:rsidRPr="004C5B03">
        <w:rPr>
          <w:rFonts w:asciiTheme="majorBidi" w:hAnsiTheme="majorBidi" w:cstheme="majorBidi"/>
          <w:szCs w:val="22"/>
          <w:lang w:val="lt-LT" w:bidi="he-IL"/>
        </w:rPr>
        <w:sym w:font="Symbol" w:char="F030"/>
      </w:r>
      <w:r w:rsidRPr="004C5B03">
        <w:rPr>
          <w:rFonts w:asciiTheme="majorBidi" w:hAnsiTheme="majorBidi" w:cstheme="majorBidi"/>
          <w:szCs w:val="22"/>
          <w:lang w:val="lt-LT" w:bidi="he-IL"/>
        </w:rPr>
        <w:t>. Prie tokių preparatų priskiriami prieštraukuliniai vaistiniai preparatai (pvz., fenobarbitalis, fenitoinas, karbamazepinas) ir priešinfekciniai preparatai (pvz., rifampicinas, rifabutinas, nevirapinas, efavirenzas).</w:t>
      </w:r>
    </w:p>
    <w:p w14:paraId="3B54E9A5"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Ritonaviras, telapreviras ir nelfinaviras, nors žinomi kaip stipriai veikiantys inhibitoriai, vartojami su steroidiniais hormonais, pasižymi priešingomis savybėmis. Žoliniai preparatai, kurių sudėtyje yra jonažolių (</w:t>
      </w:r>
      <w:r w:rsidRPr="004C5B03">
        <w:rPr>
          <w:rFonts w:asciiTheme="majorBidi" w:hAnsiTheme="majorBidi" w:cstheme="majorBidi"/>
          <w:i/>
          <w:szCs w:val="22"/>
          <w:lang w:val="lt-LT" w:bidi="he-IL"/>
        </w:rPr>
        <w:t>Hypericum perforatum</w:t>
      </w:r>
      <w:r w:rsidRPr="004C5B03">
        <w:rPr>
          <w:rFonts w:asciiTheme="majorBidi" w:hAnsiTheme="majorBidi" w:cstheme="majorBidi"/>
          <w:szCs w:val="22"/>
          <w:lang w:val="lt-LT" w:bidi="he-IL"/>
        </w:rPr>
        <w:t>), gali pagreitinti estrogenų ir progestagenų metabolizmą.</w:t>
      </w:r>
    </w:p>
    <w:p w14:paraId="439436C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80585D2" w14:textId="680CCFBA" w:rsid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Kliniškai suintensyvėjęs estrogenų ir progestagenų metabolizmas pasireiškia susilpnėjusiu vaistinio preparato poveikiu ir pakitusio pobūdžio kraujavimu iš gimdos.</w:t>
      </w:r>
    </w:p>
    <w:p w14:paraId="0C39D110" w14:textId="77777777" w:rsidR="0011675D" w:rsidRDefault="0011675D" w:rsidP="004C5B03">
      <w:pPr>
        <w:tabs>
          <w:tab w:val="clear" w:pos="567"/>
        </w:tabs>
        <w:suppressAutoHyphens w:val="0"/>
        <w:rPr>
          <w:rFonts w:asciiTheme="majorBidi" w:hAnsiTheme="majorBidi" w:cstheme="majorBidi"/>
          <w:szCs w:val="22"/>
          <w:lang w:val="lt-LT" w:bidi="he-IL"/>
        </w:rPr>
      </w:pPr>
    </w:p>
    <w:p w14:paraId="0170AF33" w14:textId="535E10B9" w:rsidR="0011675D" w:rsidRPr="006E2C36" w:rsidRDefault="0011675D" w:rsidP="0011675D">
      <w:pPr>
        <w:tabs>
          <w:tab w:val="clear" w:pos="567"/>
        </w:tabs>
        <w:suppressAutoHyphens w:val="0"/>
        <w:rPr>
          <w:rStyle w:val="rynqvb"/>
          <w:u w:val="single"/>
          <w:lang w:val="lt-LT"/>
        </w:rPr>
      </w:pPr>
      <w:r w:rsidRPr="006E2C36">
        <w:rPr>
          <w:rStyle w:val="rynqvb"/>
          <w:u w:val="single"/>
          <w:lang w:val="lt-LT"/>
        </w:rPr>
        <w:t>PHT su estrogenais poveikis kitiems vaist</w:t>
      </w:r>
      <w:r w:rsidR="00347BE2">
        <w:rPr>
          <w:rStyle w:val="rynqvb"/>
          <w:u w:val="single"/>
          <w:lang w:val="lt-LT"/>
        </w:rPr>
        <w:t>ini</w:t>
      </w:r>
      <w:r w:rsidRPr="006E2C36">
        <w:rPr>
          <w:rStyle w:val="rynqvb"/>
          <w:u w:val="single"/>
          <w:lang w:val="lt-LT"/>
        </w:rPr>
        <w:t>ams</w:t>
      </w:r>
      <w:r w:rsidR="00347BE2">
        <w:rPr>
          <w:rStyle w:val="rynqvb"/>
          <w:u w:val="single"/>
          <w:lang w:val="lt-LT"/>
        </w:rPr>
        <w:t xml:space="preserve"> preparatams</w:t>
      </w:r>
    </w:p>
    <w:p w14:paraId="5AFDF9B0" w14:textId="77777777" w:rsidR="0011675D" w:rsidRPr="006E2C36" w:rsidRDefault="0011675D" w:rsidP="0011675D">
      <w:pPr>
        <w:tabs>
          <w:tab w:val="clear" w:pos="567"/>
        </w:tabs>
        <w:suppressAutoHyphens w:val="0"/>
        <w:rPr>
          <w:rStyle w:val="rynqvb"/>
          <w:lang w:val="lt-LT"/>
        </w:rPr>
      </w:pPr>
    </w:p>
    <w:p w14:paraId="1770B08B" w14:textId="3C30ABED" w:rsidR="0011675D" w:rsidRPr="006E2C36" w:rsidRDefault="0011675D" w:rsidP="004C5B03">
      <w:pPr>
        <w:tabs>
          <w:tab w:val="clear" w:pos="567"/>
        </w:tabs>
        <w:suppressAutoHyphens w:val="0"/>
        <w:rPr>
          <w:lang w:val="lt-LT"/>
        </w:rPr>
      </w:pPr>
      <w:r w:rsidRPr="006E2C36">
        <w:rPr>
          <w:rStyle w:val="rynqvb"/>
          <w:lang w:val="lt-LT"/>
        </w:rPr>
        <w:t>Nustatyta, kad kartu vartojami hormoniniai kontraceptikai, kurių sudėtyje yra estrogenų, reikšmingai mažina kartu vartojamo lamotrigino koncentraciją plazmoje, nes sužadina lamotrigino gliukuronizaciją. Tai gali sumažinti priepuolių kontrolę. Nors galima sąveika tarp pakaitinės hormonų terapijos ir lamotrigino netirta, tikėtina, kad yra panaši sąveika, dėl kurios gali susilpnėti priepuolių kontrolė moterims, vartojančioms abu vaist</w:t>
      </w:r>
      <w:r w:rsidR="00347BE2">
        <w:rPr>
          <w:rStyle w:val="rynqvb"/>
          <w:lang w:val="lt-LT"/>
        </w:rPr>
        <w:t>ini</w:t>
      </w:r>
      <w:r w:rsidRPr="006E2C36">
        <w:rPr>
          <w:rStyle w:val="rynqvb"/>
          <w:lang w:val="lt-LT"/>
        </w:rPr>
        <w:t>us</w:t>
      </w:r>
      <w:r w:rsidR="00347BE2">
        <w:rPr>
          <w:rStyle w:val="rynqvb"/>
          <w:lang w:val="lt-LT"/>
        </w:rPr>
        <w:t xml:space="preserve"> preparatus</w:t>
      </w:r>
      <w:r w:rsidRPr="006E2C36">
        <w:rPr>
          <w:rStyle w:val="rynqvb"/>
          <w:lang w:val="lt-LT"/>
        </w:rPr>
        <w:t xml:space="preserve"> kartu.</w:t>
      </w:r>
    </w:p>
    <w:p w14:paraId="4E89EF55" w14:textId="1CAF64C6" w:rsidR="005745A3" w:rsidRDefault="005745A3" w:rsidP="004C5B03">
      <w:pPr>
        <w:tabs>
          <w:tab w:val="clear" w:pos="567"/>
        </w:tabs>
        <w:suppressAutoHyphens w:val="0"/>
        <w:rPr>
          <w:rFonts w:asciiTheme="majorBidi" w:hAnsiTheme="majorBidi" w:cstheme="majorBidi"/>
          <w:szCs w:val="22"/>
          <w:lang w:val="lt-LT" w:bidi="he-IL"/>
        </w:rPr>
      </w:pPr>
    </w:p>
    <w:p w14:paraId="66BC198F" w14:textId="77777777" w:rsidR="005745A3" w:rsidRPr="00331AA7" w:rsidRDefault="005745A3" w:rsidP="005745A3">
      <w:pPr>
        <w:rPr>
          <w:u w:val="single"/>
          <w:lang w:val="lt-LT"/>
        </w:rPr>
      </w:pPr>
      <w:r w:rsidRPr="00331AA7">
        <w:rPr>
          <w:u w:val="single"/>
          <w:lang w:val="lt-LT"/>
        </w:rPr>
        <w:t>Farmakodinaminė sąveika</w:t>
      </w:r>
    </w:p>
    <w:p w14:paraId="592D5ECF" w14:textId="77777777" w:rsidR="005745A3" w:rsidRPr="00331AA7" w:rsidRDefault="005745A3" w:rsidP="005745A3">
      <w:pPr>
        <w:rPr>
          <w:lang w:val="lt-LT"/>
        </w:rPr>
      </w:pPr>
    </w:p>
    <w:p w14:paraId="0FB9D20E" w14:textId="250A6493" w:rsidR="005745A3" w:rsidRPr="004C5B03" w:rsidRDefault="005745A3" w:rsidP="005745A3">
      <w:pPr>
        <w:tabs>
          <w:tab w:val="clear" w:pos="567"/>
        </w:tabs>
        <w:suppressAutoHyphens w:val="0"/>
        <w:rPr>
          <w:rFonts w:asciiTheme="majorBidi" w:hAnsiTheme="majorBidi" w:cstheme="majorBidi"/>
          <w:szCs w:val="22"/>
          <w:lang w:val="lt-LT" w:bidi="he-IL"/>
        </w:rPr>
      </w:pPr>
      <w:r w:rsidRPr="00331AA7">
        <w:rPr>
          <w:lang w:val="lt-LT"/>
        </w:rPr>
        <w:t>Klinikini</w:t>
      </w:r>
      <w:r>
        <w:rPr>
          <w:lang w:val="lt-LT"/>
        </w:rPr>
        <w:t>ose</w:t>
      </w:r>
      <w:r w:rsidRPr="00331AA7">
        <w:rPr>
          <w:lang w:val="lt-LT"/>
        </w:rPr>
        <w:t xml:space="preserve"> tyrim</w:t>
      </w:r>
      <w:r>
        <w:rPr>
          <w:lang w:val="lt-LT"/>
        </w:rPr>
        <w:t>uose</w:t>
      </w:r>
      <w:r w:rsidRPr="000E2A1A">
        <w:rPr>
          <w:lang w:val="lt-LT"/>
        </w:rPr>
        <w:t xml:space="preserve"> </w:t>
      </w:r>
      <w:r w:rsidRPr="000E2A1A">
        <w:rPr>
          <w:rStyle w:val="rynqvb"/>
          <w:lang w:val="lt-LT"/>
        </w:rPr>
        <w:t xml:space="preserve">su HCV vaistinių preparatų </w:t>
      </w:r>
      <w:r>
        <w:rPr>
          <w:noProof w:val="0"/>
          <w:szCs w:val="22"/>
          <w:lang w:val="lt-LT"/>
        </w:rPr>
        <w:t>ombitasviro,</w:t>
      </w:r>
      <w:r w:rsidRPr="00AC65AA">
        <w:rPr>
          <w:noProof w:val="0"/>
          <w:szCs w:val="22"/>
          <w:lang w:val="lt-LT"/>
        </w:rPr>
        <w:t xml:space="preserve"> paritaprevir</w:t>
      </w:r>
      <w:r>
        <w:rPr>
          <w:noProof w:val="0"/>
          <w:szCs w:val="22"/>
          <w:lang w:val="lt-LT"/>
        </w:rPr>
        <w:t xml:space="preserve">o, </w:t>
      </w:r>
      <w:r w:rsidRPr="00AC65AA">
        <w:rPr>
          <w:noProof w:val="0"/>
          <w:szCs w:val="22"/>
          <w:lang w:val="lt-LT"/>
        </w:rPr>
        <w:t>ritonavir</w:t>
      </w:r>
      <w:r>
        <w:rPr>
          <w:noProof w:val="0"/>
          <w:szCs w:val="22"/>
          <w:lang w:val="lt-LT"/>
        </w:rPr>
        <w:t>o</w:t>
      </w:r>
      <w:r w:rsidRPr="00AC65AA">
        <w:rPr>
          <w:noProof w:val="0"/>
          <w:szCs w:val="22"/>
          <w:lang w:val="lt-LT"/>
        </w:rPr>
        <w:t xml:space="preserve"> su dasabuviru </w:t>
      </w:r>
      <w:r>
        <w:rPr>
          <w:noProof w:val="0"/>
          <w:szCs w:val="22"/>
          <w:lang w:val="lt-LT"/>
        </w:rPr>
        <w:t xml:space="preserve">arba be jo deriniu, </w:t>
      </w:r>
      <w:r w:rsidRPr="00EF6355">
        <w:rPr>
          <w:noProof w:val="0"/>
          <w:szCs w:val="22"/>
          <w:lang w:val="lt-LT"/>
        </w:rPr>
        <w:t>moterims, vartojusioms vaistinius preparatus, kurių sudėtyje yra etinilestradiolo, pvz. SHK</w:t>
      </w:r>
      <w:r>
        <w:rPr>
          <w:noProof w:val="0"/>
          <w:szCs w:val="22"/>
          <w:lang w:val="lt-LT"/>
        </w:rPr>
        <w:t xml:space="preserve">, </w:t>
      </w:r>
      <w:r w:rsidRPr="00AC65AA">
        <w:rPr>
          <w:noProof w:val="0"/>
          <w:szCs w:val="22"/>
          <w:lang w:val="lt-LT"/>
        </w:rPr>
        <w:t>ALT</w:t>
      </w:r>
      <w:r>
        <w:rPr>
          <w:noProof w:val="0"/>
          <w:szCs w:val="22"/>
          <w:lang w:val="lt-LT"/>
        </w:rPr>
        <w:t xml:space="preserve"> aktyvumo</w:t>
      </w:r>
      <w:r w:rsidRPr="00AC65AA">
        <w:rPr>
          <w:noProof w:val="0"/>
          <w:szCs w:val="22"/>
          <w:lang w:val="lt-LT"/>
        </w:rPr>
        <w:t xml:space="preserve"> </w:t>
      </w:r>
      <w:r w:rsidRPr="000E2A1A">
        <w:rPr>
          <w:rStyle w:val="rynqvb"/>
          <w:lang w:val="lt-LT"/>
        </w:rPr>
        <w:t xml:space="preserve">padidėjimas daugiau nei 5 kartus viršijo viršutinę normos ribą (VNR) </w:t>
      </w:r>
      <w:r>
        <w:rPr>
          <w:noProof w:val="0"/>
          <w:szCs w:val="22"/>
          <w:lang w:val="lt-LT"/>
        </w:rPr>
        <w:t>žymiai</w:t>
      </w:r>
      <w:r w:rsidRPr="00AC65AA">
        <w:rPr>
          <w:noProof w:val="0"/>
          <w:szCs w:val="22"/>
          <w:lang w:val="lt-LT"/>
        </w:rPr>
        <w:t xml:space="preserve"> dažniau. </w:t>
      </w:r>
      <w:r w:rsidRPr="000E2A1A">
        <w:rPr>
          <w:rStyle w:val="rynqvb"/>
          <w:lang w:val="lt-LT"/>
        </w:rPr>
        <w:t xml:space="preserve">Moterims, </w:t>
      </w:r>
      <w:r w:rsidRPr="00EF6355">
        <w:rPr>
          <w:noProof w:val="0"/>
          <w:szCs w:val="22"/>
          <w:lang w:val="lt-LT"/>
        </w:rPr>
        <w:t>vartojusioms vaistini</w:t>
      </w:r>
      <w:r>
        <w:rPr>
          <w:noProof w:val="0"/>
          <w:szCs w:val="22"/>
          <w:lang w:val="lt-LT"/>
        </w:rPr>
        <w:t>ų</w:t>
      </w:r>
      <w:r w:rsidRPr="00EF6355">
        <w:rPr>
          <w:noProof w:val="0"/>
          <w:szCs w:val="22"/>
          <w:lang w:val="lt-LT"/>
        </w:rPr>
        <w:t xml:space="preserve"> preparat</w:t>
      </w:r>
      <w:r>
        <w:rPr>
          <w:noProof w:val="0"/>
          <w:szCs w:val="22"/>
          <w:lang w:val="lt-LT"/>
        </w:rPr>
        <w:t>ų</w:t>
      </w:r>
      <w:r w:rsidRPr="000E2A1A">
        <w:rPr>
          <w:rStyle w:val="rynqvb"/>
          <w:lang w:val="lt-LT"/>
        </w:rPr>
        <w:t>, kuri</w:t>
      </w:r>
      <w:r>
        <w:rPr>
          <w:rStyle w:val="rynqvb"/>
          <w:lang w:val="lt-LT"/>
        </w:rPr>
        <w:t xml:space="preserve">ų sudėtyje </w:t>
      </w:r>
      <w:r w:rsidRPr="000E2A1A">
        <w:rPr>
          <w:szCs w:val="22"/>
          <w:lang w:val="lt-LT"/>
        </w:rPr>
        <w:t>buvo kitų nei etinilestradiolis estrogenų,</w:t>
      </w:r>
      <w:r w:rsidRPr="000E2A1A">
        <w:rPr>
          <w:rStyle w:val="rynqvb"/>
          <w:lang w:val="lt-LT"/>
        </w:rPr>
        <w:t xml:space="preserve"> pvz., estradiolis, ALT aktyvumo padidėjimo dažnis buvo panašus kaip ir nevartojusiųjų jokių estrogenų. Vis dėlto, atsižvelgiant į nedidelį šių kitų estrogenų vartojusių moterų skaičių, skirti jų kartu su kombinuotu vaistinių preparatų </w:t>
      </w:r>
      <w:r w:rsidRPr="00AC65AA">
        <w:rPr>
          <w:noProof w:val="0"/>
          <w:szCs w:val="22"/>
          <w:lang w:val="lt-LT"/>
        </w:rPr>
        <w:t>ombitasvir</w:t>
      </w:r>
      <w:r>
        <w:rPr>
          <w:noProof w:val="0"/>
          <w:szCs w:val="22"/>
          <w:lang w:val="lt-LT"/>
        </w:rPr>
        <w:t xml:space="preserve">o, paritapreviro, </w:t>
      </w:r>
      <w:r w:rsidRPr="00AC65AA">
        <w:rPr>
          <w:noProof w:val="0"/>
          <w:szCs w:val="22"/>
          <w:lang w:val="lt-LT"/>
        </w:rPr>
        <w:t>ritonavir</w:t>
      </w:r>
      <w:r>
        <w:rPr>
          <w:noProof w:val="0"/>
          <w:szCs w:val="22"/>
          <w:lang w:val="lt-LT"/>
        </w:rPr>
        <w:t>o</w:t>
      </w:r>
      <w:r w:rsidRPr="00AC65AA">
        <w:rPr>
          <w:noProof w:val="0"/>
          <w:szCs w:val="22"/>
          <w:lang w:val="lt-LT"/>
        </w:rPr>
        <w:t xml:space="preserve"> su dasabuviru </w:t>
      </w:r>
      <w:r>
        <w:rPr>
          <w:noProof w:val="0"/>
          <w:szCs w:val="22"/>
          <w:lang w:val="lt-LT"/>
        </w:rPr>
        <w:t>arba</w:t>
      </w:r>
      <w:r w:rsidRPr="00AC65AA">
        <w:rPr>
          <w:noProof w:val="0"/>
          <w:szCs w:val="22"/>
          <w:lang w:val="lt-LT"/>
        </w:rPr>
        <w:t xml:space="preserve"> be jo</w:t>
      </w:r>
      <w:r>
        <w:rPr>
          <w:noProof w:val="0"/>
          <w:szCs w:val="22"/>
          <w:lang w:val="lt-LT"/>
        </w:rPr>
        <w:t xml:space="preserve"> deriniu</w:t>
      </w:r>
      <w:r w:rsidRPr="000E2A1A">
        <w:rPr>
          <w:rStyle w:val="rynqvb"/>
          <w:lang w:val="lt-LT"/>
        </w:rPr>
        <w:t>, ir taip pat su glekapreviro/pibrentasviro deriniu reikia atsargiai</w:t>
      </w:r>
      <w:r>
        <w:rPr>
          <w:noProof w:val="0"/>
          <w:szCs w:val="22"/>
          <w:lang w:val="lt-LT"/>
        </w:rPr>
        <w:t>.</w:t>
      </w:r>
      <w:r w:rsidR="00AA7C5F">
        <w:rPr>
          <w:noProof w:val="0"/>
          <w:szCs w:val="22"/>
          <w:lang w:val="lt-LT"/>
        </w:rPr>
        <w:t xml:space="preserve"> Žr. </w:t>
      </w:r>
      <w:r w:rsidR="00AA7C5F" w:rsidRPr="00AC65AA">
        <w:rPr>
          <w:noProof w:val="0"/>
          <w:szCs w:val="22"/>
          <w:lang w:val="lt-LT"/>
        </w:rPr>
        <w:t>4.</w:t>
      </w:r>
      <w:r w:rsidR="00AA7C5F">
        <w:rPr>
          <w:noProof w:val="0"/>
          <w:szCs w:val="22"/>
          <w:lang w:val="lt-LT"/>
        </w:rPr>
        <w:t>4</w:t>
      </w:r>
      <w:r w:rsidR="00AA7C5F" w:rsidRPr="00AC65AA">
        <w:rPr>
          <w:noProof w:val="0"/>
          <w:szCs w:val="22"/>
          <w:lang w:val="lt-LT"/>
        </w:rPr>
        <w:t> skyrių</w:t>
      </w:r>
      <w:r w:rsidR="00AA7C5F">
        <w:rPr>
          <w:noProof w:val="0"/>
          <w:szCs w:val="22"/>
          <w:lang w:val="lt-LT"/>
        </w:rPr>
        <w:t>.</w:t>
      </w:r>
    </w:p>
    <w:p w14:paraId="76EB9ED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83A220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Gydymas estrogenais gali įtakoti kai kurių laboratorinių tyrimų, pvz., gliukozės tolerancijos mėginio ar skydliaukės veiklos tyrimo, rezultatus.</w:t>
      </w:r>
    </w:p>
    <w:p w14:paraId="79386B1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4713790"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Vaistiniai preparatai, slopinantys kepenų mikrosominių fermentų, metabolizuojančių vaistinius preparatus, aktyvumą, pvz., ketokonazolis, gali padidinti veikliųjų Novofem medžiagų koncentraciją kraujyje.</w:t>
      </w:r>
    </w:p>
    <w:p w14:paraId="066D398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743A11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Kartu vartojant ciklosporino, gali padidėti ciklosporino, kreatinino ir transaminazių koncentracija kraujyje, kadangi sumažėja ciklosporino metabolizmas kepenyse.</w:t>
      </w:r>
    </w:p>
    <w:p w14:paraId="6887D50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E048067"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4.6</w:t>
      </w:r>
      <w:r w:rsidRPr="004C5B03">
        <w:rPr>
          <w:rFonts w:asciiTheme="majorBidi" w:hAnsiTheme="majorBidi" w:cstheme="majorBidi"/>
          <w:b/>
          <w:szCs w:val="22"/>
          <w:lang w:val="lt-LT" w:bidi="he-IL"/>
        </w:rPr>
        <w:tab/>
        <w:t>Vaisingumas, nėštumo ir žindymo laikotarpis</w:t>
      </w:r>
    </w:p>
    <w:p w14:paraId="4DBEC9D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B52B99E"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Nėštumas</w:t>
      </w:r>
    </w:p>
    <w:p w14:paraId="1FA79AD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BEB3B82"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w:t>
      </w:r>
      <w:r w:rsidRPr="004C5B03">
        <w:rPr>
          <w:rFonts w:asciiTheme="majorBidi" w:hAnsiTheme="majorBidi" w:cstheme="majorBidi"/>
          <w:i/>
          <w:szCs w:val="22"/>
          <w:lang w:val="lt-LT" w:bidi="he-IL"/>
        </w:rPr>
        <w:t xml:space="preserve"> </w:t>
      </w:r>
      <w:r w:rsidRPr="004C5B03">
        <w:rPr>
          <w:rFonts w:asciiTheme="majorBidi" w:hAnsiTheme="majorBidi" w:cstheme="majorBidi"/>
          <w:szCs w:val="22"/>
          <w:lang w:val="lt-LT" w:bidi="he-IL"/>
        </w:rPr>
        <w:t>negalima vartoti nėštumo laikotarpiu.</w:t>
      </w:r>
    </w:p>
    <w:p w14:paraId="42D6D66F"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Jei pastojama vartojant Novofem, vaistinio preparato vartojimą būtina nedelsiant nutraukti. </w:t>
      </w:r>
    </w:p>
    <w:p w14:paraId="46ED30C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475DF19"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Remiantis klinikiniais duomenimis, gautais ištyrus nedidelį skaičių nėščiųjų, vartojusių šį vaistinį preparatą, nustatytas neigiamas noretisterono poveikis vaisiui. Skiriant didesnes dozes nei paprastai vartojamos geriamųjų kontraceptikų ir PHT preparatų dozės, stebėta moteriškos lyties vaisiaus maskulinizacija.</w:t>
      </w:r>
    </w:p>
    <w:p w14:paraId="08FC858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A9B0513"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Remiantis daugumos epidemiologinių tyrimų duomenimis, atsitiktinis kombinuotų estrogenų ir progestagenų pavartojimas nesukelia teratogeninio arba fetotoksinio poveikio.</w:t>
      </w:r>
    </w:p>
    <w:p w14:paraId="081E87D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64EFA96"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Žindymas</w:t>
      </w:r>
    </w:p>
    <w:p w14:paraId="6EF0030A"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p>
    <w:p w14:paraId="08B1797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negalima vartoti žindymo laikotarpiu.</w:t>
      </w:r>
    </w:p>
    <w:p w14:paraId="1B8D943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17AB3A1"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4.7</w:t>
      </w:r>
      <w:r w:rsidRPr="004C5B03">
        <w:rPr>
          <w:rFonts w:asciiTheme="majorBidi" w:hAnsiTheme="majorBidi" w:cstheme="majorBidi"/>
          <w:b/>
          <w:szCs w:val="22"/>
          <w:lang w:val="lt-LT" w:bidi="he-IL"/>
        </w:rPr>
        <w:tab/>
        <w:t>Poveikis gebėjimui vairuoti ir valdyti mechanizmus</w:t>
      </w:r>
    </w:p>
    <w:p w14:paraId="7B49F82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FC314F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Novofem nedaro jokio žinomo poveikio gebėjimui vairuoti ar valdyti mechanizmus. </w:t>
      </w:r>
    </w:p>
    <w:p w14:paraId="5A08252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586A982"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4.8</w:t>
      </w:r>
      <w:r w:rsidRPr="004C5B03">
        <w:rPr>
          <w:rFonts w:asciiTheme="majorBidi" w:hAnsiTheme="majorBidi" w:cstheme="majorBidi"/>
          <w:b/>
          <w:szCs w:val="22"/>
          <w:lang w:val="lt-LT" w:bidi="he-IL"/>
        </w:rPr>
        <w:tab/>
        <w:t>Nepageidaujamas poveikis</w:t>
      </w:r>
    </w:p>
    <w:p w14:paraId="1A218D4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434FD30" w14:textId="7D3AEE81"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Klinikinė patirtis</w:t>
      </w:r>
    </w:p>
    <w:p w14:paraId="4FE1D69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5F2CCA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Atlikus klinikinius tyrimus su PHT vaistiniu preparatu, savo sudėtimi panašiu į Novofem, dažniausiai pasireiškęs šalutinis poveikis buvo krūtų jautrumas ir galvos skausmas (pasireiškęs ≥ 10 % pacienčių).</w:t>
      </w:r>
    </w:p>
    <w:p w14:paraId="6EA2F6E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CE768B0"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Skiriant gydymą estrogenais ir progestagenais, gali pasireikšti toliau išvardyti nepageidaujami reiškiniai. </w:t>
      </w:r>
    </w:p>
    <w:p w14:paraId="54A8278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201BFD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Jų dažnis nurodytas remiantis duomenimis, gautais atlikus klinikinius tyrimus su PHT vaistiniu preparatu, savo sudėtimi panašiu į Novofem, bei atlikus tyrimą po Novofem pateikimo į rinką.</w:t>
      </w:r>
    </w:p>
    <w:p w14:paraId="282A35E3"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1992"/>
        <w:gridCol w:w="1512"/>
        <w:gridCol w:w="1985"/>
        <w:gridCol w:w="1843"/>
        <w:gridCol w:w="2040"/>
      </w:tblGrid>
      <w:tr w:rsidR="004C5B03" w:rsidRPr="004C5B03" w14:paraId="358FDB06" w14:textId="77777777" w:rsidTr="004C5B03">
        <w:tc>
          <w:tcPr>
            <w:tcW w:w="1992" w:type="dxa"/>
          </w:tcPr>
          <w:p w14:paraId="76620C92"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Organų sistemų klasės</w:t>
            </w:r>
          </w:p>
        </w:tc>
        <w:tc>
          <w:tcPr>
            <w:tcW w:w="1512" w:type="dxa"/>
          </w:tcPr>
          <w:p w14:paraId="2A892557"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Labai dažnas</w:t>
            </w:r>
          </w:p>
          <w:p w14:paraId="6A6A4E73"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 1/1</w:t>
            </w:r>
            <w:r w:rsidRPr="004C5B03">
              <w:rPr>
                <w:rFonts w:asciiTheme="majorBidi" w:hAnsiTheme="majorBidi" w:cstheme="majorBidi"/>
                <w:b/>
                <w:szCs w:val="22"/>
                <w:lang w:val="lt-LT" w:bidi="he-IL"/>
              </w:rPr>
              <w:sym w:font="Symbol" w:char="F030"/>
            </w:r>
          </w:p>
        </w:tc>
        <w:tc>
          <w:tcPr>
            <w:tcW w:w="1985" w:type="dxa"/>
          </w:tcPr>
          <w:p w14:paraId="0B50756F" w14:textId="63A12C60"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Dažnas</w:t>
            </w:r>
            <w:r w:rsidR="00762379">
              <w:rPr>
                <w:rFonts w:asciiTheme="majorBidi" w:hAnsiTheme="majorBidi" w:cstheme="majorBidi"/>
                <w:b/>
                <w:szCs w:val="22"/>
                <w:lang w:val="lt-LT" w:bidi="he-IL"/>
              </w:rPr>
              <w:t xml:space="preserve"> nuo</w:t>
            </w:r>
          </w:p>
          <w:p w14:paraId="28B5ED21" w14:textId="5976AA86" w:rsidR="004C5B03" w:rsidRPr="004C5B03" w:rsidRDefault="004C5B03" w:rsidP="00762379">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 1/100</w:t>
            </w:r>
            <w:r w:rsidR="00762379">
              <w:rPr>
                <w:rFonts w:asciiTheme="majorBidi" w:hAnsiTheme="majorBidi" w:cstheme="majorBidi"/>
                <w:b/>
                <w:szCs w:val="22"/>
                <w:lang w:val="lt-LT" w:bidi="he-IL"/>
              </w:rPr>
              <w:t xml:space="preserve"> iki</w:t>
            </w:r>
            <w:r w:rsidRPr="004C5B03">
              <w:rPr>
                <w:rFonts w:asciiTheme="majorBidi" w:hAnsiTheme="majorBidi" w:cstheme="majorBidi"/>
                <w:b/>
                <w:szCs w:val="22"/>
                <w:lang w:val="lt-LT" w:bidi="he-IL"/>
              </w:rPr>
              <w:t xml:space="preserve"> &lt; 1/10</w:t>
            </w:r>
          </w:p>
        </w:tc>
        <w:tc>
          <w:tcPr>
            <w:tcW w:w="1843" w:type="dxa"/>
          </w:tcPr>
          <w:p w14:paraId="6656E19A" w14:textId="5C91C844" w:rsidR="004C5B03" w:rsidRPr="004C5B03" w:rsidRDefault="004C5B03" w:rsidP="00762379">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Nedažnas</w:t>
            </w:r>
            <w:r w:rsidR="00762379">
              <w:rPr>
                <w:rFonts w:asciiTheme="majorBidi" w:hAnsiTheme="majorBidi" w:cstheme="majorBidi"/>
                <w:b/>
                <w:szCs w:val="22"/>
                <w:lang w:val="lt-LT" w:bidi="he-IL"/>
              </w:rPr>
              <w:t xml:space="preserve"> nuo</w:t>
            </w:r>
            <w:r w:rsidRPr="004C5B03">
              <w:rPr>
                <w:rFonts w:asciiTheme="majorBidi" w:hAnsiTheme="majorBidi" w:cstheme="majorBidi"/>
                <w:b/>
                <w:szCs w:val="22"/>
                <w:lang w:val="lt-LT" w:bidi="he-IL"/>
              </w:rPr>
              <w:t xml:space="preserve"> ≥ 1/1</w:t>
            </w:r>
            <w:r w:rsidR="00B51D94"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000</w:t>
            </w:r>
            <w:r w:rsidR="00762379">
              <w:rPr>
                <w:rFonts w:asciiTheme="majorBidi" w:hAnsiTheme="majorBidi" w:cstheme="majorBidi"/>
                <w:b/>
                <w:szCs w:val="22"/>
                <w:lang w:val="lt-LT" w:bidi="he-IL"/>
              </w:rPr>
              <w:t xml:space="preserve"> iki</w:t>
            </w:r>
            <w:r w:rsidRPr="004C5B03">
              <w:rPr>
                <w:rFonts w:asciiTheme="majorBidi" w:hAnsiTheme="majorBidi" w:cstheme="majorBidi"/>
                <w:b/>
                <w:szCs w:val="22"/>
                <w:lang w:val="lt-LT" w:bidi="he-IL"/>
              </w:rPr>
              <w:t xml:space="preserve"> &lt; 1/100</w:t>
            </w:r>
          </w:p>
        </w:tc>
        <w:tc>
          <w:tcPr>
            <w:tcW w:w="2040" w:type="dxa"/>
          </w:tcPr>
          <w:p w14:paraId="2E19D040" w14:textId="4847C00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Retas</w:t>
            </w:r>
            <w:r w:rsidR="00762379">
              <w:rPr>
                <w:rFonts w:asciiTheme="majorBidi" w:hAnsiTheme="majorBidi" w:cstheme="majorBidi"/>
                <w:b/>
                <w:szCs w:val="22"/>
                <w:lang w:val="lt-LT" w:bidi="he-IL"/>
              </w:rPr>
              <w:t xml:space="preserve"> nuo</w:t>
            </w:r>
          </w:p>
          <w:p w14:paraId="2F56F208" w14:textId="349E073B" w:rsidR="004C5B03" w:rsidRPr="004C5B03" w:rsidRDefault="004C5B03" w:rsidP="00762379">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 1/1</w:t>
            </w:r>
            <w:r w:rsidR="00B51D94"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0000</w:t>
            </w:r>
            <w:r w:rsidR="00762379">
              <w:rPr>
                <w:rFonts w:asciiTheme="majorBidi" w:hAnsiTheme="majorBidi" w:cstheme="majorBidi"/>
                <w:b/>
                <w:szCs w:val="22"/>
                <w:lang w:val="lt-LT" w:bidi="he-IL"/>
              </w:rPr>
              <w:t xml:space="preserve"> iki</w:t>
            </w:r>
            <w:r w:rsidRPr="004C5B03">
              <w:rPr>
                <w:rFonts w:asciiTheme="majorBidi" w:hAnsiTheme="majorBidi" w:cstheme="majorBidi"/>
                <w:b/>
                <w:szCs w:val="22"/>
                <w:lang w:val="lt-LT" w:bidi="he-IL"/>
              </w:rPr>
              <w:t xml:space="preserve"> &lt; 1/1</w:t>
            </w:r>
            <w:r w:rsidR="00B51D94"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000</w:t>
            </w:r>
          </w:p>
        </w:tc>
      </w:tr>
      <w:tr w:rsidR="004C5B03" w:rsidRPr="004C5B03" w14:paraId="114F3C42" w14:textId="77777777" w:rsidTr="004C5B03">
        <w:tc>
          <w:tcPr>
            <w:tcW w:w="1992" w:type="dxa"/>
          </w:tcPr>
          <w:p w14:paraId="6AD23EE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Infekcijos ir infestacijos</w:t>
            </w:r>
          </w:p>
        </w:tc>
        <w:tc>
          <w:tcPr>
            <w:tcW w:w="1512" w:type="dxa"/>
          </w:tcPr>
          <w:p w14:paraId="1EC4404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69E35A61"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Makšties kandidozė</w:t>
            </w:r>
          </w:p>
        </w:tc>
        <w:tc>
          <w:tcPr>
            <w:tcW w:w="1843" w:type="dxa"/>
          </w:tcPr>
          <w:p w14:paraId="520F32F9"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040" w:type="dxa"/>
          </w:tcPr>
          <w:p w14:paraId="2C235E5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3E6E7F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C5D45E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r>
      <w:tr w:rsidR="004C5B03" w:rsidRPr="004C5B03" w14:paraId="3EC2654F" w14:textId="77777777" w:rsidTr="004C5B03">
        <w:tc>
          <w:tcPr>
            <w:tcW w:w="1992" w:type="dxa"/>
          </w:tcPr>
          <w:p w14:paraId="27C77031"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Imuninės sistemos sutrikimai</w:t>
            </w:r>
          </w:p>
        </w:tc>
        <w:tc>
          <w:tcPr>
            <w:tcW w:w="1512" w:type="dxa"/>
          </w:tcPr>
          <w:p w14:paraId="2927D4D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781C985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843" w:type="dxa"/>
          </w:tcPr>
          <w:p w14:paraId="7C0E0F5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040" w:type="dxa"/>
          </w:tcPr>
          <w:p w14:paraId="426F314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Alerginės reakcijos</w:t>
            </w:r>
          </w:p>
        </w:tc>
      </w:tr>
      <w:tr w:rsidR="004C5B03" w:rsidRPr="004C5B03" w14:paraId="3075290E" w14:textId="77777777" w:rsidTr="004C5B03">
        <w:tc>
          <w:tcPr>
            <w:tcW w:w="1992" w:type="dxa"/>
          </w:tcPr>
          <w:p w14:paraId="42B54C7C"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lastRenderedPageBreak/>
              <w:t>Psichikos sutrikimai</w:t>
            </w:r>
          </w:p>
        </w:tc>
        <w:tc>
          <w:tcPr>
            <w:tcW w:w="1512" w:type="dxa"/>
          </w:tcPr>
          <w:p w14:paraId="4044012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0BECC8F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843" w:type="dxa"/>
          </w:tcPr>
          <w:p w14:paraId="15E5EA5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040" w:type="dxa"/>
          </w:tcPr>
          <w:p w14:paraId="305B0FAD"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Nervingumas</w:t>
            </w:r>
          </w:p>
        </w:tc>
      </w:tr>
      <w:tr w:rsidR="004C5B03" w:rsidRPr="004C5B03" w14:paraId="0E1424DE" w14:textId="77777777" w:rsidTr="004C5B03">
        <w:tc>
          <w:tcPr>
            <w:tcW w:w="1992" w:type="dxa"/>
          </w:tcPr>
          <w:p w14:paraId="19B4C353"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Nervų sistemos sutrikimai</w:t>
            </w:r>
          </w:p>
        </w:tc>
        <w:tc>
          <w:tcPr>
            <w:tcW w:w="1512" w:type="dxa"/>
          </w:tcPr>
          <w:p w14:paraId="46B5F45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Galvos skausmas</w:t>
            </w:r>
          </w:p>
        </w:tc>
        <w:tc>
          <w:tcPr>
            <w:tcW w:w="1985" w:type="dxa"/>
          </w:tcPr>
          <w:p w14:paraId="4D6B4F0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Galvos svaigimas </w:t>
            </w:r>
          </w:p>
          <w:p w14:paraId="28C3737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843" w:type="dxa"/>
          </w:tcPr>
          <w:p w14:paraId="6D3197B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Migrena</w:t>
            </w:r>
          </w:p>
          <w:p w14:paraId="2296082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040" w:type="dxa"/>
          </w:tcPr>
          <w:p w14:paraId="70C343FD"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Galvos svaigimas</w:t>
            </w:r>
          </w:p>
        </w:tc>
      </w:tr>
      <w:tr w:rsidR="004C5B03" w:rsidRPr="004C5B03" w14:paraId="61482FF4" w14:textId="77777777" w:rsidTr="004C5B03">
        <w:tc>
          <w:tcPr>
            <w:tcW w:w="1992" w:type="dxa"/>
          </w:tcPr>
          <w:p w14:paraId="35D7181D"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tc>
        <w:tc>
          <w:tcPr>
            <w:tcW w:w="1512" w:type="dxa"/>
          </w:tcPr>
          <w:p w14:paraId="17C4E49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7782E080"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Nemiga</w:t>
            </w:r>
          </w:p>
        </w:tc>
        <w:tc>
          <w:tcPr>
            <w:tcW w:w="1843" w:type="dxa"/>
          </w:tcPr>
          <w:p w14:paraId="72EB98A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Libido sutrikimai</w:t>
            </w:r>
          </w:p>
          <w:p w14:paraId="534CAFD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(kitaip nespecifikuoti)</w:t>
            </w:r>
          </w:p>
        </w:tc>
        <w:tc>
          <w:tcPr>
            <w:tcW w:w="2040" w:type="dxa"/>
          </w:tcPr>
          <w:p w14:paraId="40037FB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r>
      <w:tr w:rsidR="004C5B03" w:rsidRPr="004C5B03" w14:paraId="50DACACB" w14:textId="77777777" w:rsidTr="004C5B03">
        <w:tc>
          <w:tcPr>
            <w:tcW w:w="1992" w:type="dxa"/>
          </w:tcPr>
          <w:p w14:paraId="2964899F"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tc>
        <w:tc>
          <w:tcPr>
            <w:tcW w:w="1512" w:type="dxa"/>
          </w:tcPr>
          <w:p w14:paraId="1100546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54B2E3B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Depresija</w:t>
            </w:r>
          </w:p>
        </w:tc>
        <w:tc>
          <w:tcPr>
            <w:tcW w:w="1843" w:type="dxa"/>
          </w:tcPr>
          <w:p w14:paraId="6DD787D9"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040" w:type="dxa"/>
          </w:tcPr>
          <w:p w14:paraId="008386E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r>
      <w:tr w:rsidR="004C5B03" w:rsidRPr="007724B8" w14:paraId="3A6BA47D" w14:textId="77777777" w:rsidTr="004C5B03">
        <w:tc>
          <w:tcPr>
            <w:tcW w:w="1992" w:type="dxa"/>
          </w:tcPr>
          <w:p w14:paraId="74A2B226"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Kraujagyslių sutrikimai</w:t>
            </w:r>
          </w:p>
        </w:tc>
        <w:tc>
          <w:tcPr>
            <w:tcW w:w="1512" w:type="dxa"/>
          </w:tcPr>
          <w:p w14:paraId="2099506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34ADFE72"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Kraujospūdžio padidėjimas.</w:t>
            </w:r>
          </w:p>
          <w:p w14:paraId="12072765"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Hipertenzijos pasunkėjimas</w:t>
            </w:r>
          </w:p>
          <w:p w14:paraId="377F083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F6AD42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843" w:type="dxa"/>
          </w:tcPr>
          <w:p w14:paraId="6059185B"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Periferinių kraujagyslių embolija ir trombozė </w:t>
            </w:r>
          </w:p>
        </w:tc>
        <w:tc>
          <w:tcPr>
            <w:tcW w:w="2040" w:type="dxa"/>
          </w:tcPr>
          <w:p w14:paraId="55084C8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r>
      <w:tr w:rsidR="004C5B03" w:rsidRPr="004C5B03" w14:paraId="5A5F52BC" w14:textId="77777777" w:rsidTr="004C5B03">
        <w:tc>
          <w:tcPr>
            <w:tcW w:w="1992" w:type="dxa"/>
            <w:vMerge w:val="restart"/>
          </w:tcPr>
          <w:p w14:paraId="4E922F05"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Virškinimo trakto sutrikimai</w:t>
            </w:r>
          </w:p>
        </w:tc>
        <w:tc>
          <w:tcPr>
            <w:tcW w:w="1512" w:type="dxa"/>
          </w:tcPr>
          <w:p w14:paraId="5922A3F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20F909B5"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Dispepsija </w:t>
            </w:r>
          </w:p>
          <w:p w14:paraId="0CF6297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843" w:type="dxa"/>
          </w:tcPr>
          <w:p w14:paraId="5AA1835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Vėmimas</w:t>
            </w:r>
          </w:p>
        </w:tc>
        <w:tc>
          <w:tcPr>
            <w:tcW w:w="2040" w:type="dxa"/>
          </w:tcPr>
          <w:p w14:paraId="0139450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Viduriavimas</w:t>
            </w:r>
          </w:p>
          <w:p w14:paraId="0D1ADB6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r>
      <w:tr w:rsidR="004C5B03" w:rsidRPr="004C5B03" w14:paraId="74BDE5E6" w14:textId="77777777" w:rsidTr="004C5B03">
        <w:tc>
          <w:tcPr>
            <w:tcW w:w="1992" w:type="dxa"/>
            <w:vMerge/>
          </w:tcPr>
          <w:p w14:paraId="15F5DF9D"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tc>
        <w:tc>
          <w:tcPr>
            <w:tcW w:w="1512" w:type="dxa"/>
          </w:tcPr>
          <w:p w14:paraId="149035A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7B66C9D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Pilvo skausmas</w:t>
            </w:r>
          </w:p>
        </w:tc>
        <w:tc>
          <w:tcPr>
            <w:tcW w:w="1843" w:type="dxa"/>
          </w:tcPr>
          <w:p w14:paraId="315A213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040" w:type="dxa"/>
          </w:tcPr>
          <w:p w14:paraId="69B8E1D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Pilvo pūtimas</w:t>
            </w:r>
          </w:p>
        </w:tc>
      </w:tr>
      <w:tr w:rsidR="004C5B03" w:rsidRPr="004C5B03" w14:paraId="538C1429" w14:textId="77777777" w:rsidTr="004C5B03">
        <w:tc>
          <w:tcPr>
            <w:tcW w:w="1992" w:type="dxa"/>
            <w:vMerge/>
          </w:tcPr>
          <w:p w14:paraId="3429AA1B"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tc>
        <w:tc>
          <w:tcPr>
            <w:tcW w:w="1512" w:type="dxa"/>
          </w:tcPr>
          <w:p w14:paraId="3D6FA9E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7FD5991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Meteorizmas</w:t>
            </w:r>
          </w:p>
        </w:tc>
        <w:tc>
          <w:tcPr>
            <w:tcW w:w="1843" w:type="dxa"/>
          </w:tcPr>
          <w:p w14:paraId="405F24E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040" w:type="dxa"/>
          </w:tcPr>
          <w:p w14:paraId="1D189801"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r>
      <w:tr w:rsidR="004C5B03" w:rsidRPr="004C5B03" w14:paraId="2335BB08" w14:textId="77777777" w:rsidTr="004C5B03">
        <w:tc>
          <w:tcPr>
            <w:tcW w:w="1992" w:type="dxa"/>
            <w:vMerge/>
          </w:tcPr>
          <w:p w14:paraId="3FEE52C5"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tc>
        <w:tc>
          <w:tcPr>
            <w:tcW w:w="1512" w:type="dxa"/>
          </w:tcPr>
          <w:p w14:paraId="34EA1C4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144C431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Pykinimas</w:t>
            </w:r>
          </w:p>
        </w:tc>
        <w:tc>
          <w:tcPr>
            <w:tcW w:w="1843" w:type="dxa"/>
          </w:tcPr>
          <w:p w14:paraId="4CB674A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040" w:type="dxa"/>
          </w:tcPr>
          <w:p w14:paraId="0EA6772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r>
      <w:tr w:rsidR="004C5B03" w:rsidRPr="004C5B03" w14:paraId="77A234CD" w14:textId="77777777" w:rsidTr="004C5B03">
        <w:tc>
          <w:tcPr>
            <w:tcW w:w="1992" w:type="dxa"/>
          </w:tcPr>
          <w:p w14:paraId="5F54EDA8"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Kepenų ir tulžies sistemos sutrikimai</w:t>
            </w:r>
          </w:p>
        </w:tc>
        <w:tc>
          <w:tcPr>
            <w:tcW w:w="1512" w:type="dxa"/>
          </w:tcPr>
          <w:p w14:paraId="582E385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0035756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843" w:type="dxa"/>
          </w:tcPr>
          <w:p w14:paraId="1DE5783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Tulžies pūslės ligos</w:t>
            </w:r>
          </w:p>
        </w:tc>
        <w:tc>
          <w:tcPr>
            <w:tcW w:w="2040" w:type="dxa"/>
          </w:tcPr>
          <w:p w14:paraId="0741854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r>
      <w:tr w:rsidR="004C5B03" w:rsidRPr="004C5B03" w14:paraId="0DFEB056" w14:textId="77777777" w:rsidTr="004C5B03">
        <w:tc>
          <w:tcPr>
            <w:tcW w:w="1992" w:type="dxa"/>
          </w:tcPr>
          <w:p w14:paraId="24D09808"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tc>
        <w:tc>
          <w:tcPr>
            <w:tcW w:w="1512" w:type="dxa"/>
          </w:tcPr>
          <w:p w14:paraId="7165329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5253845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843" w:type="dxa"/>
          </w:tcPr>
          <w:p w14:paraId="6909704C" w14:textId="77777777" w:rsidR="004C5B03" w:rsidRPr="004C5B03" w:rsidDel="00345F5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Tulžies akmenys</w:t>
            </w:r>
          </w:p>
        </w:tc>
        <w:tc>
          <w:tcPr>
            <w:tcW w:w="2040" w:type="dxa"/>
          </w:tcPr>
          <w:p w14:paraId="2A25FA4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r>
      <w:tr w:rsidR="004C5B03" w:rsidRPr="004C5B03" w14:paraId="4E97F6E4" w14:textId="77777777" w:rsidTr="004C5B03">
        <w:tc>
          <w:tcPr>
            <w:tcW w:w="1992" w:type="dxa"/>
            <w:vMerge w:val="restart"/>
          </w:tcPr>
          <w:p w14:paraId="7EBF9E77"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Odos ir poodinio audinio sutrikimai</w:t>
            </w:r>
          </w:p>
        </w:tc>
        <w:tc>
          <w:tcPr>
            <w:tcW w:w="1512" w:type="dxa"/>
          </w:tcPr>
          <w:p w14:paraId="182F498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69244AC1"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Odos bėrimas </w:t>
            </w:r>
          </w:p>
        </w:tc>
        <w:tc>
          <w:tcPr>
            <w:tcW w:w="1843" w:type="dxa"/>
          </w:tcPr>
          <w:p w14:paraId="3054CD5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Alopecija</w:t>
            </w:r>
          </w:p>
        </w:tc>
        <w:tc>
          <w:tcPr>
            <w:tcW w:w="2040" w:type="dxa"/>
          </w:tcPr>
          <w:p w14:paraId="40566CC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Aknė</w:t>
            </w:r>
          </w:p>
        </w:tc>
      </w:tr>
      <w:tr w:rsidR="004C5B03" w:rsidRPr="004C5B03" w14:paraId="2DE64900" w14:textId="77777777" w:rsidTr="004C5B03">
        <w:trPr>
          <w:trHeight w:val="70"/>
        </w:trPr>
        <w:tc>
          <w:tcPr>
            <w:tcW w:w="1992" w:type="dxa"/>
            <w:vMerge/>
          </w:tcPr>
          <w:p w14:paraId="36E7788C"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tc>
        <w:tc>
          <w:tcPr>
            <w:tcW w:w="1512" w:type="dxa"/>
          </w:tcPr>
          <w:p w14:paraId="6908660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023F0C3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Niežulys</w:t>
            </w:r>
          </w:p>
        </w:tc>
        <w:tc>
          <w:tcPr>
            <w:tcW w:w="1843" w:type="dxa"/>
          </w:tcPr>
          <w:p w14:paraId="47C43C2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040" w:type="dxa"/>
          </w:tcPr>
          <w:p w14:paraId="4E44510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r>
      <w:tr w:rsidR="004C5B03" w:rsidRPr="004C5B03" w14:paraId="6BE85711" w14:textId="77777777" w:rsidTr="004C5B03">
        <w:tc>
          <w:tcPr>
            <w:tcW w:w="1992" w:type="dxa"/>
          </w:tcPr>
          <w:p w14:paraId="768B4057" w14:textId="2DB1CAE5"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Raumenų, kaulų ir jungiamojo audinio sutrikimai</w:t>
            </w:r>
          </w:p>
        </w:tc>
        <w:tc>
          <w:tcPr>
            <w:tcW w:w="1512" w:type="dxa"/>
          </w:tcPr>
          <w:p w14:paraId="57304469"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71BD6541"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843" w:type="dxa"/>
          </w:tcPr>
          <w:p w14:paraId="09E26B2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Raumenų mėšlungis</w:t>
            </w:r>
          </w:p>
        </w:tc>
        <w:tc>
          <w:tcPr>
            <w:tcW w:w="2040" w:type="dxa"/>
          </w:tcPr>
          <w:p w14:paraId="4E35401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r>
      <w:tr w:rsidR="004C5B03" w:rsidRPr="004C5B03" w14:paraId="4EC3715D" w14:textId="77777777" w:rsidTr="004C5B03">
        <w:tc>
          <w:tcPr>
            <w:tcW w:w="1992" w:type="dxa"/>
            <w:vMerge w:val="restart"/>
          </w:tcPr>
          <w:p w14:paraId="4B612787"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Lytinės sistemos  ir krūties sutrikimai</w:t>
            </w:r>
          </w:p>
        </w:tc>
        <w:tc>
          <w:tcPr>
            <w:tcW w:w="1512" w:type="dxa"/>
          </w:tcPr>
          <w:p w14:paraId="693645B9"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Krūtų jautrumas</w:t>
            </w:r>
          </w:p>
          <w:p w14:paraId="621DC8A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2BA8D2CB"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Kraujavimas iš makšties </w:t>
            </w:r>
          </w:p>
          <w:p w14:paraId="06AB7AD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843" w:type="dxa"/>
          </w:tcPr>
          <w:p w14:paraId="7B9402F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040" w:type="dxa"/>
          </w:tcPr>
          <w:p w14:paraId="784373E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Gimdos fibromos</w:t>
            </w:r>
          </w:p>
        </w:tc>
      </w:tr>
      <w:tr w:rsidR="004C5B03" w:rsidRPr="004C5B03" w14:paraId="0AA88437" w14:textId="77777777" w:rsidTr="004C5B03">
        <w:tc>
          <w:tcPr>
            <w:tcW w:w="1992" w:type="dxa"/>
            <w:vMerge/>
          </w:tcPr>
          <w:p w14:paraId="3AE0D906"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tc>
        <w:tc>
          <w:tcPr>
            <w:tcW w:w="1512" w:type="dxa"/>
          </w:tcPr>
          <w:p w14:paraId="5EF285A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18FE6D01"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Esamų gimdos fibromų padidėjimas</w:t>
            </w:r>
          </w:p>
        </w:tc>
        <w:tc>
          <w:tcPr>
            <w:tcW w:w="1843" w:type="dxa"/>
          </w:tcPr>
          <w:p w14:paraId="73A8733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040" w:type="dxa"/>
          </w:tcPr>
          <w:p w14:paraId="2058D32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r>
      <w:tr w:rsidR="004C5B03" w:rsidRPr="004C5B03" w14:paraId="39D0F2FC" w14:textId="77777777" w:rsidTr="004C5B03">
        <w:tc>
          <w:tcPr>
            <w:tcW w:w="1992" w:type="dxa"/>
          </w:tcPr>
          <w:p w14:paraId="7DE4E2AE"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 xml:space="preserve">Bendrieji sutrikimai ir vartojimo vietos pažeidimai </w:t>
            </w:r>
          </w:p>
        </w:tc>
        <w:tc>
          <w:tcPr>
            <w:tcW w:w="1512" w:type="dxa"/>
          </w:tcPr>
          <w:p w14:paraId="50D92FF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3711C8D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Edema</w:t>
            </w:r>
          </w:p>
        </w:tc>
        <w:tc>
          <w:tcPr>
            <w:tcW w:w="1843" w:type="dxa"/>
          </w:tcPr>
          <w:p w14:paraId="40536741"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040" w:type="dxa"/>
          </w:tcPr>
          <w:p w14:paraId="5AACFF7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r>
      <w:tr w:rsidR="004C5B03" w:rsidRPr="004C5B03" w14:paraId="417027FF" w14:textId="77777777" w:rsidTr="004C5B03">
        <w:tc>
          <w:tcPr>
            <w:tcW w:w="1992" w:type="dxa"/>
          </w:tcPr>
          <w:p w14:paraId="20069254"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Tyrimai</w:t>
            </w:r>
          </w:p>
        </w:tc>
        <w:tc>
          <w:tcPr>
            <w:tcW w:w="1512" w:type="dxa"/>
          </w:tcPr>
          <w:p w14:paraId="37285FC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1985" w:type="dxa"/>
          </w:tcPr>
          <w:p w14:paraId="22EE54A5"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Kūno masės padidėjimas</w:t>
            </w:r>
          </w:p>
        </w:tc>
        <w:tc>
          <w:tcPr>
            <w:tcW w:w="1843" w:type="dxa"/>
          </w:tcPr>
          <w:p w14:paraId="2C31F62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040" w:type="dxa"/>
          </w:tcPr>
          <w:p w14:paraId="13BC7F6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r>
    </w:tbl>
    <w:p w14:paraId="06BB477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9B1744C" w14:textId="08C0CCFE"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 xml:space="preserve">Patirtis, </w:t>
      </w:r>
      <w:bookmarkStart w:id="2" w:name="_Hlk94543848"/>
      <w:r w:rsidR="008F5E57" w:rsidRPr="00954F6F">
        <w:rPr>
          <w:rFonts w:asciiTheme="majorBidi" w:hAnsiTheme="majorBidi" w:cstheme="majorBidi"/>
          <w:szCs w:val="22"/>
          <w:u w:val="single"/>
          <w:lang w:val="lt-LT" w:bidi="he-IL"/>
        </w:rPr>
        <w:t>gauta pateikus vaistinį preparatą į rinką</w:t>
      </w:r>
      <w:bookmarkEnd w:id="2"/>
      <w:r w:rsidRPr="004C5B03">
        <w:rPr>
          <w:rFonts w:asciiTheme="majorBidi" w:hAnsiTheme="majorBidi" w:cstheme="majorBidi"/>
          <w:szCs w:val="22"/>
          <w:u w:val="single"/>
          <w:lang w:val="lt-LT" w:bidi="he-IL"/>
        </w:rPr>
        <w:t>:</w:t>
      </w:r>
    </w:p>
    <w:p w14:paraId="07C7802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B8CD56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Be jau minėtų nepageidaujamų reakcijų į vaistą , toliau išvardytos kai kurios nepageidaujamos reakcijos, apie kurias informuota spontaniškai ir, kurios, kaip manoma, susijusios su gydymu Novofem. Šių nepageidaujamų reakcijų dažnis negali būti įvertintas pagal turimus duomenis:</w:t>
      </w:r>
    </w:p>
    <w:p w14:paraId="34E48E5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F356DFB" w14:textId="09DB77E1" w:rsidR="004C5B03" w:rsidRPr="004C5B03" w:rsidRDefault="004C5B03" w:rsidP="004C5B03">
      <w:pPr>
        <w:ind w:left="567" w:hanging="567"/>
        <w:rPr>
          <w:lang w:val="lt-LT" w:bidi="he-IL"/>
        </w:rPr>
      </w:pPr>
      <w:r w:rsidRPr="006E2C36">
        <w:rPr>
          <w:lang w:val="lt-LT"/>
        </w:rPr>
        <w:t>–</w:t>
      </w:r>
      <w:r w:rsidRPr="006E2C36">
        <w:rPr>
          <w:lang w:val="lt-LT"/>
        </w:rPr>
        <w:tab/>
      </w:r>
      <w:r w:rsidRPr="004C5B03">
        <w:rPr>
          <w:lang w:val="lt-LT" w:bidi="he-IL"/>
        </w:rPr>
        <w:t>Gerybiniai ir piktybiniai navikai (taip pat cistos ir polipai): endometriumo vėžys.</w:t>
      </w:r>
    </w:p>
    <w:p w14:paraId="7FC90FDF" w14:textId="6E0D65FC"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Imuninės sistemos sutrikimai: generalizuota padidinto jautrumo reakcija (pvz., anafilaksinė reakcija/anafilaksinis šokas).</w:t>
      </w:r>
    </w:p>
    <w:p w14:paraId="5F72C81C" w14:textId="28C7C7C8"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Psichikos sutrikimai: nerimas.</w:t>
      </w:r>
    </w:p>
    <w:p w14:paraId="5173BBCD" w14:textId="4FAC0DCD"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Nervų sistemos sutrikimai: smegenų insultas.</w:t>
      </w:r>
    </w:p>
    <w:p w14:paraId="5FF89B4F" w14:textId="38F765D9"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Akių sutrikimai: regėjimo sutrikimai.</w:t>
      </w:r>
    </w:p>
    <w:p w14:paraId="5F6B1EDB" w14:textId="6E265087"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Širdies sutrikimai: miokardo infarktas.</w:t>
      </w:r>
    </w:p>
    <w:p w14:paraId="2B8BACBF" w14:textId="5A405F5C" w:rsidR="004C5B03" w:rsidRPr="004C5B03" w:rsidRDefault="004C5B03" w:rsidP="004C5B03">
      <w:pPr>
        <w:ind w:left="567" w:hanging="567"/>
        <w:rPr>
          <w:lang w:val="lt-LT" w:bidi="he-IL"/>
        </w:rPr>
      </w:pPr>
      <w:r w:rsidRPr="005265C0">
        <w:rPr>
          <w:lang w:val="lt-LT"/>
        </w:rPr>
        <w:lastRenderedPageBreak/>
        <w:t>–</w:t>
      </w:r>
      <w:r w:rsidRPr="005265C0">
        <w:rPr>
          <w:lang w:val="lt-LT"/>
        </w:rPr>
        <w:tab/>
      </w:r>
      <w:r w:rsidRPr="004C5B03">
        <w:rPr>
          <w:lang w:val="lt-LT" w:bidi="he-IL"/>
        </w:rPr>
        <w:t>Kraujagyslių sutrikimai: arterinės hipertenzijos pasunkėjimas.</w:t>
      </w:r>
    </w:p>
    <w:p w14:paraId="286EF886" w14:textId="2C923F47"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Kepenų ir tulžies sistemos sutrikimai: akmenligės pasunkėjimas arba atsinaujinimas.</w:t>
      </w:r>
    </w:p>
    <w:p w14:paraId="4440FE0D" w14:textId="67FF339B"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Odos ir poodinio audinio sutrikimai: seborėja, angioneurozinė edema, hirsutizmas.</w:t>
      </w:r>
    </w:p>
    <w:p w14:paraId="0C5F1C9B" w14:textId="7461A1EE"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Lytinės sistemos ir krūties sutrikimai: endometriumo hiperplazija, makšties ir tarpvietės niežulys.</w:t>
      </w:r>
    </w:p>
    <w:p w14:paraId="37D91EA8" w14:textId="48359AD9"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Tyrimai: kūno svorio sumažėjimas.</w:t>
      </w:r>
    </w:p>
    <w:p w14:paraId="1F79DD4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12B139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Vartojant kitus estrogenų/progestagenų preparatus, pasitaikė šių nepageidaujamų reakcijų:</w:t>
      </w:r>
    </w:p>
    <w:p w14:paraId="0C9B21B6" w14:textId="2E59E5EE"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Odos ir poodinių audinių ligos: chloazma, daugiaformė eritema, mazginė eritema, hemoraginis išbėrimas, kraujagyslinė purpura.</w:t>
      </w:r>
    </w:p>
    <w:p w14:paraId="3668E9C8" w14:textId="4AF95389"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Galima demencija vyresnėms nei 65 metų pacientėms (žr. 4.4 skyrių).</w:t>
      </w:r>
    </w:p>
    <w:p w14:paraId="71DD6D01" w14:textId="47B67A37"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Akių sausumas.</w:t>
      </w:r>
    </w:p>
    <w:p w14:paraId="56ABA6EA" w14:textId="1EE816DA"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Ašarų plėvelės sudėties pakitimas.</w:t>
      </w:r>
    </w:p>
    <w:p w14:paraId="122F3A0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8D2AC6F"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Krūties vėžio rizika</w:t>
      </w:r>
    </w:p>
    <w:p w14:paraId="052E028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122E315"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Nustatyta, kad moterims, vartojančioms sudėtinę estrogenų-progestagenų terapiją ilgiau nei 5 metus, rizika susirgti krūties vėžiu padidėja daugiau nei 2 kartus.</w:t>
      </w:r>
    </w:p>
    <w:p w14:paraId="426E7CC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3B52067" w14:textId="147E9AC4" w:rsidR="004C5B03" w:rsidRPr="004C5B03" w:rsidRDefault="009C5088" w:rsidP="004C5B03">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Padidėjusi </w:t>
      </w:r>
      <w:r w:rsidRPr="004C5B03">
        <w:rPr>
          <w:rFonts w:asciiTheme="majorBidi" w:hAnsiTheme="majorBidi" w:cstheme="majorBidi"/>
          <w:szCs w:val="22"/>
          <w:lang w:val="lt-LT" w:bidi="he-IL"/>
        </w:rPr>
        <w:t xml:space="preserve">rizika </w:t>
      </w:r>
      <w:r>
        <w:rPr>
          <w:rFonts w:asciiTheme="majorBidi" w:hAnsiTheme="majorBidi" w:cstheme="majorBidi"/>
          <w:szCs w:val="22"/>
          <w:lang w:val="lt-LT" w:bidi="he-IL"/>
        </w:rPr>
        <w:t xml:space="preserve">tik </w:t>
      </w:r>
      <w:r w:rsidR="004C5B03" w:rsidRPr="004C5B03">
        <w:rPr>
          <w:rFonts w:asciiTheme="majorBidi" w:hAnsiTheme="majorBidi" w:cstheme="majorBidi"/>
          <w:szCs w:val="22"/>
          <w:lang w:val="lt-LT" w:bidi="he-IL"/>
        </w:rPr>
        <w:t>estrogen</w:t>
      </w:r>
      <w:r>
        <w:rPr>
          <w:rFonts w:asciiTheme="majorBidi" w:hAnsiTheme="majorBidi" w:cstheme="majorBidi"/>
          <w:szCs w:val="22"/>
          <w:lang w:val="lt-LT" w:bidi="he-IL"/>
        </w:rPr>
        <w:t>ais</w:t>
      </w:r>
      <w:r w:rsidR="004C5B03" w:rsidRPr="004C5B03">
        <w:rPr>
          <w:rFonts w:asciiTheme="majorBidi" w:hAnsiTheme="majorBidi" w:cstheme="majorBidi"/>
          <w:szCs w:val="22"/>
          <w:lang w:val="lt-LT" w:bidi="he-IL"/>
        </w:rPr>
        <w:t xml:space="preserve"> preparatus </w:t>
      </w:r>
      <w:r>
        <w:rPr>
          <w:rFonts w:asciiTheme="majorBidi" w:hAnsiTheme="majorBidi" w:cstheme="majorBidi"/>
          <w:szCs w:val="22"/>
          <w:lang w:val="lt-LT" w:bidi="he-IL"/>
        </w:rPr>
        <w:t>gydomoms</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pacientėms yra mažesnė nei nustatyta pacinetėms, vartojančioms</w:t>
      </w:r>
      <w:r w:rsidR="004C5B03" w:rsidRPr="004C5B03">
        <w:rPr>
          <w:rFonts w:asciiTheme="majorBidi" w:hAnsiTheme="majorBidi" w:cstheme="majorBidi"/>
          <w:szCs w:val="22"/>
          <w:lang w:val="lt-LT" w:bidi="he-IL"/>
        </w:rPr>
        <w:t xml:space="preserve"> estrogen</w:t>
      </w:r>
      <w:r>
        <w:rPr>
          <w:rFonts w:asciiTheme="majorBidi" w:hAnsiTheme="majorBidi" w:cstheme="majorBidi"/>
          <w:szCs w:val="22"/>
          <w:lang w:val="lt-LT" w:bidi="he-IL"/>
        </w:rPr>
        <w:t>o</w:t>
      </w:r>
      <w:r w:rsidR="004C5B03" w:rsidRPr="004C5B03">
        <w:rPr>
          <w:rFonts w:asciiTheme="majorBidi" w:hAnsiTheme="majorBidi" w:cstheme="majorBidi"/>
          <w:szCs w:val="22"/>
          <w:lang w:val="lt-LT" w:bidi="he-IL"/>
        </w:rPr>
        <w:t>-progestagen</w:t>
      </w:r>
      <w:r>
        <w:rPr>
          <w:rFonts w:asciiTheme="majorBidi" w:hAnsiTheme="majorBidi" w:cstheme="majorBidi"/>
          <w:szCs w:val="22"/>
          <w:lang w:val="lt-LT" w:bidi="he-IL"/>
        </w:rPr>
        <w:t>o</w:t>
      </w:r>
      <w:r w:rsidR="004C5B03"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derinius</w:t>
      </w:r>
      <w:r w:rsidR="004C5B03" w:rsidRPr="004C5B03">
        <w:rPr>
          <w:rFonts w:asciiTheme="majorBidi" w:hAnsiTheme="majorBidi" w:cstheme="majorBidi"/>
          <w:szCs w:val="22"/>
          <w:lang w:val="lt-LT" w:bidi="he-IL"/>
        </w:rPr>
        <w:t>.</w:t>
      </w:r>
    </w:p>
    <w:p w14:paraId="76A8E7E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8D59CF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Krūties vėžio rizika priklauso nuo PHT vartojimo trukmės (žr. 4.4 skyrių).</w:t>
      </w:r>
    </w:p>
    <w:p w14:paraId="45F3F9A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BBDB63D" w14:textId="0B1069E8" w:rsidR="004C5B03" w:rsidRPr="004C5B03" w:rsidRDefault="009C5088" w:rsidP="004C5B03">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w:t>
      </w:r>
      <w:r w:rsidR="004C5B03" w:rsidRPr="004C5B03">
        <w:rPr>
          <w:rFonts w:asciiTheme="majorBidi" w:hAnsiTheme="majorBidi" w:cstheme="majorBidi"/>
          <w:szCs w:val="22"/>
          <w:lang w:val="lt-LT" w:bidi="he-IL"/>
        </w:rPr>
        <w:t>ateikiami</w:t>
      </w:r>
      <w:r>
        <w:rPr>
          <w:rFonts w:asciiTheme="majorBidi" w:hAnsiTheme="majorBidi" w:cstheme="majorBidi"/>
          <w:szCs w:val="22"/>
          <w:lang w:val="lt-LT" w:bidi="he-IL"/>
        </w:rPr>
        <w:t xml:space="preserve"> remiantis</w:t>
      </w:r>
      <w:r w:rsidR="004C5B03" w:rsidRPr="004C5B03">
        <w:rPr>
          <w:rFonts w:asciiTheme="majorBidi" w:hAnsiTheme="majorBidi" w:cstheme="majorBidi"/>
          <w:szCs w:val="22"/>
          <w:lang w:val="lt-LT" w:bidi="he-IL"/>
        </w:rPr>
        <w:t xml:space="preserve"> didžiausio </w:t>
      </w:r>
      <w:r>
        <w:rPr>
          <w:rFonts w:asciiTheme="majorBidi" w:hAnsiTheme="majorBidi" w:cstheme="majorBidi"/>
          <w:szCs w:val="22"/>
          <w:lang w:val="lt-LT" w:bidi="he-IL"/>
        </w:rPr>
        <w:t>atsitiktinių imčių,</w:t>
      </w:r>
      <w:r w:rsidR="004C5B03" w:rsidRPr="004C5B03">
        <w:rPr>
          <w:rFonts w:asciiTheme="majorBidi" w:hAnsiTheme="majorBidi" w:cstheme="majorBidi"/>
          <w:szCs w:val="22"/>
          <w:lang w:val="lt-LT" w:bidi="he-IL"/>
        </w:rPr>
        <w:t xml:space="preserve"> placebu kontroliuojamo tyrimo (WHI) ir didžiausio</w:t>
      </w:r>
      <w:r w:rsidR="00A37B5E">
        <w:rPr>
          <w:rFonts w:asciiTheme="majorBidi" w:hAnsiTheme="majorBidi" w:cstheme="majorBidi"/>
          <w:szCs w:val="22"/>
          <w:lang w:val="lt-LT" w:bidi="he-IL"/>
        </w:rPr>
        <w:t>s apimties prospektyvinių</w:t>
      </w:r>
      <w:r w:rsidR="004C5B03" w:rsidRPr="004C5B03">
        <w:rPr>
          <w:rFonts w:asciiTheme="majorBidi" w:hAnsiTheme="majorBidi" w:cstheme="majorBidi"/>
          <w:szCs w:val="22"/>
          <w:lang w:val="lt-LT" w:bidi="he-IL"/>
        </w:rPr>
        <w:t xml:space="preserve"> tyrim</w:t>
      </w:r>
      <w:r w:rsidR="00A37B5E">
        <w:rPr>
          <w:rFonts w:asciiTheme="majorBidi" w:hAnsiTheme="majorBidi" w:cstheme="majorBidi"/>
          <w:szCs w:val="22"/>
          <w:lang w:val="lt-LT" w:bidi="he-IL"/>
        </w:rPr>
        <w:t>ų</w:t>
      </w:r>
      <w:r w:rsidR="004C5B03" w:rsidRPr="004C5B03">
        <w:rPr>
          <w:rFonts w:asciiTheme="majorBidi" w:hAnsiTheme="majorBidi" w:cstheme="majorBidi"/>
          <w:szCs w:val="22"/>
          <w:lang w:val="lt-LT" w:bidi="he-IL"/>
        </w:rPr>
        <w:t xml:space="preserve"> </w:t>
      </w:r>
      <w:r w:rsidR="00A37B5E">
        <w:rPr>
          <w:rFonts w:asciiTheme="majorBidi" w:hAnsiTheme="majorBidi" w:cstheme="majorBidi"/>
          <w:szCs w:val="22"/>
          <w:lang w:val="lt-LT" w:bidi="he-IL"/>
        </w:rPr>
        <w:t xml:space="preserve">metaanalizės </w:t>
      </w:r>
      <w:r w:rsidR="004C5B03" w:rsidRPr="004C5B03">
        <w:rPr>
          <w:rFonts w:asciiTheme="majorBidi" w:hAnsiTheme="majorBidi" w:cstheme="majorBidi"/>
          <w:szCs w:val="22"/>
          <w:lang w:val="lt-LT" w:bidi="he-IL"/>
        </w:rPr>
        <w:t>rezultatai</w:t>
      </w:r>
      <w:r w:rsidR="00A37B5E">
        <w:rPr>
          <w:rFonts w:asciiTheme="majorBidi" w:hAnsiTheme="majorBidi" w:cstheme="majorBidi"/>
          <w:szCs w:val="22"/>
          <w:lang w:val="lt-LT" w:bidi="he-IL"/>
        </w:rPr>
        <w:t>s pagrįsti absoliučios rizikos įverčiai.</w:t>
      </w:r>
    </w:p>
    <w:p w14:paraId="780526F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945E2ED" w14:textId="77777777" w:rsidR="00A37B5E" w:rsidRDefault="00A37B5E" w:rsidP="004C5B03">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Didžiausios apimties prospektyvinių epidemiologinių tyrimų metaanalizė</w:t>
      </w:r>
    </w:p>
    <w:p w14:paraId="792BEE21" w14:textId="77777777" w:rsidR="00A37B5E" w:rsidRDefault="00A37B5E" w:rsidP="004C5B03">
      <w:pPr>
        <w:tabs>
          <w:tab w:val="clear" w:pos="567"/>
        </w:tabs>
        <w:suppressAutoHyphens w:val="0"/>
        <w:rPr>
          <w:rFonts w:asciiTheme="majorBidi" w:hAnsiTheme="majorBidi" w:cstheme="majorBidi"/>
          <w:b/>
          <w:szCs w:val="22"/>
          <w:lang w:val="lt-LT" w:bidi="he-IL"/>
        </w:rPr>
      </w:pPr>
    </w:p>
    <w:p w14:paraId="78B3AACA" w14:textId="58DCD6FA" w:rsidR="004C5B03" w:rsidRPr="004C5B03" w:rsidRDefault="00A37B5E" w:rsidP="004C5B03">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A</w:t>
      </w:r>
      <w:r w:rsidR="004C5B03" w:rsidRPr="004C5B03">
        <w:rPr>
          <w:rFonts w:asciiTheme="majorBidi" w:hAnsiTheme="majorBidi" w:cstheme="majorBidi"/>
          <w:b/>
          <w:szCs w:val="22"/>
          <w:lang w:val="lt-LT" w:bidi="he-IL"/>
        </w:rPr>
        <w:t>pskaičiuot</w:t>
      </w:r>
      <w:r>
        <w:rPr>
          <w:rFonts w:asciiTheme="majorBidi" w:hAnsiTheme="majorBidi" w:cstheme="majorBidi"/>
          <w:b/>
          <w:szCs w:val="22"/>
          <w:lang w:val="lt-LT" w:bidi="he-IL"/>
        </w:rPr>
        <w:t>oji</w:t>
      </w:r>
      <w:r w:rsidR="004C5B03" w:rsidRPr="004C5B03">
        <w:rPr>
          <w:rFonts w:asciiTheme="majorBidi" w:hAnsiTheme="majorBidi" w:cstheme="majorBidi"/>
          <w:b/>
          <w:szCs w:val="22"/>
          <w:lang w:val="lt-LT" w:bidi="he-IL"/>
        </w:rPr>
        <w:t xml:space="preserve"> papildoma krūties vėžio rizika po 5</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metų</w:t>
      </w:r>
      <w:r>
        <w:rPr>
          <w:rFonts w:asciiTheme="majorBidi" w:hAnsiTheme="majorBidi" w:cstheme="majorBidi"/>
          <w:b/>
          <w:szCs w:val="22"/>
          <w:lang w:val="lt-LT" w:bidi="he-IL"/>
        </w:rPr>
        <w:t xml:space="preserve"> </w:t>
      </w:r>
      <w:r w:rsidR="004C5B03" w:rsidRPr="004C5B03">
        <w:rPr>
          <w:rFonts w:asciiTheme="majorBidi" w:hAnsiTheme="majorBidi" w:cstheme="majorBidi"/>
          <w:b/>
          <w:szCs w:val="22"/>
          <w:lang w:val="lt-LT" w:bidi="he-IL"/>
        </w:rPr>
        <w:t>vartojimo</w:t>
      </w:r>
      <w:r>
        <w:rPr>
          <w:rFonts w:asciiTheme="majorBidi" w:hAnsiTheme="majorBidi" w:cstheme="majorBidi"/>
          <w:b/>
          <w:szCs w:val="22"/>
          <w:lang w:val="lt-LT" w:bidi="he-IL"/>
        </w:rPr>
        <w:t>, kylanti moterims, kurių KMI – 27 (kg/m</w:t>
      </w:r>
      <w:r w:rsidRPr="009A5B9C">
        <w:rPr>
          <w:rFonts w:asciiTheme="majorBidi" w:hAnsiTheme="majorBidi" w:cstheme="majorBidi"/>
          <w:b/>
          <w:szCs w:val="22"/>
          <w:vertAlign w:val="superscript"/>
          <w:lang w:val="lt-LT" w:bidi="he-IL"/>
        </w:rPr>
        <w:t>2</w:t>
      </w:r>
      <w:r>
        <w:rPr>
          <w:rFonts w:asciiTheme="majorBidi" w:hAnsiTheme="majorBidi" w:cstheme="majorBidi"/>
          <w:b/>
          <w:szCs w:val="22"/>
          <w:lang w:val="lt-LT" w:bidi="he-I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559"/>
        <w:gridCol w:w="4245"/>
      </w:tblGrid>
      <w:tr w:rsidR="007A3818" w:rsidRPr="007724B8" w14:paraId="1B93CF7F" w14:textId="77777777" w:rsidTr="009A5B9C">
        <w:tc>
          <w:tcPr>
            <w:tcW w:w="1271" w:type="dxa"/>
            <w:tcBorders>
              <w:bottom w:val="single" w:sz="4" w:space="0" w:color="auto"/>
            </w:tcBorders>
          </w:tcPr>
          <w:p w14:paraId="21AC8548" w14:textId="26514F92"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 xml:space="preserve">Amžius </w:t>
            </w:r>
            <w:r w:rsidR="00A37B5E">
              <w:rPr>
                <w:rFonts w:asciiTheme="majorBidi" w:hAnsiTheme="majorBidi" w:cstheme="majorBidi"/>
                <w:b/>
                <w:szCs w:val="22"/>
                <w:lang w:val="lt-LT" w:bidi="he-IL"/>
              </w:rPr>
              <w:t>pradedant PHT</w:t>
            </w:r>
            <w:r w:rsidR="00A37B5E" w:rsidRPr="004C5B03">
              <w:rPr>
                <w:rFonts w:asciiTheme="majorBidi" w:hAnsiTheme="majorBidi" w:cstheme="majorBidi"/>
                <w:b/>
                <w:szCs w:val="22"/>
                <w:lang w:val="lt-LT" w:bidi="he-IL"/>
              </w:rPr>
              <w:t xml:space="preserve"> </w:t>
            </w:r>
            <w:r w:rsidRPr="004C5B03">
              <w:rPr>
                <w:rFonts w:asciiTheme="majorBidi" w:hAnsiTheme="majorBidi" w:cstheme="majorBidi"/>
                <w:b/>
                <w:szCs w:val="22"/>
                <w:lang w:val="lt-LT" w:bidi="he-IL"/>
              </w:rPr>
              <w:t>(metai)</w:t>
            </w:r>
          </w:p>
        </w:tc>
        <w:tc>
          <w:tcPr>
            <w:tcW w:w="1985" w:type="dxa"/>
            <w:tcBorders>
              <w:bottom w:val="single" w:sz="4" w:space="0" w:color="auto"/>
            </w:tcBorders>
          </w:tcPr>
          <w:p w14:paraId="7281DE70" w14:textId="718C0E93" w:rsidR="004C5B03" w:rsidRPr="004C5B03" w:rsidRDefault="00A37B5E" w:rsidP="004C5B03">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Atvejų skaičius</w:t>
            </w:r>
            <w:r w:rsidR="004C5B03" w:rsidRPr="004C5B03">
              <w:rPr>
                <w:rFonts w:asciiTheme="majorBidi" w:hAnsiTheme="majorBidi" w:cstheme="majorBidi"/>
                <w:b/>
                <w:szCs w:val="22"/>
                <w:lang w:val="lt-LT" w:bidi="he-IL"/>
              </w:rPr>
              <w:t xml:space="preserve"> 1</w:t>
            </w:r>
            <w:r w:rsidR="0011675D" w:rsidRPr="004C5B03">
              <w:rPr>
                <w:rFonts w:asciiTheme="majorBidi" w:hAnsiTheme="majorBidi" w:cstheme="majorBidi"/>
                <w:b/>
                <w:szCs w:val="22"/>
                <w:lang w:val="lt-LT" w:bidi="he-IL"/>
              </w:rPr>
              <w:t> </w:t>
            </w:r>
            <w:r w:rsidR="004C5B03" w:rsidRPr="004C5B03">
              <w:rPr>
                <w:rFonts w:asciiTheme="majorBidi" w:hAnsiTheme="majorBidi" w:cstheme="majorBidi"/>
                <w:b/>
                <w:szCs w:val="22"/>
                <w:lang w:val="lt-LT" w:bidi="he-IL"/>
              </w:rPr>
              <w:t>000</w:t>
            </w:r>
            <w:r w:rsidR="004C5B03" w:rsidRPr="004C5B03">
              <w:rPr>
                <w:rFonts w:asciiTheme="majorBidi" w:hAnsiTheme="majorBidi" w:cstheme="majorBidi"/>
                <w:b/>
                <w:szCs w:val="22"/>
                <w:lang w:val="lt-LT" w:bidi="he-IL"/>
              </w:rPr>
              <w:noBreakHyphen/>
              <w:t xml:space="preserve">iui </w:t>
            </w:r>
            <w:r>
              <w:rPr>
                <w:rFonts w:asciiTheme="majorBidi" w:hAnsiTheme="majorBidi" w:cstheme="majorBidi"/>
                <w:b/>
                <w:szCs w:val="22"/>
                <w:lang w:val="lt-LT" w:bidi="he-IL"/>
              </w:rPr>
              <w:t>pacienčių, kurioms netaikyta</w:t>
            </w:r>
            <w:r w:rsidR="004C5B03" w:rsidRPr="004C5B03">
              <w:rPr>
                <w:rFonts w:asciiTheme="majorBidi" w:hAnsiTheme="majorBidi" w:cstheme="majorBidi"/>
                <w:b/>
                <w:szCs w:val="22"/>
                <w:lang w:val="lt-LT" w:bidi="he-IL"/>
              </w:rPr>
              <w:t xml:space="preserve"> PHT, per 5</w:t>
            </w:r>
            <w:r w:rsidR="0011675D" w:rsidRPr="004C5B03">
              <w:rPr>
                <w:rFonts w:asciiTheme="majorBidi" w:hAnsiTheme="majorBidi" w:cstheme="majorBidi"/>
                <w:b/>
                <w:szCs w:val="22"/>
                <w:lang w:val="lt-LT" w:bidi="he-IL"/>
              </w:rPr>
              <w:t> </w:t>
            </w:r>
            <w:r w:rsidR="004C5B03" w:rsidRPr="004C5B03">
              <w:rPr>
                <w:rFonts w:asciiTheme="majorBidi" w:hAnsiTheme="majorBidi" w:cstheme="majorBidi"/>
                <w:b/>
                <w:szCs w:val="22"/>
                <w:lang w:val="lt-LT" w:bidi="he-IL"/>
              </w:rPr>
              <w:t>met</w:t>
            </w:r>
            <w:r>
              <w:rPr>
                <w:rFonts w:asciiTheme="majorBidi" w:hAnsiTheme="majorBidi" w:cstheme="majorBidi"/>
                <w:b/>
                <w:szCs w:val="22"/>
                <w:lang w:val="lt-LT" w:bidi="he-IL"/>
              </w:rPr>
              <w:t>ų laikotarpį (50-54</w:t>
            </w:r>
            <w:r w:rsidR="0011675D" w:rsidRPr="004C5B03">
              <w:rPr>
                <w:rFonts w:asciiTheme="majorBidi" w:hAnsiTheme="majorBidi" w:cstheme="majorBidi"/>
                <w:b/>
                <w:szCs w:val="22"/>
                <w:lang w:val="lt-LT" w:bidi="he-IL"/>
              </w:rPr>
              <w:t> </w:t>
            </w:r>
            <w:r>
              <w:rPr>
                <w:rFonts w:asciiTheme="majorBidi" w:hAnsiTheme="majorBidi" w:cstheme="majorBidi"/>
                <w:b/>
                <w:szCs w:val="22"/>
                <w:lang w:val="lt-LT" w:bidi="he-IL"/>
              </w:rPr>
              <w:t>metai)</w:t>
            </w:r>
            <w:r w:rsidR="004C5B03" w:rsidRPr="004C5B03">
              <w:rPr>
                <w:rFonts w:asciiTheme="majorBidi" w:hAnsiTheme="majorBidi" w:cstheme="majorBidi"/>
                <w:b/>
                <w:szCs w:val="22"/>
                <w:lang w:val="lt-LT" w:bidi="he-IL"/>
              </w:rPr>
              <w:t>*</w:t>
            </w:r>
          </w:p>
        </w:tc>
        <w:tc>
          <w:tcPr>
            <w:tcW w:w="1559" w:type="dxa"/>
            <w:tcBorders>
              <w:bottom w:val="single" w:sz="4" w:space="0" w:color="auto"/>
            </w:tcBorders>
          </w:tcPr>
          <w:p w14:paraId="7B3F733B" w14:textId="235CEBDB"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 xml:space="preserve">Rizikos </w:t>
            </w:r>
            <w:r w:rsidR="00A37B5E">
              <w:rPr>
                <w:rFonts w:asciiTheme="majorBidi" w:hAnsiTheme="majorBidi" w:cstheme="majorBidi"/>
                <w:b/>
                <w:szCs w:val="22"/>
                <w:lang w:val="lt-LT" w:bidi="he-IL"/>
              </w:rPr>
              <w:t>santykis</w:t>
            </w:r>
          </w:p>
        </w:tc>
        <w:tc>
          <w:tcPr>
            <w:tcW w:w="4245" w:type="dxa"/>
            <w:tcBorders>
              <w:bottom w:val="single" w:sz="4" w:space="0" w:color="auto"/>
            </w:tcBorders>
          </w:tcPr>
          <w:p w14:paraId="4C34AB13" w14:textId="25181EF5"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Papildomi atvejai 1</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000-iui PHT</w:t>
            </w:r>
            <w:r w:rsidR="00A37B5E">
              <w:rPr>
                <w:rFonts w:asciiTheme="majorBidi" w:hAnsiTheme="majorBidi" w:cstheme="majorBidi"/>
                <w:b/>
                <w:szCs w:val="22"/>
                <w:lang w:val="lt-LT" w:bidi="he-IL"/>
              </w:rPr>
              <w:t xml:space="preserve"> preparatų </w:t>
            </w:r>
            <w:r w:rsidR="00A37B5E" w:rsidRPr="004C5B03">
              <w:rPr>
                <w:rFonts w:asciiTheme="majorBidi" w:hAnsiTheme="majorBidi" w:cstheme="majorBidi"/>
                <w:b/>
                <w:szCs w:val="22"/>
                <w:lang w:val="lt-LT" w:bidi="he-IL"/>
              </w:rPr>
              <w:t>varto</w:t>
            </w:r>
            <w:r w:rsidR="00A37B5E">
              <w:rPr>
                <w:rFonts w:asciiTheme="majorBidi" w:hAnsiTheme="majorBidi" w:cstheme="majorBidi"/>
                <w:b/>
                <w:szCs w:val="22"/>
                <w:lang w:val="lt-LT" w:bidi="he-IL"/>
              </w:rPr>
              <w:t>tojų</w:t>
            </w:r>
            <w:r w:rsidRPr="004C5B03">
              <w:rPr>
                <w:rFonts w:asciiTheme="majorBidi" w:hAnsiTheme="majorBidi" w:cstheme="majorBidi"/>
                <w:b/>
                <w:szCs w:val="22"/>
                <w:lang w:val="lt-LT" w:bidi="he-IL"/>
              </w:rPr>
              <w:t xml:space="preserve"> p</w:t>
            </w:r>
            <w:r w:rsidR="00A37B5E">
              <w:rPr>
                <w:rFonts w:asciiTheme="majorBidi" w:hAnsiTheme="majorBidi" w:cstheme="majorBidi"/>
                <w:b/>
                <w:szCs w:val="22"/>
                <w:lang w:val="lt-LT" w:bidi="he-IL"/>
              </w:rPr>
              <w:t>o</w:t>
            </w:r>
            <w:r w:rsidRPr="004C5B03">
              <w:rPr>
                <w:rFonts w:asciiTheme="majorBidi" w:hAnsiTheme="majorBidi" w:cstheme="majorBidi"/>
                <w:b/>
                <w:szCs w:val="22"/>
                <w:lang w:val="lt-LT" w:bidi="he-IL"/>
              </w:rPr>
              <w:t xml:space="preserve"> 5</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met</w:t>
            </w:r>
            <w:r w:rsidR="00A37B5E">
              <w:rPr>
                <w:rFonts w:asciiTheme="majorBidi" w:hAnsiTheme="majorBidi" w:cstheme="majorBidi"/>
                <w:b/>
                <w:szCs w:val="22"/>
                <w:lang w:val="lt-LT" w:bidi="he-IL"/>
              </w:rPr>
              <w:t>ų</w:t>
            </w:r>
          </w:p>
        </w:tc>
      </w:tr>
      <w:tr w:rsidR="003F3A47" w:rsidRPr="007724B8" w14:paraId="0081CAE2" w14:textId="77777777" w:rsidTr="009A5B9C">
        <w:tc>
          <w:tcPr>
            <w:tcW w:w="3256" w:type="dxa"/>
            <w:gridSpan w:val="2"/>
            <w:tcBorders>
              <w:top w:val="single" w:sz="4" w:space="0" w:color="auto"/>
              <w:left w:val="single" w:sz="4" w:space="0" w:color="auto"/>
              <w:bottom w:val="single" w:sz="4" w:space="0" w:color="auto"/>
              <w:right w:val="single" w:sz="4" w:space="0" w:color="auto"/>
            </w:tcBorders>
            <w:shd w:val="solid" w:color="D4D7DC" w:fill="auto"/>
          </w:tcPr>
          <w:p w14:paraId="050E1411" w14:textId="77777777" w:rsidR="003F3A47" w:rsidRPr="009A5B9C" w:rsidDel="00A37B5E" w:rsidRDefault="003F3A47" w:rsidP="004C5B03">
            <w:pPr>
              <w:tabs>
                <w:tab w:val="clear" w:pos="567"/>
              </w:tabs>
              <w:suppressAutoHyphens w:val="0"/>
              <w:rPr>
                <w:rFonts w:asciiTheme="majorBidi" w:hAnsiTheme="majorBidi" w:cstheme="majorBidi"/>
                <w:b/>
                <w:color w:val="000000"/>
                <w:szCs w:val="22"/>
                <w:lang w:val="lt-LT" w:bidi="he-IL"/>
              </w:rPr>
            </w:pPr>
          </w:p>
        </w:tc>
        <w:tc>
          <w:tcPr>
            <w:tcW w:w="5804" w:type="dxa"/>
            <w:gridSpan w:val="2"/>
            <w:tcBorders>
              <w:top w:val="single" w:sz="4" w:space="0" w:color="auto"/>
              <w:left w:val="single" w:sz="4" w:space="0" w:color="auto"/>
              <w:bottom w:val="single" w:sz="4" w:space="0" w:color="auto"/>
              <w:right w:val="single" w:sz="4" w:space="0" w:color="auto"/>
            </w:tcBorders>
            <w:shd w:val="solid" w:color="D4D7DC" w:fill="auto"/>
          </w:tcPr>
          <w:p w14:paraId="7EA44F43" w14:textId="3D360B8A" w:rsidR="003F3A47" w:rsidRPr="009A5B9C" w:rsidRDefault="003F3A47" w:rsidP="004C5B03">
            <w:pPr>
              <w:tabs>
                <w:tab w:val="clear" w:pos="567"/>
              </w:tabs>
              <w:suppressAutoHyphens w:val="0"/>
              <w:rPr>
                <w:rFonts w:asciiTheme="majorBidi" w:hAnsiTheme="majorBidi" w:cstheme="majorBidi"/>
                <w:b/>
                <w:color w:val="000000"/>
                <w:szCs w:val="22"/>
                <w:lang w:val="lt-LT" w:bidi="he-IL"/>
              </w:rPr>
            </w:pPr>
            <w:r w:rsidRPr="009A5B9C">
              <w:rPr>
                <w:rFonts w:asciiTheme="majorBidi" w:hAnsiTheme="majorBidi" w:cstheme="majorBidi"/>
                <w:b/>
                <w:color w:val="000000"/>
                <w:szCs w:val="22"/>
                <w:lang w:val="lt-LT" w:bidi="he-IL"/>
              </w:rPr>
              <w:t>PHT preparatai, kurių sudėtyje yra tik estrogeno</w:t>
            </w:r>
          </w:p>
        </w:tc>
      </w:tr>
      <w:tr w:rsidR="007A3818" w:rsidRPr="004C5B03" w14:paraId="11250F22" w14:textId="77777777" w:rsidTr="009A5B9C">
        <w:tc>
          <w:tcPr>
            <w:tcW w:w="1271" w:type="dxa"/>
            <w:tcBorders>
              <w:top w:val="single" w:sz="4" w:space="0" w:color="auto"/>
              <w:bottom w:val="single" w:sz="4" w:space="0" w:color="auto"/>
            </w:tcBorders>
          </w:tcPr>
          <w:p w14:paraId="3D4CBFBF" w14:textId="555EF923" w:rsidR="004C5B03" w:rsidRPr="004C5B03" w:rsidRDefault="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50</w:t>
            </w:r>
          </w:p>
        </w:tc>
        <w:tc>
          <w:tcPr>
            <w:tcW w:w="1985" w:type="dxa"/>
            <w:tcBorders>
              <w:top w:val="single" w:sz="4" w:space="0" w:color="auto"/>
              <w:bottom w:val="single" w:sz="4" w:space="0" w:color="auto"/>
            </w:tcBorders>
          </w:tcPr>
          <w:p w14:paraId="4464D2B6" w14:textId="37889905" w:rsidR="004C5B03" w:rsidRPr="004C5B03" w:rsidRDefault="003F3A47" w:rsidP="004C5B03">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13,3</w:t>
            </w:r>
          </w:p>
        </w:tc>
        <w:tc>
          <w:tcPr>
            <w:tcW w:w="1559" w:type="dxa"/>
            <w:tcBorders>
              <w:top w:val="single" w:sz="4" w:space="0" w:color="auto"/>
              <w:bottom w:val="single" w:sz="4" w:space="0" w:color="auto"/>
            </w:tcBorders>
          </w:tcPr>
          <w:p w14:paraId="6AF45F2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1,2</w:t>
            </w:r>
          </w:p>
        </w:tc>
        <w:tc>
          <w:tcPr>
            <w:tcW w:w="4245" w:type="dxa"/>
            <w:tcBorders>
              <w:top w:val="single" w:sz="4" w:space="0" w:color="auto"/>
              <w:bottom w:val="single" w:sz="4" w:space="0" w:color="auto"/>
            </w:tcBorders>
          </w:tcPr>
          <w:p w14:paraId="3BF3C04D" w14:textId="0E631E79" w:rsidR="004C5B03" w:rsidRPr="004C5B03" w:rsidRDefault="003F3A47" w:rsidP="004C5B03">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2,7</w:t>
            </w:r>
          </w:p>
        </w:tc>
      </w:tr>
      <w:tr w:rsidR="003F3A47" w:rsidRPr="007724B8" w14:paraId="7CEF5046" w14:textId="77777777" w:rsidTr="009A5B9C">
        <w:tc>
          <w:tcPr>
            <w:tcW w:w="3256" w:type="dxa"/>
            <w:gridSpan w:val="2"/>
            <w:tcBorders>
              <w:top w:val="single" w:sz="4" w:space="0" w:color="auto"/>
              <w:left w:val="single" w:sz="4" w:space="0" w:color="auto"/>
              <w:bottom w:val="single" w:sz="4" w:space="0" w:color="auto"/>
              <w:right w:val="single" w:sz="4" w:space="0" w:color="auto"/>
            </w:tcBorders>
            <w:shd w:val="solid" w:color="D4D7DC" w:fill="auto"/>
          </w:tcPr>
          <w:p w14:paraId="36E57A04" w14:textId="77777777" w:rsidR="003F3A47" w:rsidRPr="009A5B9C" w:rsidDel="003F3A47" w:rsidRDefault="003F3A47" w:rsidP="004C5B03">
            <w:pPr>
              <w:tabs>
                <w:tab w:val="clear" w:pos="567"/>
              </w:tabs>
              <w:suppressAutoHyphens w:val="0"/>
              <w:rPr>
                <w:rFonts w:asciiTheme="majorBidi" w:hAnsiTheme="majorBidi" w:cstheme="majorBidi"/>
                <w:color w:val="000000"/>
                <w:szCs w:val="22"/>
                <w:lang w:val="lt-LT" w:bidi="he-IL"/>
              </w:rPr>
            </w:pPr>
          </w:p>
        </w:tc>
        <w:tc>
          <w:tcPr>
            <w:tcW w:w="5804" w:type="dxa"/>
            <w:gridSpan w:val="2"/>
            <w:tcBorders>
              <w:top w:val="single" w:sz="4" w:space="0" w:color="auto"/>
              <w:left w:val="single" w:sz="4" w:space="0" w:color="auto"/>
              <w:bottom w:val="single" w:sz="4" w:space="0" w:color="auto"/>
              <w:right w:val="single" w:sz="4" w:space="0" w:color="auto"/>
            </w:tcBorders>
            <w:shd w:val="solid" w:color="D4D7DC" w:fill="auto"/>
          </w:tcPr>
          <w:p w14:paraId="790982E4" w14:textId="7C208547" w:rsidR="003F3A47" w:rsidRPr="009A5B9C" w:rsidDel="003F3A47" w:rsidRDefault="003F3A47" w:rsidP="004C5B03">
            <w:pPr>
              <w:tabs>
                <w:tab w:val="clear" w:pos="567"/>
              </w:tabs>
              <w:suppressAutoHyphens w:val="0"/>
              <w:rPr>
                <w:rFonts w:asciiTheme="majorBidi" w:hAnsiTheme="majorBidi" w:cstheme="majorBidi"/>
                <w:color w:val="000000"/>
                <w:szCs w:val="22"/>
                <w:lang w:val="lt-LT" w:bidi="he-IL"/>
              </w:rPr>
            </w:pPr>
            <w:r w:rsidRPr="004C5B03">
              <w:rPr>
                <w:rFonts w:asciiTheme="majorBidi" w:hAnsiTheme="majorBidi" w:cstheme="majorBidi"/>
                <w:b/>
                <w:szCs w:val="22"/>
                <w:lang w:val="lt-LT" w:bidi="he-IL"/>
              </w:rPr>
              <w:t>Sudėtin</w:t>
            </w:r>
            <w:r>
              <w:rPr>
                <w:rFonts w:asciiTheme="majorBidi" w:hAnsiTheme="majorBidi" w:cstheme="majorBidi"/>
                <w:b/>
                <w:szCs w:val="22"/>
                <w:lang w:val="lt-LT" w:bidi="he-IL"/>
              </w:rPr>
              <w:t>ia</w:t>
            </w:r>
            <w:r w:rsidRPr="004C5B03">
              <w:rPr>
                <w:rFonts w:asciiTheme="majorBidi" w:hAnsiTheme="majorBidi" w:cstheme="majorBidi"/>
                <w:b/>
                <w:szCs w:val="22"/>
                <w:lang w:val="lt-LT" w:bidi="he-IL"/>
              </w:rPr>
              <w:t xml:space="preserve"> </w:t>
            </w:r>
            <w:r>
              <w:rPr>
                <w:rFonts w:asciiTheme="majorBidi" w:hAnsiTheme="majorBidi" w:cstheme="majorBidi"/>
                <w:b/>
                <w:szCs w:val="22"/>
                <w:lang w:val="lt-LT" w:bidi="he-IL"/>
              </w:rPr>
              <w:t xml:space="preserve">prepratai, kuriuose yra </w:t>
            </w:r>
            <w:r w:rsidRPr="004C5B03">
              <w:rPr>
                <w:rFonts w:asciiTheme="majorBidi" w:hAnsiTheme="majorBidi" w:cstheme="majorBidi"/>
                <w:b/>
                <w:szCs w:val="22"/>
                <w:lang w:val="lt-LT" w:bidi="he-IL"/>
              </w:rPr>
              <w:t>estrogen</w:t>
            </w:r>
            <w:r>
              <w:rPr>
                <w:rFonts w:asciiTheme="majorBidi" w:hAnsiTheme="majorBidi" w:cstheme="majorBidi"/>
                <w:b/>
                <w:szCs w:val="22"/>
                <w:lang w:val="lt-LT" w:bidi="he-IL"/>
              </w:rPr>
              <w:t xml:space="preserve">o ir </w:t>
            </w:r>
            <w:r w:rsidRPr="004C5B03">
              <w:rPr>
                <w:rFonts w:asciiTheme="majorBidi" w:hAnsiTheme="majorBidi" w:cstheme="majorBidi"/>
                <w:b/>
                <w:szCs w:val="22"/>
                <w:lang w:val="lt-LT" w:bidi="he-IL"/>
              </w:rPr>
              <w:t>progestagen</w:t>
            </w:r>
            <w:r>
              <w:rPr>
                <w:rFonts w:asciiTheme="majorBidi" w:hAnsiTheme="majorBidi" w:cstheme="majorBidi"/>
                <w:b/>
                <w:szCs w:val="22"/>
                <w:lang w:val="lt-LT" w:bidi="he-IL"/>
              </w:rPr>
              <w:t>o derinio</w:t>
            </w:r>
          </w:p>
        </w:tc>
      </w:tr>
      <w:tr w:rsidR="007A3818" w:rsidRPr="004C5B03" w14:paraId="6BC60A09" w14:textId="77777777" w:rsidTr="009A5B9C">
        <w:tc>
          <w:tcPr>
            <w:tcW w:w="1271" w:type="dxa"/>
            <w:tcBorders>
              <w:bottom w:val="single" w:sz="4" w:space="0" w:color="auto"/>
            </w:tcBorders>
          </w:tcPr>
          <w:p w14:paraId="4DA709AB" w14:textId="6714DE65" w:rsidR="004C5B03" w:rsidRPr="004C5B03" w:rsidRDefault="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50</w:t>
            </w:r>
          </w:p>
        </w:tc>
        <w:tc>
          <w:tcPr>
            <w:tcW w:w="1985" w:type="dxa"/>
            <w:tcBorders>
              <w:bottom w:val="single" w:sz="4" w:space="0" w:color="auto"/>
            </w:tcBorders>
          </w:tcPr>
          <w:p w14:paraId="1C2ABA64" w14:textId="26A4B916" w:rsidR="004C5B03" w:rsidRPr="004C5B03" w:rsidRDefault="003F3A47" w:rsidP="004C5B03">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13,3</w:t>
            </w:r>
          </w:p>
        </w:tc>
        <w:tc>
          <w:tcPr>
            <w:tcW w:w="1559" w:type="dxa"/>
            <w:tcBorders>
              <w:bottom w:val="single" w:sz="4" w:space="0" w:color="auto"/>
            </w:tcBorders>
          </w:tcPr>
          <w:p w14:paraId="2E3D5CEE" w14:textId="185D462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w:t>
            </w:r>
            <w:r w:rsidR="003F3A47">
              <w:rPr>
                <w:rFonts w:asciiTheme="majorBidi" w:hAnsiTheme="majorBidi" w:cstheme="majorBidi"/>
                <w:szCs w:val="22"/>
                <w:lang w:val="lt-LT" w:bidi="he-IL"/>
              </w:rPr>
              <w:t>6</w:t>
            </w:r>
          </w:p>
        </w:tc>
        <w:tc>
          <w:tcPr>
            <w:tcW w:w="4245" w:type="dxa"/>
            <w:tcBorders>
              <w:bottom w:val="single" w:sz="4" w:space="0" w:color="auto"/>
            </w:tcBorders>
          </w:tcPr>
          <w:p w14:paraId="0322DEB2" w14:textId="4D5912BF" w:rsidR="004C5B03" w:rsidRPr="004C5B03" w:rsidRDefault="003F3A47" w:rsidP="004C5B03">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8,0</w:t>
            </w:r>
          </w:p>
        </w:tc>
      </w:tr>
      <w:tr w:rsidR="004C5B03" w:rsidRPr="007724B8" w14:paraId="055AF39B" w14:textId="77777777" w:rsidTr="003F3A47">
        <w:trPr>
          <w:trHeight w:val="520"/>
        </w:trPr>
        <w:tc>
          <w:tcPr>
            <w:tcW w:w="9060" w:type="dxa"/>
            <w:gridSpan w:val="4"/>
            <w:tcBorders>
              <w:left w:val="nil"/>
              <w:bottom w:val="nil"/>
              <w:right w:val="nil"/>
            </w:tcBorders>
          </w:tcPr>
          <w:p w14:paraId="277BDE07" w14:textId="6D30F549"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 </w:t>
            </w:r>
            <w:r w:rsidR="003F3A47">
              <w:rPr>
                <w:rFonts w:asciiTheme="majorBidi" w:hAnsiTheme="majorBidi" w:cstheme="majorBidi"/>
                <w:szCs w:val="22"/>
                <w:lang w:val="lt-LT" w:bidi="he-IL"/>
              </w:rPr>
              <w:t>Remiantis pradiniais atvejų skaičiais, kurie buvo nustatyti Anglijoje 2015 m., ištyrus moteris, kurių KMI – 27 (kg/m</w:t>
            </w:r>
            <w:r w:rsidR="003F3A47" w:rsidRPr="009A5B9C">
              <w:rPr>
                <w:rFonts w:asciiTheme="majorBidi" w:hAnsiTheme="majorBidi" w:cstheme="majorBidi"/>
                <w:szCs w:val="22"/>
                <w:vertAlign w:val="superscript"/>
                <w:lang w:val="lt-LT" w:bidi="he-IL"/>
              </w:rPr>
              <w:t>2</w:t>
            </w:r>
            <w:r w:rsidR="003F3A47">
              <w:rPr>
                <w:rFonts w:asciiTheme="majorBidi" w:hAnsiTheme="majorBidi" w:cstheme="majorBidi"/>
                <w:szCs w:val="22"/>
                <w:lang w:val="lt-LT" w:bidi="he-IL"/>
              </w:rPr>
              <w:t>).</w:t>
            </w:r>
          </w:p>
          <w:p w14:paraId="14791D05" w14:textId="0442C793"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Pastaba: </w:t>
            </w:r>
            <w:r w:rsidR="003F3A47">
              <w:rPr>
                <w:rFonts w:asciiTheme="majorBidi" w:hAnsiTheme="majorBidi" w:cstheme="majorBidi"/>
                <w:szCs w:val="22"/>
                <w:lang w:val="lt-LT" w:bidi="he-IL"/>
              </w:rPr>
              <w:t>Kadangi bendrieji sergamumo k</w:t>
            </w:r>
            <w:r w:rsidRPr="004C5B03">
              <w:rPr>
                <w:rFonts w:asciiTheme="majorBidi" w:hAnsiTheme="majorBidi" w:cstheme="majorBidi"/>
                <w:szCs w:val="22"/>
                <w:lang w:val="lt-LT" w:bidi="he-IL"/>
              </w:rPr>
              <w:t>rūties vėži</w:t>
            </w:r>
            <w:r w:rsidR="003F3A47">
              <w:rPr>
                <w:rFonts w:asciiTheme="majorBidi" w:hAnsiTheme="majorBidi" w:cstheme="majorBidi"/>
                <w:szCs w:val="22"/>
                <w:lang w:val="lt-LT" w:bidi="he-IL"/>
              </w:rPr>
              <w:t>u rodikliai įvairiose</w:t>
            </w:r>
            <w:r w:rsidRPr="004C5B03">
              <w:rPr>
                <w:rFonts w:asciiTheme="majorBidi" w:hAnsiTheme="majorBidi" w:cstheme="majorBidi"/>
                <w:szCs w:val="22"/>
                <w:lang w:val="lt-LT" w:bidi="he-IL"/>
              </w:rPr>
              <w:t xml:space="preserve"> E</w:t>
            </w:r>
            <w:r w:rsidR="003F3A47">
              <w:rPr>
                <w:rFonts w:asciiTheme="majorBidi" w:hAnsiTheme="majorBidi" w:cstheme="majorBidi"/>
                <w:szCs w:val="22"/>
                <w:lang w:val="lt-LT" w:bidi="he-IL"/>
              </w:rPr>
              <w:t>S</w:t>
            </w:r>
            <w:r w:rsidRPr="004C5B03">
              <w:rPr>
                <w:rFonts w:asciiTheme="majorBidi" w:hAnsiTheme="majorBidi" w:cstheme="majorBidi"/>
                <w:szCs w:val="22"/>
                <w:lang w:val="lt-LT" w:bidi="he-IL"/>
              </w:rPr>
              <w:t xml:space="preserve"> šaly</w:t>
            </w:r>
            <w:r w:rsidR="003F3A47">
              <w:rPr>
                <w:rFonts w:asciiTheme="majorBidi" w:hAnsiTheme="majorBidi" w:cstheme="majorBidi"/>
                <w:szCs w:val="22"/>
                <w:lang w:val="lt-LT" w:bidi="he-IL"/>
              </w:rPr>
              <w:t>s</w:t>
            </w:r>
            <w:r w:rsidRPr="004C5B03">
              <w:rPr>
                <w:rFonts w:asciiTheme="majorBidi" w:hAnsiTheme="majorBidi" w:cstheme="majorBidi"/>
                <w:szCs w:val="22"/>
                <w:lang w:val="lt-LT" w:bidi="he-IL"/>
              </w:rPr>
              <w:t>e</w:t>
            </w:r>
            <w:r w:rsidR="003F3A47">
              <w:rPr>
                <w:rFonts w:asciiTheme="majorBidi" w:hAnsiTheme="majorBidi" w:cstheme="majorBidi"/>
                <w:szCs w:val="22"/>
                <w:lang w:val="lt-LT" w:bidi="he-IL"/>
              </w:rPr>
              <w:t xml:space="preserve"> yra skirtingi</w:t>
            </w:r>
            <w:r w:rsidRPr="004C5B03">
              <w:rPr>
                <w:rFonts w:asciiTheme="majorBidi" w:hAnsiTheme="majorBidi" w:cstheme="majorBidi"/>
                <w:szCs w:val="22"/>
                <w:lang w:val="lt-LT" w:bidi="he-IL"/>
              </w:rPr>
              <w:t>, papildomų krūties vėžio atvejų skaičius taip pat proporcingai</w:t>
            </w:r>
            <w:r w:rsidR="007A3818">
              <w:rPr>
                <w:rFonts w:asciiTheme="majorBidi" w:hAnsiTheme="majorBidi" w:cstheme="majorBidi"/>
                <w:szCs w:val="22"/>
                <w:lang w:val="lt-LT" w:bidi="he-IL"/>
              </w:rPr>
              <w:t xml:space="preserve"> </w:t>
            </w:r>
            <w:r w:rsidR="007A3818" w:rsidRPr="004C5B03">
              <w:rPr>
                <w:rFonts w:asciiTheme="majorBidi" w:hAnsiTheme="majorBidi" w:cstheme="majorBidi"/>
                <w:szCs w:val="22"/>
                <w:lang w:val="lt-LT" w:bidi="he-IL"/>
              </w:rPr>
              <w:t>kei</w:t>
            </w:r>
            <w:r w:rsidR="007A3818">
              <w:rPr>
                <w:rFonts w:asciiTheme="majorBidi" w:hAnsiTheme="majorBidi" w:cstheme="majorBidi"/>
                <w:szCs w:val="22"/>
                <w:lang w:val="lt-LT" w:bidi="he-IL"/>
              </w:rPr>
              <w:t>si</w:t>
            </w:r>
            <w:r w:rsidR="007A3818" w:rsidRPr="004C5B03">
              <w:rPr>
                <w:rFonts w:asciiTheme="majorBidi" w:hAnsiTheme="majorBidi" w:cstheme="majorBidi"/>
                <w:szCs w:val="22"/>
                <w:lang w:val="lt-LT" w:bidi="he-IL"/>
              </w:rPr>
              <w:t>s</w:t>
            </w:r>
            <w:r w:rsidRPr="004C5B03">
              <w:rPr>
                <w:rFonts w:asciiTheme="majorBidi" w:hAnsiTheme="majorBidi" w:cstheme="majorBidi"/>
                <w:szCs w:val="22"/>
                <w:lang w:val="lt-LT" w:bidi="he-IL"/>
              </w:rPr>
              <w:t>.</w:t>
            </w:r>
          </w:p>
        </w:tc>
      </w:tr>
    </w:tbl>
    <w:p w14:paraId="0D4029EC" w14:textId="04349374" w:rsidR="004C5B03" w:rsidRDefault="004C5B03" w:rsidP="004C5B03">
      <w:pPr>
        <w:tabs>
          <w:tab w:val="clear" w:pos="567"/>
        </w:tabs>
        <w:suppressAutoHyphens w:val="0"/>
        <w:rPr>
          <w:rFonts w:asciiTheme="majorBidi" w:hAnsiTheme="majorBidi" w:cstheme="majorBidi"/>
          <w:szCs w:val="22"/>
          <w:lang w:val="lt-LT" w:bidi="he-IL"/>
        </w:rPr>
      </w:pPr>
    </w:p>
    <w:p w14:paraId="6FFFFF72" w14:textId="296852BB" w:rsidR="007A3818" w:rsidRPr="004C5B03" w:rsidRDefault="007A3818" w:rsidP="007A3818">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A</w:t>
      </w:r>
      <w:r w:rsidRPr="004C5B03">
        <w:rPr>
          <w:rFonts w:asciiTheme="majorBidi" w:hAnsiTheme="majorBidi" w:cstheme="majorBidi"/>
          <w:b/>
          <w:szCs w:val="22"/>
          <w:lang w:val="lt-LT" w:bidi="he-IL"/>
        </w:rPr>
        <w:t>pskaičiuot</w:t>
      </w:r>
      <w:r>
        <w:rPr>
          <w:rFonts w:asciiTheme="majorBidi" w:hAnsiTheme="majorBidi" w:cstheme="majorBidi"/>
          <w:b/>
          <w:szCs w:val="22"/>
          <w:lang w:val="lt-LT" w:bidi="he-IL"/>
        </w:rPr>
        <w:t>oji</w:t>
      </w:r>
      <w:r w:rsidRPr="004C5B03">
        <w:rPr>
          <w:rFonts w:asciiTheme="majorBidi" w:hAnsiTheme="majorBidi" w:cstheme="majorBidi"/>
          <w:b/>
          <w:szCs w:val="22"/>
          <w:lang w:val="lt-LT" w:bidi="he-IL"/>
        </w:rPr>
        <w:t xml:space="preserve"> papildoma krūties vėžio rizika po </w:t>
      </w:r>
      <w:r>
        <w:rPr>
          <w:rFonts w:asciiTheme="majorBidi" w:hAnsiTheme="majorBidi" w:cstheme="majorBidi"/>
          <w:b/>
          <w:szCs w:val="22"/>
          <w:lang w:val="lt-LT" w:bidi="he-IL"/>
        </w:rPr>
        <w:t>10</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metų</w:t>
      </w:r>
      <w:r>
        <w:rPr>
          <w:rFonts w:asciiTheme="majorBidi" w:hAnsiTheme="majorBidi" w:cstheme="majorBidi"/>
          <w:b/>
          <w:szCs w:val="22"/>
          <w:lang w:val="lt-LT" w:bidi="he-IL"/>
        </w:rPr>
        <w:t xml:space="preserve"> </w:t>
      </w:r>
      <w:r w:rsidRPr="004C5B03">
        <w:rPr>
          <w:rFonts w:asciiTheme="majorBidi" w:hAnsiTheme="majorBidi" w:cstheme="majorBidi"/>
          <w:b/>
          <w:szCs w:val="22"/>
          <w:lang w:val="lt-LT" w:bidi="he-IL"/>
        </w:rPr>
        <w:t>vartojimo</w:t>
      </w:r>
      <w:r>
        <w:rPr>
          <w:rFonts w:asciiTheme="majorBidi" w:hAnsiTheme="majorBidi" w:cstheme="majorBidi"/>
          <w:b/>
          <w:szCs w:val="22"/>
          <w:lang w:val="lt-LT" w:bidi="he-IL"/>
        </w:rPr>
        <w:t>, kylanti moterims, kurių KMI – 27 (kg/m</w:t>
      </w:r>
      <w:r w:rsidRPr="003E62B2">
        <w:rPr>
          <w:rFonts w:asciiTheme="majorBidi" w:hAnsiTheme="majorBidi" w:cstheme="majorBidi"/>
          <w:b/>
          <w:szCs w:val="22"/>
          <w:vertAlign w:val="superscript"/>
          <w:lang w:val="lt-LT" w:bidi="he-IL"/>
        </w:rPr>
        <w:t>2</w:t>
      </w:r>
      <w:r>
        <w:rPr>
          <w:rFonts w:asciiTheme="majorBidi" w:hAnsiTheme="majorBidi" w:cstheme="majorBidi"/>
          <w:b/>
          <w:szCs w:val="22"/>
          <w:lang w:val="lt-LT" w:bidi="he-I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559"/>
        <w:gridCol w:w="4245"/>
      </w:tblGrid>
      <w:tr w:rsidR="007A3818" w:rsidRPr="007724B8" w14:paraId="37BE4876" w14:textId="77777777" w:rsidTr="009A5B9C">
        <w:tc>
          <w:tcPr>
            <w:tcW w:w="1271" w:type="dxa"/>
            <w:tcBorders>
              <w:bottom w:val="single" w:sz="4" w:space="0" w:color="auto"/>
            </w:tcBorders>
          </w:tcPr>
          <w:p w14:paraId="59E24FDB" w14:textId="77777777" w:rsidR="007A3818" w:rsidRPr="004C5B03" w:rsidRDefault="007A3818" w:rsidP="003E62B2">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 xml:space="preserve">Amžius </w:t>
            </w:r>
            <w:r>
              <w:rPr>
                <w:rFonts w:asciiTheme="majorBidi" w:hAnsiTheme="majorBidi" w:cstheme="majorBidi"/>
                <w:b/>
                <w:szCs w:val="22"/>
                <w:lang w:val="lt-LT" w:bidi="he-IL"/>
              </w:rPr>
              <w:t>pradedant PHT</w:t>
            </w:r>
            <w:r w:rsidRPr="004C5B03">
              <w:rPr>
                <w:rFonts w:asciiTheme="majorBidi" w:hAnsiTheme="majorBidi" w:cstheme="majorBidi"/>
                <w:b/>
                <w:szCs w:val="22"/>
                <w:lang w:val="lt-LT" w:bidi="he-IL"/>
              </w:rPr>
              <w:t xml:space="preserve"> (metai)</w:t>
            </w:r>
          </w:p>
        </w:tc>
        <w:tc>
          <w:tcPr>
            <w:tcW w:w="1985" w:type="dxa"/>
            <w:tcBorders>
              <w:bottom w:val="single" w:sz="4" w:space="0" w:color="auto"/>
            </w:tcBorders>
          </w:tcPr>
          <w:p w14:paraId="5A1E6032" w14:textId="3B2BF52B" w:rsidR="007A3818" w:rsidRPr="004C5B03" w:rsidRDefault="007A3818" w:rsidP="003E62B2">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Atvejų skaičius</w:t>
            </w:r>
            <w:r w:rsidRPr="004C5B03">
              <w:rPr>
                <w:rFonts w:asciiTheme="majorBidi" w:hAnsiTheme="majorBidi" w:cstheme="majorBidi"/>
                <w:b/>
                <w:szCs w:val="22"/>
                <w:lang w:val="lt-LT" w:bidi="he-IL"/>
              </w:rPr>
              <w:t xml:space="preserve"> 1</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000</w:t>
            </w:r>
            <w:r w:rsidRPr="004C5B03">
              <w:rPr>
                <w:rFonts w:asciiTheme="majorBidi" w:hAnsiTheme="majorBidi" w:cstheme="majorBidi"/>
                <w:b/>
                <w:szCs w:val="22"/>
                <w:lang w:val="lt-LT" w:bidi="he-IL"/>
              </w:rPr>
              <w:noBreakHyphen/>
              <w:t xml:space="preserve">iui </w:t>
            </w:r>
            <w:r>
              <w:rPr>
                <w:rFonts w:asciiTheme="majorBidi" w:hAnsiTheme="majorBidi" w:cstheme="majorBidi"/>
                <w:b/>
                <w:szCs w:val="22"/>
                <w:lang w:val="lt-LT" w:bidi="he-IL"/>
              </w:rPr>
              <w:t>pacienčių, kurioms netaikyta</w:t>
            </w:r>
            <w:r w:rsidRPr="004C5B03">
              <w:rPr>
                <w:rFonts w:asciiTheme="majorBidi" w:hAnsiTheme="majorBidi" w:cstheme="majorBidi"/>
                <w:b/>
                <w:szCs w:val="22"/>
                <w:lang w:val="lt-LT" w:bidi="he-IL"/>
              </w:rPr>
              <w:t xml:space="preserve"> PHT, per </w:t>
            </w:r>
            <w:r>
              <w:rPr>
                <w:rFonts w:asciiTheme="majorBidi" w:hAnsiTheme="majorBidi" w:cstheme="majorBidi"/>
                <w:b/>
                <w:szCs w:val="22"/>
                <w:lang w:val="lt-LT" w:bidi="he-IL"/>
              </w:rPr>
              <w:t>10</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met</w:t>
            </w:r>
            <w:r>
              <w:rPr>
                <w:rFonts w:asciiTheme="majorBidi" w:hAnsiTheme="majorBidi" w:cstheme="majorBidi"/>
                <w:b/>
                <w:szCs w:val="22"/>
                <w:lang w:val="lt-LT" w:bidi="he-IL"/>
              </w:rPr>
              <w:t xml:space="preserve">ų </w:t>
            </w:r>
            <w:r>
              <w:rPr>
                <w:rFonts w:asciiTheme="majorBidi" w:hAnsiTheme="majorBidi" w:cstheme="majorBidi"/>
                <w:b/>
                <w:szCs w:val="22"/>
                <w:lang w:val="lt-LT" w:bidi="he-IL"/>
              </w:rPr>
              <w:lastRenderedPageBreak/>
              <w:t>laikotarpį (50-59</w:t>
            </w:r>
            <w:r w:rsidR="0011675D" w:rsidRPr="004C5B03">
              <w:rPr>
                <w:rFonts w:asciiTheme="majorBidi" w:hAnsiTheme="majorBidi" w:cstheme="majorBidi"/>
                <w:b/>
                <w:szCs w:val="22"/>
                <w:lang w:val="lt-LT" w:bidi="he-IL"/>
              </w:rPr>
              <w:t> </w:t>
            </w:r>
            <w:r>
              <w:rPr>
                <w:rFonts w:asciiTheme="majorBidi" w:hAnsiTheme="majorBidi" w:cstheme="majorBidi"/>
                <w:b/>
                <w:szCs w:val="22"/>
                <w:lang w:val="lt-LT" w:bidi="he-IL"/>
              </w:rPr>
              <w:t>metai)</w:t>
            </w:r>
            <w:r w:rsidRPr="004C5B03">
              <w:rPr>
                <w:rFonts w:asciiTheme="majorBidi" w:hAnsiTheme="majorBidi" w:cstheme="majorBidi"/>
                <w:b/>
                <w:szCs w:val="22"/>
                <w:lang w:val="lt-LT" w:bidi="he-IL"/>
              </w:rPr>
              <w:t>*</w:t>
            </w:r>
          </w:p>
        </w:tc>
        <w:tc>
          <w:tcPr>
            <w:tcW w:w="1559" w:type="dxa"/>
            <w:tcBorders>
              <w:bottom w:val="single" w:sz="4" w:space="0" w:color="auto"/>
            </w:tcBorders>
          </w:tcPr>
          <w:p w14:paraId="5A5D3D9F" w14:textId="77777777" w:rsidR="007A3818" w:rsidRPr="004C5B03" w:rsidRDefault="007A3818" w:rsidP="003E62B2">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lastRenderedPageBreak/>
              <w:t xml:space="preserve">Rizikos </w:t>
            </w:r>
            <w:r>
              <w:rPr>
                <w:rFonts w:asciiTheme="majorBidi" w:hAnsiTheme="majorBidi" w:cstheme="majorBidi"/>
                <w:b/>
                <w:szCs w:val="22"/>
                <w:lang w:val="lt-LT" w:bidi="he-IL"/>
              </w:rPr>
              <w:t>santykis</w:t>
            </w:r>
          </w:p>
        </w:tc>
        <w:tc>
          <w:tcPr>
            <w:tcW w:w="4245" w:type="dxa"/>
            <w:tcBorders>
              <w:bottom w:val="single" w:sz="4" w:space="0" w:color="auto"/>
            </w:tcBorders>
          </w:tcPr>
          <w:p w14:paraId="4611E656" w14:textId="20694C16" w:rsidR="007A3818" w:rsidRPr="004C5B03" w:rsidRDefault="007A3818" w:rsidP="003E62B2">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Papildomi atvejai 1</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000-iui PHT</w:t>
            </w:r>
            <w:r>
              <w:rPr>
                <w:rFonts w:asciiTheme="majorBidi" w:hAnsiTheme="majorBidi" w:cstheme="majorBidi"/>
                <w:b/>
                <w:szCs w:val="22"/>
                <w:lang w:val="lt-LT" w:bidi="he-IL"/>
              </w:rPr>
              <w:t xml:space="preserve"> preparatų </w:t>
            </w:r>
            <w:r w:rsidRPr="004C5B03">
              <w:rPr>
                <w:rFonts w:asciiTheme="majorBidi" w:hAnsiTheme="majorBidi" w:cstheme="majorBidi"/>
                <w:b/>
                <w:szCs w:val="22"/>
                <w:lang w:val="lt-LT" w:bidi="he-IL"/>
              </w:rPr>
              <w:t>varto</w:t>
            </w:r>
            <w:r>
              <w:rPr>
                <w:rFonts w:asciiTheme="majorBidi" w:hAnsiTheme="majorBidi" w:cstheme="majorBidi"/>
                <w:b/>
                <w:szCs w:val="22"/>
                <w:lang w:val="lt-LT" w:bidi="he-IL"/>
              </w:rPr>
              <w:t>tojų</w:t>
            </w:r>
            <w:r w:rsidRPr="004C5B03">
              <w:rPr>
                <w:rFonts w:asciiTheme="majorBidi" w:hAnsiTheme="majorBidi" w:cstheme="majorBidi"/>
                <w:b/>
                <w:szCs w:val="22"/>
                <w:lang w:val="lt-LT" w:bidi="he-IL"/>
              </w:rPr>
              <w:t xml:space="preserve"> p</w:t>
            </w:r>
            <w:r>
              <w:rPr>
                <w:rFonts w:asciiTheme="majorBidi" w:hAnsiTheme="majorBidi" w:cstheme="majorBidi"/>
                <w:b/>
                <w:szCs w:val="22"/>
                <w:lang w:val="lt-LT" w:bidi="he-IL"/>
              </w:rPr>
              <w:t>o</w:t>
            </w:r>
            <w:r w:rsidRPr="004C5B03">
              <w:rPr>
                <w:rFonts w:asciiTheme="majorBidi" w:hAnsiTheme="majorBidi" w:cstheme="majorBidi"/>
                <w:b/>
                <w:szCs w:val="22"/>
                <w:lang w:val="lt-LT" w:bidi="he-IL"/>
              </w:rPr>
              <w:t xml:space="preserve"> </w:t>
            </w:r>
            <w:r>
              <w:rPr>
                <w:rFonts w:asciiTheme="majorBidi" w:hAnsiTheme="majorBidi" w:cstheme="majorBidi"/>
                <w:b/>
                <w:szCs w:val="22"/>
                <w:lang w:val="lt-LT" w:bidi="he-IL"/>
              </w:rPr>
              <w:t>10</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met</w:t>
            </w:r>
            <w:r>
              <w:rPr>
                <w:rFonts w:asciiTheme="majorBidi" w:hAnsiTheme="majorBidi" w:cstheme="majorBidi"/>
                <w:b/>
                <w:szCs w:val="22"/>
                <w:lang w:val="lt-LT" w:bidi="he-IL"/>
              </w:rPr>
              <w:t>ų</w:t>
            </w:r>
          </w:p>
        </w:tc>
      </w:tr>
      <w:tr w:rsidR="007A3818" w:rsidRPr="007724B8" w14:paraId="026D23EB" w14:textId="77777777" w:rsidTr="009A5B9C">
        <w:tc>
          <w:tcPr>
            <w:tcW w:w="3256" w:type="dxa"/>
            <w:gridSpan w:val="2"/>
            <w:tcBorders>
              <w:top w:val="single" w:sz="4" w:space="0" w:color="auto"/>
              <w:left w:val="single" w:sz="4" w:space="0" w:color="auto"/>
              <w:bottom w:val="single" w:sz="4" w:space="0" w:color="auto"/>
              <w:right w:val="single" w:sz="4" w:space="0" w:color="auto"/>
            </w:tcBorders>
            <w:shd w:val="solid" w:color="D4D7DC" w:fill="auto"/>
          </w:tcPr>
          <w:p w14:paraId="19EE9AD4" w14:textId="77777777" w:rsidR="007A3818" w:rsidRPr="003E62B2" w:rsidDel="00A37B5E" w:rsidRDefault="007A3818" w:rsidP="003E62B2">
            <w:pPr>
              <w:tabs>
                <w:tab w:val="clear" w:pos="567"/>
              </w:tabs>
              <w:suppressAutoHyphens w:val="0"/>
              <w:rPr>
                <w:rFonts w:asciiTheme="majorBidi" w:hAnsiTheme="majorBidi" w:cstheme="majorBidi"/>
                <w:b/>
                <w:color w:val="000000"/>
                <w:szCs w:val="22"/>
                <w:lang w:val="lt-LT" w:bidi="he-IL"/>
              </w:rPr>
            </w:pPr>
          </w:p>
        </w:tc>
        <w:tc>
          <w:tcPr>
            <w:tcW w:w="5804" w:type="dxa"/>
            <w:gridSpan w:val="2"/>
            <w:tcBorders>
              <w:top w:val="single" w:sz="4" w:space="0" w:color="auto"/>
              <w:left w:val="single" w:sz="4" w:space="0" w:color="auto"/>
              <w:bottom w:val="single" w:sz="4" w:space="0" w:color="auto"/>
              <w:right w:val="single" w:sz="4" w:space="0" w:color="auto"/>
            </w:tcBorders>
            <w:shd w:val="solid" w:color="D4D7DC" w:fill="auto"/>
          </w:tcPr>
          <w:p w14:paraId="71B68730" w14:textId="77777777" w:rsidR="007A3818" w:rsidRPr="003E62B2" w:rsidRDefault="007A3818" w:rsidP="003E62B2">
            <w:pPr>
              <w:tabs>
                <w:tab w:val="clear" w:pos="567"/>
              </w:tabs>
              <w:suppressAutoHyphens w:val="0"/>
              <w:rPr>
                <w:rFonts w:asciiTheme="majorBidi" w:hAnsiTheme="majorBidi" w:cstheme="majorBidi"/>
                <w:b/>
                <w:color w:val="000000"/>
                <w:szCs w:val="22"/>
                <w:lang w:val="lt-LT" w:bidi="he-IL"/>
              </w:rPr>
            </w:pPr>
            <w:r w:rsidRPr="003E62B2">
              <w:rPr>
                <w:rFonts w:asciiTheme="majorBidi" w:hAnsiTheme="majorBidi" w:cstheme="majorBidi"/>
                <w:b/>
                <w:color w:val="000000"/>
                <w:szCs w:val="22"/>
                <w:lang w:val="lt-LT" w:bidi="he-IL"/>
              </w:rPr>
              <w:t>PHT preparatai, kurių sudėtyje yra tik estrogeno</w:t>
            </w:r>
          </w:p>
        </w:tc>
      </w:tr>
      <w:tr w:rsidR="007A3818" w:rsidRPr="004C5B03" w14:paraId="21BD1D83" w14:textId="77777777" w:rsidTr="009A5B9C">
        <w:tc>
          <w:tcPr>
            <w:tcW w:w="1271" w:type="dxa"/>
            <w:tcBorders>
              <w:top w:val="single" w:sz="4" w:space="0" w:color="auto"/>
              <w:bottom w:val="single" w:sz="4" w:space="0" w:color="auto"/>
            </w:tcBorders>
          </w:tcPr>
          <w:p w14:paraId="30079C01" w14:textId="77777777" w:rsidR="007A3818" w:rsidRPr="004C5B03" w:rsidRDefault="007A3818" w:rsidP="003E62B2">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50</w:t>
            </w:r>
          </w:p>
        </w:tc>
        <w:tc>
          <w:tcPr>
            <w:tcW w:w="1985" w:type="dxa"/>
            <w:tcBorders>
              <w:top w:val="single" w:sz="4" w:space="0" w:color="auto"/>
              <w:bottom w:val="single" w:sz="4" w:space="0" w:color="auto"/>
            </w:tcBorders>
          </w:tcPr>
          <w:p w14:paraId="2EF89D98" w14:textId="2BC68725" w:rsidR="007A3818" w:rsidRPr="004C5B03" w:rsidRDefault="007A3818" w:rsidP="003E62B2">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26,6</w:t>
            </w:r>
          </w:p>
        </w:tc>
        <w:tc>
          <w:tcPr>
            <w:tcW w:w="1559" w:type="dxa"/>
            <w:tcBorders>
              <w:top w:val="single" w:sz="4" w:space="0" w:color="auto"/>
              <w:bottom w:val="single" w:sz="4" w:space="0" w:color="auto"/>
            </w:tcBorders>
          </w:tcPr>
          <w:p w14:paraId="12C2A8C9" w14:textId="093BC4C3" w:rsidR="007A3818" w:rsidRPr="004C5B03" w:rsidRDefault="007A3818" w:rsidP="003E62B2">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w:t>
            </w:r>
            <w:r>
              <w:rPr>
                <w:rFonts w:asciiTheme="majorBidi" w:hAnsiTheme="majorBidi" w:cstheme="majorBidi"/>
                <w:szCs w:val="22"/>
                <w:lang w:val="lt-LT" w:bidi="he-IL"/>
              </w:rPr>
              <w:t>3</w:t>
            </w:r>
          </w:p>
        </w:tc>
        <w:tc>
          <w:tcPr>
            <w:tcW w:w="4245" w:type="dxa"/>
            <w:tcBorders>
              <w:top w:val="single" w:sz="4" w:space="0" w:color="auto"/>
              <w:bottom w:val="single" w:sz="4" w:space="0" w:color="auto"/>
            </w:tcBorders>
          </w:tcPr>
          <w:p w14:paraId="50D1F552" w14:textId="01F0C997" w:rsidR="007A3818" w:rsidRPr="004C5B03" w:rsidRDefault="007A3818" w:rsidP="003E62B2">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7,1</w:t>
            </w:r>
          </w:p>
        </w:tc>
      </w:tr>
      <w:tr w:rsidR="007A3818" w:rsidRPr="007724B8" w14:paraId="46DDF7A2" w14:textId="77777777" w:rsidTr="009A5B9C">
        <w:tc>
          <w:tcPr>
            <w:tcW w:w="3256" w:type="dxa"/>
            <w:gridSpan w:val="2"/>
            <w:tcBorders>
              <w:top w:val="single" w:sz="4" w:space="0" w:color="auto"/>
              <w:left w:val="single" w:sz="4" w:space="0" w:color="auto"/>
              <w:bottom w:val="single" w:sz="4" w:space="0" w:color="auto"/>
              <w:right w:val="single" w:sz="4" w:space="0" w:color="auto"/>
            </w:tcBorders>
            <w:shd w:val="solid" w:color="D4D7DC" w:fill="auto"/>
          </w:tcPr>
          <w:p w14:paraId="6F21F272" w14:textId="77777777" w:rsidR="007A3818" w:rsidRPr="003E62B2" w:rsidDel="003F3A47" w:rsidRDefault="007A3818" w:rsidP="003E62B2">
            <w:pPr>
              <w:tabs>
                <w:tab w:val="clear" w:pos="567"/>
              </w:tabs>
              <w:suppressAutoHyphens w:val="0"/>
              <w:rPr>
                <w:rFonts w:asciiTheme="majorBidi" w:hAnsiTheme="majorBidi" w:cstheme="majorBidi"/>
                <w:color w:val="000000"/>
                <w:szCs w:val="22"/>
                <w:lang w:val="lt-LT" w:bidi="he-IL"/>
              </w:rPr>
            </w:pPr>
          </w:p>
        </w:tc>
        <w:tc>
          <w:tcPr>
            <w:tcW w:w="5804" w:type="dxa"/>
            <w:gridSpan w:val="2"/>
            <w:tcBorders>
              <w:top w:val="single" w:sz="4" w:space="0" w:color="auto"/>
              <w:left w:val="single" w:sz="4" w:space="0" w:color="auto"/>
              <w:bottom w:val="single" w:sz="4" w:space="0" w:color="auto"/>
              <w:right w:val="single" w:sz="4" w:space="0" w:color="auto"/>
            </w:tcBorders>
            <w:shd w:val="solid" w:color="D4D7DC" w:fill="auto"/>
          </w:tcPr>
          <w:p w14:paraId="045EE0AD" w14:textId="77777777" w:rsidR="007A3818" w:rsidRPr="003E62B2" w:rsidDel="003F3A47" w:rsidRDefault="007A3818" w:rsidP="003E62B2">
            <w:pPr>
              <w:tabs>
                <w:tab w:val="clear" w:pos="567"/>
              </w:tabs>
              <w:suppressAutoHyphens w:val="0"/>
              <w:rPr>
                <w:rFonts w:asciiTheme="majorBidi" w:hAnsiTheme="majorBidi" w:cstheme="majorBidi"/>
                <w:color w:val="000000"/>
                <w:szCs w:val="22"/>
                <w:lang w:val="lt-LT" w:bidi="he-IL"/>
              </w:rPr>
            </w:pPr>
            <w:r w:rsidRPr="004C5B03">
              <w:rPr>
                <w:rFonts w:asciiTheme="majorBidi" w:hAnsiTheme="majorBidi" w:cstheme="majorBidi"/>
                <w:b/>
                <w:szCs w:val="22"/>
                <w:lang w:val="lt-LT" w:bidi="he-IL"/>
              </w:rPr>
              <w:t>Sudėtin</w:t>
            </w:r>
            <w:r>
              <w:rPr>
                <w:rFonts w:asciiTheme="majorBidi" w:hAnsiTheme="majorBidi" w:cstheme="majorBidi"/>
                <w:b/>
                <w:szCs w:val="22"/>
                <w:lang w:val="lt-LT" w:bidi="he-IL"/>
              </w:rPr>
              <w:t>ia</w:t>
            </w:r>
            <w:r w:rsidRPr="004C5B03">
              <w:rPr>
                <w:rFonts w:asciiTheme="majorBidi" w:hAnsiTheme="majorBidi" w:cstheme="majorBidi"/>
                <w:b/>
                <w:szCs w:val="22"/>
                <w:lang w:val="lt-LT" w:bidi="he-IL"/>
              </w:rPr>
              <w:t xml:space="preserve"> </w:t>
            </w:r>
            <w:r>
              <w:rPr>
                <w:rFonts w:asciiTheme="majorBidi" w:hAnsiTheme="majorBidi" w:cstheme="majorBidi"/>
                <w:b/>
                <w:szCs w:val="22"/>
                <w:lang w:val="lt-LT" w:bidi="he-IL"/>
              </w:rPr>
              <w:t xml:space="preserve">prepratai, kuriuose yra </w:t>
            </w:r>
            <w:r w:rsidRPr="004C5B03">
              <w:rPr>
                <w:rFonts w:asciiTheme="majorBidi" w:hAnsiTheme="majorBidi" w:cstheme="majorBidi"/>
                <w:b/>
                <w:szCs w:val="22"/>
                <w:lang w:val="lt-LT" w:bidi="he-IL"/>
              </w:rPr>
              <w:t>estrogen</w:t>
            </w:r>
            <w:r>
              <w:rPr>
                <w:rFonts w:asciiTheme="majorBidi" w:hAnsiTheme="majorBidi" w:cstheme="majorBidi"/>
                <w:b/>
                <w:szCs w:val="22"/>
                <w:lang w:val="lt-LT" w:bidi="he-IL"/>
              </w:rPr>
              <w:t xml:space="preserve">o ir </w:t>
            </w:r>
            <w:r w:rsidRPr="004C5B03">
              <w:rPr>
                <w:rFonts w:asciiTheme="majorBidi" w:hAnsiTheme="majorBidi" w:cstheme="majorBidi"/>
                <w:b/>
                <w:szCs w:val="22"/>
                <w:lang w:val="lt-LT" w:bidi="he-IL"/>
              </w:rPr>
              <w:t>progestagen</w:t>
            </w:r>
            <w:r>
              <w:rPr>
                <w:rFonts w:asciiTheme="majorBidi" w:hAnsiTheme="majorBidi" w:cstheme="majorBidi"/>
                <w:b/>
                <w:szCs w:val="22"/>
                <w:lang w:val="lt-LT" w:bidi="he-IL"/>
              </w:rPr>
              <w:t>o derinio</w:t>
            </w:r>
          </w:p>
        </w:tc>
      </w:tr>
      <w:tr w:rsidR="007A3818" w:rsidRPr="004C5B03" w14:paraId="7E32E4B2" w14:textId="77777777" w:rsidTr="009A5B9C">
        <w:tc>
          <w:tcPr>
            <w:tcW w:w="1271" w:type="dxa"/>
            <w:tcBorders>
              <w:bottom w:val="single" w:sz="4" w:space="0" w:color="auto"/>
            </w:tcBorders>
          </w:tcPr>
          <w:p w14:paraId="4C71D0D3" w14:textId="77777777" w:rsidR="007A3818" w:rsidRPr="004C5B03" w:rsidRDefault="007A3818" w:rsidP="003E62B2">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50</w:t>
            </w:r>
          </w:p>
        </w:tc>
        <w:tc>
          <w:tcPr>
            <w:tcW w:w="1985" w:type="dxa"/>
            <w:tcBorders>
              <w:bottom w:val="single" w:sz="4" w:space="0" w:color="auto"/>
            </w:tcBorders>
          </w:tcPr>
          <w:p w14:paraId="456519BA" w14:textId="0CF34D24" w:rsidR="007A3818" w:rsidRPr="004C5B03" w:rsidRDefault="007A3818" w:rsidP="003E62B2">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26,6</w:t>
            </w:r>
          </w:p>
        </w:tc>
        <w:tc>
          <w:tcPr>
            <w:tcW w:w="1559" w:type="dxa"/>
            <w:tcBorders>
              <w:bottom w:val="single" w:sz="4" w:space="0" w:color="auto"/>
            </w:tcBorders>
          </w:tcPr>
          <w:p w14:paraId="5298BDB3" w14:textId="5E3C4539" w:rsidR="007A3818" w:rsidRPr="004C5B03" w:rsidRDefault="007A3818" w:rsidP="003E62B2">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w:t>
            </w:r>
            <w:r>
              <w:rPr>
                <w:rFonts w:asciiTheme="majorBidi" w:hAnsiTheme="majorBidi" w:cstheme="majorBidi"/>
                <w:szCs w:val="22"/>
                <w:lang w:val="lt-LT" w:bidi="he-IL"/>
              </w:rPr>
              <w:t>8</w:t>
            </w:r>
          </w:p>
        </w:tc>
        <w:tc>
          <w:tcPr>
            <w:tcW w:w="4245" w:type="dxa"/>
            <w:tcBorders>
              <w:bottom w:val="single" w:sz="4" w:space="0" w:color="auto"/>
            </w:tcBorders>
          </w:tcPr>
          <w:p w14:paraId="48B260A8" w14:textId="78F0CF15" w:rsidR="007A3818" w:rsidRPr="004C5B03" w:rsidRDefault="007A3818" w:rsidP="003E62B2">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20,8</w:t>
            </w:r>
          </w:p>
        </w:tc>
      </w:tr>
      <w:tr w:rsidR="007A3818" w:rsidRPr="007724B8" w14:paraId="6FB4BFF2" w14:textId="77777777" w:rsidTr="003E62B2">
        <w:trPr>
          <w:trHeight w:val="520"/>
        </w:trPr>
        <w:tc>
          <w:tcPr>
            <w:tcW w:w="9060" w:type="dxa"/>
            <w:gridSpan w:val="4"/>
            <w:tcBorders>
              <w:left w:val="nil"/>
              <w:bottom w:val="nil"/>
              <w:right w:val="nil"/>
            </w:tcBorders>
          </w:tcPr>
          <w:p w14:paraId="017C6E70" w14:textId="77777777" w:rsidR="007A3818" w:rsidRPr="004C5B03" w:rsidRDefault="007A3818" w:rsidP="003E62B2">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Remiantis pradiniais atvejų skaičiais, kurie buvo nustatyti Anglijoje 2015 m., ištyrus moteris, kurių KMI – 27 (kg/m</w:t>
            </w:r>
            <w:r w:rsidRPr="003E62B2">
              <w:rPr>
                <w:rFonts w:asciiTheme="majorBidi" w:hAnsiTheme="majorBidi" w:cstheme="majorBidi"/>
                <w:szCs w:val="22"/>
                <w:vertAlign w:val="superscript"/>
                <w:lang w:val="lt-LT" w:bidi="he-IL"/>
              </w:rPr>
              <w:t>2</w:t>
            </w:r>
            <w:r>
              <w:rPr>
                <w:rFonts w:asciiTheme="majorBidi" w:hAnsiTheme="majorBidi" w:cstheme="majorBidi"/>
                <w:szCs w:val="22"/>
                <w:lang w:val="lt-LT" w:bidi="he-IL"/>
              </w:rPr>
              <w:t>).</w:t>
            </w:r>
          </w:p>
          <w:p w14:paraId="1DA57636" w14:textId="77777777" w:rsidR="007A3818" w:rsidRPr="004C5B03" w:rsidRDefault="007A3818" w:rsidP="003E62B2">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Pastaba: </w:t>
            </w:r>
            <w:r>
              <w:rPr>
                <w:rFonts w:asciiTheme="majorBidi" w:hAnsiTheme="majorBidi" w:cstheme="majorBidi"/>
                <w:szCs w:val="22"/>
                <w:lang w:val="lt-LT" w:bidi="he-IL"/>
              </w:rPr>
              <w:t>Kadangi bendrieji sergamumo k</w:t>
            </w:r>
            <w:r w:rsidRPr="004C5B03">
              <w:rPr>
                <w:rFonts w:asciiTheme="majorBidi" w:hAnsiTheme="majorBidi" w:cstheme="majorBidi"/>
                <w:szCs w:val="22"/>
                <w:lang w:val="lt-LT" w:bidi="he-IL"/>
              </w:rPr>
              <w:t>rūties vėži</w:t>
            </w:r>
            <w:r>
              <w:rPr>
                <w:rFonts w:asciiTheme="majorBidi" w:hAnsiTheme="majorBidi" w:cstheme="majorBidi"/>
                <w:szCs w:val="22"/>
                <w:lang w:val="lt-LT" w:bidi="he-IL"/>
              </w:rPr>
              <w:t>u rodikliai įvairiose</w:t>
            </w:r>
            <w:r w:rsidRPr="004C5B03">
              <w:rPr>
                <w:rFonts w:asciiTheme="majorBidi" w:hAnsiTheme="majorBidi" w:cstheme="majorBidi"/>
                <w:szCs w:val="22"/>
                <w:lang w:val="lt-LT" w:bidi="he-IL"/>
              </w:rPr>
              <w:t xml:space="preserve"> E</w:t>
            </w:r>
            <w:r>
              <w:rPr>
                <w:rFonts w:asciiTheme="majorBidi" w:hAnsiTheme="majorBidi" w:cstheme="majorBidi"/>
                <w:szCs w:val="22"/>
                <w:lang w:val="lt-LT" w:bidi="he-IL"/>
              </w:rPr>
              <w:t>S</w:t>
            </w:r>
            <w:r w:rsidRPr="004C5B03">
              <w:rPr>
                <w:rFonts w:asciiTheme="majorBidi" w:hAnsiTheme="majorBidi" w:cstheme="majorBidi"/>
                <w:szCs w:val="22"/>
                <w:lang w:val="lt-LT" w:bidi="he-IL"/>
              </w:rPr>
              <w:t xml:space="preserve"> šaly</w:t>
            </w:r>
            <w:r>
              <w:rPr>
                <w:rFonts w:asciiTheme="majorBidi" w:hAnsiTheme="majorBidi" w:cstheme="majorBidi"/>
                <w:szCs w:val="22"/>
                <w:lang w:val="lt-LT" w:bidi="he-IL"/>
              </w:rPr>
              <w:t>s</w:t>
            </w:r>
            <w:r w:rsidRPr="004C5B03">
              <w:rPr>
                <w:rFonts w:asciiTheme="majorBidi" w:hAnsiTheme="majorBidi" w:cstheme="majorBidi"/>
                <w:szCs w:val="22"/>
                <w:lang w:val="lt-LT" w:bidi="he-IL"/>
              </w:rPr>
              <w:t>e</w:t>
            </w:r>
            <w:r>
              <w:rPr>
                <w:rFonts w:asciiTheme="majorBidi" w:hAnsiTheme="majorBidi" w:cstheme="majorBidi"/>
                <w:szCs w:val="22"/>
                <w:lang w:val="lt-LT" w:bidi="he-IL"/>
              </w:rPr>
              <w:t xml:space="preserve"> yra skirtingi</w:t>
            </w:r>
            <w:r w:rsidRPr="004C5B03">
              <w:rPr>
                <w:rFonts w:asciiTheme="majorBidi" w:hAnsiTheme="majorBidi" w:cstheme="majorBidi"/>
                <w:szCs w:val="22"/>
                <w:lang w:val="lt-LT" w:bidi="he-IL"/>
              </w:rPr>
              <w:t>, papildomų krūties vėžio atvejų skaičius taip pat proporcingai</w:t>
            </w:r>
            <w:r>
              <w:rPr>
                <w:rFonts w:asciiTheme="majorBidi" w:hAnsiTheme="majorBidi" w:cstheme="majorBidi"/>
                <w:szCs w:val="22"/>
                <w:lang w:val="lt-LT" w:bidi="he-IL"/>
              </w:rPr>
              <w:t xml:space="preserve"> </w:t>
            </w:r>
            <w:r w:rsidRPr="004C5B03">
              <w:rPr>
                <w:rFonts w:asciiTheme="majorBidi" w:hAnsiTheme="majorBidi" w:cstheme="majorBidi"/>
                <w:szCs w:val="22"/>
                <w:lang w:val="lt-LT" w:bidi="he-IL"/>
              </w:rPr>
              <w:t>kei</w:t>
            </w:r>
            <w:r>
              <w:rPr>
                <w:rFonts w:asciiTheme="majorBidi" w:hAnsiTheme="majorBidi" w:cstheme="majorBidi"/>
                <w:szCs w:val="22"/>
                <w:lang w:val="lt-LT" w:bidi="he-IL"/>
              </w:rPr>
              <w:t>si</w:t>
            </w:r>
            <w:r w:rsidRPr="004C5B03">
              <w:rPr>
                <w:rFonts w:asciiTheme="majorBidi" w:hAnsiTheme="majorBidi" w:cstheme="majorBidi"/>
                <w:szCs w:val="22"/>
                <w:lang w:val="lt-LT" w:bidi="he-IL"/>
              </w:rPr>
              <w:t>s.</w:t>
            </w:r>
          </w:p>
        </w:tc>
      </w:tr>
    </w:tbl>
    <w:p w14:paraId="337991FC" w14:textId="77777777" w:rsidR="007A3818" w:rsidRPr="004C5B03" w:rsidRDefault="007A3818" w:rsidP="004C5B03">
      <w:pPr>
        <w:tabs>
          <w:tab w:val="clear" w:pos="567"/>
        </w:tabs>
        <w:suppressAutoHyphens w:val="0"/>
        <w:rPr>
          <w:rFonts w:asciiTheme="majorBidi" w:hAnsiTheme="majorBidi" w:cstheme="majorBidi"/>
          <w:szCs w:val="22"/>
          <w:lang w:val="lt-LT" w:bidi="he-IL"/>
        </w:rPr>
      </w:pPr>
    </w:p>
    <w:p w14:paraId="71950771" w14:textId="0298BD31"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JAV WHI tyrimai – papildoma krūties vėžio rizika po 5</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vartojimo metų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2269"/>
        <w:gridCol w:w="2277"/>
        <w:gridCol w:w="2274"/>
      </w:tblGrid>
      <w:tr w:rsidR="004C5B03" w:rsidRPr="007724B8" w14:paraId="5569E73F" w14:textId="77777777" w:rsidTr="009A5B9C">
        <w:tc>
          <w:tcPr>
            <w:tcW w:w="2405" w:type="dxa"/>
            <w:tcBorders>
              <w:bottom w:val="single" w:sz="4" w:space="0" w:color="auto"/>
            </w:tcBorders>
          </w:tcPr>
          <w:p w14:paraId="511CDE20"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Amžiaus ribos (metais)</w:t>
            </w:r>
          </w:p>
        </w:tc>
        <w:tc>
          <w:tcPr>
            <w:tcW w:w="2405" w:type="dxa"/>
            <w:tcBorders>
              <w:bottom w:val="single" w:sz="4" w:space="0" w:color="auto"/>
            </w:tcBorders>
          </w:tcPr>
          <w:p w14:paraId="5B82495D" w14:textId="389EA212"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Dažnumas, tenkantis 1</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000</w:t>
            </w:r>
            <w:r w:rsidRPr="004C5B03">
              <w:rPr>
                <w:rFonts w:asciiTheme="majorBidi" w:hAnsiTheme="majorBidi" w:cstheme="majorBidi"/>
                <w:b/>
                <w:szCs w:val="22"/>
                <w:lang w:val="lt-LT" w:bidi="he-IL"/>
              </w:rPr>
              <w:noBreakHyphen/>
              <w:t>iui moterų placebo grupėje per 5</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metus</w:t>
            </w:r>
          </w:p>
        </w:tc>
        <w:tc>
          <w:tcPr>
            <w:tcW w:w="2405" w:type="dxa"/>
            <w:tcBorders>
              <w:bottom w:val="single" w:sz="4" w:space="0" w:color="auto"/>
            </w:tcBorders>
          </w:tcPr>
          <w:p w14:paraId="30456986"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Rizikos koeficientas ir 95% PI</w:t>
            </w:r>
          </w:p>
        </w:tc>
        <w:tc>
          <w:tcPr>
            <w:tcW w:w="2405" w:type="dxa"/>
            <w:tcBorders>
              <w:bottom w:val="single" w:sz="4" w:space="0" w:color="auto"/>
            </w:tcBorders>
          </w:tcPr>
          <w:p w14:paraId="71EE135E" w14:textId="677E2615"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Papildomi atvejai 1</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000-iui moterų, vartojančių PHT, per 5 vartojimo metus (95% PI)</w:t>
            </w:r>
          </w:p>
        </w:tc>
      </w:tr>
      <w:tr w:rsidR="007A3818" w:rsidRPr="007A3818" w14:paraId="5B19E4CA" w14:textId="77777777" w:rsidTr="009A5B9C">
        <w:tc>
          <w:tcPr>
            <w:tcW w:w="9620" w:type="dxa"/>
            <w:gridSpan w:val="4"/>
            <w:tcBorders>
              <w:top w:val="single" w:sz="4" w:space="0" w:color="auto"/>
              <w:left w:val="single" w:sz="4" w:space="0" w:color="auto"/>
              <w:bottom w:val="single" w:sz="4" w:space="0" w:color="auto"/>
              <w:right w:val="single" w:sz="4" w:space="0" w:color="auto"/>
            </w:tcBorders>
            <w:shd w:val="solid" w:color="D4D7DC" w:fill="E0E0E0"/>
          </w:tcPr>
          <w:p w14:paraId="5AD93D84" w14:textId="77777777" w:rsidR="004C5B03" w:rsidRPr="009A5B9C" w:rsidRDefault="004C5B03" w:rsidP="004C5B03">
            <w:pPr>
              <w:tabs>
                <w:tab w:val="clear" w:pos="567"/>
              </w:tabs>
              <w:suppressAutoHyphens w:val="0"/>
              <w:rPr>
                <w:rFonts w:asciiTheme="majorBidi" w:hAnsiTheme="majorBidi" w:cstheme="majorBidi"/>
                <w:b/>
                <w:color w:val="000000"/>
                <w:szCs w:val="22"/>
                <w:lang w:val="lt-LT" w:bidi="he-IL"/>
              </w:rPr>
            </w:pPr>
            <w:r w:rsidRPr="009A5B9C">
              <w:rPr>
                <w:rFonts w:asciiTheme="majorBidi" w:hAnsiTheme="majorBidi" w:cstheme="majorBidi"/>
                <w:b/>
                <w:color w:val="000000"/>
                <w:szCs w:val="22"/>
                <w:lang w:val="lt-LT" w:bidi="he-IL"/>
              </w:rPr>
              <w:t>Tik KKE estrogenų PHT</w:t>
            </w:r>
          </w:p>
        </w:tc>
      </w:tr>
      <w:tr w:rsidR="004C5B03" w:rsidRPr="004C5B03" w14:paraId="7AB43BAA" w14:textId="77777777" w:rsidTr="009A5B9C">
        <w:tc>
          <w:tcPr>
            <w:tcW w:w="2405" w:type="dxa"/>
            <w:tcBorders>
              <w:top w:val="single" w:sz="4" w:space="0" w:color="auto"/>
              <w:bottom w:val="single" w:sz="4" w:space="0" w:color="auto"/>
            </w:tcBorders>
          </w:tcPr>
          <w:p w14:paraId="0B6B128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50-79</w:t>
            </w:r>
          </w:p>
          <w:p w14:paraId="25B32D5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405" w:type="dxa"/>
            <w:tcBorders>
              <w:top w:val="single" w:sz="4" w:space="0" w:color="auto"/>
              <w:bottom w:val="single" w:sz="4" w:space="0" w:color="auto"/>
            </w:tcBorders>
          </w:tcPr>
          <w:p w14:paraId="65DE7FE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21</w:t>
            </w:r>
          </w:p>
        </w:tc>
        <w:tc>
          <w:tcPr>
            <w:tcW w:w="2405" w:type="dxa"/>
            <w:tcBorders>
              <w:top w:val="single" w:sz="4" w:space="0" w:color="auto"/>
              <w:bottom w:val="single" w:sz="4" w:space="0" w:color="auto"/>
            </w:tcBorders>
          </w:tcPr>
          <w:p w14:paraId="23DE7879"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0,8 (0,7-1,0)</w:t>
            </w:r>
          </w:p>
        </w:tc>
        <w:tc>
          <w:tcPr>
            <w:tcW w:w="2405" w:type="dxa"/>
            <w:tcBorders>
              <w:top w:val="single" w:sz="4" w:space="0" w:color="auto"/>
              <w:bottom w:val="single" w:sz="4" w:space="0" w:color="auto"/>
            </w:tcBorders>
          </w:tcPr>
          <w:p w14:paraId="28C0777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-4 (-6-0)*</w:t>
            </w:r>
          </w:p>
        </w:tc>
      </w:tr>
      <w:tr w:rsidR="007A3818" w:rsidRPr="007724B8" w14:paraId="17DD1204" w14:textId="77777777" w:rsidTr="009A5B9C">
        <w:tc>
          <w:tcPr>
            <w:tcW w:w="9620" w:type="dxa"/>
            <w:gridSpan w:val="4"/>
            <w:tcBorders>
              <w:top w:val="single" w:sz="4" w:space="0" w:color="auto"/>
              <w:left w:val="single" w:sz="4" w:space="0" w:color="auto"/>
              <w:bottom w:val="single" w:sz="4" w:space="0" w:color="auto"/>
              <w:right w:val="single" w:sz="4" w:space="0" w:color="auto"/>
            </w:tcBorders>
            <w:shd w:val="solid" w:color="D4D7DC" w:fill="E0E0E0"/>
          </w:tcPr>
          <w:p w14:paraId="6F61D95F" w14:textId="3BF263B9" w:rsidR="004C5B03" w:rsidRPr="009A5B9C" w:rsidRDefault="004C5B03" w:rsidP="004C5B03">
            <w:pPr>
              <w:tabs>
                <w:tab w:val="clear" w:pos="567"/>
              </w:tabs>
              <w:suppressAutoHyphens w:val="0"/>
              <w:rPr>
                <w:rFonts w:asciiTheme="majorBidi" w:hAnsiTheme="majorBidi" w:cstheme="majorBidi"/>
                <w:b/>
                <w:color w:val="000000"/>
                <w:szCs w:val="22"/>
                <w:lang w:val="lt-LT" w:bidi="he-IL"/>
              </w:rPr>
            </w:pPr>
            <w:r w:rsidRPr="009A5B9C">
              <w:rPr>
                <w:rFonts w:asciiTheme="majorBidi" w:hAnsiTheme="majorBidi" w:cstheme="majorBidi"/>
                <w:b/>
                <w:color w:val="000000"/>
                <w:szCs w:val="22"/>
                <w:lang w:val="lt-LT" w:bidi="he-IL"/>
              </w:rPr>
              <w:t>KKE + MPA estrogen</w:t>
            </w:r>
            <w:r w:rsidR="007A3818">
              <w:rPr>
                <w:rFonts w:asciiTheme="majorBidi" w:hAnsiTheme="majorBidi" w:cstheme="majorBidi"/>
                <w:b/>
                <w:color w:val="000000"/>
                <w:szCs w:val="22"/>
                <w:lang w:val="lt-LT" w:bidi="he-IL"/>
              </w:rPr>
              <w:t>o</w:t>
            </w:r>
            <w:r w:rsidRPr="009A5B9C">
              <w:rPr>
                <w:rFonts w:asciiTheme="majorBidi" w:hAnsiTheme="majorBidi" w:cstheme="majorBidi"/>
                <w:b/>
                <w:color w:val="000000"/>
                <w:szCs w:val="22"/>
                <w:lang w:val="lt-LT" w:bidi="he-IL"/>
              </w:rPr>
              <w:t>-progestagen</w:t>
            </w:r>
            <w:r w:rsidR="007A3818">
              <w:rPr>
                <w:rFonts w:asciiTheme="majorBidi" w:hAnsiTheme="majorBidi" w:cstheme="majorBidi"/>
                <w:b/>
                <w:color w:val="000000"/>
                <w:szCs w:val="22"/>
                <w:lang w:val="lt-LT" w:bidi="he-IL"/>
              </w:rPr>
              <w:t>o</w:t>
            </w:r>
            <w:r w:rsidRPr="009A5B9C">
              <w:rPr>
                <w:rFonts w:asciiTheme="majorBidi" w:hAnsiTheme="majorBidi" w:cstheme="majorBidi"/>
                <w:b/>
                <w:color w:val="000000"/>
                <w:szCs w:val="22"/>
                <w:lang w:val="lt-LT" w:bidi="he-IL"/>
              </w:rPr>
              <w:t xml:space="preserve"> PHT**</w:t>
            </w:r>
          </w:p>
        </w:tc>
      </w:tr>
      <w:tr w:rsidR="004C5B03" w:rsidRPr="004C5B03" w14:paraId="5B9AB6A4" w14:textId="77777777" w:rsidTr="009A5B9C">
        <w:tc>
          <w:tcPr>
            <w:tcW w:w="2405" w:type="dxa"/>
            <w:tcBorders>
              <w:top w:val="single" w:sz="4" w:space="0" w:color="auto"/>
              <w:bottom w:val="single" w:sz="4" w:space="0" w:color="auto"/>
            </w:tcBorders>
          </w:tcPr>
          <w:p w14:paraId="1708EAB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50-79</w:t>
            </w:r>
          </w:p>
          <w:p w14:paraId="4C2117F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405" w:type="dxa"/>
            <w:tcBorders>
              <w:top w:val="single" w:sz="4" w:space="0" w:color="auto"/>
              <w:bottom w:val="single" w:sz="4" w:space="0" w:color="auto"/>
            </w:tcBorders>
          </w:tcPr>
          <w:p w14:paraId="2CA236E1"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17</w:t>
            </w:r>
          </w:p>
        </w:tc>
        <w:tc>
          <w:tcPr>
            <w:tcW w:w="2405" w:type="dxa"/>
            <w:tcBorders>
              <w:top w:val="single" w:sz="4" w:space="0" w:color="auto"/>
              <w:bottom w:val="single" w:sz="4" w:space="0" w:color="auto"/>
            </w:tcBorders>
          </w:tcPr>
          <w:p w14:paraId="662013C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1,2 (1,0-1,5)</w:t>
            </w:r>
          </w:p>
        </w:tc>
        <w:tc>
          <w:tcPr>
            <w:tcW w:w="2405" w:type="dxa"/>
            <w:tcBorders>
              <w:top w:val="single" w:sz="4" w:space="0" w:color="auto"/>
              <w:bottom w:val="single" w:sz="4" w:space="0" w:color="auto"/>
            </w:tcBorders>
          </w:tcPr>
          <w:p w14:paraId="77A3A26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4 (0-9)</w:t>
            </w:r>
          </w:p>
        </w:tc>
      </w:tr>
      <w:tr w:rsidR="004C5B03" w:rsidRPr="007724B8" w14:paraId="670A8E83" w14:textId="77777777" w:rsidTr="004C5B03">
        <w:trPr>
          <w:trHeight w:val="520"/>
        </w:trPr>
        <w:tc>
          <w:tcPr>
            <w:tcW w:w="9620" w:type="dxa"/>
            <w:gridSpan w:val="4"/>
            <w:tcBorders>
              <w:left w:val="nil"/>
              <w:bottom w:val="nil"/>
              <w:right w:val="nil"/>
            </w:tcBorders>
          </w:tcPr>
          <w:p w14:paraId="595D8E6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WHI tyrime dalyvavo moterys, kurioms pašalinta gimda. Todėl, krūties vėžio rizika nebuvo padidėjusi.</w:t>
            </w:r>
          </w:p>
          <w:p w14:paraId="752D545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Tyrime dalyvavo tik tos moterys, kurios iki tyrimo nevartojo PHT; per 5 pirmuosius PHT vartojmo metus rizikos padidėjimo nebuvo pastebėta. Po 5 vaisto vartojimo metų ši rizika buvo didesnė nei toms, moterims, kurios nevartojo PHT.</w:t>
            </w:r>
          </w:p>
        </w:tc>
      </w:tr>
    </w:tbl>
    <w:p w14:paraId="1B0A14E1"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CCFB4AE"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Endometriumo vėžio rizika</w:t>
      </w:r>
    </w:p>
    <w:p w14:paraId="7753793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85DEC26" w14:textId="2E66F25A"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Endometriumo vėžiu suserga 5-ios iš 1</w:t>
      </w:r>
      <w:r w:rsidR="0011675D"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 moterų, kurioms nepašalinta gimda ir kurios nevartoja PHT.</w:t>
      </w:r>
    </w:p>
    <w:p w14:paraId="26395E6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1E82F4D"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Vien estrogenų PHT nerekomenduojama moterims, kurioms nepašalinta gimda, kadangi, didėja endometriumo vėžio rizika (žr. 4.4 skyrių).</w:t>
      </w:r>
    </w:p>
    <w:p w14:paraId="436B5D3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8E2C778" w14:textId="38BC58E5"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Remiantis epidemiologinių tyrimų duomenimis, nustatyta, kad priklausomai nuo vien estrogenų preparatų vartojimo trukmės ir estrogeno dozės, papildomai diagnozuojama nuo 5 iki 55 endometriumo vėžio atvejų 1</w:t>
      </w:r>
      <w:r w:rsidR="0011675D"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000-iui 50-65</w:t>
      </w:r>
      <w:r w:rsidR="0011675D"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metų amžiaus moterų.</w:t>
      </w:r>
    </w:p>
    <w:p w14:paraId="7F0B069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508609D" w14:textId="2CAB1731"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Gydymą estrogenu papildžius progestagenu bent 12 dienų per ciklą, šio rizikos padidėjimo galima išvengti. Milijono Moterų Tyrimo duomenimis, po 5</w:t>
      </w:r>
      <w:r w:rsidR="0011675D"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metų sudėtinės PHT vartojimo (nuosekliai arba nepertraukiamai), endometriumo vėžio rizika nepadidėjo (RR=1,0 (0,8-1,2)).</w:t>
      </w:r>
    </w:p>
    <w:p w14:paraId="0D6F42D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0635FB0"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Kiaušidžių vėžio rizika</w:t>
      </w:r>
    </w:p>
    <w:p w14:paraId="7F5A9DE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268A53F" w14:textId="2E788C50"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PHT preparatų, kuriuose yra tik estrogeno, arba sudėtinių PHT preparatų, kuriuose yra estrogeno ir progesterono, vartojimas siejamas su šiek tiek padidėjusia kiaušidžių vėžio diagnostikos rizika (žr. 4.4 skyrių).Atlikus 52 epidemiologinių tyrimų metaanalizę, moterims, šiuo metu vartojančioms PHT preparatų, nustatyta didesnė kiaušidžių vėžio rizika, palyginti su moterimis, kurios niekada nevartojo PHT preparatų (RK: 1,43, 95 </w:t>
      </w:r>
      <w:r w:rsidR="004F7624">
        <w:rPr>
          <w:rFonts w:asciiTheme="majorBidi" w:hAnsiTheme="majorBidi" w:cstheme="majorBidi"/>
          <w:szCs w:val="22"/>
          <w:lang w:val="lt-LT" w:bidi="he-IL"/>
        </w:rPr>
        <w:t>%</w:t>
      </w:r>
      <w:r w:rsidRPr="004C5B03">
        <w:rPr>
          <w:rFonts w:asciiTheme="majorBidi" w:hAnsiTheme="majorBidi" w:cstheme="majorBidi"/>
          <w:szCs w:val="22"/>
          <w:lang w:val="lt-LT" w:bidi="he-IL"/>
        </w:rPr>
        <w:t xml:space="preserve">. PI: 1,31-1,56). Tarp 50-54 metų moterų, PHT praparatų vartojusių 5 </w:t>
      </w:r>
      <w:r w:rsidRPr="004C5B03">
        <w:rPr>
          <w:rFonts w:asciiTheme="majorBidi" w:hAnsiTheme="majorBidi" w:cstheme="majorBidi"/>
          <w:szCs w:val="22"/>
          <w:lang w:val="lt-LT" w:bidi="he-IL"/>
        </w:rPr>
        <w:lastRenderedPageBreak/>
        <w:t>metus, tai sukėlė maždaug 1 papildomą atvejį/2</w:t>
      </w:r>
      <w:r w:rsidR="0011675D"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 vartotojų. Per 5 metus tarp 50-54 metų moterų, kurios nevartoja PHT preparatų, kiaušidžių vėžys bus diagnozuotas maždaug 2 moterims iš 2</w:t>
      </w:r>
      <w:r w:rsidR="0011675D"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 xml:space="preserve">000. </w:t>
      </w:r>
    </w:p>
    <w:p w14:paraId="1398538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5CA371E"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Venų tromboembolijos rizika</w:t>
      </w:r>
    </w:p>
    <w:p w14:paraId="49B14D2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1E956B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Vartojant PHT reliatyvi rizika susirgti tromboembolinėmis venų ligomis, t.y. giliųjų venų tromboze arba plaučių embolija, padidėja nuo 1,3 iki 3 kartų. Šiomis ligomis dažniau susergama pirmaisiais PHT vartojimo metais (žr. 4.4 skyrių). Žemiau pateikti WHI tyrimo duomenys.</w:t>
      </w:r>
    </w:p>
    <w:p w14:paraId="5FB06EE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E9AF474"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WHI tyrimai – papildoma VTE rizika per 5 PHT vartojimo metus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243"/>
        <w:gridCol w:w="2284"/>
        <w:gridCol w:w="2281"/>
      </w:tblGrid>
      <w:tr w:rsidR="004C5B03" w:rsidRPr="007724B8" w14:paraId="1BBD2634" w14:textId="77777777" w:rsidTr="009A5B9C">
        <w:tc>
          <w:tcPr>
            <w:tcW w:w="2405" w:type="dxa"/>
            <w:tcBorders>
              <w:bottom w:val="single" w:sz="4" w:space="0" w:color="auto"/>
            </w:tcBorders>
          </w:tcPr>
          <w:p w14:paraId="54544736"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Amžiaus ribos (metais)</w:t>
            </w:r>
          </w:p>
        </w:tc>
        <w:tc>
          <w:tcPr>
            <w:tcW w:w="2405" w:type="dxa"/>
            <w:tcBorders>
              <w:bottom w:val="single" w:sz="4" w:space="0" w:color="auto"/>
            </w:tcBorders>
          </w:tcPr>
          <w:p w14:paraId="403CB81C" w14:textId="3AA59003"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Atvejų skaičius 1</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000-iui moterų placebo grupėje per 5</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 xml:space="preserve">metus </w:t>
            </w:r>
          </w:p>
        </w:tc>
        <w:tc>
          <w:tcPr>
            <w:tcW w:w="2405" w:type="dxa"/>
            <w:tcBorders>
              <w:bottom w:val="single" w:sz="4" w:space="0" w:color="auto"/>
            </w:tcBorders>
          </w:tcPr>
          <w:p w14:paraId="746FEDAC" w14:textId="7C929B6D"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Rizikos koeficientas ir 95%</w:t>
            </w:r>
            <w:r w:rsidR="001D6AB8">
              <w:rPr>
                <w:rFonts w:asciiTheme="majorBidi" w:hAnsiTheme="majorBidi" w:cstheme="majorBidi"/>
                <w:b/>
                <w:szCs w:val="22"/>
                <w:lang w:val="lt-LT" w:bidi="he-IL"/>
              </w:rPr>
              <w:t> </w:t>
            </w:r>
            <w:r w:rsidRPr="004C5B03">
              <w:rPr>
                <w:rFonts w:asciiTheme="majorBidi" w:hAnsiTheme="majorBidi" w:cstheme="majorBidi"/>
                <w:b/>
                <w:szCs w:val="22"/>
                <w:lang w:val="lt-LT" w:bidi="he-IL"/>
              </w:rPr>
              <w:t>PI</w:t>
            </w:r>
          </w:p>
        </w:tc>
        <w:tc>
          <w:tcPr>
            <w:tcW w:w="2405" w:type="dxa"/>
            <w:tcBorders>
              <w:bottom w:val="single" w:sz="4" w:space="0" w:color="auto"/>
            </w:tcBorders>
          </w:tcPr>
          <w:p w14:paraId="04FDE815" w14:textId="1F61AAB9"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Papildomi atvejai 1</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000-iui moterų, vartojančių PHT per 5 vartojimo metus (95%</w:t>
            </w:r>
            <w:r w:rsidR="001D6AB8">
              <w:rPr>
                <w:rFonts w:asciiTheme="majorBidi" w:hAnsiTheme="majorBidi" w:cstheme="majorBidi"/>
                <w:b/>
                <w:szCs w:val="22"/>
                <w:lang w:val="lt-LT" w:bidi="he-IL"/>
              </w:rPr>
              <w:t> </w:t>
            </w:r>
            <w:r w:rsidRPr="004C5B03">
              <w:rPr>
                <w:rFonts w:asciiTheme="majorBidi" w:hAnsiTheme="majorBidi" w:cstheme="majorBidi"/>
                <w:b/>
                <w:szCs w:val="22"/>
                <w:lang w:val="lt-LT" w:bidi="he-IL"/>
              </w:rPr>
              <w:t>PI)</w:t>
            </w:r>
          </w:p>
        </w:tc>
      </w:tr>
      <w:tr w:rsidR="007A3818" w:rsidRPr="006E2C36" w14:paraId="439D9AA3" w14:textId="77777777" w:rsidTr="009A5B9C">
        <w:tc>
          <w:tcPr>
            <w:tcW w:w="9620" w:type="dxa"/>
            <w:gridSpan w:val="4"/>
            <w:tcBorders>
              <w:top w:val="single" w:sz="4" w:space="0" w:color="auto"/>
              <w:left w:val="single" w:sz="4" w:space="0" w:color="auto"/>
              <w:bottom w:val="single" w:sz="4" w:space="0" w:color="auto"/>
              <w:right w:val="single" w:sz="4" w:space="0" w:color="auto"/>
            </w:tcBorders>
            <w:shd w:val="solid" w:color="D4D7DC" w:fill="E0E0E0"/>
          </w:tcPr>
          <w:p w14:paraId="426F51B0" w14:textId="77777777" w:rsidR="004C5B03" w:rsidRPr="009A5B9C" w:rsidRDefault="004C5B03" w:rsidP="004C5B03">
            <w:pPr>
              <w:tabs>
                <w:tab w:val="clear" w:pos="567"/>
              </w:tabs>
              <w:suppressAutoHyphens w:val="0"/>
              <w:rPr>
                <w:rFonts w:asciiTheme="majorBidi" w:hAnsiTheme="majorBidi" w:cstheme="majorBidi"/>
                <w:b/>
                <w:color w:val="000000"/>
                <w:szCs w:val="22"/>
                <w:lang w:val="lt-LT" w:bidi="he-IL"/>
              </w:rPr>
            </w:pPr>
            <w:r w:rsidRPr="009A5B9C">
              <w:rPr>
                <w:rFonts w:asciiTheme="majorBidi" w:hAnsiTheme="majorBidi" w:cstheme="majorBidi"/>
                <w:b/>
                <w:color w:val="000000"/>
                <w:szCs w:val="22"/>
                <w:lang w:val="lt-LT" w:bidi="he-IL"/>
              </w:rPr>
              <w:t>Geriamieji tik estrogenų PHT vaistai</w:t>
            </w:r>
            <w:r w:rsidRPr="009A5B9C">
              <w:rPr>
                <w:rFonts w:asciiTheme="majorBidi" w:hAnsiTheme="majorBidi" w:cstheme="majorBidi"/>
                <w:color w:val="000000"/>
                <w:szCs w:val="22"/>
                <w:lang w:val="lt-LT" w:bidi="he-IL"/>
              </w:rPr>
              <w:t>*</w:t>
            </w:r>
          </w:p>
        </w:tc>
      </w:tr>
      <w:tr w:rsidR="004C5B03" w:rsidRPr="004C5B03" w14:paraId="33FB68A8" w14:textId="77777777" w:rsidTr="009A5B9C">
        <w:tc>
          <w:tcPr>
            <w:tcW w:w="2405" w:type="dxa"/>
            <w:tcBorders>
              <w:top w:val="single" w:sz="4" w:space="0" w:color="auto"/>
              <w:bottom w:val="single" w:sz="4" w:space="0" w:color="auto"/>
            </w:tcBorders>
          </w:tcPr>
          <w:p w14:paraId="104246EB"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50-59</w:t>
            </w:r>
          </w:p>
          <w:p w14:paraId="59A767D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405" w:type="dxa"/>
            <w:tcBorders>
              <w:top w:val="single" w:sz="4" w:space="0" w:color="auto"/>
              <w:bottom w:val="single" w:sz="4" w:space="0" w:color="auto"/>
            </w:tcBorders>
          </w:tcPr>
          <w:p w14:paraId="064734A4"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7</w:t>
            </w:r>
          </w:p>
        </w:tc>
        <w:tc>
          <w:tcPr>
            <w:tcW w:w="2405" w:type="dxa"/>
            <w:tcBorders>
              <w:top w:val="single" w:sz="4" w:space="0" w:color="auto"/>
              <w:bottom w:val="single" w:sz="4" w:space="0" w:color="auto"/>
            </w:tcBorders>
          </w:tcPr>
          <w:p w14:paraId="74BB3E62"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1,2 (0,6-2,4)</w:t>
            </w:r>
          </w:p>
        </w:tc>
        <w:tc>
          <w:tcPr>
            <w:tcW w:w="2405" w:type="dxa"/>
            <w:tcBorders>
              <w:top w:val="single" w:sz="4" w:space="0" w:color="auto"/>
              <w:bottom w:val="single" w:sz="4" w:space="0" w:color="auto"/>
            </w:tcBorders>
          </w:tcPr>
          <w:p w14:paraId="4E552864"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 (-3-10)</w:t>
            </w:r>
          </w:p>
        </w:tc>
      </w:tr>
      <w:tr w:rsidR="007A3818" w:rsidRPr="007724B8" w14:paraId="224E2455" w14:textId="77777777" w:rsidTr="009A5B9C">
        <w:tc>
          <w:tcPr>
            <w:tcW w:w="9620" w:type="dxa"/>
            <w:gridSpan w:val="4"/>
            <w:tcBorders>
              <w:top w:val="single" w:sz="4" w:space="0" w:color="auto"/>
              <w:left w:val="single" w:sz="4" w:space="0" w:color="auto"/>
              <w:bottom w:val="single" w:sz="4" w:space="0" w:color="auto"/>
              <w:right w:val="single" w:sz="4" w:space="0" w:color="auto"/>
            </w:tcBorders>
            <w:shd w:val="solid" w:color="D4D7DC" w:fill="E0E0E0"/>
          </w:tcPr>
          <w:p w14:paraId="4EEAD730" w14:textId="77777777" w:rsidR="004C5B03" w:rsidRPr="009A5B9C" w:rsidRDefault="004C5B03" w:rsidP="004C5B03">
            <w:pPr>
              <w:tabs>
                <w:tab w:val="clear" w:pos="567"/>
              </w:tabs>
              <w:suppressAutoHyphens w:val="0"/>
              <w:rPr>
                <w:rFonts w:asciiTheme="majorBidi" w:hAnsiTheme="majorBidi" w:cstheme="majorBidi"/>
                <w:b/>
                <w:color w:val="000000"/>
                <w:szCs w:val="22"/>
                <w:lang w:val="lt-LT" w:bidi="he-IL"/>
              </w:rPr>
            </w:pPr>
            <w:r w:rsidRPr="009A5B9C">
              <w:rPr>
                <w:rFonts w:asciiTheme="majorBidi" w:hAnsiTheme="majorBidi" w:cstheme="majorBidi"/>
                <w:b/>
                <w:color w:val="000000"/>
                <w:szCs w:val="22"/>
                <w:lang w:val="lt-LT" w:bidi="he-IL"/>
              </w:rPr>
              <w:t>Geriamieji sudėtinės estrogenų-progestagenų PHT vaistai</w:t>
            </w:r>
          </w:p>
        </w:tc>
      </w:tr>
      <w:tr w:rsidR="004C5B03" w:rsidRPr="004C5B03" w14:paraId="7B55F129" w14:textId="77777777" w:rsidTr="009A5B9C">
        <w:tc>
          <w:tcPr>
            <w:tcW w:w="2405" w:type="dxa"/>
            <w:tcBorders>
              <w:top w:val="single" w:sz="4" w:space="0" w:color="auto"/>
              <w:bottom w:val="single" w:sz="4" w:space="0" w:color="auto"/>
            </w:tcBorders>
          </w:tcPr>
          <w:p w14:paraId="2AD486D4"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50-59</w:t>
            </w:r>
          </w:p>
          <w:p w14:paraId="3645447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405" w:type="dxa"/>
            <w:tcBorders>
              <w:top w:val="single" w:sz="4" w:space="0" w:color="auto"/>
              <w:bottom w:val="single" w:sz="4" w:space="0" w:color="auto"/>
            </w:tcBorders>
          </w:tcPr>
          <w:p w14:paraId="1A604DB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4</w:t>
            </w:r>
          </w:p>
        </w:tc>
        <w:tc>
          <w:tcPr>
            <w:tcW w:w="2405" w:type="dxa"/>
            <w:tcBorders>
              <w:top w:val="single" w:sz="4" w:space="0" w:color="auto"/>
              <w:bottom w:val="single" w:sz="4" w:space="0" w:color="auto"/>
            </w:tcBorders>
          </w:tcPr>
          <w:p w14:paraId="7B924011"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2,3 (1,2-4,3)</w:t>
            </w:r>
          </w:p>
        </w:tc>
        <w:tc>
          <w:tcPr>
            <w:tcW w:w="2405" w:type="dxa"/>
            <w:tcBorders>
              <w:top w:val="single" w:sz="4" w:space="0" w:color="auto"/>
              <w:bottom w:val="single" w:sz="4" w:space="0" w:color="auto"/>
            </w:tcBorders>
          </w:tcPr>
          <w:p w14:paraId="34B0BD2B"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5 (1-13)</w:t>
            </w:r>
          </w:p>
        </w:tc>
      </w:tr>
      <w:tr w:rsidR="004C5B03" w:rsidRPr="004C5B03" w14:paraId="5FBC687B" w14:textId="77777777" w:rsidTr="004C5B03">
        <w:trPr>
          <w:trHeight w:val="520"/>
        </w:trPr>
        <w:tc>
          <w:tcPr>
            <w:tcW w:w="9620" w:type="dxa"/>
            <w:gridSpan w:val="4"/>
            <w:tcBorders>
              <w:left w:val="nil"/>
              <w:bottom w:val="nil"/>
              <w:right w:val="nil"/>
            </w:tcBorders>
          </w:tcPr>
          <w:p w14:paraId="2B11AA3B"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Tyrime dalyvavo moterys, kurioms pašalinta gimda.</w:t>
            </w:r>
          </w:p>
        </w:tc>
      </w:tr>
    </w:tbl>
    <w:p w14:paraId="5A0128B9"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9842C93"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Vainikinių arterijų ligos rizika</w:t>
      </w:r>
    </w:p>
    <w:p w14:paraId="5EAF0EC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CD66FB5"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Jeigu sudėtinę estrogenų-progestagenų PHT vartoja vyresnės nei 60 metų moterys, joms šiek tiek padidėja rizika susirgti vainikinių arterijų liga (žr. 4.4 skyrių).</w:t>
      </w:r>
    </w:p>
    <w:p w14:paraId="4988724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29513FE"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Išeminio insulto rizika</w:t>
      </w:r>
    </w:p>
    <w:p w14:paraId="7C2CB6F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A73E45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Vartojant vien estrogenų ir estrogenų-progestagenų PHT, santykinė rizika susirgti išeminiu insultu padidėja iki 1,5 karto. Tačiau hemoraginio insulto rizika, vartojant PHT, nepadidėja.</w:t>
      </w:r>
    </w:p>
    <w:p w14:paraId="2B0BC9E1"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Ši santykinė rizika nepriklauso nuo amžiaus ir vaisto vartojimo trukmės, tačiau, bazinė rizika labai priklauso nuo amžiaus. Bendra insulto rizika moterims, vartojančioms PHT, didėja su amžiumi (žr. 4.4 skyrių).</w:t>
      </w:r>
    </w:p>
    <w:p w14:paraId="7E4C824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82E807C"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Visi WHI tyrimai – papildoma išeminio insulto* rizika per 5 vartojimo metus</w:t>
      </w:r>
    </w:p>
    <w:p w14:paraId="0B03F2C9"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243"/>
        <w:gridCol w:w="2284"/>
        <w:gridCol w:w="2281"/>
      </w:tblGrid>
      <w:tr w:rsidR="004C5B03" w:rsidRPr="007724B8" w14:paraId="297E684B" w14:textId="77777777" w:rsidTr="004C5B03">
        <w:tc>
          <w:tcPr>
            <w:tcW w:w="2405" w:type="dxa"/>
          </w:tcPr>
          <w:p w14:paraId="3185C56A"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Amžiaus ribos (metais)</w:t>
            </w:r>
          </w:p>
        </w:tc>
        <w:tc>
          <w:tcPr>
            <w:tcW w:w="2405" w:type="dxa"/>
          </w:tcPr>
          <w:p w14:paraId="73F3366A" w14:textId="00DF3415"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Atvejų skaičius 1</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000-iui moterų placebo grupėje per 5</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metus</w:t>
            </w:r>
          </w:p>
        </w:tc>
        <w:tc>
          <w:tcPr>
            <w:tcW w:w="2405" w:type="dxa"/>
          </w:tcPr>
          <w:p w14:paraId="547B8894" w14:textId="0DDDB7F0"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Rizikos koeficientas ir 95%</w:t>
            </w:r>
            <w:r w:rsidR="001D6AB8">
              <w:rPr>
                <w:rFonts w:asciiTheme="majorBidi" w:hAnsiTheme="majorBidi" w:cstheme="majorBidi"/>
                <w:b/>
                <w:szCs w:val="22"/>
                <w:lang w:val="lt-LT" w:bidi="he-IL"/>
              </w:rPr>
              <w:t> </w:t>
            </w:r>
            <w:r w:rsidRPr="004C5B03">
              <w:rPr>
                <w:rFonts w:asciiTheme="majorBidi" w:hAnsiTheme="majorBidi" w:cstheme="majorBidi"/>
                <w:b/>
                <w:szCs w:val="22"/>
                <w:lang w:val="lt-LT" w:bidi="he-IL"/>
              </w:rPr>
              <w:t>PI</w:t>
            </w:r>
          </w:p>
        </w:tc>
        <w:tc>
          <w:tcPr>
            <w:tcW w:w="2405" w:type="dxa"/>
          </w:tcPr>
          <w:p w14:paraId="22336A36" w14:textId="0DE62F69"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Papildomi atvejai 1</w:t>
            </w:r>
            <w:r w:rsidR="0011675D" w:rsidRPr="004C5B03">
              <w:rPr>
                <w:rFonts w:asciiTheme="majorBidi" w:hAnsiTheme="majorBidi" w:cstheme="majorBidi"/>
                <w:b/>
                <w:szCs w:val="22"/>
                <w:lang w:val="lt-LT" w:bidi="he-IL"/>
              </w:rPr>
              <w:t> </w:t>
            </w:r>
            <w:r w:rsidRPr="004C5B03">
              <w:rPr>
                <w:rFonts w:asciiTheme="majorBidi" w:hAnsiTheme="majorBidi" w:cstheme="majorBidi"/>
                <w:b/>
                <w:szCs w:val="22"/>
                <w:lang w:val="lt-LT" w:bidi="he-IL"/>
              </w:rPr>
              <w:t>000-iui moterų, vartojančių PHT per 5 vartojimo metus (95%</w:t>
            </w:r>
            <w:r w:rsidR="001D6AB8">
              <w:rPr>
                <w:rFonts w:asciiTheme="majorBidi" w:hAnsiTheme="majorBidi" w:cstheme="majorBidi"/>
                <w:b/>
                <w:szCs w:val="22"/>
                <w:lang w:val="lt-LT" w:bidi="he-IL"/>
              </w:rPr>
              <w:t> </w:t>
            </w:r>
            <w:r w:rsidRPr="004C5B03">
              <w:rPr>
                <w:rFonts w:asciiTheme="majorBidi" w:hAnsiTheme="majorBidi" w:cstheme="majorBidi"/>
                <w:b/>
                <w:szCs w:val="22"/>
                <w:lang w:val="lt-LT" w:bidi="he-IL"/>
              </w:rPr>
              <w:t>PI)</w:t>
            </w:r>
          </w:p>
        </w:tc>
      </w:tr>
      <w:tr w:rsidR="004C5B03" w:rsidRPr="004C5B03" w14:paraId="0BB087A9" w14:textId="77777777" w:rsidTr="004C5B03">
        <w:tc>
          <w:tcPr>
            <w:tcW w:w="2405" w:type="dxa"/>
            <w:tcBorders>
              <w:bottom w:val="single" w:sz="4" w:space="0" w:color="auto"/>
            </w:tcBorders>
          </w:tcPr>
          <w:p w14:paraId="7173D471"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50-59</w:t>
            </w:r>
          </w:p>
          <w:p w14:paraId="03A9F30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c>
          <w:tcPr>
            <w:tcW w:w="2405" w:type="dxa"/>
            <w:tcBorders>
              <w:bottom w:val="single" w:sz="4" w:space="0" w:color="auto"/>
            </w:tcBorders>
          </w:tcPr>
          <w:p w14:paraId="29DD36AD"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8</w:t>
            </w:r>
          </w:p>
        </w:tc>
        <w:tc>
          <w:tcPr>
            <w:tcW w:w="2405" w:type="dxa"/>
            <w:tcBorders>
              <w:bottom w:val="single" w:sz="4" w:space="0" w:color="auto"/>
            </w:tcBorders>
          </w:tcPr>
          <w:p w14:paraId="26874A3D"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1,3 (1,1-1,6)</w:t>
            </w:r>
          </w:p>
        </w:tc>
        <w:tc>
          <w:tcPr>
            <w:tcW w:w="2405" w:type="dxa"/>
            <w:tcBorders>
              <w:bottom w:val="single" w:sz="4" w:space="0" w:color="auto"/>
            </w:tcBorders>
          </w:tcPr>
          <w:p w14:paraId="2F37D343"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3 (1-5)</w:t>
            </w:r>
          </w:p>
        </w:tc>
      </w:tr>
      <w:tr w:rsidR="004C5B03" w:rsidRPr="007724B8" w14:paraId="414329F8" w14:textId="77777777" w:rsidTr="004C5B03">
        <w:trPr>
          <w:trHeight w:val="520"/>
        </w:trPr>
        <w:tc>
          <w:tcPr>
            <w:tcW w:w="9620" w:type="dxa"/>
            <w:gridSpan w:val="4"/>
            <w:tcBorders>
              <w:left w:val="nil"/>
              <w:bottom w:val="nil"/>
              <w:right w:val="nil"/>
            </w:tcBorders>
          </w:tcPr>
          <w:p w14:paraId="0E511B7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Išeminio ir hemoraginio insulto atvejai atskirai neišskiriami.</w:t>
            </w:r>
          </w:p>
          <w:p w14:paraId="58975921"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tc>
      </w:tr>
    </w:tbl>
    <w:p w14:paraId="48ADE6E9"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2804DFD"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Pranešimas apie įtariamas nepageidaujamas reakcijas</w:t>
      </w:r>
    </w:p>
    <w:p w14:paraId="314CCA9F" w14:textId="77777777" w:rsidR="001D6AB8" w:rsidRPr="006E2C36" w:rsidRDefault="001D6AB8" w:rsidP="001D6AB8">
      <w:pPr>
        <w:spacing w:line="260" w:lineRule="exact"/>
        <w:jc w:val="both"/>
        <w:rPr>
          <w:lang w:val="lt-LT"/>
        </w:rPr>
      </w:pPr>
      <w:bookmarkStart w:id="3" w:name="_Hlk94546149"/>
      <w:r w:rsidRPr="006E2C36">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6E2C36">
        <w:rPr>
          <w:szCs w:val="22"/>
          <w:lang w:val="lt-LT"/>
        </w:rPr>
        <w:lastRenderedPageBreak/>
        <w:t xml:space="preserve">užpildę ir pateikę pranešimo formą Valstybinės vaistų kontrolės tarnybos prie Lietuvos Respublikos sveikatos apsaugos ministerijos tinklalapyje </w:t>
      </w:r>
      <w:r w:rsidRPr="006E2C36">
        <w:rPr>
          <w:szCs w:val="22"/>
          <w:u w:val="single"/>
          <w:lang w:val="lt-LT"/>
        </w:rPr>
        <w:t>https://vvkt.lrv.lt/lt/</w:t>
      </w:r>
      <w:r w:rsidRPr="006E2C36">
        <w:rPr>
          <w:szCs w:val="22"/>
          <w:lang w:val="lt-LT"/>
        </w:rPr>
        <w:t xml:space="preserve"> nurodytais būdais.</w:t>
      </w:r>
    </w:p>
    <w:bookmarkEnd w:id="3"/>
    <w:p w14:paraId="777E0AC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970EBDB"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4.9</w:t>
      </w:r>
      <w:r w:rsidRPr="004C5B03">
        <w:rPr>
          <w:rFonts w:asciiTheme="majorBidi" w:hAnsiTheme="majorBidi" w:cstheme="majorBidi"/>
          <w:b/>
          <w:szCs w:val="22"/>
          <w:lang w:val="lt-LT" w:bidi="he-IL"/>
        </w:rPr>
        <w:tab/>
        <w:t>Perdozavimas</w:t>
      </w:r>
    </w:p>
    <w:p w14:paraId="3C150FC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F0BB36B"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Perdozavus per burną vartojamų estrogenų gali atsirasti krūtų jautrumas, pykinimas, vėmimas ir / arba kraujavimas iš gimdos. Perdozavus progestagenų gali atsirasti depresinė nuotaika, nuovargis, aknė ir hirsutizmas. Perdozavimo atveju skiriamas simptominis gydymas. </w:t>
      </w:r>
    </w:p>
    <w:p w14:paraId="4EEECD1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A3EAE31"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1AD688B" w14:textId="77777777" w:rsidR="004C5B03" w:rsidRPr="004C5B03" w:rsidRDefault="004C5B03" w:rsidP="004C5B03">
      <w:pPr>
        <w:numPr>
          <w:ilvl w:val="0"/>
          <w:numId w:val="14"/>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 xml:space="preserve">FARMAKOLOGINĖS SAVYBĖS </w:t>
      </w:r>
    </w:p>
    <w:p w14:paraId="44904EB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F27F753" w14:textId="77777777" w:rsidR="004C5B03" w:rsidRPr="004C5B03" w:rsidRDefault="004C5B03" w:rsidP="004C5B03">
      <w:pPr>
        <w:numPr>
          <w:ilvl w:val="1"/>
          <w:numId w:val="14"/>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Farmakodinaminės savybės</w:t>
      </w:r>
    </w:p>
    <w:p w14:paraId="6B48243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9A30004"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Farmakoterapinė grupė: progestagenai ir estrogenai , ciklinės sudėtiniai preparatai, ATC kodas: G03F B05.</w:t>
      </w:r>
    </w:p>
    <w:p w14:paraId="0D447AC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72748FD"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Estradiolis: veiklioji vaistinio preparato medžiaga, sintetinis 17</w:t>
      </w:r>
      <w:r w:rsidRPr="004C5B03">
        <w:rPr>
          <w:rFonts w:asciiTheme="majorBidi" w:hAnsiTheme="majorBidi" w:cstheme="majorBidi"/>
          <w:szCs w:val="22"/>
          <w:lang w:val="lt-LT" w:bidi="he-IL"/>
        </w:rPr>
        <w:sym w:font="Symbol" w:char="F062"/>
      </w:r>
      <w:r w:rsidRPr="004C5B03">
        <w:rPr>
          <w:rFonts w:asciiTheme="majorBidi" w:hAnsiTheme="majorBidi" w:cstheme="majorBidi"/>
          <w:szCs w:val="22"/>
          <w:lang w:val="lt-LT" w:bidi="he-IL"/>
        </w:rPr>
        <w:t>-estradiolis, yra chemiškai ir biologiškai identiškas endogeniniam moters organizmo estradioliui. Jis pakeičia sumažėjusią estrogenų gamybą moters organizme pomenopauzės laikotarpiu, taip palengvindamas menopauzės simptomus.</w:t>
      </w:r>
    </w:p>
    <w:p w14:paraId="5927CED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736685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Estrogenai apsaugo nuo kaulų masės mažėjimo po menopauzės arba po ovarektomijos.</w:t>
      </w:r>
    </w:p>
    <w:p w14:paraId="2D4DBCD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A51E81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Noretisterono acetatas: sintetinis progestagenas. Kadangi estrogenai skatina endometriumo augimą, vartojant grynų estrogenų, padidėja endometriumo hiperplazijos ir endometriumo vėžio rizika. Papildomas progestagenų vartojimas moterims, kurioms nepašalinta gimda, sumažina estrogenų sąlygotą endometriumo hiperplazijos riziką.</w:t>
      </w:r>
    </w:p>
    <w:p w14:paraId="53414A0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AC153DF"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Pomenopauzės simptomų palengvėjimas pastebimas pirmosiomis gydymo savaitėmis.</w:t>
      </w:r>
    </w:p>
    <w:p w14:paraId="35BB526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E5407D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Tyrimo, pateikus vaistinį preparatą į rinką, metu nustatyta, kad reguliarus kraujavimas dėl vaistinio preparato vartojimo nutraukimo, trukęs vidutiniškai 3 - 4 paras, pasireiškė 91</w:t>
      </w:r>
      <w:r w:rsidRPr="004C5B03">
        <w:rPr>
          <w:rFonts w:asciiTheme="majorBidi" w:hAnsiTheme="majorBidi" w:cstheme="majorBidi"/>
          <w:szCs w:val="22"/>
          <w:lang w:val="lt-LT" w:bidi="he-IL"/>
        </w:rPr>
        <w:sym w:font="Symbol" w:char="F025"/>
      </w:r>
      <w:r w:rsidRPr="004C5B03">
        <w:rPr>
          <w:rFonts w:asciiTheme="majorBidi" w:hAnsiTheme="majorBidi" w:cstheme="majorBidi"/>
          <w:szCs w:val="22"/>
          <w:lang w:val="lt-LT" w:bidi="he-IL"/>
        </w:rPr>
        <w:t xml:space="preserve"> moterų, daugiau kaip 6 mėnesius vartojusių Novofem. Nutraukimo kraujavimas paprastai prasidėdavo praėjus keletui parų po paskutinės progestagenų fazės tabletės išgėrimo.</w:t>
      </w:r>
    </w:p>
    <w:p w14:paraId="28BD8A3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A6C21FF"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Estrogenų trūkumas menopauzės laikotarpiu yra susijęs su suintensyvėjusiu kaulų retėjimu bei kaulų masės mažėjimu. Estrogenų poveikis kaulų mineralinių medžiagų tankiui yra tiesiogiai proporcingas jų dozei. Jų prevencinis poveikis trunka tol, kol tęsiamas gydymas. Nutraukus PHT, kaulų masė mažėja panašiu greičiu kaip ir vaistinio preparato nevartojusioms moterims.</w:t>
      </w:r>
    </w:p>
    <w:p w14:paraId="7160E81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DB47387" w14:textId="77777777" w:rsidR="004C5B03" w:rsidRPr="004C5B03" w:rsidRDefault="004C5B03" w:rsidP="004C5B03">
      <w:pPr>
        <w:tabs>
          <w:tab w:val="clear" w:pos="567"/>
        </w:tabs>
        <w:suppressAutoHyphens w:val="0"/>
        <w:rPr>
          <w:rFonts w:asciiTheme="majorBidi" w:hAnsiTheme="majorBidi" w:cstheme="majorBidi"/>
          <w:szCs w:val="22"/>
          <w:lang w:val="lt-LT" w:bidi="he-IL"/>
        </w:rPr>
      </w:pPr>
      <w:smartTag w:uri="urn:schemas-microsoft-com:office:smarttags" w:element="stockticker">
        <w:r w:rsidRPr="004C5B03">
          <w:rPr>
            <w:rFonts w:asciiTheme="majorBidi" w:hAnsiTheme="majorBidi" w:cstheme="majorBidi"/>
            <w:szCs w:val="22"/>
            <w:lang w:val="lt-LT" w:bidi="he-IL"/>
          </w:rPr>
          <w:t>WHI</w:t>
        </w:r>
      </w:smartTag>
      <w:r w:rsidRPr="004C5B03">
        <w:rPr>
          <w:rFonts w:asciiTheme="majorBidi" w:hAnsiTheme="majorBidi" w:cstheme="majorBidi"/>
          <w:szCs w:val="22"/>
          <w:lang w:val="lt-LT" w:bidi="he-IL"/>
        </w:rPr>
        <w:t xml:space="preserve"> tyrimo duomenys bei kitų tyrimų metaanalizė įrodė, kad tiek vien estrogenų, tiek estrogenų ir progestagenų PHT taikymas sveikoms moterims sumažina šlaunikaulio, stuburo slankstelių bei kitų lūžių dėl osteoporozės riziką. PHT taip pat gali apsaugoti nuo kaulų lūžių moteris, kurių mažas kaulų tankis ir (arba) joms yra osteoporozė, tačiau tai įrodančių duomenų dar nepakanka.</w:t>
      </w:r>
    </w:p>
    <w:p w14:paraId="7EC0CC4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56A59A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Atlikus randomizuotus, dvigubai aklus, placebu kontroliuojamus tyrimus, nustatyta, kad 1 mg estradiolio apsaugo nuo kaulų mineralinių medžiagų mažėjimo po menopauzės ir padidina kaulų mineralinių medžiagų tankį. Dvejus metus vartojant po 1 mg 17</w:t>
      </w:r>
      <w:r w:rsidRPr="004C5B03">
        <w:rPr>
          <w:rFonts w:asciiTheme="majorBidi" w:hAnsiTheme="majorBidi" w:cstheme="majorBidi"/>
          <w:szCs w:val="22"/>
          <w:lang w:val="lt-LT" w:bidi="he-IL"/>
        </w:rPr>
        <w:sym w:font="Symbol" w:char="F062"/>
      </w:r>
      <w:r w:rsidRPr="004C5B03">
        <w:rPr>
          <w:rFonts w:asciiTheme="majorBidi" w:hAnsiTheme="majorBidi" w:cstheme="majorBidi"/>
          <w:szCs w:val="22"/>
          <w:lang w:val="lt-LT" w:bidi="he-IL"/>
        </w:rPr>
        <w:t>-estradiolio be progestagenų, kaulų masės tankis stuburo slanksteliuose padidėjo 2,8 </w:t>
      </w:r>
      <w:r w:rsidRPr="004C5B03">
        <w:rPr>
          <w:rFonts w:asciiTheme="majorBidi" w:hAnsiTheme="majorBidi" w:cstheme="majorBidi"/>
          <w:szCs w:val="22"/>
          <w:lang w:val="lt-LT" w:bidi="he-IL"/>
        </w:rPr>
        <w:sym w:font="Symbol" w:char="F025"/>
      </w:r>
      <w:r w:rsidRPr="004C5B03">
        <w:rPr>
          <w:rFonts w:asciiTheme="majorBidi" w:hAnsiTheme="majorBidi" w:cstheme="majorBidi"/>
          <w:szCs w:val="22"/>
          <w:lang w:val="lt-LT" w:bidi="he-IL"/>
        </w:rPr>
        <w:t>, šlaunikaulio kaklelyje - 1,6 </w:t>
      </w:r>
      <w:r w:rsidRPr="004C5B03">
        <w:rPr>
          <w:rFonts w:asciiTheme="majorBidi" w:hAnsiTheme="majorBidi" w:cstheme="majorBidi"/>
          <w:szCs w:val="22"/>
          <w:lang w:val="lt-LT" w:bidi="he-IL"/>
        </w:rPr>
        <w:sym w:font="Symbol" w:char="F025"/>
      </w:r>
      <w:r w:rsidRPr="004C5B03">
        <w:rPr>
          <w:rFonts w:asciiTheme="majorBidi" w:hAnsiTheme="majorBidi" w:cstheme="majorBidi"/>
          <w:szCs w:val="22"/>
          <w:lang w:val="lt-LT" w:bidi="he-IL"/>
        </w:rPr>
        <w:t>, šlaunikaulio gumbure - 2,5 </w:t>
      </w:r>
      <w:r w:rsidRPr="004C5B03">
        <w:rPr>
          <w:rFonts w:asciiTheme="majorBidi" w:hAnsiTheme="majorBidi" w:cstheme="majorBidi"/>
          <w:szCs w:val="22"/>
          <w:lang w:val="lt-LT" w:bidi="he-IL"/>
        </w:rPr>
        <w:sym w:font="Symbol" w:char="F025"/>
      </w:r>
      <w:r w:rsidRPr="004C5B03">
        <w:rPr>
          <w:rFonts w:asciiTheme="majorBidi" w:hAnsiTheme="majorBidi" w:cstheme="majorBidi"/>
          <w:szCs w:val="22"/>
          <w:lang w:val="lt-LT" w:bidi="he-IL"/>
        </w:rPr>
        <w:t>.</w:t>
      </w:r>
    </w:p>
    <w:p w14:paraId="1BFF0237" w14:textId="77777777" w:rsidR="004C5B03" w:rsidRPr="004C5B03" w:rsidRDefault="004C5B03" w:rsidP="004C5B03">
      <w:pPr>
        <w:tabs>
          <w:tab w:val="clear" w:pos="567"/>
        </w:tabs>
        <w:suppressAutoHyphens w:val="0"/>
        <w:rPr>
          <w:rFonts w:asciiTheme="majorBidi" w:hAnsiTheme="majorBidi" w:cstheme="majorBidi"/>
          <w:i/>
          <w:szCs w:val="22"/>
          <w:lang w:val="lt-LT" w:bidi="he-IL"/>
        </w:rPr>
      </w:pPr>
    </w:p>
    <w:p w14:paraId="2104AC95"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5.2</w:t>
      </w:r>
      <w:r w:rsidRPr="004C5B03">
        <w:rPr>
          <w:rFonts w:asciiTheme="majorBidi" w:hAnsiTheme="majorBidi" w:cstheme="majorBidi"/>
          <w:b/>
          <w:szCs w:val="22"/>
          <w:lang w:val="lt-LT" w:bidi="he-IL"/>
        </w:rPr>
        <w:tab/>
        <w:t>Farmakokinetinės savybės</w:t>
      </w:r>
    </w:p>
    <w:p w14:paraId="4B5D973C"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607FC118" w14:textId="545B61B2"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lastRenderedPageBreak/>
        <w:t>Vartojant geriamojo mikronizuotos formos 17</w:t>
      </w:r>
      <w:r w:rsidRPr="004C5B03">
        <w:rPr>
          <w:rFonts w:asciiTheme="majorBidi" w:hAnsiTheme="majorBidi" w:cstheme="majorBidi"/>
          <w:szCs w:val="22"/>
          <w:lang w:val="lt-LT" w:bidi="he-IL"/>
        </w:rPr>
        <w:sym w:font="Symbol" w:char="F062"/>
      </w:r>
      <w:r w:rsidRPr="004C5B03">
        <w:rPr>
          <w:rFonts w:asciiTheme="majorBidi" w:hAnsiTheme="majorBidi" w:cstheme="majorBidi"/>
          <w:szCs w:val="22"/>
          <w:lang w:val="lt-LT" w:bidi="he-IL"/>
        </w:rPr>
        <w:t>-estradiolio, jis greitai rezorbuojamas iš virškinimo trakto. Jis intensyviai metabolizuojamas pirmajame metabolizmo rate kepenyse ir kituose virškinimo organuose; išgėrus 1 mg 17</w:t>
      </w:r>
      <w:r w:rsidRPr="004C5B03">
        <w:rPr>
          <w:rFonts w:asciiTheme="majorBidi" w:hAnsiTheme="majorBidi" w:cstheme="majorBidi"/>
          <w:szCs w:val="22"/>
          <w:lang w:val="lt-LT" w:bidi="he-IL"/>
        </w:rPr>
        <w:sym w:font="Symbol" w:char="F062"/>
      </w:r>
      <w:r w:rsidRPr="004C5B03">
        <w:rPr>
          <w:rFonts w:asciiTheme="majorBidi" w:hAnsiTheme="majorBidi" w:cstheme="majorBidi"/>
          <w:szCs w:val="22"/>
          <w:lang w:val="lt-LT" w:bidi="he-IL"/>
        </w:rPr>
        <w:t>-estradiolio, didžiausia jo koncentracija kraujo plazmoje susidaro po 6 valandų ir yra apie 27 pg/ml (nuo 13 iki 40 pg/ml). Plotas po kreive (AUC</w:t>
      </w:r>
      <w:r w:rsidRPr="004C5B03">
        <w:rPr>
          <w:rFonts w:asciiTheme="majorBidi" w:hAnsiTheme="majorBidi" w:cstheme="majorBidi"/>
          <w:szCs w:val="22"/>
          <w:vertAlign w:val="subscript"/>
          <w:lang w:val="lt-LT" w:bidi="he-IL"/>
        </w:rPr>
        <w:t>(0-tz)</w:t>
      </w:r>
      <w:r w:rsidRPr="004C5B03">
        <w:rPr>
          <w:rFonts w:asciiTheme="majorBidi" w:hAnsiTheme="majorBidi" w:cstheme="majorBidi"/>
          <w:szCs w:val="22"/>
          <w:lang w:val="lt-LT" w:bidi="he-IL"/>
        </w:rPr>
        <w:t>) yra 629 h x pg/ml. 17</w:t>
      </w:r>
      <w:r w:rsidRPr="004C5B03">
        <w:rPr>
          <w:rFonts w:asciiTheme="majorBidi" w:hAnsiTheme="majorBidi" w:cstheme="majorBidi"/>
          <w:szCs w:val="22"/>
          <w:lang w:val="lt-LT" w:bidi="he-IL"/>
        </w:rPr>
        <w:sym w:font="Symbol" w:char="F062"/>
      </w:r>
      <w:r w:rsidRPr="004C5B03">
        <w:rPr>
          <w:rFonts w:asciiTheme="majorBidi" w:hAnsiTheme="majorBidi" w:cstheme="majorBidi"/>
          <w:szCs w:val="22"/>
          <w:lang w:val="lt-LT" w:bidi="he-IL"/>
        </w:rPr>
        <w:t>-estradiolio pusinio skilimo laikas yra apie 25 valandos. Kraujyje jis cirkuliuoja susijungęs su lytinius hormonus surišančiu globulinu (37</w:t>
      </w:r>
      <w:r w:rsidRPr="004C5B03">
        <w:rPr>
          <w:rFonts w:asciiTheme="majorBidi" w:hAnsiTheme="majorBidi" w:cstheme="majorBidi"/>
          <w:szCs w:val="22"/>
          <w:lang w:val="lt-LT" w:bidi="he-IL"/>
        </w:rPr>
        <w:sym w:font="Symbol" w:char="F025"/>
      </w:r>
      <w:r w:rsidRPr="004C5B03">
        <w:rPr>
          <w:rFonts w:asciiTheme="majorBidi" w:hAnsiTheme="majorBidi" w:cstheme="majorBidi"/>
          <w:szCs w:val="22"/>
          <w:lang w:val="lt-LT" w:bidi="he-IL"/>
        </w:rPr>
        <w:t>) bei su albuminu (61</w:t>
      </w:r>
      <w:r w:rsidRPr="004C5B03">
        <w:rPr>
          <w:rFonts w:asciiTheme="majorBidi" w:hAnsiTheme="majorBidi" w:cstheme="majorBidi"/>
          <w:szCs w:val="22"/>
          <w:lang w:val="lt-LT" w:bidi="he-IL"/>
        </w:rPr>
        <w:sym w:font="Symbol" w:char="F025"/>
      </w:r>
      <w:r w:rsidRPr="004C5B03">
        <w:rPr>
          <w:rFonts w:asciiTheme="majorBidi" w:hAnsiTheme="majorBidi" w:cstheme="majorBidi"/>
          <w:szCs w:val="22"/>
          <w:lang w:val="lt-LT" w:bidi="he-IL"/>
        </w:rPr>
        <w:t>), ir tik 1 – 2</w:t>
      </w:r>
      <w:r w:rsidRPr="004C5B03">
        <w:rPr>
          <w:rFonts w:asciiTheme="majorBidi" w:hAnsiTheme="majorBidi" w:cstheme="majorBidi"/>
          <w:szCs w:val="22"/>
          <w:lang w:val="lt-LT" w:bidi="he-IL"/>
        </w:rPr>
        <w:sym w:font="Symbol" w:char="F025"/>
      </w:r>
      <w:r w:rsidRPr="004C5B03">
        <w:rPr>
          <w:rFonts w:asciiTheme="majorBidi" w:hAnsiTheme="majorBidi" w:cstheme="majorBidi"/>
          <w:szCs w:val="22"/>
          <w:lang w:val="lt-LT" w:bidi="he-IL"/>
        </w:rPr>
        <w:t xml:space="preserve"> jo yra nesurišto. Didžioji dalis 17</w:t>
      </w:r>
      <w:r w:rsidRPr="004C5B03">
        <w:rPr>
          <w:rFonts w:asciiTheme="majorBidi" w:hAnsiTheme="majorBidi" w:cstheme="majorBidi"/>
          <w:szCs w:val="22"/>
          <w:lang w:val="lt-LT" w:bidi="he-IL"/>
        </w:rPr>
        <w:sym w:font="Symbol" w:char="F062"/>
      </w:r>
      <w:r w:rsidRPr="004C5B03">
        <w:rPr>
          <w:rFonts w:asciiTheme="majorBidi" w:hAnsiTheme="majorBidi" w:cstheme="majorBidi"/>
          <w:szCs w:val="22"/>
          <w:lang w:val="lt-LT" w:bidi="he-IL"/>
        </w:rPr>
        <w:t>-estradiolio metabolizuojama kepenyse bei žarnyne, dalis jo metabolizuojama ir organuose-taikiniuose, kur susidaro mažiau aktyvūs arba neaktyvūs metabolitai – estronas, katecholestrogenai ir keletas estrogensulfatų bei estrogengliukuronidų. Estrogenai išsiskiria su tulžimi, jie yra hidrolizuojami ir reabsorbuojami (enterohepatinė cirkuliacija), daugiausia jie pašalinami su šlapimu, biologiškai neaktyvios formos.</w:t>
      </w:r>
    </w:p>
    <w:p w14:paraId="201FAFE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AACFAC0"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Išgertas noretisterono acetatas greitai absorbuojamas ir transformuojamas į noretisteroną. Jis patenka į pirminį metabolizmo ratą kepenyse ir kituose virškinimo organuose; išgėrus 1 mg, po 1 valandos pasiekiama didžiausia jo koncentracija kraujo plazmoje – apie 9 ng/ml (nuo 6 iki 11 ng/ml). Plotas po kreive (AUC</w:t>
      </w:r>
      <w:r w:rsidRPr="004C5B03">
        <w:rPr>
          <w:rFonts w:asciiTheme="majorBidi" w:hAnsiTheme="majorBidi" w:cstheme="majorBidi"/>
          <w:szCs w:val="22"/>
          <w:vertAlign w:val="subscript"/>
          <w:lang w:val="lt-LT" w:bidi="he-IL"/>
        </w:rPr>
        <w:t>(0-tz)</w:t>
      </w:r>
      <w:r w:rsidRPr="004C5B03">
        <w:rPr>
          <w:rFonts w:asciiTheme="majorBidi" w:hAnsiTheme="majorBidi" w:cstheme="majorBidi"/>
          <w:szCs w:val="22"/>
          <w:lang w:val="lt-LT" w:bidi="he-IL"/>
        </w:rPr>
        <w:t>) yra 29 h x pg/ml. Galutinis noretisterono pusinio skilimo laikas yra apie 10 valandų. Noretisteronas susijungia su lytinius hormonus surišančiu globulinu (36</w:t>
      </w:r>
      <w:r w:rsidRPr="004C5B03">
        <w:rPr>
          <w:rFonts w:asciiTheme="majorBidi" w:hAnsiTheme="majorBidi" w:cstheme="majorBidi"/>
          <w:szCs w:val="22"/>
          <w:lang w:val="lt-LT" w:bidi="he-IL"/>
        </w:rPr>
        <w:sym w:font="Symbol" w:char="F025"/>
      </w:r>
      <w:r w:rsidRPr="004C5B03">
        <w:rPr>
          <w:rFonts w:asciiTheme="majorBidi" w:hAnsiTheme="majorBidi" w:cstheme="majorBidi"/>
          <w:szCs w:val="22"/>
          <w:lang w:val="lt-LT" w:bidi="he-IL"/>
        </w:rPr>
        <w:t>) bei su albuminu (61</w:t>
      </w:r>
      <w:r w:rsidRPr="004C5B03">
        <w:rPr>
          <w:rFonts w:asciiTheme="majorBidi" w:hAnsiTheme="majorBidi" w:cstheme="majorBidi"/>
          <w:szCs w:val="22"/>
          <w:lang w:val="lt-LT" w:bidi="he-IL"/>
        </w:rPr>
        <w:sym w:font="Symbol" w:char="F025"/>
      </w:r>
      <w:r w:rsidRPr="004C5B03">
        <w:rPr>
          <w:rFonts w:asciiTheme="majorBidi" w:hAnsiTheme="majorBidi" w:cstheme="majorBidi"/>
          <w:szCs w:val="22"/>
          <w:lang w:val="lt-LT" w:bidi="he-IL"/>
        </w:rPr>
        <w:t>). Svarbiausi jo metabolitai yra izomerai - 5</w:t>
      </w:r>
      <w:r w:rsidRPr="004C5B03">
        <w:rPr>
          <w:rFonts w:asciiTheme="majorBidi" w:hAnsiTheme="majorBidi" w:cstheme="majorBidi"/>
          <w:szCs w:val="22"/>
          <w:lang w:val="lt-LT" w:bidi="he-IL"/>
        </w:rPr>
        <w:sym w:font="Symbol" w:char="F061"/>
      </w:r>
      <w:r w:rsidRPr="004C5B03">
        <w:rPr>
          <w:rFonts w:asciiTheme="majorBidi" w:hAnsiTheme="majorBidi" w:cstheme="majorBidi"/>
          <w:szCs w:val="22"/>
          <w:lang w:val="lt-LT" w:bidi="he-IL"/>
        </w:rPr>
        <w:t xml:space="preserve">-dihidronoretisteronas ir tetrahidronoretisteronas, kurie išsiskiria daugiausia su šlapimu sulfatų arba gliukuronidų pavidalu. </w:t>
      </w:r>
    </w:p>
    <w:p w14:paraId="591C87E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6971910"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Noretisterono acetatas neveikia estradiolio farmakokinetikos.</w:t>
      </w:r>
    </w:p>
    <w:p w14:paraId="5DA95AB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50A31DD"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Vaistinio preparato farmakokinetinės savybės  vyresnių žmonių organizme nebuvo tirtos.</w:t>
      </w:r>
    </w:p>
    <w:p w14:paraId="3327D02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968BB4A" w14:textId="77777777" w:rsidR="004C5B03" w:rsidRPr="004C5B03" w:rsidRDefault="004C5B03" w:rsidP="004C5B03">
      <w:pPr>
        <w:numPr>
          <w:ilvl w:val="1"/>
          <w:numId w:val="15"/>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Ikiklinikinių saugumo tyrimų duomenys</w:t>
      </w:r>
    </w:p>
    <w:p w14:paraId="61E5C0ED"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4627230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Atliekant eksperimentus su gyvūnais nustatyta, kad estradiolis ir noretisterono acetatas pasižymi žinomu estrogenų ir progestagenų poveikiu. Atliekant ikiklinikinius tyrimus, kurių metu tirtas vaistinio preparato toksinis poveikis reprodukcinei sistemai, ypač embriotoksinis poveikis bei urogenitalinės sistemos vystymosi anomalijos, abi medžiagos sukėlė nepageidaujamą poveikį. Aptariant kitą ikiklinikinių tyrimų metu nustatytą nepageidaujamą poveikį, estradiolio ir noretisterono acetato toksinės savybės yra gerai žinomos; nepastebėta kito ypatingo poveikio žmogui, išskyrus tą, kuris nurodytas kituose preparato charakteristikų santraukos skyriuose ir kuris apskritai būdingas taikant pakaitinę hormonų terapiją.</w:t>
      </w:r>
    </w:p>
    <w:p w14:paraId="6677C91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C695EE1"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1699F14"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6.</w:t>
      </w:r>
      <w:r w:rsidRPr="004C5B03">
        <w:rPr>
          <w:rFonts w:asciiTheme="majorBidi" w:hAnsiTheme="majorBidi" w:cstheme="majorBidi"/>
          <w:b/>
          <w:szCs w:val="22"/>
          <w:lang w:val="lt-LT" w:bidi="he-IL"/>
        </w:rPr>
        <w:tab/>
        <w:t>FARMACINĖ INFORMACIJA</w:t>
      </w:r>
    </w:p>
    <w:p w14:paraId="1C0884B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DD8B1D5" w14:textId="77777777" w:rsidR="004C5B03" w:rsidRPr="004C5B03" w:rsidRDefault="004C5B03" w:rsidP="004C5B03">
      <w:pPr>
        <w:numPr>
          <w:ilvl w:val="1"/>
          <w:numId w:val="16"/>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Pagalbinių medžiagų sąrašas</w:t>
      </w:r>
    </w:p>
    <w:p w14:paraId="4D2AFF30"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058CA0DE" w14:textId="77777777" w:rsidR="004C5B03" w:rsidRPr="006E2C36" w:rsidRDefault="004C5B03" w:rsidP="004C5B03">
      <w:pPr>
        <w:tabs>
          <w:tab w:val="clear" w:pos="567"/>
        </w:tabs>
        <w:suppressAutoHyphens w:val="0"/>
        <w:rPr>
          <w:rFonts w:asciiTheme="majorBidi" w:hAnsiTheme="majorBidi" w:cstheme="majorBidi"/>
          <w:szCs w:val="22"/>
          <w:u w:val="single"/>
          <w:lang w:val="lt-LT" w:bidi="he-IL"/>
        </w:rPr>
      </w:pPr>
      <w:r w:rsidRPr="006E2C36">
        <w:rPr>
          <w:rFonts w:asciiTheme="majorBidi" w:hAnsiTheme="majorBidi" w:cstheme="majorBidi"/>
          <w:szCs w:val="22"/>
          <w:u w:val="single"/>
          <w:lang w:val="lt-LT" w:bidi="he-IL"/>
        </w:rPr>
        <w:t>Baltų ir raudonų tablečių sudėtyje yra:</w:t>
      </w:r>
    </w:p>
    <w:p w14:paraId="7F04229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Laktozės monohidrato</w:t>
      </w:r>
    </w:p>
    <w:p w14:paraId="5CB0C331"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Kukurūzų krakmolo</w:t>
      </w:r>
    </w:p>
    <w:p w14:paraId="043D06D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Hidroksipropilceliuliozės</w:t>
      </w:r>
    </w:p>
    <w:p w14:paraId="343C505B"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Talko</w:t>
      </w:r>
    </w:p>
    <w:p w14:paraId="08E37C44"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Magnio stearato</w:t>
      </w:r>
    </w:p>
    <w:p w14:paraId="1A2301F1"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C0E27BB" w14:textId="50BFC96C" w:rsidR="004C5B03" w:rsidRPr="00754FCE" w:rsidRDefault="00754FCE" w:rsidP="004C5B03">
      <w:pPr>
        <w:tabs>
          <w:tab w:val="clear" w:pos="567"/>
        </w:tabs>
        <w:suppressAutoHyphens w:val="0"/>
        <w:rPr>
          <w:rFonts w:asciiTheme="majorBidi" w:hAnsiTheme="majorBidi" w:cstheme="majorBidi"/>
          <w:szCs w:val="22"/>
          <w:u w:val="single"/>
          <w:lang w:val="lt-LT" w:bidi="he-IL"/>
        </w:rPr>
      </w:pPr>
      <w:r w:rsidRPr="00754FCE">
        <w:rPr>
          <w:rFonts w:asciiTheme="majorBidi" w:hAnsiTheme="majorBidi" w:cstheme="majorBidi"/>
          <w:szCs w:val="22"/>
          <w:u w:val="single"/>
          <w:lang w:val="lt-LT" w:bidi="he-IL"/>
        </w:rPr>
        <w:t>Tabletės p</w:t>
      </w:r>
      <w:r w:rsidR="004C5B03" w:rsidRPr="00754FCE">
        <w:rPr>
          <w:rFonts w:asciiTheme="majorBidi" w:hAnsiTheme="majorBidi" w:cstheme="majorBidi"/>
          <w:szCs w:val="22"/>
          <w:u w:val="single"/>
          <w:lang w:val="lt-LT" w:bidi="he-IL"/>
        </w:rPr>
        <w:t>lėvelė</w:t>
      </w:r>
    </w:p>
    <w:p w14:paraId="56171F14"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lang w:val="lt-LT" w:bidi="he-IL"/>
        </w:rPr>
        <w:t>Balta plėvele dengtos tabletės:</w:t>
      </w:r>
      <w:r w:rsidRPr="004C5B03">
        <w:rPr>
          <w:rFonts w:asciiTheme="majorBidi" w:hAnsiTheme="majorBidi" w:cstheme="majorBidi"/>
          <w:szCs w:val="22"/>
          <w:u w:val="single"/>
          <w:lang w:val="lt-LT" w:bidi="he-IL"/>
        </w:rPr>
        <w:t xml:space="preserve"> </w:t>
      </w:r>
    </w:p>
    <w:p w14:paraId="50101C8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Hipromeliozė, triacetinas ir talkas.</w:t>
      </w:r>
    </w:p>
    <w:p w14:paraId="152448B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C06086B"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Raudona plėvele dengtos tabletės:</w:t>
      </w:r>
    </w:p>
    <w:p w14:paraId="7E7DC15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Hipromeliozė, raudonasis geležies oksidas (E-172), titano dioksidas (E-171), propilenglikolis ir talkas.</w:t>
      </w:r>
    </w:p>
    <w:p w14:paraId="396F29F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8A95F83" w14:textId="77777777" w:rsidR="004C5B03" w:rsidRPr="004C5B03" w:rsidRDefault="004C5B03" w:rsidP="004C5B03">
      <w:pPr>
        <w:numPr>
          <w:ilvl w:val="1"/>
          <w:numId w:val="16"/>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lastRenderedPageBreak/>
        <w:t>Nesuderinamumas</w:t>
      </w:r>
    </w:p>
    <w:p w14:paraId="14C217A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513480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Duomenys nebūtini.</w:t>
      </w:r>
    </w:p>
    <w:p w14:paraId="7FBFEC6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0DCB83C" w14:textId="77777777" w:rsidR="004C5B03" w:rsidRPr="004C5B03" w:rsidRDefault="004C5B03" w:rsidP="004C5B03">
      <w:pPr>
        <w:numPr>
          <w:ilvl w:val="1"/>
          <w:numId w:val="16"/>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Tinkamumo laikas</w:t>
      </w:r>
    </w:p>
    <w:p w14:paraId="2E948BA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3BF0FF8" w14:textId="689F1351"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3</w:t>
      </w:r>
      <w:r w:rsidR="0011675D"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metai.</w:t>
      </w:r>
    </w:p>
    <w:p w14:paraId="23D44AD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247DC9B" w14:textId="77777777" w:rsidR="004C5B03" w:rsidRPr="004C5B03" w:rsidRDefault="004C5B03" w:rsidP="004C5B03">
      <w:pPr>
        <w:numPr>
          <w:ilvl w:val="1"/>
          <w:numId w:val="16"/>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Specialios laikymo sąlygos</w:t>
      </w:r>
    </w:p>
    <w:p w14:paraId="39E6F4D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C4CE6F0"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Laikyti ne aukštesnėje kaip 25</w:t>
      </w:r>
      <w:r w:rsidRPr="004C5B03">
        <w:rPr>
          <w:rFonts w:asciiTheme="majorBidi" w:hAnsiTheme="majorBidi" w:cstheme="majorBidi"/>
          <w:szCs w:val="22"/>
          <w:lang w:val="lt-LT" w:bidi="he-IL"/>
        </w:rPr>
        <w:sym w:font="Symbol" w:char="F0B0"/>
      </w:r>
      <w:r w:rsidRPr="004C5B03">
        <w:rPr>
          <w:rFonts w:asciiTheme="majorBidi" w:hAnsiTheme="majorBidi" w:cstheme="majorBidi"/>
          <w:szCs w:val="22"/>
          <w:lang w:val="lt-LT" w:bidi="he-IL"/>
        </w:rPr>
        <w:t>C temperatūroje. Negalima užšaldyti. Talpyklę laikyti išorinėje dėžutėje, kad preparatas būtų apsaugotas nuo šviesos.</w:t>
      </w:r>
    </w:p>
    <w:p w14:paraId="5D44782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6C1560B" w14:textId="77777777" w:rsidR="004C5B03" w:rsidRPr="004C5B03" w:rsidRDefault="004C5B03" w:rsidP="004C5B03">
      <w:pPr>
        <w:numPr>
          <w:ilvl w:val="1"/>
          <w:numId w:val="16"/>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Pakuotė ir jos turinys</w:t>
      </w:r>
    </w:p>
    <w:p w14:paraId="620EA57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6EF5671" w14:textId="6CB35530"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w:t>
      </w:r>
      <w:r w:rsidR="001D6AB8">
        <w:rPr>
          <w:rFonts w:asciiTheme="majorBidi" w:hAnsiTheme="majorBidi" w:cstheme="majorBidi"/>
          <w:szCs w:val="22"/>
          <w:lang w:val="lt-LT" w:bidi="he-IL"/>
        </w:rPr>
        <w:t> </w:t>
      </w:r>
      <w:r w:rsidRPr="004C5B03">
        <w:rPr>
          <w:rFonts w:asciiTheme="majorBidi" w:hAnsiTheme="majorBidi" w:cstheme="majorBidi"/>
          <w:szCs w:val="22"/>
          <w:lang w:val="lt-LT" w:bidi="he-IL"/>
        </w:rPr>
        <w:sym w:font="Symbol" w:char="F0B4"/>
      </w:r>
      <w:r w:rsidR="001D6AB8">
        <w:rPr>
          <w:rFonts w:asciiTheme="majorBidi" w:hAnsiTheme="majorBidi" w:cstheme="majorBidi"/>
          <w:szCs w:val="22"/>
          <w:lang w:val="lt-LT" w:bidi="he-IL"/>
        </w:rPr>
        <w:t> </w:t>
      </w:r>
      <w:r w:rsidRPr="004C5B03">
        <w:rPr>
          <w:rFonts w:asciiTheme="majorBidi" w:hAnsiTheme="majorBidi" w:cstheme="majorBidi"/>
          <w:szCs w:val="22"/>
          <w:lang w:val="lt-LT" w:bidi="he-IL"/>
        </w:rPr>
        <w:t>28 arba 3</w:t>
      </w:r>
      <w:r w:rsidR="001D6AB8">
        <w:rPr>
          <w:rFonts w:asciiTheme="majorBidi" w:hAnsiTheme="majorBidi" w:cstheme="majorBidi"/>
          <w:szCs w:val="22"/>
          <w:lang w:val="lt-LT" w:bidi="he-IL"/>
        </w:rPr>
        <w:t> </w:t>
      </w:r>
      <w:r w:rsidRPr="004C5B03">
        <w:rPr>
          <w:rFonts w:asciiTheme="majorBidi" w:hAnsiTheme="majorBidi" w:cstheme="majorBidi"/>
          <w:szCs w:val="22"/>
          <w:lang w:val="lt-LT" w:bidi="he-IL"/>
        </w:rPr>
        <w:sym w:font="Symbol" w:char="F0B4"/>
      </w:r>
      <w:r w:rsidR="001D6AB8">
        <w:rPr>
          <w:rFonts w:asciiTheme="majorBidi" w:hAnsiTheme="majorBidi" w:cstheme="majorBidi"/>
          <w:szCs w:val="22"/>
          <w:lang w:val="lt-LT" w:bidi="he-IL"/>
        </w:rPr>
        <w:t> </w:t>
      </w:r>
      <w:r w:rsidRPr="004C5B03">
        <w:rPr>
          <w:rFonts w:asciiTheme="majorBidi" w:hAnsiTheme="majorBidi" w:cstheme="majorBidi"/>
          <w:szCs w:val="22"/>
          <w:lang w:val="lt-LT" w:bidi="he-IL"/>
        </w:rPr>
        <w:t>28 tabletės kalendorinėse disko pakuotėse.</w:t>
      </w:r>
    </w:p>
    <w:p w14:paraId="06D4297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4464EE2" w14:textId="16E336D9"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Kalendorinė disko pakuotė su 28</w:t>
      </w:r>
      <w:r w:rsidR="001D6AB8">
        <w:rPr>
          <w:rFonts w:asciiTheme="majorBidi" w:hAnsiTheme="majorBidi" w:cstheme="majorBidi"/>
          <w:szCs w:val="22"/>
          <w:lang w:val="lt-LT" w:bidi="he-IL"/>
        </w:rPr>
        <w:t> </w:t>
      </w:r>
      <w:r w:rsidRPr="004C5B03">
        <w:rPr>
          <w:rFonts w:asciiTheme="majorBidi" w:hAnsiTheme="majorBidi" w:cstheme="majorBidi"/>
          <w:szCs w:val="22"/>
          <w:lang w:val="lt-LT" w:bidi="he-IL"/>
        </w:rPr>
        <w:t>tabletėmis susideda iš 3</w:t>
      </w:r>
      <w:r w:rsidR="001D6AB8">
        <w:rPr>
          <w:rFonts w:asciiTheme="majorBidi" w:hAnsiTheme="majorBidi" w:cstheme="majorBidi"/>
          <w:szCs w:val="22"/>
          <w:lang w:val="lt-LT" w:bidi="he-IL"/>
        </w:rPr>
        <w:t> </w:t>
      </w:r>
      <w:r w:rsidRPr="004C5B03">
        <w:rPr>
          <w:rFonts w:asciiTheme="majorBidi" w:hAnsiTheme="majorBidi" w:cstheme="majorBidi"/>
          <w:szCs w:val="22"/>
          <w:lang w:val="lt-LT" w:bidi="he-IL"/>
        </w:rPr>
        <w:t>dalių:</w:t>
      </w:r>
    </w:p>
    <w:p w14:paraId="684CF97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w:t>
      </w:r>
      <w:r w:rsidRPr="004C5B03">
        <w:rPr>
          <w:rFonts w:asciiTheme="majorBidi" w:hAnsiTheme="majorBidi" w:cstheme="majorBidi"/>
          <w:szCs w:val="22"/>
          <w:lang w:val="lt-LT" w:bidi="he-IL"/>
        </w:rPr>
        <w:tab/>
        <w:t>Pagrindo iš spalvoto neskaidraus polipropileno</w:t>
      </w:r>
    </w:p>
    <w:p w14:paraId="6C0BEB8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w:t>
      </w:r>
      <w:r w:rsidRPr="004C5B03">
        <w:rPr>
          <w:rFonts w:asciiTheme="majorBidi" w:hAnsiTheme="majorBidi" w:cstheme="majorBidi"/>
          <w:szCs w:val="22"/>
          <w:lang w:val="lt-LT" w:bidi="he-IL"/>
        </w:rPr>
        <w:tab/>
        <w:t>Disko formos dangtelio iš skaidraus polistireno</w:t>
      </w:r>
    </w:p>
    <w:p w14:paraId="20577FF3"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w:t>
      </w:r>
      <w:r w:rsidRPr="004C5B03">
        <w:rPr>
          <w:rFonts w:asciiTheme="majorBidi" w:hAnsiTheme="majorBidi" w:cstheme="majorBidi"/>
          <w:szCs w:val="22"/>
          <w:lang w:val="lt-LT" w:bidi="he-IL"/>
        </w:rPr>
        <w:tab/>
        <w:t>Centrinės skalės iš spalvoto neskaidraus polistireno</w:t>
      </w:r>
    </w:p>
    <w:p w14:paraId="57D441F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4F2FBB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Gali būti tiekiamos ne visų dydžių pakuotės.</w:t>
      </w:r>
    </w:p>
    <w:p w14:paraId="78AF7FA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FC14A9C" w14:textId="77777777" w:rsidR="004C5B03" w:rsidRPr="004C5B03" w:rsidRDefault="004C5B03" w:rsidP="004C5B03">
      <w:pPr>
        <w:numPr>
          <w:ilvl w:val="1"/>
          <w:numId w:val="16"/>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Specialūs reikalavimai atliekoms tvarkyti ir vaistiniam preparatui ruošti</w:t>
      </w:r>
    </w:p>
    <w:p w14:paraId="3558492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6FBD243"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Nesuvartotą vaistinį preparatą ar atliekas reikia tvarkyti laikantis vietinių reikalavimų.</w:t>
      </w:r>
    </w:p>
    <w:p w14:paraId="55BE0D6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71644E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C5E02C6" w14:textId="77777777" w:rsidR="004C5B03" w:rsidRPr="004C5B03" w:rsidRDefault="004C5B03" w:rsidP="004C5B03">
      <w:pPr>
        <w:numPr>
          <w:ilvl w:val="0"/>
          <w:numId w:val="20"/>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 xml:space="preserve">REGISTRUOTOJAS </w:t>
      </w:r>
    </w:p>
    <w:p w14:paraId="2D9D29E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15CE001"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Novo Nordisk A/S, </w:t>
      </w:r>
    </w:p>
    <w:p w14:paraId="630A4779"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 Alle</w:t>
      </w:r>
    </w:p>
    <w:p w14:paraId="1C64E73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DK-2880 Bagsvaerd</w:t>
      </w:r>
    </w:p>
    <w:p w14:paraId="6608053F"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Danija</w:t>
      </w:r>
    </w:p>
    <w:p w14:paraId="5CBE25E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5C16EA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8BEE50A" w14:textId="77777777" w:rsidR="004C5B03" w:rsidRPr="004C5B03" w:rsidRDefault="004C5B03" w:rsidP="004C5B03">
      <w:pPr>
        <w:numPr>
          <w:ilvl w:val="0"/>
          <w:numId w:val="20"/>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REGISTRACIJOS PAŽYMĖJIMO NUMERIS (-IAI)</w:t>
      </w:r>
    </w:p>
    <w:p w14:paraId="7E65B1C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E6331BC" w14:textId="77777777" w:rsidR="004C5B03" w:rsidRPr="005265C0" w:rsidRDefault="004C5B03" w:rsidP="004C5B03">
      <w:pPr>
        <w:tabs>
          <w:tab w:val="clear" w:pos="567"/>
        </w:tabs>
        <w:suppressAutoHyphens w:val="0"/>
        <w:rPr>
          <w:rFonts w:asciiTheme="majorBidi" w:hAnsiTheme="majorBidi" w:cstheme="majorBidi"/>
          <w:szCs w:val="22"/>
          <w:highlight w:val="lightGray"/>
          <w:lang w:val="lt-LT" w:bidi="he-IL"/>
        </w:rPr>
      </w:pPr>
      <w:r w:rsidRPr="005265C0">
        <w:rPr>
          <w:rFonts w:asciiTheme="majorBidi" w:hAnsiTheme="majorBidi" w:cstheme="majorBidi"/>
          <w:szCs w:val="22"/>
          <w:highlight w:val="lightGray"/>
          <w:lang w:val="lt-LT" w:bidi="he-IL"/>
        </w:rPr>
        <w:t>N1x28 – LT/1/05/0316/001</w:t>
      </w:r>
    </w:p>
    <w:p w14:paraId="5E77C38D"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5265C0">
        <w:rPr>
          <w:rFonts w:asciiTheme="majorBidi" w:hAnsiTheme="majorBidi" w:cstheme="majorBidi"/>
          <w:szCs w:val="22"/>
          <w:highlight w:val="lightGray"/>
          <w:lang w:val="lt-LT" w:bidi="he-IL"/>
        </w:rPr>
        <w:t>N3x28 – LT/1/05/0316/002</w:t>
      </w:r>
    </w:p>
    <w:p w14:paraId="3395D24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5B12119"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74F891C" w14:textId="77777777" w:rsidR="004C5B03" w:rsidRPr="004C5B03" w:rsidRDefault="004C5B03" w:rsidP="004C5B03">
      <w:pPr>
        <w:numPr>
          <w:ilvl w:val="0"/>
          <w:numId w:val="20"/>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 xml:space="preserve">REGISTRAVIMO / PERREGISTRAVIMO </w:t>
      </w:r>
      <w:smartTag w:uri="urn:schemas-microsoft-com:office:smarttags" w:element="stockticker">
        <w:r w:rsidRPr="004C5B03">
          <w:rPr>
            <w:rFonts w:asciiTheme="majorBidi" w:hAnsiTheme="majorBidi" w:cstheme="majorBidi"/>
            <w:b/>
            <w:szCs w:val="22"/>
            <w:lang w:val="lt-LT" w:bidi="he-IL"/>
          </w:rPr>
          <w:t>DATA</w:t>
        </w:r>
      </w:smartTag>
    </w:p>
    <w:p w14:paraId="514BC68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30BC3D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Registravimo data 2005 m. spalio mėn. 20 d.</w:t>
      </w:r>
    </w:p>
    <w:p w14:paraId="5565F689"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Paskutinio perregistravimo data 2007 m. vasario mėn. 22 d.</w:t>
      </w:r>
    </w:p>
    <w:p w14:paraId="43AFCC4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A3C5F7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92811E2" w14:textId="77777777" w:rsidR="004C5B03" w:rsidRPr="004C5B03" w:rsidRDefault="004C5B03" w:rsidP="004C5B03">
      <w:pPr>
        <w:numPr>
          <w:ilvl w:val="0"/>
          <w:numId w:val="20"/>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 xml:space="preserve">TEKSTO PERŽIŪROS </w:t>
      </w:r>
      <w:smartTag w:uri="urn:schemas-microsoft-com:office:smarttags" w:element="stockticker">
        <w:r w:rsidRPr="004C5B03">
          <w:rPr>
            <w:rFonts w:asciiTheme="majorBidi" w:hAnsiTheme="majorBidi" w:cstheme="majorBidi"/>
            <w:b/>
            <w:szCs w:val="22"/>
            <w:lang w:val="lt-LT" w:bidi="he-IL"/>
          </w:rPr>
          <w:t>DATA</w:t>
        </w:r>
      </w:smartTag>
    </w:p>
    <w:p w14:paraId="6142CBE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A95AE6B" w14:textId="25BBDABB" w:rsidR="004C5B03" w:rsidRPr="004C5B03" w:rsidRDefault="000A47BB" w:rsidP="004C5B03">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2024 m. rugsėjo 25 d.</w:t>
      </w:r>
    </w:p>
    <w:p w14:paraId="3B51139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06A5896" w14:textId="32C2FEBE" w:rsidR="007A3818"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Išsami informacija apie šį vaistinį preparatą pateikiama Valstybinės vaistų kontrolės tarnybos prie Lietuvos Respublikos sveikatos apsaugos ministerijos tinklalapyje</w:t>
      </w:r>
      <w:r w:rsidRPr="004C5B03">
        <w:rPr>
          <w:rFonts w:asciiTheme="majorBidi" w:hAnsiTheme="majorBidi" w:cstheme="majorBidi"/>
          <w:i/>
          <w:szCs w:val="22"/>
          <w:lang w:val="lt-LT" w:bidi="he-IL"/>
        </w:rPr>
        <w:t xml:space="preserve"> </w:t>
      </w:r>
      <w:hyperlink r:id="rId8" w:history="1">
        <w:r w:rsidR="000E65C3" w:rsidRPr="000E65C3">
          <w:rPr>
            <w:rStyle w:val="Hipersaitas"/>
            <w:rFonts w:asciiTheme="majorBidi" w:hAnsiTheme="majorBidi" w:cstheme="majorBidi"/>
            <w:sz w:val="22"/>
            <w:szCs w:val="22"/>
            <w:lang w:val="lt-LT" w:bidi="he-IL"/>
          </w:rPr>
          <w:t>http://vvkt.lrv.lt</w:t>
        </w:r>
      </w:hyperlink>
    </w:p>
    <w:p w14:paraId="6E37724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AD53134"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5FCD995D"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6D818031"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1C1FB7DD"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07DD47AB"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4F132F4E"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2E0AA86A"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69EBC59E"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150939CF"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1DFB73E5"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5299ECC9"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761DB7A1"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6D1A88CE"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2DFF47A4"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356C1B59"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0F61E4BA"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39905A4F"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71E55F04"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077AFFE3"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14B75C71"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59621EA3"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243E26E9"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7F678E5C"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42CD57D5"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r w:rsidRPr="004C5B03">
        <w:rPr>
          <w:rFonts w:asciiTheme="majorBidi" w:hAnsiTheme="majorBidi" w:cstheme="majorBidi"/>
          <w:b/>
          <w:szCs w:val="22"/>
          <w:lang w:val="lt-LT" w:bidi="he-IL"/>
        </w:rPr>
        <w:t>II PRIEDAS</w:t>
      </w:r>
    </w:p>
    <w:p w14:paraId="5AAF5C52"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14759CBE"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r w:rsidRPr="004C5B03">
        <w:rPr>
          <w:rFonts w:asciiTheme="majorBidi" w:hAnsiTheme="majorBidi" w:cstheme="majorBidi"/>
          <w:b/>
          <w:szCs w:val="22"/>
          <w:lang w:val="lt-LT" w:bidi="he-IL"/>
        </w:rPr>
        <w:t>REGISTRACIJOS SĄLYGOS</w:t>
      </w:r>
    </w:p>
    <w:p w14:paraId="7F0AEE86"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616D9226"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r w:rsidRPr="004C5B03">
        <w:rPr>
          <w:rFonts w:asciiTheme="majorBidi" w:hAnsiTheme="majorBidi" w:cstheme="majorBidi"/>
          <w:b/>
          <w:szCs w:val="22"/>
          <w:lang w:val="lt-LT" w:bidi="he-IL"/>
        </w:rPr>
        <w:t>A.</w:t>
      </w:r>
      <w:r w:rsidRPr="004C5B03">
        <w:rPr>
          <w:rFonts w:asciiTheme="majorBidi" w:hAnsiTheme="majorBidi" w:cstheme="majorBidi"/>
          <w:b/>
          <w:szCs w:val="22"/>
          <w:lang w:val="lt-LT" w:bidi="he-IL"/>
        </w:rPr>
        <w:tab/>
        <w:t>GAMINTOJAS , ATSAKINGAS UŽ SERIJŲ IŠLEIDIMĄ</w:t>
      </w:r>
    </w:p>
    <w:p w14:paraId="438CA53B"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05AB91B8"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r w:rsidRPr="004C5B03">
        <w:rPr>
          <w:rFonts w:asciiTheme="majorBidi" w:hAnsiTheme="majorBidi" w:cstheme="majorBidi"/>
          <w:b/>
          <w:szCs w:val="22"/>
          <w:lang w:val="lt-LT" w:bidi="he-IL"/>
        </w:rPr>
        <w:t>B.</w:t>
      </w:r>
      <w:r w:rsidRPr="004C5B03">
        <w:rPr>
          <w:rFonts w:asciiTheme="majorBidi" w:hAnsiTheme="majorBidi" w:cstheme="majorBidi"/>
          <w:b/>
          <w:szCs w:val="22"/>
          <w:lang w:val="lt-LT" w:bidi="he-IL"/>
        </w:rPr>
        <w:tab/>
        <w:t>TIEKIMO IR VARTOJIMO SĄLYGOS AR APRIBOJIMAI</w:t>
      </w:r>
    </w:p>
    <w:p w14:paraId="2201E5AF"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br w:type="page"/>
      </w:r>
    </w:p>
    <w:p w14:paraId="3DD53A00"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lastRenderedPageBreak/>
        <w:t>A.</w:t>
      </w:r>
      <w:r w:rsidRPr="004C5B03">
        <w:rPr>
          <w:rFonts w:asciiTheme="majorBidi" w:hAnsiTheme="majorBidi" w:cstheme="majorBidi"/>
          <w:b/>
          <w:szCs w:val="22"/>
          <w:lang w:val="lt-LT" w:bidi="he-IL"/>
        </w:rPr>
        <w:tab/>
        <w:t>GAMINTOJAS, ATSAKINGAS UŽ SERIJŲ IŠLEIDIMĄ</w:t>
      </w:r>
    </w:p>
    <w:p w14:paraId="381EDA28"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12A4074D"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Gamintojo, atsakingo už serijų išleidimą, pavadinimas ir adresas</w:t>
      </w:r>
    </w:p>
    <w:p w14:paraId="39B8D57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2E2DEF3"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 Nordisk A/S</w:t>
      </w:r>
    </w:p>
    <w:p w14:paraId="548FCF24"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 Alle</w:t>
      </w:r>
    </w:p>
    <w:p w14:paraId="2C0A8122"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DK-2880 Bagsvaerd</w:t>
      </w:r>
    </w:p>
    <w:p w14:paraId="2A08B2CB"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Danija </w:t>
      </w:r>
    </w:p>
    <w:p w14:paraId="2ABFED7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006A2C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99FD2B6"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B.</w:t>
      </w:r>
      <w:r w:rsidRPr="004C5B03">
        <w:rPr>
          <w:rFonts w:asciiTheme="majorBidi" w:hAnsiTheme="majorBidi" w:cstheme="majorBidi"/>
          <w:b/>
          <w:szCs w:val="22"/>
          <w:lang w:val="lt-LT" w:bidi="he-IL"/>
        </w:rPr>
        <w:tab/>
        <w:t>TIEKIMO IR VARTOJIMO SĄLYGOS AR APRIBOJIMAI</w:t>
      </w:r>
    </w:p>
    <w:p w14:paraId="436353DA"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5494B3D3" w14:textId="5E6C9265"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Receptinis vaistas.</w:t>
      </w:r>
    </w:p>
    <w:p w14:paraId="67C3997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5E44991"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br w:type="page"/>
      </w:r>
    </w:p>
    <w:p w14:paraId="31E734DD"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bookmarkStart w:id="4" w:name="_Toc129243134"/>
      <w:bookmarkStart w:id="5" w:name="_Toc129243259"/>
    </w:p>
    <w:p w14:paraId="0DE3DF6D"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79FF039A"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473A3530"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1F175139"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5C93C8EE"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2C902868"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316ADE5F"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6BE1AC04"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4B90F68F"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134FB560"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73EDED27"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09AFE3BD"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3BC072CC"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6100CB3B"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76818F71"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6368C94D"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45FF7480"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7425310F"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51D7EF21"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63FDA75E"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150AADF2"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55BFECDD"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3EEEACDB"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r w:rsidRPr="004C5B03">
        <w:rPr>
          <w:rFonts w:asciiTheme="majorBidi" w:hAnsiTheme="majorBidi" w:cstheme="majorBidi"/>
          <w:b/>
          <w:szCs w:val="22"/>
          <w:lang w:val="lt-LT" w:bidi="he-IL"/>
        </w:rPr>
        <w:t>III PRIEDAS</w:t>
      </w:r>
    </w:p>
    <w:p w14:paraId="656A2DD7"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356D7A9B"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r w:rsidRPr="004C5B03">
        <w:rPr>
          <w:rFonts w:asciiTheme="majorBidi" w:hAnsiTheme="majorBidi" w:cstheme="majorBidi"/>
          <w:b/>
          <w:szCs w:val="22"/>
          <w:lang w:val="lt-LT" w:bidi="he-IL"/>
        </w:rPr>
        <w:t>ŽENKLINIMAS IR PAKUOTĖS LAPELIS</w:t>
      </w:r>
    </w:p>
    <w:p w14:paraId="44055C8F"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br w:type="page"/>
      </w:r>
    </w:p>
    <w:p w14:paraId="1CBCA208"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0BA0DCB5"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353FD064"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6C2A4E7D"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2E11FA29"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02B6CE57"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3A16921C"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0EEFFFFD"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283C3FCA"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2A67E8AC"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6F55E27A"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4CDE53E9"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0845F993"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7F842D67"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0CCEC0AE"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72C29B37"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2EC97C2D"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02AD931B"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57F13498"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5B7B977E"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2F6F9950"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6759520D"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68AD9B34"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67281BF7" w14:textId="77777777" w:rsidR="004C5B03" w:rsidRPr="004C5B03" w:rsidRDefault="004C5B03" w:rsidP="004C5B03">
      <w:pPr>
        <w:tabs>
          <w:tab w:val="clear" w:pos="567"/>
        </w:tabs>
        <w:suppressAutoHyphens w:val="0"/>
        <w:jc w:val="center"/>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A. ŽENKLINIMAS</w:t>
      </w:r>
    </w:p>
    <w:p w14:paraId="08C5B929"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caps/>
          <w:szCs w:val="22"/>
          <w:lang w:val="lt-LT" w:bidi="he-IL"/>
        </w:rPr>
      </w:pPr>
      <w:r w:rsidRPr="004C5B03">
        <w:rPr>
          <w:rFonts w:asciiTheme="majorBidi" w:hAnsiTheme="majorBidi" w:cstheme="majorBidi"/>
          <w:b/>
          <w:szCs w:val="22"/>
          <w:lang w:val="lt-LT" w:bidi="he-IL"/>
        </w:rPr>
        <w:br w:type="page"/>
      </w:r>
      <w:r w:rsidRPr="004C5B03">
        <w:rPr>
          <w:rFonts w:asciiTheme="majorBidi" w:hAnsiTheme="majorBidi" w:cstheme="majorBidi"/>
          <w:b/>
          <w:caps/>
          <w:szCs w:val="22"/>
          <w:lang w:val="lt-LT" w:bidi="he-IL"/>
        </w:rPr>
        <w:lastRenderedPageBreak/>
        <w:t xml:space="preserve">Informacija </w:t>
      </w:r>
      <w:smartTag w:uri="urn:schemas-microsoft-com:office:smarttags" w:element="stockticker">
        <w:r w:rsidRPr="004C5B03">
          <w:rPr>
            <w:rFonts w:asciiTheme="majorBidi" w:hAnsiTheme="majorBidi" w:cstheme="majorBidi"/>
            <w:b/>
            <w:caps/>
            <w:szCs w:val="22"/>
            <w:lang w:val="lt-LT" w:bidi="he-IL"/>
          </w:rPr>
          <w:t>ant</w:t>
        </w:r>
      </w:smartTag>
      <w:r w:rsidRPr="004C5B03">
        <w:rPr>
          <w:rFonts w:asciiTheme="majorBidi" w:hAnsiTheme="majorBidi" w:cstheme="majorBidi"/>
          <w:b/>
          <w:caps/>
          <w:szCs w:val="22"/>
          <w:lang w:val="lt-LT" w:bidi="he-IL"/>
        </w:rPr>
        <w:t xml:space="preserve"> IŠORINĖS pakuotės</w:t>
      </w:r>
    </w:p>
    <w:p w14:paraId="245D18FC"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caps/>
          <w:szCs w:val="22"/>
          <w:lang w:val="lt-LT" w:bidi="he-IL"/>
        </w:rPr>
      </w:pPr>
    </w:p>
    <w:p w14:paraId="22945324"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caps/>
          <w:szCs w:val="22"/>
          <w:lang w:val="lt-LT" w:bidi="he-IL"/>
        </w:rPr>
      </w:pPr>
      <w:r w:rsidRPr="004C5B03">
        <w:rPr>
          <w:rFonts w:asciiTheme="majorBidi" w:hAnsiTheme="majorBidi" w:cstheme="majorBidi"/>
          <w:b/>
          <w:caps/>
          <w:szCs w:val="22"/>
          <w:lang w:val="lt-LT" w:bidi="he-IL"/>
        </w:rPr>
        <w:t>Kartono dėžutė</w:t>
      </w:r>
    </w:p>
    <w:p w14:paraId="2F464C85"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36F245E3"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076FD874"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1.</w:t>
      </w:r>
      <w:r w:rsidRPr="004C5B03">
        <w:rPr>
          <w:rFonts w:asciiTheme="majorBidi" w:hAnsiTheme="majorBidi" w:cstheme="majorBidi"/>
          <w:b/>
          <w:szCs w:val="22"/>
          <w:lang w:val="lt-LT" w:bidi="he-IL"/>
        </w:rPr>
        <w:tab/>
      </w:r>
      <w:r w:rsidRPr="004C5B03">
        <w:rPr>
          <w:rFonts w:asciiTheme="majorBidi" w:hAnsiTheme="majorBidi" w:cstheme="majorBidi"/>
          <w:b/>
          <w:caps/>
          <w:szCs w:val="22"/>
          <w:lang w:val="lt-LT" w:bidi="he-IL"/>
        </w:rPr>
        <w:t>vaistinio preparato pavadinimas</w:t>
      </w:r>
    </w:p>
    <w:p w14:paraId="68CF9C7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FB1DE76"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Novofem plėvele dengtos tabletės</w:t>
      </w:r>
    </w:p>
    <w:p w14:paraId="65B04A47" w14:textId="3E38BEB3" w:rsidR="004C5B03" w:rsidRPr="004C5B03" w:rsidRDefault="00BA32FE" w:rsidP="004C5B03">
      <w:pPr>
        <w:tabs>
          <w:tab w:val="clear" w:pos="567"/>
        </w:tabs>
        <w:suppressAutoHyphens w:val="0"/>
        <w:rPr>
          <w:rFonts w:asciiTheme="majorBidi" w:eastAsiaTheme="minorHAnsi" w:hAnsiTheme="majorBidi" w:cstheme="majorBidi"/>
          <w:szCs w:val="22"/>
          <w:lang w:val="lt-LT" w:bidi="he-IL"/>
        </w:rPr>
      </w:pPr>
      <w:r>
        <w:rPr>
          <w:rFonts w:asciiTheme="majorBidi" w:hAnsiTheme="majorBidi" w:cstheme="majorBidi"/>
          <w:szCs w:val="22"/>
          <w:lang w:val="lt-LT" w:bidi="he-IL"/>
        </w:rPr>
        <w:t>e</w:t>
      </w:r>
      <w:r w:rsidR="004C5B03" w:rsidRPr="004C5B03">
        <w:rPr>
          <w:rFonts w:asciiTheme="majorBidi" w:hAnsiTheme="majorBidi" w:cstheme="majorBidi"/>
          <w:szCs w:val="22"/>
          <w:lang w:val="lt-LT" w:bidi="he-IL"/>
        </w:rPr>
        <w:t>stradiolis/noretisterono acetatas</w:t>
      </w:r>
    </w:p>
    <w:p w14:paraId="371E77E9"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6EAF1A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E4441A5" w14:textId="7338920D" w:rsidR="004C5B03" w:rsidRPr="006E2C36"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2.</w:t>
      </w:r>
      <w:r w:rsidRPr="004C5B03">
        <w:rPr>
          <w:rFonts w:asciiTheme="majorBidi" w:hAnsiTheme="majorBidi" w:cstheme="majorBidi"/>
          <w:b/>
          <w:szCs w:val="22"/>
          <w:lang w:val="lt-LT" w:bidi="he-IL"/>
        </w:rPr>
        <w:tab/>
        <w:t>VEIKLIOJI MEDŽIAGA IR JOS KIEKIS</w:t>
      </w:r>
    </w:p>
    <w:p w14:paraId="3B972B7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16B2383"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Kiekvienoje raudonoje tabletėje yra 1 mg estradiolio (estradiolio hemihidrato pavidalu).</w:t>
      </w:r>
    </w:p>
    <w:p w14:paraId="763E23AA"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Kiekvienoje baltoje tabletėje yra 1 mg estradiolio (estradiolio hemihidrato pavidalu) ir 1 mg noretisterono acetato.</w:t>
      </w:r>
    </w:p>
    <w:p w14:paraId="48EB311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1C7DED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BBD4FAC" w14:textId="77777777" w:rsidR="004C5B03" w:rsidRPr="00776D50"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caps/>
          <w:szCs w:val="22"/>
          <w:lang w:val="lt-LT" w:bidi="he-IL"/>
        </w:rPr>
      </w:pPr>
      <w:r w:rsidRPr="004C5B03">
        <w:rPr>
          <w:rFonts w:asciiTheme="majorBidi" w:hAnsiTheme="majorBidi" w:cstheme="majorBidi"/>
          <w:b/>
          <w:szCs w:val="22"/>
          <w:lang w:val="lt-LT" w:bidi="he-IL"/>
        </w:rPr>
        <w:t>3.</w:t>
      </w:r>
      <w:r w:rsidRPr="004C5B03">
        <w:rPr>
          <w:rFonts w:asciiTheme="majorBidi" w:hAnsiTheme="majorBidi" w:cstheme="majorBidi"/>
          <w:b/>
          <w:szCs w:val="22"/>
          <w:lang w:val="lt-LT" w:bidi="he-IL"/>
        </w:rPr>
        <w:tab/>
      </w:r>
      <w:r w:rsidRPr="00776D50">
        <w:rPr>
          <w:rFonts w:asciiTheme="majorBidi" w:hAnsiTheme="majorBidi" w:cstheme="majorBidi"/>
          <w:b/>
          <w:caps/>
          <w:szCs w:val="22"/>
          <w:lang w:val="lt-LT" w:bidi="he-IL"/>
        </w:rPr>
        <w:t>pagalbinių medžiagų sąrašas</w:t>
      </w:r>
    </w:p>
    <w:p w14:paraId="58A66AB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358577B"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Sudėtyje yra laktozės monohidrato, žr. pakuotės lapelį.</w:t>
      </w:r>
    </w:p>
    <w:p w14:paraId="6F20C639"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7616FE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00F63E9"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4.</w:t>
      </w:r>
      <w:r w:rsidRPr="004C5B03">
        <w:rPr>
          <w:rFonts w:asciiTheme="majorBidi" w:hAnsiTheme="majorBidi" w:cstheme="majorBidi"/>
          <w:b/>
          <w:szCs w:val="22"/>
          <w:lang w:val="lt-LT" w:bidi="he-IL"/>
        </w:rPr>
        <w:tab/>
        <w:t>FARMACINĖ forma ir KIEKIS PAKUOTĖJE</w:t>
      </w:r>
    </w:p>
    <w:p w14:paraId="7978BDC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81671B6"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 xml:space="preserve">1 x 28 (16 raudonų ir 12 baltų) plėvele dengtos tabletės </w:t>
      </w:r>
    </w:p>
    <w:p w14:paraId="00151FEC"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5265C0">
        <w:rPr>
          <w:rFonts w:asciiTheme="majorBidi" w:hAnsiTheme="majorBidi" w:cstheme="majorBidi"/>
          <w:szCs w:val="22"/>
          <w:highlight w:val="lightGray"/>
          <w:lang w:val="lt-LT" w:bidi="he-IL"/>
        </w:rPr>
        <w:t>3 x 28 (16 raudonų ir 12 baltų) plėvele dengtos tabletės</w:t>
      </w:r>
      <w:r w:rsidRPr="004C5B03">
        <w:rPr>
          <w:rFonts w:asciiTheme="majorBidi" w:hAnsiTheme="majorBidi" w:cstheme="majorBidi"/>
          <w:szCs w:val="22"/>
          <w:lang w:val="lt-LT" w:bidi="he-IL"/>
        </w:rPr>
        <w:t xml:space="preserve"> </w:t>
      </w:r>
    </w:p>
    <w:p w14:paraId="45765B2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894C14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DC70EBE"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5.</w:t>
      </w:r>
      <w:r w:rsidRPr="004C5B03">
        <w:rPr>
          <w:rFonts w:asciiTheme="majorBidi" w:hAnsiTheme="majorBidi" w:cstheme="majorBidi"/>
          <w:b/>
          <w:szCs w:val="22"/>
          <w:lang w:val="lt-LT" w:bidi="he-IL"/>
        </w:rPr>
        <w:tab/>
      </w:r>
      <w:r w:rsidRPr="00776D50">
        <w:rPr>
          <w:rFonts w:asciiTheme="majorBidi" w:hAnsiTheme="majorBidi" w:cstheme="majorBidi"/>
          <w:b/>
          <w:caps/>
          <w:szCs w:val="22"/>
          <w:lang w:val="lt-LT" w:bidi="he-IL"/>
        </w:rPr>
        <w:t>vartojimo METODAS IR būdas</w:t>
      </w:r>
    </w:p>
    <w:p w14:paraId="488D5BF9"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20E4E33"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Vartoti per burną.</w:t>
      </w:r>
    </w:p>
    <w:p w14:paraId="29DAE633"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Prieš vartojimą perskaitykite pakuotės lapelį.</w:t>
      </w:r>
    </w:p>
    <w:p w14:paraId="4DBE0D1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F0A028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E0FCB97"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6.</w:t>
      </w:r>
      <w:r w:rsidRPr="004C5B03">
        <w:rPr>
          <w:rFonts w:asciiTheme="majorBidi" w:hAnsiTheme="majorBidi" w:cstheme="majorBidi"/>
          <w:b/>
          <w:szCs w:val="22"/>
          <w:lang w:val="lt-LT" w:bidi="he-IL"/>
        </w:rPr>
        <w:tab/>
        <w:t>SPECIALUS ĮSPĖJIMAS, KAD VAISTINĮ PREPARATĄ BŪTINA LAIKYTI VAIKAMS NEPASTEBIMOJE IR NEPASIEKIAMOJE VIETOJE</w:t>
      </w:r>
    </w:p>
    <w:p w14:paraId="0F020B7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C7EA321"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Laikyti vaikams nepastebimoje ir nepasiekiamoje vietoje.</w:t>
      </w:r>
    </w:p>
    <w:p w14:paraId="01450D19"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1141EF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BF4F45A"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7.</w:t>
      </w:r>
      <w:r w:rsidRPr="004C5B03">
        <w:rPr>
          <w:rFonts w:asciiTheme="majorBidi" w:hAnsiTheme="majorBidi" w:cstheme="majorBidi"/>
          <w:b/>
          <w:szCs w:val="22"/>
          <w:lang w:val="lt-LT" w:bidi="he-IL"/>
        </w:rPr>
        <w:tab/>
        <w:t>KITAS (-I) SPECIALUS (-ŪS) ĮSPĖJIMAS (-AI) (JEI REIKIA)</w:t>
      </w:r>
    </w:p>
    <w:p w14:paraId="4F4EE0F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019F78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F3A5ABA"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8.</w:t>
      </w:r>
      <w:r w:rsidRPr="004C5B03">
        <w:rPr>
          <w:rFonts w:asciiTheme="majorBidi" w:hAnsiTheme="majorBidi" w:cstheme="majorBidi"/>
          <w:b/>
          <w:szCs w:val="22"/>
          <w:lang w:val="lt-LT" w:bidi="he-IL"/>
        </w:rPr>
        <w:tab/>
      </w:r>
      <w:r w:rsidRPr="00776D50">
        <w:rPr>
          <w:rFonts w:asciiTheme="majorBidi" w:hAnsiTheme="majorBidi" w:cstheme="majorBidi"/>
          <w:b/>
          <w:caps/>
          <w:szCs w:val="22"/>
          <w:lang w:val="lt-LT" w:bidi="he-IL"/>
        </w:rPr>
        <w:t>tinkamumo laikas</w:t>
      </w:r>
    </w:p>
    <w:p w14:paraId="1CB7532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FFD16B8"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EXP:</w:t>
      </w:r>
    </w:p>
    <w:p w14:paraId="6B5D62B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8A1DAF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459AADD"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9.</w:t>
      </w:r>
      <w:r w:rsidRPr="004C5B03">
        <w:rPr>
          <w:rFonts w:asciiTheme="majorBidi" w:hAnsiTheme="majorBidi" w:cstheme="majorBidi"/>
          <w:b/>
          <w:szCs w:val="22"/>
          <w:lang w:val="lt-LT" w:bidi="he-IL"/>
        </w:rPr>
        <w:tab/>
      </w:r>
      <w:r w:rsidRPr="00776D50">
        <w:rPr>
          <w:rFonts w:asciiTheme="majorBidi" w:hAnsiTheme="majorBidi" w:cstheme="majorBidi"/>
          <w:b/>
          <w:caps/>
          <w:szCs w:val="22"/>
          <w:lang w:val="lt-LT" w:bidi="he-IL"/>
        </w:rPr>
        <w:t>SPECIALIOS laikymo sąlygos</w:t>
      </w:r>
    </w:p>
    <w:p w14:paraId="2EFCD39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44E8367"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Laikyti ne aukštesnėje kaip 25</w:t>
      </w:r>
      <w:r w:rsidRPr="004C5B03">
        <w:rPr>
          <w:rFonts w:asciiTheme="majorBidi" w:hAnsiTheme="majorBidi" w:cstheme="majorBidi"/>
          <w:szCs w:val="22"/>
          <w:lang w:val="lt-LT" w:bidi="he-IL"/>
        </w:rPr>
        <w:sym w:font="Symbol" w:char="F0B0"/>
      </w:r>
      <w:r w:rsidRPr="004C5B03">
        <w:rPr>
          <w:rFonts w:asciiTheme="majorBidi" w:hAnsiTheme="majorBidi" w:cstheme="majorBidi"/>
          <w:szCs w:val="22"/>
          <w:lang w:val="lt-LT" w:bidi="he-IL"/>
        </w:rPr>
        <w:t>C temperatūroje. Negalima šaldyti.</w:t>
      </w:r>
    </w:p>
    <w:p w14:paraId="4313D2B2"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lastRenderedPageBreak/>
        <w:t>Talpyklę laikyti išorinėje dėžutėje, kad preparatas būtų apsaugotas nuo šviesos.</w:t>
      </w:r>
    </w:p>
    <w:p w14:paraId="6A86CD0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0757C7C"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10.</w:t>
      </w:r>
      <w:r w:rsidRPr="004C5B03">
        <w:rPr>
          <w:rFonts w:asciiTheme="majorBidi" w:hAnsiTheme="majorBidi" w:cstheme="majorBidi"/>
          <w:b/>
          <w:szCs w:val="22"/>
          <w:lang w:val="lt-LT" w:bidi="he-IL"/>
        </w:rPr>
        <w:tab/>
      </w:r>
      <w:r w:rsidRPr="00776D50">
        <w:rPr>
          <w:rFonts w:asciiTheme="majorBidi" w:hAnsiTheme="majorBidi" w:cstheme="majorBidi"/>
          <w:b/>
          <w:caps/>
          <w:szCs w:val="22"/>
          <w:lang w:val="lt-LT" w:bidi="he-IL"/>
        </w:rPr>
        <w:t>specialios atsargumo priemonės DĖL NESUVARTOTO VAISTINIO PREPARATO AR JO ATLIEKU TVARKYMO (jei reikia)</w:t>
      </w:r>
    </w:p>
    <w:p w14:paraId="4635783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C50ACC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E01BC0B"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11.</w:t>
      </w:r>
      <w:r w:rsidRPr="004C5B03">
        <w:rPr>
          <w:rFonts w:asciiTheme="majorBidi" w:hAnsiTheme="majorBidi" w:cstheme="majorBidi"/>
          <w:b/>
          <w:szCs w:val="22"/>
          <w:lang w:val="lt-LT" w:bidi="he-IL"/>
        </w:rPr>
        <w:tab/>
      </w:r>
      <w:r w:rsidRPr="00776D50">
        <w:rPr>
          <w:rFonts w:asciiTheme="majorBidi" w:hAnsiTheme="majorBidi" w:cstheme="majorBidi"/>
          <w:b/>
          <w:caps/>
          <w:szCs w:val="22"/>
          <w:lang w:val="lt-LT" w:bidi="he-IL"/>
        </w:rPr>
        <w:t>REGISTRUOTOJO pavadinimas ir adresas</w:t>
      </w:r>
    </w:p>
    <w:p w14:paraId="7397B2B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DB0ADBE"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Novo Nordisk A/S</w:t>
      </w:r>
    </w:p>
    <w:p w14:paraId="1E06049A"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Novo Alle</w:t>
      </w:r>
    </w:p>
    <w:p w14:paraId="67EB52B9"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DK-2880 Bagsvaerd</w:t>
      </w:r>
    </w:p>
    <w:p w14:paraId="49D167B0"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Danija</w:t>
      </w:r>
    </w:p>
    <w:p w14:paraId="018394A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FEB33C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D2DE9A0"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12.</w:t>
      </w:r>
      <w:r w:rsidRPr="004C5B03">
        <w:rPr>
          <w:rFonts w:asciiTheme="majorBidi" w:hAnsiTheme="majorBidi" w:cstheme="majorBidi"/>
          <w:b/>
          <w:szCs w:val="22"/>
          <w:lang w:val="lt-LT" w:bidi="he-IL"/>
        </w:rPr>
        <w:tab/>
      </w:r>
      <w:r w:rsidRPr="00776D50">
        <w:rPr>
          <w:rFonts w:asciiTheme="majorBidi" w:hAnsiTheme="majorBidi" w:cstheme="majorBidi"/>
          <w:b/>
          <w:caps/>
          <w:szCs w:val="22"/>
          <w:lang w:val="lt-LT" w:bidi="he-IL"/>
        </w:rPr>
        <w:t>REGISTRACIJOS PAŽYMĖJIMO numeris</w:t>
      </w:r>
    </w:p>
    <w:p w14:paraId="15689B6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91E4216"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LT/1/05/0316/001 - N1 × 28</w:t>
      </w:r>
    </w:p>
    <w:p w14:paraId="48DA425F"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LT/1/05/0316/002 - N3 × 28</w:t>
      </w:r>
    </w:p>
    <w:p w14:paraId="7831246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04F7BB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449B062"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13.</w:t>
      </w:r>
      <w:r w:rsidRPr="004C5B03">
        <w:rPr>
          <w:rFonts w:asciiTheme="majorBidi" w:hAnsiTheme="majorBidi" w:cstheme="majorBidi"/>
          <w:b/>
          <w:szCs w:val="22"/>
          <w:lang w:val="lt-LT" w:bidi="he-IL"/>
        </w:rPr>
        <w:tab/>
      </w:r>
      <w:r w:rsidRPr="00776D50">
        <w:rPr>
          <w:rFonts w:asciiTheme="majorBidi" w:hAnsiTheme="majorBidi" w:cstheme="majorBidi"/>
          <w:b/>
          <w:caps/>
          <w:szCs w:val="22"/>
          <w:lang w:val="lt-LT" w:bidi="he-IL"/>
        </w:rPr>
        <w:t>serijos numeris</w:t>
      </w:r>
    </w:p>
    <w:p w14:paraId="2A009371"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32528D8"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Lot:</w:t>
      </w:r>
    </w:p>
    <w:p w14:paraId="739CDBA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3A3992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637D812"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14.</w:t>
      </w:r>
      <w:r w:rsidRPr="004C5B03">
        <w:rPr>
          <w:rFonts w:asciiTheme="majorBidi" w:hAnsiTheme="majorBidi" w:cstheme="majorBidi"/>
          <w:b/>
          <w:szCs w:val="22"/>
          <w:lang w:val="lt-LT" w:bidi="he-IL"/>
        </w:rPr>
        <w:tab/>
      </w:r>
      <w:r w:rsidRPr="00776D50">
        <w:rPr>
          <w:rFonts w:asciiTheme="majorBidi" w:hAnsiTheme="majorBidi" w:cstheme="majorBidi"/>
          <w:b/>
          <w:caps/>
          <w:szCs w:val="22"/>
          <w:lang w:val="lt-LT" w:bidi="he-IL"/>
        </w:rPr>
        <w:t>PARDAVIMO (IŠDAVIMO) tvarka</w:t>
      </w:r>
    </w:p>
    <w:p w14:paraId="7768EF0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FA693C5"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Receptinis vaistas.</w:t>
      </w:r>
    </w:p>
    <w:p w14:paraId="047FB74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2A6AF9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FAA8E9E"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15.</w:t>
      </w:r>
      <w:r w:rsidRPr="004C5B03">
        <w:rPr>
          <w:rFonts w:asciiTheme="majorBidi" w:hAnsiTheme="majorBidi" w:cstheme="majorBidi"/>
          <w:b/>
          <w:szCs w:val="22"/>
          <w:lang w:val="lt-LT" w:bidi="he-IL"/>
        </w:rPr>
        <w:tab/>
      </w:r>
      <w:r w:rsidRPr="00776D50">
        <w:rPr>
          <w:rFonts w:asciiTheme="majorBidi" w:hAnsiTheme="majorBidi" w:cstheme="majorBidi"/>
          <w:b/>
          <w:caps/>
          <w:szCs w:val="22"/>
          <w:lang w:val="lt-LT" w:bidi="he-IL"/>
        </w:rPr>
        <w:t>vartojimo instrukcijA</w:t>
      </w:r>
    </w:p>
    <w:p w14:paraId="0D2E12A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B8F3111"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F5A382E"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16.</w:t>
      </w:r>
      <w:r w:rsidRPr="004C5B03">
        <w:rPr>
          <w:rFonts w:asciiTheme="majorBidi" w:hAnsiTheme="majorBidi" w:cstheme="majorBidi"/>
          <w:b/>
          <w:szCs w:val="22"/>
          <w:lang w:val="lt-LT" w:bidi="he-IL"/>
        </w:rPr>
        <w:tab/>
        <w:t>INFORMACIJA BRAILIO RAŠTU</w:t>
      </w:r>
    </w:p>
    <w:p w14:paraId="432A4934"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4847198C"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novofem</w:t>
      </w:r>
    </w:p>
    <w:p w14:paraId="6AABD88A"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5D9F0750"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38E87875"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17.</w:t>
      </w:r>
      <w:r w:rsidRPr="004C5B03">
        <w:rPr>
          <w:rFonts w:asciiTheme="majorBidi" w:hAnsiTheme="majorBidi" w:cstheme="majorBidi"/>
          <w:b/>
          <w:szCs w:val="22"/>
          <w:lang w:val="lt-LT" w:bidi="he-IL"/>
        </w:rPr>
        <w:tab/>
        <w:t>UNIKALUS IDENTIFIKATORIUS – 2D BRŪKŠNINIS KODAS</w:t>
      </w:r>
    </w:p>
    <w:p w14:paraId="4961E5AA"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4BB4775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776D50">
        <w:rPr>
          <w:rFonts w:asciiTheme="majorBidi" w:hAnsiTheme="majorBidi" w:cstheme="majorBidi"/>
          <w:szCs w:val="22"/>
          <w:highlight w:val="lightGray"/>
          <w:lang w:val="lt-LT" w:bidi="he-IL"/>
        </w:rPr>
        <w:t>2D brūkšninis kodas su nurodytu unikaliu identifikatoriumi.</w:t>
      </w:r>
    </w:p>
    <w:p w14:paraId="6552EA25"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38ED675B"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06A2E6B4"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18.</w:t>
      </w:r>
      <w:r w:rsidRPr="004C5B03">
        <w:rPr>
          <w:rFonts w:asciiTheme="majorBidi" w:hAnsiTheme="majorBidi" w:cstheme="majorBidi"/>
          <w:b/>
          <w:szCs w:val="22"/>
          <w:lang w:val="lt-LT" w:bidi="he-IL"/>
        </w:rPr>
        <w:tab/>
        <w:t>UNIKALUS IDENTIFIKATORIUS – ŽMONĖMS SUPRANTAMI DUOMENYS</w:t>
      </w:r>
    </w:p>
    <w:p w14:paraId="3279364C"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6F24D035" w14:textId="77777777" w:rsidR="004C5B03" w:rsidRPr="004C5B03" w:rsidRDefault="004C5B03" w:rsidP="004C5B03">
      <w:pPr>
        <w:tabs>
          <w:tab w:val="clear" w:pos="567"/>
        </w:tabs>
        <w:suppressAutoHyphens w:val="0"/>
        <w:rPr>
          <w:rFonts w:asciiTheme="majorBidi" w:hAnsiTheme="majorBidi" w:cstheme="majorBidi"/>
          <w:bCs/>
          <w:szCs w:val="22"/>
          <w:lang w:val="lt-LT" w:bidi="he-IL"/>
        </w:rPr>
      </w:pPr>
      <w:r w:rsidRPr="004C5B03">
        <w:rPr>
          <w:rFonts w:asciiTheme="majorBidi" w:hAnsiTheme="majorBidi" w:cstheme="majorBidi"/>
          <w:bCs/>
          <w:szCs w:val="22"/>
          <w:lang w:val="lt-LT" w:bidi="he-IL"/>
        </w:rPr>
        <w:t>PC: {numeris}</w:t>
      </w:r>
    </w:p>
    <w:p w14:paraId="72546FD8" w14:textId="77777777" w:rsidR="004C5B03" w:rsidRPr="004C5B03" w:rsidRDefault="004C5B03" w:rsidP="004C5B03">
      <w:pPr>
        <w:tabs>
          <w:tab w:val="clear" w:pos="567"/>
        </w:tabs>
        <w:suppressAutoHyphens w:val="0"/>
        <w:rPr>
          <w:rFonts w:asciiTheme="majorBidi" w:hAnsiTheme="majorBidi" w:cstheme="majorBidi"/>
          <w:bCs/>
          <w:szCs w:val="22"/>
          <w:lang w:val="lt-LT" w:bidi="he-IL"/>
        </w:rPr>
      </w:pPr>
      <w:r w:rsidRPr="004C5B03">
        <w:rPr>
          <w:rFonts w:asciiTheme="majorBidi" w:hAnsiTheme="majorBidi" w:cstheme="majorBidi"/>
          <w:bCs/>
          <w:szCs w:val="22"/>
          <w:lang w:val="lt-LT" w:bidi="he-IL"/>
        </w:rPr>
        <w:t>SN: {numeris}</w:t>
      </w:r>
    </w:p>
    <w:p w14:paraId="2C53B592" w14:textId="77777777" w:rsidR="004C5B03" w:rsidRPr="004C5B03" w:rsidRDefault="004C5B03" w:rsidP="004C5B03">
      <w:pPr>
        <w:tabs>
          <w:tab w:val="clear" w:pos="567"/>
        </w:tabs>
        <w:suppressAutoHyphens w:val="0"/>
        <w:rPr>
          <w:rFonts w:asciiTheme="majorBidi" w:hAnsiTheme="majorBidi" w:cstheme="majorBidi"/>
          <w:bCs/>
          <w:szCs w:val="22"/>
          <w:lang w:val="lt-LT" w:bidi="he-IL"/>
        </w:rPr>
      </w:pPr>
      <w:r w:rsidRPr="004C5B03">
        <w:rPr>
          <w:rFonts w:asciiTheme="majorBidi" w:hAnsiTheme="majorBidi" w:cstheme="majorBidi"/>
          <w:bCs/>
          <w:szCs w:val="22"/>
          <w:lang w:val="lt-LT" w:bidi="he-IL"/>
        </w:rPr>
        <w:t>NN: {numeris}</w:t>
      </w:r>
    </w:p>
    <w:p w14:paraId="22695E82"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br w:type="page"/>
      </w:r>
    </w:p>
    <w:p w14:paraId="3F5B6B1B" w14:textId="77777777" w:rsidR="004C5B03" w:rsidRPr="00776D50"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caps/>
          <w:szCs w:val="22"/>
          <w:lang w:val="lt-LT" w:bidi="he-IL"/>
        </w:rPr>
      </w:pPr>
      <w:r w:rsidRPr="00776D50">
        <w:rPr>
          <w:rFonts w:asciiTheme="majorBidi" w:hAnsiTheme="majorBidi" w:cstheme="majorBidi"/>
          <w:b/>
          <w:caps/>
          <w:szCs w:val="22"/>
          <w:lang w:val="lt-LT" w:bidi="he-IL"/>
        </w:rPr>
        <w:lastRenderedPageBreak/>
        <w:t xml:space="preserve">Minimali informacija </w:t>
      </w:r>
      <w:smartTag w:uri="urn:schemas-microsoft-com:office:smarttags" w:element="stockticker">
        <w:r w:rsidRPr="00776D50">
          <w:rPr>
            <w:rFonts w:asciiTheme="majorBidi" w:hAnsiTheme="majorBidi" w:cstheme="majorBidi"/>
            <w:b/>
            <w:caps/>
            <w:szCs w:val="22"/>
            <w:lang w:val="lt-LT" w:bidi="he-IL"/>
          </w:rPr>
          <w:t>ant</w:t>
        </w:r>
      </w:smartTag>
      <w:r w:rsidRPr="00776D50">
        <w:rPr>
          <w:rFonts w:asciiTheme="majorBidi" w:hAnsiTheme="majorBidi" w:cstheme="majorBidi"/>
          <w:b/>
          <w:caps/>
          <w:szCs w:val="22"/>
          <w:lang w:val="lt-LT" w:bidi="he-IL"/>
        </w:rPr>
        <w:t xml:space="preserve"> mažų VIDINIŲ pakuočių</w:t>
      </w:r>
    </w:p>
    <w:p w14:paraId="3128C865"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p>
    <w:p w14:paraId="049C9F84"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TALPYKLĖS ETIKETĖ</w:t>
      </w:r>
    </w:p>
    <w:p w14:paraId="07A02FBF"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27546CFC"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1.</w:t>
      </w:r>
      <w:r w:rsidRPr="004C5B03">
        <w:rPr>
          <w:rFonts w:asciiTheme="majorBidi" w:hAnsiTheme="majorBidi" w:cstheme="majorBidi"/>
          <w:b/>
          <w:szCs w:val="22"/>
          <w:lang w:val="lt-LT" w:bidi="he-IL"/>
        </w:rPr>
        <w:tab/>
      </w:r>
      <w:r w:rsidRPr="00776D50">
        <w:rPr>
          <w:rFonts w:asciiTheme="majorBidi" w:hAnsiTheme="majorBidi" w:cstheme="majorBidi"/>
          <w:b/>
          <w:caps/>
          <w:szCs w:val="22"/>
          <w:lang w:val="lt-LT" w:bidi="he-IL"/>
        </w:rPr>
        <w:t>Vaistinio preparato pavadinimas ir vartojimo būdas (-ai)</w:t>
      </w:r>
    </w:p>
    <w:p w14:paraId="6CE5B4AB"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4350FC02"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Novofem plėvele dengtos tabletės.</w:t>
      </w:r>
    </w:p>
    <w:p w14:paraId="14E0A42F" w14:textId="0C20263E" w:rsidR="004C5B03" w:rsidRPr="004C5B03" w:rsidRDefault="00BA32FE" w:rsidP="004C5B03">
      <w:pPr>
        <w:tabs>
          <w:tab w:val="clear" w:pos="567"/>
        </w:tabs>
        <w:suppressAutoHyphens w:val="0"/>
        <w:rPr>
          <w:rFonts w:asciiTheme="majorBidi" w:eastAsiaTheme="minorHAnsi" w:hAnsiTheme="majorBidi" w:cstheme="majorBidi"/>
          <w:szCs w:val="22"/>
          <w:lang w:val="lt-LT" w:bidi="he-IL"/>
        </w:rPr>
      </w:pPr>
      <w:r>
        <w:rPr>
          <w:rFonts w:asciiTheme="majorBidi" w:hAnsiTheme="majorBidi" w:cstheme="majorBidi"/>
          <w:szCs w:val="22"/>
          <w:lang w:val="lt-LT" w:bidi="he-IL"/>
        </w:rPr>
        <w:t>e</w:t>
      </w:r>
      <w:r w:rsidR="004C5B03" w:rsidRPr="004C5B03">
        <w:rPr>
          <w:rFonts w:asciiTheme="majorBidi" w:hAnsiTheme="majorBidi" w:cstheme="majorBidi"/>
          <w:szCs w:val="22"/>
          <w:lang w:val="lt-LT" w:bidi="he-IL"/>
        </w:rPr>
        <w:t>stradiolis/noretisterono acetatas</w:t>
      </w:r>
    </w:p>
    <w:p w14:paraId="09074F2F"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Vartoti per burną</w:t>
      </w:r>
    </w:p>
    <w:p w14:paraId="787562B6"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4A58D980"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4D9CE73B"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2.</w:t>
      </w:r>
      <w:r w:rsidRPr="004C5B03">
        <w:rPr>
          <w:rFonts w:asciiTheme="majorBidi" w:hAnsiTheme="majorBidi" w:cstheme="majorBidi"/>
          <w:b/>
          <w:szCs w:val="22"/>
          <w:lang w:val="lt-LT" w:bidi="he-IL"/>
        </w:rPr>
        <w:tab/>
      </w:r>
      <w:r w:rsidRPr="00776D50">
        <w:rPr>
          <w:rFonts w:asciiTheme="majorBidi" w:hAnsiTheme="majorBidi" w:cstheme="majorBidi"/>
          <w:b/>
          <w:caps/>
          <w:szCs w:val="22"/>
          <w:lang w:val="lt-LT" w:bidi="he-IL"/>
        </w:rPr>
        <w:t>vartojimo metodas</w:t>
      </w:r>
    </w:p>
    <w:p w14:paraId="175F9336"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489F2AC0"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1D37E111"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3.</w:t>
      </w:r>
      <w:r w:rsidRPr="004C5B03">
        <w:rPr>
          <w:rFonts w:asciiTheme="majorBidi" w:hAnsiTheme="majorBidi" w:cstheme="majorBidi"/>
          <w:b/>
          <w:szCs w:val="22"/>
          <w:lang w:val="lt-LT" w:bidi="he-IL"/>
        </w:rPr>
        <w:tab/>
      </w:r>
      <w:r w:rsidRPr="00776D50">
        <w:rPr>
          <w:rFonts w:asciiTheme="majorBidi" w:hAnsiTheme="majorBidi" w:cstheme="majorBidi"/>
          <w:b/>
          <w:caps/>
          <w:szCs w:val="22"/>
          <w:lang w:val="lt-LT" w:bidi="he-IL"/>
        </w:rPr>
        <w:t>tinkamumo laikas</w:t>
      </w:r>
    </w:p>
    <w:p w14:paraId="03C21070"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46FD4233"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EXP</w:t>
      </w:r>
    </w:p>
    <w:p w14:paraId="7CE16A20"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6EB15864"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2498DD74"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4.</w:t>
      </w:r>
      <w:r w:rsidRPr="004C5B03">
        <w:rPr>
          <w:rFonts w:asciiTheme="majorBidi" w:hAnsiTheme="majorBidi" w:cstheme="majorBidi"/>
          <w:b/>
          <w:szCs w:val="22"/>
          <w:lang w:val="lt-LT" w:bidi="he-IL"/>
        </w:rPr>
        <w:tab/>
      </w:r>
      <w:r w:rsidRPr="00776D50">
        <w:rPr>
          <w:rFonts w:asciiTheme="majorBidi" w:hAnsiTheme="majorBidi" w:cstheme="majorBidi"/>
          <w:b/>
          <w:caps/>
          <w:szCs w:val="22"/>
          <w:lang w:val="lt-LT" w:bidi="he-IL"/>
        </w:rPr>
        <w:t>serijos numeris</w:t>
      </w:r>
    </w:p>
    <w:p w14:paraId="17747EFD"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6B386D33"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Lot:</w:t>
      </w:r>
    </w:p>
    <w:p w14:paraId="6EC22DB1"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2A5FDC5C"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3A956F0B"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5.</w:t>
      </w:r>
      <w:r w:rsidRPr="004C5B03">
        <w:rPr>
          <w:rFonts w:asciiTheme="majorBidi" w:hAnsiTheme="majorBidi" w:cstheme="majorBidi"/>
          <w:b/>
          <w:szCs w:val="22"/>
          <w:lang w:val="lt-LT" w:bidi="he-IL"/>
        </w:rPr>
        <w:tab/>
      </w:r>
      <w:r w:rsidRPr="00776D50">
        <w:rPr>
          <w:rFonts w:asciiTheme="majorBidi" w:hAnsiTheme="majorBidi" w:cstheme="majorBidi"/>
          <w:b/>
          <w:caps/>
          <w:szCs w:val="22"/>
          <w:lang w:val="lt-LT" w:bidi="he-IL"/>
        </w:rPr>
        <w:t xml:space="preserve">kiekis (MASĖ, TŪRIS </w:t>
      </w:r>
      <w:smartTag w:uri="urn:schemas-microsoft-com:office:smarttags" w:element="stockticker">
        <w:r w:rsidRPr="00776D50">
          <w:rPr>
            <w:rFonts w:asciiTheme="majorBidi" w:hAnsiTheme="majorBidi" w:cstheme="majorBidi"/>
            <w:b/>
            <w:caps/>
            <w:szCs w:val="22"/>
            <w:lang w:val="lt-LT" w:bidi="he-IL"/>
          </w:rPr>
          <w:t>ARBA</w:t>
        </w:r>
      </w:smartTag>
      <w:r w:rsidRPr="00776D50">
        <w:rPr>
          <w:rFonts w:asciiTheme="majorBidi" w:hAnsiTheme="majorBidi" w:cstheme="majorBidi"/>
          <w:b/>
          <w:caps/>
          <w:szCs w:val="22"/>
          <w:lang w:val="lt-LT" w:bidi="he-IL"/>
        </w:rPr>
        <w:t xml:space="preserve"> VIENETAI)</w:t>
      </w:r>
    </w:p>
    <w:p w14:paraId="11D1C6A0"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37BDA27F" w14:textId="7DB38B72"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28</w:t>
      </w:r>
      <w:r w:rsidR="002B301C">
        <w:rPr>
          <w:rFonts w:asciiTheme="majorBidi" w:hAnsiTheme="majorBidi" w:cstheme="majorBidi"/>
          <w:szCs w:val="22"/>
          <w:lang w:val="lt-LT" w:bidi="he-IL"/>
        </w:rPr>
        <w:t> </w:t>
      </w:r>
      <w:r w:rsidRPr="004C5B03">
        <w:rPr>
          <w:rFonts w:asciiTheme="majorBidi" w:hAnsiTheme="majorBidi" w:cstheme="majorBidi"/>
          <w:szCs w:val="22"/>
          <w:lang w:val="lt-LT" w:bidi="he-IL"/>
        </w:rPr>
        <w:t>plėvele dengtos tabletės.</w:t>
      </w:r>
    </w:p>
    <w:p w14:paraId="010FA8B9"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50C878BA"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35CC6844"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6.</w:t>
      </w:r>
      <w:r w:rsidRPr="004C5B03">
        <w:rPr>
          <w:rFonts w:asciiTheme="majorBidi" w:hAnsiTheme="majorBidi" w:cstheme="majorBidi"/>
          <w:b/>
          <w:szCs w:val="22"/>
          <w:lang w:val="lt-LT" w:bidi="he-IL"/>
        </w:rPr>
        <w:tab/>
      </w:r>
      <w:r w:rsidRPr="00776D50">
        <w:rPr>
          <w:rFonts w:asciiTheme="majorBidi" w:hAnsiTheme="majorBidi" w:cstheme="majorBidi"/>
          <w:b/>
          <w:caps/>
          <w:szCs w:val="22"/>
          <w:lang w:val="lt-LT" w:bidi="he-IL"/>
        </w:rPr>
        <w:t>kiTA</w:t>
      </w:r>
    </w:p>
    <w:p w14:paraId="7DC8BED5"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194DF22F" w14:textId="6BF99F1B"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16</w:t>
      </w:r>
      <w:r w:rsidR="002B301C">
        <w:rPr>
          <w:rFonts w:asciiTheme="majorBidi" w:hAnsiTheme="majorBidi" w:cstheme="majorBidi"/>
          <w:szCs w:val="22"/>
          <w:lang w:val="lt-LT" w:bidi="he-IL"/>
        </w:rPr>
        <w:t> </w:t>
      </w:r>
      <w:r w:rsidRPr="004C5B03">
        <w:rPr>
          <w:rFonts w:asciiTheme="majorBidi" w:hAnsiTheme="majorBidi" w:cstheme="majorBidi"/>
          <w:szCs w:val="22"/>
          <w:lang w:val="lt-LT" w:bidi="he-IL"/>
        </w:rPr>
        <w:t>raudonų tablečių: vienoje tabletėje yra 1 mg estradiolio (estradiolio hemihidrato pavidalu).</w:t>
      </w:r>
    </w:p>
    <w:p w14:paraId="5E50B1D7" w14:textId="6259B10A"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12</w:t>
      </w:r>
      <w:r w:rsidR="002B301C">
        <w:rPr>
          <w:rFonts w:asciiTheme="majorBidi" w:hAnsiTheme="majorBidi" w:cstheme="majorBidi"/>
          <w:szCs w:val="22"/>
          <w:lang w:val="lt-LT" w:bidi="he-IL"/>
        </w:rPr>
        <w:t> </w:t>
      </w:r>
      <w:r w:rsidRPr="004C5B03">
        <w:rPr>
          <w:rFonts w:asciiTheme="majorBidi" w:hAnsiTheme="majorBidi" w:cstheme="majorBidi"/>
          <w:szCs w:val="22"/>
          <w:lang w:val="lt-LT" w:bidi="he-IL"/>
        </w:rPr>
        <w:t>baltų tablečių: vienoje tabletėje yra 1 mg estradiolio (estardiolio hemihidrato pavidalu) ir 1 mg noretisterono acetato.</w:t>
      </w:r>
    </w:p>
    <w:p w14:paraId="58C36ADB"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Sudėtyje yra laktozės monohidrato, žr. pakuotės lapelį.</w:t>
      </w:r>
    </w:p>
    <w:p w14:paraId="5BE74706"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529C877F"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5A06F691" w14:textId="77777777" w:rsidR="004C5B03" w:rsidRPr="004C5B03" w:rsidRDefault="004C5B03" w:rsidP="004C5B03">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7.</w:t>
      </w:r>
      <w:r w:rsidRPr="004C5B03">
        <w:rPr>
          <w:rFonts w:asciiTheme="majorBidi" w:hAnsiTheme="majorBidi" w:cstheme="majorBidi"/>
          <w:b/>
          <w:szCs w:val="22"/>
          <w:lang w:val="lt-LT" w:bidi="he-IL"/>
        </w:rPr>
        <w:tab/>
        <w:t>REGISTRUOTOJO PAVADINIMAS</w:t>
      </w:r>
    </w:p>
    <w:p w14:paraId="582DF3F0"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75F4212A"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Novo Nordisk A/S</w:t>
      </w:r>
    </w:p>
    <w:p w14:paraId="31A94670"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46000C08"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br w:type="page"/>
      </w:r>
    </w:p>
    <w:p w14:paraId="0ADA647A"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774D606D"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6E793A12"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3BB5A3C6"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4258B7AC"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608B2C08"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562513FC"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677C85A8"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2F207971"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0BDF9DC0"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1CB37CFC"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2CCE85CC"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09EFAA12"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4A5C288A"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4C8C1238"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34A3D140"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0B9F551A"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7A90798B"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1393C50E"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26FB71CB"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17494C12"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71F8016A"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p w14:paraId="525B2629"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p>
    <w:bookmarkEnd w:id="4"/>
    <w:bookmarkEnd w:id="5"/>
    <w:p w14:paraId="0DD3C70B"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r w:rsidRPr="004C5B03">
        <w:rPr>
          <w:rFonts w:asciiTheme="majorBidi" w:hAnsiTheme="majorBidi" w:cstheme="majorBidi"/>
          <w:b/>
          <w:szCs w:val="22"/>
          <w:lang w:val="lt-LT" w:bidi="he-IL"/>
        </w:rPr>
        <w:t>B. PAKUOTĖS LAPELIS</w:t>
      </w:r>
    </w:p>
    <w:p w14:paraId="1087A3CD"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r w:rsidRPr="004C5B03">
        <w:rPr>
          <w:rFonts w:asciiTheme="majorBidi" w:hAnsiTheme="majorBidi" w:cstheme="majorBidi"/>
          <w:b/>
          <w:szCs w:val="22"/>
          <w:lang w:val="lt-LT" w:bidi="he-IL"/>
        </w:rPr>
        <w:br w:type="page"/>
      </w:r>
    </w:p>
    <w:p w14:paraId="3EA3A8CB"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r w:rsidRPr="004C5B03">
        <w:rPr>
          <w:rFonts w:asciiTheme="majorBidi" w:hAnsiTheme="majorBidi" w:cstheme="majorBidi"/>
          <w:b/>
          <w:szCs w:val="22"/>
          <w:lang w:val="lt-LT" w:bidi="he-IL"/>
        </w:rPr>
        <w:lastRenderedPageBreak/>
        <w:t>Pakuotės lapelis: informacija vartotojui</w:t>
      </w:r>
    </w:p>
    <w:p w14:paraId="278F4BDD" w14:textId="77777777" w:rsidR="004C5B03" w:rsidRPr="004C5B03" w:rsidRDefault="004C5B03" w:rsidP="004C5B03">
      <w:pPr>
        <w:tabs>
          <w:tab w:val="clear" w:pos="567"/>
        </w:tabs>
        <w:suppressAutoHyphens w:val="0"/>
        <w:jc w:val="center"/>
        <w:rPr>
          <w:rFonts w:asciiTheme="majorBidi" w:hAnsiTheme="majorBidi" w:cstheme="majorBidi"/>
          <w:szCs w:val="22"/>
          <w:lang w:val="lt-LT" w:bidi="he-IL"/>
        </w:rPr>
      </w:pPr>
    </w:p>
    <w:p w14:paraId="3F5E2824" w14:textId="77777777" w:rsidR="004C5B03" w:rsidRPr="004C5B03" w:rsidRDefault="004C5B03" w:rsidP="004C5B03">
      <w:pPr>
        <w:tabs>
          <w:tab w:val="clear" w:pos="567"/>
        </w:tabs>
        <w:suppressAutoHyphens w:val="0"/>
        <w:jc w:val="center"/>
        <w:rPr>
          <w:rFonts w:asciiTheme="majorBidi" w:hAnsiTheme="majorBidi" w:cstheme="majorBidi"/>
          <w:b/>
          <w:szCs w:val="22"/>
          <w:lang w:val="lt-LT" w:bidi="he-IL"/>
        </w:rPr>
      </w:pPr>
      <w:r w:rsidRPr="004C5B03">
        <w:rPr>
          <w:rFonts w:asciiTheme="majorBidi" w:hAnsiTheme="majorBidi" w:cstheme="majorBidi"/>
          <w:b/>
          <w:szCs w:val="22"/>
          <w:lang w:val="lt-LT" w:bidi="he-IL"/>
        </w:rPr>
        <w:t>Novofem plėvele dengtos tabletės</w:t>
      </w:r>
    </w:p>
    <w:p w14:paraId="1A36B22A" w14:textId="5A1A2852" w:rsidR="004C5B03" w:rsidRPr="004C5B03" w:rsidRDefault="00BA32FE" w:rsidP="004C5B03">
      <w:pPr>
        <w:tabs>
          <w:tab w:val="clear" w:pos="567"/>
        </w:tabs>
        <w:suppressAutoHyphens w:val="0"/>
        <w:jc w:val="center"/>
        <w:rPr>
          <w:rFonts w:asciiTheme="majorBidi" w:hAnsiTheme="majorBidi" w:cstheme="majorBidi"/>
          <w:szCs w:val="22"/>
          <w:lang w:val="lt-LT" w:bidi="he-IL"/>
        </w:rPr>
      </w:pPr>
      <w:r>
        <w:rPr>
          <w:rFonts w:asciiTheme="majorBidi" w:hAnsiTheme="majorBidi" w:cstheme="majorBidi"/>
          <w:szCs w:val="22"/>
          <w:lang w:val="lt-LT" w:bidi="he-IL"/>
        </w:rPr>
        <w:t>e</w:t>
      </w:r>
      <w:r w:rsidR="004C5B03" w:rsidRPr="004C5B03">
        <w:rPr>
          <w:rFonts w:asciiTheme="majorBidi" w:hAnsiTheme="majorBidi" w:cstheme="majorBidi"/>
          <w:szCs w:val="22"/>
          <w:lang w:val="lt-LT" w:bidi="he-IL"/>
        </w:rPr>
        <w:t>stradiolis / noretisterono acetatas</w:t>
      </w:r>
    </w:p>
    <w:p w14:paraId="3F5DBAD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9D6A6AD"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Atidžiai perskaitykite visą šį lapelį, prieš pradėdami vartoti vaistą, nes jame pateikiama Jums svarbi informacija.</w:t>
      </w:r>
    </w:p>
    <w:p w14:paraId="0AC4EE07" w14:textId="2B462307"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Neišmeskite šio lapelio, nes vėl gali prireikti jį perskaityti.</w:t>
      </w:r>
    </w:p>
    <w:p w14:paraId="3FEC3858" w14:textId="5CD01A4F"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Jeigu kiltų daugiau klausimų, kreipkitės į gydytoją arba vaistininką.</w:t>
      </w:r>
    </w:p>
    <w:p w14:paraId="643A4B7A" w14:textId="07960560"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Šis vaistas skirtas tik Jums, todėl kitiems žmonėms jo duoti negalima. Vaistas gali jiems pakenkti (net tiems, kurių ligos požymiai yra tokie patys kaip Jūsų).</w:t>
      </w:r>
    </w:p>
    <w:p w14:paraId="2B6E7A69" w14:textId="6AC73855" w:rsidR="004C5B03" w:rsidRPr="004C5B03" w:rsidRDefault="004C5B03" w:rsidP="004C5B03">
      <w:pPr>
        <w:ind w:left="567" w:hanging="567"/>
        <w:rPr>
          <w:lang w:val="lt-LT" w:bidi="he-IL"/>
        </w:rPr>
      </w:pPr>
      <w:r w:rsidRPr="005265C0">
        <w:rPr>
          <w:lang w:val="lt-LT"/>
        </w:rPr>
        <w:t>–</w:t>
      </w:r>
      <w:r w:rsidRPr="005265C0">
        <w:rPr>
          <w:lang w:val="lt-LT"/>
        </w:rPr>
        <w:tab/>
      </w:r>
      <w:r w:rsidRPr="004C5B03">
        <w:rPr>
          <w:lang w:val="lt-LT" w:bidi="he-IL"/>
        </w:rPr>
        <w:t>Jeigu pasireiškė šalutinis poveikis (net jei jis šiame lapelyje nenurodytas), kreipkitės į gydytoją arba vaistininką. Žr. 4 skyrių.</w:t>
      </w:r>
    </w:p>
    <w:p w14:paraId="485AE7F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2828038"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Apie ką rašoma šiame lapelyje?</w:t>
      </w:r>
    </w:p>
    <w:p w14:paraId="437DBDBC" w14:textId="77777777" w:rsidR="004C5B03" w:rsidRPr="004C5B03" w:rsidRDefault="004C5B03" w:rsidP="004C5B03">
      <w:pPr>
        <w:numPr>
          <w:ilvl w:val="0"/>
          <w:numId w:val="17"/>
        </w:num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Kas yra Novofem ir kam jis vartojamas</w:t>
      </w:r>
    </w:p>
    <w:p w14:paraId="49E4A386" w14:textId="77777777" w:rsidR="004C5B03" w:rsidRPr="004C5B03" w:rsidRDefault="004C5B03" w:rsidP="004C5B03">
      <w:pPr>
        <w:numPr>
          <w:ilvl w:val="0"/>
          <w:numId w:val="17"/>
        </w:num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Kas žinotina prieš vartojant</w:t>
      </w:r>
      <w:r w:rsidRPr="004C5B03">
        <w:rPr>
          <w:rFonts w:asciiTheme="majorBidi" w:hAnsiTheme="majorBidi" w:cstheme="majorBidi"/>
          <w:i/>
          <w:szCs w:val="22"/>
          <w:lang w:val="lt-LT" w:bidi="he-IL"/>
        </w:rPr>
        <w:t xml:space="preserve"> </w:t>
      </w:r>
      <w:r w:rsidRPr="004C5B03">
        <w:rPr>
          <w:rFonts w:asciiTheme="majorBidi" w:hAnsiTheme="majorBidi" w:cstheme="majorBidi"/>
          <w:szCs w:val="22"/>
          <w:lang w:val="lt-LT" w:bidi="he-IL"/>
        </w:rPr>
        <w:t>Novofem</w:t>
      </w:r>
    </w:p>
    <w:p w14:paraId="6362176E" w14:textId="77777777" w:rsidR="004C5B03" w:rsidRPr="004C5B03" w:rsidRDefault="004C5B03" w:rsidP="004C5B03">
      <w:pPr>
        <w:numPr>
          <w:ilvl w:val="0"/>
          <w:numId w:val="17"/>
        </w:num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Kaip vartoti</w:t>
      </w:r>
      <w:r w:rsidRPr="004C5B03">
        <w:rPr>
          <w:rFonts w:asciiTheme="majorBidi" w:hAnsiTheme="majorBidi" w:cstheme="majorBidi"/>
          <w:i/>
          <w:szCs w:val="22"/>
          <w:lang w:val="lt-LT" w:bidi="he-IL"/>
        </w:rPr>
        <w:t xml:space="preserve"> </w:t>
      </w:r>
      <w:r w:rsidRPr="004C5B03">
        <w:rPr>
          <w:rFonts w:asciiTheme="majorBidi" w:hAnsiTheme="majorBidi" w:cstheme="majorBidi"/>
          <w:szCs w:val="22"/>
          <w:lang w:val="lt-LT" w:bidi="he-IL"/>
        </w:rPr>
        <w:t>Novofem</w:t>
      </w:r>
    </w:p>
    <w:p w14:paraId="4529C94D" w14:textId="77777777" w:rsidR="004C5B03" w:rsidRPr="004C5B03" w:rsidRDefault="004C5B03" w:rsidP="004C5B03">
      <w:pPr>
        <w:numPr>
          <w:ilvl w:val="0"/>
          <w:numId w:val="17"/>
        </w:num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Galimas šalutinis poveikis</w:t>
      </w:r>
    </w:p>
    <w:p w14:paraId="6F1C6FDA" w14:textId="77777777" w:rsidR="004C5B03" w:rsidRPr="004C5B03" w:rsidRDefault="004C5B03" w:rsidP="004C5B03">
      <w:pPr>
        <w:numPr>
          <w:ilvl w:val="0"/>
          <w:numId w:val="17"/>
        </w:num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Kaip laikyti Novofem</w:t>
      </w:r>
    </w:p>
    <w:p w14:paraId="30FBF914" w14:textId="77777777" w:rsidR="004C5B03" w:rsidRPr="004C5B03" w:rsidRDefault="004C5B03" w:rsidP="004C5B03">
      <w:pPr>
        <w:numPr>
          <w:ilvl w:val="0"/>
          <w:numId w:val="17"/>
        </w:num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Pakuotės turinys ir kita informacija</w:t>
      </w:r>
    </w:p>
    <w:p w14:paraId="4D8F49E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D133AB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5C0A532" w14:textId="77777777" w:rsidR="004C5B03" w:rsidRPr="004C5B03" w:rsidRDefault="004C5B03" w:rsidP="004C5B03">
      <w:pPr>
        <w:numPr>
          <w:ilvl w:val="0"/>
          <w:numId w:val="18"/>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Kas yra Novofem</w:t>
      </w:r>
      <w:r w:rsidRPr="004C5B03">
        <w:rPr>
          <w:rFonts w:asciiTheme="majorBidi" w:hAnsiTheme="majorBidi" w:cstheme="majorBidi"/>
          <w:b/>
          <w:szCs w:val="22"/>
          <w:vertAlign w:val="superscript"/>
          <w:lang w:val="lt-LT" w:bidi="he-IL"/>
        </w:rPr>
        <w:t xml:space="preserve"> </w:t>
      </w:r>
      <w:r w:rsidRPr="004C5B03">
        <w:rPr>
          <w:rFonts w:asciiTheme="majorBidi" w:hAnsiTheme="majorBidi" w:cstheme="majorBidi"/>
          <w:b/>
          <w:szCs w:val="22"/>
          <w:lang w:val="lt-LT" w:bidi="he-IL"/>
        </w:rPr>
        <w:t xml:space="preserve"> ir kam jis vartojamas</w:t>
      </w:r>
    </w:p>
    <w:p w14:paraId="3A8E4EC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070D315"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priklauso nepertraukiamos sudėtinės pakaitinės hormonų terapijos (PHT) vaistų grupei, kurie vartojami kiekvieną dieną be pertraukos. Novofem skiriamas moterims po menopauzės, praėjus mažiausiai 6 mėnesiams nuo paskutinių fiziologinių mėnesinių.</w:t>
      </w:r>
    </w:p>
    <w:p w14:paraId="035E753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9C4903C" w14:textId="5FCC51C0"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tablečių sudėtyje yra 2</w:t>
      </w:r>
      <w:r w:rsidR="002B301C">
        <w:rPr>
          <w:rFonts w:asciiTheme="majorBidi" w:hAnsiTheme="majorBidi" w:cstheme="majorBidi"/>
          <w:szCs w:val="22"/>
          <w:lang w:val="lt-LT" w:bidi="he-IL"/>
        </w:rPr>
        <w:t> </w:t>
      </w:r>
      <w:r w:rsidRPr="004C5B03">
        <w:rPr>
          <w:rFonts w:asciiTheme="majorBidi" w:hAnsiTheme="majorBidi" w:cstheme="majorBidi"/>
          <w:szCs w:val="22"/>
          <w:lang w:val="lt-LT" w:bidi="he-IL"/>
        </w:rPr>
        <w:t>rūšių hormonų – estrogeno (estradiolio) ir progestageno (noretisterono acetato). Novofem sudėtyje esantis estradiolis yra identiškas moterų kiaušidėse gaminamam estradioliui ir priklauso natūraliems estrogenams. Noretisterono acetatas yra sintetinis progestagenas, kuris veikia panašiai kaip ir progesteronas – kitas svarbus moteriškas lytinis hormonas.</w:t>
      </w:r>
    </w:p>
    <w:p w14:paraId="64DE226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8DB74E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vartojamas:</w:t>
      </w:r>
    </w:p>
    <w:p w14:paraId="5620C2CB"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41DDCFC5"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Po menopauzės atsiradusiems simptomams palengvinti</w:t>
      </w:r>
    </w:p>
    <w:p w14:paraId="7578933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Menopauzės metu estrogeno kiekis moters organizme krenta. Tai gali sukelti  šiuos simptomus: karštį veide, kakle ir krūtinėje („karščio bangas“). Novofem palengvina šiuos simptomus po menopauzės. Novofem Jums bus paskirtas tik tuomet, jeigu menopauzės simptomai labai trikdo Jūsų kasdienį gyvenimą.</w:t>
      </w:r>
    </w:p>
    <w:p w14:paraId="2DB5100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634D56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Osteoporozės profilaktikai</w:t>
      </w:r>
    </w:p>
    <w:p w14:paraId="03EBA9BD"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Po menopauzės kai kurioms moterims kaulai gali tapti trapūs (osteoporozė). Kartu su gydytoju turite aptarti visas prieinamas gydymo galimybes.</w:t>
      </w:r>
    </w:p>
    <w:p w14:paraId="02DB588F"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Jeigu dėl osteoporozės Jums yra padidėjusi kaulų lūžių rizika, o kiti vaistai Jums netinka, galite vartoti Novofem norėdamos išvengti osteoporozės po menopauzės.</w:t>
      </w:r>
    </w:p>
    <w:p w14:paraId="33E10F7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C1AED79"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Duomenų apie vyresnių nei 65 metų moterų gydymą šiuo vaistu yra nedaug.</w:t>
      </w:r>
    </w:p>
    <w:p w14:paraId="10151001"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313B01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556040A" w14:textId="77777777" w:rsidR="004C5B03" w:rsidRPr="004C5B03" w:rsidRDefault="004C5B03" w:rsidP="004C5B03">
      <w:pPr>
        <w:numPr>
          <w:ilvl w:val="0"/>
          <w:numId w:val="18"/>
        </w:numPr>
        <w:tabs>
          <w:tab w:val="clear" w:pos="360"/>
          <w:tab w:val="clear" w:pos="567"/>
          <w:tab w:val="num" w:pos="480"/>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Kas žinotina prieš vartojant Novofem</w:t>
      </w:r>
    </w:p>
    <w:p w14:paraId="7FE5F69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43285A1"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Ligos istorija ir reguliarus sveikatos tikrinimas</w:t>
      </w:r>
    </w:p>
    <w:p w14:paraId="113D4BE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lastRenderedPageBreak/>
        <w:t>PHT vartojimas yra susijęs su padidėjusia rizika, kurią reikia aptarti prieš pradedant gydymą arbą jį tęsiant.</w:t>
      </w:r>
    </w:p>
    <w:p w14:paraId="7796A626"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697104F3"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Nėra pakankamai duomenų apie moterų, kurioms yra ankstyva menopauzė (dėl kiaušidžių nepakankamumo arba operacijos), gydymą šiuo vaistu. Jeigu Jums yra ankstyva menopauzė, PHT gali sukelti kitokią riziką. Pasitarkite su savo gydytoju.</w:t>
      </w:r>
    </w:p>
    <w:p w14:paraId="2FD7D5F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637351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Prieš paskirdamas (arba vėl atnaujindamas) PHT, gydytojas surinks Jūsų ir Jūsų šeimos ligų istoriją. Gydytojas gali nutarti atlikti medicininę apžiūrą. Tai gali būti krūtų patikrinimas ir (arba) intervenciniai tyrimai, jeigu jų reikia.</w:t>
      </w:r>
    </w:p>
    <w:p w14:paraId="0EFCE2E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699F4E4"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Pradėjusi vartoti Novofem, Jūs turėtumėte reguliariai lankytis pas gydytoją (bent kartą per metus). Šių patikrinimų metu aptarkite su gydytoju Novofem sukeliamą naudą ir riziką.</w:t>
      </w:r>
    </w:p>
    <w:p w14:paraId="2B54860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4A7758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Pagal gydytojo rekomendacijas reikia reguliariai  peršviesti krūtis.</w:t>
      </w:r>
    </w:p>
    <w:p w14:paraId="075520A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7D26143" w14:textId="3C691B93"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 xml:space="preserve">Novofem vartoti </w:t>
      </w:r>
      <w:r w:rsidR="00E70212">
        <w:rPr>
          <w:rFonts w:asciiTheme="majorBidi" w:hAnsiTheme="majorBidi" w:cstheme="majorBidi"/>
          <w:b/>
          <w:szCs w:val="22"/>
          <w:lang w:val="lt-LT" w:bidi="he-IL"/>
        </w:rPr>
        <w:t>draudžiama</w:t>
      </w:r>
    </w:p>
    <w:p w14:paraId="0CEA22D5"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Jeigu Jums yra bent viena iš žemiau išvardytų būklių. Jeigu nesate tikra dėl kurio nors punkto, prieš vartodama Novofem </w:t>
      </w:r>
      <w:r w:rsidRPr="004C5B03">
        <w:rPr>
          <w:rFonts w:asciiTheme="majorBidi" w:hAnsiTheme="majorBidi" w:cstheme="majorBidi"/>
          <w:b/>
          <w:szCs w:val="22"/>
          <w:lang w:val="lt-LT" w:bidi="he-IL"/>
        </w:rPr>
        <w:t>pasakykite gydančiam gydytojui</w:t>
      </w:r>
      <w:r w:rsidRPr="004C5B03">
        <w:rPr>
          <w:rFonts w:asciiTheme="majorBidi" w:hAnsiTheme="majorBidi" w:cstheme="majorBidi"/>
          <w:szCs w:val="22"/>
          <w:lang w:val="lt-LT" w:bidi="he-IL"/>
        </w:rPr>
        <w:t xml:space="preserve">. </w:t>
      </w:r>
    </w:p>
    <w:p w14:paraId="0D46F08B" w14:textId="2753B4AA"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Novofem vartoti </w:t>
      </w:r>
      <w:r w:rsidR="00E70212">
        <w:rPr>
          <w:rFonts w:asciiTheme="majorBidi" w:hAnsiTheme="majorBidi" w:cstheme="majorBidi"/>
          <w:szCs w:val="22"/>
          <w:lang w:val="lt-LT" w:bidi="he-IL"/>
        </w:rPr>
        <w:t>draudžiama</w:t>
      </w:r>
      <w:r w:rsidRPr="004C5B03">
        <w:rPr>
          <w:rFonts w:asciiTheme="majorBidi" w:hAnsiTheme="majorBidi" w:cstheme="majorBidi"/>
          <w:szCs w:val="22"/>
          <w:lang w:val="lt-LT" w:bidi="he-IL"/>
        </w:rPr>
        <w:t>, jeigu:</w:t>
      </w:r>
    </w:p>
    <w:p w14:paraId="7586A995" w14:textId="429C823B"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Jūs sergate, sirgote arba Jums įtariamas </w:t>
      </w:r>
      <w:r w:rsidR="004C5B03" w:rsidRPr="004C5B03">
        <w:rPr>
          <w:b/>
          <w:lang w:val="lt-LT" w:bidi="he-IL"/>
        </w:rPr>
        <w:t>krūties vėžys</w:t>
      </w:r>
      <w:r w:rsidR="004C5B03" w:rsidRPr="004C5B03">
        <w:rPr>
          <w:lang w:val="lt-LT" w:bidi="he-IL"/>
        </w:rPr>
        <w:t>;</w:t>
      </w:r>
    </w:p>
    <w:p w14:paraId="4A24B5F6" w14:textId="7EA24A8D"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Jūs sergate, sirgote arba Jums įtariamas </w:t>
      </w:r>
      <w:r w:rsidR="004C5B03" w:rsidRPr="004C5B03">
        <w:rPr>
          <w:b/>
          <w:lang w:val="lt-LT" w:bidi="he-IL"/>
        </w:rPr>
        <w:t xml:space="preserve">gimdos gleivinės </w:t>
      </w:r>
      <w:r w:rsidR="004C5B03" w:rsidRPr="004C5B03">
        <w:rPr>
          <w:lang w:val="lt-LT" w:bidi="he-IL"/>
        </w:rPr>
        <w:t>(endometriumo)</w:t>
      </w:r>
      <w:r w:rsidR="004C5B03" w:rsidRPr="004C5B03">
        <w:rPr>
          <w:b/>
          <w:lang w:val="lt-LT" w:bidi="he-IL"/>
        </w:rPr>
        <w:t xml:space="preserve"> vėžys</w:t>
      </w:r>
      <w:r w:rsidR="004C5B03" w:rsidRPr="004C5B03">
        <w:rPr>
          <w:lang w:val="lt-LT" w:bidi="he-IL"/>
        </w:rPr>
        <w:t>, arba yra įtariamas nuo estrogenų priklausomas auglys;</w:t>
      </w:r>
    </w:p>
    <w:p w14:paraId="7D656984" w14:textId="7949976E"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Jums yra </w:t>
      </w:r>
      <w:r w:rsidR="004C5B03" w:rsidRPr="004C5B03">
        <w:rPr>
          <w:b/>
          <w:lang w:val="lt-LT" w:bidi="he-IL"/>
        </w:rPr>
        <w:t>neaiškios kilmės</w:t>
      </w:r>
      <w:r w:rsidR="004C5B03" w:rsidRPr="004C5B03">
        <w:rPr>
          <w:lang w:val="lt-LT" w:bidi="he-IL"/>
        </w:rPr>
        <w:t xml:space="preserve"> </w:t>
      </w:r>
      <w:r w:rsidR="004C5B03" w:rsidRPr="004C5B03">
        <w:rPr>
          <w:b/>
          <w:lang w:val="lt-LT" w:bidi="he-IL"/>
        </w:rPr>
        <w:t>kraujavimas iš makšties</w:t>
      </w:r>
      <w:r w:rsidR="004C5B03" w:rsidRPr="004C5B03">
        <w:rPr>
          <w:lang w:val="lt-LT" w:bidi="he-IL"/>
        </w:rPr>
        <w:t>;</w:t>
      </w:r>
    </w:p>
    <w:p w14:paraId="368DF446" w14:textId="0D821749"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Jūs sergate </w:t>
      </w:r>
      <w:r w:rsidR="004C5B03" w:rsidRPr="004C5B03">
        <w:rPr>
          <w:b/>
          <w:lang w:val="lt-LT" w:bidi="he-IL"/>
        </w:rPr>
        <w:t>gimdos gleivinės išvešėjimu</w:t>
      </w:r>
      <w:r w:rsidR="004C5B03" w:rsidRPr="004C5B03">
        <w:rPr>
          <w:lang w:val="lt-LT" w:bidi="he-IL"/>
        </w:rPr>
        <w:t xml:space="preserve"> (endometriumo hiperplazija) ir dėl jos nesigydėte;</w:t>
      </w:r>
    </w:p>
    <w:p w14:paraId="7EE0FD10" w14:textId="46B2506F"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Jums yra ar anksčiau buvo susidaręs </w:t>
      </w:r>
      <w:r w:rsidR="004C5B03" w:rsidRPr="004C5B03">
        <w:rPr>
          <w:b/>
          <w:lang w:val="lt-LT" w:bidi="he-IL"/>
        </w:rPr>
        <w:t xml:space="preserve">kraujo krešulys venoje </w:t>
      </w:r>
      <w:r w:rsidR="004C5B03" w:rsidRPr="004C5B03">
        <w:rPr>
          <w:lang w:val="lt-LT" w:bidi="he-IL"/>
        </w:rPr>
        <w:t>(venų tromboembolija) kojų</w:t>
      </w:r>
      <w:r w:rsidR="004C5B03" w:rsidRPr="004C5B03">
        <w:rPr>
          <w:b/>
          <w:lang w:val="lt-LT" w:bidi="he-IL"/>
        </w:rPr>
        <w:t xml:space="preserve"> </w:t>
      </w:r>
      <w:r w:rsidR="004C5B03" w:rsidRPr="004C5B03">
        <w:rPr>
          <w:lang w:val="lt-LT" w:bidi="he-IL"/>
        </w:rPr>
        <w:t>(giliųjų venų trombozė) arba plaučių kraujagyslėse (plaučių embolija);</w:t>
      </w:r>
    </w:p>
    <w:p w14:paraId="185954A3" w14:textId="2D41CD6C"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Jums nustatytas </w:t>
      </w:r>
      <w:r w:rsidR="004C5B03" w:rsidRPr="004C5B03">
        <w:rPr>
          <w:b/>
          <w:lang w:val="lt-LT" w:bidi="he-IL"/>
        </w:rPr>
        <w:t>kraujo krešėjimo sutrikimas</w:t>
      </w:r>
      <w:r w:rsidR="004C5B03" w:rsidRPr="004C5B03">
        <w:rPr>
          <w:lang w:val="lt-LT" w:bidi="he-IL"/>
        </w:rPr>
        <w:t xml:space="preserve"> (pvz., C baltymo, S baltymo ar antitrombino trūkumas);</w:t>
      </w:r>
    </w:p>
    <w:p w14:paraId="3610B494" w14:textId="50AAAA77"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Jūs sergate arba anksčiau sirgote liga, kurią sukelia kraujo krešuliai arterijose, pavyzdžiui, </w:t>
      </w:r>
      <w:r w:rsidR="004C5B03" w:rsidRPr="004C5B03">
        <w:rPr>
          <w:b/>
          <w:lang w:val="lt-LT" w:bidi="he-IL"/>
        </w:rPr>
        <w:t>miokardo infarktu, insultu</w:t>
      </w:r>
      <w:r w:rsidR="004C5B03" w:rsidRPr="004C5B03">
        <w:rPr>
          <w:lang w:val="lt-LT" w:bidi="he-IL"/>
        </w:rPr>
        <w:t xml:space="preserve"> arba </w:t>
      </w:r>
      <w:r w:rsidR="004C5B03" w:rsidRPr="004C5B03">
        <w:rPr>
          <w:b/>
          <w:lang w:val="lt-LT" w:bidi="he-IL"/>
        </w:rPr>
        <w:t>angina</w:t>
      </w:r>
      <w:r w:rsidR="004C5B03" w:rsidRPr="004C5B03">
        <w:rPr>
          <w:lang w:val="lt-LT" w:bidi="he-IL"/>
        </w:rPr>
        <w:t>;</w:t>
      </w:r>
    </w:p>
    <w:p w14:paraId="39EC508E" w14:textId="3159D290"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Jūs sergate arba praeityje sirgote </w:t>
      </w:r>
      <w:r w:rsidR="004C5B03" w:rsidRPr="004C5B03">
        <w:rPr>
          <w:b/>
          <w:lang w:val="lt-LT" w:bidi="he-IL"/>
        </w:rPr>
        <w:t>kepenų liga</w:t>
      </w:r>
      <w:r w:rsidR="004C5B03" w:rsidRPr="004C5B03">
        <w:rPr>
          <w:lang w:val="lt-LT" w:bidi="he-IL"/>
        </w:rPr>
        <w:t xml:space="preserve"> ir kepenų veiklos rodikliai išliko pakitę;</w:t>
      </w:r>
    </w:p>
    <w:p w14:paraId="39DB39AB" w14:textId="4DC3C102"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yra </w:t>
      </w:r>
      <w:r w:rsidR="004C5B03" w:rsidRPr="004C5B03">
        <w:rPr>
          <w:b/>
          <w:lang w:val="lt-LT" w:bidi="he-IL"/>
        </w:rPr>
        <w:t xml:space="preserve">alergija </w:t>
      </w:r>
      <w:r w:rsidR="004C5B03" w:rsidRPr="004C5B03">
        <w:rPr>
          <w:lang w:val="lt-LT" w:bidi="he-IL"/>
        </w:rPr>
        <w:t xml:space="preserve">(padidėjęs jautrumas) </w:t>
      </w:r>
      <w:r w:rsidR="004C5B03" w:rsidRPr="004C5B03">
        <w:rPr>
          <w:b/>
          <w:lang w:val="lt-LT" w:bidi="he-IL"/>
        </w:rPr>
        <w:t>estradioliui, noretisterono acetatui</w:t>
      </w:r>
      <w:r w:rsidR="004C5B03" w:rsidRPr="004C5B03">
        <w:rPr>
          <w:lang w:val="lt-LT" w:bidi="he-IL"/>
        </w:rPr>
        <w:t xml:space="preserve"> arba bet kuriai pagalbinei šio vaisto medžiagai (jos išvardytos 6 skyriuje „Pakuotės turinys ir kita informacija“);</w:t>
      </w:r>
    </w:p>
    <w:p w14:paraId="2A40260C" w14:textId="7507CB7E" w:rsidR="004C5B03" w:rsidRPr="004C5B03" w:rsidRDefault="00776D50" w:rsidP="00776D50">
      <w:pPr>
        <w:ind w:left="567" w:hanging="567"/>
        <w:rPr>
          <w:lang w:val="lt-LT" w:bidi="he-IL"/>
        </w:rPr>
      </w:pPr>
      <w:r w:rsidRPr="000E2A1A">
        <w:rPr>
          <w:lang w:val="lt-LT"/>
        </w:rPr>
        <w:t>•</w:t>
      </w:r>
      <w:r w:rsidRPr="000E2A1A">
        <w:rPr>
          <w:lang w:val="lt-LT"/>
        </w:rPr>
        <w:tab/>
      </w:r>
      <w:r w:rsidR="004C5B03" w:rsidRPr="004C5B03">
        <w:rPr>
          <w:lang w:val="lt-LT" w:bidi="he-IL"/>
        </w:rPr>
        <w:t xml:space="preserve">sergate </w:t>
      </w:r>
      <w:r w:rsidR="004C5B03" w:rsidRPr="004C5B03">
        <w:rPr>
          <w:b/>
          <w:lang w:val="lt-LT" w:bidi="he-IL"/>
        </w:rPr>
        <w:t>reta</w:t>
      </w:r>
      <w:r w:rsidR="004C5B03" w:rsidRPr="004C5B03">
        <w:rPr>
          <w:lang w:val="lt-LT" w:bidi="he-IL"/>
        </w:rPr>
        <w:t xml:space="preserve"> šeimose perduodama (paveldima) </w:t>
      </w:r>
      <w:r w:rsidR="004C5B03" w:rsidRPr="004C5B03">
        <w:rPr>
          <w:b/>
          <w:lang w:val="lt-LT" w:bidi="he-IL"/>
        </w:rPr>
        <w:t>kraujo liga, vadinama</w:t>
      </w:r>
      <w:r w:rsidR="004C5B03" w:rsidRPr="004C5B03">
        <w:rPr>
          <w:lang w:val="lt-LT" w:bidi="he-IL"/>
        </w:rPr>
        <w:t xml:space="preserve"> </w:t>
      </w:r>
      <w:r w:rsidR="004C5B03" w:rsidRPr="004C5B03">
        <w:rPr>
          <w:b/>
          <w:lang w:val="lt-LT" w:bidi="he-IL"/>
        </w:rPr>
        <w:t>porfirija</w:t>
      </w:r>
      <w:r w:rsidR="004C5B03" w:rsidRPr="004C5B03">
        <w:rPr>
          <w:lang w:val="lt-LT" w:bidi="he-IL"/>
        </w:rPr>
        <w:t>.</w:t>
      </w:r>
    </w:p>
    <w:p w14:paraId="7A00546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9B3D10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Jeigu Jums pirmą kartą pasireiškė bent viena iš išvardytų būklių vartojant Novofem, tuojau pat nustokite jį vartoti ir nedelsdama susisiekite su savo gydytoju.</w:t>
      </w:r>
    </w:p>
    <w:p w14:paraId="02670E6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6A14271"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Įspėjimai ir atsargumo priemonės</w:t>
      </w:r>
    </w:p>
    <w:p w14:paraId="337EB089"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Prieš pradėdama gydytis, pasakykite savo gydytojui, jeigu Jums yra arba praeityje buvo kuri nors iš toliau nurodytų būklių, nes gydantis Novofem jos gali atsinaujinti arba pasunkėti. Jeigu taip, turėtumėte dažniau lankytis pas gydytoją pasitikrinimui:</w:t>
      </w:r>
    </w:p>
    <w:p w14:paraId="1E474D31" w14:textId="64A17759"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fibroidiniai gimdos augliai;</w:t>
      </w:r>
    </w:p>
    <w:p w14:paraId="306906FA" w14:textId="5BE19468"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gimdos gleivinės augimas už gimdos ribų (endometriozė) arba praeityje sirgote gimdos gleivinės išvešėjimu (endometriumo hiperplazija);</w:t>
      </w:r>
    </w:p>
    <w:p w14:paraId="483D64CF" w14:textId="4AB84560"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padidėjusi kraujo krešulių susidarymo rizika  (žr. „Kraujo krešuliai venoje (venų tromboembolija)“);</w:t>
      </w:r>
    </w:p>
    <w:p w14:paraId="765137AE" w14:textId="32B912F1"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padidėjusi rizika susirgti nuo estrogenų priklausomu vėžiu (tai yra Jūsų motina, sesuo arba senelė sirgo krūties vėžiu);</w:t>
      </w:r>
    </w:p>
    <w:p w14:paraId="24D2104A" w14:textId="23A470F3"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aukštas kraujospūdis;</w:t>
      </w:r>
    </w:p>
    <w:p w14:paraId="29C7A6F3" w14:textId="3E7384BA"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kepenų liga, pavyzdžiui, gerybinis kepenų auglys;</w:t>
      </w:r>
    </w:p>
    <w:p w14:paraId="6B5C775D" w14:textId="52E3170A" w:rsidR="004C5B03" w:rsidRPr="004C5B03" w:rsidRDefault="00776D50" w:rsidP="00776D50">
      <w:pPr>
        <w:ind w:left="567" w:hanging="567"/>
        <w:rPr>
          <w:b/>
          <w:lang w:val="lt-LT" w:bidi="he-IL"/>
        </w:rPr>
      </w:pPr>
      <w:r w:rsidRPr="005265C0">
        <w:rPr>
          <w:lang w:val="lt-LT"/>
        </w:rPr>
        <w:t>•</w:t>
      </w:r>
      <w:r w:rsidRPr="005265C0">
        <w:rPr>
          <w:lang w:val="lt-LT"/>
        </w:rPr>
        <w:tab/>
      </w:r>
      <w:r w:rsidR="004C5B03" w:rsidRPr="004C5B03">
        <w:rPr>
          <w:lang w:val="lt-LT" w:bidi="he-IL"/>
        </w:rPr>
        <w:t xml:space="preserve">diabetas; </w:t>
      </w:r>
    </w:p>
    <w:p w14:paraId="555C28BD" w14:textId="7526DF63" w:rsidR="004C5B03" w:rsidRPr="004C5B03" w:rsidRDefault="00776D50" w:rsidP="00776D50">
      <w:pPr>
        <w:ind w:left="567" w:hanging="567"/>
        <w:rPr>
          <w:b/>
          <w:lang w:val="lt-LT" w:bidi="he-IL"/>
        </w:rPr>
      </w:pPr>
      <w:r w:rsidRPr="005265C0">
        <w:rPr>
          <w:lang w:val="lt-LT"/>
        </w:rPr>
        <w:t>•</w:t>
      </w:r>
      <w:r w:rsidRPr="005265C0">
        <w:rPr>
          <w:lang w:val="lt-LT"/>
        </w:rPr>
        <w:tab/>
      </w:r>
      <w:r w:rsidR="004C5B03" w:rsidRPr="004C5B03">
        <w:rPr>
          <w:lang w:val="lt-LT" w:bidi="he-IL"/>
        </w:rPr>
        <w:t>tulžies pūslės akmenys;</w:t>
      </w:r>
    </w:p>
    <w:p w14:paraId="4B93C189" w14:textId="21E03D9E" w:rsidR="004C5B03" w:rsidRPr="004C5B03" w:rsidRDefault="00776D50" w:rsidP="00776D50">
      <w:pPr>
        <w:ind w:left="567" w:hanging="567"/>
        <w:rPr>
          <w:lang w:val="lt-LT" w:bidi="he-IL"/>
        </w:rPr>
      </w:pPr>
      <w:r w:rsidRPr="005265C0">
        <w:rPr>
          <w:lang w:val="lt-LT"/>
        </w:rPr>
        <w:lastRenderedPageBreak/>
        <w:t>•</w:t>
      </w:r>
      <w:r w:rsidRPr="005265C0">
        <w:rPr>
          <w:lang w:val="lt-LT"/>
        </w:rPr>
        <w:tab/>
      </w:r>
      <w:r w:rsidR="004C5B03" w:rsidRPr="004C5B03">
        <w:rPr>
          <w:lang w:val="lt-LT" w:bidi="he-IL"/>
        </w:rPr>
        <w:t>migrena arba stiprūs galvos skausmai;</w:t>
      </w:r>
    </w:p>
    <w:p w14:paraId="7E748DAA" w14:textId="075F20CF"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imuninės sistemos liga, kuri pažeidžia daug organų (sisteminė raudonoji vilkligė (SRV);</w:t>
      </w:r>
    </w:p>
    <w:p w14:paraId="586BBE59" w14:textId="5B807854"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epilepsija;</w:t>
      </w:r>
    </w:p>
    <w:p w14:paraId="38724575" w14:textId="7542BC23"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astma;</w:t>
      </w:r>
    </w:p>
    <w:p w14:paraId="12DF6D47" w14:textId="3FBD708D"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liga, pažeidžianti ausies būgnelį ir klausą (otosklerozė);</w:t>
      </w:r>
    </w:p>
    <w:p w14:paraId="206FF31E" w14:textId="7741CB90"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labai didelis riebalų (trigliceridų) kiekis Jūsų kraujyje;</w:t>
      </w:r>
    </w:p>
    <w:p w14:paraId="01CE93D4" w14:textId="404D0203"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skysčių susilaikymas dėl širdies ar inkstų ligų;</w:t>
      </w:r>
    </w:p>
    <w:p w14:paraId="6D09DBE4" w14:textId="3D014CD9"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liga, kai Jūsų skydliaukė negamina pakankamai skydliaukės hormonų (hipotiroidizmas) ir Jūs esate gydoma pakaitine skydliaukės hormonų terapija;</w:t>
      </w:r>
    </w:p>
    <w:p w14:paraId="2E45BCA8" w14:textId="3573B6C0"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paveldimoji liga, sukelianti pasikartojančius sunkaus tinimo epizodus (paveldimoji angioedema), arba Jums buvo staigaus plaštakų, veido, pėdų, lūpų, akių, liežuvio, gerklės (kvėpavimo takų užsikimšimo) arba virškinimo trakto tinimo epizodų</w:t>
      </w:r>
      <w:r w:rsidR="00BA32FE">
        <w:rPr>
          <w:lang w:val="lt-LT" w:bidi="he-IL"/>
        </w:rPr>
        <w:t xml:space="preserve"> (įgyta angioedema)</w:t>
      </w:r>
      <w:r w:rsidR="004C5B03" w:rsidRPr="004C5B03">
        <w:rPr>
          <w:lang w:val="lt-LT" w:bidi="he-IL"/>
        </w:rPr>
        <w:t>;</w:t>
      </w:r>
    </w:p>
    <w:p w14:paraId="44634921" w14:textId="57B38A2D"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laktozės netoleravimas.</w:t>
      </w:r>
    </w:p>
    <w:p w14:paraId="2FF9577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B9E7B2E"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Nutraukite Novofem vartojimą ir nedelsdama apsilankykite pas gydytoją</w:t>
      </w:r>
    </w:p>
    <w:p w14:paraId="59E85798" w14:textId="77777777" w:rsidR="004C5B03" w:rsidRPr="004C5B03" w:rsidRDefault="004C5B03" w:rsidP="004C5B03">
      <w:pPr>
        <w:tabs>
          <w:tab w:val="clear" w:pos="567"/>
        </w:tabs>
        <w:suppressAutoHyphens w:val="0"/>
        <w:rPr>
          <w:rFonts w:asciiTheme="majorBidi" w:hAnsiTheme="majorBidi" w:cstheme="majorBidi"/>
          <w:i/>
          <w:szCs w:val="22"/>
          <w:lang w:val="lt-LT" w:bidi="he-IL"/>
        </w:rPr>
      </w:pPr>
      <w:r w:rsidRPr="004C5B03">
        <w:rPr>
          <w:rFonts w:asciiTheme="majorBidi" w:hAnsiTheme="majorBidi" w:cstheme="majorBidi"/>
          <w:szCs w:val="22"/>
          <w:lang w:val="lt-LT" w:bidi="he-IL"/>
        </w:rPr>
        <w:t>Jeigu vartodama PHT pastebite kurį nors iš išvardytų dalykų:</w:t>
      </w:r>
    </w:p>
    <w:p w14:paraId="417551CA" w14:textId="6A602AD8"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kurią nors būklę, paminėtą skyriuje „Novofem vartoti negalima“;</w:t>
      </w:r>
    </w:p>
    <w:p w14:paraId="4CCF779E" w14:textId="385A6CFF" w:rsid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odos arba akių baltymų pageltimą (geltą). Tai gali būti kepenų ligos požymiai;</w:t>
      </w:r>
    </w:p>
    <w:p w14:paraId="00145579" w14:textId="5D1F8C6A" w:rsidR="005C6DFB" w:rsidRPr="005C6DFB" w:rsidRDefault="005C6DFB" w:rsidP="000E2A1A">
      <w:pPr>
        <w:pStyle w:val="Sraopastraipa"/>
        <w:numPr>
          <w:ilvl w:val="0"/>
          <w:numId w:val="24"/>
        </w:numPr>
        <w:ind w:left="567" w:hanging="567"/>
        <w:rPr>
          <w:lang w:val="lt-LT" w:bidi="he-IL"/>
        </w:rPr>
      </w:pPr>
      <w:r w:rsidRPr="005C6DFB">
        <w:rPr>
          <w:lang w:val="lt-LT"/>
        </w:rPr>
        <w:t>veido, liežuvio ir (arba) gerklės patinimas ir (arba) pasunkėjęs rijimas arba dilgėlinė, kartu su pasunkėjusiu kvėpavimu. Tai gali būti angioedemos požymiai;</w:t>
      </w:r>
    </w:p>
    <w:p w14:paraId="4E2CBBF1" w14:textId="0C4B14D3"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stipriai pakilo kraujospūdis (požymiai gali būti galvos skausmas, nuovargis, galvos sukimasis);</w:t>
      </w:r>
    </w:p>
    <w:p w14:paraId="2532FAB3" w14:textId="105BB2A9"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pirmąkart pasireiškė migreninio tipo galvos skausmai;</w:t>
      </w:r>
    </w:p>
    <w:p w14:paraId="2FC858F4" w14:textId="785349C3"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pastojote;</w:t>
      </w:r>
    </w:p>
    <w:p w14:paraId="34095DC3" w14:textId="2B0D7EC7"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pastebėjote kraujo krešulio požymius, pavyzdžiui: </w:t>
      </w:r>
    </w:p>
    <w:p w14:paraId="665EC280" w14:textId="6F927A3E" w:rsidR="004C5B03" w:rsidRPr="004C5B03" w:rsidRDefault="00776D50" w:rsidP="00776D50">
      <w:pPr>
        <w:ind w:left="1134" w:hanging="567"/>
        <w:rPr>
          <w:lang w:val="lt-LT" w:bidi="he-IL"/>
        </w:rPr>
      </w:pPr>
      <w:r w:rsidRPr="005265C0">
        <w:rPr>
          <w:lang w:val="pt-BR"/>
        </w:rPr>
        <w:t>–</w:t>
      </w:r>
      <w:r w:rsidRPr="005265C0">
        <w:rPr>
          <w:lang w:val="pt-BR"/>
        </w:rPr>
        <w:tab/>
      </w:r>
      <w:r w:rsidR="004C5B03" w:rsidRPr="004C5B03">
        <w:rPr>
          <w:lang w:val="lt-LT" w:bidi="he-IL"/>
        </w:rPr>
        <w:t>skausmingas kojų patinimas ir paraudimas,</w:t>
      </w:r>
    </w:p>
    <w:p w14:paraId="5C589F56" w14:textId="02887D65" w:rsidR="004C5B03" w:rsidRPr="004C5B03" w:rsidRDefault="00776D50" w:rsidP="00776D50">
      <w:pPr>
        <w:ind w:left="1134" w:hanging="567"/>
        <w:rPr>
          <w:lang w:val="lt-LT" w:bidi="he-IL"/>
        </w:rPr>
      </w:pPr>
      <w:r w:rsidRPr="005265C0">
        <w:rPr>
          <w:lang w:val="lt-LT"/>
        </w:rPr>
        <w:t>–</w:t>
      </w:r>
      <w:r w:rsidRPr="005265C0">
        <w:rPr>
          <w:lang w:val="lt-LT"/>
        </w:rPr>
        <w:tab/>
      </w:r>
      <w:r w:rsidR="004C5B03" w:rsidRPr="004C5B03">
        <w:rPr>
          <w:lang w:val="lt-LT" w:bidi="he-IL"/>
        </w:rPr>
        <w:t>staigus skausmas krūtinėje,</w:t>
      </w:r>
    </w:p>
    <w:p w14:paraId="4EE5833A" w14:textId="195052D8" w:rsidR="004C5B03" w:rsidRPr="004C5B03" w:rsidRDefault="00776D50" w:rsidP="00776D50">
      <w:pPr>
        <w:ind w:left="1134" w:hanging="567"/>
        <w:rPr>
          <w:lang w:val="lt-LT" w:bidi="he-IL"/>
        </w:rPr>
      </w:pPr>
      <w:r w:rsidRPr="005265C0">
        <w:rPr>
          <w:lang w:val="lt-LT"/>
        </w:rPr>
        <w:t>–</w:t>
      </w:r>
      <w:r w:rsidRPr="005265C0">
        <w:rPr>
          <w:lang w:val="lt-LT"/>
        </w:rPr>
        <w:tab/>
      </w:r>
      <w:r w:rsidR="004C5B03" w:rsidRPr="004C5B03">
        <w:rPr>
          <w:lang w:val="lt-LT" w:bidi="he-IL"/>
        </w:rPr>
        <w:t>pasunkėjęs kvėpavimas.</w:t>
      </w:r>
    </w:p>
    <w:p w14:paraId="55E831D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Daugiau informacijos pateikiama skyriuje „Kraujo krešuliai venoje (venų tromboembolija)“.</w:t>
      </w:r>
    </w:p>
    <w:p w14:paraId="47CDFDC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48D4C87" w14:textId="1E241B1B"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Pastaba:</w:t>
      </w:r>
      <w:r w:rsidRPr="004C5B03">
        <w:rPr>
          <w:rFonts w:asciiTheme="majorBidi" w:hAnsiTheme="majorBidi" w:cstheme="majorBidi"/>
          <w:szCs w:val="22"/>
          <w:lang w:val="lt-LT" w:bidi="he-IL"/>
        </w:rPr>
        <w:t xml:space="preserve"> Novofem nėra kontraceptinė priemonė. Jeigu dar nėra praėję 12</w:t>
      </w:r>
      <w:r w:rsidR="00E70212">
        <w:rPr>
          <w:rFonts w:asciiTheme="majorBidi" w:hAnsiTheme="majorBidi" w:cstheme="majorBidi"/>
          <w:szCs w:val="22"/>
          <w:lang w:val="lt-LT" w:bidi="he-IL"/>
        </w:rPr>
        <w:t> </w:t>
      </w:r>
      <w:r w:rsidRPr="004C5B03">
        <w:rPr>
          <w:rFonts w:asciiTheme="majorBidi" w:hAnsiTheme="majorBidi" w:cstheme="majorBidi"/>
          <w:szCs w:val="22"/>
          <w:lang w:val="lt-LT" w:bidi="he-IL"/>
        </w:rPr>
        <w:t>mėnesių po paskutinių Jūsų mėnesinių arba Jums yra mažiau negu 50</w:t>
      </w:r>
      <w:r w:rsidR="00E70212">
        <w:rPr>
          <w:rFonts w:asciiTheme="majorBidi" w:hAnsiTheme="majorBidi" w:cstheme="majorBidi"/>
          <w:szCs w:val="22"/>
          <w:lang w:val="lt-LT" w:bidi="he-IL"/>
        </w:rPr>
        <w:t> </w:t>
      </w:r>
      <w:r w:rsidRPr="004C5B03">
        <w:rPr>
          <w:rFonts w:asciiTheme="majorBidi" w:hAnsiTheme="majorBidi" w:cstheme="majorBidi"/>
          <w:szCs w:val="22"/>
          <w:lang w:val="lt-LT" w:bidi="he-IL"/>
        </w:rPr>
        <w:t>metų, Jums gali reikėti naudoti papildomą kontracepciją norint išvengti nėštumo. Pasitarkite su savo gydytoju.</w:t>
      </w:r>
    </w:p>
    <w:p w14:paraId="7BBDA85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5EFEE84"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PHT ir vėžys</w:t>
      </w:r>
    </w:p>
    <w:p w14:paraId="5D5C88E6"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Gimdos gleivinės išvešėjimas (endometriumo hiperplazija) ir gimdos gleivinės vėžys (endometriumo vėžys)</w:t>
      </w:r>
    </w:p>
    <w:p w14:paraId="41FCBD24"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Vartojant vien estrogenų PHT padidėja rizika susirgti gimdos gleivinės išvešėjimu (endometriumo hiperplazija) ir gimdos gleivinės vėžiu (endometriumo vėžiu).</w:t>
      </w:r>
    </w:p>
    <w:p w14:paraId="0F3D5CB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sudėtyje esantys progestagenai apsaugo Jus nuo šios papildomos rizikos.</w:t>
      </w:r>
    </w:p>
    <w:p w14:paraId="401A6CB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0C95D9B"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Palyginkite</w:t>
      </w:r>
    </w:p>
    <w:p w14:paraId="5818D4D4" w14:textId="59E6178B"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Iš 1</w:t>
      </w:r>
      <w:r w:rsidR="00B51D94"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w:t>
      </w:r>
      <w:r w:rsidRPr="004C5B03">
        <w:rPr>
          <w:rFonts w:asciiTheme="majorBidi" w:hAnsiTheme="majorBidi" w:cstheme="majorBidi"/>
          <w:szCs w:val="22"/>
          <w:lang w:val="lt-LT" w:bidi="he-IL"/>
        </w:rPr>
        <w:noBreakHyphen/>
        <w:t>io 50–65 metų amžiaus moterų, kurioms nepašalinta gimda, nevartojančių PHT,</w:t>
      </w:r>
      <w:r w:rsidRPr="004C5B03">
        <w:rPr>
          <w:rFonts w:asciiTheme="majorBidi" w:hAnsiTheme="majorBidi" w:cstheme="majorBidi"/>
          <w:b/>
          <w:szCs w:val="22"/>
          <w:lang w:val="lt-LT" w:bidi="he-IL"/>
        </w:rPr>
        <w:t xml:space="preserve"> </w:t>
      </w:r>
      <w:r w:rsidRPr="004C5B03">
        <w:rPr>
          <w:rFonts w:asciiTheme="majorBidi" w:hAnsiTheme="majorBidi" w:cstheme="majorBidi"/>
          <w:szCs w:val="22"/>
          <w:lang w:val="lt-LT" w:bidi="he-IL"/>
        </w:rPr>
        <w:t>vidutiniškai 5 bus diagnozuotas endometriumo vėžys.</w:t>
      </w:r>
    </w:p>
    <w:p w14:paraId="497153D9" w14:textId="31589A23"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Iš 1</w:t>
      </w:r>
      <w:r w:rsidR="00B51D94"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w:t>
      </w:r>
      <w:r w:rsidRPr="004C5B03">
        <w:rPr>
          <w:rFonts w:asciiTheme="majorBidi" w:hAnsiTheme="majorBidi" w:cstheme="majorBidi"/>
          <w:szCs w:val="22"/>
          <w:lang w:val="lt-LT" w:bidi="he-IL"/>
        </w:rPr>
        <w:noBreakHyphen/>
        <w:t>io nuo 50 iki 65 metų amžiaus moterų, kurioms nepašalinta gimda, vartojančių vien estrogenų PHT, priklausomai nuo vaisto dozės bei vartojimo trukmės, nuo 10 iki 60 moterų bus diagnozuotas endometriumo vėžys (t.y. nuo 5 iki 55 papildomų atvejų).</w:t>
      </w:r>
    </w:p>
    <w:p w14:paraId="1BAA76D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59DC2C3"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Netikėtas kraujavimas</w:t>
      </w:r>
    </w:p>
    <w:p w14:paraId="40459692"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Vartodama Novofem kraujuosite kartą per mėnesį (vadinamosios “nutraukimo mėnesinės”). Tačiau jeigu, be mėnesinio kraujavimo, kraujuojate netikėtai arba pasirodo kraujo lašų (tepimas) ir tai:</w:t>
      </w:r>
    </w:p>
    <w:p w14:paraId="48AE2FE3" w14:textId="6A3098C6"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tęsiasi ilgiau negu pirmus 6</w:t>
      </w:r>
      <w:r w:rsidR="00E701EB">
        <w:rPr>
          <w:lang w:val="lt-LT" w:bidi="he-IL"/>
        </w:rPr>
        <w:t> </w:t>
      </w:r>
      <w:r w:rsidR="004C5B03" w:rsidRPr="004C5B03">
        <w:rPr>
          <w:lang w:val="lt-LT" w:bidi="he-IL"/>
        </w:rPr>
        <w:t xml:space="preserve">mėnesius; </w:t>
      </w:r>
    </w:p>
    <w:p w14:paraId="5D6FF0EE" w14:textId="6561C615" w:rsidR="004C5B03" w:rsidRPr="004C5B03" w:rsidRDefault="00776D50" w:rsidP="00776D50">
      <w:pPr>
        <w:ind w:left="567" w:hanging="567"/>
        <w:rPr>
          <w:lang w:val="lt-LT" w:bidi="he-IL"/>
        </w:rPr>
      </w:pPr>
      <w:r w:rsidRPr="006E2C36">
        <w:rPr>
          <w:lang w:val="lt-LT"/>
        </w:rPr>
        <w:t>•</w:t>
      </w:r>
      <w:r w:rsidRPr="006E2C36">
        <w:rPr>
          <w:lang w:val="lt-LT"/>
        </w:rPr>
        <w:tab/>
      </w:r>
      <w:r w:rsidR="004C5B03" w:rsidRPr="004C5B03">
        <w:rPr>
          <w:lang w:val="lt-LT" w:bidi="he-IL"/>
        </w:rPr>
        <w:t>prasideda pavartojus Novofem ilgiau negu 6</w:t>
      </w:r>
      <w:r w:rsidR="00E701EB">
        <w:rPr>
          <w:lang w:val="lt-LT" w:bidi="he-IL"/>
        </w:rPr>
        <w:t> </w:t>
      </w:r>
      <w:r w:rsidR="004C5B03" w:rsidRPr="004C5B03">
        <w:rPr>
          <w:lang w:val="lt-LT" w:bidi="he-IL"/>
        </w:rPr>
        <w:t xml:space="preserve">mėnesius; </w:t>
      </w:r>
    </w:p>
    <w:p w14:paraId="2A7AAFA8" w14:textId="2D5B78C1"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tęsiasi nustojus vartoti Novofem, </w:t>
      </w:r>
    </w:p>
    <w:p w14:paraId="3FB187A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kuo skubiau kreipkitės į gydytoją.</w:t>
      </w:r>
    </w:p>
    <w:p w14:paraId="18AE511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26A7C88"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lastRenderedPageBreak/>
        <w:t>Krūties vėžys</w:t>
      </w:r>
    </w:p>
    <w:p w14:paraId="7A3853AE" w14:textId="3C66B45E" w:rsidR="004C5B03" w:rsidRPr="004C5B03" w:rsidRDefault="00AA55CF" w:rsidP="004C5B03">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bendrų įrodymų matyti</w:t>
      </w:r>
      <w:r w:rsidR="004C5B03" w:rsidRPr="004C5B03">
        <w:rPr>
          <w:rFonts w:asciiTheme="majorBidi" w:hAnsiTheme="majorBidi" w:cstheme="majorBidi"/>
          <w:szCs w:val="22"/>
          <w:lang w:val="lt-LT" w:bidi="he-IL"/>
        </w:rPr>
        <w:t xml:space="preserve">, kad </w:t>
      </w:r>
      <w:r>
        <w:rPr>
          <w:rFonts w:asciiTheme="majorBidi" w:hAnsiTheme="majorBidi" w:cstheme="majorBidi"/>
          <w:szCs w:val="22"/>
          <w:lang w:val="lt-LT" w:bidi="he-IL"/>
        </w:rPr>
        <w:t xml:space="preserve">vartojant </w:t>
      </w:r>
      <w:r w:rsidR="004C5B03" w:rsidRPr="004C5B03">
        <w:rPr>
          <w:rFonts w:asciiTheme="majorBidi" w:hAnsiTheme="majorBidi" w:cstheme="majorBidi"/>
          <w:szCs w:val="22"/>
          <w:lang w:val="lt-LT" w:bidi="he-IL"/>
        </w:rPr>
        <w:t>sudėtin</w:t>
      </w:r>
      <w:r>
        <w:rPr>
          <w:rFonts w:asciiTheme="majorBidi" w:hAnsiTheme="majorBidi" w:cstheme="majorBidi"/>
          <w:szCs w:val="22"/>
          <w:lang w:val="lt-LT" w:bidi="he-IL"/>
        </w:rPr>
        <w:t>iu</w:t>
      </w:r>
      <w:r w:rsidR="004C5B03" w:rsidRPr="004C5B03">
        <w:rPr>
          <w:rFonts w:asciiTheme="majorBidi" w:hAnsiTheme="majorBidi" w:cstheme="majorBidi"/>
          <w:szCs w:val="22"/>
          <w:lang w:val="lt-LT" w:bidi="he-IL"/>
        </w:rPr>
        <w:t xml:space="preserve">s </w:t>
      </w:r>
      <w:r>
        <w:rPr>
          <w:rFonts w:asciiTheme="majorBidi" w:hAnsiTheme="majorBidi" w:cstheme="majorBidi"/>
          <w:szCs w:val="22"/>
          <w:lang w:val="lt-LT" w:bidi="he-IL"/>
        </w:rPr>
        <w:t>pakaitinės hormonų terapijos (</w:t>
      </w:r>
      <w:r w:rsidRPr="004C5B03">
        <w:rPr>
          <w:rFonts w:asciiTheme="majorBidi" w:hAnsiTheme="majorBidi" w:cstheme="majorBidi"/>
          <w:szCs w:val="22"/>
          <w:lang w:val="lt-LT" w:bidi="he-IL"/>
        </w:rPr>
        <w:t>PHT</w:t>
      </w:r>
      <w:r>
        <w:rPr>
          <w:rFonts w:asciiTheme="majorBidi" w:hAnsiTheme="majorBidi" w:cstheme="majorBidi"/>
          <w:szCs w:val="22"/>
          <w:lang w:val="lt-LT" w:bidi="he-IL"/>
        </w:rPr>
        <w:t xml:space="preserve">) preparatus su </w:t>
      </w:r>
      <w:r w:rsidR="004C5B03" w:rsidRPr="004C5B03">
        <w:rPr>
          <w:rFonts w:asciiTheme="majorBidi" w:hAnsiTheme="majorBidi" w:cstheme="majorBidi"/>
          <w:szCs w:val="22"/>
          <w:lang w:val="lt-LT" w:bidi="he-IL"/>
        </w:rPr>
        <w:t>estrogen</w:t>
      </w:r>
      <w:r>
        <w:rPr>
          <w:rFonts w:asciiTheme="majorBidi" w:hAnsiTheme="majorBidi" w:cstheme="majorBidi"/>
          <w:szCs w:val="22"/>
          <w:lang w:val="lt-LT" w:bidi="he-IL"/>
        </w:rPr>
        <w:t xml:space="preserve">o ir </w:t>
      </w:r>
      <w:r w:rsidR="004C5B03" w:rsidRPr="004C5B03">
        <w:rPr>
          <w:rFonts w:asciiTheme="majorBidi" w:hAnsiTheme="majorBidi" w:cstheme="majorBidi"/>
          <w:szCs w:val="22"/>
          <w:lang w:val="lt-LT" w:bidi="he-IL"/>
        </w:rPr>
        <w:t>progestagen</w:t>
      </w:r>
      <w:r>
        <w:rPr>
          <w:rFonts w:asciiTheme="majorBidi" w:hAnsiTheme="majorBidi" w:cstheme="majorBidi"/>
          <w:szCs w:val="22"/>
          <w:lang w:val="lt-LT" w:bidi="he-IL"/>
        </w:rPr>
        <w:t xml:space="preserve">o deriniu arba </w:t>
      </w:r>
      <w:r w:rsidRPr="004C5B03">
        <w:rPr>
          <w:rFonts w:asciiTheme="majorBidi" w:hAnsiTheme="majorBidi" w:cstheme="majorBidi"/>
          <w:szCs w:val="22"/>
          <w:lang w:val="lt-LT" w:bidi="he-IL"/>
        </w:rPr>
        <w:t xml:space="preserve">PHT </w:t>
      </w:r>
      <w:r>
        <w:rPr>
          <w:rFonts w:asciiTheme="majorBidi" w:hAnsiTheme="majorBidi" w:cstheme="majorBidi"/>
          <w:szCs w:val="22"/>
          <w:lang w:val="lt-LT" w:bidi="he-IL"/>
        </w:rPr>
        <w:t>preparatus su</w:t>
      </w:r>
      <w:r w:rsidR="004C5B03" w:rsidRPr="004C5B03">
        <w:rPr>
          <w:rFonts w:asciiTheme="majorBidi" w:hAnsiTheme="majorBidi" w:cstheme="majorBidi"/>
          <w:szCs w:val="22"/>
          <w:lang w:val="lt-LT" w:bidi="he-IL"/>
        </w:rPr>
        <w:t xml:space="preserve"> vien</w:t>
      </w:r>
      <w:r>
        <w:rPr>
          <w:rFonts w:asciiTheme="majorBidi" w:hAnsiTheme="majorBidi" w:cstheme="majorBidi"/>
          <w:szCs w:val="22"/>
          <w:lang w:val="lt-LT" w:bidi="he-IL"/>
        </w:rPr>
        <w:t>u</w:t>
      </w:r>
      <w:r w:rsidR="004C5B03" w:rsidRPr="004C5B03">
        <w:rPr>
          <w:rFonts w:asciiTheme="majorBidi" w:hAnsiTheme="majorBidi" w:cstheme="majorBidi"/>
          <w:szCs w:val="22"/>
          <w:lang w:val="lt-LT" w:bidi="he-IL"/>
        </w:rPr>
        <w:t xml:space="preserve"> estrogen</w:t>
      </w:r>
      <w:r>
        <w:rPr>
          <w:rFonts w:asciiTheme="majorBidi" w:hAnsiTheme="majorBidi" w:cstheme="majorBidi"/>
          <w:szCs w:val="22"/>
          <w:lang w:val="lt-LT" w:bidi="he-IL"/>
        </w:rPr>
        <w:t>u, kyla</w:t>
      </w:r>
      <w:r w:rsidR="004C5B03" w:rsidRPr="004C5B03">
        <w:rPr>
          <w:rFonts w:asciiTheme="majorBidi" w:hAnsiTheme="majorBidi" w:cstheme="majorBidi"/>
          <w:szCs w:val="22"/>
          <w:lang w:val="lt-LT" w:bidi="he-IL"/>
        </w:rPr>
        <w:t xml:space="preserve"> did</w:t>
      </w:r>
      <w:r>
        <w:rPr>
          <w:rFonts w:asciiTheme="majorBidi" w:hAnsiTheme="majorBidi" w:cstheme="majorBidi"/>
          <w:szCs w:val="22"/>
          <w:lang w:val="lt-LT" w:bidi="he-IL"/>
        </w:rPr>
        <w:t>esnė</w:t>
      </w:r>
      <w:r w:rsidR="004C5B03" w:rsidRPr="004C5B03">
        <w:rPr>
          <w:rFonts w:asciiTheme="majorBidi" w:hAnsiTheme="majorBidi" w:cstheme="majorBidi"/>
          <w:szCs w:val="22"/>
          <w:lang w:val="lt-LT" w:bidi="he-IL"/>
        </w:rPr>
        <w:t xml:space="preserve"> krūties vėžio rizik</w:t>
      </w:r>
      <w:r>
        <w:rPr>
          <w:rFonts w:asciiTheme="majorBidi" w:hAnsiTheme="majorBidi" w:cstheme="majorBidi"/>
          <w:szCs w:val="22"/>
          <w:lang w:val="lt-LT" w:bidi="he-IL"/>
        </w:rPr>
        <w:t>a</w:t>
      </w:r>
      <w:r w:rsidR="004C5B03"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Ši padidėjusi</w:t>
      </w:r>
      <w:r w:rsidR="004C5B03" w:rsidRPr="004C5B03">
        <w:rPr>
          <w:rFonts w:asciiTheme="majorBidi" w:hAnsiTheme="majorBidi" w:cstheme="majorBidi"/>
          <w:szCs w:val="22"/>
          <w:lang w:val="lt-LT" w:bidi="he-IL"/>
        </w:rPr>
        <w:t xml:space="preserve"> rizik</w:t>
      </w:r>
      <w:r>
        <w:rPr>
          <w:rFonts w:asciiTheme="majorBidi" w:hAnsiTheme="majorBidi" w:cstheme="majorBidi"/>
          <w:szCs w:val="22"/>
          <w:lang w:val="lt-LT" w:bidi="he-IL"/>
        </w:rPr>
        <w:t>a</w:t>
      </w:r>
      <w:r w:rsidR="004C5B03"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priklauso nuo to</w:t>
      </w:r>
      <w:r w:rsidR="004C5B03" w:rsidRPr="004C5B03">
        <w:rPr>
          <w:rFonts w:asciiTheme="majorBidi" w:hAnsiTheme="majorBidi" w:cstheme="majorBidi"/>
          <w:szCs w:val="22"/>
          <w:lang w:val="lt-LT" w:bidi="he-IL"/>
        </w:rPr>
        <w:t>, k</w:t>
      </w:r>
      <w:r>
        <w:rPr>
          <w:rFonts w:asciiTheme="majorBidi" w:hAnsiTheme="majorBidi" w:cstheme="majorBidi"/>
          <w:szCs w:val="22"/>
          <w:lang w:val="lt-LT" w:bidi="he-IL"/>
        </w:rPr>
        <w:t>aip</w:t>
      </w:r>
      <w:r w:rsidR="004C5B03" w:rsidRPr="004C5B03">
        <w:rPr>
          <w:rFonts w:asciiTheme="majorBidi" w:hAnsiTheme="majorBidi" w:cstheme="majorBidi"/>
          <w:szCs w:val="22"/>
          <w:lang w:val="lt-LT" w:bidi="he-IL"/>
        </w:rPr>
        <w:t xml:space="preserve"> ilga</w:t>
      </w:r>
      <w:r>
        <w:rPr>
          <w:rFonts w:asciiTheme="majorBidi" w:hAnsiTheme="majorBidi" w:cstheme="majorBidi"/>
          <w:szCs w:val="22"/>
          <w:lang w:val="lt-LT" w:bidi="he-IL"/>
        </w:rPr>
        <w:t>i</w:t>
      </w:r>
      <w:r w:rsidR="004C5B03" w:rsidRPr="004C5B03">
        <w:rPr>
          <w:rFonts w:asciiTheme="majorBidi" w:hAnsiTheme="majorBidi" w:cstheme="majorBidi"/>
          <w:szCs w:val="22"/>
          <w:lang w:val="lt-LT" w:bidi="he-IL"/>
        </w:rPr>
        <w:t xml:space="preserve"> vartojate PHT</w:t>
      </w:r>
      <w:r>
        <w:rPr>
          <w:rFonts w:asciiTheme="majorBidi" w:hAnsiTheme="majorBidi" w:cstheme="majorBidi"/>
          <w:szCs w:val="22"/>
          <w:lang w:val="lt-LT" w:bidi="he-IL"/>
        </w:rPr>
        <w:t xml:space="preserve"> preparatus</w:t>
      </w:r>
      <w:r w:rsidR="004C5B03" w:rsidRPr="004C5B03">
        <w:rPr>
          <w:rFonts w:asciiTheme="majorBidi" w:hAnsiTheme="majorBidi" w:cstheme="majorBidi"/>
          <w:szCs w:val="22"/>
          <w:lang w:val="lt-LT" w:bidi="he-IL"/>
        </w:rPr>
        <w:t>. Pa</w:t>
      </w:r>
      <w:r>
        <w:rPr>
          <w:rFonts w:asciiTheme="majorBidi" w:hAnsiTheme="majorBidi" w:cstheme="majorBidi"/>
          <w:szCs w:val="22"/>
          <w:lang w:val="lt-LT" w:bidi="he-IL"/>
        </w:rPr>
        <w:t>didėjusi</w:t>
      </w:r>
      <w:r w:rsidR="004C5B03" w:rsidRPr="004C5B03">
        <w:rPr>
          <w:rFonts w:asciiTheme="majorBidi" w:hAnsiTheme="majorBidi" w:cstheme="majorBidi"/>
          <w:szCs w:val="22"/>
          <w:lang w:val="lt-LT" w:bidi="he-IL"/>
        </w:rPr>
        <w:t xml:space="preserve"> rizika </w:t>
      </w:r>
      <w:r>
        <w:rPr>
          <w:rFonts w:asciiTheme="majorBidi" w:hAnsiTheme="majorBidi" w:cstheme="majorBidi"/>
          <w:szCs w:val="22"/>
          <w:lang w:val="lt-LT" w:bidi="he-IL"/>
        </w:rPr>
        <w:t>išryškėja</w:t>
      </w:r>
      <w:r w:rsidRPr="004C5B03">
        <w:rPr>
          <w:rFonts w:asciiTheme="majorBidi" w:hAnsiTheme="majorBidi" w:cstheme="majorBidi"/>
          <w:szCs w:val="22"/>
          <w:lang w:val="lt-LT" w:bidi="he-IL"/>
        </w:rPr>
        <w:t xml:space="preserve"> </w:t>
      </w:r>
      <w:r w:rsidR="004C5B03" w:rsidRPr="004C5B03">
        <w:rPr>
          <w:rFonts w:asciiTheme="majorBidi" w:hAnsiTheme="majorBidi" w:cstheme="majorBidi"/>
          <w:szCs w:val="22"/>
          <w:lang w:val="lt-LT" w:bidi="he-IL"/>
        </w:rPr>
        <w:t>p</w:t>
      </w:r>
      <w:r>
        <w:rPr>
          <w:rFonts w:asciiTheme="majorBidi" w:hAnsiTheme="majorBidi" w:cstheme="majorBidi"/>
          <w:szCs w:val="22"/>
          <w:lang w:val="lt-LT" w:bidi="he-IL"/>
        </w:rPr>
        <w:t>er</w:t>
      </w:r>
      <w:r w:rsidR="004C5B03"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trejus</w:t>
      </w:r>
      <w:r w:rsidRPr="004C5B03">
        <w:rPr>
          <w:rFonts w:asciiTheme="majorBidi" w:hAnsiTheme="majorBidi" w:cstheme="majorBidi"/>
          <w:szCs w:val="22"/>
          <w:lang w:val="lt-LT" w:bidi="he-IL"/>
        </w:rPr>
        <w:t xml:space="preserve"> </w:t>
      </w:r>
      <w:r w:rsidR="004C5B03" w:rsidRPr="004C5B03">
        <w:rPr>
          <w:rFonts w:asciiTheme="majorBidi" w:hAnsiTheme="majorBidi" w:cstheme="majorBidi"/>
          <w:szCs w:val="22"/>
          <w:lang w:val="lt-LT" w:bidi="he-IL"/>
        </w:rPr>
        <w:t xml:space="preserve">PHT </w:t>
      </w:r>
      <w:r>
        <w:rPr>
          <w:rFonts w:asciiTheme="majorBidi" w:hAnsiTheme="majorBidi" w:cstheme="majorBidi"/>
          <w:szCs w:val="22"/>
          <w:lang w:val="lt-LT" w:bidi="he-IL"/>
        </w:rPr>
        <w:t xml:space="preserve">preparatų </w:t>
      </w:r>
      <w:r w:rsidR="004C5B03" w:rsidRPr="004C5B03">
        <w:rPr>
          <w:rFonts w:asciiTheme="majorBidi" w:hAnsiTheme="majorBidi" w:cstheme="majorBidi"/>
          <w:szCs w:val="22"/>
          <w:lang w:val="lt-LT" w:bidi="he-IL"/>
        </w:rPr>
        <w:t>vartojimo met</w:t>
      </w:r>
      <w:r>
        <w:rPr>
          <w:rFonts w:asciiTheme="majorBidi" w:hAnsiTheme="majorBidi" w:cstheme="majorBidi"/>
          <w:szCs w:val="22"/>
          <w:lang w:val="lt-LT" w:bidi="he-IL"/>
        </w:rPr>
        <w:t>us</w:t>
      </w:r>
      <w:r w:rsidR="004C5B03"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Nutraukus PHT, ši padidėjusi rizika ilgainiui sumažės, bet tokia rizika gali išlikti 10 metų ar ilgiau, jeigu PHT preparatus vartojate ilgiau nei 5 metus.</w:t>
      </w:r>
    </w:p>
    <w:p w14:paraId="5DEF382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D4A8A23"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Palyginkite</w:t>
      </w:r>
    </w:p>
    <w:p w14:paraId="6FA22340" w14:textId="7E5F061A" w:rsidR="004C5B03" w:rsidRPr="004C5B03" w:rsidRDefault="00AA55C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Per 5 metus PHT preparatų nevartojančių </w:t>
      </w:r>
      <w:r w:rsidR="004C5B03" w:rsidRPr="004C5B03">
        <w:rPr>
          <w:rFonts w:asciiTheme="majorBidi" w:hAnsiTheme="majorBidi" w:cstheme="majorBidi"/>
          <w:szCs w:val="22"/>
          <w:lang w:val="lt-LT" w:bidi="he-IL"/>
        </w:rPr>
        <w:t>50</w:t>
      </w:r>
      <w:r>
        <w:rPr>
          <w:rFonts w:asciiTheme="majorBidi" w:hAnsiTheme="majorBidi" w:cstheme="majorBidi"/>
          <w:szCs w:val="22"/>
          <w:lang w:val="lt-LT" w:bidi="he-IL"/>
        </w:rPr>
        <w:t xml:space="preserve">–54 </w:t>
      </w:r>
      <w:r w:rsidR="004C5B03" w:rsidRPr="004C5B03">
        <w:rPr>
          <w:rFonts w:asciiTheme="majorBidi" w:hAnsiTheme="majorBidi" w:cstheme="majorBidi"/>
          <w:szCs w:val="22"/>
          <w:lang w:val="lt-LT" w:bidi="he-IL"/>
        </w:rPr>
        <w:t>metų amžiaus moterų</w:t>
      </w:r>
      <w:r w:rsidR="004C2773">
        <w:rPr>
          <w:rFonts w:asciiTheme="majorBidi" w:hAnsiTheme="majorBidi" w:cstheme="majorBidi"/>
          <w:szCs w:val="22"/>
          <w:lang w:val="lt-LT" w:bidi="he-IL"/>
        </w:rPr>
        <w:t xml:space="preserve"> grupėje krūties vėžys </w:t>
      </w:r>
      <w:r w:rsidR="004C5B03" w:rsidRPr="004C5B03">
        <w:rPr>
          <w:rFonts w:asciiTheme="majorBidi" w:hAnsiTheme="majorBidi" w:cstheme="majorBidi"/>
          <w:szCs w:val="22"/>
          <w:lang w:val="lt-LT" w:bidi="he-IL"/>
        </w:rPr>
        <w:t xml:space="preserve">bus </w:t>
      </w:r>
      <w:r w:rsidR="004C2773">
        <w:rPr>
          <w:rFonts w:asciiTheme="majorBidi" w:hAnsiTheme="majorBidi" w:cstheme="majorBidi"/>
          <w:szCs w:val="22"/>
          <w:lang w:val="lt-LT" w:bidi="he-IL"/>
        </w:rPr>
        <w:t>nustatytas vidutiniškai</w:t>
      </w:r>
      <w:r w:rsidR="004C2773" w:rsidRPr="004C5B03">
        <w:rPr>
          <w:rFonts w:asciiTheme="majorBidi" w:hAnsiTheme="majorBidi" w:cstheme="majorBidi"/>
          <w:szCs w:val="22"/>
          <w:lang w:val="lt-LT" w:bidi="he-IL"/>
        </w:rPr>
        <w:t xml:space="preserve"> </w:t>
      </w:r>
      <w:r w:rsidR="004C5B03" w:rsidRPr="004C5B03">
        <w:rPr>
          <w:rFonts w:asciiTheme="majorBidi" w:hAnsiTheme="majorBidi" w:cstheme="majorBidi"/>
          <w:szCs w:val="22"/>
          <w:lang w:val="lt-LT" w:bidi="he-IL"/>
        </w:rPr>
        <w:t xml:space="preserve">nuo </w:t>
      </w:r>
      <w:r w:rsidR="004C2773">
        <w:rPr>
          <w:rFonts w:asciiTheme="majorBidi" w:hAnsiTheme="majorBidi" w:cstheme="majorBidi"/>
          <w:szCs w:val="22"/>
          <w:lang w:val="lt-LT" w:bidi="he-IL"/>
        </w:rPr>
        <w:t>13–</w:t>
      </w:r>
      <w:r w:rsidR="004C5B03" w:rsidRPr="004C5B03">
        <w:rPr>
          <w:rFonts w:asciiTheme="majorBidi" w:hAnsiTheme="majorBidi" w:cstheme="majorBidi"/>
          <w:szCs w:val="22"/>
          <w:lang w:val="lt-LT" w:bidi="he-IL"/>
        </w:rPr>
        <w:t xml:space="preserve">17 </w:t>
      </w:r>
      <w:r w:rsidR="004C2773">
        <w:rPr>
          <w:rFonts w:asciiTheme="majorBidi" w:hAnsiTheme="majorBidi" w:cstheme="majorBidi"/>
          <w:szCs w:val="22"/>
          <w:lang w:val="lt-LT" w:bidi="he-IL"/>
        </w:rPr>
        <w:t xml:space="preserve">moterų iš </w:t>
      </w:r>
      <w:r w:rsidR="004C2773" w:rsidRPr="004C5B03">
        <w:rPr>
          <w:rFonts w:asciiTheme="majorBidi" w:hAnsiTheme="majorBidi" w:cstheme="majorBidi"/>
          <w:szCs w:val="22"/>
          <w:lang w:val="lt-LT" w:bidi="he-IL"/>
        </w:rPr>
        <w:t>1</w:t>
      </w:r>
      <w:r w:rsidR="00FB3334" w:rsidRPr="004C5B03">
        <w:rPr>
          <w:rFonts w:asciiTheme="majorBidi" w:hAnsiTheme="majorBidi" w:cstheme="majorBidi"/>
          <w:b/>
          <w:szCs w:val="22"/>
          <w:lang w:val="lt-LT" w:bidi="he-IL"/>
        </w:rPr>
        <w:t> </w:t>
      </w:r>
      <w:r w:rsidR="004C2773" w:rsidRPr="004C5B03">
        <w:rPr>
          <w:rFonts w:asciiTheme="majorBidi" w:hAnsiTheme="majorBidi" w:cstheme="majorBidi"/>
          <w:szCs w:val="22"/>
          <w:lang w:val="lt-LT" w:bidi="he-IL"/>
        </w:rPr>
        <w:t>000</w:t>
      </w:r>
      <w:r w:rsidR="004C5B03" w:rsidRPr="004C5B03">
        <w:rPr>
          <w:rFonts w:asciiTheme="majorBidi" w:hAnsiTheme="majorBidi" w:cstheme="majorBidi"/>
          <w:szCs w:val="22"/>
          <w:lang w:val="lt-LT" w:bidi="he-IL"/>
        </w:rPr>
        <w:t>.</w:t>
      </w:r>
    </w:p>
    <w:p w14:paraId="73528B98" w14:textId="3A27DF75" w:rsidR="004C2773" w:rsidRDefault="004C2773" w:rsidP="004C2773">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50 metų amžiaus moterų, kurioms PHT vienu estrogenu bus taikoma 5 metus, grupėje bus nustatyta 16–17 atvejų 1</w:t>
      </w:r>
      <w:r w:rsidR="00B51D94" w:rsidRPr="004C5B03">
        <w:rPr>
          <w:rFonts w:asciiTheme="majorBidi" w:hAnsiTheme="majorBidi" w:cstheme="majorBidi"/>
          <w:b/>
          <w:szCs w:val="22"/>
          <w:lang w:val="lt-LT" w:bidi="he-IL"/>
        </w:rPr>
        <w:t> </w:t>
      </w:r>
      <w:r>
        <w:rPr>
          <w:rFonts w:asciiTheme="majorBidi" w:hAnsiTheme="majorBidi" w:cstheme="majorBidi"/>
          <w:szCs w:val="22"/>
          <w:lang w:val="lt-LT" w:bidi="he-IL"/>
        </w:rPr>
        <w:t>000-iui vartotojų (t.y., 0–3 papildomi atvejai).</w:t>
      </w:r>
    </w:p>
    <w:p w14:paraId="3FD6B872" w14:textId="6A062511" w:rsid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50 </w:t>
      </w:r>
      <w:r w:rsidR="004C2773">
        <w:rPr>
          <w:rFonts w:asciiTheme="majorBidi" w:hAnsiTheme="majorBidi" w:cstheme="majorBidi"/>
          <w:szCs w:val="22"/>
          <w:lang w:val="lt-LT" w:bidi="he-IL"/>
        </w:rPr>
        <w:t xml:space="preserve">metų amžiaus moterų, kurioms PHT </w:t>
      </w:r>
      <w:r w:rsidRPr="004C5B03">
        <w:rPr>
          <w:rFonts w:asciiTheme="majorBidi" w:hAnsiTheme="majorBidi" w:cstheme="majorBidi"/>
          <w:szCs w:val="22"/>
          <w:lang w:val="lt-LT" w:bidi="he-IL"/>
        </w:rPr>
        <w:t>estrogen</w:t>
      </w:r>
      <w:r w:rsidR="004C2773">
        <w:rPr>
          <w:rFonts w:asciiTheme="majorBidi" w:hAnsiTheme="majorBidi" w:cstheme="majorBidi"/>
          <w:szCs w:val="22"/>
          <w:lang w:val="lt-LT" w:bidi="he-IL"/>
        </w:rPr>
        <w:t xml:space="preserve">o ir </w:t>
      </w:r>
      <w:r w:rsidRPr="004C5B03">
        <w:rPr>
          <w:rFonts w:asciiTheme="majorBidi" w:hAnsiTheme="majorBidi" w:cstheme="majorBidi"/>
          <w:szCs w:val="22"/>
          <w:lang w:val="lt-LT" w:bidi="he-IL"/>
        </w:rPr>
        <w:t>progestagen</w:t>
      </w:r>
      <w:r w:rsidR="004C2773">
        <w:rPr>
          <w:rFonts w:asciiTheme="majorBidi" w:hAnsiTheme="majorBidi" w:cstheme="majorBidi"/>
          <w:szCs w:val="22"/>
          <w:lang w:val="lt-LT" w:bidi="he-IL"/>
        </w:rPr>
        <w:t>o deriniu bus taikoma</w:t>
      </w:r>
      <w:r w:rsidRPr="004C5B03">
        <w:rPr>
          <w:rFonts w:asciiTheme="majorBidi" w:hAnsiTheme="majorBidi" w:cstheme="majorBidi"/>
          <w:szCs w:val="22"/>
          <w:lang w:val="lt-LT" w:bidi="he-IL"/>
        </w:rPr>
        <w:t xml:space="preserve"> 5 metus, </w:t>
      </w:r>
      <w:r w:rsidR="004C2773">
        <w:rPr>
          <w:rFonts w:asciiTheme="majorBidi" w:hAnsiTheme="majorBidi" w:cstheme="majorBidi"/>
          <w:szCs w:val="22"/>
          <w:lang w:val="lt-LT" w:bidi="he-IL"/>
        </w:rPr>
        <w:t xml:space="preserve">grupėje </w:t>
      </w:r>
      <w:r w:rsidRPr="004C5B03">
        <w:rPr>
          <w:rFonts w:asciiTheme="majorBidi" w:hAnsiTheme="majorBidi" w:cstheme="majorBidi"/>
          <w:szCs w:val="22"/>
          <w:lang w:val="lt-LT" w:bidi="he-IL"/>
        </w:rPr>
        <w:t xml:space="preserve">bus </w:t>
      </w:r>
      <w:r w:rsidR="004C2773">
        <w:rPr>
          <w:rFonts w:asciiTheme="majorBidi" w:hAnsiTheme="majorBidi" w:cstheme="majorBidi"/>
          <w:szCs w:val="22"/>
          <w:lang w:val="lt-LT" w:bidi="he-IL"/>
        </w:rPr>
        <w:t>nustatytas</w:t>
      </w:r>
      <w:r w:rsidRPr="004C5B03">
        <w:rPr>
          <w:rFonts w:asciiTheme="majorBidi" w:hAnsiTheme="majorBidi" w:cstheme="majorBidi"/>
          <w:szCs w:val="22"/>
          <w:lang w:val="lt-LT" w:bidi="he-IL"/>
        </w:rPr>
        <w:t xml:space="preserve"> 2</w:t>
      </w:r>
      <w:r w:rsidR="004C2773">
        <w:rPr>
          <w:rFonts w:asciiTheme="majorBidi" w:hAnsiTheme="majorBidi" w:cstheme="majorBidi"/>
          <w:szCs w:val="22"/>
          <w:lang w:val="lt-LT" w:bidi="he-IL"/>
        </w:rPr>
        <w:t>1</w:t>
      </w:r>
      <w:r w:rsidRPr="004C5B03">
        <w:rPr>
          <w:rFonts w:asciiTheme="majorBidi" w:hAnsiTheme="majorBidi" w:cstheme="majorBidi"/>
          <w:szCs w:val="22"/>
          <w:lang w:val="lt-LT" w:bidi="he-IL"/>
        </w:rPr>
        <w:t xml:space="preserve"> atvej</w:t>
      </w:r>
      <w:r w:rsidR="004C2773">
        <w:rPr>
          <w:rFonts w:asciiTheme="majorBidi" w:hAnsiTheme="majorBidi" w:cstheme="majorBidi"/>
          <w:szCs w:val="22"/>
          <w:lang w:val="lt-LT" w:bidi="he-IL"/>
        </w:rPr>
        <w:t>is</w:t>
      </w:r>
      <w:r w:rsidRPr="004C5B03">
        <w:rPr>
          <w:rFonts w:asciiTheme="majorBidi" w:hAnsiTheme="majorBidi" w:cstheme="majorBidi"/>
          <w:szCs w:val="22"/>
          <w:lang w:val="lt-LT" w:bidi="he-IL"/>
        </w:rPr>
        <w:t xml:space="preserve"> </w:t>
      </w:r>
      <w:r w:rsidR="004C2773" w:rsidRPr="004C5B03">
        <w:rPr>
          <w:rFonts w:asciiTheme="majorBidi" w:hAnsiTheme="majorBidi" w:cstheme="majorBidi"/>
          <w:szCs w:val="22"/>
          <w:lang w:val="lt-LT" w:bidi="he-IL"/>
        </w:rPr>
        <w:t>1</w:t>
      </w:r>
      <w:r w:rsidR="00B51D94" w:rsidRPr="004C5B03">
        <w:rPr>
          <w:rFonts w:asciiTheme="majorBidi" w:hAnsiTheme="majorBidi" w:cstheme="majorBidi"/>
          <w:b/>
          <w:szCs w:val="22"/>
          <w:lang w:val="lt-LT" w:bidi="he-IL"/>
        </w:rPr>
        <w:t> </w:t>
      </w:r>
      <w:r w:rsidR="004C2773" w:rsidRPr="004C5B03">
        <w:rPr>
          <w:rFonts w:asciiTheme="majorBidi" w:hAnsiTheme="majorBidi" w:cstheme="majorBidi"/>
          <w:szCs w:val="22"/>
          <w:lang w:val="lt-LT" w:bidi="he-IL"/>
        </w:rPr>
        <w:t>000-i</w:t>
      </w:r>
      <w:r w:rsidR="004C2773">
        <w:rPr>
          <w:rFonts w:asciiTheme="majorBidi" w:hAnsiTheme="majorBidi" w:cstheme="majorBidi"/>
          <w:szCs w:val="22"/>
          <w:lang w:val="lt-LT" w:bidi="he-IL"/>
        </w:rPr>
        <w:t>ui vartotojų</w:t>
      </w:r>
      <w:r w:rsidR="004C2773" w:rsidRPr="004C5B03">
        <w:rPr>
          <w:rFonts w:asciiTheme="majorBidi" w:hAnsiTheme="majorBidi" w:cstheme="majorBidi"/>
          <w:szCs w:val="22"/>
          <w:lang w:val="lt-LT" w:bidi="he-IL"/>
        </w:rPr>
        <w:t xml:space="preserve"> </w:t>
      </w:r>
      <w:r w:rsidRPr="004C5B03">
        <w:rPr>
          <w:rFonts w:asciiTheme="majorBidi" w:hAnsiTheme="majorBidi" w:cstheme="majorBidi"/>
          <w:szCs w:val="22"/>
          <w:lang w:val="lt-LT" w:bidi="he-IL"/>
        </w:rPr>
        <w:t>(t. y. 4</w:t>
      </w:r>
      <w:r w:rsidR="004C2773">
        <w:rPr>
          <w:rFonts w:asciiTheme="majorBidi" w:hAnsiTheme="majorBidi" w:cstheme="majorBidi"/>
          <w:szCs w:val="22"/>
          <w:lang w:val="lt-LT" w:bidi="he-IL"/>
        </w:rPr>
        <w:t>–8</w:t>
      </w:r>
      <w:r w:rsidRPr="004C5B03">
        <w:rPr>
          <w:rFonts w:asciiTheme="majorBidi" w:hAnsiTheme="majorBidi" w:cstheme="majorBidi"/>
          <w:szCs w:val="22"/>
          <w:lang w:val="lt-LT" w:bidi="he-IL"/>
        </w:rPr>
        <w:t xml:space="preserve"> papildom</w:t>
      </w:r>
      <w:r w:rsidR="004C2773">
        <w:rPr>
          <w:rFonts w:asciiTheme="majorBidi" w:hAnsiTheme="majorBidi" w:cstheme="majorBidi"/>
          <w:szCs w:val="22"/>
          <w:lang w:val="lt-LT" w:bidi="he-IL"/>
        </w:rPr>
        <w:t>o</w:t>
      </w:r>
      <w:r w:rsidRPr="004C5B03">
        <w:rPr>
          <w:rFonts w:asciiTheme="majorBidi" w:hAnsiTheme="majorBidi" w:cstheme="majorBidi"/>
          <w:szCs w:val="22"/>
          <w:lang w:val="lt-LT" w:bidi="he-IL"/>
        </w:rPr>
        <w:t xml:space="preserve"> atvej</w:t>
      </w:r>
      <w:r w:rsidR="004C2773">
        <w:rPr>
          <w:rFonts w:asciiTheme="majorBidi" w:hAnsiTheme="majorBidi" w:cstheme="majorBidi"/>
          <w:szCs w:val="22"/>
          <w:lang w:val="lt-LT" w:bidi="he-IL"/>
        </w:rPr>
        <w:t>ai</w:t>
      </w:r>
      <w:r w:rsidRPr="004C5B03">
        <w:rPr>
          <w:rFonts w:asciiTheme="majorBidi" w:hAnsiTheme="majorBidi" w:cstheme="majorBidi"/>
          <w:szCs w:val="22"/>
          <w:lang w:val="lt-LT" w:bidi="he-IL"/>
        </w:rPr>
        <w:t>).</w:t>
      </w:r>
    </w:p>
    <w:p w14:paraId="08CC3E62" w14:textId="77777777" w:rsidR="004C2773" w:rsidRDefault="004C2773" w:rsidP="004C5B03">
      <w:pPr>
        <w:tabs>
          <w:tab w:val="clear" w:pos="567"/>
        </w:tabs>
        <w:suppressAutoHyphens w:val="0"/>
        <w:rPr>
          <w:rFonts w:asciiTheme="majorBidi" w:hAnsiTheme="majorBidi" w:cstheme="majorBidi"/>
          <w:szCs w:val="22"/>
          <w:lang w:val="lt-LT" w:bidi="he-IL"/>
        </w:rPr>
      </w:pPr>
    </w:p>
    <w:p w14:paraId="490613CC" w14:textId="3246490C" w:rsidR="004C2773" w:rsidRDefault="004C2773" w:rsidP="004C5B03">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PHT preparatų nevartojančių 50–59 metų amžiaus moterų grupėje per 10 metų krūties vėžys bus diagnozuotas 27 moterims iš 1</w:t>
      </w:r>
      <w:r w:rsidR="00FB3334" w:rsidRPr="004C5B03">
        <w:rPr>
          <w:rFonts w:asciiTheme="majorBidi" w:hAnsiTheme="majorBidi" w:cstheme="majorBidi"/>
          <w:b/>
          <w:szCs w:val="22"/>
          <w:lang w:val="lt-LT" w:bidi="he-IL"/>
        </w:rPr>
        <w:t> </w:t>
      </w:r>
      <w:r>
        <w:rPr>
          <w:rFonts w:asciiTheme="majorBidi" w:hAnsiTheme="majorBidi" w:cstheme="majorBidi"/>
          <w:szCs w:val="22"/>
          <w:lang w:val="lt-LT" w:bidi="he-IL"/>
        </w:rPr>
        <w:t>000.</w:t>
      </w:r>
    </w:p>
    <w:p w14:paraId="4011275E" w14:textId="04E011A0" w:rsidR="00E701EB" w:rsidRPr="004C5B03" w:rsidRDefault="00E701EB" w:rsidP="00E701EB">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50 metų amžiaus moterų, kurioms PHT vienu estrogenu bus taikoma</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10</w:t>
      </w:r>
      <w:r w:rsidRPr="004C5B03">
        <w:rPr>
          <w:rFonts w:asciiTheme="majorBidi" w:hAnsiTheme="majorBidi" w:cstheme="majorBidi"/>
          <w:szCs w:val="22"/>
          <w:lang w:val="lt-LT" w:bidi="he-IL"/>
        </w:rPr>
        <w:t xml:space="preserve"> met</w:t>
      </w:r>
      <w:r>
        <w:rPr>
          <w:rFonts w:asciiTheme="majorBidi" w:hAnsiTheme="majorBidi" w:cstheme="majorBidi"/>
          <w:szCs w:val="22"/>
          <w:lang w:val="lt-LT" w:bidi="he-IL"/>
        </w:rPr>
        <w:t>ų</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 xml:space="preserve">grupėje </w:t>
      </w:r>
      <w:r w:rsidRPr="004C5B03">
        <w:rPr>
          <w:rFonts w:asciiTheme="majorBidi" w:hAnsiTheme="majorBidi" w:cstheme="majorBidi"/>
          <w:szCs w:val="22"/>
          <w:lang w:val="lt-LT" w:bidi="he-IL"/>
        </w:rPr>
        <w:t xml:space="preserve">bus </w:t>
      </w:r>
      <w:r>
        <w:rPr>
          <w:rFonts w:asciiTheme="majorBidi" w:hAnsiTheme="majorBidi" w:cstheme="majorBidi"/>
          <w:szCs w:val="22"/>
          <w:lang w:val="lt-LT" w:bidi="he-IL"/>
        </w:rPr>
        <w:t>nustatyti</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34</w:t>
      </w:r>
      <w:r w:rsidRPr="004C5B03">
        <w:rPr>
          <w:rFonts w:asciiTheme="majorBidi" w:hAnsiTheme="majorBidi" w:cstheme="majorBidi"/>
          <w:szCs w:val="22"/>
          <w:lang w:val="lt-LT" w:bidi="he-IL"/>
        </w:rPr>
        <w:t xml:space="preserve"> atvej</w:t>
      </w:r>
      <w:r>
        <w:rPr>
          <w:rFonts w:asciiTheme="majorBidi" w:hAnsiTheme="majorBidi" w:cstheme="majorBidi"/>
          <w:szCs w:val="22"/>
          <w:lang w:val="lt-LT" w:bidi="he-IL"/>
        </w:rPr>
        <w:t>ai</w:t>
      </w:r>
      <w:r w:rsidRPr="004C5B03">
        <w:rPr>
          <w:rFonts w:asciiTheme="majorBidi" w:hAnsiTheme="majorBidi" w:cstheme="majorBidi"/>
          <w:szCs w:val="22"/>
          <w:lang w:val="lt-LT" w:bidi="he-IL"/>
        </w:rPr>
        <w:t xml:space="preserve"> 1</w:t>
      </w:r>
      <w:r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000-i</w:t>
      </w:r>
      <w:r>
        <w:rPr>
          <w:rFonts w:asciiTheme="majorBidi" w:hAnsiTheme="majorBidi" w:cstheme="majorBidi"/>
          <w:szCs w:val="22"/>
          <w:lang w:val="lt-LT" w:bidi="he-IL"/>
        </w:rPr>
        <w:t>ui vartotojų</w:t>
      </w:r>
      <w:r w:rsidRPr="004C5B03">
        <w:rPr>
          <w:rFonts w:asciiTheme="majorBidi" w:hAnsiTheme="majorBidi" w:cstheme="majorBidi"/>
          <w:szCs w:val="22"/>
          <w:lang w:val="lt-LT" w:bidi="he-IL"/>
        </w:rPr>
        <w:t xml:space="preserve"> (t. y. </w:t>
      </w:r>
      <w:r>
        <w:rPr>
          <w:rFonts w:asciiTheme="majorBidi" w:hAnsiTheme="majorBidi" w:cstheme="majorBidi"/>
          <w:szCs w:val="22"/>
          <w:lang w:val="lt-LT" w:bidi="he-IL"/>
        </w:rPr>
        <w:t>7</w:t>
      </w:r>
      <w:r w:rsidRPr="004C5B03">
        <w:rPr>
          <w:rFonts w:asciiTheme="majorBidi" w:hAnsiTheme="majorBidi" w:cstheme="majorBidi"/>
          <w:szCs w:val="22"/>
          <w:lang w:val="lt-LT" w:bidi="he-IL"/>
        </w:rPr>
        <w:t xml:space="preserve"> papildom</w:t>
      </w:r>
      <w:r>
        <w:rPr>
          <w:rFonts w:asciiTheme="majorBidi" w:hAnsiTheme="majorBidi" w:cstheme="majorBidi"/>
          <w:szCs w:val="22"/>
          <w:lang w:val="lt-LT" w:bidi="he-IL"/>
        </w:rPr>
        <w:t>i</w:t>
      </w:r>
      <w:r w:rsidRPr="004C5B03">
        <w:rPr>
          <w:rFonts w:asciiTheme="majorBidi" w:hAnsiTheme="majorBidi" w:cstheme="majorBidi"/>
          <w:szCs w:val="22"/>
          <w:lang w:val="lt-LT" w:bidi="he-IL"/>
        </w:rPr>
        <w:t xml:space="preserve"> atvej</w:t>
      </w:r>
      <w:r>
        <w:rPr>
          <w:rFonts w:asciiTheme="majorBidi" w:hAnsiTheme="majorBidi" w:cstheme="majorBidi"/>
          <w:szCs w:val="22"/>
          <w:lang w:val="lt-LT" w:bidi="he-IL"/>
        </w:rPr>
        <w:t>ai</w:t>
      </w:r>
      <w:r w:rsidRPr="004C5B03">
        <w:rPr>
          <w:rFonts w:asciiTheme="majorBidi" w:hAnsiTheme="majorBidi" w:cstheme="majorBidi"/>
          <w:szCs w:val="22"/>
          <w:lang w:val="lt-LT" w:bidi="he-IL"/>
        </w:rPr>
        <w:t>).</w:t>
      </w:r>
    </w:p>
    <w:p w14:paraId="09748B16" w14:textId="6827A47A" w:rsidR="004C2773" w:rsidRPr="004C5B03" w:rsidRDefault="004C2773" w:rsidP="004C5B03">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50 metų amžiaus moterų, kurioms PHT </w:t>
      </w:r>
      <w:r w:rsidRPr="004C5B03">
        <w:rPr>
          <w:rFonts w:asciiTheme="majorBidi" w:hAnsiTheme="majorBidi" w:cstheme="majorBidi"/>
          <w:szCs w:val="22"/>
          <w:lang w:val="lt-LT" w:bidi="he-IL"/>
        </w:rPr>
        <w:t>estrogen</w:t>
      </w:r>
      <w:r>
        <w:rPr>
          <w:rFonts w:asciiTheme="majorBidi" w:hAnsiTheme="majorBidi" w:cstheme="majorBidi"/>
          <w:szCs w:val="22"/>
          <w:lang w:val="lt-LT" w:bidi="he-IL"/>
        </w:rPr>
        <w:t xml:space="preserve">o ir </w:t>
      </w:r>
      <w:r w:rsidRPr="004C5B03">
        <w:rPr>
          <w:rFonts w:asciiTheme="majorBidi" w:hAnsiTheme="majorBidi" w:cstheme="majorBidi"/>
          <w:szCs w:val="22"/>
          <w:lang w:val="lt-LT" w:bidi="he-IL"/>
        </w:rPr>
        <w:t>progestagen</w:t>
      </w:r>
      <w:r>
        <w:rPr>
          <w:rFonts w:asciiTheme="majorBidi" w:hAnsiTheme="majorBidi" w:cstheme="majorBidi"/>
          <w:szCs w:val="22"/>
          <w:lang w:val="lt-LT" w:bidi="he-IL"/>
        </w:rPr>
        <w:t>o deriniu bus taikoma</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10</w:t>
      </w:r>
      <w:r w:rsidRPr="004C5B03">
        <w:rPr>
          <w:rFonts w:asciiTheme="majorBidi" w:hAnsiTheme="majorBidi" w:cstheme="majorBidi"/>
          <w:szCs w:val="22"/>
          <w:lang w:val="lt-LT" w:bidi="he-IL"/>
        </w:rPr>
        <w:t xml:space="preserve"> met</w:t>
      </w:r>
      <w:r>
        <w:rPr>
          <w:rFonts w:asciiTheme="majorBidi" w:hAnsiTheme="majorBidi" w:cstheme="majorBidi"/>
          <w:szCs w:val="22"/>
          <w:lang w:val="lt-LT" w:bidi="he-IL"/>
        </w:rPr>
        <w:t>ų</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 xml:space="preserve">grupėje </w:t>
      </w:r>
      <w:r w:rsidRPr="004C5B03">
        <w:rPr>
          <w:rFonts w:asciiTheme="majorBidi" w:hAnsiTheme="majorBidi" w:cstheme="majorBidi"/>
          <w:szCs w:val="22"/>
          <w:lang w:val="lt-LT" w:bidi="he-IL"/>
        </w:rPr>
        <w:t xml:space="preserve">bus </w:t>
      </w:r>
      <w:r>
        <w:rPr>
          <w:rFonts w:asciiTheme="majorBidi" w:hAnsiTheme="majorBidi" w:cstheme="majorBidi"/>
          <w:szCs w:val="22"/>
          <w:lang w:val="lt-LT" w:bidi="he-IL"/>
        </w:rPr>
        <w:t>nustatyti</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48</w:t>
      </w:r>
      <w:r w:rsidRPr="004C5B03">
        <w:rPr>
          <w:rFonts w:asciiTheme="majorBidi" w:hAnsiTheme="majorBidi" w:cstheme="majorBidi"/>
          <w:szCs w:val="22"/>
          <w:lang w:val="lt-LT" w:bidi="he-IL"/>
        </w:rPr>
        <w:t xml:space="preserve"> atvej</w:t>
      </w:r>
      <w:r>
        <w:rPr>
          <w:rFonts w:asciiTheme="majorBidi" w:hAnsiTheme="majorBidi" w:cstheme="majorBidi"/>
          <w:szCs w:val="22"/>
          <w:lang w:val="lt-LT" w:bidi="he-IL"/>
        </w:rPr>
        <w:t>ai</w:t>
      </w:r>
      <w:r w:rsidRPr="004C5B03">
        <w:rPr>
          <w:rFonts w:asciiTheme="majorBidi" w:hAnsiTheme="majorBidi" w:cstheme="majorBidi"/>
          <w:szCs w:val="22"/>
          <w:lang w:val="lt-LT" w:bidi="he-IL"/>
        </w:rPr>
        <w:t xml:space="preserve"> 1</w:t>
      </w:r>
      <w:r w:rsidR="00FB3334"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000-i</w:t>
      </w:r>
      <w:r>
        <w:rPr>
          <w:rFonts w:asciiTheme="majorBidi" w:hAnsiTheme="majorBidi" w:cstheme="majorBidi"/>
          <w:szCs w:val="22"/>
          <w:lang w:val="lt-LT" w:bidi="he-IL"/>
        </w:rPr>
        <w:t>ui vartotojų</w:t>
      </w:r>
      <w:r w:rsidRPr="004C5B03">
        <w:rPr>
          <w:rFonts w:asciiTheme="majorBidi" w:hAnsiTheme="majorBidi" w:cstheme="majorBidi"/>
          <w:szCs w:val="22"/>
          <w:lang w:val="lt-LT" w:bidi="he-IL"/>
        </w:rPr>
        <w:t xml:space="preserve"> (t. y. </w:t>
      </w:r>
      <w:r>
        <w:rPr>
          <w:rFonts w:asciiTheme="majorBidi" w:hAnsiTheme="majorBidi" w:cstheme="majorBidi"/>
          <w:szCs w:val="22"/>
          <w:lang w:val="lt-LT" w:bidi="he-IL"/>
        </w:rPr>
        <w:t>21</w:t>
      </w:r>
      <w:r w:rsidRPr="004C5B03">
        <w:rPr>
          <w:rFonts w:asciiTheme="majorBidi" w:hAnsiTheme="majorBidi" w:cstheme="majorBidi"/>
          <w:szCs w:val="22"/>
          <w:lang w:val="lt-LT" w:bidi="he-IL"/>
        </w:rPr>
        <w:t xml:space="preserve"> papildom</w:t>
      </w:r>
      <w:r>
        <w:rPr>
          <w:rFonts w:asciiTheme="majorBidi" w:hAnsiTheme="majorBidi" w:cstheme="majorBidi"/>
          <w:szCs w:val="22"/>
          <w:lang w:val="lt-LT" w:bidi="he-IL"/>
        </w:rPr>
        <w:t>as</w:t>
      </w:r>
      <w:r w:rsidRPr="004C5B03">
        <w:rPr>
          <w:rFonts w:asciiTheme="majorBidi" w:hAnsiTheme="majorBidi" w:cstheme="majorBidi"/>
          <w:szCs w:val="22"/>
          <w:lang w:val="lt-LT" w:bidi="he-IL"/>
        </w:rPr>
        <w:t xml:space="preserve"> atvej</w:t>
      </w:r>
      <w:r>
        <w:rPr>
          <w:rFonts w:asciiTheme="majorBidi" w:hAnsiTheme="majorBidi" w:cstheme="majorBidi"/>
          <w:szCs w:val="22"/>
          <w:lang w:val="lt-LT" w:bidi="he-IL"/>
        </w:rPr>
        <w:t>is</w:t>
      </w:r>
      <w:r w:rsidRPr="004C5B03">
        <w:rPr>
          <w:rFonts w:asciiTheme="majorBidi" w:hAnsiTheme="majorBidi" w:cstheme="majorBidi"/>
          <w:szCs w:val="22"/>
          <w:lang w:val="lt-LT" w:bidi="he-IL"/>
        </w:rPr>
        <w:t>).</w:t>
      </w:r>
    </w:p>
    <w:p w14:paraId="2B6EC12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2F604C2"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Reguliariai tikrinkite savo krūtis. Apsilankykite pas gydytoją, jeigu pastebėjote tokius pakitimus, kaip:</w:t>
      </w:r>
    </w:p>
    <w:p w14:paraId="43217AC4" w14:textId="3B1F3BF3"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odos nelygumai arba įdubimai,</w:t>
      </w:r>
    </w:p>
    <w:p w14:paraId="766F8771" w14:textId="4AEF99E6"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pakitę speneliai,</w:t>
      </w:r>
    </w:p>
    <w:p w14:paraId="2FABFCE0" w14:textId="61F38789" w:rsidR="004C5B03" w:rsidRPr="004C5B03" w:rsidRDefault="00776D50" w:rsidP="00776D50">
      <w:pPr>
        <w:ind w:left="567" w:hanging="567"/>
        <w:rPr>
          <w:lang w:val="lt-LT" w:bidi="he-IL"/>
        </w:rPr>
      </w:pPr>
      <w:r w:rsidRPr="006E2C36">
        <w:rPr>
          <w:lang w:val="fi-FI"/>
        </w:rPr>
        <w:t>•</w:t>
      </w:r>
      <w:r w:rsidRPr="006E2C36">
        <w:rPr>
          <w:lang w:val="fi-FI"/>
        </w:rPr>
        <w:tab/>
      </w:r>
      <w:r w:rsidR="004C5B03" w:rsidRPr="004C5B03">
        <w:rPr>
          <w:lang w:val="lt-LT" w:bidi="he-IL"/>
        </w:rPr>
        <w:t>bet kokie matomi ar juntami gumbai.</w:t>
      </w:r>
    </w:p>
    <w:p w14:paraId="7410FCE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AC340D3"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Taip pat patariama dalyvauti Jums siūlomose mamografinės diagnostikos programose. Svarbu, kad prieš atlikdami mamografinį tyrimą, Jūs informuotumėte slaugytoją / sveikatos priežiūros specialistą, kuris atliks rentgenologinį tyrimą, kad vartojate PHT, kadangi, dėl šio vaisto gali padidėti krūtų liaukinio audinio tankis, o tai gali pakeisti mamografijos tyrimo rezultatus. Padidėjęs krūties liaukinio audinio tankis gali trukdyti mamogramoje aptikti susidariusius gumbus.</w:t>
      </w:r>
    </w:p>
    <w:p w14:paraId="3F9AB1E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CA796D4"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Kiaušidžių vėžys</w:t>
      </w:r>
    </w:p>
    <w:p w14:paraId="3452076D"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Kiaušidžių vėžiu susergama retai, daug rečiau nei krūties vėžiu. PHT preparatų, kuriuose yra tik estrogeno, arba sudėtinių PHT preparatų, kuriuose yra estrogeno ir progesterono, vartojimas yra susijęs su šiek tiek didesne kiaušidžių vėžio rizika.</w:t>
      </w:r>
    </w:p>
    <w:p w14:paraId="25559718" w14:textId="173C4DAC" w:rsid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Kiašidžių vėžio rizika priklauso nuo moters amžiaus. Pavyzdžiui, per 5 metus tarp 50-54 metų moterų, kurios nevartoja PHT prearatų, kiaušidžių vėžys bus diagnozuotas maždaug 2 moterims iš 2</w:t>
      </w:r>
      <w:r w:rsidR="00B51D94"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 Tarp 5 metus PHT preparatų vartojančių moterų kiaušidžių vėžys bus diagnozuotas maždaug 3 vartotojoms iš 2</w:t>
      </w:r>
      <w:r w:rsidR="00B51D94"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 (t.y. maždaug 1 atvehu daugiau).</w:t>
      </w:r>
    </w:p>
    <w:p w14:paraId="112493F8" w14:textId="77777777" w:rsidR="00E701EB" w:rsidRPr="004C5B03" w:rsidRDefault="00E701EB" w:rsidP="004C5B03">
      <w:pPr>
        <w:tabs>
          <w:tab w:val="clear" w:pos="567"/>
        </w:tabs>
        <w:suppressAutoHyphens w:val="0"/>
        <w:rPr>
          <w:rFonts w:asciiTheme="majorBidi" w:hAnsiTheme="majorBidi" w:cstheme="majorBidi"/>
          <w:szCs w:val="22"/>
          <w:lang w:val="lt-LT" w:bidi="he-IL"/>
        </w:rPr>
      </w:pPr>
    </w:p>
    <w:p w14:paraId="5F9249E2"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PHT poveikis širdžiai ir kraujo apytakai</w:t>
      </w:r>
    </w:p>
    <w:p w14:paraId="0A295EF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02CC082"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Kraujo krešuliai venose (venų tromboembolija)</w:t>
      </w:r>
    </w:p>
    <w:p w14:paraId="7FE21D74"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Asmenims, kuriems taikoma PHT, </w:t>
      </w:r>
      <w:r w:rsidRPr="004C5B03">
        <w:rPr>
          <w:rFonts w:asciiTheme="majorBidi" w:hAnsiTheme="majorBidi" w:cstheme="majorBidi"/>
          <w:b/>
          <w:szCs w:val="22"/>
          <w:lang w:val="lt-LT" w:bidi="he-IL"/>
        </w:rPr>
        <w:t xml:space="preserve">kraujo krešulių </w:t>
      </w:r>
      <w:r w:rsidRPr="004C5B03">
        <w:rPr>
          <w:rFonts w:asciiTheme="majorBidi" w:hAnsiTheme="majorBidi" w:cstheme="majorBidi"/>
          <w:szCs w:val="22"/>
          <w:lang w:val="lt-LT" w:bidi="he-IL"/>
        </w:rPr>
        <w:t>susidarymo</w:t>
      </w:r>
      <w:r w:rsidRPr="004C5B03">
        <w:rPr>
          <w:rFonts w:asciiTheme="majorBidi" w:hAnsiTheme="majorBidi" w:cstheme="majorBidi"/>
          <w:b/>
          <w:szCs w:val="22"/>
          <w:lang w:val="lt-LT" w:bidi="he-IL"/>
        </w:rPr>
        <w:t xml:space="preserve"> venose</w:t>
      </w:r>
      <w:r w:rsidRPr="004C5B03">
        <w:rPr>
          <w:rFonts w:asciiTheme="majorBidi" w:hAnsiTheme="majorBidi" w:cstheme="majorBidi"/>
          <w:szCs w:val="22"/>
          <w:lang w:val="lt-LT" w:bidi="he-IL"/>
        </w:rPr>
        <w:t xml:space="preserve"> rizika yra didesnė maždaug nuo 1,3 iki 3 kartų, ypač pirmaisiais vaisto vartojimo metais, palyginti su asmenimis, kuriems ši terapija netaikoma. </w:t>
      </w:r>
    </w:p>
    <w:p w14:paraId="2090F071"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364D7EB"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Kraujo krešuliai gali būti pavojingi. Bent vienas iš jų, nukeliavęs į plaučius, gali sukelti skausmą krūtinėje, dusulį, alpulį ar net mirtį.</w:t>
      </w:r>
    </w:p>
    <w:p w14:paraId="7EBC4D6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8F24C2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lastRenderedPageBreak/>
        <w:t>Jums gali būti padidėjusi rizika susidaryti kraujo krešuliui venose, jeigu Jūs esate vyresnio amžiaus ir Jums tinka kuri nors iš toliau išvardytų būklių. Praneškite gydytojui, jeigu Jums tinka kuris nors iš šių atvejų:</w:t>
      </w:r>
    </w:p>
    <w:p w14:paraId="22601EA8" w14:textId="0084C5F6"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Jūs ilgą laiką negalite vaikščioti dėl chirurginės operacijos, traumos ar ligos (taip pat žr. 3 skyrių „Jeigu Jums turi būti atlikta operacija“);</w:t>
      </w:r>
    </w:p>
    <w:p w14:paraId="5C84C622" w14:textId="3E0506C0" w:rsidR="004C5B03" w:rsidRPr="004C5B03" w:rsidRDefault="00776D50" w:rsidP="00776D50">
      <w:pPr>
        <w:ind w:left="567" w:hanging="567"/>
        <w:rPr>
          <w:lang w:val="lt-LT" w:bidi="he-IL"/>
        </w:rPr>
      </w:pPr>
      <w:r w:rsidRPr="006E2C36">
        <w:rPr>
          <w:lang w:val="lt-LT"/>
        </w:rPr>
        <w:t>•</w:t>
      </w:r>
      <w:r w:rsidRPr="006E2C36">
        <w:rPr>
          <w:lang w:val="lt-LT"/>
        </w:rPr>
        <w:tab/>
      </w:r>
      <w:r w:rsidR="004C5B03" w:rsidRPr="004C5B03">
        <w:rPr>
          <w:lang w:val="lt-LT" w:bidi="he-IL"/>
        </w:rPr>
        <w:t>turite didelį antsvorį (KMI &gt;30 kg/m²);</w:t>
      </w:r>
    </w:p>
    <w:p w14:paraId="6CB1DB8B" w14:textId="05B0C1DC"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sergate kraujo krešėjimo liga, kurią reikia ilgai gydyti kraujo krešėjimą mažinančiu vaistu;</w:t>
      </w:r>
    </w:p>
    <w:p w14:paraId="7E40517D" w14:textId="35517A23"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kuriam nors artimam Jūsų giminaičiui buvo susidaręs kraujo krešulys kojoje, plautyje ar kitame organe;</w:t>
      </w:r>
    </w:p>
    <w:p w14:paraId="04831B21" w14:textId="270B20E5" w:rsidR="004C5B03" w:rsidRPr="004C5B03" w:rsidRDefault="00776D50" w:rsidP="00776D50">
      <w:pPr>
        <w:ind w:left="567" w:hanging="567"/>
        <w:rPr>
          <w:lang w:val="lt-LT" w:bidi="he-IL"/>
        </w:rPr>
      </w:pPr>
      <w:r w:rsidRPr="006E2C36">
        <w:rPr>
          <w:lang w:val="da-DK"/>
        </w:rPr>
        <w:t>•</w:t>
      </w:r>
      <w:r w:rsidRPr="006E2C36">
        <w:rPr>
          <w:lang w:val="da-DK"/>
        </w:rPr>
        <w:tab/>
      </w:r>
      <w:r w:rsidR="004C5B03" w:rsidRPr="004C5B03">
        <w:rPr>
          <w:lang w:val="lt-LT" w:bidi="he-IL"/>
        </w:rPr>
        <w:t>sergate sistemine raudonąja vilklige (SRV);</w:t>
      </w:r>
    </w:p>
    <w:p w14:paraId="34B47810" w14:textId="359C155F"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sergate vėžiu.</w:t>
      </w:r>
    </w:p>
    <w:p w14:paraId="0A6EC4B3"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567CB40F"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Apie kraujo krešulio požymius skaitykite skyriuje „Nutraukite Novofem vartojimą ir nedelsdama apsilankykite pas gydytoją“. </w:t>
      </w:r>
    </w:p>
    <w:p w14:paraId="091483A9"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p>
    <w:p w14:paraId="730BA68F"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Palyginkite</w:t>
      </w:r>
    </w:p>
    <w:p w14:paraId="2101B6AF" w14:textId="63AB946A"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Iš 1</w:t>
      </w:r>
      <w:r w:rsidR="00B51D94"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000-io 50-mečių moterų, nevartojančių PHT, tikėtina, kad</w:t>
      </w:r>
      <w:r w:rsidRPr="004C5B03">
        <w:rPr>
          <w:rFonts w:asciiTheme="majorBidi" w:hAnsiTheme="majorBidi" w:cstheme="majorBidi"/>
          <w:b/>
          <w:szCs w:val="22"/>
          <w:lang w:val="lt-LT" w:bidi="he-IL"/>
        </w:rPr>
        <w:t xml:space="preserve"> </w:t>
      </w:r>
      <w:r w:rsidRPr="004C5B03">
        <w:rPr>
          <w:rFonts w:asciiTheme="majorBidi" w:hAnsiTheme="majorBidi" w:cstheme="majorBidi"/>
          <w:szCs w:val="22"/>
          <w:lang w:val="lt-LT" w:bidi="he-IL"/>
        </w:rPr>
        <w:t>per 5 metų laikotarpį vidutiniškai 4–7 gali susidaryti kraujo krešulių venose.</w:t>
      </w:r>
    </w:p>
    <w:p w14:paraId="3A24A038" w14:textId="37C79899"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szCs w:val="22"/>
          <w:lang w:val="lt-LT" w:bidi="he-IL"/>
        </w:rPr>
        <w:t>Iš 1</w:t>
      </w:r>
      <w:r w:rsidR="00B51D94"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000-io</w:t>
      </w:r>
      <w:r w:rsidRPr="005265C0">
        <w:rPr>
          <w:rFonts w:asciiTheme="majorBidi" w:hAnsiTheme="majorBidi" w:cstheme="majorBidi"/>
          <w:bCs/>
          <w:szCs w:val="22"/>
          <w:lang w:val="lt-LT" w:bidi="he-IL"/>
        </w:rPr>
        <w:t xml:space="preserve"> </w:t>
      </w:r>
      <w:r w:rsidRPr="004C5B03">
        <w:rPr>
          <w:rFonts w:asciiTheme="majorBidi" w:hAnsiTheme="majorBidi" w:cstheme="majorBidi"/>
          <w:szCs w:val="22"/>
          <w:lang w:val="lt-LT" w:bidi="he-IL"/>
        </w:rPr>
        <w:t>50-mečių moterų, vartojančių estrogenų-progestagenų PHT, per 5 metus bus diagnozuota nuo 9 iki 12 atvejų (t. y. 5 papildomi atvejai).</w:t>
      </w:r>
    </w:p>
    <w:p w14:paraId="2A23555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88DD202"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Širdies liga (miokardo infarktas)</w:t>
      </w:r>
    </w:p>
    <w:p w14:paraId="63BE63AD"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1A02D298" w14:textId="72F911E1"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Nėra duomenų, įrodančių, jog PHT vartojimas padeda išvengti miokardo infarkto. Virš 60</w:t>
      </w:r>
      <w:r w:rsidR="00E701EB">
        <w:rPr>
          <w:rFonts w:asciiTheme="majorBidi" w:hAnsiTheme="majorBidi" w:cstheme="majorBidi"/>
          <w:szCs w:val="22"/>
          <w:lang w:val="lt-LT" w:bidi="he-IL"/>
        </w:rPr>
        <w:t> </w:t>
      </w:r>
      <w:r w:rsidRPr="004C5B03">
        <w:rPr>
          <w:rFonts w:asciiTheme="majorBidi" w:hAnsiTheme="majorBidi" w:cstheme="majorBidi"/>
          <w:szCs w:val="22"/>
          <w:lang w:val="lt-LT" w:bidi="he-IL"/>
        </w:rPr>
        <w:t>metų amžiaus moterims, vartojančioms estrogenų-progestagenų PHT, šiek tiek padidėja rizika išsivystyti širdies ligai, lyginant su PHT nevartojančiomis moterimis.</w:t>
      </w:r>
    </w:p>
    <w:p w14:paraId="7955D68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D13D38E"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Insultas</w:t>
      </w:r>
    </w:p>
    <w:p w14:paraId="2CA7D89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PHT vartojimas insulto riziką padidina iki 1,5 karto. PHT vartojančioms moterims papildomų insulto atvejų skaičius didės su amžiumi.</w:t>
      </w:r>
    </w:p>
    <w:p w14:paraId="3E2DB369"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A489BB5" w14:textId="77777777" w:rsidR="004C5B03" w:rsidRPr="004C5B03" w:rsidRDefault="004C5B03" w:rsidP="004C5B03">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Palyginkite</w:t>
      </w:r>
    </w:p>
    <w:p w14:paraId="4E8A636B" w14:textId="5BFACBC3"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Iš 1</w:t>
      </w:r>
      <w:r w:rsidR="00FB3334"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000-io 50-mečių moterų, kurios nevartoja PHT,</w:t>
      </w:r>
      <w:r w:rsidRPr="004C5B03">
        <w:rPr>
          <w:rFonts w:asciiTheme="majorBidi" w:hAnsiTheme="majorBidi" w:cstheme="majorBidi"/>
          <w:b/>
          <w:szCs w:val="22"/>
          <w:lang w:val="lt-LT" w:bidi="he-IL"/>
        </w:rPr>
        <w:t xml:space="preserve"> </w:t>
      </w:r>
      <w:r w:rsidRPr="004C5B03">
        <w:rPr>
          <w:rFonts w:asciiTheme="majorBidi" w:hAnsiTheme="majorBidi" w:cstheme="majorBidi"/>
          <w:szCs w:val="22"/>
          <w:lang w:val="lt-LT" w:bidi="he-IL"/>
        </w:rPr>
        <w:t>per penkerius metus vidutiniškai 8 bus diagnozuotas insultas.</w:t>
      </w:r>
    </w:p>
    <w:p w14:paraId="6FE2B8F1" w14:textId="0E138018"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Iš 1</w:t>
      </w:r>
      <w:r w:rsidR="00FB3334"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000-io 50-mečių moterų, kurios vartoja PHT</w:t>
      </w:r>
      <w:r w:rsidRPr="004C5B03">
        <w:rPr>
          <w:rFonts w:asciiTheme="majorBidi" w:hAnsiTheme="majorBidi" w:cstheme="majorBidi"/>
          <w:b/>
          <w:szCs w:val="22"/>
          <w:lang w:val="lt-LT" w:bidi="he-IL"/>
        </w:rPr>
        <w:t xml:space="preserve">, </w:t>
      </w:r>
      <w:r w:rsidRPr="004C5B03">
        <w:rPr>
          <w:rFonts w:asciiTheme="majorBidi" w:hAnsiTheme="majorBidi" w:cstheme="majorBidi"/>
          <w:szCs w:val="22"/>
          <w:lang w:val="lt-LT" w:bidi="he-IL"/>
        </w:rPr>
        <w:t>per penkerius metus bus diagnozuota 11 atvejų (t. y. 3 papildomi atvejai).</w:t>
      </w:r>
    </w:p>
    <w:p w14:paraId="67DDF90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9A8392B"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Kitos būklės</w:t>
      </w:r>
    </w:p>
    <w:p w14:paraId="55A6117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PHT neapsaugo nuo atminties praradimo. Yra įrodymų, kad moterų, kurios PHT pradėjo vartoti būdamos vyresnės nei 65 metų, atminties praradimo rizika yra didesnė.</w:t>
      </w:r>
    </w:p>
    <w:p w14:paraId="5EF9032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Pasitarkite su savo gydytoju.</w:t>
      </w:r>
    </w:p>
    <w:p w14:paraId="11FBECB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8B48BF0"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Kitų vaistų vartojimas</w:t>
      </w:r>
    </w:p>
    <w:p w14:paraId="116921CD"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Kai kurie vaistai gali pakeisti Novofem poveikį. Tai gali sukelti nereguliarų kraujavimą. Tai taikoma šiems vaistams:</w:t>
      </w:r>
    </w:p>
    <w:p w14:paraId="09425E03" w14:textId="2690E1ED"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vaistai nuo </w:t>
      </w:r>
      <w:r w:rsidR="004C5B03" w:rsidRPr="004C5B03">
        <w:rPr>
          <w:b/>
          <w:lang w:val="lt-LT" w:bidi="he-IL"/>
        </w:rPr>
        <w:t>epilepsijos</w:t>
      </w:r>
      <w:r w:rsidR="004C5B03" w:rsidRPr="004C5B03">
        <w:rPr>
          <w:lang w:val="lt-LT" w:bidi="he-IL"/>
        </w:rPr>
        <w:t xml:space="preserve"> (pvz., fenobarbitalis, fenitoinas ir karbamazepinas);</w:t>
      </w:r>
    </w:p>
    <w:p w14:paraId="521D56D4" w14:textId="44CA8DBE"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vaistai nuo </w:t>
      </w:r>
      <w:r w:rsidR="004C5B03" w:rsidRPr="004C5B03">
        <w:rPr>
          <w:b/>
          <w:lang w:val="lt-LT" w:bidi="he-IL"/>
        </w:rPr>
        <w:t>tuberkuliozės</w:t>
      </w:r>
      <w:r w:rsidR="004C5B03" w:rsidRPr="004C5B03">
        <w:rPr>
          <w:lang w:val="lt-LT" w:bidi="he-IL"/>
        </w:rPr>
        <w:t xml:space="preserve"> (pvz., rifampicinas, rifabutinas);</w:t>
      </w:r>
    </w:p>
    <w:p w14:paraId="4A98F6A1" w14:textId="599B84AF" w:rsidR="004C5B03" w:rsidRPr="004C5B03" w:rsidRDefault="00776D50" w:rsidP="00776D50">
      <w:pPr>
        <w:ind w:left="567" w:hanging="567"/>
        <w:rPr>
          <w:lang w:val="lt-LT" w:bidi="he-IL"/>
        </w:rPr>
      </w:pPr>
      <w:r w:rsidRPr="005265C0">
        <w:rPr>
          <w:lang w:val="pt-BR"/>
        </w:rPr>
        <w:t>•</w:t>
      </w:r>
      <w:r w:rsidRPr="005265C0">
        <w:rPr>
          <w:lang w:val="pt-BR"/>
        </w:rPr>
        <w:tab/>
      </w:r>
      <w:r w:rsidR="004C5B03" w:rsidRPr="004C5B03">
        <w:rPr>
          <w:lang w:val="lt-LT" w:bidi="he-IL"/>
        </w:rPr>
        <w:t xml:space="preserve">vaistai nuo </w:t>
      </w:r>
      <w:r w:rsidR="004C5B03" w:rsidRPr="004C5B03">
        <w:rPr>
          <w:b/>
          <w:lang w:val="lt-LT" w:bidi="he-IL"/>
        </w:rPr>
        <w:t>ŽIV infekcijos</w:t>
      </w:r>
      <w:r w:rsidR="004C5B03" w:rsidRPr="004C5B03">
        <w:rPr>
          <w:lang w:val="lt-LT" w:bidi="he-IL"/>
        </w:rPr>
        <w:t xml:space="preserve"> (nevirapinas, efavirenzas, ritonaviras ir nelfinaviras);</w:t>
      </w:r>
    </w:p>
    <w:p w14:paraId="693A62BD" w14:textId="6CE2FCD9" w:rsidR="004C5B03" w:rsidRPr="004C5B03" w:rsidRDefault="00776D50" w:rsidP="00776D50">
      <w:pPr>
        <w:ind w:left="567" w:hanging="567"/>
        <w:rPr>
          <w:lang w:val="lt-LT" w:bidi="he-IL"/>
        </w:rPr>
      </w:pPr>
      <w:r w:rsidRPr="006E2C36">
        <w:rPr>
          <w:lang w:val="lt-LT"/>
        </w:rPr>
        <w:t>•</w:t>
      </w:r>
      <w:r w:rsidRPr="006E2C36">
        <w:rPr>
          <w:lang w:val="lt-LT"/>
        </w:rPr>
        <w:tab/>
      </w:r>
      <w:r w:rsidR="004C5B03" w:rsidRPr="004C5B03">
        <w:rPr>
          <w:lang w:val="lt-LT" w:bidi="he-IL"/>
        </w:rPr>
        <w:t xml:space="preserve">vaistai nuo </w:t>
      </w:r>
      <w:r w:rsidR="004C5B03" w:rsidRPr="004C5B03">
        <w:rPr>
          <w:b/>
          <w:lang w:val="lt-LT" w:bidi="he-IL"/>
        </w:rPr>
        <w:t>hepatito C infekcijos</w:t>
      </w:r>
      <w:r w:rsidR="004C5B03" w:rsidRPr="004C5B03">
        <w:rPr>
          <w:lang w:val="lt-LT" w:bidi="he-IL"/>
        </w:rPr>
        <w:t xml:space="preserve"> (telapreviras);</w:t>
      </w:r>
    </w:p>
    <w:p w14:paraId="7FEAEE35" w14:textId="0300AC8A" w:rsid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augaliniai vaistai, kurių sudėtyje yra </w:t>
      </w:r>
      <w:r w:rsidR="004C5B03" w:rsidRPr="004C5B03">
        <w:rPr>
          <w:b/>
          <w:lang w:val="lt-LT" w:bidi="he-IL"/>
        </w:rPr>
        <w:t>jonažolių</w:t>
      </w:r>
      <w:r w:rsidR="004C5B03" w:rsidRPr="004C5B03">
        <w:rPr>
          <w:lang w:val="lt-LT" w:bidi="he-IL"/>
        </w:rPr>
        <w:t xml:space="preserve"> </w:t>
      </w:r>
      <w:r w:rsidR="004C5B03" w:rsidRPr="004C5B03">
        <w:rPr>
          <w:i/>
          <w:lang w:val="lt-LT" w:bidi="he-IL"/>
        </w:rPr>
        <w:t>(Hypericum perforatum).</w:t>
      </w:r>
      <w:r w:rsidR="004C5B03" w:rsidRPr="004C5B03" w:rsidDel="0066090A">
        <w:rPr>
          <w:lang w:val="lt-LT" w:bidi="he-IL"/>
        </w:rPr>
        <w:t xml:space="preserve"> </w:t>
      </w:r>
    </w:p>
    <w:p w14:paraId="13CDBE27" w14:textId="77777777" w:rsidR="00E701EB" w:rsidRDefault="00E701EB" w:rsidP="00776D50">
      <w:pPr>
        <w:ind w:left="567" w:hanging="567"/>
        <w:rPr>
          <w:lang w:val="lt-LT" w:bidi="he-IL"/>
        </w:rPr>
      </w:pPr>
    </w:p>
    <w:p w14:paraId="676CB1EC" w14:textId="77777777" w:rsidR="00FB3334" w:rsidRPr="000E2CAD" w:rsidRDefault="00FB3334" w:rsidP="00FB3334">
      <w:pPr>
        <w:ind w:left="567" w:hanging="567"/>
        <w:rPr>
          <w:b/>
          <w:bCs/>
          <w:lang w:val="lt-LT" w:bidi="he-IL"/>
        </w:rPr>
      </w:pPr>
      <w:r w:rsidRPr="006E2C36">
        <w:rPr>
          <w:rStyle w:val="rynqvb"/>
          <w:b/>
          <w:bCs/>
          <w:lang w:val="lt-LT"/>
        </w:rPr>
        <w:t>PHT gali turėti įtakos kai kurių kitų vaistų veikimui:</w:t>
      </w:r>
    </w:p>
    <w:p w14:paraId="37B04A5D" w14:textId="594F59FB" w:rsidR="00FB3334" w:rsidRPr="006E2C36" w:rsidRDefault="00FB3334" w:rsidP="00FB3334">
      <w:pPr>
        <w:ind w:left="567" w:hanging="567"/>
        <w:rPr>
          <w:rStyle w:val="rynqvb"/>
          <w:lang w:val="lt-LT"/>
        </w:rPr>
      </w:pPr>
      <w:r>
        <w:rPr>
          <w:lang w:val="lt-LT"/>
        </w:rPr>
        <w:t>•</w:t>
      </w:r>
      <w:r>
        <w:rPr>
          <w:lang w:val="lt-LT"/>
        </w:rPr>
        <w:tab/>
      </w:r>
      <w:r w:rsidRPr="006E2C36">
        <w:rPr>
          <w:rStyle w:val="rynqvb"/>
          <w:lang w:val="lt-LT"/>
        </w:rPr>
        <w:t>Vaistas nuo epilepsijos (lamotriginas), nes gali padažnėti priepuoliai</w:t>
      </w:r>
      <w:r w:rsidR="000E2A1A" w:rsidRPr="006E2C36">
        <w:rPr>
          <w:rStyle w:val="rynqvb"/>
          <w:lang w:val="lt-LT"/>
        </w:rPr>
        <w:t>;</w:t>
      </w:r>
    </w:p>
    <w:p w14:paraId="4BE7CC99" w14:textId="657252FF" w:rsidR="00304134" w:rsidRPr="004C5B03" w:rsidRDefault="000E2A1A" w:rsidP="006E2C36">
      <w:pPr>
        <w:tabs>
          <w:tab w:val="clear" w:pos="567"/>
        </w:tabs>
        <w:suppressAutoHyphens w:val="0"/>
        <w:ind w:left="567" w:hanging="567"/>
        <w:rPr>
          <w:lang w:val="lt-LT" w:bidi="he-IL"/>
        </w:rPr>
      </w:pPr>
      <w:r w:rsidRPr="000E2A1A">
        <w:rPr>
          <w:lang w:val="lt-LT"/>
        </w:rPr>
        <w:t>•</w:t>
      </w:r>
      <w:r w:rsidRPr="000E2A1A">
        <w:rPr>
          <w:lang w:val="lt-LT"/>
        </w:rPr>
        <w:tab/>
      </w:r>
      <w:r w:rsidR="00304134" w:rsidRPr="00F901C4">
        <w:rPr>
          <w:lang w:val="lt-LT"/>
        </w:rPr>
        <w:t>Vaistai nuo hepatito C viruso (HCV) (pvz., gydymas ombitasviro, paritapreviro arba ritonaviro deriniu su dasabuviru arba be jo, tai</w:t>
      </w:r>
      <w:r w:rsidR="00304134">
        <w:rPr>
          <w:lang w:val="lt-LT"/>
        </w:rPr>
        <w:t>p pat gydymas glekapreviru/pibrentasviru) gali įtakoti</w:t>
      </w:r>
      <w:r w:rsidR="00304134" w:rsidRPr="00F901C4">
        <w:rPr>
          <w:lang w:val="lt-LT"/>
        </w:rPr>
        <w:t xml:space="preserve"> </w:t>
      </w:r>
      <w:r w:rsidR="00304134" w:rsidRPr="00F901C4">
        <w:rPr>
          <w:lang w:val="lt-LT"/>
        </w:rPr>
        <w:lastRenderedPageBreak/>
        <w:t xml:space="preserve">moterų, vartojančių sudėtinius hormoninius kontraceptikus (SHK), kurių sudėtyje yra etinilestradiolio, kepenų funkcijos kraujo tyrimų rezultatus (kepenų fermento ALT kiekio padidėjimas). Novofem sudėtyje yra estradiolio, o ne etinilestradiolio. Nežinoma, ar vartojant Novofem kartu su šiuo HCV gydymo deriniu, gali padidėti kepenų fermento ALT koncentracija. </w:t>
      </w:r>
    </w:p>
    <w:p w14:paraId="72C169A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0FE216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Kiti vaistai, galintys sustiprinti Novofem poveikį:</w:t>
      </w:r>
    </w:p>
    <w:p w14:paraId="305527A4" w14:textId="160E5EF6"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vaistai, kurių sudėtyje yra </w:t>
      </w:r>
      <w:r w:rsidR="004C5B03" w:rsidRPr="004C5B03">
        <w:rPr>
          <w:b/>
          <w:lang w:val="lt-LT" w:bidi="he-IL"/>
        </w:rPr>
        <w:t>ketokonazolo</w:t>
      </w:r>
      <w:r w:rsidR="004C5B03" w:rsidRPr="004C5B03">
        <w:rPr>
          <w:lang w:val="lt-LT" w:bidi="he-IL"/>
        </w:rPr>
        <w:t xml:space="preserve"> (priešgrybelinio vaisto).</w:t>
      </w:r>
    </w:p>
    <w:p w14:paraId="4DDE9EA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078B34F"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gali pakeisti kartu vartojamo ciklosporino poveikį.</w:t>
      </w:r>
    </w:p>
    <w:p w14:paraId="6183C8F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7C2BCAD" w14:textId="6DE6F1A0"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Jeigu vartojate arba neseniai vartojote kitų vaistų, įskaitant įsigytus be recepto, žolinius ar kitokius natūralius preparatus,</w:t>
      </w:r>
      <w:r w:rsidRPr="004C5B03">
        <w:rPr>
          <w:rFonts w:asciiTheme="majorBidi" w:hAnsiTheme="majorBidi" w:cstheme="majorBidi"/>
          <w:b/>
          <w:szCs w:val="22"/>
          <w:lang w:val="lt-LT" w:bidi="he-IL"/>
        </w:rPr>
        <w:t xml:space="preserve"> pasakykite savo gydytojui arba vaistininkui</w:t>
      </w:r>
      <w:r w:rsidRPr="004C5B03">
        <w:rPr>
          <w:rFonts w:asciiTheme="majorBidi" w:hAnsiTheme="majorBidi" w:cstheme="majorBidi"/>
          <w:szCs w:val="22"/>
          <w:lang w:val="lt-LT" w:bidi="he-IL"/>
        </w:rPr>
        <w:t>.</w:t>
      </w:r>
      <w:r w:rsidR="00FB3334">
        <w:rPr>
          <w:rFonts w:asciiTheme="majorBidi" w:hAnsiTheme="majorBidi" w:cstheme="majorBidi"/>
          <w:szCs w:val="22"/>
          <w:lang w:val="lt-LT" w:bidi="he-IL"/>
        </w:rPr>
        <w:t xml:space="preserve"> </w:t>
      </w:r>
      <w:r w:rsidR="00FB3334" w:rsidRPr="003A3C17">
        <w:rPr>
          <w:rFonts w:asciiTheme="majorBidi" w:hAnsiTheme="majorBidi" w:cstheme="majorBidi"/>
          <w:szCs w:val="22"/>
          <w:lang w:val="lt-LT" w:bidi="he-IL"/>
        </w:rPr>
        <w:t>Jūsų gydytojas Ju</w:t>
      </w:r>
      <w:r w:rsidR="000E2A1A">
        <w:rPr>
          <w:rFonts w:asciiTheme="majorBidi" w:hAnsiTheme="majorBidi" w:cstheme="majorBidi"/>
          <w:szCs w:val="22"/>
          <w:lang w:val="lt-LT" w:bidi="he-IL"/>
        </w:rPr>
        <w:t>m</w:t>
      </w:r>
      <w:r w:rsidR="00FB3334" w:rsidRPr="003A3C17">
        <w:rPr>
          <w:rFonts w:asciiTheme="majorBidi" w:hAnsiTheme="majorBidi" w:cstheme="majorBidi"/>
          <w:szCs w:val="22"/>
          <w:lang w:val="lt-LT" w:bidi="he-IL"/>
        </w:rPr>
        <w:t xml:space="preserve">s </w:t>
      </w:r>
      <w:r w:rsidR="000E2A1A">
        <w:rPr>
          <w:rFonts w:asciiTheme="majorBidi" w:hAnsiTheme="majorBidi" w:cstheme="majorBidi"/>
          <w:szCs w:val="22"/>
          <w:lang w:val="lt-LT" w:bidi="he-IL"/>
        </w:rPr>
        <w:t>patars</w:t>
      </w:r>
      <w:r w:rsidR="00FB3334" w:rsidRPr="003A3C17">
        <w:rPr>
          <w:rFonts w:asciiTheme="majorBidi" w:hAnsiTheme="majorBidi" w:cstheme="majorBidi"/>
          <w:szCs w:val="22"/>
          <w:lang w:val="lt-LT" w:bidi="he-IL"/>
        </w:rPr>
        <w:t>.</w:t>
      </w:r>
    </w:p>
    <w:p w14:paraId="24CCEAC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456A08A"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Laboratoriniai tyrimai</w:t>
      </w:r>
    </w:p>
    <w:p w14:paraId="6A59B15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Jeigu jums reikia atlikti laboratorinius tyrimus, pasakykite Jūsų gydytojui arba laboratorijos darbuotojams, kad Jūs vartojate Novofem, kadangi šis vaistas gali daryti poveikį kai kurių tyrimų rezultatams. </w:t>
      </w:r>
    </w:p>
    <w:p w14:paraId="0DF51CF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F64F8B7"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Novofem vartojimas su maistu ir gėrimais</w:t>
      </w:r>
    </w:p>
    <w:p w14:paraId="2FA634CF"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Tabletes galima vartoti su maistu ir gėrimais arba be jų.</w:t>
      </w:r>
    </w:p>
    <w:p w14:paraId="1644C91C"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67E3FDD4"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Nėštumas ir žindymo laikotarpis</w:t>
      </w:r>
    </w:p>
    <w:p w14:paraId="308D92DF"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 xml:space="preserve">Nėštumas: </w:t>
      </w:r>
      <w:r w:rsidRPr="004C5B03">
        <w:rPr>
          <w:rFonts w:asciiTheme="majorBidi" w:hAnsiTheme="majorBidi" w:cstheme="majorBidi"/>
          <w:szCs w:val="22"/>
          <w:lang w:val="lt-LT" w:bidi="he-IL"/>
        </w:rPr>
        <w:t>Novofem skirtas vartoti tik moterims po menopauzės.</w:t>
      </w:r>
    </w:p>
    <w:p w14:paraId="42483B3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 pastojote, nutraukite Novofem vartojimą ir susisiekite su savo gydytoju.</w:t>
      </w:r>
    </w:p>
    <w:p w14:paraId="6814B4C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D6708A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Žindymo laikotarpis:</w:t>
      </w:r>
      <w:r w:rsidRPr="004C5B03">
        <w:rPr>
          <w:rFonts w:asciiTheme="majorBidi" w:hAnsiTheme="majorBidi" w:cstheme="majorBidi"/>
          <w:szCs w:val="22"/>
          <w:lang w:val="lt-LT" w:bidi="he-IL"/>
        </w:rPr>
        <w:t xml:space="preserve"> Nevartokite Novofem, jei maitinate krūtimi. </w:t>
      </w:r>
    </w:p>
    <w:p w14:paraId="74C500B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4B9FA26"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Vairavimas ir mechanizmų valdymas</w:t>
      </w:r>
    </w:p>
    <w:p w14:paraId="2DBE532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nedaro jokio žinomo poveikio gebėjimui vairuoti ar valdyti mechanizmus.</w:t>
      </w:r>
    </w:p>
    <w:p w14:paraId="7988E6B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407FBBC"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Svarbi informacija apie kai kurias pagalbines Novofem medžiagas</w:t>
      </w:r>
    </w:p>
    <w:p w14:paraId="11511B83"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sudėtyje yra laktozės monohidrato. Jei Jūs netoleruojate kai kurių cukrų, susisiekite su gydytoju prieš pradėdama vartoti Novofem.</w:t>
      </w:r>
    </w:p>
    <w:p w14:paraId="6F993D9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4DDA5B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62C7804" w14:textId="77777777" w:rsidR="004C5B03" w:rsidRPr="004C5B03" w:rsidRDefault="004C5B03" w:rsidP="004C5B03">
      <w:pPr>
        <w:numPr>
          <w:ilvl w:val="0"/>
          <w:numId w:val="18"/>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Kaip vartoti Novofem</w:t>
      </w:r>
    </w:p>
    <w:p w14:paraId="1304ECF3"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3F02E24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Visada vartokite šį vaistą tiksliai, kaip nurodė gydytojas. Jeigu abejojate, kreipkitės į gydytoją arba vaistininką.</w:t>
      </w:r>
    </w:p>
    <w:p w14:paraId="6CB0440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12F29F2" w14:textId="77777777" w:rsidR="004C5B03" w:rsidRPr="004C5B03" w:rsidRDefault="004C5B03" w:rsidP="004C5B03">
      <w:pPr>
        <w:tabs>
          <w:tab w:val="clear" w:pos="567"/>
        </w:tabs>
        <w:suppressAutoHyphens w:val="0"/>
        <w:rPr>
          <w:rFonts w:asciiTheme="majorBidi" w:hAnsiTheme="majorBidi" w:cstheme="majorBidi"/>
          <w:i/>
          <w:szCs w:val="22"/>
          <w:lang w:val="lt-LT" w:bidi="he-IL"/>
        </w:rPr>
      </w:pPr>
      <w:r w:rsidRPr="004C5B03">
        <w:rPr>
          <w:rFonts w:asciiTheme="majorBidi" w:hAnsiTheme="majorBidi" w:cstheme="majorBidi"/>
          <w:szCs w:val="22"/>
          <w:lang w:val="lt-LT" w:bidi="he-IL"/>
        </w:rPr>
        <w:t>Jei anksčiau nevartojote jokio PHT vaisto, gydymą Novofem</w:t>
      </w:r>
      <w:r w:rsidRPr="004C5B03">
        <w:rPr>
          <w:rFonts w:asciiTheme="majorBidi" w:hAnsiTheme="majorBidi" w:cstheme="majorBidi"/>
          <w:i/>
          <w:szCs w:val="22"/>
          <w:vertAlign w:val="superscript"/>
          <w:lang w:val="lt-LT" w:bidi="he-IL"/>
        </w:rPr>
        <w:t xml:space="preserve"> </w:t>
      </w:r>
      <w:r w:rsidRPr="004C5B03">
        <w:rPr>
          <w:rFonts w:asciiTheme="majorBidi" w:hAnsiTheme="majorBidi" w:cstheme="majorBidi"/>
          <w:i/>
          <w:szCs w:val="22"/>
          <w:lang w:val="lt-LT" w:bidi="he-IL"/>
        </w:rPr>
        <w:t xml:space="preserve"> </w:t>
      </w:r>
      <w:r w:rsidRPr="004C5B03">
        <w:rPr>
          <w:rFonts w:asciiTheme="majorBidi" w:hAnsiTheme="majorBidi" w:cstheme="majorBidi"/>
          <w:szCs w:val="22"/>
          <w:lang w:val="lt-LT" w:bidi="he-IL"/>
        </w:rPr>
        <w:t>galite pradėti bet kurią Jums tinkamą dieną. Jei prieš tai vartojote kitą pakaitinės hormonų terapijos vaistą, pasitarkite su gydytoju, kada Jūs turėtumėte pradėti gydymą Novofem</w:t>
      </w:r>
      <w:r w:rsidRPr="004C5B03">
        <w:rPr>
          <w:rFonts w:asciiTheme="majorBidi" w:hAnsiTheme="majorBidi" w:cstheme="majorBidi"/>
          <w:i/>
          <w:szCs w:val="22"/>
          <w:lang w:val="lt-LT" w:bidi="he-IL"/>
        </w:rPr>
        <w:t>.</w:t>
      </w:r>
    </w:p>
    <w:p w14:paraId="4968FB8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B878433"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Gerkite po vieną tabletę vienąkart per parą kasdien maždaug tuo pačiu metu.</w:t>
      </w:r>
    </w:p>
    <w:p w14:paraId="78E77DE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3D5FDE7" w14:textId="4FD08408" w:rsidR="004C5B03" w:rsidRPr="004C5B03" w:rsidRDefault="004C5B03" w:rsidP="00A54965">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Pakuotėje yra 28</w:t>
      </w:r>
      <w:r w:rsidR="00A54965">
        <w:rPr>
          <w:rFonts w:asciiTheme="majorBidi" w:hAnsiTheme="majorBidi" w:cstheme="majorBidi"/>
          <w:szCs w:val="22"/>
          <w:lang w:val="lt-LT" w:bidi="he-IL"/>
        </w:rPr>
        <w:t> </w:t>
      </w:r>
      <w:r w:rsidRPr="004C5B03">
        <w:rPr>
          <w:rFonts w:asciiTheme="majorBidi" w:hAnsiTheme="majorBidi" w:cstheme="majorBidi"/>
          <w:szCs w:val="22"/>
          <w:lang w:val="lt-LT" w:bidi="he-IL"/>
        </w:rPr>
        <w:t>tabletės.</w:t>
      </w:r>
    </w:p>
    <w:p w14:paraId="237A71D8" w14:textId="0D65F8F5"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1–16 diena</w:t>
      </w:r>
      <w:r w:rsidRPr="004C5B03">
        <w:rPr>
          <w:rFonts w:asciiTheme="majorBidi" w:hAnsiTheme="majorBidi" w:cstheme="majorBidi"/>
          <w:szCs w:val="22"/>
          <w:lang w:val="lt-LT" w:bidi="he-IL"/>
        </w:rPr>
        <w:tab/>
        <w:t>16</w:t>
      </w:r>
      <w:r w:rsidR="00A54965">
        <w:rPr>
          <w:rFonts w:asciiTheme="majorBidi" w:hAnsiTheme="majorBidi" w:cstheme="majorBidi"/>
          <w:szCs w:val="22"/>
          <w:lang w:val="lt-LT" w:bidi="he-IL"/>
        </w:rPr>
        <w:t> </w:t>
      </w:r>
      <w:r w:rsidRPr="004C5B03">
        <w:rPr>
          <w:rFonts w:asciiTheme="majorBidi" w:hAnsiTheme="majorBidi" w:cstheme="majorBidi"/>
          <w:szCs w:val="22"/>
          <w:lang w:val="lt-LT" w:bidi="he-IL"/>
        </w:rPr>
        <w:t xml:space="preserve">parų </w:t>
      </w:r>
      <w:r w:rsidRPr="004C5B03">
        <w:rPr>
          <w:rFonts w:asciiTheme="majorBidi" w:hAnsiTheme="majorBidi" w:cstheme="majorBidi"/>
          <w:b/>
          <w:szCs w:val="22"/>
          <w:lang w:val="lt-LT" w:bidi="he-IL"/>
        </w:rPr>
        <w:t>gerkite po vieną raudoną tabletę</w:t>
      </w:r>
      <w:r w:rsidRPr="004C5B03">
        <w:rPr>
          <w:rFonts w:asciiTheme="majorBidi" w:hAnsiTheme="majorBidi" w:cstheme="majorBidi"/>
          <w:szCs w:val="22"/>
          <w:lang w:val="lt-LT" w:bidi="he-IL"/>
        </w:rPr>
        <w:t xml:space="preserve"> kasdien;</w:t>
      </w:r>
    </w:p>
    <w:p w14:paraId="2B6E26AA" w14:textId="1C0C7E83" w:rsidR="004C5B03" w:rsidRPr="004C5B03" w:rsidRDefault="004C5B03" w:rsidP="00A54965">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17–28 diena</w:t>
      </w:r>
      <w:r w:rsidRPr="004C5B03">
        <w:rPr>
          <w:rFonts w:asciiTheme="majorBidi" w:hAnsiTheme="majorBidi" w:cstheme="majorBidi"/>
          <w:szCs w:val="22"/>
          <w:lang w:val="lt-LT" w:bidi="he-IL"/>
        </w:rPr>
        <w:tab/>
        <w:t>12</w:t>
      </w:r>
      <w:r w:rsidR="00A54965">
        <w:rPr>
          <w:rFonts w:asciiTheme="majorBidi" w:hAnsiTheme="majorBidi" w:cstheme="majorBidi"/>
          <w:szCs w:val="22"/>
          <w:lang w:val="lt-LT" w:bidi="he-IL"/>
        </w:rPr>
        <w:t> </w:t>
      </w:r>
      <w:r w:rsidRPr="004C5B03">
        <w:rPr>
          <w:rFonts w:asciiTheme="majorBidi" w:hAnsiTheme="majorBidi" w:cstheme="majorBidi"/>
          <w:szCs w:val="22"/>
          <w:lang w:val="lt-LT" w:bidi="he-IL"/>
        </w:rPr>
        <w:t xml:space="preserve">parų </w:t>
      </w:r>
      <w:r w:rsidRPr="004C5B03">
        <w:rPr>
          <w:rFonts w:asciiTheme="majorBidi" w:hAnsiTheme="majorBidi" w:cstheme="majorBidi"/>
          <w:b/>
          <w:szCs w:val="22"/>
          <w:lang w:val="lt-LT" w:bidi="he-IL"/>
        </w:rPr>
        <w:t xml:space="preserve">gerkite po vieną baltą tabletę </w:t>
      </w:r>
      <w:r w:rsidRPr="004C5B03">
        <w:rPr>
          <w:rFonts w:asciiTheme="majorBidi" w:hAnsiTheme="majorBidi" w:cstheme="majorBidi"/>
          <w:szCs w:val="22"/>
          <w:lang w:val="lt-LT" w:bidi="he-IL"/>
        </w:rPr>
        <w:t>kasdien.</w:t>
      </w:r>
    </w:p>
    <w:p w14:paraId="3BCE0E4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B061D9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Tabletę užsigerkite stikline vandens.</w:t>
      </w:r>
    </w:p>
    <w:p w14:paraId="64AB2B3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5A5975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Išgėrus visas pakuotės tabletes, gydymą tęskite be pertraukos, iškart pradėkite naują pakuotę. Pradėjus naują pakuotę, paprastai prasideda į menstruacijas panašus kraujavimas (mėnesinės).</w:t>
      </w:r>
    </w:p>
    <w:p w14:paraId="0CAC1E4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21267AE" w14:textId="77777777" w:rsidR="004C5B03" w:rsidRPr="004C5B03" w:rsidRDefault="004C5B03" w:rsidP="004C5B03">
      <w:pPr>
        <w:tabs>
          <w:tab w:val="clear" w:pos="567"/>
        </w:tabs>
        <w:suppressAutoHyphens w:val="0"/>
        <w:rPr>
          <w:rFonts w:asciiTheme="majorBidi" w:hAnsiTheme="majorBidi" w:cstheme="majorBidi"/>
          <w:i/>
          <w:szCs w:val="22"/>
          <w:u w:val="single"/>
          <w:lang w:val="lt-LT" w:bidi="he-IL"/>
        </w:rPr>
      </w:pPr>
      <w:r w:rsidRPr="004C5B03">
        <w:rPr>
          <w:rFonts w:asciiTheme="majorBidi" w:hAnsiTheme="majorBidi" w:cstheme="majorBidi"/>
          <w:szCs w:val="22"/>
          <w:lang w:val="lt-LT" w:bidi="he-IL"/>
        </w:rPr>
        <w:t>Kaip naudoti kalendorinę pakuotę, nurodoma „VARTOTOJO INSTRUKCIJOJE“ pakuotės lapelio pabaigoje.</w:t>
      </w:r>
    </w:p>
    <w:p w14:paraId="5720488A"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C8BB72B"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Jūsų gydytojas stengsis skirti mažiausią vaisto dozę Jūsų simptomui gydyti tiek trumpai, kiek reikia. Pasikalbėkite su savo gydytoju, jei manote, kad ši dozė veikia per stipriai arba nėra pakankamai stipri.</w:t>
      </w:r>
    </w:p>
    <w:p w14:paraId="66FEA8B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29B41E1"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 po 3 mėnesių vaisto vartojimo nepajusite simptomų palengvėjimo, pasitarkite su savo gydytoju. Gydymą reikėtų tęsti tik tol, kol vaisto teigiamas poveikis išlieka didesnis už jo keliamą riziką.</w:t>
      </w:r>
    </w:p>
    <w:p w14:paraId="293B46E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21CEB68"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Pavartojus per didelę Novofem dozę</w:t>
      </w:r>
    </w:p>
    <w:p w14:paraId="0A7FD18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 suvartojote per daug Novofem, pasitarkite su gydytoju arba vaistininku. Estrogenų perdozavimas gali sukelti krūtų jautrumą, pykinimą, vėmimą ir (arba) nereguliarų kraujavimą iš makšties (metroragiją). Perdozavus progestagenų gali kilti depresinė nuotaika, nuovargis, atsirasti spuogų, ant kūno arba veido gali imti augti plaukai (hirsutizmas).</w:t>
      </w:r>
    </w:p>
    <w:p w14:paraId="6496966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0144C74"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Pamiršus pavartoti Novofem</w:t>
      </w:r>
    </w:p>
    <w:p w14:paraId="48114131" w14:textId="042CE23F"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 pamiršote išgerti tabletę, išgerkite per artimiausias 12 valandų. Jei praėjo daugiau nei 12 valandų, pradėkite vartoti kitą dieną įprastu laiku. Negalima vartoti dvigubos dozės norint kompensuoti praleistą tabletę.</w:t>
      </w:r>
      <w:r w:rsidR="00A54965">
        <w:rPr>
          <w:rFonts w:asciiTheme="majorBidi" w:hAnsiTheme="majorBidi" w:cstheme="majorBidi"/>
          <w:szCs w:val="22"/>
          <w:lang w:val="lt-LT" w:bidi="he-IL"/>
        </w:rPr>
        <w:t xml:space="preserve"> </w:t>
      </w:r>
      <w:r w:rsidRPr="004C5B03">
        <w:rPr>
          <w:rFonts w:asciiTheme="majorBidi" w:hAnsiTheme="majorBidi" w:cstheme="majorBidi"/>
          <w:szCs w:val="22"/>
          <w:lang w:val="lt-LT" w:bidi="he-IL"/>
        </w:rPr>
        <w:t>Praleidus vaisto dozę, gali padidėti kraujavimo arba tepančių išskyrų tikimybė.</w:t>
      </w:r>
    </w:p>
    <w:p w14:paraId="58FED442"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4321D18D"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Nustojus vartoti Novofem</w:t>
      </w:r>
    </w:p>
    <w:p w14:paraId="0370E571"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Jeigu norėtumėte nutraukti Novofem</w:t>
      </w:r>
      <w:r w:rsidRPr="004C5B03">
        <w:rPr>
          <w:rFonts w:asciiTheme="majorBidi" w:hAnsiTheme="majorBidi" w:cstheme="majorBidi"/>
          <w:szCs w:val="22"/>
          <w:vertAlign w:val="superscript"/>
          <w:lang w:val="lt-LT" w:bidi="he-IL"/>
        </w:rPr>
        <w:t xml:space="preserve"> </w:t>
      </w:r>
      <w:r w:rsidRPr="004C5B03">
        <w:rPr>
          <w:rFonts w:asciiTheme="majorBidi" w:hAnsiTheme="majorBidi" w:cstheme="majorBidi"/>
          <w:szCs w:val="22"/>
          <w:lang w:val="lt-LT" w:bidi="he-IL"/>
        </w:rPr>
        <w:t>vartojimą, pirma pasitarkite su gydytoju. Jis paaiškins, koks poveikis gali pasireikšti nutraukus vaisto vartojimą, ir aptars su Jumis kitas gydymo galimybes.</w:t>
      </w:r>
    </w:p>
    <w:p w14:paraId="1D1EE403"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451E1743"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Jeigu kiltų daugiau klausimų dėl šio vaisto vartojimo, kreipkitės į gydytoją arba vaistininką.</w:t>
      </w:r>
    </w:p>
    <w:p w14:paraId="2E6F4CD1"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7EE2C1D8"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Jeigu Jums turi būti atlikta operacija</w:t>
      </w:r>
    </w:p>
    <w:p w14:paraId="5C33661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Jeigu planuojama Jus operuoti, pasakykite chirurgui, kad vartojate Novofem. Jums gali tekti nutraukti Novofem vartojimą likus 4–6 savaitėms iki operacijos, kad sumažėtų kraujo krešulių rizika (žr. 2 skyrių „Kraujo krešuliai venoje (venų tromboembolija)“). Paklauskite gydytojo, kada vėl galite pradėti vartoti Novofem.</w:t>
      </w:r>
    </w:p>
    <w:p w14:paraId="3AE06C7A"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4EAE6248"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12FD3575" w14:textId="77777777" w:rsidR="004C5B03" w:rsidRPr="004C5B03" w:rsidRDefault="004C5B03" w:rsidP="004C5B03">
      <w:pPr>
        <w:numPr>
          <w:ilvl w:val="0"/>
          <w:numId w:val="18"/>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Galimas šalutinis poveikis</w:t>
      </w:r>
    </w:p>
    <w:p w14:paraId="16F8800E"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5655558D"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Šis vaistas, kaip ir visi kiti, gali sukelti šalutinį poveikį, nors jis pasireiškia ne visiems žmonėms.</w:t>
      </w:r>
    </w:p>
    <w:p w14:paraId="22BFF27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8C59CD1"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PHT vartojančios moterys, palyginti su nevartojančiomis PHT, dažniau serga šiomis ligomis: </w:t>
      </w:r>
    </w:p>
    <w:p w14:paraId="101DD2BF" w14:textId="68680882"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krūties vėžiu; </w:t>
      </w:r>
    </w:p>
    <w:p w14:paraId="632AB48A" w14:textId="0346FC3A"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gimdos gleivinės išvešėjimu arba vėžiu (endometriumo hiperplazija arba vėžiu); </w:t>
      </w:r>
    </w:p>
    <w:p w14:paraId="785CF316" w14:textId="1C5C09FC"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kiaušidžių vėžiu; </w:t>
      </w:r>
    </w:p>
    <w:p w14:paraId="20E694D8" w14:textId="6C53318B"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kraujo krešuliais kojų arba plaučių venose (venų tromboembolija); </w:t>
      </w:r>
    </w:p>
    <w:p w14:paraId="48E8F411" w14:textId="7ED076BD"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širdies liga; </w:t>
      </w:r>
    </w:p>
    <w:p w14:paraId="2BE80299" w14:textId="1FCDED19"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insultu; </w:t>
      </w:r>
    </w:p>
    <w:p w14:paraId="7EB879ED" w14:textId="37E8B981"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galimas atminties praradimas, jeigu PHT pradėta vartoti virš 65 metų amžiaus. </w:t>
      </w:r>
    </w:p>
    <w:p w14:paraId="062A6AD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45189C2"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Daugiau informacijos apie šį šalutinį poveikį pateikiama 2 skyriuje „Kas žinotina prieš vartojant Novofem“. </w:t>
      </w:r>
    </w:p>
    <w:p w14:paraId="671E8E2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A411EC1" w14:textId="1F3380D0" w:rsidR="004C5B03" w:rsidRPr="006E2C36" w:rsidRDefault="004C5B03" w:rsidP="004C5B03">
      <w:pPr>
        <w:tabs>
          <w:tab w:val="clear" w:pos="567"/>
        </w:tabs>
        <w:suppressAutoHyphens w:val="0"/>
        <w:rPr>
          <w:rFonts w:asciiTheme="majorBidi" w:hAnsiTheme="majorBidi" w:cstheme="majorBidi"/>
          <w:b/>
          <w:bCs/>
          <w:szCs w:val="22"/>
          <w:lang w:val="lt-LT" w:bidi="he-IL"/>
        </w:rPr>
      </w:pPr>
      <w:r w:rsidRPr="004C5B03">
        <w:rPr>
          <w:rFonts w:asciiTheme="majorBidi" w:hAnsiTheme="majorBidi" w:cstheme="majorBidi"/>
          <w:b/>
          <w:szCs w:val="22"/>
          <w:lang w:val="lt-LT" w:bidi="he-IL"/>
        </w:rPr>
        <w:t xml:space="preserve">Padidėjęs jautrumas/alergija </w:t>
      </w:r>
      <w:r w:rsidRPr="006E2C36">
        <w:rPr>
          <w:rFonts w:asciiTheme="majorBidi" w:hAnsiTheme="majorBidi" w:cstheme="majorBidi"/>
          <w:b/>
          <w:bCs/>
          <w:szCs w:val="22"/>
          <w:lang w:val="lt-LT" w:bidi="he-IL"/>
        </w:rPr>
        <w:t>(nedažnas šalutinis poveikis – pasireiškia nuo 1 iki 10 iš 1000 moterų)</w:t>
      </w:r>
    </w:p>
    <w:p w14:paraId="4F4593C0"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szCs w:val="22"/>
          <w:lang w:val="lt-LT" w:bidi="he-IL"/>
        </w:rPr>
        <w:t xml:space="preserve">Alergija yra nedažnas, tačiau galintis pasireikšti šalutinis poveikis. Padidėjusio jautrumo/alergijos požymiai gali būti vienas ar keli iš šių simptomų: dilgėlinė, niežėjimas, patinimas, sunku kvėpuoti, žemas kraujo spaudimas (blyški ir vėsi oda, greitas širdies plakimas), svaigulys, prakaitavimas, kurie </w:t>
      </w:r>
      <w:r w:rsidRPr="004C5B03">
        <w:rPr>
          <w:rFonts w:asciiTheme="majorBidi" w:hAnsiTheme="majorBidi" w:cstheme="majorBidi"/>
          <w:szCs w:val="22"/>
          <w:lang w:val="lt-LT" w:bidi="he-IL"/>
        </w:rPr>
        <w:lastRenderedPageBreak/>
        <w:t xml:space="preserve">gali būti anafilaksinės reakcijos/šoko požymiai. Jei pasireiškė bent vienas iš aukščiau išvardintų simptomų, </w:t>
      </w:r>
      <w:r w:rsidRPr="004C5B03">
        <w:rPr>
          <w:rFonts w:asciiTheme="majorBidi" w:hAnsiTheme="majorBidi" w:cstheme="majorBidi"/>
          <w:b/>
          <w:szCs w:val="22"/>
          <w:lang w:val="lt-LT" w:bidi="he-IL"/>
        </w:rPr>
        <w:t>nebevartokite Novofem ir skubiai kvieskite medicininę pagalbą.</w:t>
      </w:r>
    </w:p>
    <w:p w14:paraId="3B420B1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FB018C4" w14:textId="48F04541"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Labai dažnas šalutinis poveikis (</w:t>
      </w:r>
      <w:r w:rsidR="00A54965" w:rsidRPr="006E2C36">
        <w:rPr>
          <w:b/>
          <w:bCs/>
          <w:szCs w:val="22"/>
          <w:lang w:val="lt-LT" w:eastAsia="lt-LT"/>
        </w:rPr>
        <w:t>gali pasireikšti ne rečiau kaip 1 iš 10 asmenų</w:t>
      </w:r>
      <w:r w:rsidRPr="004C5B03">
        <w:rPr>
          <w:rFonts w:asciiTheme="majorBidi" w:hAnsiTheme="majorBidi" w:cstheme="majorBidi"/>
          <w:b/>
          <w:szCs w:val="22"/>
          <w:lang w:val="lt-LT" w:bidi="he-IL"/>
        </w:rPr>
        <w:t>)</w:t>
      </w:r>
    </w:p>
    <w:p w14:paraId="51B305DF" w14:textId="11C3582A"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Galvos skausmas</w:t>
      </w:r>
    </w:p>
    <w:p w14:paraId="5BF520CA" w14:textId="156EB839" w:rsidR="004C5B03" w:rsidRPr="004C5B03" w:rsidRDefault="00776D50" w:rsidP="00776D50">
      <w:pPr>
        <w:ind w:left="567" w:hanging="567"/>
        <w:rPr>
          <w:b/>
          <w:lang w:val="lt-LT" w:bidi="he-IL"/>
        </w:rPr>
      </w:pPr>
      <w:r w:rsidRPr="005265C0">
        <w:rPr>
          <w:lang w:val="lt-LT"/>
        </w:rPr>
        <w:t>•</w:t>
      </w:r>
      <w:r w:rsidRPr="005265C0">
        <w:rPr>
          <w:lang w:val="lt-LT"/>
        </w:rPr>
        <w:tab/>
      </w:r>
      <w:r w:rsidR="004C5B03" w:rsidRPr="004C5B03">
        <w:rPr>
          <w:lang w:val="lt-LT" w:bidi="he-IL"/>
        </w:rPr>
        <w:t>Krūtų jautrumas</w:t>
      </w:r>
    </w:p>
    <w:p w14:paraId="65F7CAFC"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6E330B12" w14:textId="449DBB8F"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Dažnas šalutinis poveikis (</w:t>
      </w:r>
      <w:r w:rsidR="00A54965" w:rsidRPr="006E2C36">
        <w:rPr>
          <w:b/>
          <w:bCs/>
          <w:szCs w:val="22"/>
          <w:lang w:val="lt-LT" w:eastAsia="lt-LT"/>
        </w:rPr>
        <w:t>gali pasireikšti rečiau kaip 1 iš 10 asmenų</w:t>
      </w:r>
      <w:r w:rsidRPr="004C5B03">
        <w:rPr>
          <w:rFonts w:asciiTheme="majorBidi" w:hAnsiTheme="majorBidi" w:cstheme="majorBidi"/>
          <w:b/>
          <w:szCs w:val="22"/>
          <w:lang w:val="lt-LT" w:bidi="he-IL"/>
        </w:rPr>
        <w:t>)</w:t>
      </w:r>
    </w:p>
    <w:p w14:paraId="373CB676" w14:textId="7BBC232F"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Padidėjęs kraujospūdis, pasunkėjusi hipertenzija</w:t>
      </w:r>
    </w:p>
    <w:p w14:paraId="2F30AFB3" w14:textId="13763C37"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Grybelinis makšties uždegimas (pvz., pienligė)</w:t>
      </w:r>
    </w:p>
    <w:p w14:paraId="79D12FE7" w14:textId="67A614E0"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Galvos svaigimas, nemiga, depresija</w:t>
      </w:r>
    </w:p>
    <w:p w14:paraId="6927B4DD" w14:textId="4C0B7F7A"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Dispepsija (virškinimo sutrikimai), pilvo skausmas, pilvo pūtimas</w:t>
      </w:r>
    </w:p>
    <w:p w14:paraId="33527D8B" w14:textId="05E4D6D5"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Pykinimas (šleikštulys)</w:t>
      </w:r>
    </w:p>
    <w:p w14:paraId="7EA70F9D" w14:textId="5492A579"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Odos bėrimas, niežulys</w:t>
      </w:r>
    </w:p>
    <w:p w14:paraId="6A0EFD3B" w14:textId="574F4100"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Kraujavimas iš makšties (žr. 2 skyriaus poskyrį „Netikėtas kraujavimas“)</w:t>
      </w:r>
    </w:p>
    <w:p w14:paraId="5C15C2BC" w14:textId="68B1CBD7"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Gimdos fibromų (gerybinių gimdos auglių) padidėjimas</w:t>
      </w:r>
    </w:p>
    <w:p w14:paraId="49DC7B44" w14:textId="1B113199" w:rsidR="004C5B03" w:rsidRPr="004C5B03" w:rsidRDefault="00776D50" w:rsidP="00776D50">
      <w:pPr>
        <w:ind w:left="567" w:hanging="567"/>
        <w:rPr>
          <w:lang w:val="lt-LT" w:bidi="he-IL"/>
        </w:rPr>
      </w:pPr>
      <w:r w:rsidRPr="006E2C36">
        <w:rPr>
          <w:lang w:val="lt-LT"/>
        </w:rPr>
        <w:t>•</w:t>
      </w:r>
      <w:r w:rsidRPr="006E2C36">
        <w:rPr>
          <w:lang w:val="lt-LT"/>
        </w:rPr>
        <w:tab/>
      </w:r>
      <w:r w:rsidR="004C5B03" w:rsidRPr="004C5B03">
        <w:rPr>
          <w:lang w:val="lt-LT" w:bidi="he-IL"/>
        </w:rPr>
        <w:t>Edema (rankų, kulkšnių ir pėdų tinimas)</w:t>
      </w:r>
    </w:p>
    <w:p w14:paraId="2A71B8CB" w14:textId="463351D7"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Kūno masės padidėjimas</w:t>
      </w:r>
    </w:p>
    <w:p w14:paraId="67CB1C76"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760FB71A" w14:textId="72313AD5"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Nedažnas šalutinis poveikis (</w:t>
      </w:r>
      <w:r w:rsidR="00A54965" w:rsidRPr="006E2C36">
        <w:rPr>
          <w:b/>
          <w:bCs/>
          <w:szCs w:val="22"/>
          <w:lang w:val="lt-LT" w:eastAsia="lt-LT"/>
        </w:rPr>
        <w:t>gali pasireikšti rečiau kaip 1 iš 100 asmenų</w:t>
      </w:r>
      <w:r w:rsidRPr="004C5B03">
        <w:rPr>
          <w:rFonts w:asciiTheme="majorBidi" w:hAnsiTheme="majorBidi" w:cstheme="majorBidi"/>
          <w:b/>
          <w:szCs w:val="22"/>
          <w:lang w:val="lt-LT" w:bidi="he-IL"/>
        </w:rPr>
        <w:t>)</w:t>
      </w:r>
      <w:r w:rsidRPr="004C5B03">
        <w:rPr>
          <w:rFonts w:asciiTheme="majorBidi" w:hAnsiTheme="majorBidi" w:cstheme="majorBidi"/>
          <w:szCs w:val="22"/>
          <w:lang w:val="lt-LT" w:bidi="he-IL"/>
        </w:rPr>
        <w:t xml:space="preserve"> </w:t>
      </w:r>
    </w:p>
    <w:p w14:paraId="53F05149" w14:textId="7C9B07E0"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Migrena</w:t>
      </w:r>
    </w:p>
    <w:p w14:paraId="456B4CA3" w14:textId="685D212A"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Libido pokyčiai (seksualinio potraukio pakitimai)</w:t>
      </w:r>
    </w:p>
    <w:p w14:paraId="4067F15E" w14:textId="1D4EE49B"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Periferinių kraujagyslių embolija ir trombozė (kraujo krešuliai)</w:t>
      </w:r>
    </w:p>
    <w:p w14:paraId="6EA3690E" w14:textId="2B62D9E8"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Vėmimas</w:t>
      </w:r>
    </w:p>
    <w:p w14:paraId="0E0229FC" w14:textId="7C13DB6B"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Tulžies pūslės uždegimas arba tulžies akmenys</w:t>
      </w:r>
    </w:p>
    <w:p w14:paraId="0411719B" w14:textId="3A3B450D"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Plaukų slinkimas (alopecija)</w:t>
      </w:r>
    </w:p>
    <w:p w14:paraId="2C3FFE9B" w14:textId="15CC1FEE"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Raumenų mėšlungis</w:t>
      </w:r>
    </w:p>
    <w:p w14:paraId="2E175C19"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5134F21D" w14:textId="5688087E"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Retas šalutinis poveikis (</w:t>
      </w:r>
      <w:r w:rsidR="00A54965" w:rsidRPr="006E2C36">
        <w:rPr>
          <w:b/>
          <w:bCs/>
          <w:szCs w:val="22"/>
          <w:lang w:val="lt-LT" w:eastAsia="lt-LT"/>
        </w:rPr>
        <w:t>gali pasireikšti rečiau kaip 1 iš 1 000 asmenų</w:t>
      </w:r>
      <w:r w:rsidRPr="004C5B03">
        <w:rPr>
          <w:rFonts w:asciiTheme="majorBidi" w:hAnsiTheme="majorBidi" w:cstheme="majorBidi"/>
          <w:b/>
          <w:szCs w:val="22"/>
          <w:lang w:val="lt-LT" w:bidi="he-IL"/>
        </w:rPr>
        <w:t xml:space="preserve">) </w:t>
      </w:r>
    </w:p>
    <w:p w14:paraId="773923DD" w14:textId="07C605E4" w:rsidR="004C5B03" w:rsidRPr="004C5B03" w:rsidRDefault="00776D50" w:rsidP="00776D50">
      <w:pPr>
        <w:ind w:left="567" w:hanging="567"/>
        <w:rPr>
          <w:lang w:val="lt-LT" w:bidi="he-IL"/>
        </w:rPr>
      </w:pPr>
      <w:r w:rsidRPr="005265C0">
        <w:rPr>
          <w:lang w:val="pt-BR"/>
        </w:rPr>
        <w:t>•</w:t>
      </w:r>
      <w:r w:rsidRPr="005265C0">
        <w:rPr>
          <w:lang w:val="pt-BR"/>
        </w:rPr>
        <w:tab/>
      </w:r>
      <w:r w:rsidR="004C5B03" w:rsidRPr="004C5B03">
        <w:rPr>
          <w:lang w:val="lt-LT" w:bidi="he-IL"/>
        </w:rPr>
        <w:t>Alerginės reakcijos</w:t>
      </w:r>
    </w:p>
    <w:p w14:paraId="6621D39D" w14:textId="794C1D57" w:rsidR="004C5B03" w:rsidRPr="004C5B03" w:rsidRDefault="00776D50" w:rsidP="00776D50">
      <w:pPr>
        <w:ind w:left="567" w:hanging="567"/>
        <w:rPr>
          <w:lang w:val="lt-LT" w:bidi="he-IL"/>
        </w:rPr>
      </w:pPr>
      <w:r w:rsidRPr="005265C0">
        <w:rPr>
          <w:lang w:val="pt-BR"/>
        </w:rPr>
        <w:t>•</w:t>
      </w:r>
      <w:r w:rsidRPr="005265C0">
        <w:rPr>
          <w:lang w:val="pt-BR"/>
        </w:rPr>
        <w:tab/>
      </w:r>
      <w:r w:rsidR="004C5B03" w:rsidRPr="004C5B03">
        <w:rPr>
          <w:lang w:val="lt-LT" w:bidi="he-IL"/>
        </w:rPr>
        <w:t>Nervingumas</w:t>
      </w:r>
    </w:p>
    <w:p w14:paraId="3AC01177" w14:textId="5E48ED3A" w:rsidR="004C5B03" w:rsidRPr="004C5B03" w:rsidRDefault="00776D50" w:rsidP="00776D50">
      <w:pPr>
        <w:ind w:left="567" w:hanging="567"/>
        <w:rPr>
          <w:lang w:val="lt-LT" w:bidi="he-IL"/>
        </w:rPr>
      </w:pPr>
      <w:r w:rsidRPr="005265C0">
        <w:rPr>
          <w:lang w:val="pt-BR"/>
        </w:rPr>
        <w:t>•</w:t>
      </w:r>
      <w:r w:rsidRPr="005265C0">
        <w:rPr>
          <w:lang w:val="pt-BR"/>
        </w:rPr>
        <w:tab/>
      </w:r>
      <w:r w:rsidR="004C5B03" w:rsidRPr="004C5B03">
        <w:rPr>
          <w:lang w:val="lt-LT" w:bidi="he-IL"/>
        </w:rPr>
        <w:t>Vertigo (galvos svaigimas)</w:t>
      </w:r>
    </w:p>
    <w:p w14:paraId="756ADD7D" w14:textId="5A883BF7"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Viduriavimas</w:t>
      </w:r>
    </w:p>
    <w:p w14:paraId="1FC00DC2" w14:textId="10A48DF0"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Pilvo pūtimas</w:t>
      </w:r>
    </w:p>
    <w:p w14:paraId="25DC7D02" w14:textId="7755ABAA"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Spuogai</w:t>
      </w:r>
    </w:p>
    <w:p w14:paraId="16B46BAE" w14:textId="351CA1AF"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Gimdos fibroma (gerybinis gimdos auglys)</w:t>
      </w:r>
    </w:p>
    <w:p w14:paraId="22939D4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4063119" w14:textId="3BBABD8A"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Dažnis nežinomas (</w:t>
      </w:r>
      <w:r w:rsidR="00A54965" w:rsidRPr="006E2C36">
        <w:rPr>
          <w:b/>
          <w:bCs/>
          <w:szCs w:val="22"/>
          <w:lang w:val="lt-LT" w:eastAsia="lt-LT"/>
        </w:rPr>
        <w:t>negali būti apskaičiuotas pagal turimus duomenis</w:t>
      </w:r>
      <w:r w:rsidRPr="004C5B03">
        <w:rPr>
          <w:rFonts w:asciiTheme="majorBidi" w:hAnsiTheme="majorBidi" w:cstheme="majorBidi"/>
          <w:b/>
          <w:szCs w:val="22"/>
          <w:lang w:val="lt-LT" w:bidi="he-IL"/>
        </w:rPr>
        <w:t>)</w:t>
      </w:r>
    </w:p>
    <w:p w14:paraId="4C96404E" w14:textId="33C24717"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Endometriumo hiperplazija (gimdos gleivinės išvešėjimas)</w:t>
      </w:r>
    </w:p>
    <w:p w14:paraId="3B2DE154" w14:textId="649EBD75" w:rsidR="004C5B03" w:rsidRPr="004C5B03" w:rsidRDefault="00776D50" w:rsidP="00776D50">
      <w:pPr>
        <w:ind w:left="567" w:hanging="567"/>
        <w:rPr>
          <w:lang w:val="lt-LT" w:bidi="he-IL"/>
        </w:rPr>
      </w:pPr>
      <w:r w:rsidRPr="005265C0">
        <w:rPr>
          <w:lang w:val="pt-BR"/>
        </w:rPr>
        <w:t>•</w:t>
      </w:r>
      <w:r w:rsidRPr="005265C0">
        <w:rPr>
          <w:lang w:val="pt-BR"/>
        </w:rPr>
        <w:tab/>
      </w:r>
      <w:r w:rsidR="004C5B03" w:rsidRPr="004C5B03">
        <w:rPr>
          <w:lang w:val="lt-LT" w:bidi="he-IL"/>
        </w:rPr>
        <w:t>Padidėjęs kūno ir veido plaukuotumas</w:t>
      </w:r>
    </w:p>
    <w:p w14:paraId="6A2A2A0E" w14:textId="2F7BA261" w:rsidR="004C5B03" w:rsidRPr="004C5B03" w:rsidRDefault="00776D50" w:rsidP="00776D50">
      <w:pPr>
        <w:ind w:left="567" w:hanging="567"/>
        <w:rPr>
          <w:lang w:val="lt-LT" w:bidi="he-IL"/>
        </w:rPr>
      </w:pPr>
      <w:r w:rsidRPr="005265C0">
        <w:rPr>
          <w:lang w:val="pt-BR"/>
        </w:rPr>
        <w:t>•</w:t>
      </w:r>
      <w:r w:rsidRPr="005265C0">
        <w:rPr>
          <w:lang w:val="pt-BR"/>
        </w:rPr>
        <w:tab/>
      </w:r>
      <w:r w:rsidR="004C5B03" w:rsidRPr="004C5B03">
        <w:rPr>
          <w:lang w:val="lt-LT" w:bidi="he-IL"/>
        </w:rPr>
        <w:t>Nerimas</w:t>
      </w:r>
    </w:p>
    <w:p w14:paraId="6E9C536B" w14:textId="708683C3"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Regėjimo sutrikimai</w:t>
      </w:r>
    </w:p>
    <w:p w14:paraId="7E392521" w14:textId="240F3DA8"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Seborėja</w:t>
      </w:r>
    </w:p>
    <w:p w14:paraId="71526D87" w14:textId="2EB19D65"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Makšties niežulys</w:t>
      </w:r>
    </w:p>
    <w:p w14:paraId="0240CEB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B469035"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Kitas sudėtinės PHT šalutinis poveikis</w:t>
      </w:r>
    </w:p>
    <w:p w14:paraId="2D16F94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Toliau išvardytas šalutinis poveikis buvo pastebėtas vartojant kitas PHT:</w:t>
      </w:r>
    </w:p>
    <w:p w14:paraId="6566EAB5" w14:textId="54E9161D"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Įvairūs odos sutrikimai: </w:t>
      </w:r>
    </w:p>
    <w:p w14:paraId="38471A5A" w14:textId="48D2CEF8" w:rsidR="004C5B03" w:rsidRPr="004C5B03" w:rsidRDefault="00776D50" w:rsidP="00776D50">
      <w:pPr>
        <w:ind w:left="1134" w:hanging="567"/>
        <w:rPr>
          <w:lang w:val="lt-LT" w:bidi="he-IL"/>
        </w:rPr>
      </w:pPr>
      <w:r w:rsidRPr="005265C0">
        <w:rPr>
          <w:lang w:val="lt-LT"/>
        </w:rPr>
        <w:t>–</w:t>
      </w:r>
      <w:r w:rsidRPr="005265C0">
        <w:rPr>
          <w:lang w:val="lt-LT"/>
        </w:rPr>
        <w:tab/>
      </w:r>
      <w:r w:rsidR="004C5B03" w:rsidRPr="004C5B03">
        <w:rPr>
          <w:lang w:val="lt-LT" w:bidi="he-IL"/>
        </w:rPr>
        <w:t xml:space="preserve">pakitusi odos, ypač veido ir kaklo, spalva, vadinama „nėštumo dėmėmis“ (chloazma); </w:t>
      </w:r>
    </w:p>
    <w:p w14:paraId="1ACAC2C4" w14:textId="6C7E1F70" w:rsidR="004C5B03" w:rsidRPr="004C5B03" w:rsidRDefault="00776D50" w:rsidP="00776D50">
      <w:pPr>
        <w:ind w:left="1134" w:hanging="567"/>
        <w:rPr>
          <w:lang w:val="lt-LT" w:bidi="he-IL"/>
        </w:rPr>
      </w:pPr>
      <w:r w:rsidRPr="005265C0">
        <w:rPr>
          <w:lang w:val="lt-LT"/>
        </w:rPr>
        <w:t>–</w:t>
      </w:r>
      <w:r w:rsidRPr="005265C0">
        <w:rPr>
          <w:lang w:val="lt-LT"/>
        </w:rPr>
        <w:tab/>
      </w:r>
      <w:r w:rsidR="004C5B03" w:rsidRPr="004C5B03">
        <w:rPr>
          <w:lang w:val="lt-LT" w:bidi="he-IL"/>
        </w:rPr>
        <w:t xml:space="preserve">skausmingi rausvi odos mazgeliai (mazginė eritema); </w:t>
      </w:r>
    </w:p>
    <w:p w14:paraId="6F9EAB66" w14:textId="4DA57B0F" w:rsidR="004C5B03" w:rsidRPr="004C5B03" w:rsidRDefault="00776D50" w:rsidP="00776D50">
      <w:pPr>
        <w:ind w:left="1134" w:hanging="567"/>
        <w:rPr>
          <w:lang w:val="lt-LT" w:bidi="he-IL"/>
        </w:rPr>
      </w:pPr>
      <w:r w:rsidRPr="005265C0">
        <w:rPr>
          <w:lang w:val="pt-BR"/>
        </w:rPr>
        <w:t>–</w:t>
      </w:r>
      <w:r w:rsidRPr="005265C0">
        <w:rPr>
          <w:lang w:val="pt-BR"/>
        </w:rPr>
        <w:tab/>
      </w:r>
      <w:r w:rsidR="004C5B03" w:rsidRPr="004C5B03">
        <w:rPr>
          <w:lang w:val="lt-LT" w:bidi="he-IL"/>
        </w:rPr>
        <w:t>bėrimas paraudusiais apskritimais arba opomis (daugiaformė eritema);</w:t>
      </w:r>
    </w:p>
    <w:p w14:paraId="35224BDC" w14:textId="138841C2" w:rsidR="004C5B03" w:rsidRPr="004C5B03" w:rsidRDefault="00776D50" w:rsidP="00776D50">
      <w:pPr>
        <w:ind w:left="1134" w:hanging="567"/>
        <w:rPr>
          <w:lang w:val="lt-LT" w:bidi="he-IL"/>
        </w:rPr>
      </w:pPr>
      <w:r w:rsidRPr="005265C0">
        <w:rPr>
          <w:lang w:val="lt-LT"/>
        </w:rPr>
        <w:t>–</w:t>
      </w:r>
      <w:r w:rsidRPr="005265C0">
        <w:rPr>
          <w:lang w:val="lt-LT"/>
        </w:rPr>
        <w:tab/>
      </w:r>
      <w:r w:rsidR="004C5B03" w:rsidRPr="004C5B03">
        <w:rPr>
          <w:lang w:val="lt-LT" w:bidi="he-IL"/>
        </w:rPr>
        <w:t>raudonos arba purpurinės odos ir (arba) gleivinių dėmės (kraujagyslinė purpura);</w:t>
      </w:r>
    </w:p>
    <w:p w14:paraId="7FC50EA9" w14:textId="75FCEAE7"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išsausėjusios akys;</w:t>
      </w:r>
    </w:p>
    <w:p w14:paraId="45D05E22" w14:textId="7F05188F"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 xml:space="preserve">ašarų plėvelės sudėties pokyčiai. </w:t>
      </w:r>
    </w:p>
    <w:p w14:paraId="65B8183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284E179"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lastRenderedPageBreak/>
        <w:t>Pranešimas apie šalutinį poveikį</w:t>
      </w:r>
    </w:p>
    <w:p w14:paraId="4413599B" w14:textId="67335FFF" w:rsidR="00A54965" w:rsidRPr="006E2C36" w:rsidRDefault="004C5B03" w:rsidP="00A54965">
      <w:pPr>
        <w:spacing w:line="260" w:lineRule="exact"/>
        <w:ind w:right="-1"/>
        <w:rPr>
          <w:szCs w:val="22"/>
          <w:lang w:val="lt-LT" w:eastAsia="lt-LT"/>
        </w:rPr>
      </w:pPr>
      <w:r w:rsidRPr="004C5B03">
        <w:rPr>
          <w:rFonts w:asciiTheme="majorBidi" w:hAnsiTheme="majorBidi" w:cstheme="majorBidi"/>
          <w:szCs w:val="22"/>
          <w:lang w:val="lt-LT" w:bidi="he-IL"/>
        </w:rPr>
        <w:t xml:space="preserve">Jeigu pasireiškė šalutinis poveikis, įskaitant šiame lapelyje nenurodytą, pasakykite gydytojui arba vaistininkui. </w:t>
      </w:r>
      <w:r w:rsidR="00A54965" w:rsidRPr="006E2C36">
        <w:rPr>
          <w:szCs w:val="22"/>
          <w:lang w:val="lt-LT" w:eastAsia="lt-LT"/>
        </w:rPr>
        <w:t xml:space="preserve">Pranešimą apie šalutinį poveikį galite užpildyti ir pateikti Valstybinės vaistų kontrolės tarnybos prie Lietuvos Respublikos sveikatos apsaugos ministerijos tinklalapyje </w:t>
      </w:r>
      <w:r w:rsidR="00A54965" w:rsidRPr="006E2C36">
        <w:rPr>
          <w:color w:val="0000EE"/>
          <w:szCs w:val="22"/>
          <w:u w:val="single"/>
          <w:lang w:val="lt-LT" w:eastAsia="lt-LT"/>
        </w:rPr>
        <w:t>https://vvkt.lrv.lt/lt/</w:t>
      </w:r>
      <w:r w:rsidR="00A54965" w:rsidRPr="006E2C36">
        <w:rPr>
          <w:szCs w:val="22"/>
          <w:lang w:val="lt-LT" w:eastAsia="lt-LT"/>
        </w:rPr>
        <w:t xml:space="preserve"> nurodytais būdais arba paskambinti nemokamu telefonu 8 800 73 568. Pranešdami apie šalutinį poveikį galite mums padėti gauti daugiau informacijos apie šio vaisto saugumą</w:t>
      </w:r>
      <w:r w:rsidR="00A54965" w:rsidRPr="006E2C36">
        <w:rPr>
          <w:lang w:val="lt-LT"/>
        </w:rPr>
        <w:t>.</w:t>
      </w:r>
    </w:p>
    <w:p w14:paraId="620EFC8E" w14:textId="77777777" w:rsidR="004C5B03" w:rsidRPr="004C5B03" w:rsidRDefault="004C5B03" w:rsidP="00A54965">
      <w:pPr>
        <w:tabs>
          <w:tab w:val="clear" w:pos="567"/>
        </w:tabs>
        <w:suppressAutoHyphens w:val="0"/>
        <w:rPr>
          <w:rFonts w:asciiTheme="majorBidi" w:hAnsiTheme="majorBidi" w:cstheme="majorBidi"/>
          <w:szCs w:val="22"/>
          <w:lang w:val="lt-LT" w:bidi="he-IL"/>
        </w:rPr>
      </w:pPr>
    </w:p>
    <w:p w14:paraId="73FBC5B3" w14:textId="77777777" w:rsidR="004C5B03" w:rsidRPr="004C5B03" w:rsidRDefault="004C5B03" w:rsidP="004C5B03">
      <w:pPr>
        <w:numPr>
          <w:ilvl w:val="0"/>
          <w:numId w:val="18"/>
        </w:numPr>
        <w:tabs>
          <w:tab w:val="clear" w:pos="360"/>
          <w:tab w:val="clear" w:pos="567"/>
          <w:tab w:val="num" w:pos="420"/>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Kaip laikyti Novofem</w:t>
      </w:r>
    </w:p>
    <w:p w14:paraId="1CDC565F"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4BEA352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Šį vaistą laikykite vaikams nepastebimoje ir nepasiekiamoje vietoje.</w:t>
      </w:r>
    </w:p>
    <w:p w14:paraId="7307082A"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6FD12705" w14:textId="4FEDD719"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Ant etiketės ir dėžutės po „EXP“ nurodytam tinkamumo laikui pasibaigus, šio vaisto vartoti negalima. Vaistas tinkamas vartoti iki paskutinės nurodyto mėnesio dienos.</w:t>
      </w:r>
    </w:p>
    <w:p w14:paraId="45D2DD1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578489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Laikyti ne aukštesnėje kaip 25 </w:t>
      </w:r>
      <w:r w:rsidRPr="004C5B03">
        <w:rPr>
          <w:rFonts w:asciiTheme="majorBidi" w:hAnsiTheme="majorBidi" w:cstheme="majorBidi"/>
          <w:szCs w:val="22"/>
          <w:lang w:val="lt-LT" w:bidi="he-IL"/>
        </w:rPr>
        <w:sym w:font="Symbol" w:char="F0B0"/>
      </w:r>
      <w:r w:rsidRPr="004C5B03">
        <w:rPr>
          <w:rFonts w:asciiTheme="majorBidi" w:hAnsiTheme="majorBidi" w:cstheme="majorBidi"/>
          <w:szCs w:val="22"/>
          <w:lang w:val="lt-LT" w:bidi="he-IL"/>
        </w:rPr>
        <w:t xml:space="preserve">C temperatūroje. Negalima šaldyti. </w:t>
      </w:r>
    </w:p>
    <w:p w14:paraId="3286B502"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Talpyklę laikyti išorinėje dėžutėje, kad preparatas būtų apsaugotas nuo šviesos.</w:t>
      </w:r>
    </w:p>
    <w:p w14:paraId="74DADED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BA5065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Vaistų negalima išmesti į kanalizaciją arba su buitinėmis atliekomis. Kaip išmesti nereikalingus vaistus, klauskite vaistininko. Šios priemonės padės apsaugoti aplinką.</w:t>
      </w:r>
    </w:p>
    <w:p w14:paraId="54F16F8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D5171A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881F00E" w14:textId="77777777" w:rsidR="004C5B03" w:rsidRPr="004C5B03" w:rsidRDefault="004C5B03" w:rsidP="004C5B03">
      <w:pPr>
        <w:numPr>
          <w:ilvl w:val="0"/>
          <w:numId w:val="18"/>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Pakuotės turinys ir kita informacija</w:t>
      </w:r>
    </w:p>
    <w:p w14:paraId="3BE3218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389123B" w14:textId="7462E842"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Novofem sudėtis</w:t>
      </w:r>
    </w:p>
    <w:p w14:paraId="0C8D1609" w14:textId="3D021C0F" w:rsidR="004C5B03" w:rsidRPr="004C5B03" w:rsidRDefault="00776D50" w:rsidP="00776D50">
      <w:pPr>
        <w:ind w:left="567" w:hanging="567"/>
        <w:rPr>
          <w:lang w:val="lt-LT" w:bidi="he-IL"/>
        </w:rPr>
      </w:pPr>
      <w:r w:rsidRPr="005265C0">
        <w:rPr>
          <w:lang w:val="pt-BR"/>
        </w:rPr>
        <w:t>–</w:t>
      </w:r>
      <w:r w:rsidRPr="005265C0">
        <w:rPr>
          <w:lang w:val="pt-BR"/>
        </w:rPr>
        <w:tab/>
      </w:r>
      <w:r w:rsidR="004C5B03" w:rsidRPr="004C5B03">
        <w:rPr>
          <w:lang w:val="lt-LT" w:bidi="he-IL"/>
        </w:rPr>
        <w:t>Veikliosios medžiagos yra estradiolis ir noretisterono acetatas.</w:t>
      </w:r>
    </w:p>
    <w:p w14:paraId="1B931E61" w14:textId="77777777" w:rsidR="004C5B03" w:rsidRPr="004C5B03" w:rsidRDefault="004C5B03" w:rsidP="00776D50">
      <w:pPr>
        <w:tabs>
          <w:tab w:val="clear" w:pos="567"/>
        </w:tabs>
        <w:suppressAutoHyphens w:val="0"/>
        <w:ind w:left="567"/>
        <w:rPr>
          <w:rFonts w:asciiTheme="majorBidi" w:hAnsiTheme="majorBidi" w:cstheme="majorBidi"/>
          <w:szCs w:val="22"/>
          <w:lang w:val="lt-LT" w:bidi="he-IL"/>
        </w:rPr>
      </w:pPr>
      <w:r w:rsidRPr="004C5B03">
        <w:rPr>
          <w:rFonts w:asciiTheme="majorBidi" w:hAnsiTheme="majorBidi" w:cstheme="majorBidi"/>
          <w:szCs w:val="22"/>
          <w:lang w:val="lt-LT" w:bidi="he-IL"/>
        </w:rPr>
        <w:t>Vienoje raudona plėvele dengtoje tabletėje yra: 1 mg estradiolio (estradiolio hemihidrato pavidalu).</w:t>
      </w:r>
    </w:p>
    <w:p w14:paraId="7601312C" w14:textId="77777777" w:rsidR="004C5B03" w:rsidRPr="004C5B03" w:rsidRDefault="004C5B03" w:rsidP="00776D50">
      <w:pPr>
        <w:tabs>
          <w:tab w:val="clear" w:pos="567"/>
        </w:tabs>
        <w:suppressAutoHyphens w:val="0"/>
        <w:ind w:left="567"/>
        <w:rPr>
          <w:rFonts w:asciiTheme="majorBidi" w:hAnsiTheme="majorBidi" w:cstheme="majorBidi"/>
          <w:szCs w:val="22"/>
          <w:lang w:val="lt-LT" w:bidi="he-IL"/>
        </w:rPr>
      </w:pPr>
      <w:r w:rsidRPr="004C5B03">
        <w:rPr>
          <w:rFonts w:asciiTheme="majorBidi" w:hAnsiTheme="majorBidi" w:cstheme="majorBidi"/>
          <w:szCs w:val="22"/>
          <w:lang w:val="lt-LT" w:bidi="he-IL"/>
        </w:rPr>
        <w:t>Vienoje balta plėvele dengtoje tabletėje yra: 1 mg estradiolio (estradiolio hemihidrato pavidalu) ir 1 mg noretisterono acetato.</w:t>
      </w:r>
    </w:p>
    <w:p w14:paraId="26C85F3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FF8BE87" w14:textId="69C44A81" w:rsidR="004C5B03" w:rsidRPr="004C5B03" w:rsidRDefault="00776D50" w:rsidP="00776D50">
      <w:pPr>
        <w:ind w:left="567" w:hanging="567"/>
        <w:rPr>
          <w:lang w:val="lt-LT" w:bidi="he-IL"/>
        </w:rPr>
      </w:pPr>
      <w:r w:rsidRPr="005265C0">
        <w:rPr>
          <w:lang w:val="lt-LT"/>
        </w:rPr>
        <w:t>–</w:t>
      </w:r>
      <w:r w:rsidRPr="005265C0">
        <w:rPr>
          <w:lang w:val="lt-LT"/>
        </w:rPr>
        <w:tab/>
      </w:r>
      <w:r w:rsidR="004C5B03" w:rsidRPr="004C5B03">
        <w:rPr>
          <w:lang w:val="lt-LT" w:bidi="he-IL"/>
        </w:rPr>
        <w:t>Pagalbinės medžiagos yra: laktozės monohidratas, kukurūzų krakmolas, hidroksipropilceliuliozė, talkas ir magnio stearatas.</w:t>
      </w:r>
    </w:p>
    <w:p w14:paraId="34B2382E" w14:textId="77777777" w:rsidR="004C5B03" w:rsidRPr="004C5B03" w:rsidRDefault="004C5B03" w:rsidP="00776D50">
      <w:pPr>
        <w:tabs>
          <w:tab w:val="clear" w:pos="567"/>
        </w:tabs>
        <w:suppressAutoHyphens w:val="0"/>
        <w:ind w:left="567"/>
        <w:rPr>
          <w:rFonts w:asciiTheme="majorBidi" w:hAnsiTheme="majorBidi" w:cstheme="majorBidi"/>
          <w:szCs w:val="22"/>
          <w:lang w:val="lt-LT" w:bidi="he-IL"/>
        </w:rPr>
      </w:pPr>
      <w:r w:rsidRPr="004C5B03">
        <w:rPr>
          <w:rFonts w:asciiTheme="majorBidi" w:hAnsiTheme="majorBidi" w:cstheme="majorBidi"/>
          <w:szCs w:val="22"/>
          <w:lang w:val="lt-LT" w:bidi="he-IL"/>
        </w:rPr>
        <w:t>Raudonų tablečių plėvelėje yra: hipromeliozės, talko, titano dioksido (E171), propilenglikolio ir raudonojo geležies oksido (E172).</w:t>
      </w:r>
    </w:p>
    <w:p w14:paraId="34220F5C" w14:textId="77777777" w:rsidR="004C5B03" w:rsidRPr="004C5B03" w:rsidRDefault="004C5B03" w:rsidP="00776D50">
      <w:pPr>
        <w:tabs>
          <w:tab w:val="clear" w:pos="567"/>
        </w:tabs>
        <w:suppressAutoHyphens w:val="0"/>
        <w:ind w:left="567"/>
        <w:rPr>
          <w:rFonts w:asciiTheme="majorBidi" w:hAnsiTheme="majorBidi" w:cstheme="majorBidi"/>
          <w:szCs w:val="22"/>
          <w:lang w:val="lt-LT" w:bidi="he-IL"/>
        </w:rPr>
      </w:pPr>
      <w:r w:rsidRPr="004C5B03">
        <w:rPr>
          <w:rFonts w:asciiTheme="majorBidi" w:hAnsiTheme="majorBidi" w:cstheme="majorBidi"/>
          <w:szCs w:val="22"/>
          <w:lang w:val="lt-LT" w:bidi="he-IL"/>
        </w:rPr>
        <w:t>Baltų tablečių plėvelėje yra: hipromeliozės, triacetino ir talko.</w:t>
      </w:r>
    </w:p>
    <w:p w14:paraId="19B3FD5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909A514"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Novofem išvaizda ir kiekis pakuotėje</w:t>
      </w:r>
    </w:p>
    <w:p w14:paraId="720EC0E3" w14:textId="11752178"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plėvele dengtos tabletės yra apvalios, 6 mm skersmens. Raudonų tablečių paviršiuje įspaustas užrašas</w:t>
      </w:r>
      <w:r w:rsidRPr="004C5B03">
        <w:rPr>
          <w:rFonts w:asciiTheme="majorBidi" w:hAnsiTheme="majorBidi" w:cstheme="majorBidi"/>
          <w:b/>
          <w:i/>
          <w:szCs w:val="22"/>
          <w:lang w:val="lt-LT" w:bidi="he-IL"/>
        </w:rPr>
        <w:t xml:space="preserve"> </w:t>
      </w:r>
      <w:r w:rsidRPr="004C5B03">
        <w:rPr>
          <w:rFonts w:asciiTheme="majorBidi" w:hAnsiTheme="majorBidi" w:cstheme="majorBidi"/>
          <w:szCs w:val="22"/>
          <w:lang w:val="lt-LT" w:bidi="he-IL"/>
        </w:rPr>
        <w:t>NOVO</w:t>
      </w:r>
      <w:r w:rsidR="00A54965">
        <w:rPr>
          <w:rFonts w:asciiTheme="majorBidi" w:hAnsiTheme="majorBidi" w:cstheme="majorBidi"/>
          <w:szCs w:val="22"/>
          <w:lang w:val="lt-LT" w:bidi="he-IL"/>
        </w:rPr>
        <w:t> </w:t>
      </w:r>
      <w:r w:rsidRPr="004C5B03">
        <w:rPr>
          <w:rFonts w:asciiTheme="majorBidi" w:hAnsiTheme="majorBidi" w:cstheme="majorBidi"/>
          <w:szCs w:val="22"/>
          <w:lang w:val="lt-LT" w:bidi="he-IL"/>
        </w:rPr>
        <w:t>2</w:t>
      </w:r>
      <w:r w:rsidRPr="004C5B03">
        <w:rPr>
          <w:rFonts w:asciiTheme="majorBidi" w:hAnsiTheme="majorBidi" w:cstheme="majorBidi"/>
          <w:szCs w:val="22"/>
          <w:lang w:val="lt-LT" w:bidi="he-IL"/>
        </w:rPr>
        <w:sym w:font="Symbol" w:char="F038"/>
      </w:r>
      <w:r w:rsidRPr="004C5B03">
        <w:rPr>
          <w:rFonts w:asciiTheme="majorBidi" w:hAnsiTheme="majorBidi" w:cstheme="majorBidi"/>
          <w:szCs w:val="22"/>
          <w:lang w:val="lt-LT" w:bidi="he-IL"/>
        </w:rPr>
        <w:t>2, o baltų tablečių</w:t>
      </w:r>
      <w:r w:rsidRPr="004C5B03">
        <w:rPr>
          <w:rFonts w:asciiTheme="majorBidi" w:hAnsiTheme="majorBidi" w:cstheme="majorBidi"/>
          <w:i/>
          <w:szCs w:val="22"/>
          <w:lang w:val="lt-LT" w:bidi="he-IL"/>
        </w:rPr>
        <w:t xml:space="preserve"> </w:t>
      </w:r>
      <w:r w:rsidRPr="004C5B03">
        <w:rPr>
          <w:rFonts w:asciiTheme="majorBidi" w:hAnsiTheme="majorBidi" w:cstheme="majorBidi"/>
          <w:szCs w:val="22"/>
          <w:lang w:val="lt-LT" w:bidi="he-IL"/>
        </w:rPr>
        <w:t>paviršiuje įspaustas užrašas NOVO 2</w:t>
      </w:r>
      <w:r w:rsidRPr="004C5B03">
        <w:rPr>
          <w:rFonts w:asciiTheme="majorBidi" w:hAnsiTheme="majorBidi" w:cstheme="majorBidi"/>
          <w:szCs w:val="22"/>
          <w:lang w:val="lt-LT" w:bidi="he-IL"/>
        </w:rPr>
        <w:sym w:font="Symbol" w:char="F038"/>
      </w:r>
      <w:r w:rsidRPr="004C5B03">
        <w:rPr>
          <w:rFonts w:asciiTheme="majorBidi" w:hAnsiTheme="majorBidi" w:cstheme="majorBidi"/>
          <w:szCs w:val="22"/>
          <w:lang w:val="lt-LT" w:bidi="he-IL"/>
        </w:rPr>
        <w:t>3.</w:t>
      </w:r>
    </w:p>
    <w:p w14:paraId="3B0AAF6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3F74A99" w14:textId="72443B80"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Kiekvienoje 28</w:t>
      </w:r>
      <w:r w:rsidR="00A54965">
        <w:rPr>
          <w:rFonts w:asciiTheme="majorBidi" w:hAnsiTheme="majorBidi" w:cstheme="majorBidi"/>
          <w:szCs w:val="22"/>
          <w:lang w:val="lt-LT" w:bidi="he-IL"/>
        </w:rPr>
        <w:t> </w:t>
      </w:r>
      <w:r w:rsidRPr="004C5B03">
        <w:rPr>
          <w:rFonts w:asciiTheme="majorBidi" w:hAnsiTheme="majorBidi" w:cstheme="majorBidi"/>
          <w:szCs w:val="22"/>
          <w:lang w:val="lt-LT" w:bidi="he-IL"/>
        </w:rPr>
        <w:t>tablečių pakuotėje yra 16</w:t>
      </w:r>
      <w:r w:rsidR="00A54965">
        <w:rPr>
          <w:rFonts w:asciiTheme="majorBidi" w:hAnsiTheme="majorBidi" w:cstheme="majorBidi"/>
          <w:szCs w:val="22"/>
          <w:lang w:val="lt-LT" w:bidi="he-IL"/>
        </w:rPr>
        <w:t> </w:t>
      </w:r>
      <w:r w:rsidRPr="004C5B03">
        <w:rPr>
          <w:rFonts w:asciiTheme="majorBidi" w:hAnsiTheme="majorBidi" w:cstheme="majorBidi"/>
          <w:szCs w:val="22"/>
          <w:lang w:val="lt-LT" w:bidi="he-IL"/>
        </w:rPr>
        <w:t>raudonų tablečių ir 12</w:t>
      </w:r>
      <w:r w:rsidR="00A54965">
        <w:rPr>
          <w:rFonts w:asciiTheme="majorBidi" w:hAnsiTheme="majorBidi" w:cstheme="majorBidi"/>
          <w:szCs w:val="22"/>
          <w:lang w:val="lt-LT" w:bidi="he-IL"/>
        </w:rPr>
        <w:t> </w:t>
      </w:r>
      <w:r w:rsidRPr="004C5B03">
        <w:rPr>
          <w:rFonts w:asciiTheme="majorBidi" w:hAnsiTheme="majorBidi" w:cstheme="majorBidi"/>
          <w:szCs w:val="22"/>
          <w:lang w:val="lt-LT" w:bidi="he-IL"/>
        </w:rPr>
        <w:t>baltų tablečių.</w:t>
      </w:r>
    </w:p>
    <w:p w14:paraId="60F59D0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9971B3F"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Tiekiamos šių dydžių pakuotės:</w:t>
      </w:r>
    </w:p>
    <w:p w14:paraId="44FD0EB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 x 28 plėvele dengtos tabletės,</w:t>
      </w:r>
    </w:p>
    <w:p w14:paraId="3B2A3941" w14:textId="77777777" w:rsid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3 x 28 plėvele dengtos tabletės.</w:t>
      </w:r>
    </w:p>
    <w:p w14:paraId="0D4405CE" w14:textId="77777777" w:rsidR="002E5E22" w:rsidRPr="004C5B03" w:rsidRDefault="002E5E22" w:rsidP="004C5B03">
      <w:pPr>
        <w:tabs>
          <w:tab w:val="clear" w:pos="567"/>
        </w:tabs>
        <w:suppressAutoHyphens w:val="0"/>
        <w:rPr>
          <w:rFonts w:asciiTheme="majorBidi" w:hAnsiTheme="majorBidi" w:cstheme="majorBidi"/>
          <w:szCs w:val="22"/>
          <w:lang w:val="lt-LT" w:bidi="he-IL"/>
        </w:rPr>
      </w:pPr>
    </w:p>
    <w:p w14:paraId="5DE343F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Gali būti tiekiamos ne visų dydžių pakuotės.</w:t>
      </w:r>
    </w:p>
    <w:p w14:paraId="72B3FE6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E347A4E"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Registruotojas ir gamintojas</w:t>
      </w:r>
    </w:p>
    <w:p w14:paraId="3E44F2F4"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p>
    <w:p w14:paraId="762954C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 Nordisk A/S</w:t>
      </w:r>
    </w:p>
    <w:p w14:paraId="2AA643D7"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 Alle</w:t>
      </w:r>
    </w:p>
    <w:p w14:paraId="47855829"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DK-2880 Bagsværd</w:t>
      </w:r>
    </w:p>
    <w:p w14:paraId="6193FA8E"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Danija</w:t>
      </w:r>
    </w:p>
    <w:p w14:paraId="04FFF561" w14:textId="69A5E864" w:rsidR="004C5B03" w:rsidRPr="004C5B03" w:rsidRDefault="004C5B03" w:rsidP="004C5B03">
      <w:pPr>
        <w:tabs>
          <w:tab w:val="clear" w:pos="567"/>
        </w:tabs>
        <w:suppressAutoHyphens w:val="0"/>
        <w:rPr>
          <w:rFonts w:asciiTheme="majorBidi" w:hAnsiTheme="majorBidi" w:cstheme="majorBidi"/>
          <w:szCs w:val="22"/>
          <w:lang w:val="lt-LT" w:bidi="he-IL"/>
        </w:rPr>
      </w:pPr>
    </w:p>
    <w:p w14:paraId="6A752AE8" w14:textId="1E4708DC"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lastRenderedPageBreak/>
        <w:t>Šis vaistas E</w:t>
      </w:r>
      <w:r w:rsidR="0004561A">
        <w:rPr>
          <w:rFonts w:asciiTheme="majorBidi" w:hAnsiTheme="majorBidi" w:cstheme="majorBidi"/>
          <w:b/>
          <w:szCs w:val="22"/>
          <w:lang w:val="lt-LT" w:bidi="he-IL"/>
        </w:rPr>
        <w:t>uropos ekonominės erdvės</w:t>
      </w:r>
      <w:r w:rsidRPr="004C5B03">
        <w:rPr>
          <w:rFonts w:asciiTheme="majorBidi" w:hAnsiTheme="majorBidi" w:cstheme="majorBidi"/>
          <w:b/>
          <w:szCs w:val="22"/>
          <w:lang w:val="lt-LT" w:bidi="he-IL"/>
        </w:rPr>
        <w:t xml:space="preserve"> valstybėse narėse</w:t>
      </w:r>
      <w:r w:rsidR="0004561A">
        <w:rPr>
          <w:rFonts w:asciiTheme="majorBidi" w:hAnsiTheme="majorBidi" w:cstheme="majorBidi"/>
          <w:b/>
          <w:szCs w:val="22"/>
          <w:lang w:val="lt-LT" w:bidi="he-IL"/>
        </w:rPr>
        <w:t xml:space="preserve"> ir Jungtinėje Karalystėje (Šiaurės Airijoje)</w:t>
      </w:r>
      <w:r w:rsidRPr="004C5B03">
        <w:rPr>
          <w:rFonts w:asciiTheme="majorBidi" w:hAnsiTheme="majorBidi" w:cstheme="majorBidi"/>
          <w:b/>
          <w:szCs w:val="22"/>
          <w:lang w:val="lt-LT" w:bidi="he-IL"/>
        </w:rPr>
        <w:t xml:space="preserve"> registruotas tokiais pavadinimais:</w:t>
      </w:r>
    </w:p>
    <w:p w14:paraId="2BFBE79D"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EEE šalyse narėse – Novofem, išskyrus </w:t>
      </w:r>
    </w:p>
    <w:p w14:paraId="79F149FF"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Prancūziją – Novofemme</w:t>
      </w:r>
    </w:p>
    <w:p w14:paraId="38B0C548"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Ispaniją – Duofemme</w:t>
      </w:r>
    </w:p>
    <w:p w14:paraId="708D288E"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259C1C6"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Jeigu apie šį vaistą norite sužinoti daugiau, kreipkitės į vietinį registruotojo atstovą.</w:t>
      </w:r>
    </w:p>
    <w:p w14:paraId="786BC23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UAB „Novo Nordisk Pharma“</w:t>
      </w:r>
    </w:p>
    <w:p w14:paraId="59077AFF"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 Jasinskio 16b, Vilnius, Lietuva</w:t>
      </w:r>
    </w:p>
    <w:p w14:paraId="0F066494"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Tel.: +370 521 22849</w:t>
      </w:r>
    </w:p>
    <w:p w14:paraId="034D3060"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Faksas: +370 521 22883</w:t>
      </w:r>
    </w:p>
    <w:p w14:paraId="4345859A"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El. paštas: infolt@novonordisk.com</w:t>
      </w:r>
    </w:p>
    <w:p w14:paraId="5D233DA9"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C016FA3" w14:textId="3EAB947D"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Šis pakuotės lapelis paskutinį kartą peržiūrėtas</w:t>
      </w:r>
      <w:r w:rsidR="009A5B9C">
        <w:rPr>
          <w:rFonts w:asciiTheme="majorBidi" w:hAnsiTheme="majorBidi" w:cstheme="majorBidi"/>
          <w:b/>
          <w:szCs w:val="22"/>
          <w:lang w:val="lt-LT" w:bidi="he-IL"/>
        </w:rPr>
        <w:t xml:space="preserve"> </w:t>
      </w:r>
      <w:r w:rsidR="000A47BB">
        <w:rPr>
          <w:rFonts w:asciiTheme="majorBidi" w:hAnsiTheme="majorBidi" w:cstheme="majorBidi"/>
          <w:b/>
          <w:szCs w:val="22"/>
          <w:lang w:val="lt-LT" w:bidi="he-IL"/>
        </w:rPr>
        <w:t>2024-09-25.</w:t>
      </w:r>
    </w:p>
    <w:p w14:paraId="4E2481A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98DC6EA" w14:textId="576C43F8"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Išsami informacija apie šį vaistą pateikiama Valstybinės vaistų kontrolės tarnybos prie Lietuvos Respublikos sveikatos apsaugos ministerijos tinklalapyje</w:t>
      </w:r>
      <w:r w:rsidRPr="004C5B03">
        <w:rPr>
          <w:rFonts w:asciiTheme="majorBidi" w:hAnsiTheme="majorBidi" w:cstheme="majorBidi"/>
          <w:i/>
          <w:szCs w:val="22"/>
          <w:lang w:val="lt-LT" w:bidi="he-IL"/>
        </w:rPr>
        <w:t xml:space="preserve"> </w:t>
      </w:r>
      <w:hyperlink r:id="rId9" w:history="1">
        <w:r w:rsidR="000E65C3" w:rsidRPr="00E2491C">
          <w:rPr>
            <w:rStyle w:val="Hipersaitas"/>
            <w:rFonts w:asciiTheme="majorBidi" w:hAnsiTheme="majorBidi" w:cstheme="majorBidi"/>
            <w:sz w:val="22"/>
            <w:szCs w:val="22"/>
            <w:lang w:val="lt-LT" w:bidi="he-IL"/>
          </w:rPr>
          <w:t>http://vvkt.lrv.lt</w:t>
        </w:r>
      </w:hyperlink>
      <w:r w:rsidRPr="004C5B03">
        <w:rPr>
          <w:rFonts w:asciiTheme="majorBidi" w:hAnsiTheme="majorBidi" w:cstheme="majorBidi"/>
          <w:szCs w:val="22"/>
          <w:lang w:val="lt-LT" w:bidi="he-IL"/>
        </w:rPr>
        <w:t>.</w:t>
      </w:r>
    </w:p>
    <w:p w14:paraId="7F14FF82" w14:textId="77777777" w:rsidR="004C5B03" w:rsidRPr="004C5B03" w:rsidRDefault="004C5B03" w:rsidP="004C5B03">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szCs w:val="22"/>
          <w:lang w:val="lt-LT" w:bidi="he-IL"/>
        </w:rPr>
        <w:br w:type="page"/>
      </w:r>
      <w:r w:rsidRPr="004C5B03">
        <w:rPr>
          <w:rFonts w:asciiTheme="majorBidi" w:hAnsiTheme="majorBidi" w:cstheme="majorBidi"/>
          <w:b/>
          <w:szCs w:val="22"/>
          <w:lang w:val="lt-LT" w:bidi="he-IL"/>
        </w:rPr>
        <w:lastRenderedPageBreak/>
        <w:t>VARTOTOJO INSTRUKCIJA</w:t>
      </w:r>
    </w:p>
    <w:p w14:paraId="639B0BC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E1F73FC" w14:textId="77777777" w:rsidR="004C5B03" w:rsidRPr="004C5B03" w:rsidRDefault="004C5B03" w:rsidP="004C5B03">
      <w:pP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Nurodymai, kaip naudotis kalendorine pakuote</w:t>
      </w:r>
    </w:p>
    <w:p w14:paraId="27B1683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BF7950A" w14:textId="77777777" w:rsidR="004C5B03" w:rsidRPr="004C5B03" w:rsidRDefault="004C5B03" w:rsidP="004C5B03">
      <w:pPr>
        <w:numPr>
          <w:ilvl w:val="0"/>
          <w:numId w:val="19"/>
        </w:numPr>
        <w:tabs>
          <w:tab w:val="clear" w:pos="360"/>
          <w:tab w:val="num"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 xml:space="preserve">Nustatykite reikiamą dieną </w:t>
      </w:r>
    </w:p>
    <w:p w14:paraId="441D8E07"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Pasukite vidinį diską ir ties maža plastiko plokštele uždengtu plyšeliu nustatykite savaitės dieną.</w:t>
      </w:r>
    </w:p>
    <w:p w14:paraId="3CDE83E0"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eastAsia="lt-LT"/>
        </w:rPr>
        <mc:AlternateContent>
          <mc:Choice Requires="wps">
            <w:drawing>
              <wp:anchor distT="0" distB="0" distL="114300" distR="114300" simplePos="0" relativeHeight="251659264" behindDoc="0" locked="0" layoutInCell="1" allowOverlap="1" wp14:anchorId="5893A05D" wp14:editId="327BEB80">
                <wp:simplePos x="0" y="0"/>
                <wp:positionH relativeFrom="column">
                  <wp:posOffset>226695</wp:posOffset>
                </wp:positionH>
                <wp:positionV relativeFrom="paragraph">
                  <wp:posOffset>86360</wp:posOffset>
                </wp:positionV>
                <wp:extent cx="1555115" cy="1387475"/>
                <wp:effectExtent l="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8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4EAF0" w14:textId="77777777" w:rsidR="00F87BD9" w:rsidRPr="00B05012" w:rsidRDefault="00F87BD9" w:rsidP="004C5B03">
                            <w:r w:rsidRPr="003916A4">
                              <w:rPr>
                                <w:lang w:val="lt-LT" w:eastAsia="lt-LT"/>
                              </w:rPr>
                              <w:drawing>
                                <wp:inline distT="0" distB="0" distL="0" distR="0" wp14:anchorId="6BA5C038" wp14:editId="50CC05AD">
                                  <wp:extent cx="1371600" cy="129540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295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93A05D" id="_x0000_t202" coordsize="21600,21600" o:spt="202" path="m,l,21600r21600,l21600,xe">
                <v:stroke joinstyle="miter"/>
                <v:path gradientshapeok="t" o:connecttype="rect"/>
              </v:shapetype>
              <v:shape id="Text Box 10" o:spid="_x0000_s1026" type="#_x0000_t202" style="position:absolute;margin-left:17.85pt;margin-top:6.8pt;width:122.45pt;height:109.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" filled="f" stroked="f">
                <v:textbox style="mso-fit-shape-to-text:t">
                  <w:txbxContent>
                    <w:p w14:paraId="44B4EAF0" w14:textId="77777777" w:rsidR="00F87BD9" w:rsidRPr="00B05012" w:rsidRDefault="00F87BD9" w:rsidP="004C5B03">
                      <w:r w:rsidRPr="003916A4">
                        <w:rPr>
                          <w:lang w:val="lt-LT" w:eastAsia="lt-LT"/>
                        </w:rPr>
                        <w:drawing>
                          <wp:inline distT="0" distB="0" distL="0" distR="0" wp14:anchorId="6BA5C038" wp14:editId="50CC05AD">
                            <wp:extent cx="1371600" cy="129540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95400"/>
                                    </a:xfrm>
                                    <a:prstGeom prst="rect">
                                      <a:avLst/>
                                    </a:prstGeom>
                                    <a:noFill/>
                                    <a:ln>
                                      <a:noFill/>
                                    </a:ln>
                                  </pic:spPr>
                                </pic:pic>
                              </a:graphicData>
                            </a:graphic>
                          </wp:inline>
                        </w:drawing>
                      </w:r>
                    </w:p>
                  </w:txbxContent>
                </v:textbox>
              </v:shape>
            </w:pict>
          </mc:Fallback>
        </mc:AlternateContent>
      </w:r>
    </w:p>
    <w:p w14:paraId="3F76005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CF7ECE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E478DC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A17699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F3B3660"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DA1DD4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5B22BC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F4571D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62D2011"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C3419A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5C8B751" w14:textId="77777777" w:rsidR="004C5B03" w:rsidRPr="004C5B03" w:rsidRDefault="004C5B03" w:rsidP="004C5B03">
      <w:pPr>
        <w:numPr>
          <w:ilvl w:val="0"/>
          <w:numId w:val="19"/>
        </w:numP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Išimkite pirmą tabletę</w:t>
      </w:r>
    </w:p>
    <w:p w14:paraId="702D793C"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Nulaužkite plastiko plokštelę ir išimkite pirmąją tabletę.</w:t>
      </w:r>
    </w:p>
    <w:p w14:paraId="1B90F8B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3A18EEC"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eastAsia="lt-LT"/>
        </w:rPr>
        <w:drawing>
          <wp:anchor distT="0" distB="0" distL="114300" distR="114300" simplePos="0" relativeHeight="251660288" behindDoc="0" locked="0" layoutInCell="1" allowOverlap="1" wp14:anchorId="57064D90" wp14:editId="27DA72C4">
            <wp:simplePos x="0" y="0"/>
            <wp:positionH relativeFrom="column">
              <wp:posOffset>0</wp:posOffset>
            </wp:positionH>
            <wp:positionV relativeFrom="paragraph">
              <wp:posOffset>43180</wp:posOffset>
            </wp:positionV>
            <wp:extent cx="1423035" cy="1590040"/>
            <wp:effectExtent l="0" t="0" r="5715" b="0"/>
            <wp:wrapNone/>
            <wp:docPr id="4" name="Picture 8"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t_pic2a-2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F4A770"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eastAsia="lt-LT"/>
        </w:rPr>
        <w:drawing>
          <wp:anchor distT="0" distB="0" distL="114300" distR="114300" simplePos="0" relativeHeight="251661312" behindDoc="0" locked="0" layoutInCell="1" allowOverlap="1" wp14:anchorId="0271A0CC" wp14:editId="5C32728C">
            <wp:simplePos x="0" y="0"/>
            <wp:positionH relativeFrom="column">
              <wp:posOffset>2057400</wp:posOffset>
            </wp:positionH>
            <wp:positionV relativeFrom="paragraph">
              <wp:posOffset>-3175</wp:posOffset>
            </wp:positionV>
            <wp:extent cx="826770" cy="1471295"/>
            <wp:effectExtent l="0" t="0" r="0" b="0"/>
            <wp:wrapNone/>
            <wp:docPr id="3" name="Picture 7"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_pic2b-2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C833E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E7BF1F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3FDA04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3FA11E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B8D32B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2DF7CF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2CA959B"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0DA2EC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5D416F78"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25E2D01"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1F1541B" w14:textId="77777777" w:rsidR="004C5B03" w:rsidRPr="004C5B03" w:rsidRDefault="004C5B03" w:rsidP="004C5B03">
      <w:pP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3.</w:t>
      </w:r>
      <w:r w:rsidRPr="004C5B03">
        <w:rPr>
          <w:rFonts w:asciiTheme="majorBidi" w:hAnsiTheme="majorBidi" w:cstheme="majorBidi"/>
          <w:b/>
          <w:szCs w:val="22"/>
          <w:lang w:val="lt-LT" w:bidi="he-IL"/>
        </w:rPr>
        <w:tab/>
        <w:t>Kiekvieną dieną pasukite diskelį</w:t>
      </w:r>
    </w:p>
    <w:p w14:paraId="02347A5C" w14:textId="77777777" w:rsidR="004C5B03" w:rsidRPr="004C5B03" w:rsidRDefault="004C5B03" w:rsidP="004C5B03">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Kitą dieną pasukite permatomą diskelį pagal laikrodžio rodyklę taip, kaip rodo strėlė. Išimkite kitą tabletę. Nepamirškite išimti tik 1 tabletę vienąkart per parą.</w:t>
      </w:r>
    </w:p>
    <w:p w14:paraId="3246DA23" w14:textId="77777777" w:rsidR="004C5B03" w:rsidRPr="004C5B03" w:rsidRDefault="004C5B03" w:rsidP="004C5B03">
      <w:pP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Permatomą diską galite pasukti tik tada, kai tabletė yra išimta.</w:t>
      </w:r>
    </w:p>
    <w:p w14:paraId="632B4BD4"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F08F011" w14:textId="77777777" w:rsidR="004C5B03" w:rsidRPr="004C5B03" w:rsidRDefault="004C5B03" w:rsidP="004C5B03">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eastAsia="lt-LT"/>
        </w:rPr>
        <w:drawing>
          <wp:anchor distT="0" distB="0" distL="114300" distR="114300" simplePos="0" relativeHeight="251662336" behindDoc="0" locked="0" layoutInCell="1" allowOverlap="1" wp14:anchorId="166146CC" wp14:editId="2CE5B3BD">
            <wp:simplePos x="0" y="0"/>
            <wp:positionH relativeFrom="column">
              <wp:posOffset>114300</wp:posOffset>
            </wp:positionH>
            <wp:positionV relativeFrom="paragraph">
              <wp:posOffset>101600</wp:posOffset>
            </wp:positionV>
            <wp:extent cx="1955800" cy="1852930"/>
            <wp:effectExtent l="0" t="0" r="6350" b="0"/>
            <wp:wrapNone/>
            <wp:docPr id="2" name="Picture 6"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_pic3-2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E6CC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29D0F04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F9DCA26"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360FA2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6A69AF03"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36C083D"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284F98F"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12669DEC"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05C51857"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75437E85"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3959A802" w14:textId="77777777" w:rsidR="004C5B03" w:rsidRPr="004C5B03" w:rsidRDefault="004C5B03" w:rsidP="004C5B03">
      <w:pPr>
        <w:tabs>
          <w:tab w:val="clear" w:pos="567"/>
        </w:tabs>
        <w:suppressAutoHyphens w:val="0"/>
        <w:rPr>
          <w:rFonts w:asciiTheme="majorBidi" w:hAnsiTheme="majorBidi" w:cstheme="majorBidi"/>
          <w:szCs w:val="22"/>
          <w:lang w:val="lt-LT" w:bidi="he-IL"/>
        </w:rPr>
      </w:pPr>
    </w:p>
    <w:p w14:paraId="4C9C558C" w14:textId="77777777" w:rsidR="005642ED" w:rsidRPr="004C5B03" w:rsidRDefault="005642ED" w:rsidP="004C5B03">
      <w:pPr>
        <w:rPr>
          <w:rFonts w:asciiTheme="majorBidi" w:hAnsiTheme="majorBidi" w:cstheme="majorBidi"/>
          <w:szCs w:val="22"/>
          <w:lang w:val="lt-LT"/>
        </w:rPr>
      </w:pPr>
      <w:bookmarkStart w:id="6" w:name="_GoBack"/>
      <w:bookmarkEnd w:id="6"/>
    </w:p>
    <w:sectPr w:rsidR="005642ED" w:rsidRPr="004C5B03" w:rsidSect="004C5B03">
      <w:headerReference w:type="default" r:id="rId15"/>
      <w:footerReference w:type="default" r:id="rId16"/>
      <w:pgSz w:w="11906" w:h="16838"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6AB13" w14:textId="77777777" w:rsidR="007724B8" w:rsidRDefault="007724B8" w:rsidP="004C5B03">
      <w:r>
        <w:separator/>
      </w:r>
    </w:p>
  </w:endnote>
  <w:endnote w:type="continuationSeparator" w:id="0">
    <w:p w14:paraId="7E6D1985" w14:textId="77777777" w:rsidR="007724B8" w:rsidRDefault="007724B8" w:rsidP="004C5B03">
      <w:r>
        <w:continuationSeparator/>
      </w:r>
    </w:p>
  </w:endnote>
  <w:endnote w:type="continuationNotice" w:id="1">
    <w:p w14:paraId="6DBA18A1" w14:textId="77777777" w:rsidR="007724B8" w:rsidRDefault="00772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ueFrutiger">
    <w:altName w:val="Calibri"/>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18DF0" w14:textId="77777777" w:rsidR="00F87BD9" w:rsidRDefault="00F87BD9" w:rsidP="004C5B03">
    <w:pPr>
      <w:pStyle w:val="Porat"/>
      <w:tabs>
        <w:tab w:val="clear" w:pos="4513"/>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0040F" w14:textId="77777777" w:rsidR="007724B8" w:rsidRDefault="007724B8" w:rsidP="004C5B03">
      <w:r>
        <w:separator/>
      </w:r>
    </w:p>
  </w:footnote>
  <w:footnote w:type="continuationSeparator" w:id="0">
    <w:p w14:paraId="7D6BAC9A" w14:textId="77777777" w:rsidR="007724B8" w:rsidRDefault="007724B8" w:rsidP="004C5B03">
      <w:r>
        <w:continuationSeparator/>
      </w:r>
    </w:p>
  </w:footnote>
  <w:footnote w:type="continuationNotice" w:id="1">
    <w:p w14:paraId="19803222" w14:textId="77777777" w:rsidR="007724B8" w:rsidRDefault="007724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D12E9" w14:textId="77777777" w:rsidR="00F87BD9" w:rsidRDefault="00F87BD9" w:rsidP="004C5B03">
    <w:pPr>
      <w:pStyle w:val="Antrats"/>
      <w:tabs>
        <w:tab w:val="clear" w:pos="4513"/>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AACA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162D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4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BA9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1004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FC0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AE18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FC85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D8AA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0090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67044"/>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01C4C27"/>
    <w:multiLevelType w:val="multilevel"/>
    <w:tmpl w:val="2FD0CF64"/>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2B75D3D"/>
    <w:multiLevelType w:val="multilevel"/>
    <w:tmpl w:val="507898C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3B6E33C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5B14BE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ACD640C"/>
    <w:multiLevelType w:val="multilevel"/>
    <w:tmpl w:val="1C72B686"/>
    <w:lvl w:ilvl="0">
      <w:start w:val="1"/>
      <w:numFmt w:val="decimal"/>
      <w:pStyle w:val="Sraassunumeriais"/>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247" w:hanging="510"/>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268"/>
        </w:tabs>
        <w:ind w:left="2268" w:hanging="794"/>
      </w:pPr>
      <w:rPr>
        <w:rFonts w:hint="default"/>
      </w:rPr>
    </w:lvl>
    <w:lvl w:ilvl="5">
      <w:start w:val="1"/>
      <w:numFmt w:val="decimal"/>
      <w:lvlText w:val="%1.%2.%3.%4.%5.%6."/>
      <w:lvlJc w:val="left"/>
      <w:pPr>
        <w:tabs>
          <w:tab w:val="num" w:pos="2778"/>
        </w:tabs>
        <w:ind w:left="2778" w:hanging="964"/>
      </w:pPr>
      <w:rPr>
        <w:rFonts w:hint="default"/>
      </w:rPr>
    </w:lvl>
    <w:lvl w:ilvl="6">
      <w:start w:val="1"/>
      <w:numFmt w:val="decimal"/>
      <w:lvlText w:val="%1.%2.%3.%4.%5.%6.%7."/>
      <w:lvlJc w:val="left"/>
      <w:pPr>
        <w:tabs>
          <w:tab w:val="num" w:pos="3232"/>
        </w:tabs>
        <w:ind w:left="3232" w:hanging="1077"/>
      </w:pPr>
      <w:rPr>
        <w:rFonts w:hint="default"/>
      </w:rPr>
    </w:lvl>
    <w:lvl w:ilvl="7">
      <w:start w:val="1"/>
      <w:numFmt w:val="decimal"/>
      <w:lvlText w:val="%1.%2.%3.%4.%5.%6.%7.%8."/>
      <w:lvlJc w:val="left"/>
      <w:pPr>
        <w:tabs>
          <w:tab w:val="num" w:pos="3742"/>
        </w:tabs>
        <w:ind w:left="3744" w:hanging="1192"/>
      </w:pPr>
      <w:rPr>
        <w:rFonts w:hint="default"/>
      </w:rPr>
    </w:lvl>
    <w:lvl w:ilvl="8">
      <w:start w:val="1"/>
      <w:numFmt w:val="decimal"/>
      <w:lvlText w:val="%1.%2.%3.%4.%5.%6.%7.%8.%9."/>
      <w:lvlJc w:val="left"/>
      <w:pPr>
        <w:ind w:left="4309" w:hanging="1417"/>
      </w:pPr>
      <w:rPr>
        <w:rFonts w:hint="default"/>
      </w:rPr>
    </w:lvl>
  </w:abstractNum>
  <w:abstractNum w:abstractNumId="16" w15:restartNumberingAfterBreak="0">
    <w:nsid w:val="4BC33725"/>
    <w:multiLevelType w:val="multilevel"/>
    <w:tmpl w:val="3C1C4858"/>
    <w:lvl w:ilvl="0">
      <w:start w:val="1"/>
      <w:numFmt w:val="decimal"/>
      <w:pStyle w:val="Sraassunumeriais2"/>
      <w:lvlText w:val="%1)"/>
      <w:lvlJc w:val="left"/>
      <w:pPr>
        <w:ind w:left="340" w:hanging="340"/>
      </w:pPr>
      <w:rPr>
        <w:rFonts w:hint="default"/>
      </w:rPr>
    </w:lvl>
    <w:lvl w:ilvl="1">
      <w:start w:val="1"/>
      <w:numFmt w:val="lowerLetter"/>
      <w:lvlText w:val="%2)"/>
      <w:lvlJc w:val="left"/>
      <w:pPr>
        <w:tabs>
          <w:tab w:val="num" w:pos="737"/>
        </w:tabs>
        <w:ind w:left="737" w:hanging="397"/>
      </w:pPr>
      <w:rPr>
        <w:rFonts w:hint="default"/>
      </w:rPr>
    </w:lvl>
    <w:lvl w:ilvl="2">
      <w:start w:val="1"/>
      <w:numFmt w:val="lowerRoman"/>
      <w:lvlText w:val="%3)"/>
      <w:lvlJc w:val="left"/>
      <w:pPr>
        <w:tabs>
          <w:tab w:val="num" w:pos="1077"/>
        </w:tabs>
        <w:ind w:left="1080" w:hanging="343"/>
      </w:pPr>
      <w:rPr>
        <w:rFonts w:hint="default"/>
      </w:rPr>
    </w:lvl>
    <w:lvl w:ilvl="3">
      <w:start w:val="1"/>
      <w:numFmt w:val="decimal"/>
      <w:lvlText w:val="(%4)"/>
      <w:lvlJc w:val="left"/>
      <w:pPr>
        <w:ind w:left="1418" w:hanging="341"/>
      </w:pPr>
      <w:rPr>
        <w:rFonts w:hint="default"/>
      </w:rPr>
    </w:lvl>
    <w:lvl w:ilvl="4">
      <w:start w:val="1"/>
      <w:numFmt w:val="lowerLetter"/>
      <w:lvlText w:val="(%5)"/>
      <w:lvlJc w:val="left"/>
      <w:pPr>
        <w:ind w:left="1814" w:hanging="396"/>
      </w:pPr>
      <w:rPr>
        <w:rFonts w:hint="default"/>
      </w:rPr>
    </w:lvl>
    <w:lvl w:ilvl="5">
      <w:start w:val="1"/>
      <w:numFmt w:val="lowerRoman"/>
      <w:lvlText w:val="(%6)"/>
      <w:lvlJc w:val="left"/>
      <w:pPr>
        <w:ind w:left="2155" w:hanging="341"/>
      </w:pPr>
      <w:rPr>
        <w:rFonts w:hint="default"/>
      </w:rPr>
    </w:lvl>
    <w:lvl w:ilvl="6">
      <w:start w:val="1"/>
      <w:numFmt w:val="decimal"/>
      <w:lvlText w:val="%7."/>
      <w:lvlJc w:val="left"/>
      <w:pPr>
        <w:ind w:left="2552" w:hanging="397"/>
      </w:pPr>
      <w:rPr>
        <w:rFonts w:hint="default"/>
      </w:rPr>
    </w:lvl>
    <w:lvl w:ilvl="7">
      <w:start w:val="1"/>
      <w:numFmt w:val="lowerLetter"/>
      <w:lvlText w:val="%8."/>
      <w:lvlJc w:val="left"/>
      <w:pPr>
        <w:tabs>
          <w:tab w:val="num" w:pos="2892"/>
        </w:tabs>
        <w:ind w:left="2892" w:hanging="397"/>
      </w:pPr>
      <w:rPr>
        <w:rFonts w:hint="default"/>
      </w:rPr>
    </w:lvl>
    <w:lvl w:ilvl="8">
      <w:start w:val="1"/>
      <w:numFmt w:val="lowerRoman"/>
      <w:lvlText w:val="%9."/>
      <w:lvlJc w:val="left"/>
      <w:pPr>
        <w:ind w:left="3232" w:hanging="340"/>
      </w:pPr>
      <w:rPr>
        <w:rFonts w:hint="default"/>
      </w:rPr>
    </w:lvl>
  </w:abstractNum>
  <w:abstractNum w:abstractNumId="17" w15:restartNumberingAfterBreak="0">
    <w:nsid w:val="4F4717EF"/>
    <w:multiLevelType w:val="multilevel"/>
    <w:tmpl w:val="06E01FC8"/>
    <w:lvl w:ilvl="0">
      <w:start w:val="1"/>
      <w:numFmt w:val="bullet"/>
      <w:pStyle w:val="Sraassuenkleliais"/>
      <w:lvlText w:val=""/>
      <w:lvlJc w:val="left"/>
      <w:pPr>
        <w:ind w:left="340" w:hanging="340"/>
      </w:pPr>
      <w:rPr>
        <w:rFonts w:ascii="Symbol" w:hAnsi="Symbol" w:hint="default"/>
      </w:rPr>
    </w:lvl>
    <w:lvl w:ilvl="1">
      <w:start w:val="1"/>
      <w:numFmt w:val="bullet"/>
      <w:lvlText w:val=""/>
      <w:lvlJc w:val="left"/>
      <w:pPr>
        <w:ind w:left="680" w:hanging="340"/>
      </w:pPr>
      <w:rPr>
        <w:rFonts w:ascii="Wingdings" w:hAnsi="Wingdings"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Wingdings" w:hAnsi="Wingdings" w:hint="default"/>
        <w:color w:val="auto"/>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8" w15:restartNumberingAfterBreak="0">
    <w:nsid w:val="5F5056AB"/>
    <w:multiLevelType w:val="multilevel"/>
    <w:tmpl w:val="39748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6AC3280"/>
    <w:multiLevelType w:val="hybridMultilevel"/>
    <w:tmpl w:val="F336018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9053EFD"/>
    <w:multiLevelType w:val="hybridMultilevel"/>
    <w:tmpl w:val="EFB45EB0"/>
    <w:lvl w:ilvl="0" w:tplc="F68AC69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18F49CC"/>
    <w:multiLevelType w:val="hybridMultilevel"/>
    <w:tmpl w:val="9C6C6BC0"/>
    <w:lvl w:ilvl="0" w:tplc="3FDA12B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B256A"/>
    <w:multiLevelType w:val="multilevel"/>
    <w:tmpl w:val="068C913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9"/>
  </w:num>
  <w:num w:numId="11">
    <w:abstractNumId w:val="17"/>
  </w:num>
  <w:num w:numId="12">
    <w:abstractNumId w:val="15"/>
  </w:num>
  <w:num w:numId="13">
    <w:abstractNumId w:val="16"/>
  </w:num>
  <w:num w:numId="14">
    <w:abstractNumId w:val="12"/>
  </w:num>
  <w:num w:numId="15">
    <w:abstractNumId w:val="11"/>
  </w:num>
  <w:num w:numId="16">
    <w:abstractNumId w:val="22"/>
  </w:num>
  <w:num w:numId="17">
    <w:abstractNumId w:val="13"/>
  </w:num>
  <w:num w:numId="18">
    <w:abstractNumId w:val="10"/>
  </w:num>
  <w:num w:numId="19">
    <w:abstractNumId w:val="14"/>
  </w:num>
  <w:num w:numId="20">
    <w:abstractNumId w:val="19"/>
  </w:num>
  <w:num w:numId="21">
    <w:abstractNumId w:val="20"/>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BB5"/>
    <w:rsid w:val="000073D4"/>
    <w:rsid w:val="00030EBA"/>
    <w:rsid w:val="0004561A"/>
    <w:rsid w:val="000A441E"/>
    <w:rsid w:val="000A47BB"/>
    <w:rsid w:val="000E2A1A"/>
    <w:rsid w:val="000E65C3"/>
    <w:rsid w:val="0011675D"/>
    <w:rsid w:val="00172D8F"/>
    <w:rsid w:val="001D6AB8"/>
    <w:rsid w:val="001E3A7E"/>
    <w:rsid w:val="00266CF6"/>
    <w:rsid w:val="00267B6C"/>
    <w:rsid w:val="0028785B"/>
    <w:rsid w:val="002B301C"/>
    <w:rsid w:val="002E5E22"/>
    <w:rsid w:val="00304134"/>
    <w:rsid w:val="003209DA"/>
    <w:rsid w:val="00347BE2"/>
    <w:rsid w:val="0035404D"/>
    <w:rsid w:val="0036363D"/>
    <w:rsid w:val="003A3FA5"/>
    <w:rsid w:val="003F3A47"/>
    <w:rsid w:val="0047776A"/>
    <w:rsid w:val="004C1979"/>
    <w:rsid w:val="004C2773"/>
    <w:rsid w:val="004C5B03"/>
    <w:rsid w:val="004F1857"/>
    <w:rsid w:val="004F7624"/>
    <w:rsid w:val="0050320D"/>
    <w:rsid w:val="00521B59"/>
    <w:rsid w:val="005265C0"/>
    <w:rsid w:val="005642ED"/>
    <w:rsid w:val="005745A3"/>
    <w:rsid w:val="005C6DFB"/>
    <w:rsid w:val="005C7ABA"/>
    <w:rsid w:val="005D5969"/>
    <w:rsid w:val="005F38D3"/>
    <w:rsid w:val="006114A9"/>
    <w:rsid w:val="006A7A75"/>
    <w:rsid w:val="006E2C36"/>
    <w:rsid w:val="00713E2E"/>
    <w:rsid w:val="00754FCE"/>
    <w:rsid w:val="007614C8"/>
    <w:rsid w:val="00762379"/>
    <w:rsid w:val="007724B8"/>
    <w:rsid w:val="00776D50"/>
    <w:rsid w:val="007A3818"/>
    <w:rsid w:val="007A598E"/>
    <w:rsid w:val="00822B2B"/>
    <w:rsid w:val="008A7BB5"/>
    <w:rsid w:val="008F5E57"/>
    <w:rsid w:val="009A5B9C"/>
    <w:rsid w:val="009C5088"/>
    <w:rsid w:val="00A074D0"/>
    <w:rsid w:val="00A37B5E"/>
    <w:rsid w:val="00A401F7"/>
    <w:rsid w:val="00A54965"/>
    <w:rsid w:val="00A95D93"/>
    <w:rsid w:val="00AA55CF"/>
    <w:rsid w:val="00AA7C5F"/>
    <w:rsid w:val="00B06B63"/>
    <w:rsid w:val="00B51D94"/>
    <w:rsid w:val="00B65F56"/>
    <w:rsid w:val="00B66040"/>
    <w:rsid w:val="00BA32FE"/>
    <w:rsid w:val="00BF2013"/>
    <w:rsid w:val="00C57E6B"/>
    <w:rsid w:val="00CC6E07"/>
    <w:rsid w:val="00DC5FF7"/>
    <w:rsid w:val="00E152A9"/>
    <w:rsid w:val="00E701EB"/>
    <w:rsid w:val="00E70212"/>
    <w:rsid w:val="00E709A0"/>
    <w:rsid w:val="00F23925"/>
    <w:rsid w:val="00F60F84"/>
    <w:rsid w:val="00F62B8C"/>
    <w:rsid w:val="00F87BD9"/>
    <w:rsid w:val="00FB3334"/>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7C8F3A9"/>
  <w15:chartTrackingRefBased/>
  <w15:docId w15:val="{E0FE92C4-CBA7-40A0-9BF6-40DC83D1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5"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5"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5" w:qFormat="1"/>
    <w:lsdException w:name="Subtle Reference" w:qFormat="1"/>
    <w:lsdException w:name="Intense Reference" w:uiPriority="5"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2A1A"/>
    <w:pPr>
      <w:tabs>
        <w:tab w:val="left" w:pos="567"/>
      </w:tabs>
      <w:suppressAutoHyphens/>
      <w:spacing w:after="0" w:line="240" w:lineRule="auto"/>
    </w:pPr>
    <w:rPr>
      <w:rFonts w:ascii="Times New Roman" w:eastAsia="Times New Roman" w:hAnsi="Times New Roman" w:cs="Times New Roman"/>
      <w:noProof/>
      <w:szCs w:val="24"/>
      <w:lang w:eastAsia="en-US" w:bidi="ar-SA"/>
    </w:rPr>
  </w:style>
  <w:style w:type="paragraph" w:styleId="Antrat1">
    <w:name w:val="heading 1"/>
    <w:basedOn w:val="prastasis"/>
    <w:next w:val="prastasis"/>
    <w:link w:val="Antrat1Diagrama"/>
    <w:qFormat/>
    <w:rsid w:val="004C5B03"/>
    <w:pPr>
      <w:keepNext/>
      <w:spacing w:before="240" w:after="60"/>
      <w:outlineLvl w:val="0"/>
    </w:pPr>
    <w:rPr>
      <w:b/>
      <w:bCs/>
      <w:kern w:val="32"/>
      <w:sz w:val="24"/>
      <w:szCs w:val="32"/>
      <w:lang w:val="en-US"/>
    </w:rPr>
  </w:style>
  <w:style w:type="paragraph" w:styleId="Antrat2">
    <w:name w:val="heading 2"/>
    <w:basedOn w:val="prastasis"/>
    <w:next w:val="prastasis"/>
    <w:link w:val="Antrat2Diagrama"/>
    <w:qFormat/>
    <w:rsid w:val="004C5B03"/>
    <w:pPr>
      <w:keepNext/>
      <w:spacing w:before="240" w:after="60"/>
      <w:outlineLvl w:val="1"/>
    </w:pPr>
    <w:rPr>
      <w:b/>
      <w:bCs/>
      <w:iCs/>
      <w:szCs w:val="28"/>
      <w:lang w:val="en-US"/>
    </w:rPr>
  </w:style>
  <w:style w:type="paragraph" w:styleId="Antrat3">
    <w:name w:val="heading 3"/>
    <w:basedOn w:val="prastasis"/>
    <w:next w:val="prastasis"/>
    <w:link w:val="Antrat3Diagrama"/>
    <w:qFormat/>
    <w:rsid w:val="004C5B03"/>
    <w:pPr>
      <w:keepNext/>
      <w:spacing w:before="240" w:after="60"/>
      <w:outlineLvl w:val="2"/>
    </w:pPr>
    <w:rPr>
      <w:b/>
      <w:bCs/>
      <w:i/>
      <w:szCs w:val="26"/>
      <w:lang w:val="en-US"/>
    </w:rPr>
  </w:style>
  <w:style w:type="paragraph" w:styleId="Antrat4">
    <w:name w:val="heading 4"/>
    <w:basedOn w:val="prastasis"/>
    <w:next w:val="prastasis"/>
    <w:link w:val="Antrat4Diagrama"/>
    <w:qFormat/>
    <w:rsid w:val="004C5B03"/>
    <w:pPr>
      <w:keepNext/>
      <w:keepLines/>
      <w:spacing w:before="240" w:after="60"/>
      <w:outlineLvl w:val="3"/>
    </w:pPr>
    <w:rPr>
      <w:b/>
      <w:bCs/>
      <w:iCs/>
      <w:sz w:val="24"/>
      <w:lang w:val="en-US"/>
    </w:rPr>
  </w:style>
  <w:style w:type="paragraph" w:styleId="Antrat5">
    <w:name w:val="heading 5"/>
    <w:basedOn w:val="prastasis"/>
    <w:next w:val="prastasis"/>
    <w:link w:val="Antrat5Diagrama"/>
    <w:qFormat/>
    <w:rsid w:val="004C5B03"/>
    <w:pPr>
      <w:keepNext/>
      <w:keepLines/>
      <w:spacing w:before="240" w:after="60"/>
      <w:outlineLvl w:val="4"/>
    </w:pPr>
    <w:rPr>
      <w:b/>
      <w:sz w:val="24"/>
      <w:lang w:val="en-US"/>
    </w:rPr>
  </w:style>
  <w:style w:type="paragraph" w:styleId="Antrat6">
    <w:name w:val="heading 6"/>
    <w:basedOn w:val="prastasis"/>
    <w:next w:val="prastasis"/>
    <w:link w:val="Antrat6Diagrama"/>
    <w:qFormat/>
    <w:rsid w:val="004C5B03"/>
    <w:pPr>
      <w:keepNext/>
      <w:keepLines/>
      <w:spacing w:before="240" w:after="60"/>
      <w:outlineLvl w:val="5"/>
    </w:pPr>
    <w:rPr>
      <w:b/>
      <w:iCs/>
      <w:sz w:val="24"/>
      <w:lang w:val="en-US"/>
    </w:rPr>
  </w:style>
  <w:style w:type="paragraph" w:styleId="Antrat7">
    <w:name w:val="heading 7"/>
    <w:basedOn w:val="prastasis"/>
    <w:next w:val="prastasis"/>
    <w:link w:val="Antrat7Diagrama"/>
    <w:qFormat/>
    <w:rsid w:val="004C5B03"/>
    <w:pPr>
      <w:keepNext/>
      <w:keepLines/>
      <w:spacing w:before="240" w:after="60"/>
      <w:outlineLvl w:val="6"/>
    </w:pPr>
    <w:rPr>
      <w:iCs/>
      <w:sz w:val="24"/>
      <w:lang w:val="en-US"/>
    </w:rPr>
  </w:style>
  <w:style w:type="paragraph" w:styleId="Antrat8">
    <w:name w:val="heading 8"/>
    <w:basedOn w:val="prastasis"/>
    <w:next w:val="prastasis"/>
    <w:link w:val="Antrat8Diagrama"/>
    <w:qFormat/>
    <w:rsid w:val="004C5B03"/>
    <w:pPr>
      <w:keepNext/>
      <w:keepLines/>
      <w:spacing w:before="240" w:after="60"/>
      <w:outlineLvl w:val="7"/>
    </w:pPr>
    <w:rPr>
      <w:i/>
      <w:sz w:val="24"/>
      <w:lang w:val="en-US"/>
    </w:rPr>
  </w:style>
  <w:style w:type="paragraph" w:styleId="Antrat9">
    <w:name w:val="heading 9"/>
    <w:basedOn w:val="prastasis"/>
    <w:next w:val="prastasis"/>
    <w:link w:val="Antrat9Diagrama"/>
    <w:qFormat/>
    <w:rsid w:val="004C5B03"/>
    <w:pPr>
      <w:keepNext/>
      <w:keepLines/>
      <w:spacing w:before="240" w:after="60"/>
      <w:outlineLvl w:val="8"/>
    </w:pPr>
    <w:rPr>
      <w:i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4C5B03"/>
    <w:pPr>
      <w:tabs>
        <w:tab w:val="center" w:pos="4513"/>
        <w:tab w:val="right" w:pos="9026"/>
      </w:tabs>
    </w:pPr>
  </w:style>
  <w:style w:type="character" w:customStyle="1" w:styleId="AntratsDiagrama">
    <w:name w:val="Antraštės Diagrama"/>
    <w:basedOn w:val="Numatytasispastraiposriftas"/>
    <w:link w:val="Antrats"/>
    <w:rsid w:val="004C5B03"/>
  </w:style>
  <w:style w:type="paragraph" w:styleId="Porat">
    <w:name w:val="footer"/>
    <w:basedOn w:val="prastasis"/>
    <w:link w:val="PoratDiagrama"/>
    <w:unhideWhenUsed/>
    <w:rsid w:val="004C5B03"/>
    <w:pPr>
      <w:tabs>
        <w:tab w:val="center" w:pos="4513"/>
        <w:tab w:val="right" w:pos="9026"/>
      </w:tabs>
    </w:pPr>
  </w:style>
  <w:style w:type="character" w:customStyle="1" w:styleId="PoratDiagrama">
    <w:name w:val="Poraštė Diagrama"/>
    <w:basedOn w:val="Numatytasispastraiposriftas"/>
    <w:link w:val="Porat"/>
    <w:rsid w:val="004C5B03"/>
  </w:style>
  <w:style w:type="character" w:customStyle="1" w:styleId="Antrat1Diagrama">
    <w:name w:val="Antraštė 1 Diagrama"/>
    <w:basedOn w:val="Numatytasispastraiposriftas"/>
    <w:link w:val="Antrat1"/>
    <w:rsid w:val="004C5B03"/>
    <w:rPr>
      <w:rFonts w:ascii="Times New Roman" w:eastAsia="Times New Roman" w:hAnsi="Times New Roman" w:cs="Times New Roman"/>
      <w:b/>
      <w:bCs/>
      <w:noProof/>
      <w:kern w:val="32"/>
      <w:sz w:val="24"/>
      <w:szCs w:val="32"/>
      <w:lang w:val="en-US" w:eastAsia="en-US" w:bidi="ar-SA"/>
    </w:rPr>
  </w:style>
  <w:style w:type="character" w:customStyle="1" w:styleId="Antrat2Diagrama">
    <w:name w:val="Antraštė 2 Diagrama"/>
    <w:basedOn w:val="Numatytasispastraiposriftas"/>
    <w:link w:val="Antrat2"/>
    <w:rsid w:val="004C5B03"/>
    <w:rPr>
      <w:rFonts w:ascii="Times New Roman" w:eastAsia="Times New Roman" w:hAnsi="Times New Roman" w:cs="Times New Roman"/>
      <w:b/>
      <w:bCs/>
      <w:iCs/>
      <w:noProof/>
      <w:szCs w:val="28"/>
      <w:lang w:val="en-US" w:eastAsia="en-US" w:bidi="ar-SA"/>
    </w:rPr>
  </w:style>
  <w:style w:type="character" w:customStyle="1" w:styleId="Antrat3Diagrama">
    <w:name w:val="Antraštė 3 Diagrama"/>
    <w:basedOn w:val="Numatytasispastraiposriftas"/>
    <w:link w:val="Antrat3"/>
    <w:rsid w:val="004C5B03"/>
    <w:rPr>
      <w:rFonts w:ascii="Times New Roman" w:eastAsia="Times New Roman" w:hAnsi="Times New Roman" w:cs="Times New Roman"/>
      <w:b/>
      <w:bCs/>
      <w:i/>
      <w:noProof/>
      <w:szCs w:val="26"/>
      <w:lang w:val="en-US" w:eastAsia="en-US" w:bidi="ar-SA"/>
    </w:rPr>
  </w:style>
  <w:style w:type="character" w:customStyle="1" w:styleId="Antrat4Diagrama">
    <w:name w:val="Antraštė 4 Diagrama"/>
    <w:basedOn w:val="Numatytasispastraiposriftas"/>
    <w:link w:val="Antrat4"/>
    <w:rsid w:val="004C5B03"/>
    <w:rPr>
      <w:rFonts w:ascii="Times New Roman" w:eastAsia="Times New Roman" w:hAnsi="Times New Roman" w:cs="Times New Roman"/>
      <w:b/>
      <w:bCs/>
      <w:iCs/>
      <w:noProof/>
      <w:sz w:val="24"/>
      <w:szCs w:val="24"/>
      <w:lang w:val="en-US" w:eastAsia="en-US" w:bidi="ar-SA"/>
    </w:rPr>
  </w:style>
  <w:style w:type="character" w:customStyle="1" w:styleId="Antrat5Diagrama">
    <w:name w:val="Antraštė 5 Diagrama"/>
    <w:basedOn w:val="Numatytasispastraiposriftas"/>
    <w:link w:val="Antrat5"/>
    <w:rsid w:val="004C5B03"/>
    <w:rPr>
      <w:rFonts w:ascii="Times New Roman" w:eastAsia="Times New Roman" w:hAnsi="Times New Roman" w:cs="Times New Roman"/>
      <w:b/>
      <w:noProof/>
      <w:sz w:val="24"/>
      <w:szCs w:val="24"/>
      <w:lang w:val="en-US" w:eastAsia="en-US" w:bidi="ar-SA"/>
    </w:rPr>
  </w:style>
  <w:style w:type="character" w:customStyle="1" w:styleId="Antrat6Diagrama">
    <w:name w:val="Antraštė 6 Diagrama"/>
    <w:basedOn w:val="Numatytasispastraiposriftas"/>
    <w:link w:val="Antrat6"/>
    <w:rsid w:val="004C5B03"/>
    <w:rPr>
      <w:rFonts w:ascii="Times New Roman" w:eastAsia="Times New Roman" w:hAnsi="Times New Roman" w:cs="Times New Roman"/>
      <w:b/>
      <w:iCs/>
      <w:noProof/>
      <w:sz w:val="24"/>
      <w:szCs w:val="24"/>
      <w:lang w:val="en-US" w:eastAsia="en-US" w:bidi="ar-SA"/>
    </w:rPr>
  </w:style>
  <w:style w:type="character" w:customStyle="1" w:styleId="Antrat7Diagrama">
    <w:name w:val="Antraštė 7 Diagrama"/>
    <w:basedOn w:val="Numatytasispastraiposriftas"/>
    <w:link w:val="Antrat7"/>
    <w:rsid w:val="004C5B03"/>
    <w:rPr>
      <w:rFonts w:ascii="Times New Roman" w:eastAsia="Times New Roman" w:hAnsi="Times New Roman" w:cs="Times New Roman"/>
      <w:iCs/>
      <w:noProof/>
      <w:sz w:val="24"/>
      <w:szCs w:val="24"/>
      <w:lang w:val="en-US" w:eastAsia="en-US" w:bidi="ar-SA"/>
    </w:rPr>
  </w:style>
  <w:style w:type="character" w:customStyle="1" w:styleId="Antrat8Diagrama">
    <w:name w:val="Antraštė 8 Diagrama"/>
    <w:basedOn w:val="Numatytasispastraiposriftas"/>
    <w:link w:val="Antrat8"/>
    <w:rsid w:val="004C5B03"/>
    <w:rPr>
      <w:rFonts w:ascii="Times New Roman" w:eastAsia="Times New Roman" w:hAnsi="Times New Roman" w:cs="Times New Roman"/>
      <w:i/>
      <w:noProof/>
      <w:sz w:val="24"/>
      <w:szCs w:val="24"/>
      <w:lang w:val="en-US" w:eastAsia="en-US" w:bidi="ar-SA"/>
    </w:rPr>
  </w:style>
  <w:style w:type="character" w:customStyle="1" w:styleId="Antrat9Diagrama">
    <w:name w:val="Antraštė 9 Diagrama"/>
    <w:basedOn w:val="Numatytasispastraiposriftas"/>
    <w:link w:val="Antrat9"/>
    <w:rsid w:val="004C5B03"/>
    <w:rPr>
      <w:rFonts w:ascii="Times New Roman" w:eastAsia="Times New Roman" w:hAnsi="Times New Roman" w:cs="Times New Roman"/>
      <w:iCs/>
      <w:noProof/>
      <w:szCs w:val="24"/>
      <w:lang w:val="en-US" w:eastAsia="en-US" w:bidi="ar-SA"/>
    </w:rPr>
  </w:style>
  <w:style w:type="character" w:styleId="Hipersaitas">
    <w:name w:val="Hyperlink"/>
    <w:rsid w:val="004C5B03"/>
    <w:rPr>
      <w:rFonts w:ascii="Verdana" w:hAnsi="Verdana"/>
      <w:color w:val="0000FF"/>
      <w:sz w:val="20"/>
      <w:u w:val="single"/>
    </w:rPr>
  </w:style>
  <w:style w:type="paragraph" w:styleId="Sraassuenkleliais">
    <w:name w:val="List Bullet"/>
    <w:basedOn w:val="prastasis"/>
    <w:qFormat/>
    <w:rsid w:val="004C5B03"/>
    <w:pPr>
      <w:numPr>
        <w:numId w:val="11"/>
      </w:numPr>
      <w:contextualSpacing/>
    </w:pPr>
    <w:rPr>
      <w:lang w:val="en-US"/>
    </w:rPr>
  </w:style>
  <w:style w:type="paragraph" w:styleId="Sraassunumeriais">
    <w:name w:val="List Number"/>
    <w:basedOn w:val="prastasis"/>
    <w:qFormat/>
    <w:rsid w:val="004C5B03"/>
    <w:pPr>
      <w:numPr>
        <w:numId w:val="12"/>
      </w:numPr>
      <w:tabs>
        <w:tab w:val="num" w:pos="360"/>
      </w:tabs>
      <w:ind w:left="360" w:hanging="360"/>
      <w:contextualSpacing/>
    </w:pPr>
    <w:rPr>
      <w:lang w:val="en-US"/>
    </w:rPr>
  </w:style>
  <w:style w:type="paragraph" w:styleId="Antrat">
    <w:name w:val="caption"/>
    <w:basedOn w:val="prastasis"/>
    <w:next w:val="prastasis"/>
    <w:rsid w:val="004C5B03"/>
    <w:rPr>
      <w:b/>
      <w:bCs/>
      <w:color w:val="82786F"/>
      <w:sz w:val="18"/>
      <w:szCs w:val="18"/>
      <w:lang w:val="en-US"/>
    </w:rPr>
  </w:style>
  <w:style w:type="character" w:styleId="Emfaz">
    <w:name w:val="Emphasis"/>
    <w:uiPriority w:val="5"/>
    <w:rsid w:val="004C5B03"/>
    <w:rPr>
      <w:i/>
      <w:iCs/>
    </w:rPr>
  </w:style>
  <w:style w:type="character" w:customStyle="1" w:styleId="DokumentoinaostekstasDiagrama">
    <w:name w:val="Dokumento išnašos tekstas Diagrama"/>
    <w:link w:val="Dokumentoinaostekstas"/>
    <w:uiPriority w:val="5"/>
    <w:semiHidden/>
    <w:rsid w:val="004C5B03"/>
    <w:rPr>
      <w:rFonts w:ascii="Times New Roman" w:eastAsia="Times New Roman" w:hAnsi="Times New Roman" w:cs="Times New Roman"/>
      <w:noProof/>
      <w:sz w:val="14"/>
      <w:szCs w:val="24"/>
      <w:lang w:val="en-US"/>
    </w:rPr>
  </w:style>
  <w:style w:type="paragraph" w:styleId="Dokumentoinaostekstas">
    <w:name w:val="endnote text"/>
    <w:basedOn w:val="prastasis"/>
    <w:link w:val="DokumentoinaostekstasDiagrama"/>
    <w:uiPriority w:val="5"/>
    <w:semiHidden/>
    <w:rsid w:val="004C5B03"/>
    <w:rPr>
      <w:sz w:val="14"/>
      <w:lang w:val="en-US"/>
    </w:rPr>
  </w:style>
  <w:style w:type="character" w:customStyle="1" w:styleId="EndnoteTextChar1">
    <w:name w:val="Endnote Text Char1"/>
    <w:basedOn w:val="Numatytasispastraiposriftas"/>
    <w:uiPriority w:val="99"/>
    <w:semiHidden/>
    <w:rsid w:val="004C5B03"/>
    <w:rPr>
      <w:sz w:val="20"/>
      <w:szCs w:val="20"/>
    </w:rPr>
  </w:style>
  <w:style w:type="character" w:customStyle="1" w:styleId="PuslapioinaostekstasDiagrama">
    <w:name w:val="Puslapio išnašos tekstas Diagrama"/>
    <w:link w:val="Puslapioinaostekstas"/>
    <w:uiPriority w:val="5"/>
    <w:semiHidden/>
    <w:rsid w:val="004C5B03"/>
    <w:rPr>
      <w:rFonts w:ascii="Times New Roman" w:eastAsia="Times New Roman" w:hAnsi="Times New Roman" w:cs="Times New Roman"/>
      <w:noProof/>
      <w:sz w:val="14"/>
      <w:szCs w:val="24"/>
      <w:lang w:val="en-US"/>
    </w:rPr>
  </w:style>
  <w:style w:type="paragraph" w:styleId="Puslapioinaostekstas">
    <w:name w:val="footnote text"/>
    <w:basedOn w:val="prastasis"/>
    <w:link w:val="PuslapioinaostekstasDiagrama"/>
    <w:uiPriority w:val="5"/>
    <w:semiHidden/>
    <w:rsid w:val="004C5B03"/>
    <w:rPr>
      <w:sz w:val="14"/>
      <w:lang w:val="en-US"/>
    </w:rPr>
  </w:style>
  <w:style w:type="character" w:customStyle="1" w:styleId="FootnoteTextChar1">
    <w:name w:val="Footnote Text Char1"/>
    <w:basedOn w:val="Numatytasispastraiposriftas"/>
    <w:uiPriority w:val="99"/>
    <w:semiHidden/>
    <w:rsid w:val="004C5B03"/>
    <w:rPr>
      <w:sz w:val="20"/>
      <w:szCs w:val="20"/>
    </w:rPr>
  </w:style>
  <w:style w:type="character" w:customStyle="1" w:styleId="HTMLadresasDiagrama">
    <w:name w:val="HTML adresas Diagrama"/>
    <w:basedOn w:val="Numatytasispastraiposriftas"/>
    <w:link w:val="HTMLadresas"/>
    <w:uiPriority w:val="5"/>
    <w:semiHidden/>
    <w:rsid w:val="004C5B03"/>
    <w:rPr>
      <w:rFonts w:ascii="Times New Roman" w:eastAsia="Times New Roman" w:hAnsi="Times New Roman" w:cs="Times New Roman"/>
      <w:iCs/>
      <w:noProof/>
      <w:color w:val="009FDA"/>
      <w:szCs w:val="24"/>
      <w:u w:val="single"/>
      <w:lang w:val="en-US"/>
    </w:rPr>
  </w:style>
  <w:style w:type="paragraph" w:styleId="HTMLadresas">
    <w:name w:val="HTML Address"/>
    <w:basedOn w:val="prastasis"/>
    <w:link w:val="HTMLadresasDiagrama"/>
    <w:uiPriority w:val="5"/>
    <w:semiHidden/>
    <w:rsid w:val="004C5B03"/>
    <w:rPr>
      <w:iCs/>
      <w:color w:val="009FDA"/>
      <w:u w:val="single"/>
      <w:lang w:val="en-US"/>
    </w:rPr>
  </w:style>
  <w:style w:type="character" w:customStyle="1" w:styleId="HTMLAddressChar1">
    <w:name w:val="HTML Address Char1"/>
    <w:basedOn w:val="Numatytasispastraiposriftas"/>
    <w:uiPriority w:val="99"/>
    <w:semiHidden/>
    <w:rsid w:val="004C5B03"/>
    <w:rPr>
      <w:i/>
      <w:iCs/>
    </w:rPr>
  </w:style>
  <w:style w:type="paragraph" w:styleId="Iskirtacitata">
    <w:name w:val="Intense Quote"/>
    <w:basedOn w:val="prastasis"/>
    <w:next w:val="prastasis"/>
    <w:link w:val="IskirtacitataDiagrama"/>
    <w:uiPriority w:val="5"/>
    <w:rsid w:val="004C5B03"/>
    <w:pPr>
      <w:pBdr>
        <w:bottom w:val="single" w:sz="4" w:space="4" w:color="auto"/>
      </w:pBdr>
      <w:spacing w:before="200" w:after="280"/>
      <w:ind w:left="936" w:right="936"/>
    </w:pPr>
    <w:rPr>
      <w:b/>
      <w:bCs/>
      <w:i/>
      <w:iCs/>
      <w:lang w:val="en-US"/>
    </w:rPr>
  </w:style>
  <w:style w:type="character" w:customStyle="1" w:styleId="IskirtacitataDiagrama">
    <w:name w:val="Išskirta citata Diagrama"/>
    <w:basedOn w:val="Numatytasispastraiposriftas"/>
    <w:link w:val="Iskirtacitata"/>
    <w:uiPriority w:val="5"/>
    <w:rsid w:val="004C5B03"/>
    <w:rPr>
      <w:rFonts w:ascii="Times New Roman" w:eastAsia="Times New Roman" w:hAnsi="Times New Roman" w:cs="Times New Roman"/>
      <w:b/>
      <w:bCs/>
      <w:i/>
      <w:iCs/>
      <w:noProof/>
      <w:szCs w:val="24"/>
      <w:lang w:val="en-US" w:eastAsia="en-US" w:bidi="ar-SA"/>
    </w:rPr>
  </w:style>
  <w:style w:type="character" w:styleId="Rykuspabraukimas">
    <w:name w:val="Intense Emphasis"/>
    <w:uiPriority w:val="5"/>
    <w:rsid w:val="004C5B03"/>
    <w:rPr>
      <w:b/>
      <w:bCs/>
      <w:i/>
      <w:iCs/>
      <w:color w:val="auto"/>
    </w:rPr>
  </w:style>
  <w:style w:type="paragraph" w:styleId="Paantrat">
    <w:name w:val="Subtitle"/>
    <w:aliases w:val="Small"/>
    <w:basedOn w:val="prastasis"/>
    <w:next w:val="prastasis"/>
    <w:link w:val="PaantratDiagrama"/>
    <w:rsid w:val="004C5B03"/>
    <w:pPr>
      <w:numPr>
        <w:ilvl w:val="1"/>
      </w:numPr>
    </w:pPr>
    <w:rPr>
      <w:iCs/>
      <w:color w:val="001965"/>
      <w:sz w:val="24"/>
      <w:lang w:val="en-US"/>
    </w:rPr>
  </w:style>
  <w:style w:type="character" w:customStyle="1" w:styleId="PaantratDiagrama">
    <w:name w:val="Paantraštė Diagrama"/>
    <w:aliases w:val="Small Diagrama"/>
    <w:basedOn w:val="Numatytasispastraiposriftas"/>
    <w:link w:val="Paantrat"/>
    <w:rsid w:val="004C5B03"/>
    <w:rPr>
      <w:rFonts w:ascii="Times New Roman" w:eastAsia="Times New Roman" w:hAnsi="Times New Roman" w:cs="Times New Roman"/>
      <w:iCs/>
      <w:noProof/>
      <w:color w:val="001965"/>
      <w:sz w:val="24"/>
      <w:szCs w:val="24"/>
      <w:lang w:val="en-US" w:eastAsia="en-US" w:bidi="ar-SA"/>
    </w:rPr>
  </w:style>
  <w:style w:type="paragraph" w:customStyle="1" w:styleId="SubtitleMedium">
    <w:name w:val="Subtitle Medium"/>
    <w:basedOn w:val="Paantrat"/>
    <w:rsid w:val="004C5B03"/>
    <w:rPr>
      <w:sz w:val="28"/>
    </w:rPr>
  </w:style>
  <w:style w:type="paragraph" w:customStyle="1" w:styleId="SubtitleLarge">
    <w:name w:val="Subtitle Large"/>
    <w:basedOn w:val="SubtitleMedium"/>
    <w:rsid w:val="004C5B03"/>
    <w:rPr>
      <w:sz w:val="48"/>
    </w:rPr>
  </w:style>
  <w:style w:type="paragraph" w:styleId="Citata">
    <w:name w:val="Quote"/>
    <w:basedOn w:val="prastasis"/>
    <w:next w:val="prastasis"/>
    <w:link w:val="CitataDiagrama"/>
    <w:uiPriority w:val="5"/>
    <w:rsid w:val="004C5B03"/>
    <w:rPr>
      <w:i/>
      <w:iCs/>
      <w:lang w:val="en-US"/>
    </w:rPr>
  </w:style>
  <w:style w:type="character" w:customStyle="1" w:styleId="CitataDiagrama">
    <w:name w:val="Citata Diagrama"/>
    <w:basedOn w:val="Numatytasispastraiposriftas"/>
    <w:link w:val="Citata"/>
    <w:uiPriority w:val="5"/>
    <w:rsid w:val="004C5B03"/>
    <w:rPr>
      <w:rFonts w:ascii="Times New Roman" w:eastAsia="Times New Roman" w:hAnsi="Times New Roman" w:cs="Times New Roman"/>
      <w:i/>
      <w:iCs/>
      <w:noProof/>
      <w:szCs w:val="24"/>
      <w:lang w:val="en-US" w:eastAsia="en-US" w:bidi="ar-SA"/>
    </w:rPr>
  </w:style>
  <w:style w:type="paragraph" w:styleId="Pavadinimas">
    <w:name w:val="Title"/>
    <w:aliases w:val="TitleSmall"/>
    <w:basedOn w:val="prastasis"/>
    <w:next w:val="prastasis"/>
    <w:link w:val="PavadinimasDiagrama"/>
    <w:rsid w:val="004C5B03"/>
    <w:pPr>
      <w:contextualSpacing/>
    </w:pPr>
    <w:rPr>
      <w:color w:val="001965"/>
      <w:kern w:val="28"/>
      <w:sz w:val="36"/>
      <w:szCs w:val="52"/>
      <w:lang w:val="en-US"/>
    </w:rPr>
  </w:style>
  <w:style w:type="character" w:customStyle="1" w:styleId="PavadinimasDiagrama">
    <w:name w:val="Pavadinimas Diagrama"/>
    <w:aliases w:val="TitleSmall Diagrama"/>
    <w:basedOn w:val="Numatytasispastraiposriftas"/>
    <w:link w:val="Pavadinimas"/>
    <w:rsid w:val="004C5B03"/>
    <w:rPr>
      <w:rFonts w:ascii="Times New Roman" w:eastAsia="Times New Roman" w:hAnsi="Times New Roman" w:cs="Times New Roman"/>
      <w:noProof/>
      <w:color w:val="001965"/>
      <w:kern w:val="28"/>
      <w:sz w:val="36"/>
      <w:szCs w:val="52"/>
      <w:lang w:val="en-US" w:eastAsia="en-US" w:bidi="ar-SA"/>
    </w:rPr>
  </w:style>
  <w:style w:type="paragraph" w:customStyle="1" w:styleId="TitleMedium">
    <w:name w:val="Title Medium"/>
    <w:basedOn w:val="Pavadinimas"/>
    <w:next w:val="SubtitleMedium"/>
    <w:rsid w:val="004C5B03"/>
    <w:rPr>
      <w:sz w:val="60"/>
    </w:rPr>
  </w:style>
  <w:style w:type="paragraph" w:customStyle="1" w:styleId="TitleLarge">
    <w:name w:val="Title Large"/>
    <w:basedOn w:val="TitleMedium"/>
    <w:rsid w:val="004C5B03"/>
    <w:rPr>
      <w:sz w:val="72"/>
    </w:rPr>
  </w:style>
  <w:style w:type="paragraph" w:customStyle="1" w:styleId="TitleExtraLarge">
    <w:name w:val="Title Extra Large"/>
    <w:basedOn w:val="TitleLarge"/>
    <w:rsid w:val="004C5B03"/>
    <w:rPr>
      <w:sz w:val="96"/>
    </w:rPr>
  </w:style>
  <w:style w:type="paragraph" w:styleId="Turinys2">
    <w:name w:val="toc 2"/>
    <w:basedOn w:val="prastasis"/>
    <w:next w:val="prastasis"/>
    <w:rsid w:val="004C5B03"/>
    <w:pPr>
      <w:ind w:left="284" w:right="567"/>
    </w:pPr>
    <w:rPr>
      <w:lang w:val="en-US"/>
    </w:rPr>
  </w:style>
  <w:style w:type="paragraph" w:styleId="Sraassunumeriais2">
    <w:name w:val="List Number 2"/>
    <w:basedOn w:val="prastasis"/>
    <w:qFormat/>
    <w:rsid w:val="004C5B03"/>
    <w:pPr>
      <w:numPr>
        <w:numId w:val="13"/>
      </w:numPr>
      <w:contextualSpacing/>
    </w:pPr>
    <w:rPr>
      <w:lang w:val="en-US"/>
    </w:rPr>
  </w:style>
  <w:style w:type="paragraph" w:customStyle="1" w:styleId="Template">
    <w:name w:val="Template"/>
    <w:rsid w:val="004C5B03"/>
    <w:pPr>
      <w:spacing w:after="0" w:line="240" w:lineRule="auto"/>
    </w:pPr>
    <w:rPr>
      <w:rFonts w:ascii="TrueFrutiger" w:eastAsia="Times New Roman" w:hAnsi="TrueFrutiger" w:cs="Arial"/>
      <w:color w:val="82786F"/>
      <w:sz w:val="14"/>
      <w:szCs w:val="20"/>
      <w:lang w:eastAsia="en-US" w:bidi="ar-SA"/>
    </w:rPr>
  </w:style>
  <w:style w:type="paragraph" w:customStyle="1" w:styleId="Templates-Companyname">
    <w:name w:val="Templates - Company name"/>
    <w:basedOn w:val="Template"/>
    <w:rsid w:val="004C5B03"/>
    <w:rPr>
      <w:b/>
    </w:rPr>
  </w:style>
  <w:style w:type="paragraph" w:customStyle="1" w:styleId="Template-Address">
    <w:name w:val="Template - Address"/>
    <w:basedOn w:val="Template"/>
    <w:rsid w:val="004C5B03"/>
  </w:style>
  <w:style w:type="paragraph" w:customStyle="1" w:styleId="SubtitleLargeRightaligned">
    <w:name w:val="Subtitle Large Right aligned"/>
    <w:basedOn w:val="prastasis"/>
    <w:rsid w:val="004C5B03"/>
    <w:pPr>
      <w:numPr>
        <w:ilvl w:val="1"/>
      </w:numPr>
      <w:jc w:val="right"/>
    </w:pPr>
    <w:rPr>
      <w:iCs/>
      <w:color w:val="AEA79F"/>
      <w:sz w:val="48"/>
      <w:lang w:val="en-US"/>
    </w:rPr>
  </w:style>
  <w:style w:type="character" w:styleId="Puslapionumeris">
    <w:name w:val="page number"/>
    <w:rsid w:val="004C5B03"/>
    <w:rPr>
      <w:color w:val="82786F"/>
    </w:rPr>
  </w:style>
  <w:style w:type="paragraph" w:styleId="Debesliotekstas">
    <w:name w:val="Balloon Text"/>
    <w:basedOn w:val="prastasis"/>
    <w:link w:val="DebesliotekstasDiagrama"/>
    <w:semiHidden/>
    <w:unhideWhenUsed/>
    <w:rsid w:val="004C5B03"/>
    <w:rPr>
      <w:rFonts w:ascii="Tahoma" w:hAnsi="Tahoma" w:cs="Tahoma"/>
      <w:sz w:val="16"/>
      <w:szCs w:val="16"/>
      <w:lang w:val="en-US"/>
    </w:rPr>
  </w:style>
  <w:style w:type="character" w:customStyle="1" w:styleId="DebesliotekstasDiagrama">
    <w:name w:val="Debesėlio tekstas Diagrama"/>
    <w:basedOn w:val="Numatytasispastraiposriftas"/>
    <w:link w:val="Debesliotekstas"/>
    <w:semiHidden/>
    <w:rsid w:val="004C5B03"/>
    <w:rPr>
      <w:rFonts w:ascii="Tahoma" w:eastAsia="Times New Roman" w:hAnsi="Tahoma" w:cs="Tahoma"/>
      <w:noProof/>
      <w:sz w:val="16"/>
      <w:szCs w:val="16"/>
      <w:lang w:val="en-US" w:eastAsia="en-US" w:bidi="ar-SA"/>
    </w:rPr>
  </w:style>
  <w:style w:type="character" w:styleId="Rykinuoroda">
    <w:name w:val="Intense Reference"/>
    <w:uiPriority w:val="5"/>
    <w:rsid w:val="004C5B03"/>
    <w:rPr>
      <w:b/>
      <w:bCs/>
      <w:smallCaps/>
      <w:color w:val="C0504D"/>
      <w:spacing w:val="5"/>
      <w:u w:val="single"/>
    </w:rPr>
  </w:style>
  <w:style w:type="character" w:styleId="Grietas">
    <w:name w:val="Strong"/>
    <w:uiPriority w:val="5"/>
    <w:rsid w:val="004C5B03"/>
    <w:rPr>
      <w:b/>
      <w:bCs/>
    </w:rPr>
  </w:style>
  <w:style w:type="paragraph" w:styleId="Pagrindinistekstas">
    <w:name w:val="Body Text"/>
    <w:basedOn w:val="prastasis"/>
    <w:link w:val="PagrindinistekstasDiagrama"/>
    <w:unhideWhenUsed/>
    <w:rsid w:val="004C5B03"/>
    <w:pPr>
      <w:spacing w:after="120"/>
    </w:pPr>
    <w:rPr>
      <w:lang w:val="en-US"/>
    </w:rPr>
  </w:style>
  <w:style w:type="character" w:customStyle="1" w:styleId="PagrindinistekstasDiagrama">
    <w:name w:val="Pagrindinis tekstas Diagrama"/>
    <w:basedOn w:val="Numatytasispastraiposriftas"/>
    <w:link w:val="Pagrindinistekstas"/>
    <w:rsid w:val="004C5B03"/>
    <w:rPr>
      <w:rFonts w:ascii="Times New Roman" w:eastAsia="Times New Roman" w:hAnsi="Times New Roman" w:cs="Times New Roman"/>
      <w:noProof/>
      <w:szCs w:val="24"/>
      <w:lang w:val="en-US" w:eastAsia="en-US" w:bidi="ar-SA"/>
    </w:rPr>
  </w:style>
  <w:style w:type="paragraph" w:styleId="Pagrindinistekstas2">
    <w:name w:val="Body Text 2"/>
    <w:basedOn w:val="prastasis"/>
    <w:link w:val="Pagrindinistekstas2Diagrama"/>
    <w:unhideWhenUsed/>
    <w:rsid w:val="004C5B03"/>
    <w:pPr>
      <w:spacing w:after="120" w:line="480" w:lineRule="auto"/>
    </w:pPr>
    <w:rPr>
      <w:lang w:val="en-US"/>
    </w:rPr>
  </w:style>
  <w:style w:type="character" w:customStyle="1" w:styleId="Pagrindinistekstas2Diagrama">
    <w:name w:val="Pagrindinis tekstas 2 Diagrama"/>
    <w:basedOn w:val="Numatytasispastraiposriftas"/>
    <w:link w:val="Pagrindinistekstas2"/>
    <w:rsid w:val="004C5B03"/>
    <w:rPr>
      <w:rFonts w:ascii="Times New Roman" w:eastAsia="Times New Roman" w:hAnsi="Times New Roman" w:cs="Times New Roman"/>
      <w:noProof/>
      <w:szCs w:val="24"/>
      <w:lang w:val="en-US" w:eastAsia="en-US" w:bidi="ar-SA"/>
    </w:rPr>
  </w:style>
  <w:style w:type="paragraph" w:styleId="Pagrindinistekstas3">
    <w:name w:val="Body Text 3"/>
    <w:basedOn w:val="prastasis"/>
    <w:link w:val="Pagrindinistekstas3Diagrama"/>
    <w:unhideWhenUsed/>
    <w:rsid w:val="004C5B03"/>
    <w:pPr>
      <w:spacing w:after="120"/>
    </w:pPr>
    <w:rPr>
      <w:sz w:val="16"/>
      <w:szCs w:val="16"/>
      <w:lang w:val="en-US"/>
    </w:rPr>
  </w:style>
  <w:style w:type="character" w:customStyle="1" w:styleId="Pagrindinistekstas3Diagrama">
    <w:name w:val="Pagrindinis tekstas 3 Diagrama"/>
    <w:basedOn w:val="Numatytasispastraiposriftas"/>
    <w:link w:val="Pagrindinistekstas3"/>
    <w:rsid w:val="004C5B03"/>
    <w:rPr>
      <w:rFonts w:ascii="Times New Roman" w:eastAsia="Times New Roman" w:hAnsi="Times New Roman" w:cs="Times New Roman"/>
      <w:noProof/>
      <w:sz w:val="16"/>
      <w:szCs w:val="16"/>
      <w:lang w:val="en-US" w:eastAsia="en-US" w:bidi="ar-SA"/>
    </w:rPr>
  </w:style>
  <w:style w:type="character" w:customStyle="1" w:styleId="PagrindiniotekstopirmatraukaDiagrama">
    <w:name w:val="Pagrindinio teksto pirma įtrauka Diagrama"/>
    <w:link w:val="Pagrindiniotekstopirmatrauka"/>
    <w:uiPriority w:val="99"/>
    <w:semiHidden/>
    <w:rsid w:val="004C5B03"/>
    <w:rPr>
      <w:noProof/>
      <w:szCs w:val="24"/>
    </w:rPr>
  </w:style>
  <w:style w:type="paragraph" w:styleId="Pagrindiniotekstopirmatrauka">
    <w:name w:val="Body Text First Indent"/>
    <w:basedOn w:val="Pagrindinistekstas"/>
    <w:link w:val="PagrindiniotekstopirmatraukaDiagrama"/>
    <w:uiPriority w:val="99"/>
    <w:semiHidden/>
    <w:unhideWhenUsed/>
    <w:rsid w:val="004C5B03"/>
    <w:pPr>
      <w:spacing w:after="0"/>
      <w:ind w:firstLine="360"/>
    </w:pPr>
    <w:rPr>
      <w:rFonts w:asciiTheme="minorHAnsi" w:eastAsiaTheme="minorEastAsia" w:hAnsiTheme="minorHAnsi" w:cstheme="minorBidi"/>
      <w:lang w:val="en-GB" w:eastAsia="zh-CN" w:bidi="he-IL"/>
    </w:rPr>
  </w:style>
  <w:style w:type="character" w:customStyle="1" w:styleId="BodyTextFirstIndentChar1">
    <w:name w:val="Body Text First Indent Char1"/>
    <w:basedOn w:val="PagrindinistekstasDiagrama"/>
    <w:uiPriority w:val="99"/>
    <w:semiHidden/>
    <w:rsid w:val="004C5B03"/>
    <w:rPr>
      <w:rFonts w:ascii="Times New Roman" w:eastAsia="Times New Roman" w:hAnsi="Times New Roman" w:cs="Times New Roman"/>
      <w:noProof/>
      <w:szCs w:val="24"/>
      <w:lang w:val="en-US" w:eastAsia="en-US" w:bidi="ar-SA"/>
    </w:rPr>
  </w:style>
  <w:style w:type="paragraph" w:styleId="Pagrindiniotekstotrauka">
    <w:name w:val="Body Text Indent"/>
    <w:basedOn w:val="prastasis"/>
    <w:link w:val="PagrindiniotekstotraukaDiagrama"/>
    <w:unhideWhenUsed/>
    <w:rsid w:val="004C5B03"/>
    <w:pPr>
      <w:spacing w:after="120"/>
      <w:ind w:left="283"/>
    </w:pPr>
    <w:rPr>
      <w:lang w:val="en-US"/>
    </w:rPr>
  </w:style>
  <w:style w:type="character" w:customStyle="1" w:styleId="PagrindiniotekstotraukaDiagrama">
    <w:name w:val="Pagrindinio teksto įtrauka Diagrama"/>
    <w:basedOn w:val="Numatytasispastraiposriftas"/>
    <w:link w:val="Pagrindiniotekstotrauka"/>
    <w:rsid w:val="004C5B03"/>
    <w:rPr>
      <w:rFonts w:ascii="Times New Roman" w:eastAsia="Times New Roman" w:hAnsi="Times New Roman" w:cs="Times New Roman"/>
      <w:noProof/>
      <w:szCs w:val="24"/>
      <w:lang w:val="en-US" w:eastAsia="en-US" w:bidi="ar-SA"/>
    </w:rPr>
  </w:style>
  <w:style w:type="character" w:customStyle="1" w:styleId="Pagrindiniotekstopirmatrauka2Diagrama">
    <w:name w:val="Pagrindinio teksto pirma įtrauka 2 Diagrama"/>
    <w:link w:val="Pagrindiniotekstopirmatrauka2"/>
    <w:uiPriority w:val="99"/>
    <w:semiHidden/>
    <w:rsid w:val="004C5B03"/>
    <w:rPr>
      <w:noProof/>
      <w:szCs w:val="24"/>
    </w:rPr>
  </w:style>
  <w:style w:type="paragraph" w:styleId="Pagrindiniotekstopirmatrauka2">
    <w:name w:val="Body Text First Indent 2"/>
    <w:basedOn w:val="Pagrindiniotekstotrauka"/>
    <w:link w:val="Pagrindiniotekstopirmatrauka2Diagrama"/>
    <w:uiPriority w:val="99"/>
    <w:semiHidden/>
    <w:unhideWhenUsed/>
    <w:rsid w:val="004C5B03"/>
    <w:pPr>
      <w:spacing w:after="0"/>
      <w:ind w:left="360" w:firstLine="360"/>
    </w:pPr>
    <w:rPr>
      <w:rFonts w:asciiTheme="minorHAnsi" w:eastAsiaTheme="minorEastAsia" w:hAnsiTheme="minorHAnsi" w:cstheme="minorBidi"/>
      <w:lang w:val="en-GB" w:eastAsia="zh-CN" w:bidi="he-IL"/>
    </w:rPr>
  </w:style>
  <w:style w:type="character" w:customStyle="1" w:styleId="BodyTextFirstIndent2Char1">
    <w:name w:val="Body Text First Indent 2 Char1"/>
    <w:basedOn w:val="PagrindiniotekstotraukaDiagrama"/>
    <w:uiPriority w:val="99"/>
    <w:semiHidden/>
    <w:rsid w:val="004C5B03"/>
    <w:rPr>
      <w:rFonts w:ascii="Times New Roman" w:eastAsia="Times New Roman" w:hAnsi="Times New Roman" w:cs="Times New Roman"/>
      <w:noProof/>
      <w:szCs w:val="24"/>
      <w:lang w:val="en-US" w:eastAsia="en-US" w:bidi="ar-SA"/>
    </w:rPr>
  </w:style>
  <w:style w:type="character" w:customStyle="1" w:styleId="Pagrindiniotekstotrauka2Diagrama">
    <w:name w:val="Pagrindinio teksto įtrauka 2 Diagrama"/>
    <w:link w:val="Pagrindiniotekstotrauka2"/>
    <w:uiPriority w:val="99"/>
    <w:semiHidden/>
    <w:rsid w:val="004C5B03"/>
    <w:rPr>
      <w:rFonts w:ascii="Times New Roman" w:eastAsia="Times New Roman" w:hAnsi="Times New Roman" w:cs="Times New Roman"/>
      <w:noProof/>
      <w:szCs w:val="24"/>
      <w:lang w:val="en-US"/>
    </w:rPr>
  </w:style>
  <w:style w:type="paragraph" w:styleId="Pagrindiniotekstotrauka2">
    <w:name w:val="Body Text Indent 2"/>
    <w:basedOn w:val="prastasis"/>
    <w:link w:val="Pagrindiniotekstotrauka2Diagrama"/>
    <w:uiPriority w:val="99"/>
    <w:semiHidden/>
    <w:unhideWhenUsed/>
    <w:rsid w:val="004C5B03"/>
    <w:pPr>
      <w:spacing w:after="120" w:line="480" w:lineRule="auto"/>
      <w:ind w:left="283"/>
    </w:pPr>
    <w:rPr>
      <w:lang w:val="en-US"/>
    </w:rPr>
  </w:style>
  <w:style w:type="character" w:customStyle="1" w:styleId="BodyTextIndent2Char1">
    <w:name w:val="Body Text Indent 2 Char1"/>
    <w:basedOn w:val="Numatytasispastraiposriftas"/>
    <w:uiPriority w:val="99"/>
    <w:semiHidden/>
    <w:rsid w:val="004C5B03"/>
  </w:style>
  <w:style w:type="character" w:customStyle="1" w:styleId="Pagrindiniotekstotrauka3Diagrama">
    <w:name w:val="Pagrindinio teksto įtrauka 3 Diagrama"/>
    <w:link w:val="Pagrindiniotekstotrauka3"/>
    <w:uiPriority w:val="99"/>
    <w:semiHidden/>
    <w:rsid w:val="004C5B03"/>
    <w:rPr>
      <w:rFonts w:ascii="Times New Roman" w:eastAsia="Times New Roman" w:hAnsi="Times New Roman" w:cs="Times New Roman"/>
      <w:noProof/>
      <w:sz w:val="16"/>
      <w:szCs w:val="16"/>
      <w:lang w:val="en-US"/>
    </w:rPr>
  </w:style>
  <w:style w:type="paragraph" w:styleId="Pagrindiniotekstotrauka3">
    <w:name w:val="Body Text Indent 3"/>
    <w:basedOn w:val="prastasis"/>
    <w:link w:val="Pagrindiniotekstotrauka3Diagrama"/>
    <w:uiPriority w:val="99"/>
    <w:semiHidden/>
    <w:unhideWhenUsed/>
    <w:rsid w:val="004C5B03"/>
    <w:pPr>
      <w:spacing w:after="120"/>
      <w:ind w:left="283"/>
    </w:pPr>
    <w:rPr>
      <w:sz w:val="16"/>
      <w:szCs w:val="16"/>
      <w:lang w:val="en-US"/>
    </w:rPr>
  </w:style>
  <w:style w:type="character" w:customStyle="1" w:styleId="BodyTextIndent3Char1">
    <w:name w:val="Body Text Indent 3 Char1"/>
    <w:basedOn w:val="Numatytasispastraiposriftas"/>
    <w:uiPriority w:val="99"/>
    <w:semiHidden/>
    <w:rsid w:val="004C5B03"/>
    <w:rPr>
      <w:sz w:val="16"/>
      <w:szCs w:val="16"/>
    </w:rPr>
  </w:style>
  <w:style w:type="character" w:styleId="Knygospavadinimas">
    <w:name w:val="Book Title"/>
    <w:uiPriority w:val="99"/>
    <w:unhideWhenUsed/>
    <w:rsid w:val="004C5B03"/>
    <w:rPr>
      <w:b/>
      <w:bCs/>
      <w:smallCaps/>
      <w:spacing w:val="5"/>
    </w:rPr>
  </w:style>
  <w:style w:type="character" w:customStyle="1" w:styleId="UbaigimasDiagrama">
    <w:name w:val="Užbaigimas Diagrama"/>
    <w:link w:val="Ubaigimas"/>
    <w:uiPriority w:val="99"/>
    <w:semiHidden/>
    <w:rsid w:val="004C5B03"/>
    <w:rPr>
      <w:rFonts w:ascii="Times New Roman" w:eastAsia="Times New Roman" w:hAnsi="Times New Roman" w:cs="Times New Roman"/>
      <w:noProof/>
      <w:szCs w:val="24"/>
      <w:lang w:val="en-US"/>
    </w:rPr>
  </w:style>
  <w:style w:type="paragraph" w:styleId="Ubaigimas">
    <w:name w:val="Closing"/>
    <w:basedOn w:val="prastasis"/>
    <w:link w:val="UbaigimasDiagrama"/>
    <w:uiPriority w:val="99"/>
    <w:semiHidden/>
    <w:unhideWhenUsed/>
    <w:rsid w:val="004C5B03"/>
    <w:pPr>
      <w:ind w:left="4252"/>
    </w:pPr>
    <w:rPr>
      <w:lang w:val="en-US"/>
    </w:rPr>
  </w:style>
  <w:style w:type="character" w:customStyle="1" w:styleId="ClosingChar1">
    <w:name w:val="Closing Char1"/>
    <w:basedOn w:val="Numatytasispastraiposriftas"/>
    <w:uiPriority w:val="99"/>
    <w:semiHidden/>
    <w:rsid w:val="004C5B03"/>
  </w:style>
  <w:style w:type="character" w:customStyle="1" w:styleId="KomentarotekstasDiagrama">
    <w:name w:val="Komentaro tekstas Diagrama"/>
    <w:link w:val="Komentarotekstas"/>
    <w:semiHidden/>
    <w:rsid w:val="004C5B03"/>
    <w:rPr>
      <w:rFonts w:ascii="Times New Roman" w:eastAsia="Times New Roman" w:hAnsi="Times New Roman" w:cs="Times New Roman"/>
      <w:noProof/>
      <w:szCs w:val="24"/>
      <w:lang w:val="en-US"/>
    </w:rPr>
  </w:style>
  <w:style w:type="paragraph" w:styleId="Komentarotekstas">
    <w:name w:val="annotation text"/>
    <w:basedOn w:val="prastasis"/>
    <w:link w:val="KomentarotekstasDiagrama"/>
    <w:semiHidden/>
    <w:unhideWhenUsed/>
    <w:rsid w:val="004C5B03"/>
    <w:rPr>
      <w:lang w:val="en-US"/>
    </w:rPr>
  </w:style>
  <w:style w:type="character" w:customStyle="1" w:styleId="CommentTextChar1">
    <w:name w:val="Comment Text Char1"/>
    <w:basedOn w:val="Numatytasispastraiposriftas"/>
    <w:uiPriority w:val="99"/>
    <w:semiHidden/>
    <w:rsid w:val="004C5B03"/>
    <w:rPr>
      <w:sz w:val="20"/>
      <w:szCs w:val="20"/>
    </w:rPr>
  </w:style>
  <w:style w:type="character" w:customStyle="1" w:styleId="KomentarotemaDiagrama">
    <w:name w:val="Komentaro tema Diagrama"/>
    <w:link w:val="Komentarotema"/>
    <w:semiHidden/>
    <w:rsid w:val="004C5B03"/>
    <w:rPr>
      <w:b/>
      <w:bCs/>
      <w:noProof/>
      <w:szCs w:val="24"/>
    </w:rPr>
  </w:style>
  <w:style w:type="paragraph" w:styleId="Komentarotema">
    <w:name w:val="annotation subject"/>
    <w:basedOn w:val="Komentarotekstas"/>
    <w:next w:val="Komentarotekstas"/>
    <w:link w:val="KomentarotemaDiagrama"/>
    <w:semiHidden/>
    <w:unhideWhenUsed/>
    <w:rsid w:val="004C5B03"/>
    <w:rPr>
      <w:rFonts w:asciiTheme="minorHAnsi" w:eastAsiaTheme="minorEastAsia" w:hAnsiTheme="minorHAnsi" w:cstheme="minorBidi"/>
      <w:b/>
      <w:bCs/>
      <w:lang w:val="en-GB"/>
    </w:rPr>
  </w:style>
  <w:style w:type="character" w:customStyle="1" w:styleId="CommentSubjectChar1">
    <w:name w:val="Comment Subject Char1"/>
    <w:basedOn w:val="CommentTextChar1"/>
    <w:uiPriority w:val="99"/>
    <w:semiHidden/>
    <w:rsid w:val="004C5B03"/>
    <w:rPr>
      <w:b/>
      <w:bCs/>
      <w:sz w:val="20"/>
      <w:szCs w:val="20"/>
    </w:rPr>
  </w:style>
  <w:style w:type="character" w:customStyle="1" w:styleId="DataDiagrama">
    <w:name w:val="Data Diagrama"/>
    <w:link w:val="Data"/>
    <w:uiPriority w:val="99"/>
    <w:semiHidden/>
    <w:rsid w:val="004C5B03"/>
    <w:rPr>
      <w:rFonts w:ascii="Times New Roman" w:eastAsia="Times New Roman" w:hAnsi="Times New Roman" w:cs="Times New Roman"/>
      <w:noProof/>
      <w:szCs w:val="24"/>
      <w:lang w:val="en-US"/>
    </w:rPr>
  </w:style>
  <w:style w:type="paragraph" w:styleId="Data">
    <w:name w:val="Date"/>
    <w:basedOn w:val="prastasis"/>
    <w:next w:val="prastasis"/>
    <w:link w:val="DataDiagrama"/>
    <w:uiPriority w:val="99"/>
    <w:semiHidden/>
    <w:unhideWhenUsed/>
    <w:rsid w:val="004C5B03"/>
    <w:rPr>
      <w:lang w:val="en-US"/>
    </w:rPr>
  </w:style>
  <w:style w:type="character" w:customStyle="1" w:styleId="DateChar1">
    <w:name w:val="Date Char1"/>
    <w:basedOn w:val="Numatytasispastraiposriftas"/>
    <w:uiPriority w:val="99"/>
    <w:semiHidden/>
    <w:rsid w:val="004C5B03"/>
  </w:style>
  <w:style w:type="character" w:customStyle="1" w:styleId="DokumentostruktraDiagrama">
    <w:name w:val="Dokumento struktūra Diagrama"/>
    <w:link w:val="Dokumentostruktra"/>
    <w:uiPriority w:val="99"/>
    <w:semiHidden/>
    <w:rsid w:val="004C5B03"/>
    <w:rPr>
      <w:rFonts w:ascii="Tahoma" w:eastAsia="Times New Roman" w:hAnsi="Tahoma" w:cs="Tahoma"/>
      <w:noProof/>
      <w:sz w:val="16"/>
      <w:szCs w:val="16"/>
      <w:lang w:val="en-US"/>
    </w:rPr>
  </w:style>
  <w:style w:type="paragraph" w:styleId="Dokumentostruktra">
    <w:name w:val="Document Map"/>
    <w:basedOn w:val="prastasis"/>
    <w:link w:val="DokumentostruktraDiagrama"/>
    <w:uiPriority w:val="99"/>
    <w:semiHidden/>
    <w:unhideWhenUsed/>
    <w:rsid w:val="004C5B03"/>
    <w:rPr>
      <w:rFonts w:ascii="Tahoma" w:hAnsi="Tahoma" w:cs="Tahoma"/>
      <w:sz w:val="16"/>
      <w:szCs w:val="16"/>
      <w:lang w:val="en-US"/>
    </w:rPr>
  </w:style>
  <w:style w:type="character" w:customStyle="1" w:styleId="DocumentMapChar1">
    <w:name w:val="Document Map Char1"/>
    <w:basedOn w:val="Numatytasispastraiposriftas"/>
    <w:uiPriority w:val="99"/>
    <w:semiHidden/>
    <w:rsid w:val="004C5B03"/>
    <w:rPr>
      <w:rFonts w:ascii="Segoe UI" w:hAnsi="Segoe UI" w:cs="Segoe UI"/>
      <w:sz w:val="16"/>
      <w:szCs w:val="16"/>
    </w:rPr>
  </w:style>
  <w:style w:type="character" w:customStyle="1" w:styleId="ElpatoparaasDiagrama">
    <w:name w:val="El. pašto parašas Diagrama"/>
    <w:link w:val="Elpatoparaas"/>
    <w:uiPriority w:val="99"/>
    <w:semiHidden/>
    <w:rsid w:val="004C5B03"/>
    <w:rPr>
      <w:rFonts w:ascii="Times New Roman" w:eastAsia="Times New Roman" w:hAnsi="Times New Roman" w:cs="Times New Roman"/>
      <w:noProof/>
      <w:szCs w:val="24"/>
      <w:lang w:val="en-US"/>
    </w:rPr>
  </w:style>
  <w:style w:type="paragraph" w:styleId="Elpatoparaas">
    <w:name w:val="E-mail Signature"/>
    <w:basedOn w:val="prastasis"/>
    <w:link w:val="ElpatoparaasDiagrama"/>
    <w:uiPriority w:val="99"/>
    <w:semiHidden/>
    <w:unhideWhenUsed/>
    <w:rsid w:val="004C5B03"/>
    <w:rPr>
      <w:lang w:val="en-US"/>
    </w:rPr>
  </w:style>
  <w:style w:type="character" w:customStyle="1" w:styleId="E-mailSignatureChar1">
    <w:name w:val="E-mail Signature Char1"/>
    <w:basedOn w:val="Numatytasispastraiposriftas"/>
    <w:uiPriority w:val="99"/>
    <w:semiHidden/>
    <w:rsid w:val="004C5B03"/>
  </w:style>
  <w:style w:type="character" w:customStyle="1" w:styleId="HTMLiankstoformatuotasDiagrama">
    <w:name w:val="HTML iš anksto formatuotas Diagrama"/>
    <w:link w:val="HTMLiankstoformatuotas"/>
    <w:uiPriority w:val="99"/>
    <w:semiHidden/>
    <w:rsid w:val="004C5B03"/>
    <w:rPr>
      <w:rFonts w:ascii="Consolas" w:eastAsia="Times New Roman" w:hAnsi="Consolas" w:cs="Times New Roman"/>
      <w:noProof/>
      <w:szCs w:val="24"/>
      <w:lang w:val="en-US"/>
    </w:rPr>
  </w:style>
  <w:style w:type="paragraph" w:styleId="HTMLiankstoformatuotas">
    <w:name w:val="HTML Preformatted"/>
    <w:basedOn w:val="prastasis"/>
    <w:link w:val="HTMLiankstoformatuotasDiagrama"/>
    <w:uiPriority w:val="99"/>
    <w:semiHidden/>
    <w:unhideWhenUsed/>
    <w:rsid w:val="004C5B03"/>
    <w:rPr>
      <w:rFonts w:ascii="Consolas" w:hAnsi="Consolas"/>
      <w:lang w:val="en-US"/>
    </w:rPr>
  </w:style>
  <w:style w:type="character" w:customStyle="1" w:styleId="HTMLPreformattedChar1">
    <w:name w:val="HTML Preformatted Char1"/>
    <w:basedOn w:val="Numatytasispastraiposriftas"/>
    <w:uiPriority w:val="99"/>
    <w:semiHidden/>
    <w:rsid w:val="004C5B03"/>
    <w:rPr>
      <w:rFonts w:ascii="Consolas" w:hAnsi="Consolas"/>
      <w:sz w:val="20"/>
      <w:szCs w:val="20"/>
    </w:rPr>
  </w:style>
  <w:style w:type="paragraph" w:styleId="Sraopastraipa">
    <w:name w:val="List Paragraph"/>
    <w:basedOn w:val="prastasis"/>
    <w:uiPriority w:val="99"/>
    <w:unhideWhenUsed/>
    <w:rsid w:val="004C5B03"/>
    <w:pPr>
      <w:ind w:left="720"/>
      <w:contextualSpacing/>
    </w:pPr>
    <w:rPr>
      <w:lang w:val="en-US"/>
    </w:rPr>
  </w:style>
  <w:style w:type="character" w:customStyle="1" w:styleId="MakrokomandostekstasDiagrama">
    <w:name w:val="Makrokomandos tekstas Diagrama"/>
    <w:link w:val="Makrokomandostekstas"/>
    <w:uiPriority w:val="99"/>
    <w:semiHidden/>
    <w:rsid w:val="004C5B03"/>
    <w:rPr>
      <w:rFonts w:ascii="Consolas" w:hAnsi="Consolas" w:cs="Arial"/>
    </w:rPr>
  </w:style>
  <w:style w:type="paragraph" w:styleId="Makrokomandostekstas">
    <w:name w:val="macro"/>
    <w:link w:val="MakrokomandostekstasDiagrama"/>
    <w:uiPriority w:val="99"/>
    <w:semiHidden/>
    <w:unhideWhenUsed/>
    <w:rsid w:val="004C5B0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Arial"/>
    </w:rPr>
  </w:style>
  <w:style w:type="character" w:customStyle="1" w:styleId="MacroTextChar1">
    <w:name w:val="Macro Text Char1"/>
    <w:basedOn w:val="Numatytasispastraiposriftas"/>
    <w:uiPriority w:val="99"/>
    <w:semiHidden/>
    <w:rsid w:val="004C5B03"/>
    <w:rPr>
      <w:rFonts w:ascii="Consolas" w:hAnsi="Consolas"/>
      <w:sz w:val="20"/>
      <w:szCs w:val="20"/>
    </w:rPr>
  </w:style>
  <w:style w:type="character" w:customStyle="1" w:styleId="LaikoantratDiagrama">
    <w:name w:val="Laiško antraštė Diagrama"/>
    <w:link w:val="Laikoantrat"/>
    <w:uiPriority w:val="99"/>
    <w:semiHidden/>
    <w:rsid w:val="004C5B03"/>
    <w:rPr>
      <w:rFonts w:ascii="Cambria" w:eastAsia="Times New Roman" w:hAnsi="Cambria" w:cs="Times New Roman"/>
      <w:noProof/>
      <w:sz w:val="24"/>
      <w:szCs w:val="24"/>
      <w:shd w:val="pct20" w:color="auto" w:fill="auto"/>
      <w:lang w:val="en-US"/>
    </w:rPr>
  </w:style>
  <w:style w:type="paragraph" w:styleId="Laikoantrat">
    <w:name w:val="Message Header"/>
    <w:basedOn w:val="prastasis"/>
    <w:link w:val="LaikoantratDiagrama"/>
    <w:uiPriority w:val="99"/>
    <w:semiHidden/>
    <w:unhideWhenUsed/>
    <w:rsid w:val="004C5B0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lang w:val="en-US"/>
    </w:rPr>
  </w:style>
  <w:style w:type="character" w:customStyle="1" w:styleId="MessageHeaderChar1">
    <w:name w:val="Message Header Char1"/>
    <w:basedOn w:val="Numatytasispastraiposriftas"/>
    <w:uiPriority w:val="99"/>
    <w:semiHidden/>
    <w:rsid w:val="004C5B03"/>
    <w:rPr>
      <w:rFonts w:asciiTheme="majorHAnsi" w:eastAsiaTheme="majorEastAsia" w:hAnsiTheme="majorHAnsi" w:cstheme="majorBidi"/>
      <w:sz w:val="24"/>
      <w:szCs w:val="24"/>
      <w:shd w:val="pct20" w:color="auto" w:fill="auto"/>
    </w:rPr>
  </w:style>
  <w:style w:type="paragraph" w:styleId="Betarp">
    <w:name w:val="No Spacing"/>
    <w:uiPriority w:val="99"/>
    <w:unhideWhenUsed/>
    <w:rsid w:val="004C5B03"/>
    <w:pPr>
      <w:spacing w:after="0" w:line="240" w:lineRule="auto"/>
    </w:pPr>
    <w:rPr>
      <w:rFonts w:ascii="Verdana" w:eastAsia="Times New Roman" w:hAnsi="Verdana" w:cs="Arial"/>
      <w:sz w:val="20"/>
      <w:szCs w:val="20"/>
      <w:lang w:eastAsia="en-US" w:bidi="ar-SA"/>
    </w:rPr>
  </w:style>
  <w:style w:type="character" w:customStyle="1" w:styleId="PastabosantratDiagrama">
    <w:name w:val="Pastabos antraštė Diagrama"/>
    <w:link w:val="Pastabosantrat"/>
    <w:uiPriority w:val="99"/>
    <w:semiHidden/>
    <w:rsid w:val="004C5B03"/>
    <w:rPr>
      <w:rFonts w:ascii="Times New Roman" w:eastAsia="Times New Roman" w:hAnsi="Times New Roman" w:cs="Times New Roman"/>
      <w:noProof/>
      <w:szCs w:val="24"/>
      <w:lang w:val="en-US"/>
    </w:rPr>
  </w:style>
  <w:style w:type="paragraph" w:styleId="Pastabosantrat">
    <w:name w:val="Note Heading"/>
    <w:basedOn w:val="prastasis"/>
    <w:next w:val="prastasis"/>
    <w:link w:val="PastabosantratDiagrama"/>
    <w:uiPriority w:val="99"/>
    <w:semiHidden/>
    <w:unhideWhenUsed/>
    <w:rsid w:val="004C5B03"/>
    <w:rPr>
      <w:lang w:val="en-US"/>
    </w:rPr>
  </w:style>
  <w:style w:type="character" w:customStyle="1" w:styleId="NoteHeadingChar1">
    <w:name w:val="Note Heading Char1"/>
    <w:basedOn w:val="Numatytasispastraiposriftas"/>
    <w:uiPriority w:val="99"/>
    <w:semiHidden/>
    <w:rsid w:val="004C5B03"/>
  </w:style>
  <w:style w:type="character" w:customStyle="1" w:styleId="PaprastasistekstasDiagrama">
    <w:name w:val="Paprastasis tekstas Diagrama"/>
    <w:link w:val="Paprastasistekstas"/>
    <w:uiPriority w:val="99"/>
    <w:semiHidden/>
    <w:rsid w:val="004C5B03"/>
    <w:rPr>
      <w:rFonts w:ascii="Consolas" w:eastAsia="Times New Roman" w:hAnsi="Consolas" w:cs="Times New Roman"/>
      <w:noProof/>
      <w:sz w:val="21"/>
      <w:szCs w:val="21"/>
      <w:lang w:val="en-US"/>
    </w:rPr>
  </w:style>
  <w:style w:type="paragraph" w:styleId="Paprastasistekstas">
    <w:name w:val="Plain Text"/>
    <w:basedOn w:val="prastasis"/>
    <w:link w:val="PaprastasistekstasDiagrama"/>
    <w:uiPriority w:val="99"/>
    <w:semiHidden/>
    <w:unhideWhenUsed/>
    <w:rsid w:val="004C5B03"/>
    <w:rPr>
      <w:rFonts w:ascii="Consolas" w:hAnsi="Consolas"/>
      <w:sz w:val="21"/>
      <w:szCs w:val="21"/>
      <w:lang w:val="en-US"/>
    </w:rPr>
  </w:style>
  <w:style w:type="character" w:customStyle="1" w:styleId="PlainTextChar1">
    <w:name w:val="Plain Text Char1"/>
    <w:basedOn w:val="Numatytasispastraiposriftas"/>
    <w:uiPriority w:val="99"/>
    <w:semiHidden/>
    <w:rsid w:val="004C5B03"/>
    <w:rPr>
      <w:rFonts w:ascii="Consolas" w:hAnsi="Consolas"/>
      <w:sz w:val="21"/>
      <w:szCs w:val="21"/>
    </w:rPr>
  </w:style>
  <w:style w:type="character" w:customStyle="1" w:styleId="PasveikinimasDiagrama">
    <w:name w:val="Pasveikinimas Diagrama"/>
    <w:link w:val="Pasveikinimas"/>
    <w:uiPriority w:val="99"/>
    <w:semiHidden/>
    <w:rsid w:val="004C5B03"/>
    <w:rPr>
      <w:rFonts w:ascii="Times New Roman" w:eastAsia="Times New Roman" w:hAnsi="Times New Roman" w:cs="Times New Roman"/>
      <w:noProof/>
      <w:szCs w:val="24"/>
      <w:lang w:val="en-US"/>
    </w:rPr>
  </w:style>
  <w:style w:type="paragraph" w:styleId="Pasveikinimas">
    <w:name w:val="Salutation"/>
    <w:basedOn w:val="prastasis"/>
    <w:next w:val="prastasis"/>
    <w:link w:val="PasveikinimasDiagrama"/>
    <w:uiPriority w:val="99"/>
    <w:semiHidden/>
    <w:unhideWhenUsed/>
    <w:rsid w:val="004C5B03"/>
    <w:rPr>
      <w:lang w:val="en-US"/>
    </w:rPr>
  </w:style>
  <w:style w:type="character" w:customStyle="1" w:styleId="SalutationChar1">
    <w:name w:val="Salutation Char1"/>
    <w:basedOn w:val="Numatytasispastraiposriftas"/>
    <w:uiPriority w:val="99"/>
    <w:semiHidden/>
    <w:rsid w:val="004C5B03"/>
  </w:style>
  <w:style w:type="character" w:customStyle="1" w:styleId="ParaasDiagrama">
    <w:name w:val="Parašas Diagrama"/>
    <w:link w:val="Paraas"/>
    <w:uiPriority w:val="99"/>
    <w:semiHidden/>
    <w:rsid w:val="004C5B03"/>
    <w:rPr>
      <w:rFonts w:ascii="Times New Roman" w:eastAsia="Times New Roman" w:hAnsi="Times New Roman" w:cs="Times New Roman"/>
      <w:noProof/>
      <w:szCs w:val="24"/>
      <w:lang w:val="en-US"/>
    </w:rPr>
  </w:style>
  <w:style w:type="paragraph" w:styleId="Paraas">
    <w:name w:val="Signature"/>
    <w:basedOn w:val="prastasis"/>
    <w:link w:val="ParaasDiagrama"/>
    <w:uiPriority w:val="99"/>
    <w:semiHidden/>
    <w:unhideWhenUsed/>
    <w:rsid w:val="004C5B03"/>
    <w:pPr>
      <w:ind w:left="4252"/>
    </w:pPr>
    <w:rPr>
      <w:lang w:val="en-US"/>
    </w:rPr>
  </w:style>
  <w:style w:type="character" w:customStyle="1" w:styleId="SignatureChar1">
    <w:name w:val="Signature Char1"/>
    <w:basedOn w:val="Numatytasispastraiposriftas"/>
    <w:uiPriority w:val="99"/>
    <w:semiHidden/>
    <w:rsid w:val="004C5B03"/>
  </w:style>
  <w:style w:type="character" w:styleId="Nerykuspabraukimas">
    <w:name w:val="Subtle Emphasis"/>
    <w:uiPriority w:val="99"/>
    <w:unhideWhenUsed/>
    <w:rsid w:val="004C5B03"/>
    <w:rPr>
      <w:i/>
      <w:iCs/>
      <w:color w:val="808080"/>
    </w:rPr>
  </w:style>
  <w:style w:type="character" w:styleId="Nerykinuoroda">
    <w:name w:val="Subtle Reference"/>
    <w:uiPriority w:val="99"/>
    <w:unhideWhenUsed/>
    <w:rsid w:val="004C5B03"/>
    <w:rPr>
      <w:smallCaps/>
      <w:color w:val="C0504D"/>
      <w:u w:val="single"/>
    </w:rPr>
  </w:style>
  <w:style w:type="paragraph" w:customStyle="1" w:styleId="BTEMEASMCA">
    <w:name w:val="BT EMEA_SMCA"/>
    <w:basedOn w:val="prastasis"/>
    <w:autoRedefine/>
    <w:rsid w:val="004C5B03"/>
    <w:rPr>
      <w:lang w:val="lt-LT"/>
    </w:rPr>
  </w:style>
  <w:style w:type="paragraph" w:customStyle="1" w:styleId="TTEMEASMCA">
    <w:name w:val="TT EMEA_SMCA"/>
    <w:basedOn w:val="Antrat1"/>
    <w:autoRedefine/>
    <w:rsid w:val="004C5B03"/>
    <w:pPr>
      <w:keepNext w:val="0"/>
      <w:spacing w:before="0" w:after="0"/>
      <w:ind w:left="567" w:hanging="567"/>
      <w:jc w:val="center"/>
    </w:pPr>
    <w:rPr>
      <w:bCs w:val="0"/>
      <w:caps/>
      <w:kern w:val="0"/>
      <w:sz w:val="22"/>
      <w:szCs w:val="22"/>
    </w:rPr>
  </w:style>
  <w:style w:type="paragraph" w:customStyle="1" w:styleId="BTAnIIEMEASMCA">
    <w:name w:val="BT(AnII) EMEA_SMCA"/>
    <w:basedOn w:val="prastasis"/>
    <w:autoRedefine/>
    <w:rsid w:val="004C5B03"/>
    <w:pPr>
      <w:tabs>
        <w:tab w:val="left" w:pos="1701"/>
      </w:tabs>
      <w:ind w:left="1701" w:hanging="567"/>
    </w:pPr>
    <w:rPr>
      <w:rFonts w:cs="Tahoma"/>
      <w:b/>
      <w:lang w:val="en-US"/>
    </w:rPr>
  </w:style>
  <w:style w:type="paragraph" w:customStyle="1" w:styleId="PI-2EMEASMCA">
    <w:name w:val="PI-2 EMEA_SMCA"/>
    <w:basedOn w:val="Antrat3"/>
    <w:autoRedefine/>
    <w:rsid w:val="004C5B03"/>
    <w:pPr>
      <w:keepLines/>
      <w:spacing w:before="0" w:after="0"/>
      <w:ind w:left="567" w:hanging="567"/>
    </w:pPr>
    <w:rPr>
      <w:bCs w:val="0"/>
      <w:i w:val="0"/>
      <w:kern w:val="28"/>
      <w:szCs w:val="22"/>
      <w:lang w:val="lt-LT"/>
    </w:rPr>
  </w:style>
  <w:style w:type="paragraph" w:customStyle="1" w:styleId="Bulletlist">
    <w:name w:val="Bullet list"/>
    <w:basedOn w:val="Pagrindinistekstas"/>
    <w:rsid w:val="004C5B03"/>
    <w:pPr>
      <w:spacing w:after="0" w:line="264" w:lineRule="auto"/>
      <w:ind w:left="284" w:hanging="284"/>
    </w:pPr>
    <w:rPr>
      <w:sz w:val="24"/>
    </w:rPr>
  </w:style>
  <w:style w:type="numbering" w:customStyle="1" w:styleId="Sraonra1">
    <w:name w:val="Sąrašo nėra1"/>
    <w:next w:val="Sraonra"/>
    <w:uiPriority w:val="99"/>
    <w:semiHidden/>
    <w:unhideWhenUsed/>
    <w:rsid w:val="004C5B03"/>
  </w:style>
  <w:style w:type="paragraph" w:styleId="prastasiniatinklio">
    <w:name w:val="Normal (Web)"/>
    <w:basedOn w:val="prastasis"/>
    <w:uiPriority w:val="99"/>
    <w:semiHidden/>
    <w:rsid w:val="004C5B03"/>
    <w:rPr>
      <w:lang w:val="en-US"/>
    </w:rPr>
  </w:style>
  <w:style w:type="character" w:customStyle="1" w:styleId="DokumentoinaostekstasDiagrama1">
    <w:name w:val="Dokumento išnašos tekstas Diagrama1"/>
    <w:basedOn w:val="Numatytasispastraiposriftas"/>
    <w:uiPriority w:val="99"/>
    <w:semiHidden/>
    <w:rsid w:val="004C5B03"/>
    <w:rPr>
      <w:sz w:val="20"/>
      <w:szCs w:val="20"/>
    </w:rPr>
  </w:style>
  <w:style w:type="character" w:customStyle="1" w:styleId="PuslapioinaostekstasDiagrama1">
    <w:name w:val="Puslapio išnašos tekstas Diagrama1"/>
    <w:basedOn w:val="Numatytasispastraiposriftas"/>
    <w:uiPriority w:val="99"/>
    <w:semiHidden/>
    <w:rsid w:val="004C5B03"/>
    <w:rPr>
      <w:sz w:val="20"/>
      <w:szCs w:val="20"/>
    </w:rPr>
  </w:style>
  <w:style w:type="paragraph" w:styleId="Sraassuenkleliais2">
    <w:name w:val="List Bullet 2"/>
    <w:basedOn w:val="prastasis"/>
    <w:uiPriority w:val="8"/>
    <w:semiHidden/>
    <w:rsid w:val="004C5B03"/>
    <w:pPr>
      <w:tabs>
        <w:tab w:val="num" w:pos="643"/>
      </w:tabs>
      <w:ind w:left="643" w:hanging="360"/>
      <w:contextualSpacing/>
    </w:pPr>
    <w:rPr>
      <w:lang w:val="en-US"/>
    </w:rPr>
  </w:style>
  <w:style w:type="character" w:customStyle="1" w:styleId="PagrindiniotekstopirmatraukaDiagrama1">
    <w:name w:val="Pagrindinio teksto pirma įtrauka Diagrama1"/>
    <w:basedOn w:val="PagrindinistekstasDiagrama"/>
    <w:uiPriority w:val="99"/>
    <w:semiHidden/>
    <w:rsid w:val="004C5B03"/>
    <w:rPr>
      <w:rFonts w:ascii="Times New Roman" w:eastAsia="Times New Roman" w:hAnsi="Times New Roman" w:cs="Times New Roman"/>
      <w:noProof/>
      <w:szCs w:val="24"/>
      <w:lang w:val="en-US" w:eastAsia="en-US" w:bidi="ar-SA"/>
    </w:rPr>
  </w:style>
  <w:style w:type="character" w:customStyle="1" w:styleId="Pagrindiniotekstopirmatrauka2Diagrama1">
    <w:name w:val="Pagrindinio teksto pirma įtrauka 2 Diagrama1"/>
    <w:basedOn w:val="PagrindiniotekstotraukaDiagrama"/>
    <w:uiPriority w:val="99"/>
    <w:semiHidden/>
    <w:rsid w:val="004C5B03"/>
    <w:rPr>
      <w:rFonts w:ascii="Times New Roman" w:eastAsia="Times New Roman" w:hAnsi="Times New Roman" w:cs="Times New Roman"/>
      <w:noProof/>
      <w:szCs w:val="24"/>
      <w:lang w:val="en-US" w:eastAsia="en-US" w:bidi="ar-SA"/>
    </w:rPr>
  </w:style>
  <w:style w:type="character" w:customStyle="1" w:styleId="Pagrindiniotekstotrauka2Diagrama1">
    <w:name w:val="Pagrindinio teksto įtrauka 2 Diagrama1"/>
    <w:basedOn w:val="Numatytasispastraiposriftas"/>
    <w:uiPriority w:val="99"/>
    <w:semiHidden/>
    <w:rsid w:val="004C5B03"/>
  </w:style>
  <w:style w:type="character" w:customStyle="1" w:styleId="Pagrindiniotekstotrauka3Diagrama1">
    <w:name w:val="Pagrindinio teksto įtrauka 3 Diagrama1"/>
    <w:basedOn w:val="Numatytasispastraiposriftas"/>
    <w:uiPriority w:val="99"/>
    <w:semiHidden/>
    <w:rsid w:val="004C5B03"/>
    <w:rPr>
      <w:sz w:val="16"/>
      <w:szCs w:val="16"/>
    </w:rPr>
  </w:style>
  <w:style w:type="character" w:customStyle="1" w:styleId="UbaigimasDiagrama1">
    <w:name w:val="Užbaigimas Diagrama1"/>
    <w:basedOn w:val="Numatytasispastraiposriftas"/>
    <w:uiPriority w:val="99"/>
    <w:semiHidden/>
    <w:rsid w:val="004C5B03"/>
  </w:style>
  <w:style w:type="character" w:customStyle="1" w:styleId="KomentarotekstasDiagrama1">
    <w:name w:val="Komentaro tekstas Diagrama1"/>
    <w:basedOn w:val="Numatytasispastraiposriftas"/>
    <w:uiPriority w:val="99"/>
    <w:semiHidden/>
    <w:rsid w:val="004C5B03"/>
    <w:rPr>
      <w:sz w:val="20"/>
      <w:szCs w:val="20"/>
    </w:rPr>
  </w:style>
  <w:style w:type="character" w:customStyle="1" w:styleId="KomentarotemaDiagrama1">
    <w:name w:val="Komentaro tema Diagrama1"/>
    <w:basedOn w:val="KomentarotekstasDiagrama1"/>
    <w:uiPriority w:val="99"/>
    <w:semiHidden/>
    <w:rsid w:val="004C5B03"/>
    <w:rPr>
      <w:b/>
      <w:bCs/>
      <w:sz w:val="20"/>
      <w:szCs w:val="20"/>
    </w:rPr>
  </w:style>
  <w:style w:type="character" w:customStyle="1" w:styleId="DataDiagrama1">
    <w:name w:val="Data Diagrama1"/>
    <w:basedOn w:val="Numatytasispastraiposriftas"/>
    <w:uiPriority w:val="99"/>
    <w:semiHidden/>
    <w:rsid w:val="004C5B03"/>
  </w:style>
  <w:style w:type="character" w:customStyle="1" w:styleId="DokumentostruktraDiagrama1">
    <w:name w:val="Dokumento struktūra Diagrama1"/>
    <w:basedOn w:val="Numatytasispastraiposriftas"/>
    <w:uiPriority w:val="99"/>
    <w:semiHidden/>
    <w:rsid w:val="004C5B03"/>
    <w:rPr>
      <w:rFonts w:ascii="Segoe UI" w:hAnsi="Segoe UI" w:cs="Segoe UI"/>
      <w:sz w:val="16"/>
      <w:szCs w:val="16"/>
    </w:rPr>
  </w:style>
  <w:style w:type="character" w:customStyle="1" w:styleId="ElpatoparaasDiagrama1">
    <w:name w:val="El. pašto parašas Diagrama1"/>
    <w:basedOn w:val="Numatytasispastraiposriftas"/>
    <w:uiPriority w:val="99"/>
    <w:semiHidden/>
    <w:rsid w:val="004C5B03"/>
  </w:style>
  <w:style w:type="character" w:customStyle="1" w:styleId="HTMLiankstoformatuotasDiagrama1">
    <w:name w:val="HTML iš anksto formatuotas Diagrama1"/>
    <w:basedOn w:val="Numatytasispastraiposriftas"/>
    <w:uiPriority w:val="99"/>
    <w:semiHidden/>
    <w:rsid w:val="004C5B03"/>
    <w:rPr>
      <w:rFonts w:ascii="Consolas" w:hAnsi="Consolas" w:cs="Consolas"/>
      <w:sz w:val="20"/>
      <w:szCs w:val="20"/>
    </w:rPr>
  </w:style>
  <w:style w:type="paragraph" w:styleId="Sraassuenkleliais3">
    <w:name w:val="List Bullet 3"/>
    <w:basedOn w:val="prastasis"/>
    <w:uiPriority w:val="99"/>
    <w:semiHidden/>
    <w:unhideWhenUsed/>
    <w:rsid w:val="004C5B03"/>
    <w:pPr>
      <w:tabs>
        <w:tab w:val="num" w:pos="926"/>
      </w:tabs>
      <w:ind w:left="926" w:hanging="360"/>
      <w:contextualSpacing/>
    </w:pPr>
    <w:rPr>
      <w:lang w:val="en-US"/>
    </w:rPr>
  </w:style>
  <w:style w:type="paragraph" w:styleId="Sraassuenkleliais4">
    <w:name w:val="List Bullet 4"/>
    <w:basedOn w:val="prastasis"/>
    <w:uiPriority w:val="99"/>
    <w:semiHidden/>
    <w:unhideWhenUsed/>
    <w:rsid w:val="004C5B03"/>
    <w:pPr>
      <w:tabs>
        <w:tab w:val="num" w:pos="1209"/>
      </w:tabs>
      <w:ind w:left="1209" w:hanging="360"/>
      <w:contextualSpacing/>
    </w:pPr>
    <w:rPr>
      <w:lang w:val="en-US"/>
    </w:rPr>
  </w:style>
  <w:style w:type="paragraph" w:styleId="Sraassuenkleliais5">
    <w:name w:val="List Bullet 5"/>
    <w:basedOn w:val="prastasis"/>
    <w:uiPriority w:val="99"/>
    <w:semiHidden/>
    <w:unhideWhenUsed/>
    <w:rsid w:val="004C5B03"/>
    <w:pPr>
      <w:tabs>
        <w:tab w:val="num" w:pos="1492"/>
      </w:tabs>
      <w:ind w:left="1492" w:hanging="360"/>
      <w:contextualSpacing/>
    </w:pPr>
    <w:rPr>
      <w:lang w:val="en-US"/>
    </w:rPr>
  </w:style>
  <w:style w:type="paragraph" w:styleId="Sraassunumeriais3">
    <w:name w:val="List Number 3"/>
    <w:basedOn w:val="prastasis"/>
    <w:uiPriority w:val="99"/>
    <w:semiHidden/>
    <w:unhideWhenUsed/>
    <w:rsid w:val="004C5B03"/>
    <w:pPr>
      <w:tabs>
        <w:tab w:val="num" w:pos="926"/>
      </w:tabs>
      <w:ind w:left="926" w:hanging="360"/>
      <w:contextualSpacing/>
    </w:pPr>
    <w:rPr>
      <w:lang w:val="en-US"/>
    </w:rPr>
  </w:style>
  <w:style w:type="paragraph" w:styleId="Sraassunumeriais4">
    <w:name w:val="List Number 4"/>
    <w:basedOn w:val="prastasis"/>
    <w:uiPriority w:val="99"/>
    <w:semiHidden/>
    <w:unhideWhenUsed/>
    <w:rsid w:val="004C5B03"/>
    <w:pPr>
      <w:tabs>
        <w:tab w:val="num" w:pos="1209"/>
      </w:tabs>
      <w:ind w:left="1209" w:hanging="360"/>
      <w:contextualSpacing/>
    </w:pPr>
    <w:rPr>
      <w:lang w:val="en-US"/>
    </w:rPr>
  </w:style>
  <w:style w:type="paragraph" w:styleId="Sraassunumeriais5">
    <w:name w:val="List Number 5"/>
    <w:basedOn w:val="prastasis"/>
    <w:uiPriority w:val="99"/>
    <w:semiHidden/>
    <w:unhideWhenUsed/>
    <w:rsid w:val="004C5B03"/>
    <w:pPr>
      <w:tabs>
        <w:tab w:val="num" w:pos="1492"/>
      </w:tabs>
      <w:ind w:left="1492" w:hanging="360"/>
      <w:contextualSpacing/>
    </w:pPr>
    <w:rPr>
      <w:lang w:val="en-US"/>
    </w:rPr>
  </w:style>
  <w:style w:type="character" w:customStyle="1" w:styleId="MakrokomandostekstasDiagrama1">
    <w:name w:val="Makrokomandos tekstas Diagrama1"/>
    <w:basedOn w:val="Numatytasispastraiposriftas"/>
    <w:uiPriority w:val="99"/>
    <w:semiHidden/>
    <w:rsid w:val="004C5B03"/>
    <w:rPr>
      <w:rFonts w:ascii="Consolas" w:hAnsi="Consolas" w:cs="Consolas"/>
      <w:sz w:val="20"/>
      <w:szCs w:val="20"/>
    </w:rPr>
  </w:style>
  <w:style w:type="character" w:customStyle="1" w:styleId="LaikoantratDiagrama1">
    <w:name w:val="Laiško antraštė Diagrama1"/>
    <w:basedOn w:val="Numatytasispastraiposriftas"/>
    <w:uiPriority w:val="99"/>
    <w:semiHidden/>
    <w:rsid w:val="004C5B03"/>
    <w:rPr>
      <w:rFonts w:asciiTheme="majorHAnsi" w:eastAsiaTheme="majorEastAsia" w:hAnsiTheme="majorHAnsi" w:cstheme="majorBidi"/>
      <w:sz w:val="24"/>
      <w:szCs w:val="24"/>
      <w:shd w:val="pct20" w:color="auto" w:fill="auto"/>
    </w:rPr>
  </w:style>
  <w:style w:type="character" w:customStyle="1" w:styleId="PastabosantratDiagrama1">
    <w:name w:val="Pastabos antraštė Diagrama1"/>
    <w:basedOn w:val="Numatytasispastraiposriftas"/>
    <w:uiPriority w:val="99"/>
    <w:semiHidden/>
    <w:rsid w:val="004C5B03"/>
  </w:style>
  <w:style w:type="character" w:customStyle="1" w:styleId="PaprastasistekstasDiagrama1">
    <w:name w:val="Paprastasis tekstas Diagrama1"/>
    <w:basedOn w:val="Numatytasispastraiposriftas"/>
    <w:uiPriority w:val="99"/>
    <w:semiHidden/>
    <w:rsid w:val="004C5B03"/>
    <w:rPr>
      <w:rFonts w:ascii="Consolas" w:hAnsi="Consolas" w:cs="Consolas"/>
      <w:sz w:val="21"/>
      <w:szCs w:val="21"/>
    </w:rPr>
  </w:style>
  <w:style w:type="character" w:customStyle="1" w:styleId="PasveikinimasDiagrama1">
    <w:name w:val="Pasveikinimas Diagrama1"/>
    <w:basedOn w:val="Numatytasispastraiposriftas"/>
    <w:uiPriority w:val="99"/>
    <w:semiHidden/>
    <w:rsid w:val="004C5B03"/>
  </w:style>
  <w:style w:type="character" w:customStyle="1" w:styleId="ParaasDiagrama1">
    <w:name w:val="Parašas Diagrama1"/>
    <w:basedOn w:val="Numatytasispastraiposriftas"/>
    <w:uiPriority w:val="99"/>
    <w:semiHidden/>
    <w:rsid w:val="004C5B03"/>
  </w:style>
  <w:style w:type="paragraph" w:styleId="Pataisymai">
    <w:name w:val="Revision"/>
    <w:hidden/>
    <w:uiPriority w:val="99"/>
    <w:semiHidden/>
    <w:rsid w:val="004C5B03"/>
    <w:pPr>
      <w:spacing w:after="0" w:line="240" w:lineRule="auto"/>
    </w:pPr>
    <w:rPr>
      <w:rFonts w:ascii="Times New Roman" w:eastAsia="Times New Roman" w:hAnsi="Times New Roman" w:cs="Times New Roman"/>
      <w:noProof/>
      <w:szCs w:val="24"/>
      <w:lang w:val="en-US" w:eastAsia="en-US" w:bidi="ar-SA"/>
    </w:rPr>
  </w:style>
  <w:style w:type="character" w:customStyle="1" w:styleId="UnresolvedMention1">
    <w:name w:val="Unresolved Mention1"/>
    <w:basedOn w:val="Numatytasispastraiposriftas"/>
    <w:uiPriority w:val="99"/>
    <w:semiHidden/>
    <w:unhideWhenUsed/>
    <w:rsid w:val="004C5B03"/>
    <w:rPr>
      <w:color w:val="605E5C"/>
      <w:shd w:val="clear" w:color="auto" w:fill="E1DFDD"/>
    </w:rPr>
  </w:style>
  <w:style w:type="character" w:customStyle="1" w:styleId="rynqvb">
    <w:name w:val="rynqvb"/>
    <w:basedOn w:val="Numatytasispastraiposriftas"/>
    <w:rsid w:val="004F1857"/>
  </w:style>
  <w:style w:type="character" w:customStyle="1" w:styleId="Neapdorotaspaminjimas1">
    <w:name w:val="Neapdorotas paminėjimas1"/>
    <w:basedOn w:val="Numatytasispastraiposriftas"/>
    <w:uiPriority w:val="99"/>
    <w:semiHidden/>
    <w:unhideWhenUsed/>
    <w:rsid w:val="000E6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vkt.lrv.lt"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vvkt.lrv.lt"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C2CFA-E460-44DF-A379-36FB5F91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41628</Words>
  <Characters>23729</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KKUB (Karolina Kubiliene)</dc:creator>
  <cp:keywords/>
  <dc:description/>
  <cp:lastModifiedBy>Albina Burkauskaitė</cp:lastModifiedBy>
  <cp:revision>3</cp:revision>
  <dcterms:created xsi:type="dcterms:W3CDTF">2024-10-15T07:53:00Z</dcterms:created>
  <dcterms:modified xsi:type="dcterms:W3CDTF">2024-10-15T07:54:00Z</dcterms:modified>
</cp:coreProperties>
</file>